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الشافی فی الإمامة المجلد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3995_2320776876">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963997_232077687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63999_2320776876">
            <w:r>
              <w:rPr>
                <w:webHidden/>
                <w:rStyle w:val="IndexLink"/>
                <w:rtl w:val="true"/>
              </w:rPr>
              <w:t>الفهرس الإجمالي</w:t>
            </w:r>
            <w:r>
              <w:rPr>
                <w:rStyle w:val="IndexLink"/>
                <w:rtl w:val="true"/>
              </w:rPr>
              <w:tab/>
            </w:r>
            <w:r>
              <w:rPr>
                <w:rStyle w:val="IndexLink"/>
              </w:rPr>
              <w:t>13</w:t>
            </w:r>
          </w:hyperlink>
        </w:p>
        <w:p>
          <w:pPr>
            <w:pStyle w:val="Contents2"/>
            <w:tabs>
              <w:tab w:val="clear" w:pos="8743"/>
              <w:tab w:val="right" w:pos="9026" w:leader="dot"/>
            </w:tabs>
            <w:rPr/>
          </w:pPr>
          <w:hyperlink w:anchor="__RefHeading___Toc964001_2320776876">
            <w:r>
              <w:rPr>
                <w:webHidden/>
                <w:rStyle w:val="IndexLink"/>
                <w:rtl w:val="true"/>
              </w:rPr>
              <w:t xml:space="preserve">تتمّة </w:t>
            </w:r>
            <w:r>
              <w:rPr>
                <w:rStyle w:val="IndexLink"/>
              </w:rPr>
              <w:t>6</w:t>
            </w:r>
            <w:r>
              <w:rPr>
                <w:rStyle w:val="IndexLink"/>
                <w:rtl w:val="true"/>
              </w:rPr>
              <w:t xml:space="preserve">. </w:t>
            </w:r>
            <w:r>
              <w:rPr>
                <w:rStyle w:val="IndexLink"/>
                <w:rtl w:val="true"/>
              </w:rPr>
              <w:t>فصل في إبطال ما دفع به ثبوت النصّ و ورود السمع به</w:t>
            </w:r>
            <w:r>
              <w:rPr>
                <w:rStyle w:val="IndexLink"/>
                <w:rtl w:val="true"/>
              </w:rPr>
              <w:tab/>
            </w:r>
            <w:r>
              <w:rPr>
                <w:rStyle w:val="IndexLink"/>
              </w:rPr>
              <w:t>15</w:t>
            </w:r>
          </w:hyperlink>
        </w:p>
        <w:p>
          <w:pPr>
            <w:pStyle w:val="Contents3"/>
            <w:tabs>
              <w:tab w:val="clear" w:pos="8459"/>
              <w:tab w:val="right" w:pos="9026" w:leader="dot"/>
            </w:tabs>
            <w:rPr/>
          </w:pPr>
          <w:hyperlink w:anchor="__RefHeading___Toc964003_2320776876">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964005_2320776876">
            <w:r>
              <w:rPr>
                <w:webHidden/>
                <w:rStyle w:val="IndexLink"/>
                <w:rtl w:val="true"/>
              </w:rPr>
              <w:t>الكلام في صحّة نقل النصّ عن طريق أمير المؤمنين عليه السلام علىٰ إمامة نفسه</w:t>
            </w:r>
            <w:r>
              <w:rPr>
                <w:rStyle w:val="IndexLink"/>
                <w:rtl w:val="true"/>
              </w:rPr>
              <w:tab/>
            </w:r>
            <w:r>
              <w:rPr>
                <w:rStyle w:val="IndexLink"/>
              </w:rPr>
              <w:t>17</w:t>
            </w:r>
          </w:hyperlink>
        </w:p>
        <w:p>
          <w:pPr>
            <w:pStyle w:val="Contents4"/>
            <w:tabs>
              <w:tab w:val="clear" w:pos="8176"/>
              <w:tab w:val="right" w:pos="9026" w:leader="dot"/>
            </w:tabs>
            <w:rPr/>
          </w:pPr>
          <w:hyperlink w:anchor="__RefHeading___Toc964007_2320776876">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964009_2320776876">
            <w:r>
              <w:rPr>
                <w:webHidden/>
                <w:rStyle w:val="IndexLink"/>
                <w:rtl w:val="true"/>
              </w:rPr>
              <w:t>استدلال الشيعة بالنصّ المرويّ عن الرسول صلى الله عليه و آله</w:t>
            </w:r>
            <w:r>
              <w:rPr>
                <w:rStyle w:val="IndexLink"/>
                <w:rtl w:val="true"/>
              </w:rPr>
              <w:tab/>
            </w:r>
            <w:r>
              <w:rPr>
                <w:rStyle w:val="IndexLink"/>
              </w:rPr>
              <w:t>19</w:t>
            </w:r>
          </w:hyperlink>
        </w:p>
        <w:p>
          <w:pPr>
            <w:pStyle w:val="Contents4"/>
            <w:tabs>
              <w:tab w:val="clear" w:pos="8176"/>
              <w:tab w:val="right" w:pos="9026" w:leader="dot"/>
            </w:tabs>
            <w:rPr/>
          </w:pPr>
          <w:hyperlink w:anchor="__RefHeading___Toc964011_2320776876">
            <w:r>
              <w:rPr>
                <w:webHidden/>
                <w:rStyle w:val="IndexLink"/>
                <w:rtl w:val="true"/>
              </w:rPr>
              <w:t>عدم دلالة سلوك أمير المؤمنين عليه السلام مع القوم علىٰ رضاه بإمامتهم</w:t>
            </w:r>
            <w:r>
              <w:rPr>
                <w:rStyle w:val="IndexLink"/>
                <w:rtl w:val="true"/>
              </w:rPr>
              <w:tab/>
            </w:r>
            <w:r>
              <w:rPr>
                <w:rStyle w:val="IndexLink"/>
              </w:rPr>
              <w:t>19</w:t>
            </w:r>
          </w:hyperlink>
        </w:p>
        <w:p>
          <w:pPr>
            <w:pStyle w:val="Contents4"/>
            <w:tabs>
              <w:tab w:val="clear" w:pos="8176"/>
              <w:tab w:val="right" w:pos="9026" w:leader="dot"/>
            </w:tabs>
            <w:rPr/>
          </w:pPr>
          <w:hyperlink w:anchor="__RefHeading___Toc964013_2320776876">
            <w:r>
              <w:rPr>
                <w:webHidden/>
                <w:rStyle w:val="IndexLink"/>
                <w:rtl w:val="true"/>
              </w:rPr>
              <w:t>علّة احتجاج أمير المؤمنين عليه السلام علىٰ طلحة و الزبير بنكث البيعة دون النصّ</w:t>
            </w:r>
            <w:r>
              <w:rPr>
                <w:rStyle w:val="IndexLink"/>
                <w:rtl w:val="true"/>
              </w:rPr>
              <w:tab/>
            </w:r>
            <w:r>
              <w:rPr>
                <w:rStyle w:val="IndexLink"/>
              </w:rPr>
              <w:t>20</w:t>
            </w:r>
          </w:hyperlink>
        </w:p>
        <w:p>
          <w:pPr>
            <w:pStyle w:val="Contents4"/>
            <w:tabs>
              <w:tab w:val="clear" w:pos="8176"/>
              <w:tab w:val="right" w:pos="9026" w:leader="dot"/>
            </w:tabs>
            <w:rPr/>
          </w:pPr>
          <w:hyperlink w:anchor="__RefHeading___Toc964015_2320776876">
            <w:r>
              <w:rPr>
                <w:webHidden/>
                <w:rStyle w:val="IndexLink"/>
                <w:rtl w:val="true"/>
              </w:rPr>
              <w:t>عدم دلالة ما نقله المخالفون علىٰ عدم النصّ</w:t>
            </w:r>
            <w:r>
              <w:rPr>
                <w:rStyle w:val="IndexLink"/>
                <w:rtl w:val="true"/>
              </w:rPr>
              <w:tab/>
            </w:r>
            <w:r>
              <w:rPr>
                <w:rStyle w:val="IndexLink"/>
              </w:rPr>
              <w:t>21</w:t>
            </w:r>
          </w:hyperlink>
        </w:p>
        <w:p>
          <w:pPr>
            <w:pStyle w:val="Contents4"/>
            <w:tabs>
              <w:tab w:val="clear" w:pos="8176"/>
              <w:tab w:val="right" w:pos="9026" w:leader="dot"/>
            </w:tabs>
            <w:rPr/>
          </w:pPr>
          <w:hyperlink w:anchor="__RefHeading___Toc964017_2320776876">
            <w:r>
              <w:rPr>
                <w:webHidden/>
                <w:rStyle w:val="IndexLink"/>
                <w:rtl w:val="true"/>
              </w:rPr>
              <w:t>عدم توقّف صحّة دعوىٰ أمير المؤمنين عليه السلام الامامةَ ، علىٰ عصمته</w:t>
            </w:r>
            <w:r>
              <w:rPr>
                <w:rStyle w:val="IndexLink"/>
                <w:rtl w:val="true"/>
              </w:rPr>
              <w:tab/>
            </w:r>
            <w:r>
              <w:rPr>
                <w:rStyle w:val="IndexLink"/>
              </w:rPr>
              <w:t>23</w:t>
            </w:r>
          </w:hyperlink>
        </w:p>
        <w:p>
          <w:pPr>
            <w:pStyle w:val="Contents4"/>
            <w:tabs>
              <w:tab w:val="clear" w:pos="8176"/>
              <w:tab w:val="right" w:pos="9026" w:leader="dot"/>
            </w:tabs>
            <w:rPr/>
          </w:pPr>
          <w:hyperlink w:anchor="__RefHeading___Toc964019_2320776876">
            <w:r>
              <w:rPr>
                <w:webHidden/>
                <w:rStyle w:val="IndexLink"/>
                <w:rtl w:val="true"/>
              </w:rPr>
              <w:t>عدم المنافاة بين نقل النصّ عن طريق أميرِ المؤمنين عليه السلام و غيرِه</w:t>
            </w:r>
            <w:r>
              <w:rPr>
                <w:rStyle w:val="IndexLink"/>
                <w:rtl w:val="true"/>
              </w:rPr>
              <w:tab/>
            </w:r>
            <w:r>
              <w:rPr>
                <w:rStyle w:val="IndexLink"/>
              </w:rPr>
              <w:t>24</w:t>
            </w:r>
          </w:hyperlink>
        </w:p>
        <w:p>
          <w:pPr>
            <w:pStyle w:val="Contents4"/>
            <w:tabs>
              <w:tab w:val="clear" w:pos="8176"/>
              <w:tab w:val="right" w:pos="9026" w:leader="dot"/>
            </w:tabs>
            <w:rPr/>
          </w:pPr>
          <w:hyperlink w:anchor="__RefHeading___Toc964021_2320776876">
            <w:r>
              <w:rPr>
                <w:webHidden/>
                <w:rStyle w:val="IndexLink"/>
                <w:rtl w:val="true"/>
              </w:rPr>
              <w:t>حصول العلم الضروريّ بكثرة من يدّعي النصّ من الشيعة</w:t>
            </w:r>
            <w:r>
              <w:rPr>
                <w:rStyle w:val="IndexLink"/>
                <w:rtl w:val="true"/>
              </w:rPr>
              <w:tab/>
            </w:r>
            <w:r>
              <w:rPr>
                <w:rStyle w:val="IndexLink"/>
              </w:rPr>
              <w:t>28</w:t>
            </w:r>
          </w:hyperlink>
        </w:p>
        <w:p>
          <w:pPr>
            <w:pStyle w:val="Contents4"/>
            <w:tabs>
              <w:tab w:val="clear" w:pos="8176"/>
              <w:tab w:val="right" w:pos="9026" w:leader="dot"/>
            </w:tabs>
            <w:rPr/>
          </w:pPr>
          <w:hyperlink w:anchor="__RefHeading___Toc964023_2320776876">
            <w:r>
              <w:rPr>
                <w:webHidden/>
                <w:rStyle w:val="IndexLink"/>
                <w:rtl w:val="true"/>
              </w:rPr>
              <w:t xml:space="preserve">عدم ثبوت معجزات الرسول </w:t>
            </w:r>
            <w:r>
              <w:rPr>
                <w:rStyle w:val="IndexLink"/>
                <w:rtl w:val="true"/>
              </w:rPr>
              <w:t xml:space="preserve">- </w:t>
            </w:r>
            <w:r>
              <w:rPr>
                <w:rStyle w:val="IndexLink"/>
                <w:rtl w:val="true"/>
              </w:rPr>
              <w:t xml:space="preserve">عدا القرآن </w:t>
            </w:r>
            <w:r>
              <w:rPr>
                <w:rStyle w:val="IndexLink"/>
                <w:rtl w:val="true"/>
              </w:rPr>
              <w:t xml:space="preserve">- </w:t>
            </w:r>
            <w:r>
              <w:rPr>
                <w:rStyle w:val="IndexLink"/>
                <w:rtl w:val="true"/>
              </w:rPr>
              <w:t>بالضرورة</w:t>
            </w:r>
            <w:r>
              <w:rPr>
                <w:rStyle w:val="IndexLink"/>
                <w:rtl w:val="true"/>
              </w:rPr>
              <w:tab/>
            </w:r>
            <w:r>
              <w:rPr>
                <w:rStyle w:val="IndexLink"/>
              </w:rPr>
              <w:t>29</w:t>
            </w:r>
          </w:hyperlink>
        </w:p>
        <w:p>
          <w:pPr>
            <w:pStyle w:val="Contents3"/>
            <w:tabs>
              <w:tab w:val="clear" w:pos="8459"/>
              <w:tab w:val="right" w:pos="9026" w:leader="dot"/>
            </w:tabs>
            <w:rPr/>
          </w:pPr>
          <w:hyperlink w:anchor="__RefHeading___Toc964025_2320776876">
            <w:r>
              <w:rPr>
                <w:webHidden/>
                <w:rStyle w:val="IndexLink"/>
                <w:rtl w:val="true"/>
              </w:rPr>
              <w:t>الكلام في تواتر النصوص التي ينقلها الشيعة و دلالتها</w:t>
            </w:r>
            <w:r>
              <w:rPr>
                <w:rStyle w:val="IndexLink"/>
                <w:rtl w:val="true"/>
              </w:rPr>
              <w:tab/>
            </w:r>
            <w:r>
              <w:rPr>
                <w:rStyle w:val="IndexLink"/>
              </w:rPr>
              <w:t>31</w:t>
            </w:r>
          </w:hyperlink>
        </w:p>
        <w:p>
          <w:pPr>
            <w:pStyle w:val="Contents4"/>
            <w:tabs>
              <w:tab w:val="clear" w:pos="8176"/>
              <w:tab w:val="right" w:pos="9026" w:leader="dot"/>
            </w:tabs>
            <w:rPr/>
          </w:pPr>
          <w:hyperlink w:anchor="__RefHeading___Toc964027_2320776876">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964029_2320776876">
            <w:r>
              <w:rPr>
                <w:webHidden/>
                <w:rStyle w:val="IndexLink"/>
                <w:rtl w:val="true"/>
              </w:rPr>
              <w:t>صحّة ما تدّعيه الشيعة من لفظ النصّ و تواتره</w:t>
            </w:r>
            <w:r>
              <w:rPr>
                <w:rStyle w:val="IndexLink"/>
                <w:rtl w:val="true"/>
              </w:rPr>
              <w:tab/>
            </w:r>
            <w:r>
              <w:rPr>
                <w:rStyle w:val="IndexLink"/>
              </w:rPr>
              <w:t>33</w:t>
            </w:r>
          </w:hyperlink>
        </w:p>
        <w:p>
          <w:pPr>
            <w:pStyle w:val="Contents4"/>
            <w:tabs>
              <w:tab w:val="clear" w:pos="8176"/>
              <w:tab w:val="right" w:pos="9026" w:leader="dot"/>
            </w:tabs>
            <w:rPr/>
          </w:pPr>
          <w:hyperlink w:anchor="__RefHeading___Toc964031_2320776876">
            <w:r>
              <w:rPr>
                <w:webHidden/>
                <w:rStyle w:val="IndexLink"/>
                <w:rtl w:val="true"/>
              </w:rPr>
              <w:t xml:space="preserve">نفي </w:t>
            </w:r>
            <w:r>
              <w:rPr>
                <w:rStyle w:val="IndexLink"/>
                <w:rtl w:val="true"/>
              </w:rPr>
              <w:t>«</w:t>
            </w:r>
            <w:r>
              <w:rPr>
                <w:rStyle w:val="IndexLink"/>
                <w:rtl w:val="true"/>
              </w:rPr>
              <w:t>الاحتمال</w:t>
            </w:r>
            <w:r>
              <w:rPr>
                <w:rStyle w:val="IndexLink"/>
                <w:rtl w:val="true"/>
              </w:rPr>
              <w:t xml:space="preserve">» </w:t>
            </w:r>
            <w:r>
              <w:rPr>
                <w:rStyle w:val="IndexLink"/>
                <w:rtl w:val="true"/>
              </w:rPr>
              <w:t>عن النصّ</w:t>
            </w:r>
            <w:r>
              <w:rPr>
                <w:rStyle w:val="IndexLink"/>
                <w:rtl w:val="true"/>
              </w:rPr>
              <w:tab/>
            </w:r>
            <w:r>
              <w:rPr>
                <w:rStyle w:val="IndexLink"/>
              </w:rPr>
              <w:t>35</w:t>
            </w:r>
          </w:hyperlink>
        </w:p>
        <w:p>
          <w:pPr>
            <w:pStyle w:val="Contents4"/>
            <w:tabs>
              <w:tab w:val="clear" w:pos="8176"/>
              <w:tab w:val="right" w:pos="9026" w:leader="dot"/>
            </w:tabs>
            <w:rPr/>
          </w:pPr>
          <w:hyperlink w:anchor="__RefHeading___Toc964033_2320776876">
            <w:r>
              <w:rPr>
                <w:webHidden/>
                <w:rStyle w:val="IndexLink"/>
                <w:rtl w:val="true"/>
              </w:rPr>
              <w:t xml:space="preserve">دلالة لفظ </w:t>
            </w:r>
            <w:r>
              <w:rPr>
                <w:rStyle w:val="IndexLink"/>
                <w:rtl w:val="true"/>
              </w:rPr>
              <w:t>«</w:t>
            </w:r>
            <w:r>
              <w:rPr>
                <w:rStyle w:val="IndexLink"/>
                <w:rtl w:val="true"/>
              </w:rPr>
              <w:t>الإمامة</w:t>
            </w:r>
            <w:r>
              <w:rPr>
                <w:rStyle w:val="IndexLink"/>
                <w:rtl w:val="true"/>
              </w:rPr>
              <w:t xml:space="preserve">» </w:t>
            </w:r>
            <w:r>
              <w:rPr>
                <w:rStyle w:val="IndexLink"/>
                <w:rtl w:val="true"/>
              </w:rPr>
              <w:t>في النصّ على الإمامة العامّة</w:t>
            </w:r>
            <w:r>
              <w:rPr>
                <w:rStyle w:val="IndexLink"/>
                <w:rtl w:val="true"/>
              </w:rPr>
              <w:tab/>
            </w:r>
            <w:r>
              <w:rPr>
                <w:rStyle w:val="IndexLink"/>
              </w:rPr>
              <w:t>37</w:t>
            </w:r>
          </w:hyperlink>
        </w:p>
        <w:p>
          <w:pPr>
            <w:pStyle w:val="Contents4"/>
            <w:tabs>
              <w:tab w:val="clear" w:pos="8176"/>
              <w:tab w:val="right" w:pos="9026" w:leader="dot"/>
            </w:tabs>
            <w:rPr/>
          </w:pPr>
          <w:hyperlink w:anchor="__RefHeading___Toc964035_2320776876">
            <w:r>
              <w:rPr>
                <w:webHidden/>
                <w:rStyle w:val="IndexLink"/>
                <w:rtl w:val="true"/>
              </w:rPr>
              <w:t xml:space="preserve">وجود عُرف شرعيّ في لفظ </w:t>
            </w:r>
            <w:r>
              <w:rPr>
                <w:rStyle w:val="IndexLink"/>
                <w:rtl w:val="true"/>
              </w:rPr>
              <w:t>«</w:t>
            </w:r>
            <w:r>
              <w:rPr>
                <w:rStyle w:val="IndexLink"/>
                <w:rtl w:val="true"/>
              </w:rPr>
              <w:t>الإمام</w:t>
            </w:r>
            <w:r>
              <w:rPr>
                <w:rStyle w:val="IndexLink"/>
                <w:rtl w:val="true"/>
              </w:rPr>
              <w:t>»</w:t>
              <w:tab/>
            </w:r>
            <w:r>
              <w:rPr>
                <w:rStyle w:val="IndexLink"/>
              </w:rPr>
              <w:t>38</w:t>
            </w:r>
          </w:hyperlink>
        </w:p>
        <w:p>
          <w:pPr>
            <w:pStyle w:val="Contents4"/>
            <w:tabs>
              <w:tab w:val="clear" w:pos="8176"/>
              <w:tab w:val="right" w:pos="9026" w:leader="dot"/>
            </w:tabs>
            <w:rPr/>
          </w:pPr>
          <w:hyperlink w:anchor="__RefHeading___Toc964037_2320776876">
            <w:r>
              <w:rPr>
                <w:webHidden/>
                <w:rStyle w:val="IndexLink"/>
                <w:rtl w:val="true"/>
              </w:rPr>
              <w:t xml:space="preserve">استعمال الصحابة للفظ </w:t>
            </w:r>
            <w:r>
              <w:rPr>
                <w:rStyle w:val="IndexLink"/>
                <w:rtl w:val="true"/>
              </w:rPr>
              <w:t>«</w:t>
            </w:r>
            <w:r>
              <w:rPr>
                <w:rStyle w:val="IndexLink"/>
                <w:rtl w:val="true"/>
              </w:rPr>
              <w:t>الإمامة</w:t>
            </w:r>
            <w:r>
              <w:rPr>
                <w:rStyle w:val="IndexLink"/>
                <w:rtl w:val="true"/>
              </w:rPr>
              <w:t xml:space="preserve">» </w:t>
            </w:r>
            <w:r>
              <w:rPr>
                <w:rStyle w:val="IndexLink"/>
                <w:rtl w:val="true"/>
              </w:rPr>
              <w:t>في حقّ ولاة الأمر</w:t>
            </w:r>
            <w:r>
              <w:rPr>
                <w:rStyle w:val="IndexLink"/>
                <w:rtl w:val="true"/>
              </w:rPr>
              <w:tab/>
            </w:r>
            <w:r>
              <w:rPr>
                <w:rStyle w:val="IndexLink"/>
              </w:rPr>
              <w:t>40</w:t>
            </w:r>
          </w:hyperlink>
        </w:p>
        <w:p>
          <w:pPr>
            <w:pStyle w:val="Contents4"/>
            <w:tabs>
              <w:tab w:val="clear" w:pos="8176"/>
              <w:tab w:val="right" w:pos="9026" w:leader="dot"/>
            </w:tabs>
            <w:rPr/>
          </w:pPr>
          <w:hyperlink w:anchor="__RefHeading___Toc964039_2320776876">
            <w:r>
              <w:rPr>
                <w:webHidden/>
                <w:rStyle w:val="IndexLink"/>
                <w:rtl w:val="true"/>
              </w:rPr>
              <w:t>إبطال أن يكون النصّ ناظراً إلىٰ إثبات إمامة أمير المؤمنين عليه السلام بعد عثمان خاصّة، لا قبله</w:t>
            </w:r>
            <w:r>
              <w:rPr>
                <w:rStyle w:val="IndexLink"/>
                <w:rtl w:val="true"/>
              </w:rPr>
              <w:tab/>
            </w:r>
            <w:r>
              <w:rPr>
                <w:rStyle w:val="IndexLink"/>
              </w:rPr>
              <w:t>41</w:t>
            </w:r>
          </w:hyperlink>
        </w:p>
        <w:p>
          <w:pPr>
            <w:pStyle w:val="Contents4"/>
            <w:tabs>
              <w:tab w:val="clear" w:pos="8176"/>
              <w:tab w:val="right" w:pos="9026" w:leader="dot"/>
            </w:tabs>
            <w:rPr/>
          </w:pPr>
          <w:hyperlink w:anchor="__RefHeading___Toc964041_2320776876">
            <w:r>
              <w:rPr>
                <w:webHidden/>
                <w:rStyle w:val="IndexLink"/>
                <w:rtl w:val="true"/>
              </w:rPr>
              <w:t>إثبات كون النصّ أمراً و إيجاباً، لا إخباراً عن المستقبل</w:t>
            </w:r>
            <w:r>
              <w:rPr>
                <w:rStyle w:val="IndexLink"/>
                <w:rtl w:val="true"/>
              </w:rPr>
              <w:tab/>
            </w:r>
            <w:r>
              <w:rPr>
                <w:rStyle w:val="IndexLink"/>
              </w:rPr>
              <w:t>42</w:t>
            </w:r>
          </w:hyperlink>
        </w:p>
        <w:p>
          <w:pPr>
            <w:pStyle w:val="Contents3"/>
            <w:tabs>
              <w:tab w:val="clear" w:pos="8459"/>
              <w:tab w:val="right" w:pos="9026" w:leader="dot"/>
            </w:tabs>
            <w:rPr/>
          </w:pPr>
          <w:hyperlink w:anchor="__RefHeading___Toc964043_2320776876">
            <w:r>
              <w:rPr>
                <w:webHidden/>
                <w:rStyle w:val="IndexLink"/>
                <w:rtl w:val="true"/>
              </w:rPr>
              <w:t>مناقَشةُ دَعوَى الإجماعِ علىٰ إمامةِ أبي بَكرٍ</w:t>
            </w:r>
            <w:r>
              <w:rPr>
                <w:rStyle w:val="IndexLink"/>
                <w:rtl w:val="true"/>
              </w:rPr>
              <w:tab/>
            </w:r>
            <w:r>
              <w:rPr>
                <w:rStyle w:val="IndexLink"/>
              </w:rPr>
              <w:t>46</w:t>
            </w:r>
          </w:hyperlink>
        </w:p>
        <w:p>
          <w:pPr>
            <w:pStyle w:val="Contents4"/>
            <w:tabs>
              <w:tab w:val="clear" w:pos="8176"/>
              <w:tab w:val="right" w:pos="9026" w:leader="dot"/>
            </w:tabs>
            <w:rPr/>
          </w:pPr>
          <w:hyperlink w:anchor="__RefHeading___Toc964045_2320776876">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964047_2320776876">
            <w:r>
              <w:rPr>
                <w:webHidden/>
                <w:rStyle w:val="IndexLink"/>
                <w:rtl w:val="true"/>
              </w:rPr>
              <w:t>بيان عدم دخول الاحتمال في النصّ ، و دخوله في الإجماع علىٰ أبي بكر</w:t>
            </w:r>
            <w:r>
              <w:rPr>
                <w:rStyle w:val="IndexLink"/>
                <w:rtl w:val="true"/>
              </w:rPr>
              <w:tab/>
            </w:r>
            <w:r>
              <w:rPr>
                <w:rStyle w:val="IndexLink"/>
              </w:rPr>
              <w:t>49</w:t>
            </w:r>
          </w:hyperlink>
        </w:p>
        <w:p>
          <w:pPr>
            <w:pStyle w:val="Contents4"/>
            <w:tabs>
              <w:tab w:val="clear" w:pos="8176"/>
              <w:tab w:val="right" w:pos="9026" w:leader="dot"/>
            </w:tabs>
            <w:rPr/>
          </w:pPr>
          <w:hyperlink w:anchor="__RefHeading___Toc964049_2320776876">
            <w:r>
              <w:rPr>
                <w:webHidden/>
                <w:rStyle w:val="IndexLink"/>
                <w:rtl w:val="true"/>
              </w:rPr>
              <w:t>نقض كلام القاضي بنفس طريقته</w:t>
            </w:r>
            <w:r>
              <w:rPr>
                <w:rStyle w:val="IndexLink"/>
                <w:rtl w:val="true"/>
              </w:rPr>
              <w:tab/>
            </w:r>
            <w:r>
              <w:rPr>
                <w:rStyle w:val="IndexLink"/>
              </w:rPr>
              <w:t>51</w:t>
            </w:r>
          </w:hyperlink>
        </w:p>
        <w:p>
          <w:pPr>
            <w:pStyle w:val="Contents4"/>
            <w:tabs>
              <w:tab w:val="clear" w:pos="8176"/>
              <w:tab w:val="right" w:pos="9026" w:leader="dot"/>
            </w:tabs>
            <w:rPr/>
          </w:pPr>
          <w:hyperlink w:anchor="__RefHeading___Toc964051_2320776876">
            <w:r>
              <w:rPr>
                <w:webHidden/>
                <w:rStyle w:val="IndexLink"/>
                <w:rtl w:val="true"/>
              </w:rPr>
              <w:t>تهافت كلام القاضي</w:t>
            </w:r>
            <w:r>
              <w:rPr>
                <w:rStyle w:val="IndexLink"/>
                <w:rtl w:val="true"/>
              </w:rPr>
              <w:tab/>
            </w:r>
            <w:r>
              <w:rPr>
                <w:rStyle w:val="IndexLink"/>
              </w:rPr>
              <w:t>52</w:t>
            </w:r>
          </w:hyperlink>
        </w:p>
        <w:p>
          <w:pPr>
            <w:pStyle w:val="Contents4"/>
            <w:tabs>
              <w:tab w:val="clear" w:pos="8176"/>
              <w:tab w:val="right" w:pos="9026" w:leader="dot"/>
            </w:tabs>
            <w:rPr/>
          </w:pPr>
          <w:hyperlink w:anchor="__RefHeading___Toc964053_2320776876">
            <w:r>
              <w:rPr>
                <w:webHidden/>
                <w:rStyle w:val="IndexLink"/>
                <w:rtl w:val="true"/>
              </w:rPr>
              <w:t>إلزام القاضي بنفس ما ألزم به القائلين بالنصّ</w:t>
            </w:r>
            <w:r>
              <w:rPr>
                <w:rStyle w:val="IndexLink"/>
                <w:rtl w:val="true"/>
              </w:rPr>
              <w:tab/>
            </w:r>
            <w:r>
              <w:rPr>
                <w:rStyle w:val="IndexLink"/>
              </w:rPr>
              <w:t>53</w:t>
            </w:r>
          </w:hyperlink>
        </w:p>
        <w:p>
          <w:pPr>
            <w:pStyle w:val="Contents3"/>
            <w:tabs>
              <w:tab w:val="clear" w:pos="8459"/>
              <w:tab w:val="right" w:pos="9026" w:leader="dot"/>
            </w:tabs>
            <w:rPr/>
          </w:pPr>
          <w:hyperlink w:anchor="__RefHeading___Toc964055_2320776876">
            <w:r>
              <w:rPr>
                <w:webHidden/>
                <w:rStyle w:val="IndexLink"/>
                <w:rtl w:val="true"/>
              </w:rPr>
              <w:t>الكلام في الأدلّة الدالّة علىٰ إمامة أمير المؤمنين عليه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964057_2320776876">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964059_2320776876">
            <w:r>
              <w:rPr>
                <w:webHidden/>
                <w:rStyle w:val="IndexLink"/>
                <w:rtl w:val="true"/>
              </w:rPr>
              <w:t>الدليل الأوّل و الثاني و الثالث دليل العصمة، و الأفضليّة، و المطاعن</w:t>
            </w:r>
            <w:r>
              <w:rPr>
                <w:rStyle w:val="IndexLink"/>
                <w:rtl w:val="true"/>
              </w:rPr>
              <w:tab/>
            </w:r>
            <w:r>
              <w:rPr>
                <w:rStyle w:val="IndexLink"/>
              </w:rPr>
              <w:t>57</w:t>
            </w:r>
          </w:hyperlink>
        </w:p>
        <w:p>
          <w:pPr>
            <w:pStyle w:val="Contents5"/>
            <w:tabs>
              <w:tab w:val="clear" w:pos="7892"/>
              <w:tab w:val="right" w:pos="9026" w:leader="dot"/>
            </w:tabs>
            <w:rPr/>
          </w:pPr>
          <w:hyperlink w:anchor="__RefHeading___Toc964061_2320776876">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964063_2320776876">
            <w:r>
              <w:rPr>
                <w:webHidden/>
                <w:rStyle w:val="IndexLink"/>
                <w:rtl w:val="true"/>
              </w:rPr>
              <w:t>تقرير المصنّف لدليل العصمة</w:t>
            </w:r>
            <w:r>
              <w:rPr>
                <w:rStyle w:val="IndexLink"/>
                <w:rtl w:val="true"/>
              </w:rPr>
              <w:tab/>
            </w:r>
            <w:r>
              <w:rPr>
                <w:rStyle w:val="IndexLink"/>
              </w:rPr>
              <w:t>58</w:t>
            </w:r>
          </w:hyperlink>
        </w:p>
        <w:p>
          <w:pPr>
            <w:pStyle w:val="Contents5"/>
            <w:tabs>
              <w:tab w:val="clear" w:pos="7892"/>
              <w:tab w:val="right" w:pos="9026" w:leader="dot"/>
            </w:tabs>
            <w:rPr/>
          </w:pPr>
          <w:hyperlink w:anchor="__RefHeading___Toc964065_2320776876">
            <w:r>
              <w:rPr>
                <w:webHidden/>
                <w:rStyle w:val="IndexLink"/>
                <w:rtl w:val="true"/>
              </w:rPr>
              <w:t>دليل الأفضليّة</w:t>
            </w:r>
            <w:r>
              <w:rPr>
                <w:rStyle w:val="IndexLink"/>
                <w:rtl w:val="true"/>
              </w:rPr>
              <w:tab/>
            </w:r>
            <w:r>
              <w:rPr>
                <w:rStyle w:val="IndexLink"/>
              </w:rPr>
              <w:t>61</w:t>
            </w:r>
          </w:hyperlink>
        </w:p>
        <w:p>
          <w:pPr>
            <w:pStyle w:val="Contents5"/>
            <w:tabs>
              <w:tab w:val="clear" w:pos="7892"/>
              <w:tab w:val="right" w:pos="9026" w:leader="dot"/>
            </w:tabs>
            <w:rPr/>
          </w:pPr>
          <w:hyperlink w:anchor="__RefHeading___Toc964067_2320776876">
            <w:r>
              <w:rPr>
                <w:webHidden/>
                <w:rStyle w:val="IndexLink"/>
                <w:rtl w:val="true"/>
              </w:rPr>
              <w:t>دليل المطاعن</w:t>
            </w:r>
            <w:r>
              <w:rPr>
                <w:rStyle w:val="IndexLink"/>
                <w:rtl w:val="true"/>
              </w:rPr>
              <w:tab/>
            </w:r>
            <w:r>
              <w:rPr>
                <w:rStyle w:val="IndexLink"/>
              </w:rPr>
              <w:t>62</w:t>
            </w:r>
          </w:hyperlink>
        </w:p>
        <w:p>
          <w:pPr>
            <w:pStyle w:val="Contents5"/>
            <w:tabs>
              <w:tab w:val="clear" w:pos="7892"/>
              <w:tab w:val="right" w:pos="9026" w:leader="dot"/>
            </w:tabs>
            <w:rPr/>
          </w:pPr>
          <w:hyperlink w:anchor="__RefHeading___Toc964069_2320776876">
            <w:r>
              <w:rPr>
                <w:webHidden/>
                <w:rStyle w:val="IndexLink"/>
                <w:rtl w:val="true"/>
              </w:rPr>
              <w:t>نفي أن يكون الخلاف في شيء دليلاً علىٰ بطلانه</w:t>
            </w:r>
            <w:r>
              <w:rPr>
                <w:rStyle w:val="IndexLink"/>
                <w:rtl w:val="true"/>
              </w:rPr>
              <w:tab/>
            </w:r>
            <w:r>
              <w:rPr>
                <w:rStyle w:val="IndexLink"/>
              </w:rPr>
              <w:t>68</w:t>
            </w:r>
          </w:hyperlink>
        </w:p>
        <w:p>
          <w:pPr>
            <w:pStyle w:val="Contents5"/>
            <w:tabs>
              <w:tab w:val="clear" w:pos="7892"/>
              <w:tab w:val="right" w:pos="9026" w:leader="dot"/>
            </w:tabs>
            <w:rPr/>
          </w:pPr>
          <w:hyperlink w:anchor="__RefHeading___Toc964071_2320776876">
            <w:r>
              <w:rPr>
                <w:webHidden/>
                <w:rStyle w:val="IndexLink"/>
                <w:rtl w:val="true"/>
              </w:rPr>
              <w:t>بيان الوجه الأَولىٰ في إبطال إمامة من تُدّعىٰ له الإمامة بلا استحقاق</w:t>
            </w:r>
            <w:r>
              <w:rPr>
                <w:rStyle w:val="IndexLink"/>
                <w:rtl w:val="true"/>
              </w:rPr>
              <w:tab/>
            </w:r>
            <w:r>
              <w:rPr>
                <w:rStyle w:val="IndexLink"/>
              </w:rPr>
              <w:t>70</w:t>
            </w:r>
          </w:hyperlink>
        </w:p>
        <w:p>
          <w:pPr>
            <w:pStyle w:val="Contents4"/>
            <w:tabs>
              <w:tab w:val="clear" w:pos="8176"/>
              <w:tab w:val="right" w:pos="9026" w:leader="dot"/>
            </w:tabs>
            <w:rPr/>
          </w:pPr>
          <w:hyperlink w:anchor="__RefHeading___Toc964073_2320776876">
            <w:r>
              <w:rPr>
                <w:webHidden/>
                <w:rStyle w:val="IndexLink"/>
                <w:rtl w:val="true"/>
              </w:rPr>
              <w:t>الدليل الرابع آية الولاية</w:t>
            </w:r>
            <w:r>
              <w:rPr>
                <w:rStyle w:val="IndexLink"/>
                <w:rtl w:val="true"/>
              </w:rPr>
              <w:tab/>
            </w:r>
            <w:r>
              <w:rPr>
                <w:rStyle w:val="IndexLink"/>
              </w:rPr>
              <w:t>73</w:t>
            </w:r>
          </w:hyperlink>
        </w:p>
        <w:p>
          <w:pPr>
            <w:pStyle w:val="Contents5"/>
            <w:tabs>
              <w:tab w:val="clear" w:pos="7892"/>
              <w:tab w:val="right" w:pos="9026" w:leader="dot"/>
            </w:tabs>
            <w:rPr/>
          </w:pPr>
          <w:hyperlink w:anchor="__RefHeading___Toc964075_2320776876">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964077_2320776876">
            <w:r>
              <w:rPr>
                <w:webHidden/>
                <w:rStyle w:val="IndexLink"/>
                <w:rtl w:val="true"/>
              </w:rPr>
              <w:t>تقرير المصنّف للاستدلال بآية الولاية</w:t>
            </w:r>
            <w:r>
              <w:rPr>
                <w:rStyle w:val="IndexLink"/>
                <w:rtl w:val="true"/>
              </w:rPr>
              <w:tab/>
            </w:r>
            <w:r>
              <w:rPr>
                <w:rStyle w:val="IndexLink"/>
              </w:rPr>
              <w:t>74</w:t>
            </w:r>
          </w:hyperlink>
        </w:p>
        <w:p>
          <w:pPr>
            <w:pStyle w:val="Contents6"/>
            <w:tabs>
              <w:tab w:val="clear" w:pos="7609"/>
              <w:tab w:val="right" w:pos="9026" w:leader="dot"/>
            </w:tabs>
            <w:rPr/>
          </w:pPr>
          <w:hyperlink w:anchor="__RefHeading___Toc964079_2320776876">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964081_2320776876">
            <w:r>
              <w:rPr>
                <w:webHidden/>
                <w:rStyle w:val="IndexLink"/>
                <w:rtl w:val="true"/>
              </w:rPr>
              <w:t>البحث الأوّل</w:t>
            </w:r>
            <w:r>
              <w:rPr>
                <w:rStyle w:val="IndexLink"/>
                <w:rtl w:val="true"/>
              </w:rPr>
              <w:t xml:space="preserve">: </w:t>
            </w:r>
            <w:r>
              <w:rPr>
                <w:rStyle w:val="IndexLink"/>
                <w:rtl w:val="true"/>
              </w:rPr>
              <w:t xml:space="preserve">دلالة لفظة </w:t>
            </w:r>
            <w:r>
              <w:rPr>
                <w:rStyle w:val="IndexLink"/>
                <w:rtl w:val="true"/>
              </w:rPr>
              <w:t>«</w:t>
            </w:r>
            <w:r>
              <w:rPr>
                <w:rStyle w:val="IndexLink"/>
                <w:rtl w:val="true"/>
              </w:rPr>
              <w:t xml:space="preserve">وليّ </w:t>
            </w:r>
            <w:r>
              <w:rPr>
                <w:rStyle w:val="IndexLink"/>
                <w:rtl w:val="true"/>
              </w:rPr>
              <w:t xml:space="preserve">» </w:t>
            </w:r>
            <w:r>
              <w:rPr>
                <w:rStyle w:val="IndexLink"/>
                <w:rtl w:val="true"/>
              </w:rPr>
              <w:t>في اللغة على التدبير و الإمامة</w:t>
            </w:r>
            <w:r>
              <w:rPr>
                <w:rStyle w:val="IndexLink"/>
                <w:rtl w:val="true"/>
              </w:rPr>
              <w:tab/>
            </w:r>
            <w:r>
              <w:rPr>
                <w:rStyle w:val="IndexLink"/>
              </w:rPr>
              <w:t>75</w:t>
            </w:r>
          </w:hyperlink>
        </w:p>
        <w:p>
          <w:pPr>
            <w:pStyle w:val="Contents6"/>
            <w:tabs>
              <w:tab w:val="clear" w:pos="7609"/>
              <w:tab w:val="right" w:pos="9026" w:leader="dot"/>
            </w:tabs>
            <w:rPr/>
          </w:pPr>
          <w:hyperlink w:anchor="__RefHeading___Toc964083_2320776876">
            <w:r>
              <w:rPr>
                <w:webHidden/>
                <w:rStyle w:val="IndexLink"/>
                <w:rtl w:val="true"/>
              </w:rPr>
              <w:t>البحث الثاني</w:t>
            </w:r>
            <w:r>
              <w:rPr>
                <w:rStyle w:val="IndexLink"/>
                <w:rtl w:val="true"/>
              </w:rPr>
              <w:t xml:space="preserve">: </w:t>
            </w:r>
            <w:r>
              <w:rPr>
                <w:rStyle w:val="IndexLink"/>
                <w:rtl w:val="true"/>
              </w:rPr>
              <w:t xml:space="preserve">دلالة لفظة </w:t>
            </w:r>
            <w:r>
              <w:rPr>
                <w:rStyle w:val="IndexLink"/>
                <w:rtl w:val="true"/>
              </w:rPr>
              <w:t>«</w:t>
            </w:r>
            <w:r>
              <w:rPr>
                <w:rStyle w:val="IndexLink"/>
                <w:rtl w:val="true"/>
              </w:rPr>
              <w:t xml:space="preserve">وليّ </w:t>
            </w:r>
            <w:r>
              <w:rPr>
                <w:rStyle w:val="IndexLink"/>
                <w:rtl w:val="true"/>
              </w:rPr>
              <w:t xml:space="preserve">» </w:t>
            </w:r>
            <w:r>
              <w:rPr>
                <w:rStyle w:val="IndexLink"/>
                <w:rtl w:val="true"/>
              </w:rPr>
              <w:t>في الآية علىٰ معنى التدبير و الإمامة</w:t>
            </w:r>
            <w:r>
              <w:rPr>
                <w:rStyle w:val="IndexLink"/>
                <w:rtl w:val="true"/>
              </w:rPr>
              <w:tab/>
            </w:r>
            <w:r>
              <w:rPr>
                <w:rStyle w:val="IndexLink"/>
              </w:rPr>
              <w:t>77</w:t>
            </w:r>
          </w:hyperlink>
        </w:p>
        <w:p>
          <w:pPr>
            <w:pStyle w:val="Contents6"/>
            <w:tabs>
              <w:tab w:val="clear" w:pos="7609"/>
              <w:tab w:val="right" w:pos="9026" w:leader="dot"/>
            </w:tabs>
            <w:rPr/>
          </w:pPr>
          <w:hyperlink w:anchor="__RefHeading___Toc964085_2320776876">
            <w:r>
              <w:rPr>
                <w:webHidden/>
                <w:rStyle w:val="IndexLink"/>
                <w:rtl w:val="true"/>
              </w:rPr>
              <w:t>البحث الثالث</w:t>
            </w:r>
            <w:r>
              <w:rPr>
                <w:rStyle w:val="IndexLink"/>
                <w:rtl w:val="true"/>
              </w:rPr>
              <w:t xml:space="preserve">: </w:t>
            </w:r>
            <w:r>
              <w:rPr>
                <w:rStyle w:val="IndexLink"/>
                <w:rtl w:val="true"/>
              </w:rPr>
              <w:t xml:space="preserve">توجّه لفظة </w:t>
            </w:r>
            <w:r>
              <w:rPr>
                <w:rStyle w:val="IndexLink"/>
                <w:rtl w:val="true"/>
              </w:rPr>
              <w:t>(</w:t>
            </w:r>
            <w:r>
              <w:rPr>
                <w:rStyle w:val="IndexLink"/>
                <w:rtl w:val="true"/>
              </w:rPr>
              <w:t>الَّذِينَ آمَنُوا</w:t>
            </w:r>
            <w:r>
              <w:rPr>
                <w:rStyle w:val="IndexLink"/>
                <w:rtl w:val="true"/>
              </w:rPr>
              <w:t xml:space="preserve">) </w:t>
            </w:r>
            <w:r>
              <w:rPr>
                <w:rStyle w:val="IndexLink"/>
                <w:rtl w:val="true"/>
              </w:rPr>
              <w:t>في الآية إلىٰ أميرِ المؤمنينَ عليه السلام</w:t>
            </w:r>
            <w:r>
              <w:rPr>
                <w:rStyle w:val="IndexLink"/>
                <w:rtl w:val="true"/>
              </w:rPr>
              <w:tab/>
            </w:r>
            <w:r>
              <w:rPr>
                <w:rStyle w:val="IndexLink"/>
              </w:rPr>
              <w:t>81</w:t>
            </w:r>
          </w:hyperlink>
        </w:p>
        <w:p>
          <w:pPr>
            <w:pStyle w:val="Contents6"/>
            <w:tabs>
              <w:tab w:val="clear" w:pos="7609"/>
              <w:tab w:val="right" w:pos="9026" w:leader="dot"/>
            </w:tabs>
            <w:rPr/>
          </w:pPr>
          <w:hyperlink w:anchor="__RefHeading___Toc964087_2320776876">
            <w:r>
              <w:rPr>
                <w:webHidden/>
                <w:rStyle w:val="IndexLink"/>
                <w:rtl w:val="true"/>
              </w:rPr>
              <w:t>البحث الرابع</w:t>
            </w:r>
            <w:r>
              <w:rPr>
                <w:rStyle w:val="IndexLink"/>
                <w:rtl w:val="true"/>
              </w:rPr>
              <w:t xml:space="preserve">: </w:t>
            </w:r>
            <w:r>
              <w:rPr>
                <w:rStyle w:val="IndexLink"/>
                <w:rtl w:val="true"/>
              </w:rPr>
              <w:t xml:space="preserve">اختصاص أمير المؤمنين عليه السلام بلفظة </w:t>
            </w:r>
            <w:r>
              <w:rPr>
                <w:rStyle w:val="IndexLink"/>
                <w:rtl w:val="true"/>
              </w:rPr>
              <w:t>(</w:t>
            </w:r>
            <w:r>
              <w:rPr>
                <w:rStyle w:val="IndexLink"/>
                <w:rtl w:val="true"/>
              </w:rPr>
              <w:t>الَّذِينَ آمَنُوا</w:t>
            </w:r>
            <w:r>
              <w:rPr>
                <w:rStyle w:val="IndexLink"/>
                <w:rtl w:val="true"/>
              </w:rPr>
              <w:t xml:space="preserve">) </w:t>
            </w:r>
            <w:r>
              <w:rPr>
                <w:rStyle w:val="IndexLink"/>
                <w:rtl w:val="true"/>
              </w:rPr>
              <w:t>دون غيره</w:t>
            </w:r>
            <w:r>
              <w:rPr>
                <w:rStyle w:val="IndexLink"/>
                <w:rtl w:val="true"/>
              </w:rPr>
              <w:tab/>
            </w:r>
            <w:r>
              <w:rPr>
                <w:rStyle w:val="IndexLink"/>
              </w:rPr>
              <w:t>82</w:t>
            </w:r>
          </w:hyperlink>
        </w:p>
        <w:p>
          <w:pPr>
            <w:pStyle w:val="Contents5"/>
            <w:tabs>
              <w:tab w:val="clear" w:pos="7892"/>
              <w:tab w:val="right" w:pos="9026" w:leader="dot"/>
            </w:tabs>
            <w:rPr/>
          </w:pPr>
          <w:hyperlink w:anchor="__RefHeading___Toc964089_2320776876">
            <w:r>
              <w:rPr>
                <w:webHidden/>
                <w:rStyle w:val="IndexLink"/>
                <w:rtl w:val="true"/>
              </w:rPr>
              <w:t>جواز حمل لفظ الجمع على الواحد</w:t>
            </w:r>
            <w:r>
              <w:rPr>
                <w:rStyle w:val="IndexLink"/>
                <w:rtl w:val="true"/>
              </w:rPr>
              <w:tab/>
            </w:r>
            <w:r>
              <w:rPr>
                <w:rStyle w:val="IndexLink"/>
              </w:rPr>
              <w:t>84</w:t>
            </w:r>
          </w:hyperlink>
        </w:p>
        <w:p>
          <w:pPr>
            <w:pStyle w:val="Contents5"/>
            <w:tabs>
              <w:tab w:val="clear" w:pos="7892"/>
              <w:tab w:val="right" w:pos="9026" w:leader="dot"/>
            </w:tabs>
            <w:rPr/>
          </w:pPr>
          <w:hyperlink w:anchor="__RefHeading___Toc964091_2320776876">
            <w:r>
              <w:rPr>
                <w:webHidden/>
                <w:rStyle w:val="IndexLink"/>
                <w:rtl w:val="true"/>
              </w:rPr>
              <w:t xml:space="preserve">وجوب تخصيص لفظة </w:t>
            </w:r>
            <w:r>
              <w:rPr>
                <w:rStyle w:val="IndexLink"/>
                <w:rtl w:val="true"/>
              </w:rPr>
              <w:t>«</w:t>
            </w:r>
            <w:r>
              <w:rPr>
                <w:rStyle w:val="IndexLink"/>
                <w:rtl w:val="true"/>
              </w:rPr>
              <w:t>الذين آمنوا</w:t>
            </w:r>
            <w:r>
              <w:rPr>
                <w:rStyle w:val="IndexLink"/>
                <w:rtl w:val="true"/>
              </w:rPr>
              <w:t>»</w:t>
            </w:r>
            <w:r>
              <w:rPr>
                <w:rStyle w:val="IndexLink"/>
                <w:rtl w:val="true"/>
              </w:rPr>
              <w:t>، و نفي عمومها</w:t>
            </w:r>
            <w:r>
              <w:rPr>
                <w:rStyle w:val="IndexLink"/>
                <w:rtl w:val="true"/>
              </w:rPr>
              <w:tab/>
            </w:r>
            <w:r>
              <w:rPr>
                <w:rStyle w:val="IndexLink"/>
              </w:rPr>
              <w:t>85</w:t>
            </w:r>
          </w:hyperlink>
        </w:p>
        <w:p>
          <w:pPr>
            <w:pStyle w:val="Contents5"/>
            <w:tabs>
              <w:tab w:val="clear" w:pos="7892"/>
              <w:tab w:val="right" w:pos="9026" w:leader="dot"/>
            </w:tabs>
            <w:rPr/>
          </w:pPr>
          <w:hyperlink w:anchor="__RefHeading___Toc964093_2320776876">
            <w:r>
              <w:rPr>
                <w:webHidden/>
                <w:rStyle w:val="IndexLink"/>
                <w:rtl w:val="true"/>
              </w:rPr>
              <w:t>نفي أن يكون حمل الآية علىٰ إمامة أمير المؤمنين عليه السلام مستلزماً لوجود مجازَين فيها</w:t>
            </w:r>
            <w:r>
              <w:rPr>
                <w:rStyle w:val="IndexLink"/>
                <w:rtl w:val="true"/>
              </w:rPr>
              <w:tab/>
            </w:r>
            <w:r>
              <w:rPr>
                <w:rStyle w:val="IndexLink"/>
              </w:rPr>
              <w:t>86</w:t>
            </w:r>
          </w:hyperlink>
        </w:p>
        <w:p>
          <w:pPr>
            <w:pStyle w:val="Contents5"/>
            <w:tabs>
              <w:tab w:val="clear" w:pos="7892"/>
              <w:tab w:val="right" w:pos="9026" w:leader="dot"/>
            </w:tabs>
            <w:rPr/>
          </w:pPr>
          <w:hyperlink w:anchor="__RefHeading___Toc964095_2320776876">
            <w:r>
              <w:rPr>
                <w:webHidden/>
                <w:rStyle w:val="IndexLink"/>
                <w:rtl w:val="true"/>
              </w:rPr>
              <w:t xml:space="preserve">نفي دلالة لفظة </w:t>
            </w:r>
            <w:r>
              <w:rPr>
                <w:rStyle w:val="IndexLink"/>
                <w:rtl w:val="true"/>
              </w:rPr>
              <w:t>«</w:t>
            </w:r>
            <w:r>
              <w:rPr>
                <w:rStyle w:val="IndexLink"/>
                <w:rtl w:val="true"/>
              </w:rPr>
              <w:t>الركوع</w:t>
            </w:r>
            <w:r>
              <w:rPr>
                <w:rStyle w:val="IndexLink"/>
                <w:rtl w:val="true"/>
              </w:rPr>
              <w:t xml:space="preserve">» </w:t>
            </w:r>
            <w:r>
              <w:rPr>
                <w:rStyle w:val="IndexLink"/>
                <w:rtl w:val="true"/>
              </w:rPr>
              <w:t>على التواضع و الخضوع</w:t>
            </w:r>
            <w:r>
              <w:rPr>
                <w:rStyle w:val="IndexLink"/>
                <w:rtl w:val="true"/>
              </w:rPr>
              <w:tab/>
            </w:r>
            <w:r>
              <w:rPr>
                <w:rStyle w:val="IndexLink"/>
              </w:rPr>
              <w:t>93</w:t>
            </w:r>
          </w:hyperlink>
        </w:p>
        <w:p>
          <w:pPr>
            <w:pStyle w:val="Contents5"/>
            <w:tabs>
              <w:tab w:val="clear" w:pos="7892"/>
              <w:tab w:val="right" w:pos="9026" w:leader="dot"/>
            </w:tabs>
            <w:rPr/>
          </w:pPr>
          <w:hyperlink w:anchor="__RefHeading___Toc964097_2320776876">
            <w:r>
              <w:rPr>
                <w:webHidden/>
                <w:rStyle w:val="IndexLink"/>
                <w:rtl w:val="true"/>
              </w:rPr>
              <w:t>بيان عدم التنافي بين إيتاء الزكاة و الاشتغال بالصلاة</w:t>
            </w:r>
            <w:r>
              <w:rPr>
                <w:rStyle w:val="IndexLink"/>
                <w:rtl w:val="true"/>
              </w:rPr>
              <w:tab/>
            </w:r>
            <w:r>
              <w:rPr>
                <w:rStyle w:val="IndexLink"/>
              </w:rPr>
              <w:t>96</w:t>
            </w:r>
          </w:hyperlink>
        </w:p>
        <w:p>
          <w:pPr>
            <w:pStyle w:val="Contents5"/>
            <w:tabs>
              <w:tab w:val="clear" w:pos="7892"/>
              <w:tab w:val="right" w:pos="9026" w:leader="dot"/>
            </w:tabs>
            <w:rPr/>
          </w:pPr>
          <w:hyperlink w:anchor="__RefHeading___Toc964099_2320776876">
            <w:r>
              <w:rPr>
                <w:webHidden/>
                <w:rStyle w:val="IndexLink"/>
                <w:rtl w:val="true"/>
              </w:rPr>
              <w:t>بيان دلالة الآية علىٰ إمامة أمير المؤمنين عليه السلام بعد الرسول صلى الله عليه و آله بلا فصل</w:t>
            </w:r>
            <w:r>
              <w:rPr>
                <w:rStyle w:val="IndexLink"/>
                <w:rtl w:val="true"/>
              </w:rPr>
              <w:tab/>
            </w:r>
            <w:r>
              <w:rPr>
                <w:rStyle w:val="IndexLink"/>
              </w:rPr>
              <w:t>99</w:t>
            </w:r>
          </w:hyperlink>
        </w:p>
        <w:p>
          <w:pPr>
            <w:pStyle w:val="Contents5"/>
            <w:tabs>
              <w:tab w:val="clear" w:pos="7892"/>
              <w:tab w:val="right" w:pos="9026" w:leader="dot"/>
            </w:tabs>
            <w:rPr/>
          </w:pPr>
          <w:hyperlink w:anchor="__RefHeading___Toc964101_2320776876">
            <w:r>
              <w:rPr>
                <w:webHidden/>
                <w:rStyle w:val="IndexLink"/>
                <w:rtl w:val="true"/>
              </w:rPr>
              <w:t>نفي دلالة الآية على إمامة أمير المؤمنين عليه السلام بعد عثمان، دون ما قبله من الأحوال</w:t>
            </w:r>
            <w:r>
              <w:rPr>
                <w:rStyle w:val="IndexLink"/>
                <w:rtl w:val="true"/>
              </w:rPr>
              <w:tab/>
            </w:r>
            <w:r>
              <w:rPr>
                <w:rStyle w:val="IndexLink"/>
              </w:rPr>
              <w:t>100</w:t>
            </w:r>
          </w:hyperlink>
        </w:p>
        <w:p>
          <w:pPr>
            <w:pStyle w:val="Contents5"/>
            <w:tabs>
              <w:tab w:val="clear" w:pos="7892"/>
              <w:tab w:val="right" w:pos="9026" w:leader="dot"/>
            </w:tabs>
            <w:rPr/>
          </w:pPr>
          <w:hyperlink w:anchor="__RefHeading___Toc964103_2320776876">
            <w:r>
              <w:rPr>
                <w:webHidden/>
                <w:rStyle w:val="IndexLink"/>
                <w:rtl w:val="true"/>
              </w:rPr>
              <w:t>معنىٰ وصفه تعالىٰ بأنّه وليّنا</w:t>
            </w:r>
            <w:r>
              <w:rPr>
                <w:rStyle w:val="IndexLink"/>
                <w:rtl w:val="true"/>
              </w:rPr>
              <w:tab/>
            </w:r>
            <w:r>
              <w:rPr>
                <w:rStyle w:val="IndexLink"/>
              </w:rPr>
              <w:t>100</w:t>
            </w:r>
          </w:hyperlink>
        </w:p>
        <w:p>
          <w:pPr>
            <w:pStyle w:val="Contents5"/>
            <w:tabs>
              <w:tab w:val="clear" w:pos="7892"/>
              <w:tab w:val="right" w:pos="9026" w:leader="dot"/>
            </w:tabs>
            <w:rPr/>
          </w:pPr>
          <w:hyperlink w:anchor="__RefHeading___Toc964105_2320776876">
            <w:r>
              <w:rPr>
                <w:webHidden/>
                <w:rStyle w:val="IndexLink"/>
                <w:rtl w:val="true"/>
              </w:rPr>
              <w:t>صحّة وصف الرسول صلى الله عليه و آله بأنه وليّ بمعنىٰ إمضاء الحدود و الأحكام</w:t>
            </w:r>
            <w:r>
              <w:rPr>
                <w:rStyle w:val="IndexLink"/>
                <w:rtl w:val="true"/>
              </w:rPr>
              <w:tab/>
            </w:r>
            <w:r>
              <w:rPr>
                <w:rStyle w:val="IndexLink"/>
              </w:rPr>
              <w:t>101</w:t>
            </w:r>
          </w:hyperlink>
        </w:p>
        <w:p>
          <w:pPr>
            <w:pStyle w:val="Contents5"/>
            <w:tabs>
              <w:tab w:val="clear" w:pos="7892"/>
              <w:tab w:val="right" w:pos="9026" w:leader="dot"/>
            </w:tabs>
            <w:rPr/>
          </w:pPr>
          <w:hyperlink w:anchor="__RefHeading___Toc964107_2320776876">
            <w:r>
              <w:rPr>
                <w:webHidden/>
                <w:rStyle w:val="IndexLink"/>
                <w:rtl w:val="true"/>
              </w:rPr>
              <w:t xml:space="preserve">نفي دلالة لفظة </w:t>
            </w:r>
            <w:r>
              <w:rPr>
                <w:rStyle w:val="IndexLink"/>
                <w:rtl w:val="true"/>
              </w:rPr>
              <w:t>«</w:t>
            </w:r>
            <w:r>
              <w:rPr>
                <w:rStyle w:val="IndexLink"/>
                <w:rtl w:val="true"/>
              </w:rPr>
              <w:t xml:space="preserve">وليّ </w:t>
            </w:r>
            <w:r>
              <w:rPr>
                <w:rStyle w:val="IndexLink"/>
                <w:rtl w:val="true"/>
              </w:rPr>
              <w:t xml:space="preserve">» </w:t>
            </w:r>
            <w:r>
              <w:rPr>
                <w:rStyle w:val="IndexLink"/>
                <w:rtl w:val="true"/>
              </w:rPr>
              <w:t>علىٰ معنى النصرة</w:t>
            </w:r>
            <w:r>
              <w:rPr>
                <w:rStyle w:val="IndexLink"/>
                <w:rtl w:val="true"/>
              </w:rPr>
              <w:tab/>
            </w:r>
            <w:r>
              <w:rPr>
                <w:rStyle w:val="IndexLink"/>
              </w:rPr>
              <w:t>102</w:t>
            </w:r>
          </w:hyperlink>
        </w:p>
        <w:p>
          <w:pPr>
            <w:pStyle w:val="Contents5"/>
            <w:tabs>
              <w:tab w:val="clear" w:pos="7892"/>
              <w:tab w:val="right" w:pos="9026" w:leader="dot"/>
            </w:tabs>
            <w:rPr/>
          </w:pPr>
          <w:hyperlink w:anchor="__RefHeading___Toc964109_2320776876">
            <w:r>
              <w:rPr>
                <w:webHidden/>
                <w:rStyle w:val="IndexLink"/>
                <w:rtl w:val="true"/>
              </w:rPr>
              <w:t>دلالة اللغة علىٰ أنّ الركوع في الآية حالٌ لإيتاء الزكاة</w:t>
            </w:r>
            <w:r>
              <w:rPr>
                <w:rStyle w:val="IndexLink"/>
                <w:rtl w:val="true"/>
              </w:rPr>
              <w:tab/>
            </w:r>
            <w:r>
              <w:rPr>
                <w:rStyle w:val="IndexLink"/>
              </w:rPr>
              <w:t>104</w:t>
            </w:r>
          </w:hyperlink>
        </w:p>
        <w:p>
          <w:pPr>
            <w:pStyle w:val="Contents5"/>
            <w:tabs>
              <w:tab w:val="clear" w:pos="7892"/>
              <w:tab w:val="right" w:pos="9026" w:leader="dot"/>
            </w:tabs>
            <w:rPr/>
          </w:pPr>
          <w:hyperlink w:anchor="__RefHeading___Toc964111_2320776876">
            <w:r>
              <w:rPr>
                <w:webHidden/>
                <w:rStyle w:val="IndexLink"/>
                <w:rtl w:val="true"/>
              </w:rPr>
              <w:t>بيان حقيقة الزكاة التي آتاها أمير المؤمنين عليه السلام في حال الصلاة</w:t>
            </w:r>
            <w:r>
              <w:rPr>
                <w:rStyle w:val="IndexLink"/>
                <w:rtl w:val="true"/>
              </w:rPr>
              <w:tab/>
            </w:r>
            <w:r>
              <w:rPr>
                <w:rStyle w:val="IndexLink"/>
              </w:rPr>
              <w:t>106</w:t>
            </w:r>
          </w:hyperlink>
        </w:p>
        <w:p>
          <w:pPr>
            <w:pStyle w:val="Contents5"/>
            <w:tabs>
              <w:tab w:val="clear" w:pos="7892"/>
              <w:tab w:val="right" w:pos="9026" w:leader="dot"/>
            </w:tabs>
            <w:rPr/>
          </w:pPr>
          <w:hyperlink w:anchor="__RefHeading___Toc964113_2320776876">
            <w:r>
              <w:rPr>
                <w:webHidden/>
                <w:rStyle w:val="IndexLink"/>
                <w:rtl w:val="true"/>
              </w:rPr>
              <w:t>عدم دلالة الآية على الصلاة و الزكاة الواجبتين دون المستحبّتين</w:t>
            </w:r>
            <w:r>
              <w:rPr>
                <w:rStyle w:val="IndexLink"/>
                <w:rtl w:val="true"/>
              </w:rPr>
              <w:tab/>
            </w:r>
            <w:r>
              <w:rPr>
                <w:rStyle w:val="IndexLink"/>
              </w:rPr>
              <w:t>112</w:t>
            </w:r>
          </w:hyperlink>
        </w:p>
        <w:p>
          <w:pPr>
            <w:pStyle w:val="Contents5"/>
            <w:tabs>
              <w:tab w:val="clear" w:pos="7892"/>
              <w:tab w:val="right" w:pos="9026" w:leader="dot"/>
            </w:tabs>
            <w:rPr/>
          </w:pPr>
          <w:hyperlink w:anchor="__RefHeading___Toc964115_2320776876">
            <w:r>
              <w:rPr>
                <w:webHidden/>
                <w:rStyle w:val="IndexLink"/>
                <w:rtl w:val="true"/>
              </w:rPr>
              <w:t>نفي أن يؤدّي إيتاء الزكاة إلىٰ بطلان الصلاة</w:t>
            </w:r>
            <w:r>
              <w:rPr>
                <w:rStyle w:val="IndexLink"/>
                <w:rtl w:val="true"/>
              </w:rPr>
              <w:tab/>
            </w:r>
            <w:r>
              <w:rPr>
                <w:rStyle w:val="IndexLink"/>
              </w:rPr>
              <w:t>114</w:t>
            </w:r>
          </w:hyperlink>
        </w:p>
        <w:p>
          <w:pPr>
            <w:pStyle w:val="Contents5"/>
            <w:tabs>
              <w:tab w:val="clear" w:pos="7892"/>
              <w:tab w:val="right" w:pos="9026" w:leader="dot"/>
            </w:tabs>
            <w:rPr/>
          </w:pPr>
          <w:hyperlink w:anchor="__RefHeading___Toc964117_2320776876">
            <w:r>
              <w:rPr>
                <w:webHidden/>
                <w:rStyle w:val="IndexLink"/>
                <w:rtl w:val="true"/>
              </w:rPr>
              <w:t>نفي أن يكون الركوع جهة فضل للزكاة</w:t>
            </w:r>
            <w:r>
              <w:rPr>
                <w:rStyle w:val="IndexLink"/>
                <w:rtl w:val="true"/>
              </w:rPr>
              <w:tab/>
            </w:r>
            <w:r>
              <w:rPr>
                <w:rStyle w:val="IndexLink"/>
              </w:rPr>
              <w:t>115</w:t>
            </w:r>
          </w:hyperlink>
        </w:p>
        <w:p>
          <w:pPr>
            <w:pStyle w:val="Contents5"/>
            <w:tabs>
              <w:tab w:val="clear" w:pos="7892"/>
              <w:tab w:val="right" w:pos="9026" w:leader="dot"/>
            </w:tabs>
            <w:rPr/>
          </w:pPr>
          <w:hyperlink w:anchor="__RefHeading___Toc964119_2320776876">
            <w:r>
              <w:rPr>
                <w:webHidden/>
                <w:rStyle w:val="IndexLink"/>
                <w:rtl w:val="true"/>
              </w:rPr>
              <w:t>نفي دلالة الآية السابقة علىٰ آية الولاية، علىٰ عدم اختصاص آية الولاية بأمير المؤمنين عليه السلام</w:t>
            </w:r>
            <w:r>
              <w:rPr>
                <w:rStyle w:val="IndexLink"/>
                <w:rtl w:val="true"/>
              </w:rPr>
              <w:tab/>
            </w:r>
            <w:r>
              <w:rPr>
                <w:rStyle w:val="IndexLink"/>
              </w:rPr>
              <w:t>117</w:t>
            </w:r>
          </w:hyperlink>
        </w:p>
        <w:p>
          <w:pPr>
            <w:pStyle w:val="Contents5"/>
            <w:tabs>
              <w:tab w:val="clear" w:pos="7892"/>
              <w:tab w:val="right" w:pos="9026" w:leader="dot"/>
            </w:tabs>
            <w:rPr/>
          </w:pPr>
          <w:hyperlink w:anchor="__RefHeading___Toc964121_2320776876">
            <w:r>
              <w:rPr>
                <w:webHidden/>
                <w:rStyle w:val="IndexLink"/>
                <w:rtl w:val="true"/>
              </w:rPr>
              <w:t>جواز اختصاص الآية السابقة علىٰ آية الولاية بأمير المؤمنين عليه السلام</w:t>
            </w:r>
            <w:r>
              <w:rPr>
                <w:rStyle w:val="IndexLink"/>
                <w:rtl w:val="true"/>
              </w:rPr>
              <w:tab/>
            </w:r>
            <w:r>
              <w:rPr>
                <w:rStyle w:val="IndexLink"/>
              </w:rPr>
              <w:t>118</w:t>
            </w:r>
          </w:hyperlink>
        </w:p>
        <w:p>
          <w:pPr>
            <w:pStyle w:val="Contents5"/>
            <w:tabs>
              <w:tab w:val="clear" w:pos="7892"/>
              <w:tab w:val="right" w:pos="9026" w:leader="dot"/>
            </w:tabs>
            <w:rPr/>
          </w:pPr>
          <w:hyperlink w:anchor="__RefHeading___Toc964123_2320776876">
            <w:r>
              <w:rPr>
                <w:webHidden/>
                <w:rStyle w:val="IndexLink"/>
                <w:rtl w:val="true"/>
              </w:rPr>
              <w:t>نفي تطبيق الآية السابقة علىٰ آية الولاية، علىٰ أبي بكر</w:t>
            </w:r>
            <w:r>
              <w:rPr>
                <w:rStyle w:val="IndexLink"/>
                <w:rtl w:val="true"/>
              </w:rPr>
              <w:tab/>
            </w:r>
            <w:r>
              <w:rPr>
                <w:rStyle w:val="IndexLink"/>
              </w:rPr>
              <w:t>120</w:t>
            </w:r>
          </w:hyperlink>
        </w:p>
        <w:p>
          <w:pPr>
            <w:pStyle w:val="Contents5"/>
            <w:tabs>
              <w:tab w:val="clear" w:pos="7892"/>
              <w:tab w:val="right" w:pos="9026" w:leader="dot"/>
            </w:tabs>
            <w:rPr/>
          </w:pPr>
          <w:hyperlink w:anchor="__RefHeading___Toc964125_2320776876">
            <w:r>
              <w:rPr>
                <w:webHidden/>
                <w:rStyle w:val="IndexLink"/>
                <w:rtl w:val="true"/>
              </w:rPr>
              <w:t>عدم دقّة صاحب المغني في نقله لكلام أبي مسلم الأصفهاني</w:t>
            </w:r>
            <w:r>
              <w:rPr>
                <w:rStyle w:val="IndexLink"/>
                <w:rtl w:val="true"/>
              </w:rPr>
              <w:tab/>
            </w:r>
            <w:r>
              <w:rPr>
                <w:rStyle w:val="IndexLink"/>
              </w:rPr>
              <w:t>122</w:t>
            </w:r>
          </w:hyperlink>
        </w:p>
        <w:p>
          <w:pPr>
            <w:pStyle w:val="Contents5"/>
            <w:tabs>
              <w:tab w:val="clear" w:pos="7892"/>
              <w:tab w:val="right" w:pos="9026" w:leader="dot"/>
            </w:tabs>
            <w:rPr/>
          </w:pPr>
          <w:hyperlink w:anchor="__RefHeading___Toc964127_2320776876">
            <w:r>
              <w:rPr>
                <w:webHidden/>
                <w:rStyle w:val="IndexLink"/>
                <w:rtl w:val="true"/>
              </w:rPr>
              <w:t>نفي نزول آية الولاية في حقّ عُبادة بن الصامت</w:t>
            </w:r>
            <w:r>
              <w:rPr>
                <w:rStyle w:val="IndexLink"/>
                <w:rtl w:val="true"/>
              </w:rPr>
              <w:tab/>
            </w:r>
            <w:r>
              <w:rPr>
                <w:rStyle w:val="IndexLink"/>
              </w:rPr>
              <w:t>123</w:t>
            </w:r>
          </w:hyperlink>
        </w:p>
        <w:p>
          <w:pPr>
            <w:pStyle w:val="Contents4"/>
            <w:tabs>
              <w:tab w:val="clear" w:pos="8176"/>
              <w:tab w:val="right" w:pos="9026" w:leader="dot"/>
            </w:tabs>
            <w:rPr/>
          </w:pPr>
          <w:hyperlink w:anchor="__RefHeading___Toc964129_2320776876">
            <w:r>
              <w:rPr>
                <w:webHidden/>
                <w:rStyle w:val="IndexLink"/>
                <w:rtl w:val="true"/>
              </w:rPr>
              <w:t xml:space="preserve">الدليل الخامس آية </w:t>
            </w:r>
            <w:r>
              <w:rPr>
                <w:rStyle w:val="IndexLink"/>
                <w:rtl w:val="true"/>
              </w:rPr>
              <w:t>(</w:t>
            </w:r>
            <w:r>
              <w:rPr>
                <w:rStyle w:val="IndexLink"/>
                <w:rtl w:val="true"/>
              </w:rPr>
              <w:t xml:space="preserve">وَ إِنْ تَظٰاهَرٰا عَلَيْهِ فَإِنَّ اللّٰهَ هُوَ مَوْلاٰهُ </w:t>
            </w:r>
            <w:r>
              <w:rPr>
                <w:rStyle w:val="IndexLink"/>
                <w:rtl w:val="true"/>
              </w:rPr>
              <w:t>...)</w:t>
              <w:tab/>
            </w:r>
            <w:r>
              <w:rPr>
                <w:rStyle w:val="IndexLink"/>
              </w:rPr>
              <w:t>124</w:t>
            </w:r>
          </w:hyperlink>
        </w:p>
        <w:p>
          <w:pPr>
            <w:pStyle w:val="Contents5"/>
            <w:tabs>
              <w:tab w:val="clear" w:pos="7892"/>
              <w:tab w:val="right" w:pos="9026" w:leader="dot"/>
            </w:tabs>
            <w:rPr/>
          </w:pPr>
          <w:hyperlink w:anchor="__RefHeading___Toc964131_2320776876">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964133_2320776876">
            <w:r>
              <w:rPr>
                <w:webHidden/>
                <w:rStyle w:val="IndexLink"/>
                <w:rtl w:val="true"/>
              </w:rPr>
              <w:t>نفي دلالة الآية على الإمامة، و إثبات دلالتها على الفضل</w:t>
            </w:r>
            <w:r>
              <w:rPr>
                <w:rStyle w:val="IndexLink"/>
                <w:rtl w:val="true"/>
              </w:rPr>
              <w:tab/>
            </w:r>
            <w:r>
              <w:rPr>
                <w:rStyle w:val="IndexLink"/>
              </w:rPr>
              <w:t>125</w:t>
            </w:r>
          </w:hyperlink>
        </w:p>
        <w:p>
          <w:pPr>
            <w:pStyle w:val="Contents5"/>
            <w:tabs>
              <w:tab w:val="clear" w:pos="7892"/>
              <w:tab w:val="right" w:pos="9026" w:leader="dot"/>
            </w:tabs>
            <w:rPr/>
          </w:pPr>
          <w:hyperlink w:anchor="__RefHeading___Toc964135_2320776876">
            <w:r>
              <w:rPr>
                <w:webHidden/>
                <w:rStyle w:val="IndexLink"/>
                <w:rtl w:val="true"/>
              </w:rPr>
              <w:t xml:space="preserve">دلالة </w:t>
            </w:r>
            <w:r>
              <w:rPr>
                <w:rStyle w:val="IndexLink"/>
                <w:rtl w:val="true"/>
              </w:rPr>
              <w:t>(</w:t>
            </w:r>
            <w:r>
              <w:rPr>
                <w:rStyle w:val="IndexLink"/>
                <w:rtl w:val="true"/>
              </w:rPr>
              <w:t xml:space="preserve">وَ صٰالِحُ الْمُؤْمِنِينَ </w:t>
            </w:r>
            <w:r>
              <w:rPr>
                <w:rStyle w:val="IndexLink"/>
                <w:rtl w:val="true"/>
              </w:rPr>
              <w:t xml:space="preserve">) </w:t>
            </w:r>
            <w:r>
              <w:rPr>
                <w:rStyle w:val="IndexLink"/>
                <w:rtl w:val="true"/>
              </w:rPr>
              <w:t>علىٰ أنّ أمير المؤمنين عليه السلام أصلح القوم</w:t>
            </w:r>
            <w:r>
              <w:rPr>
                <w:rStyle w:val="IndexLink"/>
                <w:rtl w:val="true"/>
              </w:rPr>
              <w:tab/>
            </w:r>
            <w:r>
              <w:rPr>
                <w:rStyle w:val="IndexLink"/>
              </w:rPr>
              <w:t>128</w:t>
            </w:r>
          </w:hyperlink>
        </w:p>
        <w:p>
          <w:pPr>
            <w:pStyle w:val="Contents4"/>
            <w:tabs>
              <w:tab w:val="clear" w:pos="8176"/>
              <w:tab w:val="right" w:pos="9026" w:leader="dot"/>
            </w:tabs>
            <w:rPr/>
          </w:pPr>
          <w:hyperlink w:anchor="__RefHeading___Toc964137_2320776876">
            <w:r>
              <w:rPr>
                <w:webHidden/>
                <w:rStyle w:val="IndexLink"/>
                <w:rtl w:val="true"/>
              </w:rPr>
              <w:t>الدليل السادس آية المُباهَلة</w:t>
            </w:r>
            <w:r>
              <w:rPr>
                <w:rStyle w:val="IndexLink"/>
                <w:rtl w:val="true"/>
              </w:rPr>
              <w:tab/>
            </w:r>
            <w:r>
              <w:rPr>
                <w:rStyle w:val="IndexLink"/>
              </w:rPr>
              <w:t>132</w:t>
            </w:r>
          </w:hyperlink>
        </w:p>
        <w:p>
          <w:pPr>
            <w:pStyle w:val="Contents5"/>
            <w:tabs>
              <w:tab w:val="clear" w:pos="7892"/>
              <w:tab w:val="right" w:pos="9026" w:leader="dot"/>
            </w:tabs>
            <w:rPr/>
          </w:pPr>
          <w:hyperlink w:anchor="__RefHeading___Toc964139_2320776876">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964141_2320776876">
            <w:r>
              <w:rPr>
                <w:webHidden/>
                <w:rStyle w:val="IndexLink"/>
                <w:rtl w:val="true"/>
              </w:rPr>
              <w:t>دلالة آية المباهلة على الفضل</w:t>
            </w:r>
            <w:r>
              <w:rPr>
                <w:rStyle w:val="IndexLink"/>
                <w:rtl w:val="true"/>
              </w:rPr>
              <w:tab/>
            </w:r>
            <w:r>
              <w:rPr>
                <w:rStyle w:val="IndexLink"/>
              </w:rPr>
              <w:t>134</w:t>
            </w:r>
          </w:hyperlink>
        </w:p>
        <w:p>
          <w:pPr>
            <w:pStyle w:val="Contents5"/>
            <w:tabs>
              <w:tab w:val="clear" w:pos="7892"/>
              <w:tab w:val="right" w:pos="9026" w:leader="dot"/>
            </w:tabs>
            <w:rPr/>
          </w:pPr>
          <w:hyperlink w:anchor="__RefHeading___Toc964143_2320776876">
            <w:r>
              <w:rPr>
                <w:webHidden/>
                <w:rStyle w:val="IndexLink"/>
                <w:rtl w:val="true"/>
              </w:rPr>
              <w:t>إثبات دخول أمير المؤمنين عليه السلام في المباهلة</w:t>
            </w:r>
            <w:r>
              <w:rPr>
                <w:rStyle w:val="IndexLink"/>
                <w:rtl w:val="true"/>
              </w:rPr>
              <w:tab/>
            </w:r>
            <w:r>
              <w:rPr>
                <w:rStyle w:val="IndexLink"/>
              </w:rPr>
              <w:t>134</w:t>
            </w:r>
          </w:hyperlink>
        </w:p>
        <w:p>
          <w:pPr>
            <w:pStyle w:val="Contents5"/>
            <w:tabs>
              <w:tab w:val="clear" w:pos="7892"/>
              <w:tab w:val="right" w:pos="9026" w:leader="dot"/>
            </w:tabs>
            <w:rPr/>
          </w:pPr>
          <w:hyperlink w:anchor="__RefHeading___Toc964145_2320776876">
            <w:r>
              <w:rPr>
                <w:webHidden/>
                <w:rStyle w:val="IndexLink"/>
                <w:rtl w:val="true"/>
              </w:rPr>
              <w:t>نفي أن يكون سببُ حضور أمير المؤمنين عليه السلام في المباهلة قُربَ نسبه من الرسول صلى الله عليه و آله</w:t>
            </w:r>
            <w:r>
              <w:rPr>
                <w:rStyle w:val="IndexLink"/>
                <w:rtl w:val="true"/>
              </w:rPr>
              <w:tab/>
            </w:r>
            <w:r>
              <w:rPr>
                <w:rStyle w:val="IndexLink"/>
              </w:rPr>
              <w:t>135</w:t>
            </w:r>
          </w:hyperlink>
        </w:p>
        <w:p>
          <w:pPr>
            <w:pStyle w:val="Contents4"/>
            <w:tabs>
              <w:tab w:val="clear" w:pos="8176"/>
              <w:tab w:val="right" w:pos="9026" w:leader="dot"/>
            </w:tabs>
            <w:rPr/>
          </w:pPr>
          <w:hyperlink w:anchor="__RefHeading___Toc964147_2320776876">
            <w:r>
              <w:rPr>
                <w:webHidden/>
                <w:rStyle w:val="IndexLink"/>
                <w:rtl w:val="true"/>
              </w:rPr>
              <w:t xml:space="preserve">الدليل السابع آية </w:t>
            </w:r>
            <w:r>
              <w:rPr>
                <w:rStyle w:val="IndexLink"/>
                <w:rtl w:val="true"/>
              </w:rPr>
              <w:t>(</w:t>
            </w:r>
            <w:r>
              <w:rPr>
                <w:rStyle w:val="IndexLink"/>
                <w:rtl w:val="true"/>
              </w:rPr>
              <w:t xml:space="preserve">أَطِيعُوا اللّٰهَ وَ أَطِيعُوا الرَّسُولَ وَ أُولِي الْأَمْرِ مِنْكُمْ </w:t>
            </w:r>
            <w:r>
              <w:rPr>
                <w:rStyle w:val="IndexLink"/>
                <w:rtl w:val="true"/>
              </w:rPr>
              <w:t>)</w:t>
              <w:tab/>
            </w:r>
            <w:r>
              <w:rPr>
                <w:rStyle w:val="IndexLink"/>
              </w:rPr>
              <w:t>139</w:t>
            </w:r>
          </w:hyperlink>
        </w:p>
        <w:p>
          <w:pPr>
            <w:pStyle w:val="Contents5"/>
            <w:tabs>
              <w:tab w:val="clear" w:pos="7892"/>
              <w:tab w:val="right" w:pos="9026" w:leader="dot"/>
            </w:tabs>
            <w:rPr/>
          </w:pPr>
          <w:hyperlink w:anchor="__RefHeading___Toc964149_2320776876">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964151_2320776876">
            <w:r>
              <w:rPr>
                <w:webHidden/>
                <w:rStyle w:val="IndexLink"/>
                <w:rtl w:val="true"/>
              </w:rPr>
              <w:t>نفي دلالة الآية علىٰ إمامة أمير المؤمنين عليه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964153_2320776876">
            <w:r>
              <w:rPr>
                <w:webHidden/>
                <w:rStyle w:val="IndexLink"/>
                <w:rtl w:val="true"/>
              </w:rPr>
              <w:t>الدليل الثامن حديثُ الغَديرِ</w:t>
            </w:r>
            <w:r>
              <w:rPr>
                <w:rStyle w:val="IndexLink"/>
                <w:rtl w:val="true"/>
              </w:rPr>
              <w:tab/>
            </w:r>
            <w:r>
              <w:rPr>
                <w:rStyle w:val="IndexLink"/>
              </w:rPr>
              <w:t>141</w:t>
            </w:r>
          </w:hyperlink>
        </w:p>
        <w:p>
          <w:pPr>
            <w:pStyle w:val="Contents5"/>
            <w:tabs>
              <w:tab w:val="clear" w:pos="7892"/>
              <w:tab w:val="right" w:pos="9026" w:leader="dot"/>
            </w:tabs>
            <w:rPr/>
          </w:pPr>
          <w:hyperlink w:anchor="__RefHeading___Toc964155_2320776876">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964157_2320776876">
            <w:r>
              <w:rPr>
                <w:webHidden/>
                <w:rStyle w:val="IndexLink"/>
                <w:rtl w:val="true"/>
              </w:rPr>
              <w:t>مقدّمة في بيان تقريرات الاستدلال بحديث الغدير على الإمامة</w:t>
            </w:r>
            <w:r>
              <w:rPr>
                <w:rStyle w:val="IndexLink"/>
                <w:rtl w:val="true"/>
              </w:rPr>
              <w:tab/>
            </w:r>
            <w:r>
              <w:rPr>
                <w:rStyle w:val="IndexLink"/>
              </w:rPr>
              <w:t>145</w:t>
            </w:r>
          </w:hyperlink>
        </w:p>
        <w:p>
          <w:pPr>
            <w:pStyle w:val="Contents6"/>
            <w:tabs>
              <w:tab w:val="clear" w:pos="7609"/>
              <w:tab w:val="right" w:pos="9026" w:leader="dot"/>
            </w:tabs>
            <w:rPr/>
          </w:pPr>
          <w:hyperlink w:anchor="__RefHeading___Toc964159_2320776876">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964161_2320776876">
            <w:r>
              <w:rPr>
                <w:webHidden/>
                <w:rStyle w:val="IndexLink"/>
                <w:rtl w:val="true"/>
              </w:rPr>
              <w:t>التقرير الأوّل</w:t>
            </w:r>
            <w:r>
              <w:rPr>
                <w:rStyle w:val="IndexLink"/>
                <w:rtl w:val="true"/>
              </w:rPr>
              <w:t xml:space="preserve">: </w:t>
            </w:r>
            <w:r>
              <w:rPr>
                <w:rStyle w:val="IndexLink"/>
                <w:rtl w:val="true"/>
              </w:rPr>
              <w:t>الاستدلال بمقدّمة الحديث</w:t>
            </w:r>
            <w:r>
              <w:rPr>
                <w:rStyle w:val="IndexLink"/>
                <w:rtl w:val="true"/>
              </w:rPr>
              <w:tab/>
            </w:r>
            <w:r>
              <w:rPr>
                <w:rStyle w:val="IndexLink"/>
              </w:rPr>
              <w:t>145</w:t>
            </w:r>
          </w:hyperlink>
        </w:p>
        <w:p>
          <w:pPr>
            <w:pStyle w:val="Contents6"/>
            <w:tabs>
              <w:tab w:val="clear" w:pos="7609"/>
              <w:tab w:val="right" w:pos="9026" w:leader="dot"/>
            </w:tabs>
            <w:rPr/>
          </w:pPr>
          <w:hyperlink w:anchor="__RefHeading___Toc964163_2320776876">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964165_2320776876">
            <w:r>
              <w:rPr>
                <w:webHidden/>
                <w:rStyle w:val="IndexLink"/>
                <w:rtl w:val="true"/>
              </w:rPr>
              <w:t>البحث الأوّل</w:t>
            </w:r>
            <w:r>
              <w:rPr>
                <w:rStyle w:val="IndexLink"/>
                <w:rtl w:val="true"/>
              </w:rPr>
              <w:t xml:space="preserve">: </w:t>
            </w:r>
            <w:r>
              <w:rPr>
                <w:rStyle w:val="IndexLink"/>
                <w:rtl w:val="true"/>
              </w:rPr>
              <w:t>بيان صحّة حديث الغدير و تواتره</w:t>
            </w:r>
            <w:r>
              <w:rPr>
                <w:rStyle w:val="IndexLink"/>
                <w:rtl w:val="true"/>
              </w:rPr>
              <w:tab/>
            </w:r>
            <w:r>
              <w:rPr>
                <w:rStyle w:val="IndexLink"/>
              </w:rPr>
              <w:t>147</w:t>
            </w:r>
          </w:hyperlink>
        </w:p>
        <w:p>
          <w:pPr>
            <w:pStyle w:val="Contents6"/>
            <w:tabs>
              <w:tab w:val="clear" w:pos="7609"/>
              <w:tab w:val="right" w:pos="9026" w:leader="dot"/>
            </w:tabs>
            <w:rPr/>
          </w:pPr>
          <w:hyperlink w:anchor="__RefHeading___Toc964167_2320776876">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964169_2320776876">
            <w:r>
              <w:rPr>
                <w:webHidden/>
                <w:rStyle w:val="IndexLink"/>
                <w:rtl w:val="true"/>
              </w:rPr>
              <w:t>نفي أن يكون أحدٌ شكّ في صحّة حديث الغدير أو اعتقد بطلانه</w:t>
            </w:r>
            <w:r>
              <w:rPr>
                <w:rStyle w:val="IndexLink"/>
                <w:rtl w:val="true"/>
              </w:rPr>
              <w:tab/>
            </w:r>
            <w:r>
              <w:rPr>
                <w:rStyle w:val="IndexLink"/>
              </w:rPr>
              <w:t>149</w:t>
            </w:r>
          </w:hyperlink>
        </w:p>
        <w:p>
          <w:pPr>
            <w:pStyle w:val="Contents6"/>
            <w:tabs>
              <w:tab w:val="clear" w:pos="7609"/>
              <w:tab w:val="right" w:pos="9026" w:leader="dot"/>
            </w:tabs>
            <w:rPr/>
          </w:pPr>
          <w:hyperlink w:anchor="__RefHeading___Toc964171_2320776876">
            <w:r>
              <w:rPr>
                <w:webHidden/>
                <w:rStyle w:val="IndexLink"/>
                <w:rtl w:val="true"/>
              </w:rPr>
              <w:t>الاستدلال علىٰ صحّة حديث الغدير بالاحتجاج به في الشورىٰ</w:t>
            </w:r>
            <w:r>
              <w:rPr>
                <w:rStyle w:val="IndexLink"/>
                <w:rtl w:val="true"/>
              </w:rPr>
              <w:tab/>
            </w:r>
            <w:r>
              <w:rPr>
                <w:rStyle w:val="IndexLink"/>
              </w:rPr>
              <w:t>154</w:t>
            </w:r>
          </w:hyperlink>
        </w:p>
        <w:p>
          <w:pPr>
            <w:pStyle w:val="Contents6"/>
            <w:tabs>
              <w:tab w:val="clear" w:pos="7609"/>
              <w:tab w:val="right" w:pos="9026" w:leader="dot"/>
            </w:tabs>
            <w:rPr/>
          </w:pPr>
          <w:hyperlink w:anchor="__RefHeading___Toc964173_2320776876">
            <w:r>
              <w:rPr>
                <w:webHidden/>
                <w:rStyle w:val="IndexLink"/>
                <w:rtl w:val="true"/>
              </w:rPr>
              <w:t>بيان صحّة مقدّمة حديث الغدير</w:t>
            </w:r>
            <w:r>
              <w:rPr>
                <w:rStyle w:val="IndexLink"/>
                <w:rtl w:val="true"/>
              </w:rPr>
              <w:tab/>
            </w:r>
            <w:r>
              <w:rPr>
                <w:rStyle w:val="IndexLink"/>
              </w:rPr>
              <w:t>156</w:t>
            </w:r>
          </w:hyperlink>
        </w:p>
        <w:p>
          <w:pPr>
            <w:pStyle w:val="Contents6"/>
            <w:tabs>
              <w:tab w:val="clear" w:pos="7609"/>
              <w:tab w:val="right" w:pos="9026" w:leader="dot"/>
            </w:tabs>
            <w:rPr/>
          </w:pPr>
          <w:hyperlink w:anchor="__RefHeading___Toc964175_2320776876">
            <w:r>
              <w:rPr>
                <w:webHidden/>
                <w:rStyle w:val="IndexLink"/>
                <w:rtl w:val="true"/>
              </w:rPr>
              <w:t>البحث الثاني</w:t>
            </w:r>
            <w:r>
              <w:rPr>
                <w:rStyle w:val="IndexLink"/>
                <w:rtl w:val="true"/>
              </w:rPr>
              <w:t xml:space="preserve">: </w:t>
            </w:r>
            <w:r>
              <w:rPr>
                <w:rStyle w:val="IndexLink"/>
                <w:rtl w:val="true"/>
              </w:rPr>
              <w:t xml:space="preserve">دلالة لفظة </w:t>
            </w:r>
            <w:r>
              <w:rPr>
                <w:rStyle w:val="IndexLink"/>
                <w:rtl w:val="true"/>
              </w:rPr>
              <w:t>«</w:t>
            </w:r>
            <w:r>
              <w:rPr>
                <w:rStyle w:val="IndexLink"/>
                <w:rtl w:val="true"/>
              </w:rPr>
              <w:t xml:space="preserve">مولىٰ </w:t>
            </w:r>
            <w:r>
              <w:rPr>
                <w:rStyle w:val="IndexLink"/>
                <w:rtl w:val="true"/>
              </w:rPr>
              <w:t xml:space="preserve">» </w:t>
            </w:r>
            <w:r>
              <w:rPr>
                <w:rStyle w:val="IndexLink"/>
                <w:rtl w:val="true"/>
              </w:rPr>
              <w:t xml:space="preserve">علىٰ معنىٰ </w:t>
            </w:r>
            <w:r>
              <w:rPr>
                <w:rStyle w:val="IndexLink"/>
                <w:rtl w:val="true"/>
              </w:rPr>
              <w:t>«</w:t>
            </w:r>
            <w:r>
              <w:rPr>
                <w:rStyle w:val="IndexLink"/>
                <w:rtl w:val="true"/>
              </w:rPr>
              <w:t xml:space="preserve">أولىٰ </w:t>
            </w:r>
            <w:r>
              <w:rPr>
                <w:rStyle w:val="IndexLink"/>
                <w:rtl w:val="true"/>
              </w:rPr>
              <w:t>»</w:t>
              <w:tab/>
            </w:r>
            <w:r>
              <w:rPr>
                <w:rStyle w:val="IndexLink"/>
              </w:rPr>
              <w:t>159</w:t>
            </w:r>
          </w:hyperlink>
        </w:p>
        <w:p>
          <w:pPr>
            <w:pStyle w:val="Contents6"/>
            <w:tabs>
              <w:tab w:val="clear" w:pos="7609"/>
              <w:tab w:val="right" w:pos="9026" w:leader="dot"/>
            </w:tabs>
            <w:rPr/>
          </w:pPr>
          <w:hyperlink w:anchor="__RefHeading___Toc964177_2320776876">
            <w:r>
              <w:rPr>
                <w:webHidden/>
                <w:rStyle w:val="IndexLink"/>
                <w:rtl w:val="true"/>
              </w:rPr>
              <w:t>البحث الثالث</w:t>
            </w:r>
            <w:r>
              <w:rPr>
                <w:rStyle w:val="IndexLink"/>
                <w:rtl w:val="true"/>
              </w:rPr>
              <w:t xml:space="preserve">: </w:t>
            </w:r>
            <w:r>
              <w:rPr>
                <w:rStyle w:val="IndexLink"/>
                <w:rtl w:val="true"/>
              </w:rPr>
              <w:t xml:space="preserve">دلالة لفظة </w:t>
            </w:r>
            <w:r>
              <w:rPr>
                <w:rStyle w:val="IndexLink"/>
                <w:rtl w:val="true"/>
              </w:rPr>
              <w:t>«</w:t>
            </w:r>
            <w:r>
              <w:rPr>
                <w:rStyle w:val="IndexLink"/>
                <w:rtl w:val="true"/>
              </w:rPr>
              <w:t xml:space="preserve">مولىٰ </w:t>
            </w:r>
            <w:r>
              <w:rPr>
                <w:rStyle w:val="IndexLink"/>
                <w:rtl w:val="true"/>
              </w:rPr>
              <w:t xml:space="preserve">» </w:t>
            </w:r>
            <w:r>
              <w:rPr>
                <w:rStyle w:val="IndexLink"/>
                <w:rtl w:val="true"/>
              </w:rPr>
              <w:t xml:space="preserve">في حديث الغدير علىٰ معنىٰ </w:t>
            </w:r>
            <w:r>
              <w:rPr>
                <w:rStyle w:val="IndexLink"/>
                <w:rtl w:val="true"/>
              </w:rPr>
              <w:t>«</w:t>
            </w:r>
            <w:r>
              <w:rPr>
                <w:rStyle w:val="IndexLink"/>
                <w:rtl w:val="true"/>
              </w:rPr>
              <w:t xml:space="preserve">أولىٰ </w:t>
            </w:r>
            <w:r>
              <w:rPr>
                <w:rStyle w:val="IndexLink"/>
                <w:rtl w:val="true"/>
              </w:rPr>
              <w:t>»</w:t>
              <w:tab/>
            </w:r>
            <w:r>
              <w:rPr>
                <w:rStyle w:val="IndexLink"/>
              </w:rPr>
              <w:t>167</w:t>
            </w:r>
          </w:hyperlink>
        </w:p>
        <w:p>
          <w:pPr>
            <w:pStyle w:val="Contents6"/>
            <w:tabs>
              <w:tab w:val="clear" w:pos="7609"/>
              <w:tab w:val="right" w:pos="9026" w:leader="dot"/>
            </w:tabs>
            <w:rPr/>
          </w:pPr>
          <w:hyperlink w:anchor="__RefHeading___Toc964179_2320776876">
            <w:r>
              <w:rPr>
                <w:webHidden/>
                <w:rStyle w:val="IndexLink"/>
                <w:rtl w:val="true"/>
              </w:rPr>
              <w:t>البحث الرابع</w:t>
            </w:r>
            <w:r>
              <w:rPr>
                <w:rStyle w:val="IndexLink"/>
                <w:rtl w:val="true"/>
              </w:rPr>
              <w:t xml:space="preserve">: </w:t>
            </w:r>
            <w:r>
              <w:rPr>
                <w:rStyle w:val="IndexLink"/>
                <w:rtl w:val="true"/>
              </w:rPr>
              <w:t xml:space="preserve">دلالة لفظة </w:t>
            </w:r>
            <w:r>
              <w:rPr>
                <w:rStyle w:val="IndexLink"/>
                <w:rtl w:val="true"/>
              </w:rPr>
              <w:t>«</w:t>
            </w:r>
            <w:r>
              <w:rPr>
                <w:rStyle w:val="IndexLink"/>
                <w:rtl w:val="true"/>
              </w:rPr>
              <w:t xml:space="preserve">أولىٰ </w:t>
            </w:r>
            <w:r>
              <w:rPr>
                <w:rStyle w:val="IndexLink"/>
                <w:rtl w:val="true"/>
              </w:rPr>
              <w:t xml:space="preserve">» </w:t>
            </w:r>
            <w:r>
              <w:rPr>
                <w:rStyle w:val="IndexLink"/>
                <w:rtl w:val="true"/>
              </w:rPr>
              <w:t>علىٰ معنى الإمامة</w:t>
            </w:r>
            <w:r>
              <w:rPr>
                <w:rStyle w:val="IndexLink"/>
                <w:rtl w:val="true"/>
              </w:rPr>
              <w:tab/>
            </w:r>
            <w:r>
              <w:rPr>
                <w:rStyle w:val="IndexLink"/>
              </w:rPr>
              <w:t>171</w:t>
            </w:r>
          </w:hyperlink>
        </w:p>
        <w:p>
          <w:pPr>
            <w:pStyle w:val="Contents6"/>
            <w:tabs>
              <w:tab w:val="clear" w:pos="7609"/>
              <w:tab w:val="right" w:pos="9026" w:leader="dot"/>
            </w:tabs>
            <w:rPr/>
          </w:pPr>
          <w:hyperlink w:anchor="__RefHeading___Toc964181_2320776876">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964183_2320776876">
            <w:r>
              <w:rPr>
                <w:webHidden/>
                <w:rStyle w:val="IndexLink"/>
                <w:rtl w:val="true"/>
              </w:rPr>
              <w:t>بيان عموم إمامة أمير المؤمنين عليه السلام لكلّ ما يقوم به الأئمّة</w:t>
            </w:r>
            <w:r>
              <w:rPr>
                <w:rStyle w:val="IndexLink"/>
                <w:rtl w:val="true"/>
              </w:rPr>
              <w:tab/>
            </w:r>
            <w:r>
              <w:rPr>
                <w:rStyle w:val="IndexLink"/>
              </w:rPr>
              <w:t>174</w:t>
            </w:r>
          </w:hyperlink>
        </w:p>
        <w:p>
          <w:pPr>
            <w:pStyle w:val="Contents6"/>
            <w:tabs>
              <w:tab w:val="clear" w:pos="7609"/>
              <w:tab w:val="right" w:pos="9026" w:leader="dot"/>
            </w:tabs>
            <w:rPr/>
          </w:pPr>
          <w:hyperlink w:anchor="__RefHeading___Toc964185_2320776876">
            <w:r>
              <w:rPr>
                <w:webHidden/>
                <w:rStyle w:val="IndexLink"/>
                <w:rtl w:val="true"/>
              </w:rPr>
              <w:t>بيان عموم إمامة أمير المؤمنين عليه السلام لجميع الخَلق</w:t>
            </w:r>
            <w:r>
              <w:rPr>
                <w:rStyle w:val="IndexLink"/>
                <w:rtl w:val="true"/>
              </w:rPr>
              <w:tab/>
            </w:r>
            <w:r>
              <w:rPr>
                <w:rStyle w:val="IndexLink"/>
              </w:rPr>
              <w:t>175</w:t>
            </w:r>
          </w:hyperlink>
        </w:p>
        <w:p>
          <w:pPr>
            <w:pStyle w:val="Contents6"/>
            <w:tabs>
              <w:tab w:val="clear" w:pos="7609"/>
              <w:tab w:val="right" w:pos="9026" w:leader="dot"/>
            </w:tabs>
            <w:rPr/>
          </w:pPr>
          <w:hyperlink w:anchor="__RefHeading___Toc964187_2320776876">
            <w:r>
              <w:rPr>
                <w:webHidden/>
                <w:rStyle w:val="IndexLink"/>
                <w:rtl w:val="true"/>
              </w:rPr>
              <w:t>التقرير الثاني</w:t>
            </w:r>
            <w:r>
              <w:rPr>
                <w:rStyle w:val="IndexLink"/>
                <w:rtl w:val="true"/>
              </w:rPr>
              <w:t xml:space="preserve">: </w:t>
            </w:r>
            <w:r>
              <w:rPr>
                <w:rStyle w:val="IndexLink"/>
                <w:rtl w:val="true"/>
              </w:rPr>
              <w:t>طريقة التقسيم</w:t>
            </w:r>
            <w:r>
              <w:rPr>
                <w:rStyle w:val="IndexLink"/>
                <w:rtl w:val="true"/>
              </w:rPr>
              <w:tab/>
            </w:r>
            <w:r>
              <w:rPr>
                <w:rStyle w:val="IndexLink"/>
              </w:rPr>
              <w:t>176</w:t>
            </w:r>
          </w:hyperlink>
        </w:p>
        <w:p>
          <w:pPr>
            <w:pStyle w:val="Contents6"/>
            <w:tabs>
              <w:tab w:val="clear" w:pos="7609"/>
              <w:tab w:val="right" w:pos="9026" w:leader="dot"/>
            </w:tabs>
            <w:rPr/>
          </w:pPr>
          <w:hyperlink w:anchor="__RefHeading___Toc964189_2320776876">
            <w:r>
              <w:rPr>
                <w:webHidden/>
                <w:rStyle w:val="IndexLink"/>
                <w:rtl w:val="true"/>
              </w:rPr>
              <w:t>التقرير الثالث</w:t>
            </w:r>
            <w:r>
              <w:rPr>
                <w:rStyle w:val="IndexLink"/>
                <w:rtl w:val="true"/>
              </w:rPr>
              <w:t xml:space="preserve">: </w:t>
            </w:r>
            <w:r>
              <w:rPr>
                <w:rStyle w:val="IndexLink"/>
                <w:rtl w:val="true"/>
              </w:rPr>
              <w:t>طريقة الإطلاق</w:t>
            </w:r>
            <w:r>
              <w:rPr>
                <w:rStyle w:val="IndexLink"/>
                <w:rtl w:val="true"/>
              </w:rPr>
              <w:tab/>
            </w:r>
            <w:r>
              <w:rPr>
                <w:rStyle w:val="IndexLink"/>
              </w:rPr>
              <w:t>179</w:t>
            </w:r>
          </w:hyperlink>
        </w:p>
        <w:p>
          <w:pPr>
            <w:pStyle w:val="Contents6"/>
            <w:tabs>
              <w:tab w:val="clear" w:pos="7609"/>
              <w:tab w:val="right" w:pos="9026" w:leader="dot"/>
            </w:tabs>
            <w:rPr/>
          </w:pPr>
          <w:hyperlink w:anchor="__RefHeading___Toc964191_2320776876">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964193_2320776876">
            <w:r>
              <w:rPr>
                <w:webHidden/>
                <w:rStyle w:val="IndexLink"/>
                <w:rtl w:val="true"/>
              </w:rPr>
              <w:t>مناقشة ما أورده القاضي علىٰ تقريرات الاستدلال بحديث الغدير</w:t>
            </w:r>
            <w:r>
              <w:rPr>
                <w:rStyle w:val="IndexLink"/>
                <w:rtl w:val="true"/>
              </w:rPr>
              <w:tab/>
            </w:r>
            <w:r>
              <w:rPr>
                <w:rStyle w:val="IndexLink"/>
              </w:rPr>
              <w:t>180</w:t>
            </w:r>
          </w:hyperlink>
        </w:p>
        <w:p>
          <w:pPr>
            <w:pStyle w:val="Contents6"/>
            <w:tabs>
              <w:tab w:val="clear" w:pos="7609"/>
              <w:tab w:val="right" w:pos="9026" w:leader="dot"/>
            </w:tabs>
            <w:rPr/>
          </w:pPr>
          <w:hyperlink w:anchor="__RefHeading___Toc964195_2320776876">
            <w:r>
              <w:rPr>
                <w:webHidden/>
                <w:rStyle w:val="IndexLink"/>
                <w:rtl w:val="true"/>
              </w:rPr>
              <w:t xml:space="preserve">نفي دلالة </w:t>
            </w:r>
            <w:r>
              <w:rPr>
                <w:rStyle w:val="IndexLink"/>
                <w:rtl w:val="true"/>
              </w:rPr>
              <w:t>«</w:t>
            </w:r>
            <w:r>
              <w:rPr>
                <w:rStyle w:val="IndexLink"/>
                <w:rtl w:val="true"/>
              </w:rPr>
              <w:t xml:space="preserve">مولىٰ </w:t>
            </w:r>
            <w:r>
              <w:rPr>
                <w:rStyle w:val="IndexLink"/>
                <w:rtl w:val="true"/>
              </w:rPr>
              <w:t xml:space="preserve">» </w:t>
            </w:r>
            <w:r>
              <w:rPr>
                <w:rStyle w:val="IndexLink"/>
                <w:rtl w:val="true"/>
              </w:rPr>
              <w:t>علىٰ إيجاب الموالاة، مع القطع على الباطن، و في جميع الأوقات</w:t>
            </w:r>
            <w:r>
              <w:rPr>
                <w:rStyle w:val="IndexLink"/>
                <w:rtl w:val="true"/>
              </w:rPr>
              <w:tab/>
            </w:r>
            <w:r>
              <w:rPr>
                <w:rStyle w:val="IndexLink"/>
              </w:rPr>
              <w:t>183</w:t>
            </w:r>
          </w:hyperlink>
        </w:p>
        <w:p>
          <w:pPr>
            <w:pStyle w:val="Contents6"/>
            <w:tabs>
              <w:tab w:val="clear" w:pos="7609"/>
              <w:tab w:val="right" w:pos="9026" w:leader="dot"/>
            </w:tabs>
            <w:rPr/>
          </w:pPr>
          <w:hyperlink w:anchor="__RefHeading___Toc964197_2320776876">
            <w:r>
              <w:rPr>
                <w:webHidden/>
                <w:rStyle w:val="IndexLink"/>
                <w:rtl w:val="true"/>
              </w:rPr>
              <w:t>بيان عموم الإمامة لكلّ الخلق و الأوقات، بناء علىٰ تفسير الولاية في الحديث بالإمامة</w:t>
            </w:r>
            <w:r>
              <w:rPr>
                <w:rStyle w:val="IndexLink"/>
                <w:rtl w:val="true"/>
              </w:rPr>
              <w:tab/>
            </w:r>
            <w:r>
              <w:rPr>
                <w:rStyle w:val="IndexLink"/>
              </w:rPr>
              <w:t>191</w:t>
            </w:r>
          </w:hyperlink>
        </w:p>
        <w:p>
          <w:pPr>
            <w:pStyle w:val="Contents6"/>
            <w:tabs>
              <w:tab w:val="clear" w:pos="7609"/>
              <w:tab w:val="right" w:pos="9026" w:leader="dot"/>
            </w:tabs>
            <w:rPr/>
          </w:pPr>
          <w:hyperlink w:anchor="__RefHeading___Toc964199_2320776876">
            <w:r>
              <w:rPr>
                <w:webHidden/>
                <w:rStyle w:val="IndexLink"/>
                <w:rtl w:val="true"/>
              </w:rPr>
              <w:t>تقدُّم منزلة الإمامة علىٰ منزلة الموالاة المخصوصة</w:t>
            </w:r>
            <w:r>
              <w:rPr>
                <w:rStyle w:val="IndexLink"/>
                <w:rtl w:val="true"/>
              </w:rPr>
              <w:tab/>
            </w:r>
            <w:r>
              <w:rPr>
                <w:rStyle w:val="IndexLink"/>
              </w:rPr>
              <w:t>192</w:t>
            </w:r>
          </w:hyperlink>
        </w:p>
        <w:p>
          <w:pPr>
            <w:pStyle w:val="Contents6"/>
            <w:tabs>
              <w:tab w:val="clear" w:pos="7609"/>
              <w:tab w:val="right" w:pos="9026" w:leader="dot"/>
            </w:tabs>
            <w:rPr/>
          </w:pPr>
          <w:hyperlink w:anchor="__RefHeading___Toc964201_2320776876">
            <w:r>
              <w:rPr>
                <w:webHidden/>
                <w:rStyle w:val="IndexLink"/>
                <w:rtl w:val="true"/>
              </w:rPr>
              <w:t xml:space="preserve">نفي دلالة </w:t>
            </w:r>
            <w:r>
              <w:rPr>
                <w:rStyle w:val="IndexLink"/>
                <w:rtl w:val="true"/>
              </w:rPr>
              <w:t>«</w:t>
            </w:r>
            <w:r>
              <w:rPr>
                <w:rStyle w:val="IndexLink"/>
                <w:rtl w:val="true"/>
              </w:rPr>
              <w:t xml:space="preserve">مولىٰ </w:t>
            </w:r>
            <w:r>
              <w:rPr>
                <w:rStyle w:val="IndexLink"/>
                <w:rtl w:val="true"/>
              </w:rPr>
              <w:t xml:space="preserve">» </w:t>
            </w:r>
            <w:r>
              <w:rPr>
                <w:rStyle w:val="IndexLink"/>
                <w:rtl w:val="true"/>
              </w:rPr>
              <w:t xml:space="preserve">في حديث الغدير على </w:t>
            </w:r>
            <w:r>
              <w:rPr>
                <w:rStyle w:val="IndexLink"/>
                <w:rtl w:val="true"/>
              </w:rPr>
              <w:t>«</w:t>
            </w:r>
            <w:r>
              <w:rPr>
                <w:rStyle w:val="IndexLink"/>
                <w:rtl w:val="true"/>
              </w:rPr>
              <w:t>الموالاة</w:t>
            </w:r>
            <w:r>
              <w:rPr>
                <w:rStyle w:val="IndexLink"/>
                <w:rtl w:val="true"/>
              </w:rPr>
              <w:t>»</w:t>
              <w:tab/>
            </w:r>
            <w:r>
              <w:rPr>
                <w:rStyle w:val="IndexLink"/>
              </w:rPr>
              <w:t>193</w:t>
            </w:r>
          </w:hyperlink>
        </w:p>
        <w:p>
          <w:pPr>
            <w:pStyle w:val="Contents6"/>
            <w:tabs>
              <w:tab w:val="clear" w:pos="7609"/>
              <w:tab w:val="right" w:pos="9026" w:leader="dot"/>
            </w:tabs>
            <w:rPr/>
          </w:pPr>
          <w:hyperlink w:anchor="__RefHeading___Toc964203_2320776876">
            <w:r>
              <w:rPr>
                <w:webHidden/>
                <w:rStyle w:val="IndexLink"/>
                <w:rtl w:val="true"/>
              </w:rPr>
              <w:t>نفي شمول فرض طاعة أمير المؤمنين عليه السلام لحال حياة الرسول صلى الله عليه و آله</w:t>
            </w:r>
            <w:r>
              <w:rPr>
                <w:rStyle w:val="IndexLink"/>
                <w:rtl w:val="true"/>
              </w:rPr>
              <w:tab/>
            </w:r>
            <w:r>
              <w:rPr>
                <w:rStyle w:val="IndexLink"/>
              </w:rPr>
              <w:t>195</w:t>
            </w:r>
          </w:hyperlink>
        </w:p>
        <w:p>
          <w:pPr>
            <w:pStyle w:val="Contents6"/>
            <w:tabs>
              <w:tab w:val="clear" w:pos="7609"/>
              <w:tab w:val="right" w:pos="9026" w:leader="dot"/>
            </w:tabs>
            <w:rPr/>
          </w:pPr>
          <w:hyperlink w:anchor="__RefHeading___Toc964205_2320776876">
            <w:r>
              <w:rPr>
                <w:webHidden/>
                <w:rStyle w:val="IndexLink"/>
                <w:rtl w:val="true"/>
              </w:rPr>
              <w:t>عدم صحّة إرادة الموالاة المطلقة أو المخصوصة من حديث الغدير</w:t>
            </w:r>
            <w:r>
              <w:rPr>
                <w:rStyle w:val="IndexLink"/>
                <w:rtl w:val="true"/>
              </w:rPr>
              <w:tab/>
            </w:r>
            <w:r>
              <w:rPr>
                <w:rStyle w:val="IndexLink"/>
              </w:rPr>
              <w:t>201</w:t>
            </w:r>
          </w:hyperlink>
        </w:p>
        <w:p>
          <w:pPr>
            <w:pStyle w:val="Contents6"/>
            <w:tabs>
              <w:tab w:val="clear" w:pos="7609"/>
              <w:tab w:val="right" w:pos="9026" w:leader="dot"/>
            </w:tabs>
            <w:rPr/>
          </w:pPr>
          <w:hyperlink w:anchor="__RefHeading___Toc964207_2320776876">
            <w:r>
              <w:rPr>
                <w:webHidden/>
                <w:rStyle w:val="IndexLink"/>
                <w:rtl w:val="true"/>
              </w:rPr>
              <w:t>بيان تواتر مقدّمة حديث الغدير</w:t>
            </w:r>
            <w:r>
              <w:rPr>
                <w:rStyle w:val="IndexLink"/>
                <w:rtl w:val="true"/>
              </w:rPr>
              <w:tab/>
            </w:r>
            <w:r>
              <w:rPr>
                <w:rStyle w:val="IndexLink"/>
              </w:rPr>
              <w:t>202</w:t>
            </w:r>
          </w:hyperlink>
        </w:p>
        <w:p>
          <w:pPr>
            <w:pStyle w:val="Contents6"/>
            <w:tabs>
              <w:tab w:val="clear" w:pos="7609"/>
              <w:tab w:val="right" w:pos="9026" w:leader="dot"/>
            </w:tabs>
            <w:rPr/>
          </w:pPr>
          <w:hyperlink w:anchor="__RefHeading___Toc964209_2320776876">
            <w:r>
              <w:rPr>
                <w:webHidden/>
                <w:rStyle w:val="IndexLink"/>
                <w:rtl w:val="true"/>
              </w:rPr>
              <w:t>افتقار التقرير الأوّل لحديث الغدير إلى المقدّمة، خلافاً للثاني</w:t>
            </w:r>
            <w:r>
              <w:rPr>
                <w:rStyle w:val="IndexLink"/>
                <w:rtl w:val="true"/>
              </w:rPr>
              <w:tab/>
            </w:r>
            <w:r>
              <w:rPr>
                <w:rStyle w:val="IndexLink"/>
              </w:rPr>
              <w:t>203</w:t>
            </w:r>
          </w:hyperlink>
        </w:p>
        <w:p>
          <w:pPr>
            <w:pStyle w:val="Contents6"/>
            <w:tabs>
              <w:tab w:val="clear" w:pos="7609"/>
              <w:tab w:val="right" w:pos="9026" w:leader="dot"/>
            </w:tabs>
            <w:rPr/>
          </w:pPr>
          <w:hyperlink w:anchor="__RefHeading___Toc964211_2320776876">
            <w:r>
              <w:rPr>
                <w:webHidden/>
                <w:rStyle w:val="IndexLink"/>
                <w:rtl w:val="true"/>
              </w:rPr>
              <w:t>دلالة مقدّمة حديث الغدير علىٰ معنىٰ فرض الطاعة</w:t>
            </w:r>
            <w:r>
              <w:rPr>
                <w:rStyle w:val="IndexLink"/>
                <w:rtl w:val="true"/>
              </w:rPr>
              <w:tab/>
            </w:r>
            <w:r>
              <w:rPr>
                <w:rStyle w:val="IndexLink"/>
              </w:rPr>
              <w:t>206</w:t>
            </w:r>
          </w:hyperlink>
        </w:p>
        <w:p>
          <w:pPr>
            <w:pStyle w:val="Contents6"/>
            <w:tabs>
              <w:tab w:val="clear" w:pos="7609"/>
              <w:tab w:val="right" w:pos="9026" w:leader="dot"/>
            </w:tabs>
            <w:rPr/>
          </w:pPr>
          <w:hyperlink w:anchor="__RefHeading___Toc964213_2320776876">
            <w:r>
              <w:rPr>
                <w:webHidden/>
                <w:rStyle w:val="IndexLink"/>
                <w:rtl w:val="true"/>
              </w:rPr>
              <w:t>مشاركة الأُمّة للنبيّ و الإمام بمعنىً خاصّ من المشاركة</w:t>
            </w:r>
            <w:r>
              <w:rPr>
                <w:rStyle w:val="IndexLink"/>
                <w:rtl w:val="true"/>
              </w:rPr>
              <w:tab/>
            </w:r>
            <w:r>
              <w:rPr>
                <w:rStyle w:val="IndexLink"/>
              </w:rPr>
              <w:t>207</w:t>
            </w:r>
          </w:hyperlink>
        </w:p>
        <w:p>
          <w:pPr>
            <w:pStyle w:val="Contents6"/>
            <w:tabs>
              <w:tab w:val="clear" w:pos="7609"/>
              <w:tab w:val="right" w:pos="9026" w:leader="dot"/>
            </w:tabs>
            <w:rPr/>
          </w:pPr>
          <w:hyperlink w:anchor="__RefHeading___Toc964215_2320776876">
            <w:r>
              <w:rPr>
                <w:webHidden/>
                <w:rStyle w:val="IndexLink"/>
                <w:rtl w:val="true"/>
              </w:rPr>
              <w:t>إرجاع معنى الإشفاق و الرحمة إلىٰ معنىٰ فرض الطاعة</w:t>
            </w:r>
            <w:r>
              <w:rPr>
                <w:rStyle w:val="IndexLink"/>
                <w:rtl w:val="true"/>
              </w:rPr>
              <w:tab/>
            </w:r>
            <w:r>
              <w:rPr>
                <w:rStyle w:val="IndexLink"/>
              </w:rPr>
              <w:t>209</w:t>
            </w:r>
          </w:hyperlink>
        </w:p>
        <w:p>
          <w:pPr>
            <w:pStyle w:val="Contents6"/>
            <w:tabs>
              <w:tab w:val="clear" w:pos="7609"/>
              <w:tab w:val="right" w:pos="9026" w:leader="dot"/>
            </w:tabs>
            <w:rPr/>
          </w:pPr>
          <w:hyperlink w:anchor="__RefHeading___Toc964217_2320776876">
            <w:r>
              <w:rPr>
                <w:webHidden/>
                <w:rStyle w:val="IndexLink"/>
                <w:rtl w:val="true"/>
              </w:rPr>
              <w:t>نفي أن يكون فرض الطاعة غيرَ مقصود في مقدّمة حديث الغدير</w:t>
            </w:r>
            <w:r>
              <w:rPr>
                <w:rStyle w:val="IndexLink"/>
                <w:rtl w:val="true"/>
              </w:rPr>
              <w:tab/>
            </w:r>
            <w:r>
              <w:rPr>
                <w:rStyle w:val="IndexLink"/>
              </w:rPr>
              <w:t>210</w:t>
            </w:r>
          </w:hyperlink>
        </w:p>
        <w:p>
          <w:pPr>
            <w:pStyle w:val="Contents6"/>
            <w:tabs>
              <w:tab w:val="clear" w:pos="7609"/>
              <w:tab w:val="right" w:pos="9026" w:leader="dot"/>
            </w:tabs>
            <w:rPr/>
          </w:pPr>
          <w:hyperlink w:anchor="__RefHeading___Toc964219_2320776876">
            <w:r>
              <w:rPr>
                <w:webHidden/>
                <w:rStyle w:val="IndexLink"/>
                <w:rtl w:val="true"/>
              </w:rPr>
              <w:t>نفي لزوم تفسير مقدّمة الحديث بالإمامة</w:t>
            </w:r>
            <w:r>
              <w:rPr>
                <w:rStyle w:val="IndexLink"/>
                <w:rtl w:val="true"/>
              </w:rPr>
              <w:tab/>
            </w:r>
            <w:r>
              <w:rPr>
                <w:rStyle w:val="IndexLink"/>
              </w:rPr>
              <w:t>210</w:t>
            </w:r>
          </w:hyperlink>
        </w:p>
        <w:p>
          <w:pPr>
            <w:pStyle w:val="Contents6"/>
            <w:tabs>
              <w:tab w:val="clear" w:pos="7609"/>
              <w:tab w:val="right" w:pos="9026" w:leader="dot"/>
            </w:tabs>
            <w:rPr/>
          </w:pPr>
          <w:hyperlink w:anchor="__RefHeading___Toc964221_2320776876">
            <w:r>
              <w:rPr>
                <w:webHidden/>
                <w:rStyle w:val="IndexLink"/>
                <w:rtl w:val="true"/>
              </w:rPr>
              <w:t>التقرير الرابع</w:t>
            </w:r>
            <w:r>
              <w:rPr>
                <w:rStyle w:val="IndexLink"/>
                <w:rtl w:val="true"/>
              </w:rPr>
              <w:t xml:space="preserve">: </w:t>
            </w:r>
            <w:r>
              <w:rPr>
                <w:rStyle w:val="IndexLink"/>
                <w:rtl w:val="true"/>
              </w:rPr>
              <w:t>طريقة الإجماع</w:t>
            </w:r>
            <w:r>
              <w:rPr>
                <w:rStyle w:val="IndexLink"/>
                <w:rtl w:val="true"/>
              </w:rPr>
              <w:tab/>
            </w:r>
            <w:r>
              <w:rPr>
                <w:rStyle w:val="IndexLink"/>
              </w:rPr>
              <w:t>213</w:t>
            </w:r>
          </w:hyperlink>
        </w:p>
        <w:p>
          <w:pPr>
            <w:pStyle w:val="Contents6"/>
            <w:tabs>
              <w:tab w:val="clear" w:pos="7609"/>
              <w:tab w:val="right" w:pos="9026" w:leader="dot"/>
            </w:tabs>
            <w:rPr/>
          </w:pPr>
          <w:hyperlink w:anchor="__RefHeading___Toc964223_2320776876">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964225_2320776876">
            <w:r>
              <w:rPr>
                <w:webHidden/>
                <w:rStyle w:val="IndexLink"/>
                <w:rtl w:val="true"/>
              </w:rPr>
              <w:t>بيان الحاجة إلىٰ مقدّمة الحديث لأجل إثبات الإمامة</w:t>
            </w:r>
            <w:r>
              <w:rPr>
                <w:rStyle w:val="IndexLink"/>
                <w:rtl w:val="true"/>
              </w:rPr>
              <w:tab/>
            </w:r>
            <w:r>
              <w:rPr>
                <w:rStyle w:val="IndexLink"/>
              </w:rPr>
              <w:t>216</w:t>
            </w:r>
          </w:hyperlink>
        </w:p>
        <w:p>
          <w:pPr>
            <w:pStyle w:val="Contents6"/>
            <w:tabs>
              <w:tab w:val="clear" w:pos="7609"/>
              <w:tab w:val="right" w:pos="9026" w:leader="dot"/>
            </w:tabs>
            <w:rPr/>
          </w:pPr>
          <w:hyperlink w:anchor="__RefHeading___Toc964227_2320776876">
            <w:r>
              <w:rPr>
                <w:webHidden/>
                <w:rStyle w:val="IndexLink"/>
                <w:rtl w:val="true"/>
              </w:rPr>
              <w:t>إبطال الأخبار التي استُدِلَّ بها علىٰ سبيل المعارضة على النصّ علىٰ أبي بكر</w:t>
            </w:r>
            <w:r>
              <w:rPr>
                <w:rStyle w:val="IndexLink"/>
                <w:rtl w:val="true"/>
              </w:rPr>
              <w:tab/>
            </w:r>
            <w:r>
              <w:rPr>
                <w:rStyle w:val="IndexLink"/>
              </w:rPr>
              <w:t>221</w:t>
            </w:r>
          </w:hyperlink>
        </w:p>
        <w:p>
          <w:pPr>
            <w:pStyle w:val="Contents6"/>
            <w:tabs>
              <w:tab w:val="clear" w:pos="7609"/>
              <w:tab w:val="right" w:pos="9026" w:leader="dot"/>
            </w:tabs>
            <w:rPr/>
          </w:pPr>
          <w:hyperlink w:anchor="__RefHeading___Toc964229_2320776876">
            <w:r>
              <w:rPr>
                <w:webHidden/>
                <w:rStyle w:val="IndexLink"/>
                <w:rtl w:val="true"/>
              </w:rPr>
              <w:t>بطلان حديثَي الخُلَّة و الاقتداء</w:t>
            </w:r>
            <w:r>
              <w:rPr>
                <w:rStyle w:val="IndexLink"/>
                <w:rtl w:val="true"/>
              </w:rPr>
              <w:tab/>
            </w:r>
            <w:r>
              <w:rPr>
                <w:rStyle w:val="IndexLink"/>
              </w:rPr>
              <w:t>221</w:t>
            </w:r>
          </w:hyperlink>
        </w:p>
        <w:p>
          <w:pPr>
            <w:pStyle w:val="Contents6"/>
            <w:tabs>
              <w:tab w:val="clear" w:pos="7609"/>
              <w:tab w:val="right" w:pos="9026" w:leader="dot"/>
            </w:tabs>
            <w:rPr/>
          </w:pPr>
          <w:hyperlink w:anchor="__RefHeading___Toc964231_2320776876">
            <w:r>
              <w:rPr>
                <w:webHidden/>
                <w:rStyle w:val="IndexLink"/>
                <w:rtl w:val="true"/>
              </w:rPr>
              <w:t>بطلان دلالة حديثَي الخُلّة و الاقتداء و غيرهما على النصّ</w:t>
            </w:r>
            <w:r>
              <w:rPr>
                <w:rStyle w:val="IndexLink"/>
                <w:rtl w:val="true"/>
              </w:rPr>
              <w:tab/>
            </w:r>
            <w:r>
              <w:rPr>
                <w:rStyle w:val="IndexLink"/>
              </w:rPr>
              <w:t>227</w:t>
            </w:r>
          </w:hyperlink>
        </w:p>
        <w:p>
          <w:pPr>
            <w:pStyle w:val="Contents6"/>
            <w:tabs>
              <w:tab w:val="clear" w:pos="7609"/>
              <w:tab w:val="right" w:pos="9026" w:leader="dot"/>
            </w:tabs>
            <w:rPr/>
          </w:pPr>
          <w:hyperlink w:anchor="__RefHeading___Toc964233_2320776876">
            <w:r>
              <w:rPr>
                <w:webHidden/>
                <w:rStyle w:val="IndexLink"/>
                <w:rtl w:val="true"/>
              </w:rPr>
              <w:t>نفي أن يكون حديث الغدير صادراً نتيجة منازعة مع زيد بن حارثة أو ابنه أُسامة</w:t>
            </w:r>
            <w:r>
              <w:rPr>
                <w:rStyle w:val="IndexLink"/>
                <w:rtl w:val="true"/>
              </w:rPr>
              <w:tab/>
            </w:r>
            <w:r>
              <w:rPr>
                <w:rStyle w:val="IndexLink"/>
              </w:rPr>
              <w:t>231</w:t>
            </w:r>
          </w:hyperlink>
        </w:p>
        <w:p>
          <w:pPr>
            <w:pStyle w:val="Contents6"/>
            <w:tabs>
              <w:tab w:val="clear" w:pos="7609"/>
              <w:tab w:val="right" w:pos="9026" w:leader="dot"/>
            </w:tabs>
            <w:rPr/>
          </w:pPr>
          <w:hyperlink w:anchor="__RefHeading___Toc964235_2320776876">
            <w:r>
              <w:rPr>
                <w:webHidden/>
                <w:rStyle w:val="IndexLink"/>
                <w:rtl w:val="true"/>
              </w:rPr>
              <w:t xml:space="preserve">دلالة لفظة </w:t>
            </w:r>
            <w:r>
              <w:rPr>
                <w:rStyle w:val="IndexLink"/>
                <w:rtl w:val="true"/>
              </w:rPr>
              <w:t>«</w:t>
            </w:r>
            <w:r>
              <w:rPr>
                <w:rStyle w:val="IndexLink"/>
                <w:rtl w:val="true"/>
              </w:rPr>
              <w:t xml:space="preserve">مولىٰ </w:t>
            </w:r>
            <w:r>
              <w:rPr>
                <w:rStyle w:val="IndexLink"/>
                <w:rtl w:val="true"/>
              </w:rPr>
              <w:t xml:space="preserve">» </w:t>
            </w:r>
            <w:r>
              <w:rPr>
                <w:rStyle w:val="IndexLink"/>
                <w:rtl w:val="true"/>
              </w:rPr>
              <w:t>على الأولىٰ بالتدبير، و أقسام ما تُستعمل فيه من معانٍ</w:t>
            </w:r>
            <w:r>
              <w:rPr>
                <w:rStyle w:val="IndexLink"/>
                <w:rtl w:val="true"/>
              </w:rPr>
              <w:tab/>
            </w:r>
            <w:r>
              <w:rPr>
                <w:rStyle w:val="IndexLink"/>
              </w:rPr>
              <w:t>236</w:t>
            </w:r>
          </w:hyperlink>
        </w:p>
        <w:p>
          <w:pPr>
            <w:pStyle w:val="Contents6"/>
            <w:tabs>
              <w:tab w:val="clear" w:pos="7609"/>
              <w:tab w:val="right" w:pos="9026" w:leader="dot"/>
            </w:tabs>
            <w:rPr/>
          </w:pPr>
          <w:hyperlink w:anchor="__RefHeading___Toc964237_2320776876">
            <w:r>
              <w:rPr>
                <w:webHidden/>
                <w:rStyle w:val="IndexLink"/>
                <w:rtl w:val="true"/>
              </w:rPr>
              <w:t xml:space="preserve">صحّة إطلاق </w:t>
            </w:r>
            <w:r>
              <w:rPr>
                <w:rStyle w:val="IndexLink"/>
                <w:rtl w:val="true"/>
              </w:rPr>
              <w:t>«</w:t>
            </w:r>
            <w:r>
              <w:rPr>
                <w:rStyle w:val="IndexLink"/>
                <w:rtl w:val="true"/>
              </w:rPr>
              <w:t xml:space="preserve">مولىٰ </w:t>
            </w:r>
            <w:r>
              <w:rPr>
                <w:rStyle w:val="IndexLink"/>
                <w:rtl w:val="true"/>
              </w:rPr>
              <w:t xml:space="preserve">» </w:t>
            </w:r>
            <w:r>
              <w:rPr>
                <w:rStyle w:val="IndexLink"/>
                <w:rtl w:val="true"/>
              </w:rPr>
              <w:t>على الوالِد و المستأجِر مع التقييد</w:t>
            </w:r>
            <w:r>
              <w:rPr>
                <w:rStyle w:val="IndexLink"/>
                <w:rtl w:val="true"/>
              </w:rPr>
              <w:tab/>
            </w:r>
            <w:r>
              <w:rPr>
                <w:rStyle w:val="IndexLink"/>
              </w:rPr>
              <w:t>237</w:t>
            </w:r>
          </w:hyperlink>
        </w:p>
        <w:p>
          <w:pPr>
            <w:pStyle w:val="Contents6"/>
            <w:tabs>
              <w:tab w:val="clear" w:pos="7609"/>
              <w:tab w:val="right" w:pos="9026" w:leader="dot"/>
            </w:tabs>
            <w:rPr/>
          </w:pPr>
          <w:hyperlink w:anchor="__RefHeading___Toc964239_2320776876">
            <w:r>
              <w:rPr>
                <w:webHidden/>
                <w:rStyle w:val="IndexLink"/>
                <w:rtl w:val="true"/>
              </w:rPr>
              <w:t xml:space="preserve">صحّة إطلاق </w:t>
            </w:r>
            <w:r>
              <w:rPr>
                <w:rStyle w:val="IndexLink"/>
                <w:rtl w:val="true"/>
              </w:rPr>
              <w:t>«</w:t>
            </w:r>
            <w:r>
              <w:rPr>
                <w:rStyle w:val="IndexLink"/>
                <w:rtl w:val="true"/>
              </w:rPr>
              <w:t xml:space="preserve">مولىٰ </w:t>
            </w:r>
            <w:r>
              <w:rPr>
                <w:rStyle w:val="IndexLink"/>
                <w:rtl w:val="true"/>
              </w:rPr>
              <w:t xml:space="preserve">» </w:t>
            </w:r>
            <w:r>
              <w:rPr>
                <w:rStyle w:val="IndexLink"/>
                <w:rtl w:val="true"/>
              </w:rPr>
              <w:t>على الرئيس و السيّد</w:t>
            </w:r>
            <w:r>
              <w:rPr>
                <w:rStyle w:val="IndexLink"/>
                <w:rtl w:val="true"/>
              </w:rPr>
              <w:tab/>
            </w:r>
            <w:r>
              <w:rPr>
                <w:rStyle w:val="IndexLink"/>
              </w:rPr>
              <w:t>238</w:t>
            </w:r>
          </w:hyperlink>
        </w:p>
        <w:p>
          <w:pPr>
            <w:pStyle w:val="Contents6"/>
            <w:tabs>
              <w:tab w:val="clear" w:pos="7609"/>
              <w:tab w:val="right" w:pos="9026" w:leader="dot"/>
            </w:tabs>
            <w:rPr/>
          </w:pPr>
          <w:hyperlink w:anchor="__RefHeading___Toc964241_2320776876">
            <w:r>
              <w:rPr>
                <w:webHidden/>
                <w:rStyle w:val="IndexLink"/>
                <w:rtl w:val="true"/>
              </w:rPr>
              <w:t xml:space="preserve">صحّة إطلاق </w:t>
            </w:r>
            <w:r>
              <w:rPr>
                <w:rStyle w:val="IndexLink"/>
                <w:rtl w:val="true"/>
              </w:rPr>
              <w:t>«</w:t>
            </w:r>
            <w:r>
              <w:rPr>
                <w:rStyle w:val="IndexLink"/>
                <w:rtl w:val="true"/>
              </w:rPr>
              <w:t xml:space="preserve">مولىٰ </w:t>
            </w:r>
            <w:r>
              <w:rPr>
                <w:rStyle w:val="IndexLink"/>
                <w:rtl w:val="true"/>
              </w:rPr>
              <w:t xml:space="preserve">» </w:t>
            </w:r>
            <w:r>
              <w:rPr>
                <w:rStyle w:val="IndexLink"/>
                <w:rtl w:val="true"/>
              </w:rPr>
              <w:t>علىٰ مالك العبد من حيث كونه مالكاً لطاعته</w:t>
            </w:r>
            <w:r>
              <w:rPr>
                <w:rStyle w:val="IndexLink"/>
                <w:rtl w:val="true"/>
              </w:rPr>
              <w:tab/>
            </w:r>
            <w:r>
              <w:rPr>
                <w:rStyle w:val="IndexLink"/>
              </w:rPr>
              <w:t>239</w:t>
            </w:r>
          </w:hyperlink>
        </w:p>
        <w:p>
          <w:pPr>
            <w:pStyle w:val="Contents6"/>
            <w:tabs>
              <w:tab w:val="clear" w:pos="7609"/>
              <w:tab w:val="right" w:pos="9026" w:leader="dot"/>
            </w:tabs>
            <w:rPr/>
          </w:pPr>
          <w:hyperlink w:anchor="__RefHeading___Toc964243_2320776876">
            <w:r>
              <w:rPr>
                <w:webHidden/>
                <w:rStyle w:val="IndexLink"/>
                <w:rtl w:val="true"/>
              </w:rPr>
              <w:t xml:space="preserve">بيان عدم توقّف الاستدلال بحديث الغدير علىٰ دلالة </w:t>
            </w:r>
            <w:r>
              <w:rPr>
                <w:rStyle w:val="IndexLink"/>
                <w:rtl w:val="true"/>
              </w:rPr>
              <w:t>«</w:t>
            </w:r>
            <w:r>
              <w:rPr>
                <w:rStyle w:val="IndexLink"/>
                <w:rtl w:val="true"/>
              </w:rPr>
              <w:t xml:space="preserve">مولىٰ </w:t>
            </w:r>
            <w:r>
              <w:rPr>
                <w:rStyle w:val="IndexLink"/>
                <w:rtl w:val="true"/>
              </w:rPr>
              <w:t xml:space="preserve">» </w:t>
            </w:r>
            <w:r>
              <w:rPr>
                <w:rStyle w:val="IndexLink"/>
                <w:rtl w:val="true"/>
              </w:rPr>
              <w:t>علىٰ ملك الطاعة</w:t>
            </w:r>
            <w:r>
              <w:rPr>
                <w:rStyle w:val="IndexLink"/>
                <w:rtl w:val="true"/>
              </w:rPr>
              <w:tab/>
            </w:r>
            <w:r>
              <w:rPr>
                <w:rStyle w:val="IndexLink"/>
              </w:rPr>
              <w:t>240</w:t>
            </w:r>
          </w:hyperlink>
        </w:p>
        <w:p>
          <w:pPr>
            <w:pStyle w:val="Contents6"/>
            <w:tabs>
              <w:tab w:val="clear" w:pos="7609"/>
              <w:tab w:val="right" w:pos="9026" w:leader="dot"/>
            </w:tabs>
            <w:rPr/>
          </w:pPr>
          <w:hyperlink w:anchor="__RefHeading___Toc964245_2320776876">
            <w:r>
              <w:rPr>
                <w:webHidden/>
                <w:rStyle w:val="IndexLink"/>
                <w:rtl w:val="true"/>
              </w:rPr>
              <w:t xml:space="preserve">دلالة كلام أبي مسلم الأصفهانيّ علىٰ أنّ لفظة </w:t>
            </w:r>
            <w:r>
              <w:rPr>
                <w:rStyle w:val="IndexLink"/>
                <w:rtl w:val="true"/>
              </w:rPr>
              <w:t>«</w:t>
            </w:r>
            <w:r>
              <w:rPr>
                <w:rStyle w:val="IndexLink"/>
                <w:rtl w:val="true"/>
              </w:rPr>
              <w:t xml:space="preserve">وليّ </w:t>
            </w:r>
            <w:r>
              <w:rPr>
                <w:rStyle w:val="IndexLink"/>
                <w:rtl w:val="true"/>
              </w:rPr>
              <w:t xml:space="preserve">» </w:t>
            </w:r>
            <w:r>
              <w:rPr>
                <w:rStyle w:val="IndexLink"/>
                <w:rtl w:val="true"/>
              </w:rPr>
              <w:t>تُطلق علىٰ مَن تجب طاعته</w:t>
            </w:r>
            <w:r>
              <w:rPr>
                <w:rStyle w:val="IndexLink"/>
                <w:rtl w:val="true"/>
              </w:rPr>
              <w:tab/>
            </w:r>
            <w:r>
              <w:rPr>
                <w:rStyle w:val="IndexLink"/>
              </w:rPr>
              <w:t>243</w:t>
            </w:r>
          </w:hyperlink>
        </w:p>
        <w:p>
          <w:pPr>
            <w:pStyle w:val="Contents6"/>
            <w:tabs>
              <w:tab w:val="clear" w:pos="7609"/>
              <w:tab w:val="right" w:pos="9026" w:leader="dot"/>
            </w:tabs>
            <w:rPr/>
          </w:pPr>
          <w:hyperlink w:anchor="__RefHeading___Toc964247_2320776876">
            <w:r>
              <w:rPr>
                <w:webHidden/>
                <w:rStyle w:val="IndexLink"/>
                <w:rtl w:val="true"/>
              </w:rPr>
              <w:t>مخالفة كلام أبي مسلم لكلام القاضي</w:t>
            </w:r>
            <w:r>
              <w:rPr>
                <w:rStyle w:val="IndexLink"/>
                <w:rtl w:val="true"/>
              </w:rPr>
              <w:tab/>
            </w:r>
            <w:r>
              <w:rPr>
                <w:rStyle w:val="IndexLink"/>
              </w:rPr>
              <w:t>246</w:t>
            </w:r>
          </w:hyperlink>
        </w:p>
        <w:p>
          <w:pPr>
            <w:pStyle w:val="Contents6"/>
            <w:tabs>
              <w:tab w:val="clear" w:pos="7609"/>
              <w:tab w:val="right" w:pos="9026" w:leader="dot"/>
            </w:tabs>
            <w:rPr/>
          </w:pPr>
          <w:hyperlink w:anchor="__RefHeading___Toc964249_2320776876">
            <w:r>
              <w:rPr>
                <w:webHidden/>
                <w:rStyle w:val="IndexLink"/>
                <w:rtl w:val="true"/>
              </w:rPr>
              <w:t xml:space="preserve">جواز استعمال صيغة </w:t>
            </w:r>
            <w:r>
              <w:rPr>
                <w:rStyle w:val="IndexLink"/>
                <w:rtl w:val="true"/>
              </w:rPr>
              <w:t>«</w:t>
            </w:r>
            <w:r>
              <w:rPr>
                <w:rStyle w:val="IndexLink"/>
                <w:rtl w:val="true"/>
              </w:rPr>
              <w:t>المفاعلة</w:t>
            </w:r>
            <w:r>
              <w:rPr>
                <w:rStyle w:val="IndexLink"/>
                <w:rtl w:val="true"/>
              </w:rPr>
              <w:t xml:space="preserve">» </w:t>
            </w:r>
            <w:r>
              <w:rPr>
                <w:rStyle w:val="IndexLink"/>
                <w:rtl w:val="true"/>
              </w:rPr>
              <w:t>في الواحد و الاثنين</w:t>
            </w:r>
            <w:r>
              <w:rPr>
                <w:rStyle w:val="IndexLink"/>
                <w:rtl w:val="true"/>
              </w:rPr>
              <w:tab/>
            </w:r>
            <w:r>
              <w:rPr>
                <w:rStyle w:val="IndexLink"/>
              </w:rPr>
              <w:t>247</w:t>
            </w:r>
          </w:hyperlink>
        </w:p>
        <w:p>
          <w:pPr>
            <w:pStyle w:val="Contents6"/>
            <w:tabs>
              <w:tab w:val="clear" w:pos="7609"/>
              <w:tab w:val="right" w:pos="9026" w:leader="dot"/>
            </w:tabs>
            <w:rPr/>
          </w:pPr>
          <w:hyperlink w:anchor="__RefHeading___Toc964251_2320776876">
            <w:r>
              <w:rPr>
                <w:webHidden/>
                <w:rStyle w:val="IndexLink"/>
                <w:rtl w:val="true"/>
              </w:rPr>
              <w:t>جواز استفادة معنى الإمامة من اللغة</w:t>
            </w:r>
            <w:r>
              <w:rPr>
                <w:rStyle w:val="IndexLink"/>
                <w:rtl w:val="true"/>
              </w:rPr>
              <w:tab/>
            </w:r>
            <w:r>
              <w:rPr>
                <w:rStyle w:val="IndexLink"/>
              </w:rPr>
              <w:t>247</w:t>
            </w:r>
          </w:hyperlink>
        </w:p>
        <w:p>
          <w:pPr>
            <w:pStyle w:val="Contents6"/>
            <w:tabs>
              <w:tab w:val="clear" w:pos="7609"/>
              <w:tab w:val="right" w:pos="9026" w:leader="dot"/>
            </w:tabs>
            <w:rPr/>
          </w:pPr>
          <w:hyperlink w:anchor="__RefHeading___Toc964253_2320776876">
            <w:r>
              <w:rPr>
                <w:webHidden/>
                <w:rStyle w:val="IndexLink"/>
                <w:rtl w:val="true"/>
              </w:rPr>
              <w:t>تقرير ابن قبة الرازي للاستدلال بحديث الغدير</w:t>
            </w:r>
            <w:r>
              <w:rPr>
                <w:rStyle w:val="IndexLink"/>
                <w:rtl w:val="true"/>
              </w:rPr>
              <w:tab/>
            </w:r>
            <w:r>
              <w:rPr>
                <w:rStyle w:val="IndexLink"/>
              </w:rPr>
              <w:t>251</w:t>
            </w:r>
          </w:hyperlink>
        </w:p>
        <w:p>
          <w:pPr>
            <w:pStyle w:val="Contents6"/>
            <w:tabs>
              <w:tab w:val="clear" w:pos="7609"/>
              <w:tab w:val="right" w:pos="9026" w:leader="dot"/>
            </w:tabs>
            <w:rPr/>
          </w:pPr>
          <w:hyperlink w:anchor="__RefHeading___Toc964255_2320776876">
            <w:r>
              <w:rPr>
                <w:webHidden/>
                <w:rStyle w:val="IndexLink"/>
                <w:rtl w:val="true"/>
              </w:rPr>
              <w:t>نفي ادّعاء ابن قِبة الضرورةَ في معرفة النصّ على الإمامة من حديث الغدير</w:t>
            </w:r>
            <w:r>
              <w:rPr>
                <w:rStyle w:val="IndexLink"/>
                <w:rtl w:val="true"/>
              </w:rPr>
              <w:tab/>
            </w:r>
            <w:r>
              <w:rPr>
                <w:rStyle w:val="IndexLink"/>
              </w:rPr>
              <w:t>252</w:t>
            </w:r>
          </w:hyperlink>
        </w:p>
        <w:p>
          <w:pPr>
            <w:pStyle w:val="Contents4"/>
            <w:tabs>
              <w:tab w:val="clear" w:pos="8176"/>
              <w:tab w:val="right" w:pos="9026" w:leader="dot"/>
            </w:tabs>
            <w:rPr/>
          </w:pPr>
          <w:hyperlink w:anchor="__RefHeading___Toc964257_2320776876">
            <w:r>
              <w:rPr>
                <w:webHidden/>
                <w:rStyle w:val="IndexLink"/>
                <w:rtl w:val="true"/>
              </w:rPr>
              <w:t>الدليلُ التاسعِ حديثُ المَنزِلةِ</w:t>
            </w:r>
            <w:r>
              <w:rPr>
                <w:rStyle w:val="IndexLink"/>
                <w:rtl w:val="true"/>
              </w:rPr>
              <w:tab/>
            </w:r>
            <w:r>
              <w:rPr>
                <w:rStyle w:val="IndexLink"/>
              </w:rPr>
              <w:t>255</w:t>
            </w:r>
          </w:hyperlink>
        </w:p>
        <w:p>
          <w:pPr>
            <w:pStyle w:val="Contents5"/>
            <w:tabs>
              <w:tab w:val="clear" w:pos="7892"/>
              <w:tab w:val="right" w:pos="9026" w:leader="dot"/>
            </w:tabs>
            <w:rPr/>
          </w:pPr>
          <w:hyperlink w:anchor="__RefHeading___Toc964259_2320776876">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964261_2320776876">
            <w:r>
              <w:rPr>
                <w:webHidden/>
                <w:rStyle w:val="IndexLink"/>
                <w:rtl w:val="true"/>
              </w:rPr>
              <w:t>مقدّمة في الاستدلال بحديث المنزلة</w:t>
            </w:r>
            <w:r>
              <w:rPr>
                <w:rStyle w:val="IndexLink"/>
                <w:rtl w:val="true"/>
              </w:rPr>
              <w:tab/>
            </w:r>
            <w:r>
              <w:rPr>
                <w:rStyle w:val="IndexLink"/>
              </w:rPr>
              <w:t>258</w:t>
            </w:r>
          </w:hyperlink>
        </w:p>
        <w:p>
          <w:pPr>
            <w:pStyle w:val="Contents5"/>
            <w:tabs>
              <w:tab w:val="clear" w:pos="7892"/>
              <w:tab w:val="right" w:pos="9026" w:leader="dot"/>
            </w:tabs>
            <w:rPr/>
          </w:pPr>
          <w:hyperlink w:anchor="__RefHeading___Toc964263_2320776876">
            <w:r>
              <w:rPr>
                <w:webHidden/>
                <w:rStyle w:val="IndexLink"/>
                <w:rtl w:val="true"/>
              </w:rPr>
              <w:t>التقريرُ الأوّلُ</w:t>
            </w:r>
            <w:r>
              <w:rPr>
                <w:rStyle w:val="IndexLink"/>
                <w:rtl w:val="true"/>
              </w:rPr>
              <w:tab/>
            </w:r>
            <w:r>
              <w:rPr>
                <w:rStyle w:val="IndexLink"/>
              </w:rPr>
              <w:t>258</w:t>
            </w:r>
          </w:hyperlink>
        </w:p>
        <w:p>
          <w:pPr>
            <w:pStyle w:val="Contents6"/>
            <w:tabs>
              <w:tab w:val="clear" w:pos="7609"/>
              <w:tab w:val="right" w:pos="9026" w:leader="dot"/>
            </w:tabs>
            <w:rPr/>
          </w:pPr>
          <w:hyperlink w:anchor="__RefHeading___Toc964265_2320776876">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964267_2320776876">
            <w:r>
              <w:rPr>
                <w:webHidden/>
                <w:rStyle w:val="IndexLink"/>
                <w:rtl w:val="true"/>
              </w:rPr>
              <w:t>البحث الأوّل</w:t>
            </w:r>
            <w:r>
              <w:rPr>
                <w:rStyle w:val="IndexLink"/>
                <w:rtl w:val="true"/>
              </w:rPr>
              <w:t xml:space="preserve">: </w:t>
            </w:r>
            <w:r>
              <w:rPr>
                <w:rStyle w:val="IndexLink"/>
                <w:rtl w:val="true"/>
              </w:rPr>
              <w:t>إثبات صحّة حديث المنزلة</w:t>
            </w:r>
            <w:r>
              <w:rPr>
                <w:rStyle w:val="IndexLink"/>
                <w:rtl w:val="true"/>
              </w:rPr>
              <w:tab/>
            </w:r>
            <w:r>
              <w:rPr>
                <w:rStyle w:val="IndexLink"/>
              </w:rPr>
              <w:t>259</w:t>
            </w:r>
          </w:hyperlink>
        </w:p>
        <w:p>
          <w:pPr>
            <w:pStyle w:val="Contents6"/>
            <w:tabs>
              <w:tab w:val="clear" w:pos="7609"/>
              <w:tab w:val="right" w:pos="9026" w:leader="dot"/>
            </w:tabs>
            <w:rPr/>
          </w:pPr>
          <w:hyperlink w:anchor="__RefHeading___Toc964269_2320776876">
            <w:r>
              <w:rPr>
                <w:webHidden/>
                <w:rStyle w:val="IndexLink"/>
                <w:rtl w:val="true"/>
              </w:rPr>
              <w:t>البحث الثاني</w:t>
            </w:r>
            <w:r>
              <w:rPr>
                <w:rStyle w:val="IndexLink"/>
                <w:rtl w:val="true"/>
              </w:rPr>
              <w:t xml:space="preserve">: </w:t>
            </w:r>
            <w:r>
              <w:rPr>
                <w:rStyle w:val="IndexLink"/>
                <w:rtl w:val="true"/>
              </w:rPr>
              <w:t>إثبات أنّ هارون لو بقي حيّاً بعد موسىٰ لَخَلَفَه</w:t>
            </w:r>
            <w:r>
              <w:rPr>
                <w:rStyle w:val="IndexLink"/>
                <w:rtl w:val="true"/>
              </w:rPr>
              <w:tab/>
            </w:r>
            <w:r>
              <w:rPr>
                <w:rStyle w:val="IndexLink"/>
              </w:rPr>
              <w:t>260</w:t>
            </w:r>
          </w:hyperlink>
        </w:p>
        <w:p>
          <w:pPr>
            <w:pStyle w:val="Contents6"/>
            <w:tabs>
              <w:tab w:val="clear" w:pos="7609"/>
              <w:tab w:val="right" w:pos="9026" w:leader="dot"/>
            </w:tabs>
            <w:rPr/>
          </w:pPr>
          <w:hyperlink w:anchor="__RefHeading___Toc964271_2320776876">
            <w:r>
              <w:rPr>
                <w:webHidden/>
                <w:rStyle w:val="IndexLink"/>
                <w:rtl w:val="true"/>
              </w:rPr>
              <w:t>الوجه الأوّل</w:t>
            </w:r>
            <w:r>
              <w:rPr>
                <w:rStyle w:val="IndexLink"/>
                <w:rtl w:val="true"/>
              </w:rPr>
              <w:t xml:space="preserve">: </w:t>
            </w:r>
            <w:r>
              <w:rPr>
                <w:rStyle w:val="IndexLink"/>
                <w:rtl w:val="true"/>
              </w:rPr>
              <w:t>خلافة هارون لموسىٰ</w:t>
            </w:r>
            <w:r>
              <w:rPr>
                <w:rStyle w:val="IndexLink"/>
                <w:rtl w:val="true"/>
              </w:rPr>
              <w:tab/>
            </w:r>
            <w:r>
              <w:rPr>
                <w:rStyle w:val="IndexLink"/>
              </w:rPr>
              <w:t>260</w:t>
            </w:r>
          </w:hyperlink>
        </w:p>
        <w:p>
          <w:pPr>
            <w:pStyle w:val="Contents6"/>
            <w:tabs>
              <w:tab w:val="clear" w:pos="7609"/>
              <w:tab w:val="right" w:pos="9026" w:leader="dot"/>
            </w:tabs>
            <w:rPr/>
          </w:pPr>
          <w:hyperlink w:anchor="__RefHeading___Toc964273_2320776876">
            <w:r>
              <w:rPr>
                <w:webHidden/>
                <w:rStyle w:val="IndexLink"/>
                <w:rtl w:val="true"/>
              </w:rPr>
              <w:t>الوجه الثاني</w:t>
            </w:r>
            <w:r>
              <w:rPr>
                <w:rStyle w:val="IndexLink"/>
                <w:rtl w:val="true"/>
              </w:rPr>
              <w:t xml:space="preserve">: </w:t>
            </w:r>
            <w:r>
              <w:rPr>
                <w:rStyle w:val="IndexLink"/>
                <w:rtl w:val="true"/>
              </w:rPr>
              <w:t>شراكة هارون لموسىٰ</w:t>
            </w:r>
            <w:r>
              <w:rPr>
                <w:rStyle w:val="IndexLink"/>
                <w:rtl w:val="true"/>
              </w:rPr>
              <w:tab/>
            </w:r>
            <w:r>
              <w:rPr>
                <w:rStyle w:val="IndexLink"/>
              </w:rPr>
              <w:t>264</w:t>
            </w:r>
          </w:hyperlink>
        </w:p>
        <w:p>
          <w:pPr>
            <w:pStyle w:val="Contents6"/>
            <w:tabs>
              <w:tab w:val="clear" w:pos="7609"/>
              <w:tab w:val="right" w:pos="9026" w:leader="dot"/>
            </w:tabs>
            <w:rPr/>
          </w:pPr>
          <w:hyperlink w:anchor="__RefHeading___Toc964275_2320776876">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964277_2320776876">
            <w:r>
              <w:rPr>
                <w:webHidden/>
                <w:rStyle w:val="IndexLink"/>
                <w:rtl w:val="true"/>
              </w:rPr>
              <w:t>نفي كون أمير المؤمنين عليه السلام مفترضَ الطاعة في حال حياة الرسول صلى الله عليه و آله</w:t>
            </w:r>
            <w:r>
              <w:rPr>
                <w:rStyle w:val="IndexLink"/>
                <w:rtl w:val="true"/>
              </w:rPr>
              <w:tab/>
            </w:r>
            <w:r>
              <w:rPr>
                <w:rStyle w:val="IndexLink"/>
              </w:rPr>
              <w:t>266</w:t>
            </w:r>
          </w:hyperlink>
        </w:p>
        <w:p>
          <w:pPr>
            <w:pStyle w:val="Contents6"/>
            <w:tabs>
              <w:tab w:val="clear" w:pos="7609"/>
              <w:tab w:val="right" w:pos="9026" w:leader="dot"/>
            </w:tabs>
            <w:rPr/>
          </w:pPr>
          <w:hyperlink w:anchor="__RefHeading___Toc964279_2320776876">
            <w:r>
              <w:rPr>
                <w:webHidden/>
                <w:rStyle w:val="IndexLink"/>
                <w:rtl w:val="true"/>
              </w:rPr>
              <w:t>نفي أن يكون الحديث ناظراً إلى المنازل التي كانت لهارون من جهة موسىٰ</w:t>
            </w:r>
            <w:r>
              <w:rPr>
                <w:rStyle w:val="IndexLink"/>
                <w:rtl w:val="true"/>
              </w:rPr>
              <w:tab/>
            </w:r>
            <w:r>
              <w:rPr>
                <w:rStyle w:val="IndexLink"/>
              </w:rPr>
              <w:t>267</w:t>
            </w:r>
          </w:hyperlink>
        </w:p>
        <w:p>
          <w:pPr>
            <w:pStyle w:val="Contents6"/>
            <w:tabs>
              <w:tab w:val="clear" w:pos="7609"/>
              <w:tab w:val="right" w:pos="9026" w:leader="dot"/>
            </w:tabs>
            <w:rPr/>
          </w:pPr>
          <w:hyperlink w:anchor="__RefHeading___Toc964281_2320776876">
            <w:r>
              <w:rPr>
                <w:webHidden/>
                <w:rStyle w:val="IndexLink"/>
                <w:rtl w:val="true"/>
              </w:rPr>
              <w:t>البحث الثالث</w:t>
            </w:r>
            <w:r>
              <w:rPr>
                <w:rStyle w:val="IndexLink"/>
                <w:rtl w:val="true"/>
              </w:rPr>
              <w:t xml:space="preserve">: </w:t>
            </w:r>
            <w:r>
              <w:rPr>
                <w:rStyle w:val="IndexLink"/>
                <w:rtl w:val="true"/>
              </w:rPr>
              <w:t>إثبات أنّ الحديث يُثبت جميع المنازل إلّاما استُثني</w:t>
            </w:r>
            <w:r>
              <w:rPr>
                <w:rStyle w:val="IndexLink"/>
                <w:rtl w:val="true"/>
              </w:rPr>
              <w:tab/>
            </w:r>
            <w:r>
              <w:rPr>
                <w:rStyle w:val="IndexLink"/>
              </w:rPr>
              <w:t>269</w:t>
            </w:r>
          </w:hyperlink>
        </w:p>
        <w:p>
          <w:pPr>
            <w:pStyle w:val="Contents6"/>
            <w:tabs>
              <w:tab w:val="clear" w:pos="7609"/>
              <w:tab w:val="right" w:pos="9026" w:leader="dot"/>
            </w:tabs>
            <w:rPr/>
          </w:pPr>
          <w:hyperlink w:anchor="__RefHeading___Toc964283_2320776876">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964285_2320776876">
            <w:r>
              <w:rPr>
                <w:webHidden/>
                <w:rStyle w:val="IndexLink"/>
                <w:rtl w:val="true"/>
              </w:rPr>
              <w:t>إبطال أن يكون الحديث مقصوراً علىٰ منزلة واحدة</w:t>
            </w:r>
            <w:r>
              <w:rPr>
                <w:rStyle w:val="IndexLink"/>
                <w:rtl w:val="true"/>
              </w:rPr>
              <w:tab/>
            </w:r>
            <w:r>
              <w:rPr>
                <w:rStyle w:val="IndexLink"/>
              </w:rPr>
              <w:t>271</w:t>
            </w:r>
          </w:hyperlink>
        </w:p>
        <w:p>
          <w:pPr>
            <w:pStyle w:val="Contents5"/>
            <w:tabs>
              <w:tab w:val="clear" w:pos="7892"/>
              <w:tab w:val="right" w:pos="9026" w:leader="dot"/>
            </w:tabs>
            <w:rPr/>
          </w:pPr>
          <w:hyperlink w:anchor="__RefHeading___Toc964287_2320776876">
            <w:r>
              <w:rPr>
                <w:webHidden/>
                <w:rStyle w:val="IndexLink"/>
                <w:rtl w:val="true"/>
              </w:rPr>
              <w:t>التقرير الثاني</w:t>
            </w:r>
            <w:r>
              <w:rPr>
                <w:rStyle w:val="IndexLink"/>
                <w:rtl w:val="true"/>
              </w:rPr>
              <w:tab/>
            </w:r>
            <w:r>
              <w:rPr>
                <w:rStyle w:val="IndexLink"/>
              </w:rPr>
              <w:t>275</w:t>
            </w:r>
          </w:hyperlink>
        </w:p>
        <w:p>
          <w:pPr>
            <w:pStyle w:val="Contents6"/>
            <w:tabs>
              <w:tab w:val="clear" w:pos="7609"/>
              <w:tab w:val="right" w:pos="9026" w:leader="dot"/>
            </w:tabs>
            <w:rPr/>
          </w:pPr>
          <w:hyperlink w:anchor="__RefHeading___Toc964289_2320776876">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964291_2320776876">
            <w:r>
              <w:rPr>
                <w:webHidden/>
                <w:rStyle w:val="IndexLink"/>
                <w:rtl w:val="true"/>
              </w:rPr>
              <w:t>عودة إلىٰ مناقشة القاضي</w:t>
            </w:r>
            <w:r>
              <w:rPr>
                <w:rStyle w:val="IndexLink"/>
                <w:rtl w:val="true"/>
              </w:rPr>
              <w:tab/>
            </w:r>
            <w:r>
              <w:rPr>
                <w:rStyle w:val="IndexLink"/>
              </w:rPr>
              <w:t>276</w:t>
            </w:r>
          </w:hyperlink>
        </w:p>
        <w:p>
          <w:pPr>
            <w:pStyle w:val="Contents6"/>
            <w:tabs>
              <w:tab w:val="clear" w:pos="7609"/>
              <w:tab w:val="right" w:pos="9026" w:leader="dot"/>
            </w:tabs>
            <w:rPr/>
          </w:pPr>
          <w:hyperlink w:anchor="__RefHeading___Toc964293_2320776876">
            <w:r>
              <w:rPr>
                <w:webHidden/>
                <w:rStyle w:val="IndexLink"/>
                <w:rtl w:val="true"/>
              </w:rPr>
              <w:t>نفيُ أن يكون تقديرُ حصول الشيء مانعاً من وصفه بأنّه منزلة</w:t>
            </w:r>
            <w:r>
              <w:rPr>
                <w:rStyle w:val="IndexLink"/>
                <w:rtl w:val="true"/>
              </w:rPr>
              <w:tab/>
            </w:r>
            <w:r>
              <w:rPr>
                <w:rStyle w:val="IndexLink"/>
              </w:rPr>
              <w:t>281</w:t>
            </w:r>
          </w:hyperlink>
        </w:p>
        <w:p>
          <w:pPr>
            <w:pStyle w:val="Contents6"/>
            <w:tabs>
              <w:tab w:val="clear" w:pos="7609"/>
              <w:tab w:val="right" w:pos="9026" w:leader="dot"/>
            </w:tabs>
            <w:rPr/>
          </w:pPr>
          <w:hyperlink w:anchor="__RefHeading___Toc964295_2320776876">
            <w:r>
              <w:rPr>
                <w:webHidden/>
                <w:rStyle w:val="IndexLink"/>
                <w:rtl w:val="true"/>
              </w:rPr>
              <w:t xml:space="preserve">عدم توقّف الاستدلال بحديث المنزلة علىٰ وصف المقدَّر بأنّه </w:t>
            </w:r>
            <w:r>
              <w:rPr>
                <w:rStyle w:val="IndexLink"/>
                <w:rtl w:val="true"/>
              </w:rPr>
              <w:t>«</w:t>
            </w:r>
            <w:r>
              <w:rPr>
                <w:rStyle w:val="IndexLink"/>
                <w:rtl w:val="true"/>
              </w:rPr>
              <w:t>منزلة</w:t>
            </w:r>
            <w:r>
              <w:rPr>
                <w:rStyle w:val="IndexLink"/>
                <w:rtl w:val="true"/>
              </w:rPr>
              <w:t>»</w:t>
              <w:tab/>
            </w:r>
            <w:r>
              <w:rPr>
                <w:rStyle w:val="IndexLink"/>
              </w:rPr>
              <w:t>284</w:t>
            </w:r>
          </w:hyperlink>
        </w:p>
        <w:p>
          <w:pPr>
            <w:pStyle w:val="Contents6"/>
            <w:tabs>
              <w:tab w:val="clear" w:pos="7609"/>
              <w:tab w:val="right" w:pos="9026" w:leader="dot"/>
            </w:tabs>
            <w:rPr/>
          </w:pPr>
          <w:hyperlink w:anchor="__RefHeading___Toc964297_2320776876">
            <w:r>
              <w:rPr>
                <w:webHidden/>
                <w:rStyle w:val="IndexLink"/>
                <w:rtl w:val="true"/>
              </w:rPr>
              <w:t>نفي أن يكون الاستثناء في الحديث، معناه</w:t>
            </w:r>
            <w:r>
              <w:rPr>
                <w:rStyle w:val="IndexLink"/>
                <w:rtl w:val="true"/>
              </w:rPr>
              <w:t>: «</w:t>
            </w:r>
            <w:r>
              <w:rPr>
                <w:rStyle w:val="IndexLink"/>
                <w:rtl w:val="true"/>
              </w:rPr>
              <w:t>بعد نبوّتي</w:t>
            </w:r>
            <w:r>
              <w:rPr>
                <w:rStyle w:val="IndexLink"/>
                <w:rtl w:val="true"/>
              </w:rPr>
              <w:t>»</w:t>
            </w:r>
            <w:r>
              <w:rPr>
                <w:rStyle w:val="IndexLink"/>
                <w:rtl w:val="true"/>
              </w:rPr>
              <w:t xml:space="preserve">، لا </w:t>
            </w:r>
            <w:r>
              <w:rPr>
                <w:rStyle w:val="IndexLink"/>
                <w:rtl w:val="true"/>
              </w:rPr>
              <w:t>«</w:t>
            </w:r>
            <w:r>
              <w:rPr>
                <w:rStyle w:val="IndexLink"/>
                <w:rtl w:val="true"/>
              </w:rPr>
              <w:t>بعد موتي</w:t>
            </w:r>
            <w:r>
              <w:rPr>
                <w:rStyle w:val="IndexLink"/>
                <w:rtl w:val="true"/>
              </w:rPr>
              <w:t>»</w:t>
              <w:tab/>
            </w:r>
            <w:r>
              <w:rPr>
                <w:rStyle w:val="IndexLink"/>
              </w:rPr>
              <w:t>290</w:t>
            </w:r>
          </w:hyperlink>
        </w:p>
        <w:p>
          <w:pPr>
            <w:pStyle w:val="Contents6"/>
            <w:tabs>
              <w:tab w:val="clear" w:pos="7609"/>
              <w:tab w:val="right" w:pos="9026" w:leader="dot"/>
            </w:tabs>
            <w:rPr/>
          </w:pPr>
          <w:hyperlink w:anchor="__RefHeading___Toc964299_2320776876">
            <w:r>
              <w:rPr>
                <w:webHidden/>
                <w:rStyle w:val="IndexLink"/>
                <w:rtl w:val="true"/>
              </w:rPr>
              <w:t>بيان شمول التشبيه في الحديث للمنازل أنفسِها، لا لأوقاتها</w:t>
            </w:r>
            <w:r>
              <w:rPr>
                <w:rStyle w:val="IndexLink"/>
                <w:rtl w:val="true"/>
              </w:rPr>
              <w:tab/>
            </w:r>
            <w:r>
              <w:rPr>
                <w:rStyle w:val="IndexLink"/>
              </w:rPr>
              <w:t>292</w:t>
            </w:r>
          </w:hyperlink>
        </w:p>
        <w:p>
          <w:pPr>
            <w:pStyle w:val="Contents6"/>
            <w:tabs>
              <w:tab w:val="clear" w:pos="7609"/>
              <w:tab w:val="right" w:pos="9026" w:leader="dot"/>
            </w:tabs>
            <w:rPr/>
          </w:pPr>
          <w:hyperlink w:anchor="__RefHeading___Toc964301_2320776876">
            <w:r>
              <w:rPr>
                <w:webHidden/>
                <w:rStyle w:val="IndexLink"/>
                <w:rtl w:val="true"/>
              </w:rPr>
              <w:t>نفي الحاجة إلى اشتراط العيش بعد النبيّ في دلالة الحديث</w:t>
            </w:r>
            <w:r>
              <w:rPr>
                <w:rStyle w:val="IndexLink"/>
                <w:rtl w:val="true"/>
              </w:rPr>
              <w:tab/>
            </w:r>
            <w:r>
              <w:rPr>
                <w:rStyle w:val="IndexLink"/>
              </w:rPr>
              <w:t>299</w:t>
            </w:r>
          </w:hyperlink>
        </w:p>
        <w:p>
          <w:pPr>
            <w:pStyle w:val="Contents6"/>
            <w:tabs>
              <w:tab w:val="clear" w:pos="7609"/>
              <w:tab w:val="right" w:pos="9026" w:leader="dot"/>
            </w:tabs>
            <w:rPr/>
          </w:pPr>
          <w:hyperlink w:anchor="__RefHeading___Toc964303_2320776876">
            <w:r>
              <w:rPr>
                <w:webHidden/>
                <w:rStyle w:val="IndexLink"/>
                <w:rtl w:val="true"/>
              </w:rPr>
              <w:t>وجوب المطابقة بين الاستثناء و المستثنىٰ منه</w:t>
            </w:r>
            <w:r>
              <w:rPr>
                <w:rStyle w:val="IndexLink"/>
                <w:rtl w:val="true"/>
              </w:rPr>
              <w:tab/>
            </w:r>
            <w:r>
              <w:rPr>
                <w:rStyle w:val="IndexLink"/>
              </w:rPr>
              <w:t>299</w:t>
            </w:r>
          </w:hyperlink>
        </w:p>
        <w:p>
          <w:pPr>
            <w:pStyle w:val="Contents6"/>
            <w:tabs>
              <w:tab w:val="clear" w:pos="7609"/>
              <w:tab w:val="right" w:pos="9026" w:leader="dot"/>
            </w:tabs>
            <w:rPr/>
          </w:pPr>
          <w:hyperlink w:anchor="__RefHeading___Toc964305_2320776876">
            <w:r>
              <w:rPr>
                <w:webHidden/>
                <w:rStyle w:val="IndexLink"/>
                <w:rtl w:val="true"/>
              </w:rPr>
              <w:t>نفي خروج الاستثناء في الحديث عن حقيقته إذا تناول ما بعد الموت</w:t>
            </w:r>
            <w:r>
              <w:rPr>
                <w:rStyle w:val="IndexLink"/>
                <w:rtl w:val="true"/>
              </w:rPr>
              <w:tab/>
            </w:r>
            <w:r>
              <w:rPr>
                <w:rStyle w:val="IndexLink"/>
              </w:rPr>
              <w:t>300</w:t>
            </w:r>
          </w:hyperlink>
        </w:p>
        <w:p>
          <w:pPr>
            <w:pStyle w:val="Contents6"/>
            <w:tabs>
              <w:tab w:val="clear" w:pos="7609"/>
              <w:tab w:val="right" w:pos="9026" w:leader="dot"/>
            </w:tabs>
            <w:rPr/>
          </w:pPr>
          <w:hyperlink w:anchor="__RefHeading___Toc964307_2320776876">
            <w:r>
              <w:rPr>
                <w:webHidden/>
                <w:rStyle w:val="IndexLink"/>
                <w:rtl w:val="true"/>
              </w:rPr>
              <w:t>عدم دلالة الحديث علىٰ منازل أمير المؤمنين عليه السلام في حال حياة النبيّ صلى الله عليه و آله</w:t>
            </w:r>
            <w:r>
              <w:rPr>
                <w:rStyle w:val="IndexLink"/>
                <w:rtl w:val="true"/>
              </w:rPr>
              <w:tab/>
            </w:r>
            <w:r>
              <w:rPr>
                <w:rStyle w:val="IndexLink"/>
              </w:rPr>
              <w:t>301</w:t>
            </w:r>
          </w:hyperlink>
        </w:p>
        <w:p>
          <w:pPr>
            <w:pStyle w:val="Contents6"/>
            <w:tabs>
              <w:tab w:val="clear" w:pos="7609"/>
              <w:tab w:val="right" w:pos="9026" w:leader="dot"/>
            </w:tabs>
            <w:rPr/>
          </w:pPr>
          <w:hyperlink w:anchor="__RefHeading___Toc964309_2320776876">
            <w:r>
              <w:rPr>
                <w:webHidden/>
                <w:rStyle w:val="IndexLink"/>
                <w:rtl w:val="true"/>
              </w:rPr>
              <w:t>نفي دلالة صدر الحديث على الإمامة، لا في الحال و لا في المستقبل</w:t>
            </w:r>
            <w:r>
              <w:rPr>
                <w:rStyle w:val="IndexLink"/>
                <w:rtl w:val="true"/>
              </w:rPr>
              <w:tab/>
            </w:r>
            <w:r>
              <w:rPr>
                <w:rStyle w:val="IndexLink"/>
              </w:rPr>
              <w:t>305</w:t>
            </w:r>
          </w:hyperlink>
        </w:p>
        <w:p>
          <w:pPr>
            <w:pStyle w:val="Contents6"/>
            <w:tabs>
              <w:tab w:val="clear" w:pos="7609"/>
              <w:tab w:val="right" w:pos="9026" w:leader="dot"/>
            </w:tabs>
            <w:rPr/>
          </w:pPr>
          <w:hyperlink w:anchor="__RefHeading___Toc964311_2320776876">
            <w:r>
              <w:rPr>
                <w:webHidden/>
                <w:rStyle w:val="IndexLink"/>
                <w:rtl w:val="true"/>
              </w:rPr>
              <w:t>بيان أنّ منزلة خلافة هارون لموسىٰ هي إحدىٰ منازله، و إن كانت مقدّرة</w:t>
            </w:r>
            <w:r>
              <w:rPr>
                <w:rStyle w:val="IndexLink"/>
                <w:rtl w:val="true"/>
              </w:rPr>
              <w:tab/>
            </w:r>
            <w:r>
              <w:rPr>
                <w:rStyle w:val="IndexLink"/>
              </w:rPr>
              <w:t>306</w:t>
            </w:r>
          </w:hyperlink>
        </w:p>
        <w:p>
          <w:pPr>
            <w:pStyle w:val="Contents6"/>
            <w:tabs>
              <w:tab w:val="clear" w:pos="7609"/>
              <w:tab w:val="right" w:pos="9026" w:leader="dot"/>
            </w:tabs>
            <w:rPr/>
          </w:pPr>
          <w:hyperlink w:anchor="__RefHeading___Toc964313_2320776876">
            <w:r>
              <w:rPr>
                <w:webHidden/>
                <w:rStyle w:val="IndexLink"/>
                <w:rtl w:val="true"/>
              </w:rPr>
              <w:t>اعتراضُ القاضي بوِصايةِ يوشَعَ بنِ نونٍ ، و الجوابُ عن ذلكَ</w:t>
            </w:r>
            <w:r>
              <w:rPr>
                <w:rStyle w:val="IndexLink"/>
                <w:rtl w:val="true"/>
              </w:rPr>
              <w:tab/>
            </w:r>
            <w:r>
              <w:rPr>
                <w:rStyle w:val="IndexLink"/>
              </w:rPr>
              <w:t>308</w:t>
            </w:r>
          </w:hyperlink>
        </w:p>
        <w:p>
          <w:pPr>
            <w:pStyle w:val="Contents6"/>
            <w:tabs>
              <w:tab w:val="clear" w:pos="7609"/>
              <w:tab w:val="right" w:pos="9026" w:leader="dot"/>
            </w:tabs>
            <w:rPr/>
          </w:pPr>
          <w:hyperlink w:anchor="__RefHeading___Toc964315_2320776876">
            <w:r>
              <w:rPr>
                <w:webHidden/>
                <w:rStyle w:val="IndexLink"/>
                <w:rtl w:val="true"/>
              </w:rPr>
              <w:t>اقتضاء خلافة هارون في حياة موسىٰ ، لخلافته له بعد موته</w:t>
            </w:r>
            <w:r>
              <w:rPr>
                <w:rStyle w:val="IndexLink"/>
                <w:rtl w:val="true"/>
              </w:rPr>
              <w:tab/>
            </w:r>
            <w:r>
              <w:rPr>
                <w:rStyle w:val="IndexLink"/>
              </w:rPr>
              <w:t>313</w:t>
            </w:r>
          </w:hyperlink>
        </w:p>
        <w:p>
          <w:pPr>
            <w:pStyle w:val="Contents6"/>
            <w:tabs>
              <w:tab w:val="clear" w:pos="7609"/>
              <w:tab w:val="right" w:pos="9026" w:leader="dot"/>
            </w:tabs>
            <w:rPr/>
          </w:pPr>
          <w:hyperlink w:anchor="__RefHeading___Toc964317_2320776876">
            <w:r>
              <w:rPr>
                <w:webHidden/>
                <w:rStyle w:val="IndexLink"/>
                <w:rtl w:val="true"/>
              </w:rPr>
              <w:t>بيان خلافة هارون لموسىٰ بقول موسىٰ و كلامه</w:t>
            </w:r>
            <w:r>
              <w:rPr>
                <w:rStyle w:val="IndexLink"/>
                <w:rtl w:val="true"/>
              </w:rPr>
              <w:tab/>
            </w:r>
            <w:r>
              <w:rPr>
                <w:rStyle w:val="IndexLink"/>
              </w:rPr>
              <w:t>314</w:t>
            </w:r>
          </w:hyperlink>
        </w:p>
        <w:p>
          <w:pPr>
            <w:pStyle w:val="Contents6"/>
            <w:tabs>
              <w:tab w:val="clear" w:pos="7609"/>
              <w:tab w:val="right" w:pos="9026" w:leader="dot"/>
            </w:tabs>
            <w:rPr/>
          </w:pPr>
          <w:hyperlink w:anchor="__RefHeading___Toc964319_2320776876">
            <w:r>
              <w:rPr>
                <w:webHidden/>
                <w:rStyle w:val="IndexLink"/>
                <w:rtl w:val="true"/>
              </w:rPr>
              <w:t>لزوم استخلاف موسىٰ لهارون عند غيبته</w:t>
            </w:r>
            <w:r>
              <w:rPr>
                <w:rStyle w:val="IndexLink"/>
                <w:rtl w:val="true"/>
              </w:rPr>
              <w:tab/>
            </w:r>
            <w:r>
              <w:rPr>
                <w:rStyle w:val="IndexLink"/>
              </w:rPr>
              <w:t>317</w:t>
            </w:r>
          </w:hyperlink>
        </w:p>
        <w:p>
          <w:pPr>
            <w:pStyle w:val="Contents6"/>
            <w:tabs>
              <w:tab w:val="clear" w:pos="7609"/>
              <w:tab w:val="right" w:pos="9026" w:leader="dot"/>
            </w:tabs>
            <w:rPr/>
          </w:pPr>
          <w:hyperlink w:anchor="__RefHeading___Toc964321_2320776876">
            <w:r>
              <w:rPr>
                <w:webHidden/>
                <w:rStyle w:val="IndexLink"/>
                <w:rtl w:val="true"/>
              </w:rPr>
              <w:t>تهافت كلام القاضي حول مسألة لزوم استخلاف هارون</w:t>
            </w:r>
            <w:r>
              <w:rPr>
                <w:rStyle w:val="IndexLink"/>
                <w:rtl w:val="true"/>
              </w:rPr>
              <w:tab/>
            </w:r>
            <w:r>
              <w:rPr>
                <w:rStyle w:val="IndexLink"/>
              </w:rPr>
              <w:t>320</w:t>
            </w:r>
          </w:hyperlink>
        </w:p>
        <w:p>
          <w:pPr>
            <w:pStyle w:val="Contents6"/>
            <w:tabs>
              <w:tab w:val="clear" w:pos="7609"/>
              <w:tab w:val="right" w:pos="9026" w:leader="dot"/>
            </w:tabs>
            <w:rPr/>
          </w:pPr>
          <w:hyperlink w:anchor="__RefHeading___Toc964323_2320776876">
            <w:r>
              <w:rPr>
                <w:webHidden/>
                <w:rStyle w:val="IndexLink"/>
                <w:rtl w:val="true"/>
              </w:rPr>
              <w:t>مناقشة ما ذكره القاضي من أنّ سبب الاستخلاف هو الغَيبة</w:t>
            </w:r>
            <w:r>
              <w:rPr>
                <w:rStyle w:val="IndexLink"/>
                <w:rtl w:val="true"/>
              </w:rPr>
              <w:tab/>
            </w:r>
            <w:r>
              <w:rPr>
                <w:rStyle w:val="IndexLink"/>
              </w:rPr>
              <w:t>322</w:t>
            </w:r>
          </w:hyperlink>
        </w:p>
        <w:p>
          <w:pPr>
            <w:pStyle w:val="Contents6"/>
            <w:tabs>
              <w:tab w:val="clear" w:pos="7609"/>
              <w:tab w:val="right" w:pos="9026" w:leader="dot"/>
            </w:tabs>
            <w:rPr/>
          </w:pPr>
          <w:hyperlink w:anchor="__RefHeading___Toc964325_2320776876">
            <w:r>
              <w:rPr>
                <w:webHidden/>
                <w:rStyle w:val="IndexLink"/>
                <w:rtl w:val="true"/>
              </w:rPr>
              <w:t>بيان أنّ إثبات الإمامة المخصوصة بحال دون حال يستلزم الإمامة العامّة</w:t>
            </w:r>
            <w:r>
              <w:rPr>
                <w:rStyle w:val="IndexLink"/>
                <w:rtl w:val="true"/>
              </w:rPr>
              <w:tab/>
            </w:r>
            <w:r>
              <w:rPr>
                <w:rStyle w:val="IndexLink"/>
              </w:rPr>
              <w:t>323</w:t>
            </w:r>
          </w:hyperlink>
        </w:p>
        <w:p>
          <w:pPr>
            <w:pStyle w:val="Contents6"/>
            <w:tabs>
              <w:tab w:val="clear" w:pos="7609"/>
              <w:tab w:val="right" w:pos="9026" w:leader="dot"/>
            </w:tabs>
            <w:rPr/>
          </w:pPr>
          <w:hyperlink w:anchor="__RefHeading___Toc964327_2320776876">
            <w:r>
              <w:rPr>
                <w:webHidden/>
                <w:rStyle w:val="IndexLink"/>
                <w:rtl w:val="true"/>
              </w:rPr>
              <w:t>بيان انفصال منزلة الإمامة عن النبوّة</w:t>
            </w:r>
            <w:r>
              <w:rPr>
                <w:rStyle w:val="IndexLink"/>
                <w:rtl w:val="true"/>
              </w:rPr>
              <w:tab/>
            </w:r>
            <w:r>
              <w:rPr>
                <w:rStyle w:val="IndexLink"/>
              </w:rPr>
              <w:t>326</w:t>
            </w:r>
          </w:hyperlink>
        </w:p>
        <w:p>
          <w:pPr>
            <w:pStyle w:val="Contents6"/>
            <w:tabs>
              <w:tab w:val="clear" w:pos="7609"/>
              <w:tab w:val="right" w:pos="9026" w:leader="dot"/>
            </w:tabs>
            <w:rPr/>
          </w:pPr>
          <w:hyperlink w:anchor="__RefHeading___Toc964329_2320776876">
            <w:r>
              <w:rPr>
                <w:webHidden/>
                <w:rStyle w:val="IndexLink"/>
                <w:rtl w:val="true"/>
              </w:rPr>
              <w:t>بيان انفصال منزلة خلافة هارون لموسىٰ في حياته، عن منزلة خلافته له بعد وفاته</w:t>
            </w:r>
            <w:r>
              <w:rPr>
                <w:rStyle w:val="IndexLink"/>
                <w:rtl w:val="true"/>
              </w:rPr>
              <w:tab/>
            </w:r>
            <w:r>
              <w:rPr>
                <w:rStyle w:val="IndexLink"/>
              </w:rPr>
              <w:t>326</w:t>
            </w:r>
          </w:hyperlink>
        </w:p>
        <w:p>
          <w:pPr>
            <w:pStyle w:val="Contents6"/>
            <w:tabs>
              <w:tab w:val="clear" w:pos="7609"/>
              <w:tab w:val="right" w:pos="9026" w:leader="dot"/>
            </w:tabs>
            <w:rPr/>
          </w:pPr>
          <w:hyperlink w:anchor="__RefHeading___Toc964331_2320776876">
            <w:r>
              <w:rPr>
                <w:webHidden/>
                <w:rStyle w:val="IndexLink"/>
                <w:rtl w:val="true"/>
              </w:rPr>
              <w:t>خلط القاضي بين الاستدلال بالاستخلاف على المدينة، و الاستدلال بحديث المنزلة</w:t>
            </w:r>
            <w:r>
              <w:rPr>
                <w:rStyle w:val="IndexLink"/>
                <w:rtl w:val="true"/>
              </w:rPr>
              <w:tab/>
            </w:r>
            <w:r>
              <w:rPr>
                <w:rStyle w:val="IndexLink"/>
              </w:rPr>
              <w:t>333</w:t>
            </w:r>
          </w:hyperlink>
        </w:p>
        <w:p>
          <w:pPr>
            <w:pStyle w:val="Contents6"/>
            <w:tabs>
              <w:tab w:val="clear" w:pos="7609"/>
              <w:tab w:val="right" w:pos="9026" w:leader="dot"/>
            </w:tabs>
            <w:rPr/>
          </w:pPr>
          <w:hyperlink w:anchor="__RefHeading___Toc964333_2320776876">
            <w:r>
              <w:rPr>
                <w:webHidden/>
                <w:rStyle w:val="IndexLink"/>
                <w:rtl w:val="true"/>
              </w:rPr>
              <w:t>بيان أنّ فرض الطاعة و عموم الولاية يستلزمان إثبات الإمامة</w:t>
            </w:r>
            <w:r>
              <w:rPr>
                <w:rStyle w:val="IndexLink"/>
                <w:rtl w:val="true"/>
              </w:rPr>
              <w:tab/>
            </w:r>
            <w:r>
              <w:rPr>
                <w:rStyle w:val="IndexLink"/>
              </w:rPr>
              <w:t>336</w:t>
            </w:r>
          </w:hyperlink>
        </w:p>
        <w:p>
          <w:pPr>
            <w:pStyle w:val="Contents6"/>
            <w:tabs>
              <w:tab w:val="clear" w:pos="7609"/>
              <w:tab w:val="right" w:pos="9026" w:leader="dot"/>
            </w:tabs>
            <w:rPr/>
          </w:pPr>
          <w:hyperlink w:anchor="__RefHeading___Toc964335_2320776876">
            <w:r>
              <w:rPr>
                <w:webHidden/>
                <w:rStyle w:val="IndexLink"/>
                <w:rtl w:val="true"/>
              </w:rPr>
              <w:t>بيان وجه الاستدلال بالاستخلاف على المدينة علىٰ إمامة أمير المؤمنين عليه السلام</w:t>
            </w:r>
            <w:r>
              <w:rPr>
                <w:rStyle w:val="IndexLink"/>
                <w:rtl w:val="true"/>
              </w:rPr>
              <w:tab/>
            </w:r>
            <w:r>
              <w:rPr>
                <w:rStyle w:val="IndexLink"/>
              </w:rPr>
              <w:t>337</w:t>
            </w:r>
          </w:hyperlink>
        </w:p>
        <w:p>
          <w:pPr>
            <w:pStyle w:val="Contents6"/>
            <w:tabs>
              <w:tab w:val="clear" w:pos="7609"/>
              <w:tab w:val="right" w:pos="9026" w:leader="dot"/>
            </w:tabs>
            <w:rPr/>
          </w:pPr>
          <w:hyperlink w:anchor="__RefHeading___Toc964337_2320776876">
            <w:r>
              <w:rPr>
                <w:webHidden/>
                <w:rStyle w:val="IndexLink"/>
                <w:rtl w:val="true"/>
              </w:rPr>
              <w:t>بيان الفرق بين النبوّة و الاستخلاف في اقتضاء الإمامة</w:t>
            </w:r>
            <w:r>
              <w:rPr>
                <w:rStyle w:val="IndexLink"/>
                <w:rtl w:val="true"/>
              </w:rPr>
              <w:tab/>
            </w:r>
            <w:r>
              <w:rPr>
                <w:rStyle w:val="IndexLink"/>
              </w:rPr>
              <w:t>340</w:t>
            </w:r>
          </w:hyperlink>
        </w:p>
        <w:p>
          <w:pPr>
            <w:pStyle w:val="Contents6"/>
            <w:tabs>
              <w:tab w:val="clear" w:pos="7609"/>
              <w:tab w:val="right" w:pos="9026" w:leader="dot"/>
            </w:tabs>
            <w:rPr/>
          </w:pPr>
          <w:hyperlink w:anchor="__RefHeading___Toc964339_2320776876">
            <w:r>
              <w:rPr>
                <w:webHidden/>
                <w:rStyle w:val="IndexLink"/>
                <w:rtl w:val="true"/>
              </w:rPr>
              <w:t>مناقشة أن يكون سبب صدور حديث المنزلة هو إرجاف المنافقين</w:t>
            </w:r>
            <w:r>
              <w:rPr>
                <w:rStyle w:val="IndexLink"/>
                <w:rtl w:val="true"/>
              </w:rPr>
              <w:tab/>
            </w:r>
            <w:r>
              <w:rPr>
                <w:rStyle w:val="IndexLink"/>
              </w:rPr>
              <w:t>345</w:t>
            </w:r>
          </w:hyperlink>
        </w:p>
        <w:p>
          <w:pPr>
            <w:pStyle w:val="Contents6"/>
            <w:tabs>
              <w:tab w:val="clear" w:pos="7609"/>
              <w:tab w:val="right" w:pos="9026" w:leader="dot"/>
            </w:tabs>
            <w:rPr/>
          </w:pPr>
          <w:hyperlink w:anchor="__RefHeading___Toc964341_2320776876">
            <w:r>
              <w:rPr>
                <w:webHidden/>
                <w:rStyle w:val="IndexLink"/>
                <w:rtl w:val="true"/>
              </w:rPr>
              <w:t>عدم المنافاة بين تأويل الإماميّة للحديث، و تأويل القاضي</w:t>
            </w:r>
            <w:r>
              <w:rPr>
                <w:rStyle w:val="IndexLink"/>
                <w:rtl w:val="true"/>
              </w:rPr>
              <w:tab/>
            </w:r>
            <w:r>
              <w:rPr>
                <w:rStyle w:val="IndexLink"/>
              </w:rPr>
              <w:t>347</w:t>
            </w:r>
          </w:hyperlink>
        </w:p>
        <w:p>
          <w:pPr>
            <w:pStyle w:val="Contents6"/>
            <w:tabs>
              <w:tab w:val="clear" w:pos="7609"/>
              <w:tab w:val="right" w:pos="9026" w:leader="dot"/>
            </w:tabs>
            <w:rPr/>
          </w:pPr>
          <w:hyperlink w:anchor="__RefHeading___Toc964343_2320776876">
            <w:r>
              <w:rPr>
                <w:webHidden/>
                <w:rStyle w:val="IndexLink"/>
                <w:rtl w:val="true"/>
              </w:rPr>
              <w:t xml:space="preserve">نفي دلالة العرف على استعمال لفظة </w:t>
            </w:r>
            <w:r>
              <w:rPr>
                <w:rStyle w:val="IndexLink"/>
                <w:rtl w:val="true"/>
              </w:rPr>
              <w:t>«</w:t>
            </w:r>
            <w:r>
              <w:rPr>
                <w:rStyle w:val="IndexLink"/>
                <w:rtl w:val="true"/>
              </w:rPr>
              <w:t>المنزلة</w:t>
            </w:r>
            <w:r>
              <w:rPr>
                <w:rStyle w:val="IndexLink"/>
                <w:rtl w:val="true"/>
              </w:rPr>
              <w:t xml:space="preserve">» </w:t>
            </w:r>
            <w:r>
              <w:rPr>
                <w:rStyle w:val="IndexLink"/>
                <w:rtl w:val="true"/>
              </w:rPr>
              <w:t xml:space="preserve">في معنى </w:t>
            </w:r>
            <w:r>
              <w:rPr>
                <w:rStyle w:val="IndexLink"/>
                <w:rtl w:val="true"/>
              </w:rPr>
              <w:t>«</w:t>
            </w:r>
            <w:r>
              <w:rPr>
                <w:rStyle w:val="IndexLink"/>
                <w:rtl w:val="true"/>
              </w:rPr>
              <w:t>الموقع من القلب</w:t>
            </w:r>
            <w:r>
              <w:rPr>
                <w:rStyle w:val="IndexLink"/>
                <w:rtl w:val="true"/>
              </w:rPr>
              <w:t xml:space="preserve">» </w:t>
            </w:r>
            <w:r>
              <w:rPr>
                <w:rStyle w:val="IndexLink"/>
                <w:rtl w:val="true"/>
              </w:rPr>
              <w:t>فقط</w:t>
            </w:r>
            <w:r>
              <w:rPr>
                <w:rStyle w:val="IndexLink"/>
                <w:rtl w:val="true"/>
              </w:rPr>
              <w:tab/>
            </w:r>
            <w:r>
              <w:rPr>
                <w:rStyle w:val="IndexLink"/>
              </w:rPr>
              <w:t>347</w:t>
            </w:r>
          </w:hyperlink>
        </w:p>
        <w:p>
          <w:pPr>
            <w:pStyle w:val="Contents6"/>
            <w:tabs>
              <w:tab w:val="clear" w:pos="7609"/>
              <w:tab w:val="right" w:pos="9026" w:leader="dot"/>
            </w:tabs>
            <w:rPr/>
          </w:pPr>
          <w:hyperlink w:anchor="__RefHeading___Toc964345_2320776876">
            <w:r>
              <w:rPr>
                <w:webHidden/>
                <w:rStyle w:val="IndexLink"/>
                <w:rtl w:val="true"/>
              </w:rPr>
              <w:t xml:space="preserve">بيان دلالة لفظ </w:t>
            </w:r>
            <w:r>
              <w:rPr>
                <w:rStyle w:val="IndexLink"/>
                <w:rtl w:val="true"/>
              </w:rPr>
              <w:t>«</w:t>
            </w:r>
            <w:r>
              <w:rPr>
                <w:rStyle w:val="IndexLink"/>
                <w:rtl w:val="true"/>
              </w:rPr>
              <w:t xml:space="preserve">المحلّ </w:t>
            </w:r>
            <w:r>
              <w:rPr>
                <w:rStyle w:val="IndexLink"/>
                <w:rtl w:val="true"/>
              </w:rPr>
              <w:t xml:space="preserve">» </w:t>
            </w:r>
            <w:r>
              <w:rPr>
                <w:rStyle w:val="IndexLink"/>
                <w:rtl w:val="true"/>
              </w:rPr>
              <w:t xml:space="preserve">و </w:t>
            </w:r>
            <w:r>
              <w:rPr>
                <w:rStyle w:val="IndexLink"/>
                <w:rtl w:val="true"/>
              </w:rPr>
              <w:t>«</w:t>
            </w:r>
            <w:r>
              <w:rPr>
                <w:rStyle w:val="IndexLink"/>
                <w:rtl w:val="true"/>
              </w:rPr>
              <w:t>الموقع</w:t>
            </w:r>
            <w:r>
              <w:rPr>
                <w:rStyle w:val="IndexLink"/>
                <w:rtl w:val="true"/>
              </w:rPr>
              <w:t xml:space="preserve">» </w:t>
            </w:r>
            <w:r>
              <w:rPr>
                <w:rStyle w:val="IndexLink"/>
                <w:rtl w:val="true"/>
              </w:rPr>
              <w:t>على الولاية</w:t>
            </w:r>
            <w:r>
              <w:rPr>
                <w:rStyle w:val="IndexLink"/>
                <w:rtl w:val="true"/>
              </w:rPr>
              <w:tab/>
            </w:r>
            <w:r>
              <w:rPr>
                <w:rStyle w:val="IndexLink"/>
              </w:rPr>
              <w:t>348</w:t>
            </w:r>
          </w:hyperlink>
        </w:p>
        <w:p>
          <w:pPr>
            <w:pStyle w:val="Contents6"/>
            <w:tabs>
              <w:tab w:val="clear" w:pos="7609"/>
              <w:tab w:val="right" w:pos="9026" w:leader="dot"/>
            </w:tabs>
            <w:rPr/>
          </w:pPr>
          <w:hyperlink w:anchor="__RefHeading___Toc964347_2320776876">
            <w:r>
              <w:rPr>
                <w:webHidden/>
                <w:rStyle w:val="IndexLink"/>
                <w:rtl w:val="true"/>
              </w:rPr>
              <w:t xml:space="preserve">في بيان كون الاستثناء في الحديث </w:t>
            </w:r>
            <w:r>
              <w:rPr>
                <w:rStyle w:val="IndexLink"/>
                <w:rtl w:val="true"/>
              </w:rPr>
              <w:t xml:space="preserve">- </w:t>
            </w:r>
            <w:r>
              <w:rPr>
                <w:rStyle w:val="IndexLink"/>
                <w:rtl w:val="true"/>
              </w:rPr>
              <w:t xml:space="preserve">بناءً علىٰ تأويل القاضي </w:t>
            </w:r>
            <w:r>
              <w:rPr>
                <w:rStyle w:val="IndexLink"/>
                <w:rtl w:val="true"/>
              </w:rPr>
              <w:t xml:space="preserve">- </w:t>
            </w:r>
            <w:r>
              <w:rPr>
                <w:rStyle w:val="IndexLink"/>
                <w:rtl w:val="true"/>
              </w:rPr>
              <w:t>استثناءً مجازيّاً</w:t>
            </w:r>
            <w:r>
              <w:rPr>
                <w:rStyle w:val="IndexLink"/>
                <w:rtl w:val="true"/>
              </w:rPr>
              <w:tab/>
            </w:r>
            <w:r>
              <w:rPr>
                <w:rStyle w:val="IndexLink"/>
              </w:rPr>
              <w:t>349</w:t>
            </w:r>
          </w:hyperlink>
        </w:p>
        <w:p>
          <w:pPr>
            <w:pStyle w:val="Contents6"/>
            <w:tabs>
              <w:tab w:val="clear" w:pos="7609"/>
              <w:tab w:val="right" w:pos="9026" w:leader="dot"/>
            </w:tabs>
            <w:rPr/>
          </w:pPr>
          <w:hyperlink w:anchor="__RefHeading___Toc964349_2320776876">
            <w:r>
              <w:rPr>
                <w:webHidden/>
                <w:rStyle w:val="IndexLink"/>
                <w:rtl w:val="true"/>
              </w:rPr>
              <w:t>بيان زوال شكّ المنافقين و إرجافهم بناءً علىٰ تأويل المنزلة بالولاية</w:t>
            </w:r>
            <w:r>
              <w:rPr>
                <w:rStyle w:val="IndexLink"/>
                <w:rtl w:val="true"/>
              </w:rPr>
              <w:tab/>
            </w:r>
            <w:r>
              <w:rPr>
                <w:rStyle w:val="IndexLink"/>
              </w:rPr>
              <w:t>349</w:t>
            </w:r>
          </w:hyperlink>
        </w:p>
        <w:p>
          <w:pPr>
            <w:pStyle w:val="Contents6"/>
            <w:tabs>
              <w:tab w:val="clear" w:pos="7609"/>
              <w:tab w:val="right" w:pos="9026" w:leader="dot"/>
            </w:tabs>
            <w:rPr/>
          </w:pPr>
          <w:hyperlink w:anchor="__RefHeading___Toc964351_2320776876">
            <w:r>
              <w:rPr>
                <w:webHidden/>
                <w:rStyle w:val="IndexLink"/>
                <w:rtl w:val="true"/>
              </w:rPr>
              <w:t>دلالة الحديث علىٰ منزلة خلافة أمير المؤمنين عليه السلام و إن مات في حياة الرسول صلى الله عليه و آله</w:t>
            </w:r>
            <w:r>
              <w:rPr>
                <w:rStyle w:val="IndexLink"/>
                <w:rtl w:val="true"/>
              </w:rPr>
              <w:tab/>
            </w:r>
            <w:r>
              <w:rPr>
                <w:rStyle w:val="IndexLink"/>
              </w:rPr>
              <w:t>352</w:t>
            </w:r>
          </w:hyperlink>
        </w:p>
        <w:p>
          <w:pPr>
            <w:pStyle w:val="Contents6"/>
            <w:tabs>
              <w:tab w:val="clear" w:pos="7609"/>
              <w:tab w:val="right" w:pos="9026" w:leader="dot"/>
            </w:tabs>
            <w:rPr/>
          </w:pPr>
          <w:hyperlink w:anchor="__RefHeading___Toc964353_2320776876">
            <w:r>
              <w:rPr>
                <w:webHidden/>
                <w:rStyle w:val="IndexLink"/>
                <w:rtl w:val="true"/>
              </w:rPr>
              <w:t>بيان وجه القطع علىٰ بقاء أمير المؤمنين عليه السلام حيّاً بعد وفاة الرسول صلى الله عليه و آله</w:t>
            </w:r>
            <w:r>
              <w:rPr>
                <w:rStyle w:val="IndexLink"/>
                <w:rtl w:val="true"/>
              </w:rPr>
              <w:tab/>
            </w:r>
            <w:r>
              <w:rPr>
                <w:rStyle w:val="IndexLink"/>
              </w:rPr>
              <w:t>353</w:t>
            </w:r>
          </w:hyperlink>
        </w:p>
        <w:p>
          <w:pPr>
            <w:pStyle w:val="Contents6"/>
            <w:tabs>
              <w:tab w:val="clear" w:pos="7609"/>
              <w:tab w:val="right" w:pos="9026" w:leader="dot"/>
            </w:tabs>
            <w:rPr/>
          </w:pPr>
          <w:hyperlink w:anchor="__RefHeading___Toc964355_2320776876">
            <w:r>
              <w:rPr>
                <w:webHidden/>
                <w:rStyle w:val="IndexLink"/>
                <w:rtl w:val="true"/>
              </w:rPr>
              <w:t>إبطال تولية أبي بكر علىٰ أمير المؤمنين عليه السلام في الحجّ ، و تقديمه عليه في الصلاة</w:t>
            </w:r>
            <w:r>
              <w:rPr>
                <w:rStyle w:val="IndexLink"/>
                <w:rtl w:val="true"/>
              </w:rPr>
              <w:tab/>
            </w:r>
            <w:r>
              <w:rPr>
                <w:rStyle w:val="IndexLink"/>
              </w:rPr>
              <w:t>354</w:t>
            </w:r>
          </w:hyperlink>
        </w:p>
        <w:p>
          <w:pPr>
            <w:pStyle w:val="Contents6"/>
            <w:tabs>
              <w:tab w:val="clear" w:pos="7609"/>
              <w:tab w:val="right" w:pos="9026" w:leader="dot"/>
            </w:tabs>
            <w:rPr/>
          </w:pPr>
          <w:hyperlink w:anchor="__RefHeading___Toc964357_2320776876">
            <w:r>
              <w:rPr>
                <w:webHidden/>
                <w:rStyle w:val="IndexLink"/>
                <w:rtl w:val="true"/>
              </w:rPr>
              <w:t>نفي أن يكون استخلاف غير أمير المؤمنين على المدينة عزلاً له</w:t>
            </w:r>
            <w:r>
              <w:rPr>
                <w:rStyle w:val="IndexLink"/>
                <w:rtl w:val="true"/>
              </w:rPr>
              <w:tab/>
            </w:r>
            <w:r>
              <w:rPr>
                <w:rStyle w:val="IndexLink"/>
              </w:rPr>
              <w:t>357</w:t>
            </w:r>
          </w:hyperlink>
        </w:p>
        <w:p>
          <w:pPr>
            <w:pStyle w:val="Contents6"/>
            <w:tabs>
              <w:tab w:val="clear" w:pos="7609"/>
              <w:tab w:val="right" w:pos="9026" w:leader="dot"/>
            </w:tabs>
            <w:rPr/>
          </w:pPr>
          <w:hyperlink w:anchor="__RefHeading___Toc964359_2320776876">
            <w:r>
              <w:rPr>
                <w:webHidden/>
                <w:rStyle w:val="IndexLink"/>
                <w:rtl w:val="true"/>
              </w:rPr>
              <w:t>تهافت كلمات القاضي حول تولّي هارون لشؤون الإمامة</w:t>
            </w:r>
            <w:r>
              <w:rPr>
                <w:rStyle w:val="IndexLink"/>
                <w:rtl w:val="true"/>
              </w:rPr>
              <w:tab/>
            </w:r>
            <w:r>
              <w:rPr>
                <w:rStyle w:val="IndexLink"/>
              </w:rPr>
              <w:t>361</w:t>
            </w:r>
          </w:hyperlink>
        </w:p>
        <w:p>
          <w:pPr>
            <w:pStyle w:val="Contents6"/>
            <w:tabs>
              <w:tab w:val="clear" w:pos="7609"/>
              <w:tab w:val="right" w:pos="9026" w:leader="dot"/>
            </w:tabs>
            <w:rPr/>
          </w:pPr>
          <w:hyperlink w:anchor="__RefHeading___Toc964361_2320776876">
            <w:r>
              <w:rPr>
                <w:webHidden/>
                <w:rStyle w:val="IndexLink"/>
                <w:rtl w:val="true"/>
              </w:rPr>
              <w:t>إشارة إلىٰ ما تقدّم من أنّ إمامة هارون كانت لاستخلاف موسىٰ له، لا لنبوّته</w:t>
            </w:r>
            <w:r>
              <w:rPr>
                <w:rStyle w:val="IndexLink"/>
                <w:rtl w:val="true"/>
              </w:rPr>
              <w:tab/>
            </w:r>
            <w:r>
              <w:rPr>
                <w:rStyle w:val="IndexLink"/>
              </w:rPr>
              <w:t>362</w:t>
            </w:r>
          </w:hyperlink>
        </w:p>
        <w:p>
          <w:pPr>
            <w:pStyle w:val="Contents6"/>
            <w:tabs>
              <w:tab w:val="clear" w:pos="7609"/>
              <w:tab w:val="right" w:pos="9026" w:leader="dot"/>
            </w:tabs>
            <w:rPr/>
          </w:pPr>
          <w:hyperlink w:anchor="__RefHeading___Toc964363_2320776876">
            <w:r>
              <w:rPr>
                <w:webHidden/>
                <w:rStyle w:val="IndexLink"/>
                <w:rtl w:val="true"/>
              </w:rPr>
              <w:t>بيان زوال أثر الاستخلاف علىٰ فرض تأثير النبوّة في القيام بشؤون الإمامة</w:t>
            </w:r>
            <w:r>
              <w:rPr>
                <w:rStyle w:val="IndexLink"/>
                <w:rtl w:val="true"/>
              </w:rPr>
              <w:tab/>
            </w:r>
            <w:r>
              <w:rPr>
                <w:rStyle w:val="IndexLink"/>
              </w:rPr>
              <w:t>363</w:t>
            </w:r>
          </w:hyperlink>
        </w:p>
        <w:p>
          <w:pPr>
            <w:pStyle w:val="Contents6"/>
            <w:tabs>
              <w:tab w:val="clear" w:pos="7609"/>
              <w:tab w:val="right" w:pos="9026" w:leader="dot"/>
            </w:tabs>
            <w:rPr/>
          </w:pPr>
          <w:hyperlink w:anchor="__RefHeading___Toc964365_2320776876">
            <w:r>
              <w:rPr>
                <w:webHidden/>
                <w:rStyle w:val="IndexLink"/>
                <w:rtl w:val="true"/>
              </w:rPr>
              <w:t>عدم توقّف الاستدلال بحديث المنزلة على الإمامة، علىٰ كون الاستخلاف واجباً أو مخيَّراً فيه</w:t>
            </w:r>
            <w:r>
              <w:rPr>
                <w:rStyle w:val="IndexLink"/>
                <w:rtl w:val="true"/>
              </w:rPr>
              <w:tab/>
            </w:r>
            <w:r>
              <w:rPr>
                <w:rStyle w:val="IndexLink"/>
              </w:rPr>
              <w:t>365</w:t>
            </w:r>
          </w:hyperlink>
        </w:p>
        <w:p>
          <w:pPr>
            <w:pStyle w:val="Contents6"/>
            <w:tabs>
              <w:tab w:val="clear" w:pos="7609"/>
              <w:tab w:val="right" w:pos="9026" w:leader="dot"/>
            </w:tabs>
            <w:rPr/>
          </w:pPr>
          <w:hyperlink w:anchor="__RefHeading___Toc964367_2320776876">
            <w:r>
              <w:rPr>
                <w:webHidden/>
                <w:rStyle w:val="IndexLink"/>
                <w:rtl w:val="true"/>
              </w:rPr>
              <w:t>بيان عدم وجوب الإمامة لشخصٍ بعينه</w:t>
            </w:r>
            <w:r>
              <w:rPr>
                <w:rStyle w:val="IndexLink"/>
                <w:rtl w:val="true"/>
              </w:rPr>
              <w:tab/>
            </w:r>
            <w:r>
              <w:rPr>
                <w:rStyle w:val="IndexLink"/>
              </w:rPr>
              <w:t>366</w:t>
            </w:r>
          </w:hyperlink>
        </w:p>
        <w:p>
          <w:pPr>
            <w:pStyle w:val="Contents6"/>
            <w:tabs>
              <w:tab w:val="clear" w:pos="7609"/>
              <w:tab w:val="right" w:pos="9026" w:leader="dot"/>
            </w:tabs>
            <w:rPr/>
          </w:pPr>
          <w:hyperlink w:anchor="__RefHeading___Toc964369_2320776876">
            <w:r>
              <w:rPr>
                <w:webHidden/>
                <w:rStyle w:val="IndexLink"/>
                <w:rtl w:val="true"/>
              </w:rPr>
              <w:t>عدم دلالة حديث المنزلة علىٰ نظريّة الإمامة بكلّ تفاصيلها</w:t>
            </w:r>
            <w:r>
              <w:rPr>
                <w:rStyle w:val="IndexLink"/>
                <w:rtl w:val="true"/>
              </w:rPr>
              <w:tab/>
            </w:r>
            <w:r>
              <w:rPr>
                <w:rStyle w:val="IndexLink"/>
              </w:rPr>
              <w:t>367</w:t>
            </w:r>
          </w:hyperlink>
        </w:p>
        <w:p>
          <w:pPr>
            <w:pStyle w:val="Contents6"/>
            <w:tabs>
              <w:tab w:val="clear" w:pos="7609"/>
              <w:tab w:val="right" w:pos="9026" w:leader="dot"/>
            </w:tabs>
            <w:rPr/>
          </w:pPr>
          <w:hyperlink w:anchor="__RefHeading___Toc964371_2320776876">
            <w:r>
              <w:rPr>
                <w:webHidden/>
                <w:rStyle w:val="IndexLink"/>
                <w:rtl w:val="true"/>
              </w:rPr>
              <w:t>نفي وجود مَن يساوي الرسول صلى الله عليه و آله و أمير المؤمنين عليه السلام في أيّام ولايتهما</w:t>
            </w:r>
            <w:r>
              <w:rPr>
                <w:rStyle w:val="IndexLink"/>
                <w:rtl w:val="true"/>
              </w:rPr>
              <w:tab/>
            </w:r>
            <w:r>
              <w:rPr>
                <w:rStyle w:val="IndexLink"/>
              </w:rPr>
              <w:t>369</w:t>
            </w:r>
          </w:hyperlink>
        </w:p>
        <w:p>
          <w:pPr>
            <w:pStyle w:val="Contents6"/>
            <w:tabs>
              <w:tab w:val="clear" w:pos="7609"/>
              <w:tab w:val="right" w:pos="9026" w:leader="dot"/>
            </w:tabs>
            <w:rPr/>
          </w:pPr>
          <w:hyperlink w:anchor="__RefHeading___Toc964373_2320776876">
            <w:r>
              <w:rPr>
                <w:webHidden/>
                <w:rStyle w:val="IndexLink"/>
                <w:rtl w:val="true"/>
              </w:rPr>
              <w:t>بيان الفرق بين الاستخلاف في حياة الرسول صلى الله عليه و آله، و بعد وفاته</w:t>
            </w:r>
            <w:r>
              <w:rPr>
                <w:rStyle w:val="IndexLink"/>
                <w:rtl w:val="true"/>
              </w:rPr>
              <w:tab/>
            </w:r>
            <w:r>
              <w:rPr>
                <w:rStyle w:val="IndexLink"/>
              </w:rPr>
              <w:t>371</w:t>
            </w:r>
          </w:hyperlink>
        </w:p>
        <w:p>
          <w:pPr>
            <w:pStyle w:val="Contents6"/>
            <w:tabs>
              <w:tab w:val="clear" w:pos="7609"/>
              <w:tab w:val="right" w:pos="9026" w:leader="dot"/>
            </w:tabs>
            <w:rPr/>
          </w:pPr>
          <w:hyperlink w:anchor="__RefHeading___Toc964375_2320776876">
            <w:r>
              <w:rPr>
                <w:webHidden/>
                <w:rStyle w:val="IndexLink"/>
                <w:rtl w:val="true"/>
              </w:rPr>
              <w:t>بيان عموم وصف الاستخلاف بأنّه منزلة، سواء كان الاستخلاف واجباً أو اختياريّاً</w:t>
            </w:r>
            <w:r>
              <w:rPr>
                <w:rStyle w:val="IndexLink"/>
                <w:rtl w:val="true"/>
              </w:rPr>
              <w:tab/>
            </w:r>
            <w:r>
              <w:rPr>
                <w:rStyle w:val="IndexLink"/>
              </w:rPr>
              <w:t>372</w:t>
            </w:r>
          </w:hyperlink>
        </w:p>
        <w:p>
          <w:pPr>
            <w:pStyle w:val="Contents4"/>
            <w:tabs>
              <w:tab w:val="clear" w:pos="8176"/>
              <w:tab w:val="right" w:pos="9026" w:leader="dot"/>
            </w:tabs>
            <w:rPr/>
          </w:pPr>
          <w:hyperlink w:anchor="__RefHeading___Toc964377_2320776876">
            <w:r>
              <w:rPr>
                <w:webHidden/>
                <w:rStyle w:val="IndexLink"/>
                <w:rtl w:val="true"/>
              </w:rPr>
              <w:t>الدليل العاشر استخلافُ الرسولِ صلى الله عليه و آله عليّاً عليه السلام علَى المَدينةِ</w:t>
            </w:r>
            <w:r>
              <w:rPr>
                <w:rStyle w:val="IndexLink"/>
                <w:rtl w:val="true"/>
              </w:rPr>
              <w:tab/>
            </w:r>
            <w:r>
              <w:rPr>
                <w:rStyle w:val="IndexLink"/>
              </w:rPr>
              <w:t>374</w:t>
            </w:r>
          </w:hyperlink>
        </w:p>
        <w:p>
          <w:pPr>
            <w:pStyle w:val="Contents5"/>
            <w:tabs>
              <w:tab w:val="clear" w:pos="7892"/>
              <w:tab w:val="right" w:pos="9026" w:leader="dot"/>
            </w:tabs>
            <w:rPr/>
          </w:pPr>
          <w:hyperlink w:anchor="__RefHeading___Toc964379_2320776876">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964381_2320776876">
            <w:r>
              <w:rPr>
                <w:webHidden/>
                <w:rStyle w:val="IndexLink"/>
                <w:rtl w:val="true"/>
              </w:rPr>
              <w:t>نفي دلالة الاستخلاف على المدينة، على النصّ علىٰ أمير المؤمنين عليه السلام</w:t>
            </w:r>
            <w:r>
              <w:rPr>
                <w:rStyle w:val="IndexLink"/>
                <w:rtl w:val="true"/>
              </w:rPr>
              <w:tab/>
            </w:r>
            <w:r>
              <w:rPr>
                <w:rStyle w:val="IndexLink"/>
              </w:rPr>
              <w:t>375</w:t>
            </w:r>
          </w:hyperlink>
        </w:p>
        <w:p>
          <w:pPr>
            <w:pStyle w:val="Contents5"/>
            <w:tabs>
              <w:tab w:val="clear" w:pos="7892"/>
              <w:tab w:val="right" w:pos="9026" w:leader="dot"/>
            </w:tabs>
            <w:rPr/>
          </w:pPr>
          <w:hyperlink w:anchor="__RefHeading___Toc964383_2320776876">
            <w:r>
              <w:rPr>
                <w:webHidden/>
                <w:rStyle w:val="IndexLink"/>
                <w:rtl w:val="true"/>
              </w:rPr>
              <w:t>دلالة استخلاف الرسول صلى الله عليه و آله في حال غيبته في حياته، علىٰ وجوب النصّ بعد وفاته</w:t>
            </w:r>
            <w:r>
              <w:rPr>
                <w:rStyle w:val="IndexLink"/>
                <w:rtl w:val="true"/>
              </w:rPr>
              <w:tab/>
            </w:r>
            <w:r>
              <w:rPr>
                <w:rStyle w:val="IndexLink"/>
              </w:rPr>
              <w:t>376</w:t>
            </w:r>
          </w:hyperlink>
        </w:p>
        <w:p>
          <w:pPr>
            <w:pStyle w:val="Contents5"/>
            <w:tabs>
              <w:tab w:val="clear" w:pos="7892"/>
              <w:tab w:val="right" w:pos="9026" w:leader="dot"/>
            </w:tabs>
            <w:rPr/>
          </w:pPr>
          <w:hyperlink w:anchor="__RefHeading___Toc964385_2320776876">
            <w:r>
              <w:rPr>
                <w:webHidden/>
                <w:rStyle w:val="IndexLink"/>
                <w:rtl w:val="true"/>
              </w:rPr>
              <w:t>بيان الفرق بين أصل الاستخلاف و بين عدد المستخلَفين في الوجوب و عدمه</w:t>
            </w:r>
            <w:r>
              <w:rPr>
                <w:rStyle w:val="IndexLink"/>
                <w:rtl w:val="true"/>
              </w:rPr>
              <w:tab/>
            </w:r>
            <w:r>
              <w:rPr>
                <w:rStyle w:val="IndexLink"/>
              </w:rPr>
              <w:t>379</w:t>
            </w:r>
          </w:hyperlink>
        </w:p>
        <w:p>
          <w:pPr>
            <w:pStyle w:val="Contents5"/>
            <w:tabs>
              <w:tab w:val="clear" w:pos="7892"/>
              <w:tab w:val="right" w:pos="9026" w:leader="dot"/>
            </w:tabs>
            <w:rPr/>
          </w:pPr>
          <w:hyperlink w:anchor="__RefHeading___Toc964387_2320776876">
            <w:r>
              <w:rPr>
                <w:webHidden/>
                <w:rStyle w:val="IndexLink"/>
                <w:rtl w:val="true"/>
              </w:rPr>
              <w:t>نفي دلالة تبديل الخلفاء علىٰ عدم النصّ</w:t>
            </w:r>
            <w:r>
              <w:rPr>
                <w:rStyle w:val="IndexLink"/>
                <w:rtl w:val="true"/>
              </w:rPr>
              <w:tab/>
            </w:r>
            <w:r>
              <w:rPr>
                <w:rStyle w:val="IndexLink"/>
              </w:rPr>
              <w:t>380</w:t>
            </w:r>
          </w:hyperlink>
        </w:p>
        <w:p>
          <w:pPr>
            <w:pStyle w:val="Contents5"/>
            <w:tabs>
              <w:tab w:val="clear" w:pos="7892"/>
              <w:tab w:val="right" w:pos="9026" w:leader="dot"/>
            </w:tabs>
            <w:rPr/>
          </w:pPr>
          <w:hyperlink w:anchor="__RefHeading___Toc964389_2320776876">
            <w:r>
              <w:rPr>
                <w:webHidden/>
                <w:rStyle w:val="IndexLink"/>
                <w:rtl w:val="true"/>
              </w:rPr>
              <w:t>نفي دلالة استخلاف الأُمراء لغيرهم، علىٰ مشاركتهم للرسول صلى الله عليه و آله في إقامة الإمام</w:t>
            </w:r>
            <w:r>
              <w:rPr>
                <w:rStyle w:val="IndexLink"/>
                <w:rtl w:val="true"/>
              </w:rPr>
              <w:tab/>
            </w:r>
            <w:r>
              <w:rPr>
                <w:rStyle w:val="IndexLink"/>
              </w:rPr>
              <w:t>381</w:t>
            </w:r>
          </w:hyperlink>
        </w:p>
        <w:p>
          <w:pPr>
            <w:pStyle w:val="Contents4"/>
            <w:tabs>
              <w:tab w:val="clear" w:pos="8176"/>
              <w:tab w:val="right" w:pos="9026" w:leader="dot"/>
            </w:tabs>
            <w:rPr/>
          </w:pPr>
          <w:hyperlink w:anchor="__RefHeading___Toc964391_2320776876">
            <w:r>
              <w:rPr>
                <w:webHidden/>
                <w:rStyle w:val="IndexLink"/>
                <w:rtl w:val="true"/>
              </w:rPr>
              <w:t>الدليل الحادي عشر حديث</w:t>
            </w:r>
            <w:r>
              <w:rPr>
                <w:rStyle w:val="IndexLink"/>
                <w:rtl w:val="true"/>
              </w:rPr>
              <w:t>: «</w:t>
            </w:r>
            <w:r>
              <w:rPr>
                <w:rStyle w:val="IndexLink"/>
                <w:rtl w:val="true"/>
              </w:rPr>
              <w:t>أنتَ أخي، و وَصيّي، و خَليفَتي مِن بَعدي، و قاضي دَيني</w:t>
            </w:r>
            <w:r>
              <w:rPr>
                <w:rStyle w:val="IndexLink"/>
                <w:rtl w:val="true"/>
              </w:rPr>
              <w:t>»</w:t>
              <w:tab/>
            </w:r>
            <w:r>
              <w:rPr>
                <w:rStyle w:val="IndexLink"/>
              </w:rPr>
              <w:t>383</w:t>
            </w:r>
          </w:hyperlink>
        </w:p>
        <w:p>
          <w:pPr>
            <w:pStyle w:val="Contents5"/>
            <w:tabs>
              <w:tab w:val="clear" w:pos="7892"/>
              <w:tab w:val="right" w:pos="9026" w:leader="dot"/>
            </w:tabs>
            <w:rPr/>
          </w:pPr>
          <w:hyperlink w:anchor="__RefHeading___Toc964393_2320776876">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964395_2320776876">
            <w:r>
              <w:rPr>
                <w:webHidden/>
                <w:rStyle w:val="IndexLink"/>
                <w:rtl w:val="true"/>
              </w:rPr>
              <w:t>بيان تواتر حديث</w:t>
            </w:r>
            <w:r>
              <w:rPr>
                <w:rStyle w:val="IndexLink"/>
                <w:rtl w:val="true"/>
              </w:rPr>
              <w:t>: «</w:t>
            </w:r>
            <w:r>
              <w:rPr>
                <w:rStyle w:val="IndexLink"/>
                <w:rtl w:val="true"/>
              </w:rPr>
              <w:t>خليفتي من بعدي</w:t>
            </w:r>
            <w:r>
              <w:rPr>
                <w:rStyle w:val="IndexLink"/>
                <w:rtl w:val="true"/>
              </w:rPr>
              <w:t>»</w:t>
              <w:tab/>
            </w:r>
            <w:r>
              <w:rPr>
                <w:rStyle w:val="IndexLink"/>
              </w:rPr>
              <w:t>387</w:t>
            </w:r>
          </w:hyperlink>
        </w:p>
        <w:p>
          <w:pPr>
            <w:pStyle w:val="Contents5"/>
            <w:tabs>
              <w:tab w:val="clear" w:pos="7892"/>
              <w:tab w:val="right" w:pos="9026" w:leader="dot"/>
            </w:tabs>
            <w:rPr/>
          </w:pPr>
          <w:hyperlink w:anchor="__RefHeading___Toc964397_2320776876">
            <w:r>
              <w:rPr>
                <w:webHidden/>
                <w:rStyle w:val="IndexLink"/>
                <w:rtl w:val="true"/>
              </w:rPr>
              <w:t>بيان اللفظ الدالّ على الإمامة من بين ألفاظ الحديث الذي نقله القاضي</w:t>
            </w:r>
            <w:r>
              <w:rPr>
                <w:rStyle w:val="IndexLink"/>
                <w:rtl w:val="true"/>
              </w:rPr>
              <w:tab/>
            </w:r>
            <w:r>
              <w:rPr>
                <w:rStyle w:val="IndexLink"/>
              </w:rPr>
              <w:t>388</w:t>
            </w:r>
          </w:hyperlink>
        </w:p>
        <w:p>
          <w:pPr>
            <w:pStyle w:val="Contents4"/>
            <w:tabs>
              <w:tab w:val="clear" w:pos="8176"/>
              <w:tab w:val="right" w:pos="9026" w:leader="dot"/>
            </w:tabs>
            <w:rPr/>
          </w:pPr>
          <w:hyperlink w:anchor="__RefHeading___Toc964399_2320776876">
            <w:r>
              <w:rPr>
                <w:webHidden/>
                <w:rStyle w:val="IndexLink"/>
                <w:rtl w:val="true"/>
              </w:rPr>
              <w:t>الدليل الثاني عشر حديث المؤاخاة</w:t>
            </w:r>
            <w:r>
              <w:rPr>
                <w:rStyle w:val="IndexLink"/>
                <w:rtl w:val="true"/>
              </w:rPr>
              <w:tab/>
            </w:r>
            <w:r>
              <w:rPr>
                <w:rStyle w:val="IndexLink"/>
              </w:rPr>
              <w:t>392</w:t>
            </w:r>
          </w:hyperlink>
        </w:p>
        <w:p>
          <w:pPr>
            <w:pStyle w:val="Contents5"/>
            <w:tabs>
              <w:tab w:val="clear" w:pos="7892"/>
              <w:tab w:val="right" w:pos="9026" w:leader="dot"/>
            </w:tabs>
            <w:rPr/>
          </w:pPr>
          <w:hyperlink w:anchor="__RefHeading___Toc964401_2320776876">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964403_2320776876">
            <w:r>
              <w:rPr>
                <w:webHidden/>
                <w:rStyle w:val="IndexLink"/>
                <w:rtl w:val="true"/>
              </w:rPr>
              <w:t>بيان دلالة بعض الأفعال و الأقوال على الإمامة</w:t>
            </w:r>
            <w:r>
              <w:rPr>
                <w:rStyle w:val="IndexLink"/>
                <w:rtl w:val="true"/>
              </w:rPr>
              <w:tab/>
            </w:r>
            <w:r>
              <w:rPr>
                <w:rStyle w:val="IndexLink"/>
              </w:rPr>
              <w:t>394</w:t>
            </w:r>
          </w:hyperlink>
        </w:p>
        <w:p>
          <w:pPr>
            <w:pStyle w:val="Contents5"/>
            <w:tabs>
              <w:tab w:val="clear" w:pos="7892"/>
              <w:tab w:val="right" w:pos="9026" w:leader="dot"/>
            </w:tabs>
            <w:rPr/>
          </w:pPr>
          <w:hyperlink w:anchor="__RefHeading___Toc964405_2320776876">
            <w:r>
              <w:rPr>
                <w:webHidden/>
                <w:rStyle w:val="IndexLink"/>
                <w:rtl w:val="true"/>
              </w:rPr>
              <w:t>دلالة المؤاخاة على التقارب في المنزلة</w:t>
            </w:r>
            <w:r>
              <w:rPr>
                <w:rStyle w:val="IndexLink"/>
                <w:rtl w:val="true"/>
              </w:rPr>
              <w:tab/>
            </w:r>
            <w:r>
              <w:rPr>
                <w:rStyle w:val="IndexLink"/>
              </w:rPr>
              <w:t>395</w:t>
            </w:r>
          </w:hyperlink>
        </w:p>
        <w:p>
          <w:pPr>
            <w:pStyle w:val="Contents5"/>
            <w:tabs>
              <w:tab w:val="clear" w:pos="7892"/>
              <w:tab w:val="right" w:pos="9026" w:leader="dot"/>
            </w:tabs>
            <w:rPr/>
          </w:pPr>
          <w:hyperlink w:anchor="__RefHeading___Toc964407_2320776876">
            <w:r>
              <w:rPr>
                <w:webHidden/>
                <w:rStyle w:val="IndexLink"/>
                <w:rtl w:val="true"/>
              </w:rPr>
              <w:t>بيان تكرّر واقعة المؤاخاة، و تعيين المؤاخاة الدالّة على الإمامة</w:t>
            </w:r>
            <w:r>
              <w:rPr>
                <w:rStyle w:val="IndexLink"/>
                <w:rtl w:val="true"/>
              </w:rPr>
              <w:tab/>
            </w:r>
            <w:r>
              <w:rPr>
                <w:rStyle w:val="IndexLink"/>
              </w:rPr>
              <w:t>396</w:t>
            </w:r>
          </w:hyperlink>
        </w:p>
        <w:p>
          <w:pPr>
            <w:pStyle w:val="Contents5"/>
            <w:tabs>
              <w:tab w:val="clear" w:pos="7892"/>
              <w:tab w:val="right" w:pos="9026" w:leader="dot"/>
            </w:tabs>
            <w:rPr/>
          </w:pPr>
          <w:hyperlink w:anchor="__RefHeading___Toc964409_2320776876">
            <w:r>
              <w:rPr>
                <w:webHidden/>
                <w:rStyle w:val="IndexLink"/>
                <w:rtl w:val="true"/>
              </w:rPr>
              <w:t>بيان دلالة المؤاخاة على الفضل و الإمامة</w:t>
            </w:r>
            <w:r>
              <w:rPr>
                <w:rStyle w:val="IndexLink"/>
                <w:rtl w:val="true"/>
              </w:rPr>
              <w:tab/>
            </w:r>
            <w:r>
              <w:rPr>
                <w:rStyle w:val="IndexLink"/>
              </w:rPr>
              <w:t>396</w:t>
            </w:r>
          </w:hyperlink>
        </w:p>
        <w:p>
          <w:pPr>
            <w:pStyle w:val="Contents4"/>
            <w:tabs>
              <w:tab w:val="clear" w:pos="8176"/>
              <w:tab w:val="right" w:pos="9026" w:leader="dot"/>
            </w:tabs>
            <w:rPr/>
          </w:pPr>
          <w:hyperlink w:anchor="__RefHeading___Toc964411_2320776876">
            <w:r>
              <w:rPr>
                <w:webHidden/>
                <w:rStyle w:val="IndexLink"/>
                <w:rtl w:val="true"/>
              </w:rPr>
              <w:t>الدليل الثالث عشر و الرابع عشر حَديثُ الرايةِ ، و حَديثُ الطائرِ</w:t>
            </w:r>
            <w:r>
              <w:rPr>
                <w:rStyle w:val="IndexLink"/>
                <w:rtl w:val="true"/>
              </w:rPr>
              <w:tab/>
            </w:r>
            <w:r>
              <w:rPr>
                <w:rStyle w:val="IndexLink"/>
              </w:rPr>
              <w:t>400</w:t>
            </w:r>
          </w:hyperlink>
        </w:p>
        <w:p>
          <w:pPr>
            <w:pStyle w:val="Contents5"/>
            <w:tabs>
              <w:tab w:val="clear" w:pos="7892"/>
              <w:tab w:val="right" w:pos="9026" w:leader="dot"/>
            </w:tabs>
            <w:rPr/>
          </w:pPr>
          <w:hyperlink w:anchor="__RefHeading___Toc964413_2320776876">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964415_2320776876">
            <w:r>
              <w:rPr>
                <w:webHidden/>
                <w:rStyle w:val="IndexLink"/>
                <w:rtl w:val="true"/>
              </w:rPr>
              <w:t>تقرير دلالة الحديثَين على الإمامة</w:t>
            </w:r>
            <w:r>
              <w:rPr>
                <w:rStyle w:val="IndexLink"/>
                <w:rtl w:val="true"/>
              </w:rPr>
              <w:tab/>
            </w:r>
            <w:r>
              <w:rPr>
                <w:rStyle w:val="IndexLink"/>
              </w:rPr>
              <w:t>402</w:t>
            </w:r>
          </w:hyperlink>
        </w:p>
        <w:p>
          <w:pPr>
            <w:pStyle w:val="Contents5"/>
            <w:tabs>
              <w:tab w:val="clear" w:pos="7892"/>
              <w:tab w:val="right" w:pos="9026" w:leader="dot"/>
            </w:tabs>
            <w:rPr/>
          </w:pPr>
          <w:hyperlink w:anchor="__RefHeading___Toc964417_2320776876">
            <w:r>
              <w:rPr>
                <w:webHidden/>
                <w:rStyle w:val="IndexLink"/>
                <w:rtl w:val="true"/>
              </w:rPr>
              <w:t>دلالة حديث الراية علىٰ أفضليّة أمير المؤمنين عليه السلام</w:t>
            </w:r>
            <w:r>
              <w:rPr>
                <w:rStyle w:val="IndexLink"/>
                <w:rtl w:val="true"/>
              </w:rPr>
              <w:tab/>
            </w:r>
            <w:r>
              <w:rPr>
                <w:rStyle w:val="IndexLink"/>
              </w:rPr>
              <w:t>402</w:t>
            </w:r>
          </w:hyperlink>
        </w:p>
        <w:p>
          <w:pPr>
            <w:pStyle w:val="Contents4"/>
            <w:tabs>
              <w:tab w:val="clear" w:pos="8176"/>
              <w:tab w:val="right" w:pos="9026" w:leader="dot"/>
            </w:tabs>
            <w:rPr/>
          </w:pPr>
          <w:hyperlink w:anchor="__RefHeading___Toc964419_2320776876">
            <w:r>
              <w:rPr>
                <w:webHidden/>
                <w:rStyle w:val="IndexLink"/>
                <w:rtl w:val="true"/>
              </w:rPr>
              <w:t>الدليل الخامس عشر مجموعة من الأحاديث</w:t>
            </w:r>
            <w:r>
              <w:rPr>
                <w:rStyle w:val="IndexLink"/>
                <w:rtl w:val="true"/>
              </w:rPr>
              <w:tab/>
            </w:r>
            <w:r>
              <w:rPr>
                <w:rStyle w:val="IndexLink"/>
              </w:rPr>
              <w:t>408</w:t>
            </w:r>
          </w:hyperlink>
        </w:p>
        <w:p>
          <w:pPr>
            <w:pStyle w:val="Contents5"/>
            <w:tabs>
              <w:tab w:val="clear" w:pos="7892"/>
              <w:tab w:val="right" w:pos="9026" w:leader="dot"/>
            </w:tabs>
            <w:rPr/>
          </w:pPr>
          <w:hyperlink w:anchor="__RefHeading___Toc964421_2320776876">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964423_2320776876">
            <w:r>
              <w:rPr>
                <w:webHidden/>
                <w:rStyle w:val="IndexLink"/>
                <w:rtl w:val="true"/>
              </w:rPr>
              <w:t>تواتر حديث التسليم بإمرة المؤمنين، و أحاديث أُخرىٰ</w:t>
            </w:r>
            <w:r>
              <w:rPr>
                <w:rStyle w:val="IndexLink"/>
                <w:rtl w:val="true"/>
              </w:rPr>
              <w:tab/>
            </w:r>
            <w:r>
              <w:rPr>
                <w:rStyle w:val="IndexLink"/>
              </w:rPr>
              <w:t>422</w:t>
            </w:r>
          </w:hyperlink>
        </w:p>
        <w:p>
          <w:pPr>
            <w:pStyle w:val="Contents5"/>
            <w:tabs>
              <w:tab w:val="clear" w:pos="7892"/>
              <w:tab w:val="right" w:pos="9026" w:leader="dot"/>
            </w:tabs>
            <w:rPr/>
          </w:pPr>
          <w:hyperlink w:anchor="__RefHeading___Toc964425_2320776876">
            <w:r>
              <w:rPr>
                <w:webHidden/>
                <w:rStyle w:val="IndexLink"/>
                <w:rtl w:val="true"/>
              </w:rPr>
              <w:t>إشارة إلىٰ حصول شروط التواتر في نقل الشيعة</w:t>
            </w:r>
            <w:r>
              <w:rPr>
                <w:rStyle w:val="IndexLink"/>
                <w:rtl w:val="true"/>
              </w:rPr>
              <w:tab/>
            </w:r>
            <w:r>
              <w:rPr>
                <w:rStyle w:val="IndexLink"/>
              </w:rPr>
              <w:t>423</w:t>
            </w:r>
          </w:hyperlink>
        </w:p>
        <w:p>
          <w:pPr>
            <w:pStyle w:val="Contents5"/>
            <w:tabs>
              <w:tab w:val="clear" w:pos="7892"/>
              <w:tab w:val="right" w:pos="9026" w:leader="dot"/>
            </w:tabs>
            <w:rPr/>
          </w:pPr>
          <w:hyperlink w:anchor="__RefHeading___Toc964427_2320776876">
            <w:r>
              <w:rPr>
                <w:webHidden/>
                <w:rStyle w:val="IndexLink"/>
                <w:rtl w:val="true"/>
              </w:rPr>
              <w:t>جواب إجماليّ لأخبار عدم الاستخلاف أو استخلاف أبي بكر</w:t>
            </w:r>
            <w:r>
              <w:rPr>
                <w:rStyle w:val="IndexLink"/>
                <w:rtl w:val="true"/>
              </w:rPr>
              <w:tab/>
            </w:r>
            <w:r>
              <w:rPr>
                <w:rStyle w:val="IndexLink"/>
              </w:rPr>
              <w:t>425</w:t>
            </w:r>
          </w:hyperlink>
        </w:p>
        <w:p>
          <w:pPr>
            <w:pStyle w:val="Contents5"/>
            <w:tabs>
              <w:tab w:val="clear" w:pos="7892"/>
              <w:tab w:val="right" w:pos="9026" w:leader="dot"/>
            </w:tabs>
            <w:rPr/>
          </w:pPr>
          <w:hyperlink w:anchor="__RefHeading___Toc964429_2320776876">
            <w:r>
              <w:rPr>
                <w:webHidden/>
                <w:rStyle w:val="IndexLink"/>
                <w:rtl w:val="true"/>
              </w:rPr>
              <w:t>تفصيل الجواب</w:t>
            </w:r>
            <w:r>
              <w:rPr>
                <w:rStyle w:val="IndexLink"/>
                <w:rtl w:val="true"/>
              </w:rPr>
              <w:tab/>
            </w:r>
            <w:r>
              <w:rPr>
                <w:rStyle w:val="IndexLink"/>
              </w:rPr>
              <w:t>426</w:t>
            </w:r>
          </w:hyperlink>
        </w:p>
        <w:p>
          <w:pPr>
            <w:pStyle w:val="Contents6"/>
            <w:tabs>
              <w:tab w:val="clear" w:pos="7609"/>
              <w:tab w:val="right" w:pos="9026" w:leader="dot"/>
            </w:tabs>
            <w:rPr/>
          </w:pPr>
          <w:hyperlink w:anchor="__RefHeading___Toc964431_2320776876">
            <w:r>
              <w:rPr>
                <w:webHidden/>
                <w:rStyle w:val="IndexLink"/>
                <w:rtl w:val="true"/>
              </w:rPr>
              <w:t>أوّلاً</w:t>
            </w:r>
            <w:r>
              <w:rPr>
                <w:rStyle w:val="IndexLink"/>
                <w:rtl w:val="true"/>
              </w:rPr>
              <w:t xml:space="preserve">: </w:t>
            </w:r>
            <w:r>
              <w:rPr>
                <w:rStyle w:val="IndexLink"/>
                <w:rtl w:val="true"/>
              </w:rPr>
              <w:t>تفصيل الجواب عن أخبار عدم الاستخلاف</w:t>
            </w:r>
            <w:r>
              <w:rPr>
                <w:rStyle w:val="IndexLink"/>
                <w:rtl w:val="true"/>
              </w:rPr>
              <w:tab/>
            </w:r>
            <w:r>
              <w:rPr>
                <w:rStyle w:val="IndexLink"/>
              </w:rPr>
              <w:t>426</w:t>
            </w:r>
          </w:hyperlink>
        </w:p>
        <w:p>
          <w:pPr>
            <w:pStyle w:val="Contents6"/>
            <w:tabs>
              <w:tab w:val="clear" w:pos="7609"/>
              <w:tab w:val="right" w:pos="9026" w:leader="dot"/>
            </w:tabs>
            <w:rPr/>
          </w:pPr>
          <w:hyperlink w:anchor="__RefHeading___Toc964433_2320776876">
            <w:r>
              <w:rPr>
                <w:webHidden/>
                <w:rStyle w:val="IndexLink"/>
                <w:rtl w:val="true"/>
              </w:rPr>
              <w:t>اشارة</w:t>
            </w:r>
            <w:r>
              <w:rPr>
                <w:rStyle w:val="IndexLink"/>
                <w:rtl w:val="true"/>
              </w:rPr>
              <w:tab/>
            </w:r>
            <w:r>
              <w:rPr>
                <w:rStyle w:val="IndexLink"/>
              </w:rPr>
              <w:t>426</w:t>
            </w:r>
          </w:hyperlink>
        </w:p>
        <w:p>
          <w:pPr>
            <w:pStyle w:val="Contents6"/>
            <w:tabs>
              <w:tab w:val="clear" w:pos="7609"/>
              <w:tab w:val="right" w:pos="9026" w:leader="dot"/>
            </w:tabs>
            <w:rPr/>
          </w:pPr>
          <w:hyperlink w:anchor="__RefHeading___Toc964435_2320776876">
            <w:r>
              <w:rPr>
                <w:webHidden/>
                <w:rStyle w:val="IndexLink"/>
                <w:rtl w:val="true"/>
              </w:rPr>
              <w:t>مناقشة خبر عدم وصيّة أمير المؤمنين عليه السلام كما لم يوصِ رسول اللّٰه صلى الله عليه و آله</w:t>
            </w:r>
            <w:r>
              <w:rPr>
                <w:rStyle w:val="IndexLink"/>
                <w:rtl w:val="true"/>
              </w:rPr>
              <w:tab/>
            </w:r>
            <w:r>
              <w:rPr>
                <w:rStyle w:val="IndexLink"/>
              </w:rPr>
              <w:t>427</w:t>
            </w:r>
          </w:hyperlink>
        </w:p>
        <w:p>
          <w:pPr>
            <w:pStyle w:val="Contents6"/>
            <w:tabs>
              <w:tab w:val="clear" w:pos="7609"/>
              <w:tab w:val="right" w:pos="9026" w:leader="dot"/>
            </w:tabs>
            <w:rPr/>
          </w:pPr>
          <w:hyperlink w:anchor="__RefHeading___Toc964437_2320776876">
            <w:r>
              <w:rPr>
                <w:webHidden/>
                <w:rStyle w:val="IndexLink"/>
                <w:rtl w:val="true"/>
              </w:rPr>
              <w:t>مناقشة خبر طلب العبّاس معرفة الإمام بعد الرسول صلى الله عليه و آله</w:t>
            </w:r>
            <w:r>
              <w:rPr>
                <w:rStyle w:val="IndexLink"/>
                <w:rtl w:val="true"/>
              </w:rPr>
              <w:tab/>
            </w:r>
            <w:r>
              <w:rPr>
                <w:rStyle w:val="IndexLink"/>
              </w:rPr>
              <w:t>431</w:t>
            </w:r>
          </w:hyperlink>
        </w:p>
        <w:p>
          <w:pPr>
            <w:pStyle w:val="Contents6"/>
            <w:tabs>
              <w:tab w:val="clear" w:pos="7609"/>
              <w:tab w:val="right" w:pos="9026" w:leader="dot"/>
            </w:tabs>
            <w:rPr/>
          </w:pPr>
          <w:hyperlink w:anchor="__RefHeading___Toc964439_2320776876">
            <w:r>
              <w:rPr>
                <w:webHidden/>
                <w:rStyle w:val="IndexLink"/>
                <w:rtl w:val="true"/>
              </w:rPr>
              <w:t>عودة إلىٰ مناقشة خبر عدم وصيّة أمير المؤمنين عليه السلام</w:t>
            </w:r>
            <w:r>
              <w:rPr>
                <w:rStyle w:val="IndexLink"/>
                <w:rtl w:val="true"/>
              </w:rPr>
              <w:tab/>
            </w:r>
            <w:r>
              <w:rPr>
                <w:rStyle w:val="IndexLink"/>
              </w:rPr>
              <w:t>431</w:t>
            </w:r>
          </w:hyperlink>
        </w:p>
        <w:p>
          <w:pPr>
            <w:pStyle w:val="Contents6"/>
            <w:tabs>
              <w:tab w:val="clear" w:pos="7609"/>
              <w:tab w:val="right" w:pos="9026" w:leader="dot"/>
            </w:tabs>
            <w:rPr/>
          </w:pPr>
          <w:hyperlink w:anchor="__RefHeading___Toc964441_2320776876">
            <w:r>
              <w:rPr>
                <w:webHidden/>
                <w:rStyle w:val="IndexLink"/>
                <w:rtl w:val="true"/>
              </w:rPr>
              <w:t>ثانياً</w:t>
            </w:r>
            <w:r>
              <w:rPr>
                <w:rStyle w:val="IndexLink"/>
                <w:rtl w:val="true"/>
              </w:rPr>
              <w:t xml:space="preserve">: </w:t>
            </w:r>
            <w:r>
              <w:rPr>
                <w:rStyle w:val="IndexLink"/>
                <w:rtl w:val="true"/>
              </w:rPr>
              <w:t>تفصيل الجواب عن أخبار استخلاف أبي بكر و عمر</w:t>
            </w:r>
            <w:r>
              <w:rPr>
                <w:rStyle w:val="IndexLink"/>
                <w:rtl w:val="true"/>
              </w:rPr>
              <w:tab/>
            </w:r>
            <w:r>
              <w:rPr>
                <w:rStyle w:val="IndexLink"/>
              </w:rPr>
              <w:t>433</w:t>
            </w:r>
          </w:hyperlink>
        </w:p>
        <w:p>
          <w:pPr>
            <w:pStyle w:val="Contents6"/>
            <w:tabs>
              <w:tab w:val="clear" w:pos="7609"/>
              <w:tab w:val="right" w:pos="9026" w:leader="dot"/>
            </w:tabs>
            <w:rPr/>
          </w:pPr>
          <w:hyperlink w:anchor="__RefHeading___Toc964443_2320776876">
            <w:r>
              <w:rPr>
                <w:webHidden/>
                <w:rStyle w:val="IndexLink"/>
                <w:rtl w:val="true"/>
              </w:rPr>
              <w:t>اشارة</w:t>
            </w:r>
            <w:r>
              <w:rPr>
                <w:rStyle w:val="IndexLink"/>
                <w:rtl w:val="true"/>
              </w:rPr>
              <w:tab/>
            </w:r>
            <w:r>
              <w:rPr>
                <w:rStyle w:val="IndexLink"/>
              </w:rPr>
              <w:t>433</w:t>
            </w:r>
          </w:hyperlink>
        </w:p>
        <w:p>
          <w:pPr>
            <w:pStyle w:val="Contents6"/>
            <w:tabs>
              <w:tab w:val="clear" w:pos="7609"/>
              <w:tab w:val="right" w:pos="9026" w:leader="dot"/>
            </w:tabs>
            <w:rPr/>
          </w:pPr>
          <w:hyperlink w:anchor="__RefHeading___Toc964445_2320776876">
            <w:r>
              <w:rPr>
                <w:webHidden/>
                <w:rStyle w:val="IndexLink"/>
                <w:rtl w:val="true"/>
              </w:rPr>
              <w:t>مناقشة خبر استخلاف الرسول صلى الله عليه و آله لعمر بعد أبي بكر</w:t>
            </w:r>
            <w:r>
              <w:rPr>
                <w:rStyle w:val="IndexLink"/>
                <w:rtl w:val="true"/>
              </w:rPr>
              <w:tab/>
            </w:r>
            <w:r>
              <w:rPr>
                <w:rStyle w:val="IndexLink"/>
              </w:rPr>
              <w:t>434</w:t>
            </w:r>
          </w:hyperlink>
        </w:p>
        <w:p>
          <w:pPr>
            <w:pStyle w:val="Contents6"/>
            <w:tabs>
              <w:tab w:val="clear" w:pos="7609"/>
              <w:tab w:val="right" w:pos="9026" w:leader="dot"/>
            </w:tabs>
            <w:rPr/>
          </w:pPr>
          <w:hyperlink w:anchor="__RefHeading___Toc964447_2320776876">
            <w:r>
              <w:rPr>
                <w:webHidden/>
                <w:rStyle w:val="IndexLink"/>
                <w:rtl w:val="true"/>
              </w:rPr>
              <w:t>مناقشة خبر تبشير أبي بكر و عمر بالجنّة و الخلافة</w:t>
            </w:r>
            <w:r>
              <w:rPr>
                <w:rStyle w:val="IndexLink"/>
                <w:rtl w:val="true"/>
              </w:rPr>
              <w:tab/>
            </w:r>
            <w:r>
              <w:rPr>
                <w:rStyle w:val="IndexLink"/>
              </w:rPr>
              <w:t>435</w:t>
            </w:r>
          </w:hyperlink>
        </w:p>
        <w:p>
          <w:pPr>
            <w:pStyle w:val="Contents6"/>
            <w:tabs>
              <w:tab w:val="clear" w:pos="7609"/>
              <w:tab w:val="right" w:pos="9026" w:leader="dot"/>
            </w:tabs>
            <w:rPr/>
          </w:pPr>
          <w:hyperlink w:anchor="__RefHeading___Toc964449_2320776876">
            <w:r>
              <w:rPr>
                <w:webHidden/>
                <w:rStyle w:val="IndexLink"/>
                <w:rtl w:val="true"/>
              </w:rPr>
              <w:t>مناقشة أخبار إرجاع الرسول صلى الله عليه و آله إلىٰ أبي بكر</w:t>
            </w:r>
            <w:r>
              <w:rPr>
                <w:rStyle w:val="IndexLink"/>
                <w:rtl w:val="true"/>
              </w:rPr>
              <w:tab/>
            </w:r>
            <w:r>
              <w:rPr>
                <w:rStyle w:val="IndexLink"/>
              </w:rPr>
              <w:t>436</w:t>
            </w:r>
          </w:hyperlink>
        </w:p>
        <w:p>
          <w:pPr>
            <w:pStyle w:val="Contents6"/>
            <w:tabs>
              <w:tab w:val="clear" w:pos="7609"/>
              <w:tab w:val="right" w:pos="9026" w:leader="dot"/>
            </w:tabs>
            <w:rPr/>
          </w:pPr>
          <w:hyperlink w:anchor="__RefHeading___Toc964451_2320776876">
            <w:r>
              <w:rPr>
                <w:webHidden/>
                <w:rStyle w:val="IndexLink"/>
                <w:rtl w:val="true"/>
              </w:rPr>
              <w:t>مناقشة خبر أنّ الخلافة ثلاثون سنة</w:t>
            </w:r>
            <w:r>
              <w:rPr>
                <w:rStyle w:val="IndexLink"/>
                <w:rtl w:val="true"/>
              </w:rPr>
              <w:tab/>
            </w:r>
            <w:r>
              <w:rPr>
                <w:rStyle w:val="IndexLink"/>
              </w:rPr>
              <w:t>439</w:t>
            </w:r>
          </w:hyperlink>
        </w:p>
        <w:p>
          <w:pPr>
            <w:pStyle w:val="Contents6"/>
            <w:tabs>
              <w:tab w:val="clear" w:pos="7609"/>
              <w:tab w:val="right" w:pos="9026" w:leader="dot"/>
            </w:tabs>
            <w:rPr/>
          </w:pPr>
          <w:hyperlink w:anchor="__RefHeading___Toc964453_2320776876">
            <w:r>
              <w:rPr>
                <w:webHidden/>
                <w:rStyle w:val="IndexLink"/>
                <w:rtl w:val="true"/>
              </w:rPr>
              <w:t>مناقشة خبر مشاهدة أبي بكر لرقْمَين في عالم الرؤيا</w:t>
            </w:r>
            <w:r>
              <w:rPr>
                <w:rStyle w:val="IndexLink"/>
                <w:rtl w:val="true"/>
              </w:rPr>
              <w:tab/>
            </w:r>
            <w:r>
              <w:rPr>
                <w:rStyle w:val="IndexLink"/>
              </w:rPr>
              <w:t>440</w:t>
            </w:r>
          </w:hyperlink>
        </w:p>
        <w:p>
          <w:pPr>
            <w:pStyle w:val="Contents6"/>
            <w:tabs>
              <w:tab w:val="clear" w:pos="7609"/>
              <w:tab w:val="right" w:pos="9026" w:leader="dot"/>
            </w:tabs>
            <w:rPr/>
          </w:pPr>
          <w:hyperlink w:anchor="__RefHeading___Toc964455_2320776876">
            <w:r>
              <w:rPr>
                <w:webHidden/>
                <w:rStyle w:val="IndexLink"/>
                <w:rtl w:val="true"/>
              </w:rPr>
              <w:t>مناقشة خبر أنّ أبا بكر و عمر سيّدا كهول أهل الجنّة</w:t>
            </w:r>
            <w:r>
              <w:rPr>
                <w:rStyle w:val="IndexLink"/>
                <w:rtl w:val="true"/>
              </w:rPr>
              <w:tab/>
            </w:r>
            <w:r>
              <w:rPr>
                <w:rStyle w:val="IndexLink"/>
              </w:rPr>
              <w:t>441</w:t>
            </w:r>
          </w:hyperlink>
        </w:p>
        <w:p>
          <w:pPr>
            <w:pStyle w:val="Contents6"/>
            <w:tabs>
              <w:tab w:val="clear" w:pos="7609"/>
              <w:tab w:val="right" w:pos="9026" w:leader="dot"/>
            </w:tabs>
            <w:rPr/>
          </w:pPr>
          <w:hyperlink w:anchor="__RefHeading___Toc964457_2320776876">
            <w:r>
              <w:rPr>
                <w:webHidden/>
                <w:rStyle w:val="IndexLink"/>
                <w:rtl w:val="true"/>
              </w:rPr>
              <w:t>مناقشة خبر</w:t>
            </w:r>
            <w:r>
              <w:rPr>
                <w:rStyle w:val="IndexLink"/>
                <w:rtl w:val="true"/>
              </w:rPr>
              <w:t>: «</w:t>
            </w:r>
            <w:r>
              <w:rPr>
                <w:rStyle w:val="IndexLink"/>
                <w:rtl w:val="true"/>
              </w:rPr>
              <w:t>ادعوا لي أخي و صاحبي</w:t>
            </w:r>
            <w:r>
              <w:rPr>
                <w:rStyle w:val="IndexLink"/>
                <w:rtl w:val="true"/>
              </w:rPr>
              <w:tab/>
            </w:r>
            <w:r>
              <w:rPr>
                <w:rStyle w:val="IndexLink"/>
              </w:rPr>
              <w:t>447</w:t>
            </w:r>
          </w:hyperlink>
        </w:p>
        <w:p>
          <w:pPr>
            <w:pStyle w:val="Contents6"/>
            <w:tabs>
              <w:tab w:val="clear" w:pos="7609"/>
              <w:tab w:val="right" w:pos="9026" w:leader="dot"/>
            </w:tabs>
            <w:rPr/>
          </w:pPr>
          <w:hyperlink w:anchor="__RefHeading___Toc964459_2320776876">
            <w:r>
              <w:rPr>
                <w:webHidden/>
                <w:rStyle w:val="IndexLink"/>
                <w:rtl w:val="true"/>
              </w:rPr>
              <w:t>مناقشة خبر الأمر بالاقتداء بأبي بكر و عمر</w:t>
            </w:r>
            <w:r>
              <w:rPr>
                <w:rStyle w:val="IndexLink"/>
                <w:rtl w:val="true"/>
              </w:rPr>
              <w:tab/>
            </w:r>
            <w:r>
              <w:rPr>
                <w:rStyle w:val="IndexLink"/>
              </w:rPr>
              <w:t>448</w:t>
            </w:r>
          </w:hyperlink>
        </w:p>
        <w:p>
          <w:pPr>
            <w:pStyle w:val="Contents6"/>
            <w:tabs>
              <w:tab w:val="clear" w:pos="7609"/>
              <w:tab w:val="right" w:pos="9026" w:leader="dot"/>
            </w:tabs>
            <w:rPr/>
          </w:pPr>
          <w:hyperlink w:anchor="__RefHeading___Toc964461_2320776876">
            <w:r>
              <w:rPr>
                <w:webHidden/>
                <w:rStyle w:val="IndexLink"/>
                <w:rtl w:val="true"/>
              </w:rPr>
              <w:t>مناقشة أخبار مدح أمير المؤمنين عليه السلام لأبي بكر و عمر</w:t>
            </w:r>
            <w:r>
              <w:rPr>
                <w:rStyle w:val="IndexLink"/>
                <w:rtl w:val="true"/>
              </w:rPr>
              <w:tab/>
            </w:r>
            <w:r>
              <w:rPr>
                <w:rStyle w:val="IndexLink"/>
              </w:rPr>
              <w:t>448</w:t>
            </w:r>
          </w:hyperlink>
        </w:p>
        <w:p>
          <w:pPr>
            <w:pStyle w:val="Contents6"/>
            <w:tabs>
              <w:tab w:val="clear" w:pos="7609"/>
              <w:tab w:val="right" w:pos="9026" w:leader="dot"/>
            </w:tabs>
            <w:rPr/>
          </w:pPr>
          <w:hyperlink w:anchor="__RefHeading___Toc964463_2320776876">
            <w:r>
              <w:rPr>
                <w:webHidden/>
                <w:rStyle w:val="IndexLink"/>
                <w:rtl w:val="true"/>
              </w:rPr>
              <w:t>مناقشة الاستدلال علىٰ خلافة أبي بكر، بردّ أمير المؤمنين عليه السلام لمّا عَرَضها أبو سفيان عليه</w:t>
            </w:r>
            <w:r>
              <w:rPr>
                <w:rStyle w:val="IndexLink"/>
                <w:rtl w:val="true"/>
              </w:rPr>
              <w:tab/>
            </w:r>
            <w:r>
              <w:rPr>
                <w:rStyle w:val="IndexLink"/>
              </w:rPr>
              <w:t>459</w:t>
            </w:r>
          </w:hyperlink>
        </w:p>
        <w:p>
          <w:pPr>
            <w:pStyle w:val="Contents6"/>
            <w:tabs>
              <w:tab w:val="clear" w:pos="7609"/>
              <w:tab w:val="right" w:pos="9026" w:leader="dot"/>
            </w:tabs>
            <w:rPr/>
          </w:pPr>
          <w:hyperlink w:anchor="__RefHeading___Toc964465_2320776876">
            <w:r>
              <w:rPr>
                <w:webHidden/>
                <w:rStyle w:val="IndexLink"/>
                <w:rtl w:val="true"/>
              </w:rPr>
              <w:t>مناقشة خبر تمنّي أمير المؤمنين عليه السلام أن يلقى اللّٰه بصحيفة عمر</w:t>
            </w:r>
            <w:r>
              <w:rPr>
                <w:rStyle w:val="IndexLink"/>
                <w:rtl w:val="true"/>
              </w:rPr>
              <w:tab/>
            </w:r>
            <w:r>
              <w:rPr>
                <w:rStyle w:val="IndexLink"/>
              </w:rPr>
              <w:t>460</w:t>
            </w:r>
          </w:hyperlink>
        </w:p>
        <w:p>
          <w:pPr>
            <w:pStyle w:val="Contents6"/>
            <w:tabs>
              <w:tab w:val="clear" w:pos="7609"/>
              <w:tab w:val="right" w:pos="9026" w:leader="dot"/>
            </w:tabs>
            <w:rPr/>
          </w:pPr>
          <w:hyperlink w:anchor="__RefHeading___Toc964467_2320776876">
            <w:r>
              <w:rPr>
                <w:webHidden/>
                <w:rStyle w:val="IndexLink"/>
                <w:rtl w:val="true"/>
              </w:rPr>
              <w:t>مناقشة خبر</w:t>
            </w:r>
            <w:r>
              <w:rPr>
                <w:rStyle w:val="IndexLink"/>
                <w:rtl w:val="true"/>
              </w:rPr>
              <w:t>: «</w:t>
            </w:r>
            <w:r>
              <w:rPr>
                <w:rStyle w:val="IndexLink"/>
                <w:rtl w:val="true"/>
              </w:rPr>
              <w:t>لو كنتُ متّخذاً خليلاً</w:t>
            </w:r>
            <w:r>
              <w:rPr>
                <w:rStyle w:val="IndexLink"/>
                <w:rtl w:val="true"/>
              </w:rPr>
              <w:t>»</w:t>
              <w:tab/>
            </w:r>
            <w:r>
              <w:rPr>
                <w:rStyle w:val="IndexLink"/>
              </w:rPr>
              <w:t>462</w:t>
            </w:r>
          </w:hyperlink>
        </w:p>
        <w:p>
          <w:pPr>
            <w:pStyle w:val="Contents6"/>
            <w:tabs>
              <w:tab w:val="clear" w:pos="7609"/>
              <w:tab w:val="right" w:pos="9026" w:leader="dot"/>
            </w:tabs>
            <w:rPr/>
          </w:pPr>
          <w:hyperlink w:anchor="__RefHeading___Toc964469_2320776876">
            <w:r>
              <w:rPr>
                <w:webHidden/>
                <w:rStyle w:val="IndexLink"/>
                <w:rtl w:val="true"/>
              </w:rPr>
              <w:t>بيان دلالة قوله صلى الله عليه و آله</w:t>
            </w:r>
            <w:r>
              <w:rPr>
                <w:rStyle w:val="IndexLink"/>
                <w:rtl w:val="true"/>
              </w:rPr>
              <w:t>: «</w:t>
            </w:r>
            <w:r>
              <w:rPr>
                <w:rStyle w:val="IndexLink"/>
                <w:rtl w:val="true"/>
              </w:rPr>
              <w:t>إمام المتّقين</w:t>
            </w:r>
            <w:r>
              <w:rPr>
                <w:rStyle w:val="IndexLink"/>
                <w:rtl w:val="true"/>
              </w:rPr>
              <w:t xml:space="preserve">» </w:t>
            </w:r>
            <w:r>
              <w:rPr>
                <w:rStyle w:val="IndexLink"/>
                <w:rtl w:val="true"/>
              </w:rPr>
              <w:t>على الإمامة</w:t>
            </w:r>
            <w:r>
              <w:rPr>
                <w:rStyle w:val="IndexLink"/>
                <w:rtl w:val="true"/>
              </w:rPr>
              <w:tab/>
            </w:r>
            <w:r>
              <w:rPr>
                <w:rStyle w:val="IndexLink"/>
              </w:rPr>
              <w:t>462</w:t>
            </w:r>
          </w:hyperlink>
        </w:p>
        <w:p>
          <w:pPr>
            <w:pStyle w:val="Contents6"/>
            <w:tabs>
              <w:tab w:val="clear" w:pos="7609"/>
              <w:tab w:val="right" w:pos="9026" w:leader="dot"/>
            </w:tabs>
            <w:rPr/>
          </w:pPr>
          <w:hyperlink w:anchor="__RefHeading___Toc964471_2320776876">
            <w:r>
              <w:rPr>
                <w:webHidden/>
                <w:rStyle w:val="IndexLink"/>
                <w:rtl w:val="true"/>
              </w:rPr>
              <w:t>بيان دلالة قوله صلى الله عليه و آله</w:t>
            </w:r>
            <w:r>
              <w:rPr>
                <w:rStyle w:val="IndexLink"/>
                <w:rtl w:val="true"/>
              </w:rPr>
              <w:t>: «</w:t>
            </w:r>
            <w:r>
              <w:rPr>
                <w:rStyle w:val="IndexLink"/>
                <w:rtl w:val="true"/>
              </w:rPr>
              <w:t>و سيّد المسلمين و قائد الغرّ المحجّلين</w:t>
            </w:r>
            <w:r>
              <w:rPr>
                <w:rStyle w:val="IndexLink"/>
                <w:rtl w:val="true"/>
              </w:rPr>
              <w:t xml:space="preserve">» </w:t>
            </w:r>
            <w:r>
              <w:rPr>
                <w:rStyle w:val="IndexLink"/>
                <w:rtl w:val="true"/>
              </w:rPr>
              <w:t>على الإمامة</w:t>
            </w:r>
            <w:r>
              <w:rPr>
                <w:rStyle w:val="IndexLink"/>
                <w:rtl w:val="true"/>
              </w:rPr>
              <w:tab/>
            </w:r>
            <w:r>
              <w:rPr>
                <w:rStyle w:val="IndexLink"/>
              </w:rPr>
              <w:t>464</w:t>
            </w:r>
          </w:hyperlink>
        </w:p>
        <w:p>
          <w:pPr>
            <w:pStyle w:val="Contents6"/>
            <w:tabs>
              <w:tab w:val="clear" w:pos="7609"/>
              <w:tab w:val="right" w:pos="9026" w:leader="dot"/>
            </w:tabs>
            <w:rPr/>
          </w:pPr>
          <w:hyperlink w:anchor="__RefHeading___Toc964473_2320776876">
            <w:r>
              <w:rPr>
                <w:webHidden/>
                <w:rStyle w:val="IndexLink"/>
                <w:rtl w:val="true"/>
              </w:rPr>
              <w:t>بيان دلالة قوله صلى الله عليه و آله</w:t>
            </w:r>
            <w:r>
              <w:rPr>
                <w:rStyle w:val="IndexLink"/>
                <w:rtl w:val="true"/>
              </w:rPr>
              <w:t>: «</w:t>
            </w:r>
            <w:r>
              <w:rPr>
                <w:rStyle w:val="IndexLink"/>
                <w:rtl w:val="true"/>
              </w:rPr>
              <w:t>إنّه وليّ كلّ مؤمن و مؤمنة</w:t>
            </w:r>
            <w:r>
              <w:rPr>
                <w:rStyle w:val="IndexLink"/>
                <w:rtl w:val="true"/>
              </w:rPr>
              <w:t xml:space="preserve">» </w:t>
            </w:r>
            <w:r>
              <w:rPr>
                <w:rStyle w:val="IndexLink"/>
                <w:rtl w:val="true"/>
              </w:rPr>
              <w:t>على الإمامة</w:t>
            </w:r>
            <w:r>
              <w:rPr>
                <w:rStyle w:val="IndexLink"/>
                <w:rtl w:val="true"/>
              </w:rPr>
              <w:tab/>
            </w:r>
            <w:r>
              <w:rPr>
                <w:rStyle w:val="IndexLink"/>
              </w:rPr>
              <w:t>464</w:t>
            </w:r>
          </w:hyperlink>
        </w:p>
        <w:p>
          <w:pPr>
            <w:pStyle w:val="Contents6"/>
            <w:tabs>
              <w:tab w:val="clear" w:pos="7609"/>
              <w:tab w:val="right" w:pos="9026" w:leader="dot"/>
            </w:tabs>
            <w:rPr/>
          </w:pPr>
          <w:hyperlink w:anchor="__RefHeading___Toc964475_2320776876">
            <w:r>
              <w:rPr>
                <w:webHidden/>
                <w:rStyle w:val="IndexLink"/>
                <w:rtl w:val="true"/>
              </w:rPr>
              <w:t>بيان دلالة قوله صلى الله عليه و آله</w:t>
            </w:r>
            <w:r>
              <w:rPr>
                <w:rStyle w:val="IndexLink"/>
                <w:rtl w:val="true"/>
              </w:rPr>
              <w:t>: «</w:t>
            </w:r>
            <w:r>
              <w:rPr>
                <w:rStyle w:val="IndexLink"/>
                <w:rtl w:val="true"/>
              </w:rPr>
              <w:t>إنّه منّي و أنا منه</w:t>
            </w:r>
            <w:r>
              <w:rPr>
                <w:rStyle w:val="IndexLink"/>
                <w:rtl w:val="true"/>
              </w:rPr>
              <w:t xml:space="preserve">» </w:t>
            </w:r>
            <w:r>
              <w:rPr>
                <w:rStyle w:val="IndexLink"/>
                <w:rtl w:val="true"/>
              </w:rPr>
              <w:t>على الإمامة</w:t>
            </w:r>
            <w:r>
              <w:rPr>
                <w:rStyle w:val="IndexLink"/>
                <w:rtl w:val="true"/>
              </w:rPr>
              <w:tab/>
            </w:r>
            <w:r>
              <w:rPr>
                <w:rStyle w:val="IndexLink"/>
              </w:rPr>
              <w:t>464</w:t>
            </w:r>
          </w:hyperlink>
        </w:p>
        <w:p>
          <w:pPr>
            <w:pStyle w:val="Contents4"/>
            <w:tabs>
              <w:tab w:val="clear" w:pos="8176"/>
              <w:tab w:val="right" w:pos="9026" w:leader="dot"/>
            </w:tabs>
            <w:rPr/>
          </w:pPr>
          <w:hyperlink w:anchor="__RefHeading___Toc964477_2320776876">
            <w:r>
              <w:rPr>
                <w:webHidden/>
                <w:rStyle w:val="IndexLink"/>
                <w:rtl w:val="true"/>
              </w:rPr>
              <w:t>الدليل السادس عشر حَديثُ الثقَلَينِ</w:t>
            </w:r>
            <w:r>
              <w:rPr>
                <w:rStyle w:val="IndexLink"/>
                <w:rtl w:val="true"/>
              </w:rPr>
              <w:tab/>
            </w:r>
            <w:r>
              <w:rPr>
                <w:rStyle w:val="IndexLink"/>
              </w:rPr>
              <w:t>465</w:t>
            </w:r>
          </w:hyperlink>
        </w:p>
        <w:p>
          <w:pPr>
            <w:pStyle w:val="Contents5"/>
            <w:tabs>
              <w:tab w:val="clear" w:pos="7892"/>
              <w:tab w:val="right" w:pos="9026" w:leader="dot"/>
            </w:tabs>
            <w:rPr/>
          </w:pPr>
          <w:hyperlink w:anchor="__RefHeading___Toc964479_2320776876">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964481_2320776876">
            <w:r>
              <w:rPr>
                <w:webHidden/>
                <w:rStyle w:val="IndexLink"/>
                <w:rtl w:val="true"/>
              </w:rPr>
              <w:t>مقدّمة في بيان دلالة حديث الثقلين و السفينة</w:t>
            </w:r>
            <w:r>
              <w:rPr>
                <w:rStyle w:val="IndexLink"/>
                <w:rtl w:val="true"/>
              </w:rPr>
              <w:tab/>
            </w:r>
            <w:r>
              <w:rPr>
                <w:rStyle w:val="IndexLink"/>
              </w:rPr>
              <w:t>469</w:t>
            </w:r>
          </w:hyperlink>
        </w:p>
        <w:p>
          <w:pPr>
            <w:pStyle w:val="Contents5"/>
            <w:tabs>
              <w:tab w:val="clear" w:pos="7892"/>
              <w:tab w:val="right" w:pos="9026" w:leader="dot"/>
            </w:tabs>
            <w:rPr/>
          </w:pPr>
          <w:hyperlink w:anchor="__RefHeading___Toc964483_2320776876">
            <w:r>
              <w:rPr>
                <w:webHidden/>
                <w:rStyle w:val="IndexLink"/>
                <w:rtl w:val="true"/>
              </w:rPr>
              <w:t>بيان صحّة حديث الثقلين</w:t>
            </w:r>
            <w:r>
              <w:rPr>
                <w:rStyle w:val="IndexLink"/>
                <w:rtl w:val="true"/>
              </w:rPr>
              <w:tab/>
            </w:r>
            <w:r>
              <w:rPr>
                <w:rStyle w:val="IndexLink"/>
              </w:rPr>
              <w:t>469</w:t>
            </w:r>
          </w:hyperlink>
        </w:p>
        <w:p>
          <w:pPr>
            <w:pStyle w:val="Contents5"/>
            <w:tabs>
              <w:tab w:val="clear" w:pos="7892"/>
              <w:tab w:val="right" w:pos="9026" w:leader="dot"/>
            </w:tabs>
            <w:rPr/>
          </w:pPr>
          <w:hyperlink w:anchor="__RefHeading___Toc964485_2320776876">
            <w:r>
              <w:rPr>
                <w:webHidden/>
                <w:rStyle w:val="IndexLink"/>
                <w:rtl w:val="true"/>
              </w:rPr>
              <w:t xml:space="preserve">بيان معنى </w:t>
            </w:r>
            <w:r>
              <w:rPr>
                <w:rStyle w:val="IndexLink"/>
                <w:rtl w:val="true"/>
              </w:rPr>
              <w:t>«</w:t>
            </w:r>
            <w:r>
              <w:rPr>
                <w:rStyle w:val="IndexLink"/>
                <w:rtl w:val="true"/>
              </w:rPr>
              <w:t>العترة</w:t>
            </w:r>
            <w:r>
              <w:rPr>
                <w:rStyle w:val="IndexLink"/>
                <w:rtl w:val="true"/>
              </w:rPr>
              <w:t>»</w:t>
              <w:tab/>
            </w:r>
            <w:r>
              <w:rPr>
                <w:rStyle w:val="IndexLink"/>
              </w:rPr>
              <w:t>470</w:t>
            </w:r>
          </w:hyperlink>
        </w:p>
        <w:p>
          <w:pPr>
            <w:pStyle w:val="Contents5"/>
            <w:tabs>
              <w:tab w:val="clear" w:pos="7892"/>
              <w:tab w:val="right" w:pos="9026" w:leader="dot"/>
            </w:tabs>
            <w:rPr/>
          </w:pPr>
          <w:hyperlink w:anchor="__RefHeading___Toc964487_2320776876">
            <w:r>
              <w:rPr>
                <w:webHidden/>
                <w:rStyle w:val="IndexLink"/>
                <w:rtl w:val="true"/>
              </w:rPr>
              <w:t>بيان دلالة حديث الثقلين علىٰ أنّ إجماع أهل البيت حجّة</w:t>
            </w:r>
            <w:r>
              <w:rPr>
                <w:rStyle w:val="IndexLink"/>
                <w:rtl w:val="true"/>
              </w:rPr>
              <w:tab/>
            </w:r>
            <w:r>
              <w:rPr>
                <w:rStyle w:val="IndexLink"/>
              </w:rPr>
              <w:t>474</w:t>
            </w:r>
          </w:hyperlink>
        </w:p>
        <w:p>
          <w:pPr>
            <w:pStyle w:val="Contents5"/>
            <w:tabs>
              <w:tab w:val="clear" w:pos="7892"/>
              <w:tab w:val="right" w:pos="9026" w:leader="dot"/>
            </w:tabs>
            <w:rPr/>
          </w:pPr>
          <w:hyperlink w:anchor="__RefHeading___Toc964489_2320776876">
            <w:r>
              <w:rPr>
                <w:webHidden/>
                <w:rStyle w:val="IndexLink"/>
                <w:rtl w:val="true"/>
              </w:rPr>
              <w:t>بيان إجماع أهل البيت علىٰ إمامة أمير المؤمنين عليه السلام</w:t>
            </w:r>
            <w:r>
              <w:rPr>
                <w:rStyle w:val="IndexLink"/>
                <w:rtl w:val="true"/>
              </w:rPr>
              <w:tab/>
            </w:r>
            <w:r>
              <w:rPr>
                <w:rStyle w:val="IndexLink"/>
              </w:rPr>
              <w:t>475</w:t>
            </w:r>
          </w:hyperlink>
        </w:p>
        <w:p>
          <w:pPr>
            <w:pStyle w:val="Contents5"/>
            <w:tabs>
              <w:tab w:val="clear" w:pos="7892"/>
              <w:tab w:val="right" w:pos="9026" w:leader="dot"/>
            </w:tabs>
            <w:rPr/>
          </w:pPr>
          <w:hyperlink w:anchor="__RefHeading___Toc964491_2320776876">
            <w:r>
              <w:rPr>
                <w:webHidden/>
                <w:rStyle w:val="IndexLink"/>
                <w:rtl w:val="true"/>
              </w:rPr>
              <w:t>بيان دلالة حديث الثقلين علىٰ ثبوت حجّةٍ مأمونٍ من أهل البيت في كلّ عصر</w:t>
            </w:r>
            <w:r>
              <w:rPr>
                <w:rStyle w:val="IndexLink"/>
                <w:rtl w:val="true"/>
              </w:rPr>
              <w:tab/>
            </w:r>
            <w:r>
              <w:rPr>
                <w:rStyle w:val="IndexLink"/>
              </w:rPr>
              <w:t>477</w:t>
            </w:r>
          </w:hyperlink>
        </w:p>
        <w:p>
          <w:pPr>
            <w:pStyle w:val="Contents5"/>
            <w:tabs>
              <w:tab w:val="clear" w:pos="7892"/>
              <w:tab w:val="right" w:pos="9026" w:leader="dot"/>
            </w:tabs>
            <w:rPr/>
          </w:pPr>
          <w:hyperlink w:anchor="__RefHeading___Toc964493_2320776876">
            <w:r>
              <w:rPr>
                <w:webHidden/>
                <w:rStyle w:val="IndexLink"/>
                <w:rtl w:val="true"/>
              </w:rPr>
              <w:t>مناقشة الأخبار التي عارض بها القاضي دلالة حديث الثقلين</w:t>
            </w:r>
            <w:r>
              <w:rPr>
                <w:rStyle w:val="IndexLink"/>
                <w:rtl w:val="true"/>
              </w:rPr>
              <w:tab/>
            </w:r>
            <w:r>
              <w:rPr>
                <w:rStyle w:val="IndexLink"/>
              </w:rPr>
              <w:t>479</w:t>
            </w:r>
          </w:hyperlink>
        </w:p>
        <w:p>
          <w:pPr>
            <w:pStyle w:val="Contents5"/>
            <w:tabs>
              <w:tab w:val="clear" w:pos="7892"/>
              <w:tab w:val="right" w:pos="9026" w:leader="dot"/>
            </w:tabs>
            <w:rPr/>
          </w:pPr>
          <w:hyperlink w:anchor="__RefHeading___Toc964495_2320776876">
            <w:r>
              <w:rPr>
                <w:webHidden/>
                <w:rStyle w:val="IndexLink"/>
                <w:rtl w:val="true"/>
              </w:rPr>
              <w:t>مناقشة خبر</w:t>
            </w:r>
            <w:r>
              <w:rPr>
                <w:rStyle w:val="IndexLink"/>
                <w:rtl w:val="true"/>
              </w:rPr>
              <w:t>: «</w:t>
            </w:r>
            <w:r>
              <w:rPr>
                <w:rStyle w:val="IndexLink"/>
                <w:rtl w:val="true"/>
              </w:rPr>
              <w:t>اقتدوا باللذين من بعدي</w:t>
            </w:r>
            <w:r>
              <w:rPr>
                <w:rStyle w:val="IndexLink"/>
                <w:rtl w:val="true"/>
              </w:rPr>
              <w:t>»</w:t>
              <w:tab/>
            </w:r>
            <w:r>
              <w:rPr>
                <w:rStyle w:val="IndexLink"/>
              </w:rPr>
              <w:t>480</w:t>
            </w:r>
          </w:hyperlink>
        </w:p>
        <w:p>
          <w:pPr>
            <w:pStyle w:val="Contents5"/>
            <w:tabs>
              <w:tab w:val="clear" w:pos="7892"/>
              <w:tab w:val="right" w:pos="9026" w:leader="dot"/>
            </w:tabs>
            <w:rPr/>
          </w:pPr>
          <w:hyperlink w:anchor="__RefHeading___Toc964497_2320776876">
            <w:r>
              <w:rPr>
                <w:webHidden/>
                <w:rStyle w:val="IndexLink"/>
                <w:rtl w:val="true"/>
              </w:rPr>
              <w:t>مناقشة خبر</w:t>
            </w:r>
            <w:r>
              <w:rPr>
                <w:rStyle w:val="IndexLink"/>
                <w:rtl w:val="true"/>
              </w:rPr>
              <w:t>: «</w:t>
            </w:r>
            <w:r>
              <w:rPr>
                <w:rStyle w:val="IndexLink"/>
                <w:rtl w:val="true"/>
              </w:rPr>
              <w:t>أصحابي كالنجوم</w:t>
            </w:r>
            <w:r>
              <w:rPr>
                <w:rStyle w:val="IndexLink"/>
                <w:rtl w:val="true"/>
              </w:rPr>
              <w:t>»</w:t>
              <w:tab/>
            </w:r>
            <w:r>
              <w:rPr>
                <w:rStyle w:val="IndexLink"/>
              </w:rPr>
              <w:t>482</w:t>
            </w:r>
          </w:hyperlink>
        </w:p>
        <w:p>
          <w:pPr>
            <w:pStyle w:val="Contents4"/>
            <w:tabs>
              <w:tab w:val="clear" w:pos="8176"/>
              <w:tab w:val="right" w:pos="9026" w:leader="dot"/>
            </w:tabs>
            <w:rPr/>
          </w:pPr>
          <w:hyperlink w:anchor="__RefHeading___Toc964499_2320776876">
            <w:r>
              <w:rPr>
                <w:webHidden/>
                <w:rStyle w:val="IndexLink"/>
                <w:rtl w:val="true"/>
              </w:rPr>
              <w:t>الدليل السابع عشر آيةُ التطهيرِ</w:t>
            </w:r>
            <w:r>
              <w:rPr>
                <w:rStyle w:val="IndexLink"/>
                <w:rtl w:val="true"/>
              </w:rPr>
              <w:tab/>
            </w:r>
            <w:r>
              <w:rPr>
                <w:rStyle w:val="IndexLink"/>
              </w:rPr>
              <w:t>488</w:t>
            </w:r>
          </w:hyperlink>
        </w:p>
        <w:p>
          <w:pPr>
            <w:pStyle w:val="Contents5"/>
            <w:tabs>
              <w:tab w:val="clear" w:pos="7892"/>
              <w:tab w:val="right" w:pos="9026" w:leader="dot"/>
            </w:tabs>
            <w:rPr/>
          </w:pPr>
          <w:hyperlink w:anchor="__RefHeading___Toc964501_2320776876">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964503_2320776876">
            <w:r>
              <w:rPr>
                <w:webHidden/>
                <w:rStyle w:val="IndexLink"/>
                <w:rtl w:val="true"/>
              </w:rPr>
              <w:t>بيان دلالة آية التطهير على العصمة</w:t>
            </w:r>
            <w:r>
              <w:rPr>
                <w:rStyle w:val="IndexLink"/>
                <w:rtl w:val="true"/>
              </w:rPr>
              <w:tab/>
            </w:r>
            <w:r>
              <w:rPr>
                <w:rStyle w:val="IndexLink"/>
              </w:rPr>
              <w:t>490</w:t>
            </w:r>
          </w:hyperlink>
        </w:p>
        <w:p>
          <w:pPr>
            <w:pStyle w:val="Contents5"/>
            <w:tabs>
              <w:tab w:val="clear" w:pos="7892"/>
              <w:tab w:val="right" w:pos="9026" w:leader="dot"/>
            </w:tabs>
            <w:rPr/>
          </w:pPr>
          <w:hyperlink w:anchor="__RefHeading___Toc964505_2320776876">
            <w:r>
              <w:rPr>
                <w:webHidden/>
                <w:rStyle w:val="IndexLink"/>
                <w:rtl w:val="true"/>
              </w:rPr>
              <w:t>بيان اختصاص الآية بالمعصومين من أهل البيت عليهم السلام</w:t>
            </w:r>
            <w:r>
              <w:rPr>
                <w:rStyle w:val="IndexLink"/>
                <w:rtl w:val="true"/>
              </w:rPr>
              <w:tab/>
            </w:r>
            <w:r>
              <w:rPr>
                <w:rStyle w:val="IndexLink"/>
              </w:rPr>
              <w:t>492</w:t>
            </w:r>
          </w:hyperlink>
        </w:p>
        <w:p>
          <w:pPr>
            <w:pStyle w:val="Contents4"/>
            <w:tabs>
              <w:tab w:val="clear" w:pos="8176"/>
              <w:tab w:val="right" w:pos="9026" w:leader="dot"/>
            </w:tabs>
            <w:rPr/>
          </w:pPr>
          <w:hyperlink w:anchor="__RefHeading___Toc964507_2320776876">
            <w:r>
              <w:rPr>
                <w:webHidden/>
                <w:rStyle w:val="IndexLink"/>
                <w:rtl w:val="true"/>
              </w:rPr>
              <w:t>الدليل الثامن عشر آية</w:t>
            </w:r>
            <w:r>
              <w:rPr>
                <w:rStyle w:val="IndexLink"/>
                <w:rtl w:val="true"/>
              </w:rPr>
              <w:t>: (</w:t>
            </w:r>
            <w:r>
              <w:rPr>
                <w:rStyle w:val="IndexLink"/>
                <w:rtl w:val="true"/>
              </w:rPr>
              <w:t xml:space="preserve">لاٰ يَنٰالُ عَهْدِي الظّٰالِمِينَ </w:t>
            </w:r>
            <w:r>
              <w:rPr>
                <w:rStyle w:val="IndexLink"/>
                <w:rtl w:val="true"/>
              </w:rPr>
              <w:t>)</w:t>
              <w:tab/>
            </w:r>
            <w:r>
              <w:rPr>
                <w:rStyle w:val="IndexLink"/>
              </w:rPr>
              <w:t>496</w:t>
            </w:r>
          </w:hyperlink>
        </w:p>
        <w:p>
          <w:pPr>
            <w:pStyle w:val="Contents5"/>
            <w:tabs>
              <w:tab w:val="clear" w:pos="7892"/>
              <w:tab w:val="right" w:pos="9026" w:leader="dot"/>
            </w:tabs>
            <w:rPr/>
          </w:pPr>
          <w:hyperlink w:anchor="__RefHeading___Toc964509_2320776876">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964511_2320776876">
            <w:r>
              <w:rPr>
                <w:webHidden/>
                <w:rStyle w:val="IndexLink"/>
                <w:rtl w:val="true"/>
              </w:rPr>
              <w:t>تقرير دلالة الآية على الإمامة، بناءً علىٰ بعض المباني</w:t>
            </w:r>
            <w:r>
              <w:rPr>
                <w:rStyle w:val="IndexLink"/>
                <w:rtl w:val="true"/>
              </w:rPr>
              <w:tab/>
            </w:r>
            <w:r>
              <w:rPr>
                <w:rStyle w:val="IndexLink"/>
              </w:rPr>
              <w:t>499</w:t>
            </w:r>
          </w:hyperlink>
        </w:p>
        <w:p>
          <w:pPr>
            <w:pStyle w:val="Contents5"/>
            <w:tabs>
              <w:tab w:val="clear" w:pos="7892"/>
              <w:tab w:val="right" w:pos="9026" w:leader="dot"/>
            </w:tabs>
            <w:rPr/>
          </w:pPr>
          <w:hyperlink w:anchor="__RefHeading___Toc964513_2320776876">
            <w:r>
              <w:rPr>
                <w:webHidden/>
                <w:rStyle w:val="IndexLink"/>
                <w:rtl w:val="true"/>
              </w:rPr>
              <w:t>بيان تناوُل عنوان الظالم لمن تاب بعد كفر و فسق</w:t>
            </w:r>
            <w:r>
              <w:rPr>
                <w:rStyle w:val="IndexLink"/>
                <w:rtl w:val="true"/>
              </w:rPr>
              <w:tab/>
            </w:r>
            <w:r>
              <w:rPr>
                <w:rStyle w:val="IndexLink"/>
              </w:rPr>
              <w:t>500</w:t>
            </w:r>
          </w:hyperlink>
        </w:p>
        <w:p>
          <w:pPr>
            <w:pStyle w:val="Contents5"/>
            <w:tabs>
              <w:tab w:val="clear" w:pos="7892"/>
              <w:tab w:val="right" w:pos="9026" w:leader="dot"/>
            </w:tabs>
            <w:rPr/>
          </w:pPr>
          <w:hyperlink w:anchor="__RefHeading___Toc964515_2320776876">
            <w:r>
              <w:rPr>
                <w:webHidden/>
                <w:rStyle w:val="IndexLink"/>
                <w:rtl w:val="true"/>
              </w:rPr>
              <w:t>بيان دلالة الآية على الإمامة بمعنىٰ إقامة الحدود</w:t>
            </w:r>
            <w:r>
              <w:rPr>
                <w:rStyle w:val="IndexLink"/>
                <w:rtl w:val="true"/>
              </w:rPr>
              <w:tab/>
            </w:r>
            <w:r>
              <w:rPr>
                <w:rStyle w:val="IndexLink"/>
              </w:rPr>
              <w:t>501</w:t>
            </w:r>
          </w:hyperlink>
        </w:p>
        <w:p>
          <w:pPr>
            <w:pStyle w:val="Contents5"/>
            <w:tabs>
              <w:tab w:val="clear" w:pos="7892"/>
              <w:tab w:val="right" w:pos="9026" w:leader="dot"/>
            </w:tabs>
            <w:rPr/>
          </w:pPr>
          <w:hyperlink w:anchor="__RefHeading___Toc964517_2320776876">
            <w:r>
              <w:rPr>
                <w:webHidden/>
                <w:rStyle w:val="IndexLink"/>
                <w:rtl w:val="true"/>
              </w:rPr>
              <w:t>بيان أنّ الإمام حجّة كالرسول، و بيان اختلاف حاله عن الأمير و الحاكم</w:t>
            </w:r>
            <w:r>
              <w:rPr>
                <w:rStyle w:val="IndexLink"/>
                <w:rtl w:val="true"/>
              </w:rPr>
              <w:tab/>
            </w:r>
            <w:r>
              <w:rPr>
                <w:rStyle w:val="IndexLink"/>
              </w:rPr>
              <w:t>503</w:t>
            </w:r>
          </w:hyperlink>
        </w:p>
        <w:p>
          <w:pPr>
            <w:pStyle w:val="Contents3"/>
            <w:tabs>
              <w:tab w:val="clear" w:pos="8459"/>
              <w:tab w:val="right" w:pos="9026" w:leader="dot"/>
            </w:tabs>
            <w:rPr/>
          </w:pPr>
          <w:hyperlink w:anchor="__RefHeading___Toc964519_2320776876">
            <w:r>
              <w:rPr>
                <w:webHidden/>
                <w:rStyle w:val="IndexLink"/>
                <w:rtl w:val="true"/>
              </w:rPr>
              <w:t>إثبات إمامة الأئمّة الاثني عشر</w:t>
            </w:r>
            <w:r>
              <w:rPr>
                <w:rStyle w:val="IndexLink"/>
                <w:rtl w:val="true"/>
              </w:rPr>
              <w:tab/>
            </w:r>
            <w:r>
              <w:rPr>
                <w:rStyle w:val="IndexLink"/>
              </w:rPr>
              <w:t>505</w:t>
            </w:r>
          </w:hyperlink>
        </w:p>
        <w:p>
          <w:pPr>
            <w:pStyle w:val="Contents4"/>
            <w:tabs>
              <w:tab w:val="clear" w:pos="8176"/>
              <w:tab w:val="right" w:pos="9026" w:leader="dot"/>
            </w:tabs>
            <w:rPr/>
          </w:pPr>
          <w:hyperlink w:anchor="__RefHeading___Toc964521_2320776876">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964523_2320776876">
            <w:r>
              <w:rPr>
                <w:webHidden/>
                <w:rStyle w:val="IndexLink"/>
                <w:rtl w:val="true"/>
              </w:rPr>
              <w:t>مقدّمة حول إمكان الاستدلال علىٰ إمامة الأئمّة الاثني عشر</w:t>
            </w:r>
            <w:r>
              <w:rPr>
                <w:rStyle w:val="IndexLink"/>
                <w:rtl w:val="true"/>
              </w:rPr>
              <w:tab/>
            </w:r>
            <w:r>
              <w:rPr>
                <w:rStyle w:val="IndexLink"/>
              </w:rPr>
              <w:t>508</w:t>
            </w:r>
          </w:hyperlink>
        </w:p>
        <w:p>
          <w:pPr>
            <w:pStyle w:val="Contents4"/>
            <w:tabs>
              <w:tab w:val="clear" w:pos="8176"/>
              <w:tab w:val="right" w:pos="9026" w:leader="dot"/>
            </w:tabs>
            <w:rPr/>
          </w:pPr>
          <w:hyperlink w:anchor="__RefHeading___Toc964525_2320776876">
            <w:r>
              <w:rPr>
                <w:webHidden/>
                <w:rStyle w:val="IndexLink"/>
                <w:rtl w:val="true"/>
              </w:rPr>
              <w:t>تفصيل الدليل علىٰ إمامة الأئمّة الاثني عشر</w:t>
            </w:r>
            <w:r>
              <w:rPr>
                <w:rStyle w:val="IndexLink"/>
                <w:rtl w:val="true"/>
              </w:rPr>
              <w:tab/>
            </w:r>
            <w:r>
              <w:rPr>
                <w:rStyle w:val="IndexLink"/>
              </w:rPr>
              <w:t>510</w:t>
            </w:r>
          </w:hyperlink>
        </w:p>
        <w:p>
          <w:pPr>
            <w:pStyle w:val="Contents4"/>
            <w:tabs>
              <w:tab w:val="clear" w:pos="8176"/>
              <w:tab w:val="right" w:pos="9026" w:leader="dot"/>
            </w:tabs>
            <w:rPr/>
          </w:pPr>
          <w:hyperlink w:anchor="__RefHeading___Toc964527_2320776876">
            <w:r>
              <w:rPr>
                <w:webHidden/>
                <w:rStyle w:val="IndexLink"/>
                <w:rtl w:val="true"/>
              </w:rPr>
              <w:t>زيادة الخوف علىٰ صاحب الزمان عليه السلام من الأعداء، أكثر من غيره من الأئمّة عليهم السلام</w:t>
            </w:r>
            <w:r>
              <w:rPr>
                <w:rStyle w:val="IndexLink"/>
                <w:rtl w:val="true"/>
              </w:rPr>
              <w:tab/>
            </w:r>
            <w:r>
              <w:rPr>
                <w:rStyle w:val="IndexLink"/>
              </w:rPr>
              <w:t>516</w:t>
            </w:r>
          </w:hyperlink>
        </w:p>
        <w:p>
          <w:pPr>
            <w:pStyle w:val="Contents4"/>
            <w:tabs>
              <w:tab w:val="clear" w:pos="8176"/>
              <w:tab w:val="right" w:pos="9026" w:leader="dot"/>
            </w:tabs>
            <w:rPr/>
          </w:pPr>
          <w:hyperlink w:anchor="__RefHeading___Toc964529_2320776876">
            <w:r>
              <w:rPr>
                <w:webHidden/>
                <w:rStyle w:val="IndexLink"/>
                <w:rtl w:val="true"/>
              </w:rPr>
              <w:t>بيان أنّ سبب الغيبة هو فِعل الظالمين</w:t>
            </w:r>
            <w:r>
              <w:rPr>
                <w:rStyle w:val="IndexLink"/>
                <w:rtl w:val="true"/>
              </w:rPr>
              <w:tab/>
            </w:r>
            <w:r>
              <w:rPr>
                <w:rStyle w:val="IndexLink"/>
              </w:rPr>
              <w:t>519</w:t>
            </w:r>
          </w:hyperlink>
        </w:p>
        <w:p>
          <w:pPr>
            <w:pStyle w:val="Contents4"/>
            <w:tabs>
              <w:tab w:val="clear" w:pos="8176"/>
              <w:tab w:val="right" w:pos="9026" w:leader="dot"/>
            </w:tabs>
            <w:rPr/>
          </w:pPr>
          <w:hyperlink w:anchor="__RefHeading___Toc964531_2320776876">
            <w:r>
              <w:rPr>
                <w:webHidden/>
                <w:rStyle w:val="IndexLink"/>
                <w:rtl w:val="true"/>
              </w:rPr>
              <w:t>بيان ما يجوز من حراسة إمام الزمان عليه السلام ممّا يُخاف عليه، و ما لا يجوز</w:t>
            </w:r>
            <w:r>
              <w:rPr>
                <w:rStyle w:val="IndexLink"/>
                <w:rtl w:val="true"/>
              </w:rPr>
              <w:tab/>
            </w:r>
            <w:r>
              <w:rPr>
                <w:rStyle w:val="IndexLink"/>
              </w:rPr>
              <w:t>520</w:t>
            </w:r>
          </w:hyperlink>
        </w:p>
        <w:p>
          <w:pPr>
            <w:pStyle w:val="Contents4"/>
            <w:tabs>
              <w:tab w:val="clear" w:pos="8176"/>
              <w:tab w:val="right" w:pos="9026" w:leader="dot"/>
            </w:tabs>
            <w:rPr/>
          </w:pPr>
          <w:hyperlink w:anchor="__RefHeading___Toc964533_2320776876">
            <w:r>
              <w:rPr>
                <w:webHidden/>
                <w:rStyle w:val="IndexLink"/>
                <w:rtl w:val="true"/>
              </w:rPr>
              <w:t xml:space="preserve">بيان أنّ حقيقة </w:t>
            </w:r>
            <w:r>
              <w:rPr>
                <w:rStyle w:val="IndexLink"/>
                <w:rtl w:val="true"/>
              </w:rPr>
              <w:t>«</w:t>
            </w:r>
            <w:r>
              <w:rPr>
                <w:rStyle w:val="IndexLink"/>
                <w:rtl w:val="true"/>
              </w:rPr>
              <w:t>الفترة</w:t>
            </w:r>
            <w:r>
              <w:rPr>
                <w:rStyle w:val="IndexLink"/>
                <w:rtl w:val="true"/>
              </w:rPr>
              <w:t xml:space="preserve">» </w:t>
            </w:r>
            <w:r>
              <w:rPr>
                <w:rStyle w:val="IndexLink"/>
                <w:rtl w:val="true"/>
              </w:rPr>
              <w:t>تختصُّ الرسل، لا مطلق الحجّة الذي يشمل الإمام</w:t>
            </w:r>
            <w:r>
              <w:rPr>
                <w:rStyle w:val="IndexLink"/>
                <w:rtl w:val="true"/>
              </w:rPr>
              <w:tab/>
            </w:r>
            <w:r>
              <w:rPr>
                <w:rStyle w:val="IndexLink"/>
              </w:rPr>
              <w:t>520</w:t>
            </w:r>
          </w:hyperlink>
        </w:p>
        <w:p>
          <w:pPr>
            <w:pStyle w:val="Contents2"/>
            <w:tabs>
              <w:tab w:val="clear" w:pos="8743"/>
              <w:tab w:val="right" w:pos="9026" w:leader="dot"/>
            </w:tabs>
            <w:rPr/>
          </w:pPr>
          <w:hyperlink w:anchor="__RefHeading___Toc964535_2320776876">
            <w:r>
              <w:rPr>
                <w:webHidden/>
                <w:rStyle w:val="IndexLink"/>
                <w:rtl w:val="true"/>
              </w:rPr>
              <w:t>فهرس المطالب</w:t>
            </w:r>
            <w:r>
              <w:rPr>
                <w:rStyle w:val="IndexLink"/>
                <w:rtl w:val="true"/>
              </w:rPr>
              <w:tab/>
            </w:r>
            <w:r>
              <w:rPr>
                <w:rStyle w:val="IndexLink"/>
              </w:rPr>
              <w:t>523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17_202336"/>
      <w:bookmarkStart w:id="1" w:name="pg20017_202336"/>
      <w:bookmarkEnd w:id="1"/>
    </w:p>
    <w:p>
      <w:pPr>
        <w:pStyle w:val="Heading2"/>
        <w:numPr>
          <w:ilvl w:val="1"/>
          <w:numId w:val="1"/>
        </w:numPr>
        <w:rPr/>
      </w:pPr>
      <w:bookmarkStart w:id="2" w:name="pg20017_202336"/>
      <w:bookmarkStart w:id="3" w:name="__RefHeading___Toc963995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علی‌بن حسین،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Sharīf al-Murtaḍá, ʻAlam al-Hudá ʻAlī ibn al-Ḥusayn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فی‌الامامه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للشریف المرتضی علی‌بن الحسین الموسوی، علم‌الهدی؛ تحقیق محمدحسین الدرایتی؛ تهیه‌کننده مرکز همایش‌های علمی و پژوهش‌های آزاد 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الموتمر لدولی لذکری‌الفیه‌الشریف‌المرتضی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مولفات‌الشریف‌المرتضی؛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0405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0406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060407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060408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060409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060410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الصادق،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eastAsia="Times New Roman" w:cs="Times New Roman" w:ascii="Times New Roman" w:hAnsi="Times New Roman"/>
          <w:color w:val="111111"/>
          <w:sz w:val="28"/>
          <w:szCs w:val="28"/>
          <w:lang w:val="en-US" w:bidi="en-US"/>
        </w:rPr>
        <w:t>Imamate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درایتی، محمدحسین،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Research foundation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همایش‌های علمی و پژوهش‌های آزاد</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5946228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محرر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3997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الشافی فی‌الامامه</w:t>
      </w:r>
    </w:p>
    <w:p>
      <w:pPr>
        <w:pStyle w:val="BookText"/>
        <w:rPr/>
      </w:pPr>
      <w:r>
        <w:rPr>
          <w:rFonts w:ascii="IRNazanin" w:hAnsi="IRNazanin" w:eastAsia="IRNazanin"/>
          <w:color w:val="111111"/>
          <w:sz w:val="28"/>
          <w:sz w:val="28"/>
          <w:szCs w:val="28"/>
          <w:rtl w:val="true"/>
          <w:lang w:bidi="fa-IR"/>
        </w:rPr>
        <w:t>للشریف المرتضی علی‌بن الحسین الموسوی، علم‌الهدی</w:t>
      </w:r>
    </w:p>
    <w:p>
      <w:pPr>
        <w:pStyle w:val="BookText"/>
        <w:rPr/>
      </w:pPr>
      <w:r>
        <w:rPr>
          <w:rFonts w:ascii="IRNazanin" w:hAnsi="IRNazanin" w:eastAsia="IRNazanin"/>
          <w:color w:val="111111"/>
          <w:sz w:val="28"/>
          <w:sz w:val="28"/>
          <w:szCs w:val="28"/>
          <w:rtl w:val="true"/>
          <w:lang w:bidi="fa-IR"/>
        </w:rPr>
        <w:t>تحقیق محمدحسین الدرایتی</w:t>
      </w:r>
    </w:p>
    <w:p>
      <w:pPr>
        <w:pStyle w:val="BookText"/>
        <w:rPr/>
      </w:pPr>
      <w:r>
        <w:rPr>
          <w:rFonts w:ascii="IRNazanin" w:hAnsi="IRNazanin" w:eastAsia="IRNazanin"/>
          <w:color w:val="111111"/>
          <w:sz w:val="28"/>
          <w:sz w:val="28"/>
          <w:szCs w:val="28"/>
          <w:rtl w:val="true"/>
          <w:lang w:bidi="fa-IR"/>
        </w:rPr>
        <w:t>تهیه‌کننده مرکز همایش‌های علمی و پژوهش‌های آزاد دارالحدیث</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bookmarkStart w:id="7" w:name="pg20017_202340"/>
    </w:p>
    <w:p>
      <w:pPr>
        <w:pStyle w:val="Heading2"/>
        <w:numPr>
          <w:ilvl w:val="1"/>
          <w:numId w:val="1"/>
        </w:numPr>
        <w:rPr/>
      </w:pPr>
      <w:bookmarkStart w:id="8" w:name="__RefHeading___Toc963999_2320776876"/>
      <w:bookmarkStart w:id="9" w:name="_Toc3"/>
      <w:bookmarkEnd w:id="7"/>
      <w:bookmarkEnd w:id="8"/>
      <w:r>
        <w:rPr>
          <w:rtl w:val="true"/>
        </w:rPr>
        <w:t>الفهرس الإجمالي</w:t>
      </w:r>
      <w:bookmarkEnd w:id="9"/>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إبطال ما دفع به ثبوت النصّ و ورود السمع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الكلام في صحّة نقل النصّ عن طريق أمير المؤمنين عليه السلام علىٰ إمامة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الكلام في تواتر النصوص التي ينقلها الشيعة و دلالتها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مناقَشةُ دَعوَى الإجماعِ علىٰ إمامةِ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الكلام في الأدلّة الدالّة علىٰ إمامة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الدليل الأوّل و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العصمة، و الأفضليّة، و المطاعن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تَظٰاهَرٰا عَلَيْهِ فَإِنَّ اللّٰهَ هُوَ مَوْلاٰهُ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الدليلُ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الدليل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استخلافُ الرسولِ صلى الله عليه و آله عليّاً عليه السلام علَى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الدليل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 وَصيّي،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المؤاخاة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الثالث عشر و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الرايةِ ، و حَديثُ الطائرِ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الدليل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الدليل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الدليل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الدليل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إمامة الأئمّة الاثني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bookmarkStart w:id="10" w:name="pg20017_202342"/>
    </w:p>
    <w:p>
      <w:pPr>
        <w:pStyle w:val="Heading2"/>
        <w:numPr>
          <w:ilvl w:val="1"/>
          <w:numId w:val="1"/>
        </w:numPr>
        <w:rPr/>
      </w:pPr>
      <w:bookmarkStart w:id="11" w:name="__RefHeading___Toc964001_2320776876"/>
      <w:bookmarkStart w:id="12" w:name="_Toc4"/>
      <w:bookmarkEnd w:id="10"/>
      <w:bookmarkEnd w:id="11"/>
      <w:r>
        <w:rPr>
          <w:rtl w:val="true"/>
        </w:rPr>
        <w:t xml:space="preserve">تتمّة </w:t>
      </w:r>
      <w:r>
        <w:rPr/>
        <w:t>6</w:t>
      </w:r>
      <w:r>
        <w:rPr>
          <w:rtl w:val="true"/>
        </w:rPr>
        <w:t xml:space="preserve">. </w:t>
      </w:r>
      <w:r>
        <w:rPr>
          <w:rtl w:val="true"/>
        </w:rPr>
        <w:t>فصل في إبطال ما دفع به ثبوت النصّ  و ورود السمع به</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964003_2320776876"/>
      <w:bookmarkStart w:id="14" w:name="_Toc5"/>
      <w:bookmarkEnd w:id="13"/>
      <w:r>
        <w:rPr>
          <w:rtl w:val="true"/>
        </w:rPr>
        <w:t>اشارة</w:t>
      </w:r>
      <w:bookmarkEnd w:id="1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017_202344"/>
      <w:bookmarkStart w:id="16" w:name="pg20017_202344"/>
      <w:bookmarkEnd w:id="16"/>
    </w:p>
    <w:p>
      <w:pPr>
        <w:pStyle w:val="Heading3"/>
        <w:numPr>
          <w:ilvl w:val="2"/>
          <w:numId w:val="1"/>
        </w:numPr>
        <w:rPr/>
      </w:pPr>
      <w:bookmarkStart w:id="17" w:name="pg20017_202344"/>
      <w:bookmarkStart w:id="18" w:name="__RefHeading___Toc964005_2320776876"/>
      <w:bookmarkStart w:id="19" w:name="_Toc6"/>
      <w:bookmarkEnd w:id="17"/>
      <w:bookmarkEnd w:id="18"/>
      <w:r>
        <w:rPr>
          <w:rtl w:val="true"/>
        </w:rPr>
        <w:t>الكلام في صحّة نقل النصّ عن طريق أمير المؤمنين عليه السلام علىٰ إمامة نفسه</w:t>
      </w:r>
      <w:bookmarkEnd w:id="19"/>
    </w:p>
    <w:p>
      <w:pPr>
        <w:pStyle w:val="Heading4"/>
        <w:numPr>
          <w:ilvl w:val="3"/>
          <w:numId w:val="1"/>
        </w:numPr>
        <w:rPr/>
      </w:pPr>
      <w:bookmarkStart w:id="20" w:name="__RefHeading___Toc964007_2320776876"/>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بعضُ الإماميّةِ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يدُلُّ علَى النصِّ‌</w:t>
      </w:r>
      <w:r>
        <w:rPr>
          <w:rStyle w:val="FootnoteAnchor"/>
          <w:rtl w:val="true"/>
        </w:rPr>
        <w:footnoteReference w:id="2"/>
      </w:r>
      <w:r>
        <w:rPr>
          <w:rFonts w:ascii="Amiri" w:hAnsi="Amiri" w:eastAsia="Amiri" w:cs="Amiri"/>
          <w:color w:val="111111"/>
          <w:sz w:val="28"/>
          <w:sz w:val="28"/>
          <w:szCs w:val="28"/>
          <w:rtl w:val="true"/>
          <w:lang w:bidi="ar-SA"/>
        </w:rPr>
        <w:t>أنّ الشيعةَ بأجمَعِها علَى اختلافِها رَوَت كُلٌّ عن كُلٍّ عن عليٍّ‌</w:t>
      </w:r>
      <w:r>
        <w:rPr>
          <w:rStyle w:val="FootnoteAnchor"/>
          <w:rtl w:val="true"/>
        </w:rPr>
        <w:footnoteReference w:id="3"/>
      </w:r>
      <w:r>
        <w:rPr>
          <w:rFonts w:ascii="Amiri" w:hAnsi="Amiri" w:eastAsia="Amiri" w:cs="Amiri"/>
          <w:color w:val="111111"/>
          <w:sz w:val="28"/>
          <w:sz w:val="28"/>
          <w:szCs w:val="28"/>
          <w:rtl w:val="true"/>
          <w:lang w:bidi="ar-SA"/>
        </w:rPr>
        <w:t>عليه السلامُ أنّ رسولَ اللّٰهِ صَلّى اللّٰهُ عليه و سَلَّمَ‌</w:t>
      </w:r>
      <w:r>
        <w:rPr>
          <w:rStyle w:val="FootnoteAnchor"/>
          <w:rtl w:val="true"/>
        </w:rPr>
        <w:footnoteReference w:id="4"/>
      </w:r>
      <w:r>
        <w:rPr>
          <w:rFonts w:ascii="Amiri" w:hAnsi="Amiri" w:eastAsia="Amiri" w:cs="Amiri"/>
          <w:color w:val="111111"/>
          <w:sz w:val="28"/>
          <w:sz w:val="28"/>
          <w:szCs w:val="28"/>
          <w:rtl w:val="true"/>
          <w:lang w:bidi="ar-SA"/>
        </w:rPr>
        <w:t>استَخلَفَه، و أَوصىٰ إليه، و فرَضَ طاعتَه، و أقامَه مَقامَه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يَتعمَّدَ الكَذِبَ في ذلكَ‌، و لا يَجوزُ علَى الشيعةِ‌</w:t>
      </w:r>
      <w:r>
        <w:rPr>
          <w:rStyle w:val="FootnoteAnchor"/>
          <w:rtl w:val="true"/>
        </w:rPr>
        <w:footnoteReference w:id="5"/>
      </w:r>
      <w:r>
        <w:rPr>
          <w:rFonts w:ascii="Amiri" w:hAnsi="Amiri" w:eastAsia="Amiri" w:cs="Amiri"/>
          <w:color w:val="111111"/>
          <w:sz w:val="28"/>
          <w:sz w:val="28"/>
          <w:szCs w:val="28"/>
          <w:rtl w:val="true"/>
          <w:lang w:bidi="ar-SA"/>
        </w:rPr>
        <w:t>أن يَتَواطَؤوا علَى الكَذِبِ‌؛ فيَجِبُ بذلك إثباتُ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القولُ </w:t>
      </w:r>
      <w:r>
        <w:rPr>
          <w:rStyle w:val="FootnoteAnchor"/>
          <w:rtl w:val="true"/>
        </w:rPr>
        <w:footnoteReference w:id="6"/>
      </w:r>
      <w:r>
        <w:rPr>
          <w:rFonts w:ascii="Amiri" w:hAnsi="Amiri" w:eastAsia="Amiri" w:cs="Amiri"/>
          <w:color w:val="111111"/>
          <w:sz w:val="28"/>
          <w:sz w:val="28"/>
          <w:szCs w:val="28"/>
          <w:rtl w:val="true"/>
          <w:lang w:bidi="ar-SA"/>
        </w:rPr>
        <w:t xml:space="preserve">أبعَدُ ممّا تَقدَّمَ ؛ لأنّ الذي رَوَوهُ </w:t>
      </w:r>
      <w:r>
        <w:rPr>
          <w:rStyle w:val="FootnoteAnchor"/>
          <w:rtl w:val="true"/>
        </w:rPr>
        <w:footnoteReference w:id="7"/>
      </w:r>
      <w:r>
        <w:rPr>
          <w:rFonts w:ascii="Amiri" w:hAnsi="Amiri" w:eastAsia="Amiri" w:cs="Amiri"/>
          <w:color w:val="111111"/>
          <w:sz w:val="28"/>
          <w:sz w:val="28"/>
          <w:szCs w:val="28"/>
          <w:rtl w:val="true"/>
          <w:lang w:bidi="ar-SA"/>
        </w:rPr>
        <w:t xml:space="preserve">عن عليٍّ عليه السلامُ </w:t>
      </w:r>
    </w:p>
    <w:p>
      <w:pPr>
        <w:pStyle w:val="BookText"/>
        <w:rPr/>
      </w:pPr>
      <w:r>
        <w:rPr>
          <w:rFonts w:ascii="Amiri" w:hAnsi="Amiri" w:eastAsia="Amiri" w:cs="Amiri"/>
          <w:color w:val="111111"/>
          <w:sz w:val="28"/>
          <w:sz w:val="28"/>
          <w:szCs w:val="28"/>
          <w:rtl w:val="true"/>
          <w:lang w:bidi="ar-SA"/>
        </w:rPr>
        <w:t>فيه تَنازُعٌ‌، و كُلُّ الطوائفِ المُخالِفةِ له تَروي</w:t>
      </w:r>
      <w:r>
        <w:rPr>
          <w:rStyle w:val="FootnoteAnchor"/>
          <w:rtl w:val="true"/>
        </w:rPr>
        <w:footnoteReference w:id="8"/>
      </w:r>
      <w:r>
        <w:rPr>
          <w:rFonts w:ascii="Amiri" w:hAnsi="Amiri" w:eastAsia="Amiri" w:cs="Amiri"/>
          <w:color w:val="111111"/>
          <w:sz w:val="28"/>
          <w:sz w:val="28"/>
          <w:szCs w:val="28"/>
          <w:rtl w:val="true"/>
          <w:lang w:bidi="ar-SA"/>
        </w:rPr>
        <w:t>عنه الرضا ببَيعةِ‌</w:t>
      </w:r>
      <w:r>
        <w:rPr>
          <w:rStyle w:val="FootnoteAnchor"/>
          <w:rtl w:val="true"/>
        </w:rPr>
        <w:footnoteReference w:id="9"/>
      </w:r>
      <w:r>
        <w:rPr>
          <w:rFonts w:ascii="Amiri" w:hAnsi="Amiri" w:eastAsia="Amiri" w:cs="Amiri"/>
          <w:color w:val="111111"/>
          <w:sz w:val="28"/>
          <w:sz w:val="28"/>
          <w:szCs w:val="28"/>
          <w:rtl w:val="true"/>
          <w:lang w:bidi="ar-SA"/>
        </w:rPr>
        <w:t>مَن تَقدَّمَه، و أنّه</w:t>
      </w:r>
      <w:r>
        <w:rPr>
          <w:rStyle w:val="FootnoteAnchor"/>
          <w:rtl w:val="true"/>
        </w:rPr>
        <w:footnoteReference w:id="10"/>
      </w:r>
      <w:r>
        <w:rPr>
          <w:rFonts w:ascii="Amiri" w:hAnsi="Amiri" w:eastAsia="Amiri" w:cs="Amiri"/>
          <w:color w:val="111111"/>
          <w:sz w:val="28"/>
          <w:sz w:val="28"/>
          <w:szCs w:val="28"/>
          <w:rtl w:val="true"/>
          <w:lang w:bidi="ar-SA"/>
        </w:rPr>
        <w:t>كانَ يَمدَحُهم، و يَظهَرُ عنه الاعترافُ بإمامتِهم</w:t>
      </w:r>
      <w:r>
        <w:rPr>
          <w:rStyle w:val="FootnoteAnchor"/>
          <w:rtl w:val="true"/>
        </w:rPr>
        <w:footnoteReference w:id="11"/>
      </w:r>
      <w:r>
        <w:rPr>
          <w:rFonts w:ascii="Amiri" w:hAnsi="Amiri" w:eastAsia="Amiri" w:cs="Amiri"/>
          <w:color w:val="111111"/>
          <w:sz w:val="28"/>
          <w:sz w:val="28"/>
          <w:szCs w:val="28"/>
          <w:rtl w:val="true"/>
          <w:lang w:bidi="ar-SA"/>
        </w:rPr>
        <w:t>، و أنّه لَم يَدَّعِ لنفسِه الإمامةَ إلّاعندَ البَيعةِ‌</w:t>
      </w:r>
      <w:r>
        <w:rPr>
          <w:rStyle w:val="FootnoteAnchor"/>
          <w:rtl w:val="true"/>
        </w:rPr>
        <w:footnoteReference w:id="12"/>
      </w:r>
      <w:r>
        <w:rPr>
          <w:rFonts w:ascii="Amiri" w:hAnsi="Amiri" w:eastAsia="Amiri" w:cs="Amiri"/>
          <w:color w:val="111111"/>
          <w:sz w:val="28"/>
          <w:sz w:val="28"/>
          <w:szCs w:val="28"/>
          <w:rtl w:val="true"/>
          <w:lang w:bidi="ar-SA"/>
        </w:rPr>
        <w:t>، و أنّه في المَواقفِ المشهورةِ كانَ يَتعلَّقُ بذِكرِ البَيعةِ دونَ النصِّ ، حتّىٰ قالَ لطَلحةَ و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بايَعتُماني ثُمّ نَكَثتُما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المُستدِلُّ بأن يُصحِّحَ إمامتَه بما ادَّعاه</w:t>
      </w:r>
      <w:r>
        <w:rPr>
          <w:rStyle w:val="FootnoteAnchor"/>
          <w:rtl w:val="true"/>
        </w:rPr>
        <w:footnoteReference w:id="13"/>
      </w:r>
      <w:r>
        <w:rPr>
          <w:rFonts w:ascii="Amiri" w:hAnsi="Amiri" w:eastAsia="Amiri" w:cs="Amiri"/>
          <w:color w:val="111111"/>
          <w:sz w:val="28"/>
          <w:sz w:val="28"/>
          <w:szCs w:val="28"/>
          <w:rtl w:val="true"/>
          <w:lang w:bidi="ar-SA"/>
        </w:rPr>
        <w:t>أَولىٰ ممّن رَدَّ</w:t>
      </w:r>
      <w:r>
        <w:rPr>
          <w:rStyle w:val="FootnoteAnchor"/>
          <w:rtl w:val="true"/>
        </w:rPr>
        <w:footnoteReference w:id="14"/>
      </w:r>
      <w:r>
        <w:rPr>
          <w:rFonts w:ascii="Amiri" w:hAnsi="Amiri" w:eastAsia="Amiri" w:cs="Amiri"/>
          <w:color w:val="111111"/>
          <w:sz w:val="28"/>
          <w:sz w:val="28"/>
          <w:szCs w:val="28"/>
          <w:rtl w:val="true"/>
          <w:lang w:bidi="ar-SA"/>
        </w:rPr>
        <w:t>ذلكَ لِما نقَلَه مَن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لا يَجوزُ التواطؤُ علَى الشيعةِ ، فكذلكَ علىٰ مَن خالَفَهم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أن يَتعلَّقوا بحَديثِ التقيّةِ ؛ لِما قَدَّمنا ذِكرَه، و لأنّ تَجويزَ التقيّةِ مع السلامةِ يطرِّقُ </w:t>
      </w:r>
      <w:r>
        <w:rPr>
          <w:rStyle w:val="FootnoteAnchor"/>
          <w:rtl w:val="true"/>
        </w:rPr>
        <w:footnoteReference w:id="15"/>
      </w:r>
      <w:r>
        <w:rPr>
          <w:rFonts w:ascii="Amiri" w:hAnsi="Amiri" w:eastAsia="Amiri" w:cs="Amiri"/>
          <w:color w:val="111111"/>
          <w:sz w:val="28"/>
          <w:sz w:val="28"/>
          <w:szCs w:val="28"/>
          <w:rtl w:val="true"/>
          <w:lang w:bidi="ar-SA"/>
        </w:rPr>
        <w:t>عليهم تجويزَ إظهارِ الشيءِ و المُرادُ خِلافُه،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ادَّعَوا الاضطرارَ</w:t>
      </w:r>
      <w:r>
        <w:rPr>
          <w:rStyle w:val="FootnoteAnchor"/>
          <w:rtl w:val="true"/>
        </w:rPr>
        <w:footnoteReference w:id="16"/>
      </w:r>
      <w:r>
        <w:rPr>
          <w:rFonts w:ascii="Amiri" w:hAnsi="Amiri" w:eastAsia="Amiri" w:cs="Amiri"/>
          <w:color w:val="111111"/>
          <w:sz w:val="28"/>
          <w:sz w:val="28"/>
          <w:szCs w:val="28"/>
          <w:rtl w:val="true"/>
          <w:lang w:bidi="ar-SA"/>
        </w:rPr>
        <w:t>في الذي نَقَلوه عن أميرِ المؤمِنينَ عليه السلامُ كَلَّمناهم</w:t>
      </w:r>
      <w:r>
        <w:rPr>
          <w:rStyle w:val="FootnoteAnchor"/>
          <w:rtl w:val="true"/>
        </w:rPr>
        <w:footnoteReference w:id="17"/>
      </w:r>
      <w:r>
        <w:rPr>
          <w:rFonts w:ascii="Amiri" w:hAnsi="Amiri" w:eastAsia="Amiri" w:cs="Amiri"/>
          <w:color w:val="111111"/>
          <w:sz w:val="28"/>
          <w:sz w:val="28"/>
          <w:szCs w:val="28"/>
          <w:rtl w:val="true"/>
          <w:lang w:bidi="ar-SA"/>
        </w:rPr>
        <w:t>بما تَقدَّمَ في ادّعاءِ الاضطرارِ إلىٰ نصِّ الرسولِ صَلّى اللّٰهُ عليه و آلِه</w:t>
      </w:r>
      <w:r>
        <w:rPr>
          <w:rFonts w:eastAsia="Amiri" w:cs="Amiri" w:ascii="Amiri" w:hAnsi="Amiri"/>
          <w:color w:val="111111"/>
          <w:sz w:val="28"/>
          <w:szCs w:val="28"/>
          <w:rtl w:val="true"/>
          <w:lang w:bidi="ar-SA"/>
        </w:rPr>
        <w:t>.</w:t>
      </w:r>
      <w:r>
        <w:rPr>
          <w:rStyle w:val="FootnoteAnchor"/>
          <w:rtl w:val="true"/>
        </w:rPr>
        <w:footnoteReference w:id="18"/>
      </w:r>
      <w:bookmarkStart w:id="22" w:name="pg20017_202346"/>
    </w:p>
    <w:p>
      <w:pPr>
        <w:pStyle w:val="Heading4"/>
        <w:numPr>
          <w:ilvl w:val="3"/>
          <w:numId w:val="1"/>
        </w:numPr>
        <w:rPr/>
      </w:pPr>
      <w:bookmarkStart w:id="23" w:name="__RefHeading___Toc964009_2320776876"/>
      <w:bookmarkStart w:id="24" w:name="_Toc8"/>
      <w:bookmarkEnd w:id="22"/>
      <w:bookmarkEnd w:id="23"/>
      <w:r>
        <w:rPr>
          <w:rtl w:val="true"/>
        </w:rPr>
        <w:t>استدلال الشيعة بالنصّ المرويّ عن الرسول صلى الله عليه و آله</w:t>
      </w:r>
      <w:bookmarkEnd w:id="24"/>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احتجاجِ الشيعةِ في صحّةِ النصِّ‌</w:t>
      </w:r>
      <w:r>
        <w:rPr>
          <w:rStyle w:val="FootnoteAnchor"/>
          <w:rtl w:val="true"/>
        </w:rPr>
        <w:footnoteReference w:id="19"/>
      </w:r>
      <w:r>
        <w:rPr>
          <w:rFonts w:ascii="Amiri" w:hAnsi="Amiri" w:eastAsia="Amiri" w:cs="Amiri"/>
          <w:color w:val="111111"/>
          <w:sz w:val="28"/>
          <w:sz w:val="28"/>
          <w:szCs w:val="28"/>
          <w:rtl w:val="true"/>
          <w:lang w:bidi="ar-SA"/>
        </w:rPr>
        <w:t>هو ما نَرويهِ‌</w:t>
      </w:r>
      <w:r>
        <w:rPr>
          <w:rStyle w:val="FootnoteAnchor"/>
          <w:rtl w:val="true"/>
        </w:rPr>
        <w:footnoteReference w:id="20"/>
      </w:r>
      <w:r>
        <w:rPr>
          <w:rFonts w:ascii="Amiri" w:hAnsi="Amiri" w:eastAsia="Amiri" w:cs="Amiri"/>
          <w:color w:val="111111"/>
          <w:sz w:val="28"/>
          <w:sz w:val="28"/>
          <w:szCs w:val="28"/>
          <w:rtl w:val="true"/>
          <w:lang w:bidi="ar-SA"/>
        </w:rPr>
        <w:t xml:space="preserve">عن الرسولِ صَلّى اللّٰهُ عليه و آلِه مِن الأقوالِ الدالّةِ بصَريحِها أو بمَعناها على النصِّ‌، و إن كانَت الأخبارُ متظاهِرةً عن أميرِ المؤمِنينَ عليه السلامُ و أولادِه و شيعتِه و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النصِّ‌، و التصريحِ باستحقاقِه عليه السلامُ الإمرةَ‌</w:t>
      </w:r>
      <w:r>
        <w:rPr>
          <w:rStyle w:val="FootnoteAnchor"/>
          <w:rtl w:val="true"/>
        </w:rPr>
        <w:footnoteReference w:id="21"/>
      </w:r>
      <w:r>
        <w:rPr>
          <w:rFonts w:ascii="Amiri" w:hAnsi="Amiri" w:eastAsia="Amiri" w:cs="Amiri"/>
          <w:color w:val="111111"/>
          <w:sz w:val="28"/>
          <w:sz w:val="28"/>
          <w:szCs w:val="28"/>
          <w:rtl w:val="true"/>
          <w:lang w:bidi="ar-SA"/>
        </w:rPr>
        <w:t xml:space="preserve">، و التظلُّمِ </w:t>
      </w:r>
      <w:r>
        <w:rPr>
          <w:rStyle w:val="FootnoteAnchor"/>
          <w:rtl w:val="true"/>
        </w:rPr>
        <w:footnoteReference w:id="22"/>
      </w:r>
      <w:r>
        <w:rPr>
          <w:rFonts w:ascii="Amiri" w:hAnsi="Amiri" w:eastAsia="Amiri" w:cs="Amiri"/>
          <w:color w:val="111111"/>
          <w:sz w:val="28"/>
          <w:sz w:val="28"/>
          <w:szCs w:val="28"/>
          <w:rtl w:val="true"/>
          <w:lang w:bidi="ar-SA"/>
        </w:rPr>
        <w:t>مِن القومِ علىٰ وجهٍ يدُلُّ علىٰ وجوبِ الأمرِ له و كَونِه حَقّاً مِن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التي أشَرنا إليها</w:t>
      </w:r>
      <w:r>
        <w:rPr>
          <w:rStyle w:val="FootnoteAnchor"/>
          <w:rtl w:val="true"/>
        </w:rPr>
        <w:footnoteReference w:id="23"/>
      </w:r>
      <w:r>
        <w:rPr>
          <w:rFonts w:ascii="Amiri" w:hAnsi="Amiri" w:eastAsia="Amiri" w:cs="Amiri"/>
          <w:color w:val="111111"/>
          <w:sz w:val="28"/>
          <w:sz w:val="28"/>
          <w:szCs w:val="28"/>
          <w:rtl w:val="true"/>
          <w:lang w:bidi="ar-SA"/>
        </w:rPr>
        <w:t>مشهورةٌ في الشيعةِ ، تُغنينا شُهرتُها عن التكثيرِ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طَعنُه بوقوعِ التنازُعِ فيما رَوَيناه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فالتنازُعُ لَيسَ بمُبطِلٍ لحَقٍّ ، و لا ارتفاعُه مصحِّحاً لباطلٍ </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964011_2320776876"/>
      <w:bookmarkStart w:id="26" w:name="_Toc9"/>
      <w:bookmarkEnd w:id="25"/>
      <w:r>
        <w:rPr>
          <w:rtl w:val="true"/>
        </w:rPr>
        <w:t>عدم دلالة سلوك أمير المؤمنين عليه السلام مع القوم علىٰ رضاه بإمامتهم</w:t>
      </w:r>
      <w:bookmarkEnd w:id="26"/>
    </w:p>
    <w:p>
      <w:pPr>
        <w:pStyle w:val="BookText"/>
        <w:rPr/>
      </w:pPr>
      <w:r>
        <w:rPr>
          <w:rFonts w:ascii="Amiri" w:hAnsi="Amiri" w:eastAsia="Amiri" w:cs="Amiri"/>
          <w:color w:val="111111"/>
          <w:sz w:val="28"/>
          <w:sz w:val="28"/>
          <w:szCs w:val="28"/>
          <w:rtl w:val="true"/>
          <w:lang w:bidi="ar-SA"/>
        </w:rPr>
        <w:t xml:space="preserve">و ما رَواه المخالِفونَ مِن الرضا بالبَيعةِ ، إنّما معتَمَدُهم فيه علَى الإمساكِ عن النَّكيرِ و الكَفِّ عن المحارَبةِ و البَراءةِ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لا يدُلُّ علَى الرضا، إلّابَعدَ أن يُعلَمَ أنّه لا وجهَ له إلّاالرضا</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التجويزِ لصَرفِه إلىٰ غيرِ جهةِ الرضا، فلا دَلالةَ فيه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يُدَّعىٰ مِن المَدحِ للقومِ و الاعترافِ بإمامتِهم غيرُ ظاهرٍ كظهورِ ما تَقدَّمَ ، </w:t>
      </w:r>
      <w:bookmarkStart w:id="27" w:name="pg20017_202347"/>
    </w:p>
    <w:p>
      <w:pPr>
        <w:pStyle w:val="BookText"/>
        <w:rPr/>
      </w:pPr>
      <w:bookmarkEnd w:id="27"/>
      <w:r>
        <w:rPr>
          <w:rFonts w:ascii="Amiri" w:hAnsi="Amiri" w:eastAsia="Amiri" w:cs="Amiri"/>
          <w:color w:val="111111"/>
          <w:sz w:val="28"/>
          <w:sz w:val="28"/>
          <w:szCs w:val="28"/>
          <w:rtl w:val="true"/>
          <w:lang w:bidi="ar-SA"/>
        </w:rPr>
        <w:t>و لا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ثبَتَ لَم يَكُن فيه دَلالةٌ‌؛ لِما ذَكَرناه آنِفاً مِن جَوازِ صَرفِه إلىٰ غيرِ جهةِ الموالاةِ و التعظيمِ في الحقيقةِ‌، كما لَم يَكُن في إظهارِ الحَسَنِ بنِ عليٍّ عليه</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تسليمِه الأمرَ إلىٰ مُعاويةَ و صُلحِه</w:t>
      </w:r>
      <w:r>
        <w:rPr>
          <w:rStyle w:val="FootnoteAnchor"/>
          <w:rtl w:val="true"/>
        </w:rPr>
        <w:footnoteReference w:id="26"/>
      </w:r>
      <w:r>
        <w:rPr>
          <w:rFonts w:ascii="Amiri" w:hAnsi="Amiri" w:eastAsia="Amiri" w:cs="Amiri"/>
          <w:color w:val="111111"/>
          <w:sz w:val="28"/>
          <w:sz w:val="28"/>
          <w:szCs w:val="28"/>
          <w:rtl w:val="true"/>
          <w:lang w:bidi="ar-SA"/>
        </w:rPr>
        <w:t xml:space="preserve">و الاعترافِ بإمامتِه و مُخاطَبتِه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علىٰ وَلايةٍ باطنةٍ‌، و اعترافٍ‌</w:t>
      </w:r>
      <w:r>
        <w:rPr>
          <w:rStyle w:val="FootnoteAnchor"/>
          <w:rtl w:val="true"/>
        </w:rPr>
        <w:footnoteReference w:id="27"/>
      </w:r>
      <w:r>
        <w:rPr>
          <w:rFonts w:ascii="Amiri" w:hAnsi="Amiri" w:eastAsia="Amiri" w:cs="Amiri"/>
          <w:color w:val="111111"/>
          <w:sz w:val="28"/>
          <w:sz w:val="28"/>
          <w:szCs w:val="28"/>
          <w:rtl w:val="true"/>
          <w:lang w:bidi="ar-SA"/>
        </w:rPr>
        <w:t>بإمامةٍ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الصالِحينَ و المُحِقّينَ في دُوَلِ الظالِمينَ هذه حالُهم في أنّهم يُظهِرون تَقيّةً و خَوفاً الاعترافَ بما يُبطِنونَ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بإزاءِ‌</w:t>
      </w:r>
      <w:r>
        <w:rPr>
          <w:rStyle w:val="FootnoteAnchor"/>
          <w:rtl w:val="true"/>
        </w:rPr>
        <w:footnoteReference w:id="28"/>
      </w:r>
      <w:r>
        <w:rPr>
          <w:rFonts w:ascii="Amiri" w:hAnsi="Amiri" w:eastAsia="Amiri" w:cs="Amiri"/>
          <w:color w:val="111111"/>
          <w:sz w:val="28"/>
          <w:sz w:val="28"/>
          <w:szCs w:val="28"/>
          <w:rtl w:val="true"/>
          <w:lang w:bidi="ar-SA"/>
        </w:rPr>
        <w:t xml:space="preserve">ما يَرويه المخالِفونَ و يَعتقِدونَ أنّه دالٌّ علَى الرضا و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قد بيّنّا أنّه لَيسَ بدالٍّ‌</w:t>
      </w:r>
      <w:r>
        <w:rPr>
          <w:rStyle w:val="FootnoteAnchor"/>
          <w:rtl w:val="true"/>
        </w:rPr>
        <w:footnoteReference w:id="29"/>
      </w:r>
      <w:r>
        <w:rPr>
          <w:rFonts w:ascii="Amiri" w:hAnsi="Amiri" w:eastAsia="Amiri" w:cs="Amiri"/>
          <w:color w:val="111111"/>
          <w:sz w:val="28"/>
          <w:sz w:val="28"/>
          <w:szCs w:val="28"/>
          <w:rtl w:val="true"/>
          <w:lang w:bidi="ar-SA"/>
        </w:rPr>
        <w:t>عليهما</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تَرويه</w:t>
      </w:r>
      <w:r>
        <w:rPr>
          <w:rStyle w:val="FootnoteAnchor"/>
          <w:rtl w:val="true"/>
        </w:rPr>
        <w:footnoteReference w:id="31"/>
      </w:r>
      <w:r>
        <w:rPr>
          <w:rFonts w:ascii="Amiri" w:hAnsi="Amiri" w:eastAsia="Amiri" w:cs="Amiri"/>
          <w:color w:val="111111"/>
          <w:sz w:val="28"/>
          <w:sz w:val="28"/>
          <w:szCs w:val="28"/>
          <w:rtl w:val="true"/>
          <w:lang w:bidi="ar-SA"/>
        </w:rPr>
        <w:t>الشيعةُ مِن جَهرِه عليه السلامُ بالتظلُّمِ و الإنكارِ ظاهِراً و باطِناً علىٰ وجهٍ لا يُمكِنُ أن يَجعَلَ فيه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شكَّ في أنّه عليه السلامُ لَم يَدَّعِ الإمامةَ ظاهراً إلّاعندَ البَيعةِ ، غيرَ أنّ ذلكَ لَم يَنفِ أن يَكونَ عليه السلامُ ادَّعاها علىٰ خِلافِ هذا الوجهِ ، و نقَلَ ما سَمِعَ منه مِن أوليائه مَن تَقومُ </w:t>
      </w:r>
      <w:r>
        <w:rPr>
          <w:rStyle w:val="FootnoteAnchor"/>
          <w:rtl w:val="true"/>
        </w:rPr>
        <w:footnoteReference w:id="32"/>
      </w:r>
      <w:r>
        <w:rPr>
          <w:rFonts w:ascii="Amiri" w:hAnsi="Amiri" w:eastAsia="Amiri" w:cs="Amiri"/>
          <w:color w:val="111111"/>
          <w:sz w:val="28"/>
          <w:sz w:val="28"/>
          <w:szCs w:val="28"/>
          <w:rtl w:val="true"/>
          <w:lang w:bidi="ar-SA"/>
        </w:rPr>
        <w:t>الحُجّةُ بنَقلِه</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964013_2320776876"/>
      <w:bookmarkStart w:id="29" w:name="_Toc10"/>
      <w:bookmarkEnd w:id="28"/>
      <w:r>
        <w:rPr>
          <w:rtl w:val="true"/>
        </w:rPr>
        <w:t>علّة احتجاج أمير المؤمنين عليه السلام علىٰ طلحة و الزبير بنكث البيعة دون النصّ</w:t>
      </w:r>
      <w:bookmarkEnd w:id="2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احتجاجُه عليه السلامُ علىٰ طَلحةَ و الزُّبَيرِ بالنكثِ ، دونَ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كانا معترِفَينِ بالبَيعةِ و جاحِدَين للنصِّ ، فاحتَجَّ عليه السلامُ عليهما بما هُما معترِفانِ به</w:t>
      </w:r>
      <w:r>
        <w:rPr>
          <w:rFonts w:eastAsia="Amiri" w:cs="Amiri" w:ascii="Amiri" w:hAnsi="Amiri"/>
          <w:color w:val="111111"/>
          <w:sz w:val="28"/>
          <w:szCs w:val="28"/>
          <w:rtl w:val="true"/>
          <w:lang w:bidi="ar-SA"/>
        </w:rPr>
        <w:t xml:space="preserve">. </w:t>
      </w:r>
      <w:bookmarkStart w:id="30" w:name="pg20017_202348"/>
    </w:p>
    <w:p>
      <w:pPr>
        <w:pStyle w:val="BookText"/>
        <w:rPr/>
      </w:pPr>
      <w:bookmarkEnd w:id="30"/>
      <w:r>
        <w:rPr>
          <w:rFonts w:ascii="Amiri" w:hAnsi="Amiri" w:eastAsia="Amiri" w:cs="Amiri"/>
          <w:color w:val="111111"/>
          <w:sz w:val="28"/>
          <w:sz w:val="28"/>
          <w:szCs w:val="28"/>
          <w:rtl w:val="true"/>
          <w:lang w:bidi="ar-SA"/>
        </w:rPr>
        <w:t xml:space="preserve">و لأنّ في الاحتجاجِ بالنصِّ تنفيراً للجُمهورِ مِن أصحابِه و أعوانِه علىٰ قِتالِ الرَّجُلَينِ ؛ لأنّ مِن المعلومِ تَوَلّي هؤلاءِ القومِ للمتقدِّمينَ عليه، و أنّهم كانوا يَعتقِدونَ صحّةَ إمامتِهم، و لَيسَ يَجوزُ أن يُقابَلوا بما يَطعَنُ </w:t>
      </w:r>
      <w:r>
        <w:rPr>
          <w:rStyle w:val="FootnoteAnchor"/>
          <w:rtl w:val="true"/>
        </w:rPr>
        <w:footnoteReference w:id="33"/>
      </w:r>
      <w:r>
        <w:rPr>
          <w:rFonts w:ascii="Amiri" w:hAnsi="Amiri" w:eastAsia="Amiri" w:cs="Amiri"/>
          <w:color w:val="111111"/>
          <w:sz w:val="28"/>
          <w:sz w:val="28"/>
          <w:szCs w:val="28"/>
          <w:rtl w:val="true"/>
          <w:lang w:bidi="ar-SA"/>
        </w:rPr>
        <w:t>عليهم و يُفسِدُ إمامتَهم</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964015_2320776876"/>
      <w:bookmarkStart w:id="32" w:name="_Toc11"/>
      <w:bookmarkEnd w:id="31"/>
      <w:r>
        <w:rPr>
          <w:rtl w:val="true"/>
        </w:rPr>
        <w:t>عدم دلالة ما نقله المخالفون علىٰ عدم النصّ</w:t>
      </w:r>
      <w:bookmarkEnd w:id="32"/>
    </w:p>
    <w:p>
      <w:pPr>
        <w:pStyle w:val="BookText"/>
        <w:rPr/>
      </w:pPr>
      <w:r>
        <w:rPr>
          <w:rFonts w:ascii="Amiri" w:hAnsi="Amiri" w:eastAsia="Amiri" w:cs="Amiri"/>
          <w:color w:val="111111"/>
          <w:sz w:val="28"/>
          <w:sz w:val="28"/>
          <w:szCs w:val="28"/>
          <w:rtl w:val="true"/>
          <w:lang w:bidi="ar-SA"/>
        </w:rPr>
        <w:t>فأمّا كَونُ مخالِفي الشيعةِ ممّن لا يَجوزُ عليه التواطؤُ كالشيعةِ‌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يَضُرُّنا؛ لأنّهم لَم يَعتقِدوا نفيَ النصِّ مِن طريقِ الروايةِ‌؛ لأنّ ما لَم يَكُن لا يُروىٰ نفيُه، و إنّما اعتَقَدوا ذلكَ لشُبُهاتٍ‌</w:t>
      </w:r>
      <w:r>
        <w:rPr>
          <w:rStyle w:val="FootnoteAnchor"/>
          <w:rtl w:val="true"/>
        </w:rPr>
        <w:footnoteReference w:id="34"/>
      </w:r>
      <w:r>
        <w:rPr>
          <w:rFonts w:ascii="Amiri" w:hAnsi="Amiri" w:eastAsia="Amiri" w:cs="Amiri"/>
          <w:color w:val="111111"/>
          <w:sz w:val="28"/>
          <w:sz w:val="28"/>
          <w:szCs w:val="28"/>
          <w:rtl w:val="true"/>
          <w:lang w:bidi="ar-SA"/>
        </w:rPr>
        <w:t>دخَلَت عليهم في طُرُقِ‌</w:t>
      </w:r>
      <w:r>
        <w:rPr>
          <w:rStyle w:val="FootnoteAnchor"/>
          <w:rtl w:val="true"/>
        </w:rPr>
        <w:footnoteReference w:id="35"/>
      </w:r>
      <w:r>
        <w:rPr>
          <w:rFonts w:ascii="IRNazanin" w:hAnsi="IRNazanin" w:eastAsia="IRNazanin"/>
          <w:color w:val="111111"/>
          <w:sz w:val="28"/>
          <w:sz w:val="28"/>
          <w:szCs w:val="28"/>
          <w:rtl w:val="true"/>
          <w:lang w:bidi="fa-IR"/>
        </w:rPr>
        <w:t>الاستدلالِ ، و</w:t>
      </w:r>
      <w:r>
        <w:rPr>
          <w:rStyle w:val="FootnoteAnchor"/>
          <w:rtl w:val="true"/>
        </w:rPr>
        <w:footnoteReference w:id="36"/>
      </w:r>
      <w:r>
        <w:rPr>
          <w:rFonts w:ascii="Amiri" w:hAnsi="Amiri" w:eastAsia="Amiri" w:cs="Amiri"/>
          <w:color w:val="111111"/>
          <w:sz w:val="28"/>
          <w:sz w:val="28"/>
          <w:szCs w:val="28"/>
          <w:rtl w:val="true"/>
          <w:lang w:bidi="ar-SA"/>
        </w:rPr>
        <w:t xml:space="preserve">بألفاظٍ رَوَوها، و أفعالٍ تَعلَّقوا بها، و ظَنّوا أنّها تدُلُّ علىٰ نفيِ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37"/>
      </w:r>
      <w:r>
        <w:rPr>
          <w:rFonts w:ascii="Amiri" w:hAnsi="Amiri" w:eastAsia="Amiri" w:cs="Amiri"/>
          <w:color w:val="111111"/>
          <w:sz w:val="28"/>
          <w:sz w:val="28"/>
          <w:szCs w:val="28"/>
          <w:rtl w:val="true"/>
          <w:lang w:bidi="ar-SA"/>
        </w:rPr>
        <w:t xml:space="preserve">نحنُ نوافِقُهم علىٰ وقوعِها و صحّتِها أو صحّةِ أكثَرِها، و نخالِفُهم فيما تَوهَّموه مِن دَلالتِها علىٰ نفيِ النصِّ ، و نَحمِلُ كُلَّ ما تَعلَّقوا بظاهرِه مِن قَولٍ أو فِعلٍ علَى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نفيُ التقيّةِ‌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تجويزَها مع السلامةِ يُطرِّقُ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و يَبقىٰ‌</w:t>
      </w:r>
      <w:r>
        <w:rPr>
          <w:rStyle w:val="FootnoteAnchor"/>
          <w:rtl w:val="true"/>
        </w:rPr>
        <w:footnoteReference w:id="38"/>
      </w:r>
      <w:r>
        <w:rPr>
          <w:rFonts w:ascii="Amiri" w:hAnsi="Amiri" w:eastAsia="Amiri" w:cs="Amiri"/>
          <w:color w:val="111111"/>
          <w:sz w:val="28"/>
          <w:sz w:val="28"/>
          <w:szCs w:val="28"/>
          <w:rtl w:val="true"/>
          <w:lang w:bidi="ar-SA"/>
        </w:rPr>
        <w:t>أن يُثبِتَ السلامةَ ، و لَو ثَبَتَت</w:t>
      </w:r>
      <w:r>
        <w:rPr>
          <w:rStyle w:val="FootnoteAnchor"/>
          <w:rtl w:val="true"/>
        </w:rPr>
        <w:footnoteReference w:id="39"/>
      </w:r>
      <w:r>
        <w:rPr>
          <w:rFonts w:ascii="Amiri" w:hAnsi="Amiri" w:eastAsia="Amiri" w:cs="Amiri"/>
          <w:color w:val="111111"/>
          <w:sz w:val="28"/>
          <w:sz w:val="28"/>
          <w:szCs w:val="28"/>
          <w:rtl w:val="true"/>
          <w:lang w:bidi="ar-SA"/>
        </w:rPr>
        <w:t xml:space="preserve">له لَصَحَّ </w:t>
      </w:r>
      <w:r>
        <w:rPr>
          <w:rStyle w:val="FootnoteAnchor"/>
          <w:rtl w:val="true"/>
        </w:rPr>
        <w:footnoteReference w:id="40"/>
      </w:r>
      <w:r>
        <w:rPr>
          <w:rFonts w:ascii="Amiri" w:hAnsi="Amiri" w:eastAsia="Amiri" w:cs="Amiri"/>
          <w:color w:val="111111"/>
          <w:sz w:val="28"/>
          <w:sz w:val="28"/>
          <w:szCs w:val="28"/>
          <w:rtl w:val="true"/>
          <w:lang w:bidi="ar-SA"/>
        </w:rPr>
        <w:t>كلامُه، غيرَ أنّ دونَ ثُبوتِها خَرطُ القَتادِ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أنّا لا نَدَّعي</w:t>
      </w:r>
      <w:r>
        <w:rPr>
          <w:rStyle w:val="FootnoteAnchor"/>
          <w:rtl w:val="true"/>
        </w:rPr>
        <w:footnoteReference w:id="41"/>
      </w:r>
      <w:r>
        <w:rPr>
          <w:rFonts w:ascii="Amiri" w:hAnsi="Amiri" w:eastAsia="Amiri" w:cs="Amiri"/>
          <w:color w:val="111111"/>
          <w:sz w:val="28"/>
          <w:sz w:val="28"/>
          <w:szCs w:val="28"/>
          <w:rtl w:val="true"/>
          <w:lang w:bidi="ar-SA"/>
        </w:rPr>
        <w:t xml:space="preserve">الاضطرارَ في ثُبوتِ النصِّ المنقولِ عن الرسولِ 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و هذا</w:t>
      </w:r>
      <w:r>
        <w:rPr>
          <w:rStyle w:val="FootnoteAnchor"/>
          <w:rtl w:val="true"/>
        </w:rPr>
        <w:footnoteReference w:id="43"/>
      </w:r>
      <w:r>
        <w:rPr>
          <w:rFonts w:ascii="Amiri" w:hAnsi="Amiri" w:eastAsia="Amiri" w:cs="Amiri"/>
          <w:color w:val="111111"/>
          <w:sz w:val="28"/>
          <w:sz w:val="28"/>
          <w:szCs w:val="28"/>
          <w:rtl w:val="true"/>
          <w:lang w:bidi="ar-SA"/>
        </w:rPr>
        <w:t>حُكمُ ما يُنقَلُ عن أميرِ المؤمِنينَ عليه السلامُ عندَنا في أنّه معلومٌ ثُبوتُه</w:t>
      </w:r>
      <w:r>
        <w:rPr>
          <w:rStyle w:val="FootnoteAnchor"/>
          <w:rtl w:val="true"/>
        </w:rPr>
        <w:footnoteReference w:id="44"/>
      </w:r>
      <w:r>
        <w:rPr>
          <w:rFonts w:ascii="IRNazanin" w:hAnsi="IRNazanin" w:eastAsia="IRNazanin"/>
          <w:color w:val="111111"/>
          <w:sz w:val="28"/>
          <w:sz w:val="28"/>
          <w:szCs w:val="28"/>
          <w:rtl w:val="true"/>
          <w:lang w:bidi="fa-IR"/>
        </w:rPr>
        <w:t xml:space="preserve">بالاستدلالِ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يُقالُ لهم</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الدليلُ علىٰ إمامتِه قولَه و دَعواه، و إنّما تثبُتُ‌</w:t>
      </w:r>
      <w:r>
        <w:rPr>
          <w:rStyle w:val="FootnoteAnchor"/>
          <w:rtl w:val="true"/>
        </w:rPr>
        <w:footnoteReference w:id="46"/>
      </w:r>
      <w:r>
        <w:rPr>
          <w:rFonts w:ascii="Amiri" w:hAnsi="Amiri" w:eastAsia="Amiri" w:cs="Amiri"/>
          <w:color w:val="111111"/>
          <w:sz w:val="28"/>
          <w:sz w:val="28"/>
          <w:szCs w:val="28"/>
          <w:rtl w:val="true"/>
          <w:lang w:bidi="ar-SA"/>
        </w:rPr>
        <w:t>عصمتُه متىٰ حصَلَ إماماً، و ذلكَ يوجِبُ أنّه لا بُدَّ مِن الرجوعِ إلىٰ أمرٍ سِوىٰ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ذلكَ بوجهٍ‌</w:t>
      </w:r>
      <w:r>
        <w:rPr>
          <w:rStyle w:val="FootnoteAnchor"/>
          <w:rtl w:val="true"/>
        </w:rPr>
        <w:footnoteReference w:id="47"/>
      </w:r>
      <w:r>
        <w:rPr>
          <w:rFonts w:ascii="Amiri" w:hAnsi="Amiri" w:eastAsia="Amiri" w:cs="Amiri"/>
          <w:color w:val="111111"/>
          <w:sz w:val="28"/>
          <w:sz w:val="28"/>
          <w:szCs w:val="28"/>
          <w:rtl w:val="true"/>
          <w:lang w:bidi="ar-SA"/>
        </w:rPr>
        <w:t>آخَرَ</w:t>
      </w:r>
      <w:r>
        <w:rPr>
          <w:rStyle w:val="FootnoteAnchor"/>
          <w:rtl w:val="true"/>
        </w:rPr>
        <w:footnoteReference w:id="48"/>
      </w:r>
      <w:r>
        <w:rPr>
          <w:rFonts w:ascii="Amiri" w:hAnsi="Amiri" w:eastAsia="Amiri" w:cs="Amiri"/>
          <w:color w:val="111111"/>
          <w:sz w:val="28"/>
          <w:sz w:val="28"/>
          <w:szCs w:val="28"/>
          <w:rtl w:val="true"/>
          <w:lang w:bidi="ar-SA"/>
        </w:rPr>
        <w:t>لأنّه لا يَصيرُ إماماً إلّابنَصِّ الرسولِ‌، و لا يَجوزُ في ذلكَ النصِّ أن يَعلَمَه هو دونَ غيرِه؛ لأنّ ذلكَ يؤدّي إلىٰ أنّه عليه السلامُ لَم يُقِمْ دَلالةَ النصِّ كما يَجِبُ‌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تَذكُرَ تلكَ الدَّلالةَ‌، و تَعدِلَ عن التعلُّقِ بقَولِ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وَجَبَ أن يُرجَعَ </w:t>
      </w:r>
      <w:r>
        <w:rPr>
          <w:rStyle w:val="FootnoteAnchor"/>
          <w:rtl w:val="true"/>
        </w:rPr>
        <w:footnoteReference w:id="49"/>
      </w:r>
      <w:r>
        <w:rPr>
          <w:rFonts w:ascii="Amiri" w:hAnsi="Amiri" w:eastAsia="Amiri" w:cs="Amiri"/>
          <w:color w:val="111111"/>
          <w:sz w:val="28"/>
          <w:sz w:val="28"/>
          <w:szCs w:val="28"/>
          <w:rtl w:val="true"/>
          <w:lang w:bidi="ar-SA"/>
        </w:rPr>
        <w:t>إلىٰ تلكَ الدَّلالةِ ، فإن كانَت ضَرورةً فقَد قُلنا فيها ما وجَبَ ، و إن كانَت دَلالةً مِن جهةِ الاكتسابِ فسنَذكُرُ القَولَ فيه مِن بَعدُ</w:t>
      </w:r>
      <w:r>
        <w:rPr>
          <w:rFonts w:eastAsia="Amiri" w:cs="Amiri" w:ascii="Amiri" w:hAnsi="Amiri"/>
          <w:color w:val="111111"/>
          <w:sz w:val="28"/>
          <w:szCs w:val="28"/>
          <w:rtl w:val="true"/>
          <w:lang w:bidi="ar-SA"/>
        </w:rPr>
        <w:t>.</w:t>
      </w:r>
      <w:r>
        <w:rPr>
          <w:rStyle w:val="FootnoteAnchor"/>
          <w:rtl w:val="true"/>
        </w:rPr>
        <w:footnoteReference w:id="50"/>
      </w:r>
      <w:bookmarkStart w:id="33" w:name="pg20017_202350"/>
    </w:p>
    <w:p>
      <w:pPr>
        <w:pStyle w:val="BookText"/>
        <w:rPr/>
      </w:pPr>
      <w:bookmarkEnd w:id="33"/>
      <w:r>
        <w:rPr>
          <w:rFonts w:ascii="Amiri" w:hAnsi="Amiri" w:eastAsia="Amiri" w:cs="Amiri"/>
          <w:color w:val="111111"/>
          <w:sz w:val="28"/>
          <w:sz w:val="28"/>
          <w:szCs w:val="28"/>
          <w:rtl w:val="true"/>
          <w:lang w:bidi="ar-SA"/>
        </w:rPr>
        <w:t>هذا؛ علىٰ أنّا لا نسلِّمُ‌</w:t>
      </w:r>
      <w:r>
        <w:rPr>
          <w:rStyle w:val="FootnoteAnchor"/>
          <w:rtl w:val="true"/>
        </w:rPr>
        <w:footnoteReference w:id="51"/>
      </w:r>
      <w:r>
        <w:rPr>
          <w:rFonts w:ascii="Amiri" w:hAnsi="Amiri" w:eastAsia="Amiri" w:cs="Amiri"/>
          <w:color w:val="111111"/>
          <w:sz w:val="28"/>
          <w:sz w:val="28"/>
          <w:szCs w:val="28"/>
          <w:rtl w:val="true"/>
          <w:lang w:bidi="ar-SA"/>
        </w:rPr>
        <w:t xml:space="preserve">ما ذَكرَه في الشيعةِ </w:t>
      </w:r>
      <w:r>
        <w:rPr>
          <w:rStyle w:val="FootnoteAnchor"/>
          <w:rtl w:val="true"/>
        </w:rPr>
        <w:footnoteReference w:id="52"/>
      </w:r>
      <w:r>
        <w:rPr>
          <w:rFonts w:ascii="Amiri" w:hAnsi="Amiri" w:eastAsia="Amiri" w:cs="Amiri"/>
          <w:color w:val="111111"/>
          <w:sz w:val="28"/>
          <w:sz w:val="28"/>
          <w:szCs w:val="28"/>
          <w:rtl w:val="true"/>
          <w:lang w:bidi="ar-SA"/>
        </w:rPr>
        <w:t>و قولَه</w:t>
      </w:r>
      <w:r>
        <w:rPr>
          <w:rStyle w:val="FootnoteAnchor"/>
          <w:rtl w:val="true"/>
        </w:rPr>
        <w:footnoteReference w:id="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كانَت</w:t>
      </w:r>
      <w:r>
        <w:rPr>
          <w:rStyle w:val="FootnoteAnchor"/>
          <w:rtl w:val="true"/>
        </w:rPr>
        <w:footnoteReference w:id="54"/>
      </w:r>
      <w:r>
        <w:rPr>
          <w:rFonts w:ascii="Amiri" w:hAnsi="Amiri" w:eastAsia="Amiri" w:cs="Amiri"/>
          <w:color w:val="111111"/>
          <w:sz w:val="28"/>
          <w:sz w:val="28"/>
          <w:szCs w:val="28"/>
          <w:rtl w:val="true"/>
          <w:lang w:bidi="ar-SA"/>
        </w:rPr>
        <w:t xml:space="preserve">كثيرةً </w:t>
      </w:r>
      <w:r>
        <w:rPr>
          <w:rStyle w:val="FootnoteAnchor"/>
          <w:rtl w:val="true"/>
        </w:rPr>
        <w:footnoteReference w:id="55"/>
      </w:r>
      <w:r>
        <w:rPr>
          <w:rFonts w:ascii="Amiri" w:hAnsi="Amiri" w:eastAsia="Amiri" w:cs="Amiri"/>
          <w:color w:val="111111"/>
          <w:sz w:val="28"/>
          <w:sz w:val="28"/>
          <w:szCs w:val="28"/>
          <w:rtl w:val="true"/>
          <w:lang w:bidi="ar-SA"/>
        </w:rPr>
        <w:t xml:space="preserve">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عندَنا أنّ هذا المَذهبَ حدَثَ قَريباً، و إنّما كانَ مِن قَبلُ يُذكَرُ الكلامُ في التفضيلِ و مَن هو أَولىٰ بالإمامةِ و ما يَجري مَجراه</w:t>
      </w:r>
      <w:r>
        <w:rPr>
          <w:rStyle w:val="FootnoteAnchor"/>
          <w:rtl w:val="true"/>
        </w:rPr>
        <w:footnoteReference w:id="56"/>
      </w:r>
      <w:r>
        <w:rPr>
          <w:rFonts w:ascii="Amiri" w:hAnsi="Amiri" w:eastAsia="Amiri" w:cs="Amiri"/>
          <w:color w:val="111111"/>
          <w:sz w:val="28"/>
          <w:sz w:val="28"/>
          <w:szCs w:val="28"/>
          <w:rtl w:val="true"/>
          <w:lang w:bidi="ar-SA"/>
        </w:rPr>
        <w:t>، فكَيفَ يَصِحُّ التعلُّقُ بما قالَه ؟</w:t>
      </w:r>
      <w:r>
        <w:rPr>
          <w:rStyle w:val="FootnoteAnchor"/>
          <w:rtl w:val="true"/>
        </w:rPr>
        <w:footnoteReference w:id="57"/>
      </w:r>
    </w:p>
    <w:p>
      <w:pPr>
        <w:pStyle w:val="Heading4"/>
        <w:numPr>
          <w:ilvl w:val="3"/>
          <w:numId w:val="1"/>
        </w:numPr>
        <w:rPr/>
      </w:pPr>
      <w:bookmarkStart w:id="34" w:name="__RefHeading___Toc964017_2320776876"/>
      <w:bookmarkStart w:id="35" w:name="_Toc12"/>
      <w:bookmarkEnd w:id="34"/>
      <w:r>
        <w:rPr>
          <w:rtl w:val="true"/>
        </w:rPr>
        <w:t>عدم توقّف صحّة دعوىٰ أمير المؤمنين عليه السلام الامامةَ ، علىٰ عصمته</w:t>
      </w:r>
      <w:bookmarkEnd w:id="35"/>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يُفتقَرُ في صحّةِ ما ادَّعاه مِن إمامتِه عليه السلامُ إلىٰ أن تَثبُتَ </w:t>
      </w:r>
      <w:r>
        <w:rPr>
          <w:rStyle w:val="FootnoteAnchor"/>
          <w:rtl w:val="true"/>
        </w:rPr>
        <w:footnoteReference w:id="58"/>
      </w:r>
      <w:r>
        <w:rPr>
          <w:rFonts w:ascii="Amiri" w:hAnsi="Amiri" w:eastAsia="Amiri" w:cs="Amiri"/>
          <w:color w:val="111111"/>
          <w:sz w:val="28"/>
          <w:sz w:val="28"/>
          <w:szCs w:val="28"/>
          <w:rtl w:val="true"/>
          <w:lang w:bidi="ar-SA"/>
        </w:rPr>
        <w:t>عصمتُه حسَبَ ما ظَنَنتَ ؛ لأنّ الأُمّةَ علَى اختلافِها مُجمِعةٌ علىٰ أنّ أميرَ المؤمِنينَ عليه السلامُ لَم يَدَّعِ لنفسِه في الإمامةِ علَى النبيِّ صَلّى اللّٰهُ عليه و آلِه باطِلاً؛ لأنّ مَن خالَفَ الشيعةَ علىٰ تَفرُّقِ نِحَلِهم</w:t>
      </w:r>
      <w:r>
        <w:rPr>
          <w:rStyle w:val="FootnoteAnchor"/>
          <w:rtl w:val="true"/>
        </w:rPr>
        <w:footnoteReference w:id="59"/>
      </w:r>
      <w:r>
        <w:rPr>
          <w:rFonts w:ascii="Amiri" w:hAnsi="Amiri" w:eastAsia="Amiri" w:cs="Amiri"/>
          <w:color w:val="111111"/>
          <w:sz w:val="28"/>
          <w:sz w:val="28"/>
          <w:szCs w:val="28"/>
          <w:rtl w:val="true"/>
          <w:lang w:bidi="ar-SA"/>
        </w:rPr>
        <w:t>معترِفونَ بذلكَ ، و نافونَ لصِحّةِ ما يُضافُ إليه مِن ادّعاءِ الإمامةِ بالنصِّ ، و الشيعةُ أمرُها ظاهرٌ في نفيِ ما حَكَمنا</w:t>
      </w:r>
      <w:r>
        <w:rPr>
          <w:rStyle w:val="FootnoteAnchor"/>
          <w:rtl w:val="true"/>
        </w:rPr>
        <w:footnoteReference w:id="60"/>
      </w:r>
      <w:r>
        <w:rPr>
          <w:rFonts w:ascii="Amiri" w:hAnsi="Amiri" w:eastAsia="Amiri" w:cs="Amiri"/>
          <w:color w:val="111111"/>
          <w:sz w:val="28"/>
          <w:sz w:val="28"/>
          <w:szCs w:val="28"/>
          <w:rtl w:val="true"/>
          <w:lang w:bidi="ar-SA"/>
        </w:rPr>
        <w:t>بحصولِ الإطباقِ علىٰ نفيِه عنه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تَقرَّرَ بالإجماعِ الذي ذَكَرناه أنّه لَم يُضِفْ إلَى الرسولِ صَلّى اللّٰهُ عليه و آلِه </w:t>
      </w:r>
      <w:bookmarkStart w:id="36" w:name="pg20017_202351"/>
    </w:p>
    <w:p>
      <w:pPr>
        <w:pStyle w:val="BookText"/>
        <w:rPr/>
      </w:pPr>
      <w:bookmarkEnd w:id="36"/>
      <w:r>
        <w:rPr>
          <w:rFonts w:ascii="Amiri" w:hAnsi="Amiri" w:eastAsia="Amiri" w:cs="Amiri"/>
          <w:color w:val="111111"/>
          <w:sz w:val="28"/>
          <w:sz w:val="28"/>
          <w:szCs w:val="28"/>
          <w:rtl w:val="true"/>
          <w:lang w:bidi="ar-SA"/>
        </w:rPr>
        <w:t>باطلاً في الإمامةِ‌، و ثَبَتَ عنه</w:t>
      </w:r>
      <w:r>
        <w:rPr>
          <w:rStyle w:val="FootnoteAnchor"/>
          <w:rtl w:val="true"/>
        </w:rPr>
        <w:footnoteReference w:id="61"/>
      </w:r>
      <w:r>
        <w:rPr>
          <w:rFonts w:ascii="Amiri" w:hAnsi="Amiri" w:eastAsia="Amiri" w:cs="Amiri"/>
          <w:color w:val="111111"/>
          <w:sz w:val="28"/>
          <w:sz w:val="28"/>
          <w:szCs w:val="28"/>
          <w:rtl w:val="true"/>
          <w:lang w:bidi="ar-SA"/>
        </w:rPr>
        <w:t>ادّعاؤها، وَجَبَ القَطعُ علىٰ صحّةِ قولِه؛ لِتقدُّمِ الإجماعِ الذي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الشيعةِ مَن يُثبِتُ عصمةَ أميرِ المؤمِنينَ عليه السلامُ بغَيرِ النصِّ‌، و لا يَفتقِرُ في الدَّلالةِ عليها علىٰ كُلِّ حالٍ إلىٰ تَقدُّمِ النصِّ بالإمامةِ‌؛ لأنّه لا خِلافَ في صحّةِ ما رُويَ عن النبيِّ صَلّى اللّٰهُ عليه و آلِه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 ؛ يَدورُ حَيثُما دارَ</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عمومُ الخبَرَينِ ، و في ثُبوتِ عمومِهما دَلالةٌ علىٰ نفيِ سائرِ الأفعالِ القبيحةِ عنه عليه السلامُ ؛ لأنّ مَن لا يفارِقُه الحَقُّ لا يَجوزُ أن يَرتَكِبَ الباطلَ ، و مَن حُكِمَ له بأنّ اللّهَ تَعالىٰ وَليُّ وَليِّه و عَدُوُّ عَدُوِّه و ناصِرُ ناصِرِه و خاذِلُ خاذِلِه، لا يَجوزُ أيضاً منه أن يَفعَلَ قَبيحاً؛ لأنّه لَو فعَلَه لَكانَ يَجِبُ مُعاداتُه فيه و خِذلانُه و الإمساكُ عن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ثبَتَ مِن الوجهَينِ جميعاً صحّةُ الاستدلالِ بقَولِه عليه السلامُ علىٰ إمامتِه</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964019_2320776876"/>
      <w:bookmarkStart w:id="38" w:name="_Toc13"/>
      <w:bookmarkEnd w:id="37"/>
      <w:r>
        <w:rPr>
          <w:rtl w:val="true"/>
        </w:rPr>
        <w:t>عدم المنافاة بين نقل النصّ عن طريق أميرِ المؤمنين عليه السلام و غيرِه</w:t>
      </w:r>
      <w:bookmarkEnd w:id="3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يَصيرُ إماماً إلّابنَصِّ الرسولِ </w:t>
      </w:r>
      <w:r>
        <w:rPr>
          <w:rStyle w:val="FootnoteAnchor"/>
          <w:rtl w:val="true"/>
        </w:rPr>
        <w:footnoteReference w:id="64"/>
      </w:r>
      <w:r>
        <w:rPr>
          <w:rFonts w:ascii="Amiri" w:hAnsi="Amiri" w:eastAsia="Amiri" w:cs="Amiri"/>
          <w:color w:val="111111"/>
          <w:sz w:val="28"/>
          <w:sz w:val="28"/>
          <w:szCs w:val="28"/>
          <w:rtl w:val="true"/>
          <w:lang w:bidi="ar-SA"/>
        </w:rPr>
        <w:t>، و لا بُدَّ أن يَعلَمَ النصَّ عليه</w:t>
      </w:r>
      <w:r>
        <w:rPr>
          <w:rStyle w:val="FootnoteAnchor"/>
          <w:rtl w:val="true"/>
        </w:rPr>
        <w:footnoteReference w:id="65"/>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فلَسنا نَدري مِن أيِّ وجهٍ </w:t>
      </w:r>
      <w:r>
        <w:rPr>
          <w:rStyle w:val="FootnoteAnchor"/>
          <w:rtl w:val="true"/>
        </w:rPr>
        <w:footnoteReference w:id="66"/>
      </w:r>
      <w:r>
        <w:rPr>
          <w:rFonts w:ascii="Amiri" w:hAnsi="Amiri" w:eastAsia="Amiri" w:cs="Amiri"/>
          <w:color w:val="111111"/>
          <w:sz w:val="28"/>
          <w:sz w:val="28"/>
          <w:szCs w:val="28"/>
          <w:rtl w:val="true"/>
          <w:lang w:bidi="ar-SA"/>
        </w:rPr>
        <w:t xml:space="preserve">ظَنَّه طاعِناً علىٰ ما حَكاه مِن الاستدلالِ؟ لأنّ </w:t>
      </w:r>
    </w:p>
    <w:p>
      <w:pPr>
        <w:pStyle w:val="BookText"/>
        <w:rPr/>
      </w:pPr>
      <w:r>
        <w:rPr>
          <w:rFonts w:ascii="Amiri" w:hAnsi="Amiri" w:eastAsia="Amiri" w:cs="Amiri"/>
          <w:color w:val="111111"/>
          <w:sz w:val="28"/>
          <w:sz w:val="28"/>
          <w:szCs w:val="28"/>
          <w:rtl w:val="true"/>
          <w:lang w:bidi="ar-SA"/>
        </w:rPr>
        <w:t>وجوبَ عِلمِ الغيرِ به و ظهورِه</w:t>
      </w:r>
      <w:r>
        <w:rPr>
          <w:rStyle w:val="FootnoteAnchor"/>
          <w:rtl w:val="true"/>
        </w:rPr>
        <w:footnoteReference w:id="67"/>
      </w:r>
      <w:r>
        <w:rPr>
          <w:rFonts w:ascii="Amiri" w:hAnsi="Amiri" w:eastAsia="Amiri" w:cs="Amiri"/>
          <w:color w:val="111111"/>
          <w:sz w:val="28"/>
          <w:sz w:val="28"/>
          <w:szCs w:val="28"/>
          <w:rtl w:val="true"/>
          <w:lang w:bidi="ar-SA"/>
        </w:rPr>
        <w:t xml:space="preserve">له و وجوبِ نقلِه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سَلَّمناه علىٰ غايةِ ما يَقتَرِحُه المخالِفونَ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الاستدلالِ بقَولِه عليه السلامُ مِن الوجهِ الذي بيّنّاه، و إنّما يُمكِنُ أن يُطعَنَ بما ذَكرَه علىٰ مَن اعتمَدَ في النصِّ علىٰ قولِه عليه السلامُ و نَفىٰ أن يَكونَ معلوماً مِن غيرِ هذه الجهةِ ؛ فيَكونَ ما أورَدَه</w:t>
      </w:r>
      <w:r>
        <w:rPr>
          <w:rStyle w:val="FootnoteAnchor"/>
          <w:rtl w:val="true"/>
        </w:rPr>
        <w:footnoteReference w:id="68"/>
      </w:r>
      <w:r>
        <w:rPr>
          <w:rFonts w:ascii="Amiri" w:hAnsi="Amiri" w:eastAsia="Amiri" w:cs="Amiri"/>
          <w:color w:val="111111"/>
          <w:sz w:val="28"/>
          <w:sz w:val="28"/>
          <w:szCs w:val="28"/>
          <w:rtl w:val="true"/>
          <w:lang w:bidi="ar-SA"/>
        </w:rPr>
        <w:t>بَياناً عن وجوبِ ظهورِه و نقلِه مِن جهةِ الغيرِ و نفيِ 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المَقصَدُ بما حَكاه عنّا مِن الاستدلالِ إلىٰ هذا، لكِنْ إلىٰ إثباتِ النصِّ مِن هذه الجهةِ المخصوصةِ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مُنازَعتُه في إثباتِ سَلَفِ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سلَفَ الكلامُ فيه</w:t>
      </w:r>
      <w:r>
        <w:rPr>
          <w:rStyle w:val="FootnoteAnchor"/>
          <w:rtl w:val="true"/>
        </w:rPr>
        <w:footnoteReference w:id="69"/>
      </w:r>
      <w:r>
        <w:rPr>
          <w:rFonts w:ascii="Amiri" w:hAnsi="Amiri" w:eastAsia="Amiri" w:cs="Amiri"/>
          <w:color w:val="111111"/>
          <w:sz w:val="28"/>
          <w:sz w:val="28"/>
          <w:szCs w:val="28"/>
          <w:rtl w:val="true"/>
          <w:lang w:bidi="ar-SA"/>
        </w:rPr>
        <w:t>، و دَلَّلنا علىٰ بُطلانِ دَعوَى المخالِفينَ انقطاعَ نقلِهم، و بيّنّا اتّصالَه و سلامتَه مِن الخَلَلِ بما لا طائلَ في إعادتِه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هذا الرجُلُ </w:t>
      </w:r>
      <w:r>
        <w:rPr>
          <w:rStyle w:val="FootnoteAnchor"/>
          <w:rtl w:val="true"/>
        </w:rPr>
        <w:footnoteReference w:id="71"/>
      </w:r>
      <w:r>
        <w:rPr>
          <w:rFonts w:ascii="Amiri" w:hAnsi="Amiri" w:eastAsia="Amiri" w:cs="Amiri"/>
          <w:color w:val="111111"/>
          <w:sz w:val="28"/>
          <w:sz w:val="28"/>
          <w:szCs w:val="28"/>
          <w:rtl w:val="true"/>
          <w:lang w:bidi="ar-SA"/>
        </w:rPr>
        <w:t xml:space="preserve">عندَ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جازَ أن يُقدَحَ في نقلِ الشيعةِ لهذه</w:t>
      </w:r>
      <w:r>
        <w:rPr>
          <w:rStyle w:val="FootnoteAnchor"/>
          <w:rtl w:val="true"/>
        </w:rPr>
        <w:footnoteReference w:id="72"/>
      </w:r>
      <w:r>
        <w:rPr>
          <w:rFonts w:ascii="Amiri" w:hAnsi="Amiri" w:eastAsia="Amiri" w:cs="Amiri"/>
          <w:color w:val="111111"/>
          <w:sz w:val="28"/>
          <w:sz w:val="28"/>
          <w:szCs w:val="28"/>
          <w:rtl w:val="true"/>
          <w:lang w:bidi="ar-SA"/>
        </w:rPr>
        <w:t>الدَّعوىٰ لِيَجوزَنَّ لليَهودِ و غيرِهم</w:t>
      </w:r>
      <w:r>
        <w:rPr>
          <w:rStyle w:val="FootnoteAnchor"/>
          <w:rtl w:val="true"/>
        </w:rPr>
        <w:footnoteReference w:id="73"/>
      </w:r>
      <w:r>
        <w:rPr>
          <w:rFonts w:ascii="Amiri" w:hAnsi="Amiri" w:eastAsia="Amiri" w:cs="Amiri"/>
          <w:color w:val="111111"/>
          <w:sz w:val="28"/>
          <w:sz w:val="28"/>
          <w:szCs w:val="28"/>
          <w:rtl w:val="true"/>
          <w:lang w:bidi="ar-SA"/>
        </w:rPr>
        <w:t>أن يَقدَحوا بمِثلِه</w:t>
      </w:r>
      <w:r>
        <w:rPr>
          <w:rStyle w:val="FootnoteAnchor"/>
          <w:rtl w:val="true"/>
        </w:rPr>
        <w:footnoteReference w:id="74"/>
      </w:r>
      <w:r>
        <w:rPr>
          <w:rFonts w:ascii="Amiri" w:hAnsi="Amiri" w:eastAsia="Amiri" w:cs="Amiri"/>
          <w:color w:val="111111"/>
          <w:sz w:val="28"/>
          <w:sz w:val="28"/>
          <w:szCs w:val="28"/>
          <w:rtl w:val="true"/>
          <w:lang w:bidi="ar-SA"/>
        </w:rPr>
        <w:t>في نقلِ المُعجِزاتِ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فكأنّه جعَلَ بإزاءِ ما ادَّعَيناه</w:t>
      </w:r>
      <w:r>
        <w:rPr>
          <w:rStyle w:val="FootnoteAnchor"/>
          <w:rtl w:val="true"/>
        </w:rPr>
        <w:footnoteReference w:id="75"/>
      </w:r>
      <w:r>
        <w:rPr>
          <w:rFonts w:ascii="Amiri" w:hAnsi="Amiri" w:eastAsia="Amiri" w:cs="Amiri"/>
          <w:color w:val="111111"/>
          <w:sz w:val="28"/>
          <w:sz w:val="28"/>
          <w:szCs w:val="28"/>
          <w:rtl w:val="true"/>
          <w:lang w:bidi="ar-SA"/>
        </w:rPr>
        <w:t>مِن القِلّةِ‌</w:t>
      </w:r>
      <w:r>
        <w:rPr>
          <w:rStyle w:val="FootnoteAnchor"/>
          <w:rtl w:val="true"/>
        </w:rPr>
        <w:footnoteReference w:id="76"/>
      </w:r>
      <w:r>
        <w:rPr>
          <w:rFonts w:ascii="Amiri" w:hAnsi="Amiri" w:eastAsia="Amiri" w:cs="Amiri"/>
          <w:color w:val="111111"/>
          <w:sz w:val="28"/>
          <w:sz w:val="28"/>
          <w:szCs w:val="28"/>
          <w:rtl w:val="true"/>
          <w:lang w:bidi="ar-SA"/>
        </w:rPr>
        <w:t>فيمن يَدَّعي النصَّ مِن الشيعةِ ادّعاءَه لقِلّةِ‌</w:t>
      </w:r>
      <w:r>
        <w:rPr>
          <w:rStyle w:val="FootnoteAnchor"/>
          <w:rtl w:val="true"/>
        </w:rPr>
        <w:footnoteReference w:id="77"/>
      </w:r>
      <w:r>
        <w:rPr>
          <w:rFonts w:ascii="Amiri" w:hAnsi="Amiri" w:eastAsia="Amiri" w:cs="Amiri"/>
          <w:color w:val="111111"/>
          <w:sz w:val="28"/>
          <w:sz w:val="28"/>
          <w:szCs w:val="28"/>
          <w:rtl w:val="true"/>
          <w:lang w:bidi="ar-SA"/>
        </w:rPr>
        <w:t>مَن نقَلَ المُعجِزَ، و أنّهم كَثُروا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أنزَلَ نفسَه هذه المَنزِلةَ فهو بمَنزِلةِ مَن كابَرَ</w:t>
      </w:r>
      <w:r>
        <w:rPr>
          <w:rStyle w:val="FootnoteAnchor"/>
          <w:rtl w:val="true"/>
        </w:rPr>
        <w:footnoteReference w:id="78"/>
      </w:r>
      <w:r>
        <w:rPr>
          <w:rFonts w:ascii="Amiri" w:hAnsi="Amiri" w:eastAsia="Amiri" w:cs="Amiri"/>
          <w:color w:val="111111"/>
          <w:sz w:val="28"/>
          <w:sz w:val="28"/>
          <w:szCs w:val="28"/>
          <w:rtl w:val="true"/>
          <w:lang w:bidi="ar-SA"/>
        </w:rPr>
        <w:t>في المُشاهَداتِ‌؛ لأنّا نَعلَمُ كَثرةَ المسلمينَ و كَثرةَ الناقِلينَ للمُعجِزِ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فإنّا لا نُثبِتُ كَونَ المُعجِزِ بنقلِ المسلمينَ‌، فيَجوزَ أن يُتعلَّقَ بهذه الطريقةِ‌، بَل نُثبِتُه بالتواترِ و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أنّ المسلِمَ و الكافرَ في ذلكَ لا يَختَلِفُ‌، و لذلكَ‌</w:t>
      </w:r>
      <w:r>
        <w:rPr>
          <w:rStyle w:val="FootnoteAnchor"/>
          <w:rtl w:val="true"/>
        </w:rPr>
        <w:footnoteReference w:id="79"/>
      </w:r>
      <w:r>
        <w:rPr>
          <w:rFonts w:ascii="Amiri" w:hAnsi="Amiri" w:eastAsia="Amiri" w:cs="Amiri"/>
          <w:color w:val="111111"/>
          <w:sz w:val="28"/>
          <w:sz w:val="28"/>
          <w:szCs w:val="28"/>
          <w:rtl w:val="true"/>
          <w:lang w:bidi="ar-SA"/>
        </w:rPr>
        <w:t>لَم يَختَلِفوا في نقلِ كَونِ المعجِزاتِ‌، و إنّما وقَعَ الخِلافُ‌</w:t>
      </w:r>
      <w:r>
        <w:rPr>
          <w:rStyle w:val="FootnoteAnchor"/>
          <w:rtl w:val="true"/>
        </w:rPr>
        <w:footnoteReference w:id="80"/>
      </w:r>
      <w:r>
        <w:rPr>
          <w:rFonts w:ascii="Amiri" w:hAnsi="Amiri" w:eastAsia="Amiri" w:cs="Amiri"/>
          <w:color w:val="111111"/>
          <w:sz w:val="28"/>
          <w:sz w:val="28"/>
          <w:szCs w:val="28"/>
          <w:rtl w:val="true"/>
          <w:lang w:bidi="ar-SA"/>
        </w:rPr>
        <w:t>في دَلالتِها علىٰ ما بيّنّاه في بابِ النُّبوءاتِ‌</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هذه الجُملةُ تُسقِطُ دَعوىٰ كُلِّ مَن ادَّعىٰ إثباتَ الإمامةِ بنصٍّ ضروريٍّ‌، و لا يَبقىٰ مِن بَعدُ إلّاالكلامُ في النُّصوصِ التي يُقالُ أنّها دَلالةٌ علَى الإمامةِ‌، و يُتَوَصَّلُ إلىٰ معرفةِ الإمامةِ بالاستدلالِ بها، كما يُتَوَصَّلُ‌</w:t>
      </w:r>
      <w:r>
        <w:rPr>
          <w:rStyle w:val="FootnoteAnchor"/>
          <w:rtl w:val="true"/>
        </w:rPr>
        <w:footnoteReference w:id="82"/>
      </w:r>
      <w:r>
        <w:rPr>
          <w:rFonts w:ascii="Amiri" w:hAnsi="Amiri" w:eastAsia="Amiri" w:cs="Amiri"/>
          <w:color w:val="111111"/>
          <w:sz w:val="28"/>
          <w:sz w:val="28"/>
          <w:szCs w:val="28"/>
          <w:rtl w:val="true"/>
          <w:lang w:bidi="ar-SA"/>
        </w:rPr>
        <w:t xml:space="preserve">إلىٰ معرفةِ الأحكامِ بالنظَرِ في الكتابِ و السُّنّةِ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يُمكِنُ في هذه القِسمةِ </w:t>
      </w:r>
      <w:r>
        <w:rPr>
          <w:rStyle w:val="FootnoteAnchor"/>
          <w:rtl w:val="true"/>
        </w:rPr>
        <w:footnoteReference w:id="83"/>
      </w:r>
      <w:r>
        <w:rPr>
          <w:rFonts w:ascii="Amiri" w:hAnsi="Amiri" w:eastAsia="Amiri" w:cs="Amiri"/>
          <w:color w:val="111111"/>
          <w:sz w:val="28"/>
          <w:sz w:val="28"/>
          <w:szCs w:val="28"/>
          <w:rtl w:val="true"/>
          <w:lang w:bidi="ar-SA"/>
        </w:rPr>
        <w:t xml:space="preserve">الإحالةُ علىٰ نصٍّ غيرِ مبيَّنٍ بقَولٍ </w:t>
      </w:r>
      <w:r>
        <w:rPr>
          <w:rStyle w:val="FootnoteAnchor"/>
          <w:rtl w:val="true"/>
        </w:rPr>
        <w:footnoteReference w:id="84"/>
      </w:r>
      <w:r>
        <w:rPr>
          <w:rFonts w:ascii="Amiri" w:hAnsi="Amiri" w:eastAsia="Amiri" w:cs="Amiri"/>
          <w:color w:val="111111"/>
          <w:sz w:val="28"/>
          <w:sz w:val="28"/>
          <w:szCs w:val="28"/>
          <w:rtl w:val="true"/>
          <w:lang w:bidi="ar-SA"/>
        </w:rPr>
        <w:t xml:space="preserve">معروفٍ </w:t>
      </w:r>
    </w:p>
    <w:p>
      <w:pPr>
        <w:pStyle w:val="BookText"/>
        <w:rPr/>
      </w:pPr>
      <w:r>
        <w:rPr>
          <w:rFonts w:ascii="Amiri" w:hAnsi="Amiri" w:eastAsia="Amiri" w:cs="Amiri"/>
          <w:color w:val="111111"/>
          <w:sz w:val="28"/>
          <w:sz w:val="28"/>
          <w:szCs w:val="28"/>
          <w:rtl w:val="true"/>
          <w:lang w:bidi="ar-SA"/>
        </w:rPr>
        <w:t>لفظُه؛ لأنّهم متىٰ أحالوا علىٰ نصٍّ لا يُعرَفُ لفظُه، لَم يَكونوا بأن يَدَّعوا أنّه</w:t>
      </w:r>
      <w:r>
        <w:rPr>
          <w:rStyle w:val="FootnoteAnchor"/>
          <w:rtl w:val="true"/>
        </w:rPr>
        <w:footnoteReference w:id="85"/>
      </w:r>
      <w:r>
        <w:rPr>
          <w:rFonts w:ascii="Amiri" w:hAnsi="Amiri" w:eastAsia="Amiri" w:cs="Amiri"/>
          <w:color w:val="111111"/>
          <w:sz w:val="28"/>
          <w:sz w:val="28"/>
          <w:szCs w:val="28"/>
          <w:rtl w:val="true"/>
          <w:lang w:bidi="ar-SA"/>
        </w:rPr>
        <w:t xml:space="preserve">دَلالةُ النصِّ علىٰ أميرِ المؤمِنينَ عليه السلامُ بأَولىٰ ممّن يَدَّعي ضِدَّه و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هذا المُدَّعي بمَنزِلةِ مَن يَدَّعي مَذهباً و يَجعَلُ الدَّلالةَ عليه نصَّ الكتابِ‌، و لا يَتلو آيةً إلّانظَرَ فيها و في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يُمكِنُ أن لا تقَعَ الإحالةُ علىٰ قولٍ بعَينِه لَم يَدَّعِ النصَّ الضروريَّ‌؛ لأنّ ما حَلَّ هذا المَحَلَّ الحُجّةُ فيه وقوعُ العِلمِ بقَصدِه عليه السلامُ و دِينِه، و لا مُعتبَرَ باللفظِ كما لا مُعتبَرَ بأعيانِ المخبِرينَ‌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فيما ذَكَرناه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فلا بُدَّ مِن ذِكرِ النصِّ الدالِّ ليَتِمَّ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الطريقةُ‌</w:t>
      </w:r>
      <w:r>
        <w:rPr>
          <w:rStyle w:val="FootnoteAnchor"/>
          <w:rtl w:val="true"/>
        </w:rPr>
        <w:footnoteReference w:id="87"/>
      </w:r>
      <w:r>
        <w:rPr>
          <w:rFonts w:ascii="Amiri" w:hAnsi="Amiri" w:eastAsia="Amiri" w:cs="Amiri"/>
          <w:color w:val="111111"/>
          <w:sz w:val="28"/>
          <w:sz w:val="28"/>
          <w:szCs w:val="28"/>
          <w:rtl w:val="true"/>
          <w:lang w:bidi="ar-SA"/>
        </w:rPr>
        <w:t>تُحوِجُ‌</w:t>
      </w:r>
      <w:r>
        <w:rPr>
          <w:rStyle w:val="FootnoteAnchor"/>
          <w:rtl w:val="true"/>
        </w:rPr>
        <w:footnoteReference w:id="88"/>
      </w:r>
      <w:r>
        <w:rPr>
          <w:rFonts w:ascii="Amiri" w:hAnsi="Amiri" w:eastAsia="Amiri" w:cs="Amiri"/>
          <w:color w:val="111111"/>
          <w:sz w:val="28"/>
          <w:sz w:val="28"/>
          <w:szCs w:val="28"/>
          <w:rtl w:val="true"/>
          <w:lang w:bidi="ar-SA"/>
        </w:rPr>
        <w:t>القومَ‌</w:t>
      </w:r>
      <w:r>
        <w:rPr>
          <w:rStyle w:val="FootnoteAnchor"/>
          <w:rtl w:val="true"/>
        </w:rPr>
        <w:footnoteReference w:id="89"/>
      </w:r>
      <w:r>
        <w:rPr>
          <w:rFonts w:ascii="Amiri" w:hAnsi="Amiri" w:eastAsia="Amiri" w:cs="Amiri"/>
          <w:color w:val="111111"/>
          <w:sz w:val="28"/>
          <w:sz w:val="28"/>
          <w:szCs w:val="28"/>
          <w:rtl w:val="true"/>
          <w:lang w:bidi="ar-SA"/>
        </w:rPr>
        <w:t>إلىٰ ذِكرِ ما يَدَّعونَ أنّه يَدُلُّ علَى النصِّ‌</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أو سُنّةٍ حتّىٰ يُنظَرَ فيه و في دَلالتِه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الكلامُ معهم في كيفيّةِ الدَّلالةِ و وجهِها، و رُبَّما وَقَعَ الكلامُ معهم في طريقِ إثباتِ تلكَ الدَّلالةِ ؛ و هل هي ثابتةٌ بالتواتُرِ، أو بخبرٍ يَكونُ حُجَّةً مِن جهةِ الاكتسابِ ، أو يَلحَقُ بأخبارِ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ذلك ممّا لا يُستَنكَرُ وقوعُ الخِلافِ فيه، و لا يَحُلُّ في المكابَرةِ مَحَلَّ ما قَدَّمناه مِن دَعوَى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 ذِكرُه</w:t>
      </w:r>
      <w:r>
        <w:rPr>
          <w:rFonts w:eastAsia="Amiri" w:cs="Amiri" w:ascii="Amiri" w:hAnsi="Amiri"/>
          <w:color w:val="111111"/>
          <w:sz w:val="28"/>
          <w:szCs w:val="28"/>
          <w:rtl w:val="true"/>
          <w:lang w:bidi="ar-SA"/>
        </w:rPr>
        <w:t>].</w:t>
      </w:r>
      <w:r>
        <w:rPr>
          <w:rStyle w:val="FootnoteAnchor"/>
          <w:rtl w:val="true"/>
        </w:rPr>
        <w:footnoteReference w:id="90"/>
      </w:r>
      <w:bookmarkStart w:id="39" w:name="pg20017_202355"/>
    </w:p>
    <w:p>
      <w:pPr>
        <w:pStyle w:val="Heading4"/>
        <w:numPr>
          <w:ilvl w:val="3"/>
          <w:numId w:val="1"/>
        </w:numPr>
        <w:rPr/>
      </w:pPr>
      <w:bookmarkStart w:id="40" w:name="__RefHeading___Toc964021_2320776876"/>
      <w:bookmarkStart w:id="41" w:name="_Toc14"/>
      <w:bookmarkEnd w:id="39"/>
      <w:bookmarkEnd w:id="40"/>
      <w:r>
        <w:rPr>
          <w:rtl w:val="true"/>
        </w:rPr>
        <w:t>حصول العلم الضروريّ بكثرة من يدّعي النصّ من الشيعة</w:t>
      </w:r>
      <w:bookmarkEnd w:id="41"/>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91"/>
      </w:r>
      <w:r>
        <w:rPr>
          <w:rFonts w:ascii="Amiri" w:hAnsi="Amiri" w:eastAsia="Amiri" w:cs="Amiri"/>
          <w:color w:val="111111"/>
          <w:sz w:val="28"/>
          <w:sz w:val="28"/>
          <w:szCs w:val="28"/>
          <w:rtl w:val="true"/>
          <w:lang w:bidi="ar-SA"/>
        </w:rPr>
        <w:t>مُخالِفَ‌</w:t>
      </w:r>
      <w:r>
        <w:rPr>
          <w:rStyle w:val="FootnoteAnchor"/>
          <w:rtl w:val="true"/>
        </w:rPr>
        <w:footnoteReference w:id="92"/>
      </w:r>
      <w:r>
        <w:rPr>
          <w:rFonts w:ascii="Amiri" w:hAnsi="Amiri" w:eastAsia="Amiri" w:cs="Amiri"/>
          <w:color w:val="111111"/>
          <w:sz w:val="28"/>
          <w:sz w:val="28"/>
          <w:szCs w:val="28"/>
          <w:rtl w:val="true"/>
          <w:lang w:bidi="ar-SA"/>
        </w:rPr>
        <w:t xml:space="preserve">المِلّةِ يَعلَمُ ضَرورةً كَثرةَ المسلِمينَ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والاها، و لا يَصِحُّ أن يشُكَّ في كَثرتِهم و انتشارِهم، حتّىٰ إنّا نعُدُّ مَن أظهَرَ الشكَّ في ذلكَ مُكابِراً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w:t>
      </w:r>
      <w:r>
        <w:rPr>
          <w:rStyle w:val="FootnoteAnchor"/>
          <w:rtl w:val="true"/>
        </w:rPr>
        <w:footnoteReference w:id="93"/>
      </w:r>
      <w:r>
        <w:rPr>
          <w:rFonts w:ascii="Amiri" w:hAnsi="Amiri" w:eastAsia="Amiri" w:cs="Amiri"/>
          <w:color w:val="111111"/>
          <w:sz w:val="28"/>
          <w:sz w:val="28"/>
          <w:szCs w:val="28"/>
          <w:rtl w:val="true"/>
          <w:lang w:bidi="ar-SA"/>
        </w:rPr>
        <w:t xml:space="preserve">المخالِفونَ في النصِّ علىٰ أميرِ المؤمِنينَ عليه السلامُ يَعلَمونَ ضَرورةً كَثرةَ مَن يَدَّعي نقلَ هذا النصِّ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w:t>
      </w:r>
      <w:r>
        <w:rPr>
          <w:rStyle w:val="FootnoteAnchor"/>
          <w:rtl w:val="true"/>
        </w:rPr>
        <w:footnoteReference w:id="94"/>
      </w:r>
      <w:r>
        <w:rPr>
          <w:rFonts w:ascii="Amiri" w:hAnsi="Amiri" w:eastAsia="Amiri" w:cs="Amiri"/>
          <w:color w:val="111111"/>
          <w:sz w:val="28"/>
          <w:sz w:val="28"/>
          <w:szCs w:val="28"/>
          <w:rtl w:val="true"/>
          <w:lang w:bidi="ar-SA"/>
        </w:rPr>
        <w:t>يَصِحُّ أن يشُكّوا في اتّصالِ نقلِهم و كَثرةِ سَلَفِهم في النقلِ‌</w:t>
      </w:r>
      <w:r>
        <w:rPr>
          <w:rStyle w:val="FootnoteAnchor"/>
          <w:rtl w:val="true"/>
        </w:rPr>
        <w:footnoteReference w:id="95"/>
      </w:r>
      <w:r>
        <w:rPr>
          <w:rFonts w:ascii="Amiri" w:hAnsi="Amiri" w:eastAsia="Amiri" w:cs="Amiri"/>
          <w:color w:val="111111"/>
          <w:sz w:val="28"/>
          <w:sz w:val="28"/>
          <w:szCs w:val="28"/>
          <w:rtl w:val="true"/>
          <w:lang w:bidi="ar-SA"/>
        </w:rPr>
        <w:t>، كما يشُكُّ مخالِفو المِلّةِ في هذه الحالِ مِن نقلِ المسلِمينَ للمُعجِزاتِ‌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صَحَّ بما ذَكَرناه أنّ المَوضعَ الذي ادَّعىٰ فيه المكابَرةَ علَى المخالِفِ‌، لنا مِثلُه في نقلِ النصِّ و كَثرةِ ناقِليهِ‌، و بَقِيَ‌</w:t>
      </w:r>
      <w:r>
        <w:rPr>
          <w:rStyle w:val="FootnoteAnchor"/>
          <w:rtl w:val="true"/>
        </w:rPr>
        <w:footnoteReference w:id="96"/>
      </w:r>
      <w:r>
        <w:rPr>
          <w:rFonts w:ascii="Amiri" w:hAnsi="Amiri" w:eastAsia="Amiri" w:cs="Amiri"/>
          <w:color w:val="111111"/>
          <w:sz w:val="28"/>
          <w:sz w:val="28"/>
          <w:szCs w:val="28"/>
          <w:rtl w:val="true"/>
          <w:lang w:bidi="ar-SA"/>
        </w:rPr>
        <w:t>المَوضعُ الذي لا يُمكِنُه أن يَدَّعيَ فيه الضرورةَ‌، كما لا يُمكِنُنا ادّعاؤها في إثباتِ سَلَفِنا و اتّصالِهم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لَزِمَه أن يَنفَصِلَ مِن دَعوىٰ مخالِفِ المِلّةِ عليه انقطاعَ‌</w:t>
      </w:r>
      <w:r>
        <w:rPr>
          <w:rStyle w:val="FootnoteAnchor"/>
          <w:rtl w:val="true"/>
        </w:rPr>
        <w:footnoteReference w:id="97"/>
      </w:r>
      <w:r>
        <w:rPr>
          <w:rFonts w:ascii="Amiri" w:hAnsi="Amiri" w:eastAsia="Amiri" w:cs="Amiri"/>
          <w:color w:val="111111"/>
          <w:sz w:val="28"/>
          <w:sz w:val="28"/>
          <w:szCs w:val="28"/>
          <w:rtl w:val="true"/>
          <w:lang w:bidi="ar-SA"/>
        </w:rPr>
        <w:t xml:space="preserve">نقلِ المُعجِزاتِ ، و أنّ ادّعاءَها ظَهَرَ في المستقبَلِ مِن الأوقاتِ ؛ فإنّه لا يَتَمَكَّنُ </w:t>
      </w:r>
      <w:r>
        <w:rPr>
          <w:rStyle w:val="FootnoteAnchor"/>
          <w:rtl w:val="true"/>
        </w:rPr>
        <w:footnoteReference w:id="98"/>
      </w:r>
      <w:r>
        <w:rPr>
          <w:rFonts w:ascii="Amiri" w:hAnsi="Amiri" w:eastAsia="Amiri" w:cs="Amiri"/>
          <w:color w:val="111111"/>
          <w:sz w:val="28"/>
          <w:sz w:val="28"/>
          <w:szCs w:val="28"/>
          <w:rtl w:val="true"/>
          <w:lang w:bidi="ar-SA"/>
        </w:rPr>
        <w:t>مِن إيرادِ حُجّةٍ في ذلكَ إلّاو هي</w:t>
      </w:r>
      <w:r>
        <w:rPr>
          <w:rStyle w:val="FootnoteAnchor"/>
          <w:rtl w:val="true"/>
        </w:rPr>
        <w:footnoteReference w:id="99"/>
      </w:r>
      <w:r>
        <w:rPr>
          <w:rFonts w:ascii="Amiri" w:hAnsi="Amiri" w:eastAsia="Amiri" w:cs="Amiri"/>
          <w:color w:val="111111"/>
          <w:sz w:val="28"/>
          <w:sz w:val="28"/>
          <w:szCs w:val="28"/>
          <w:rtl w:val="true"/>
          <w:lang w:bidi="ar-SA"/>
        </w:rPr>
        <w:t>بعَينِها كانَت حُجّتَنا</w:t>
      </w:r>
      <w:r>
        <w:rPr>
          <w:rStyle w:val="FootnoteAnchor"/>
          <w:rtl w:val="true"/>
        </w:rPr>
        <w:footnoteReference w:id="100"/>
      </w:r>
      <w:bookmarkStart w:id="42" w:name="pg20017_202356"/>
    </w:p>
    <w:p>
      <w:pPr>
        <w:pStyle w:val="BookText"/>
        <w:rPr/>
      </w:pPr>
      <w:bookmarkEnd w:id="42"/>
      <w:r>
        <w:rPr>
          <w:rFonts w:ascii="Amiri" w:hAnsi="Amiri" w:eastAsia="Amiri" w:cs="Amiri"/>
          <w:color w:val="111111"/>
          <w:sz w:val="28"/>
          <w:sz w:val="28"/>
          <w:szCs w:val="28"/>
          <w:rtl w:val="true"/>
          <w:lang w:bidi="ar-SA"/>
        </w:rPr>
        <w:t xml:space="preserve">عليه فيما طعَنَ </w:t>
      </w:r>
      <w:r>
        <w:rPr>
          <w:rStyle w:val="FootnoteAnchor"/>
          <w:rtl w:val="true"/>
        </w:rPr>
        <w:footnoteReference w:id="101"/>
      </w:r>
      <w:r>
        <w:rPr>
          <w:rFonts w:ascii="Amiri" w:hAnsi="Amiri" w:eastAsia="Amiri" w:cs="Amiri"/>
          <w:color w:val="111111"/>
          <w:sz w:val="28"/>
          <w:sz w:val="28"/>
          <w:szCs w:val="28"/>
          <w:rtl w:val="true"/>
          <w:lang w:bidi="ar-SA"/>
        </w:rPr>
        <w:t>به في نقلِنا</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964023_2320776876"/>
      <w:bookmarkStart w:id="44" w:name="_Toc15"/>
      <w:bookmarkEnd w:id="43"/>
      <w:r>
        <w:rPr>
          <w:rtl w:val="true"/>
        </w:rPr>
        <w:t xml:space="preserve">عدم ثبوت معجزات الرسول </w:t>
      </w:r>
      <w:r>
        <w:rPr>
          <w:rtl w:val="true"/>
        </w:rPr>
        <w:t xml:space="preserve">- </w:t>
      </w:r>
      <w:r>
        <w:rPr>
          <w:rtl w:val="true"/>
        </w:rPr>
        <w:t xml:space="preserve">عدا القرآن </w:t>
      </w:r>
      <w:r>
        <w:rPr>
          <w:rtl w:val="true"/>
        </w:rPr>
        <w:t xml:space="preserve">- </w:t>
      </w:r>
      <w:r>
        <w:rPr>
          <w:rtl w:val="true"/>
        </w:rPr>
        <w:t>بالضرورة</w:t>
      </w:r>
      <w:bookmarkEnd w:id="44"/>
    </w:p>
    <w:p>
      <w:pPr>
        <w:pStyle w:val="BookText"/>
        <w:rPr/>
      </w:pPr>
      <w:r>
        <w:rPr>
          <w:rFonts w:ascii="Amiri" w:hAnsi="Amiri" w:eastAsia="Amiri" w:cs="Amiri"/>
          <w:color w:val="111111"/>
          <w:sz w:val="28"/>
          <w:sz w:val="28"/>
          <w:szCs w:val="28"/>
          <w:rtl w:val="true"/>
          <w:lang w:bidi="ar-SA"/>
        </w:rPr>
        <w:t>فأمّا نفيُه أن يَكونَ الطريقُ إلىٰ إثباتِ المُعجِزِ هو النقلَ و ادّعاؤه الضرورةَ‌، فإنّما يَصِحُّ إذا كانَ الكلامُ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عَداه مِن المُعجِزاتِ‌، فلَيسَ يَجوزُ أن يَجريَ مَجرَى القُرآنِ و يَدَّعيَ‌</w:t>
      </w:r>
      <w:r>
        <w:rPr>
          <w:rStyle w:val="FootnoteAnchor"/>
          <w:rtl w:val="true"/>
        </w:rPr>
        <w:footnoteReference w:id="102"/>
      </w:r>
      <w:r>
        <w:rPr>
          <w:rFonts w:ascii="Amiri" w:hAnsi="Amiri" w:eastAsia="Amiri" w:cs="Amiri"/>
          <w:color w:val="111111"/>
          <w:sz w:val="28"/>
          <w:sz w:val="28"/>
          <w:szCs w:val="28"/>
          <w:rtl w:val="true"/>
          <w:lang w:bidi="ar-SA"/>
        </w:rPr>
        <w:t>في ثُبوتِها الضرورةَ و هو يَعلَمُ كَثرةَ مَن يخالِفُه فيها مِن طوائفِ أهلِ المِلَلِ‌، ثُمّ مِن المسلمِينَ‌؛ فإنّا نَعلَمُ أنّ جماعةً مِن المتكلِّمينَ قد نَفَوا كَثيراً مِن المُعجِزاتِ‌</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ما يَدَّعونَه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حصولِ العِلمِ بظهورِ ذِكرِها في زَمَنِ الرسولِ صَلّى اللّٰهُ عليه و آلِه و في الصدرِ الأوّلِ بَينَ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بمعلومٍ أيضاً و لا مُسلَّمٍ‌؛ لأنّ مَن خالَفَ المسلِمينَ يُنكِرُ ذلكَ 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جَرىٰ في الزمانِ الذي أشاروا إليه مِن ذِكرِ هذه المُعجِزاتِ ما يَدَّعونَه، لَوَجَبَ أن يَنقُلَه إلَيَّ أسلافي كما نَقَلوا سِواه</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خالَفَ مِن المسلِمينَ في مُعجِزاتٍ بأعيانِها يُنكِرُ أيضاً ظهورَ ذِكرِ ما أنكَرَه</w:t>
      </w:r>
      <w:r>
        <w:rPr>
          <w:rStyle w:val="FootnoteAnchor"/>
          <w:rtl w:val="true"/>
        </w:rPr>
        <w:footnoteReference w:id="105"/>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وضَحَ بُطلانُ ما ادَّعاه مِن الضرورةِ في إثباتِ المُعجِزاتِ ، فظَنَّ أنّ دَعواه هذه تُغنيهِ عن اعتبارِ التواتُرِ و الاستدلالِ به علىٰ صحّةِ النقلِ ؛ فِراراً مِن أن يَلزَمَه </w:t>
      </w:r>
    </w:p>
    <w:p>
      <w:pPr>
        <w:pStyle w:val="BookText"/>
        <w:rPr/>
      </w:pPr>
      <w:r>
        <w:rPr>
          <w:rFonts w:ascii="Amiri" w:hAnsi="Amiri" w:eastAsia="Amiri" w:cs="Amiri"/>
          <w:color w:val="111111"/>
          <w:sz w:val="28"/>
          <w:sz w:val="28"/>
          <w:szCs w:val="28"/>
          <w:rtl w:val="true"/>
          <w:lang w:bidi="ar-SA"/>
        </w:rPr>
        <w:t>مِن الطعنِ في</w:t>
      </w:r>
      <w:r>
        <w:rPr>
          <w:rStyle w:val="FootnoteAnchor"/>
          <w:rtl w:val="true"/>
        </w:rPr>
        <w:footnoteReference w:id="106"/>
      </w:r>
      <w:r>
        <w:rPr>
          <w:rFonts w:ascii="Amiri" w:hAnsi="Amiri" w:eastAsia="Amiri" w:cs="Amiri"/>
          <w:color w:val="111111"/>
          <w:sz w:val="28"/>
          <w:sz w:val="28"/>
          <w:szCs w:val="28"/>
          <w:rtl w:val="true"/>
          <w:lang w:bidi="ar-SA"/>
        </w:rPr>
        <w:t>كَثرةِ الناقِلينَ و اتّصالِهم ما أَلزَمَناه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يَبقَ إلّاالكلامُ في النُّصوصِ التي يُدَّعىٰ أنها دَلالةٌ علَى الإمامةِ ، و إنّه لا بُدَّ مِن ذِكرِ ألفاظِها لنَنظُرَ في كيفيّةِ دَلالتِها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بيّنّا أنّه لَم تَثبُتِ </w:t>
      </w:r>
      <w:r>
        <w:rPr>
          <w:rStyle w:val="FootnoteAnchor"/>
          <w:rtl w:val="true"/>
        </w:rPr>
        <w:footnoteReference w:id="107"/>
      </w:r>
      <w:r>
        <w:rPr>
          <w:rFonts w:ascii="Amiri" w:hAnsi="Amiri" w:eastAsia="Amiri" w:cs="Amiri"/>
          <w:color w:val="111111"/>
          <w:sz w:val="28"/>
          <w:sz w:val="28"/>
          <w:szCs w:val="28"/>
          <w:rtl w:val="true"/>
          <w:lang w:bidi="ar-SA"/>
        </w:rPr>
        <w:t>النُّصوصُ قَطُّ</w:t>
      </w:r>
      <w:r>
        <w:rPr>
          <w:rStyle w:val="FootnoteAnchor"/>
          <w:rtl w:val="true"/>
        </w:rPr>
        <w:footnoteReference w:id="108"/>
      </w:r>
      <w:r>
        <w:rPr>
          <w:rFonts w:ascii="Amiri" w:hAnsi="Amiri" w:eastAsia="Amiri" w:cs="Amiri"/>
          <w:color w:val="111111"/>
          <w:sz w:val="28"/>
          <w:sz w:val="28"/>
          <w:szCs w:val="28"/>
          <w:rtl w:val="true"/>
          <w:lang w:bidi="ar-SA"/>
        </w:rPr>
        <w:t>إلّامِن هذه الجهةِ ، و أنّه</w:t>
      </w:r>
      <w:r>
        <w:rPr>
          <w:rStyle w:val="FootnoteAnchor"/>
          <w:rtl w:val="true"/>
        </w:rPr>
        <w:footnoteReference w:id="109"/>
      </w:r>
      <w:r>
        <w:rPr>
          <w:rFonts w:ascii="Amiri" w:hAnsi="Amiri" w:eastAsia="Amiri" w:cs="Amiri"/>
          <w:color w:val="111111"/>
          <w:sz w:val="28"/>
          <w:sz w:val="28"/>
          <w:szCs w:val="28"/>
          <w:rtl w:val="true"/>
          <w:lang w:bidi="ar-SA"/>
        </w:rPr>
        <w:t xml:space="preserve">لا بُدَّ فيه عندَنا مِن اعتبارِ الألفاظِ المنقولةِ و كَيفيّةِ دَلالتِها، و أنّا لَم نُحِلْ في ثُبوتِه و لا في المُرادِ به علىٰ عِلمِ الضرورةِ </w:t>
      </w:r>
      <w:r>
        <w:rPr>
          <w:rFonts w:eastAsia="Amiri" w:cs="Amiri" w:ascii="Amiri" w:hAnsi="Amiri"/>
          <w:color w:val="111111"/>
          <w:sz w:val="28"/>
          <w:szCs w:val="28"/>
          <w:rtl w:val="true"/>
          <w:lang w:bidi="ar-SA"/>
        </w:rPr>
        <w:t xml:space="preserve">. </w:t>
      </w:r>
      <w:bookmarkStart w:id="45" w:name="pg20017_202358"/>
    </w:p>
    <w:p>
      <w:pPr>
        <w:pStyle w:val="Heading3"/>
        <w:numPr>
          <w:ilvl w:val="2"/>
          <w:numId w:val="1"/>
        </w:numPr>
        <w:rPr/>
      </w:pPr>
      <w:bookmarkStart w:id="46" w:name="__RefHeading___Toc964025_2320776876"/>
      <w:bookmarkStart w:id="47" w:name="_Toc16"/>
      <w:bookmarkEnd w:id="45"/>
      <w:bookmarkEnd w:id="46"/>
      <w:r>
        <w:rPr>
          <w:rtl w:val="true"/>
        </w:rPr>
        <w:t>الكلام في تواتر النصوص التي ينقلها الشيعة و دلالتها</w:t>
      </w:r>
      <w:bookmarkEnd w:id="47"/>
    </w:p>
    <w:p>
      <w:pPr>
        <w:pStyle w:val="Heading4"/>
        <w:numPr>
          <w:ilvl w:val="3"/>
          <w:numId w:val="1"/>
        </w:numPr>
        <w:rPr/>
      </w:pPr>
      <w:bookmarkStart w:id="48" w:name="__RefHeading___Toc964027_2320776876"/>
      <w:bookmarkStart w:id="49" w:name="_Toc17"/>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يَدَّعونَ مِن ألفاظٍ غيرِ</w:t>
      </w:r>
      <w:r>
        <w:rPr>
          <w:rStyle w:val="FootnoteAnchor"/>
          <w:rtl w:val="true"/>
        </w:rPr>
        <w:footnoteReference w:id="110"/>
      </w:r>
      <w:r>
        <w:rPr>
          <w:rFonts w:ascii="Amiri" w:hAnsi="Amiri" w:eastAsia="Amiri" w:cs="Amiri"/>
          <w:color w:val="111111"/>
          <w:sz w:val="28"/>
          <w:sz w:val="28"/>
          <w:szCs w:val="28"/>
          <w:rtl w:val="true"/>
          <w:lang w:bidi="ar-SA"/>
        </w:rPr>
        <w:t xml:space="preserve">منقولةٍ‌، نَحوُ ادّعائهم أنّه عليه السلامُ قالَ في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أشارَ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ما شاكَلَه، فغَيرُ مسلَّمٍ و لا نَقلَ فيه، فَضلاً عن أن يُدَّعىٰ فيه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الذي يَصِحُّ فيه النقلُ الأخبارُ التي يَذكُرونَها كخبرِ</w:t>
      </w:r>
      <w:r>
        <w:rPr>
          <w:rStyle w:val="FootnoteAnchor"/>
          <w:rtl w:val="true"/>
        </w:rPr>
        <w:footnoteReference w:id="111"/>
      </w:r>
      <w:r>
        <w:rPr>
          <w:rFonts w:ascii="Amiri" w:hAnsi="Amiri" w:eastAsia="Amiri" w:cs="Amiri"/>
          <w:color w:val="111111"/>
          <w:sz w:val="28"/>
          <w:sz w:val="28"/>
          <w:szCs w:val="28"/>
          <w:rtl w:val="true"/>
          <w:lang w:bidi="ar-SA"/>
        </w:rPr>
        <w:t>غَديرِ خُمٍّ و غيرِه، ممّا نورِدُه مِن بَعدُ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يُمكِنُهم أن يَدَّعوا أيضاً أنّه</w:t>
      </w:r>
      <w:r>
        <w:rPr>
          <w:rStyle w:val="FootnoteAnchor"/>
          <w:rtl w:val="true"/>
        </w:rPr>
        <w:footnoteReference w:id="112"/>
      </w:r>
      <w:r>
        <w:rPr>
          <w:rFonts w:ascii="Amiri" w:hAnsi="Amiri" w:eastAsia="Amiri" w:cs="Amiri"/>
          <w:color w:val="111111"/>
          <w:sz w:val="28"/>
          <w:sz w:val="28"/>
          <w:szCs w:val="28"/>
          <w:rtl w:val="true"/>
          <w:lang w:bidi="ar-SA"/>
        </w:rPr>
        <w:t>غيرُ محتَمِلٍ‌</w:t>
      </w:r>
      <w:r>
        <w:rPr>
          <w:rStyle w:val="FootnoteAnchor"/>
          <w:rtl w:val="true"/>
        </w:rPr>
        <w:footnoteReference w:id="113"/>
      </w:r>
      <w:r>
        <w:rPr>
          <w:rFonts w:ascii="Amiri" w:hAnsi="Amiri" w:eastAsia="Amiri" w:cs="Amiri"/>
          <w:color w:val="111111"/>
          <w:sz w:val="28"/>
          <w:sz w:val="28"/>
          <w:szCs w:val="28"/>
          <w:rtl w:val="true"/>
          <w:lang w:bidi="ar-SA"/>
        </w:rPr>
        <w:t>مِن غيرِ جهةِ الاضطرارِ؛ لأنّه إذا لَم يَكُن فيه اضطرارٌ يُعلَمُ معه قَصدُ النبيِّ عليه السلامُ‌، فوَجهُ الاستدلالِ به كوَجهِ الاستدلالِ بالقُرآنِ و السُّنّةِ علَى الأحكامِ ، و ما هذه حالُه يَصِحُّ فيه</w:t>
      </w:r>
      <w:r>
        <w:rPr>
          <w:rStyle w:val="FootnoteAnchor"/>
          <w:rtl w:val="true"/>
        </w:rPr>
        <w:footnoteReference w:id="114"/>
      </w:r>
      <w:r>
        <w:rPr>
          <w:rFonts w:ascii="Amiri" w:hAnsi="Amiri" w:eastAsia="Amiri" w:cs="Amiri"/>
          <w:color w:val="111111"/>
          <w:sz w:val="28"/>
          <w:sz w:val="28"/>
          <w:szCs w:val="28"/>
          <w:rtl w:val="true"/>
          <w:lang w:bidi="ar-SA"/>
        </w:rPr>
        <w:t xml:space="preserve">طريقةُ التأويلِ </w:t>
      </w:r>
      <w:r>
        <w:rPr>
          <w:rStyle w:val="FootnoteAnchor"/>
          <w:rtl w:val="true"/>
        </w:rPr>
        <w:footnoteReference w:id="115"/>
      </w:r>
      <w:r>
        <w:rPr>
          <w:rFonts w:ascii="Amiri" w:hAnsi="Amiri" w:eastAsia="Amiri" w:cs="Amiri"/>
          <w:color w:val="111111"/>
          <w:sz w:val="28"/>
          <w:sz w:val="28"/>
          <w:szCs w:val="28"/>
          <w:rtl w:val="true"/>
          <w:lang w:bidi="ar-SA"/>
        </w:rPr>
        <w:t xml:space="preserve">و صَرفِ الظاهرِ إلىٰ </w:t>
      </w:r>
      <w:r>
        <w:rPr>
          <w:rStyle w:val="FootnoteAnchor"/>
          <w:rtl w:val="true"/>
        </w:rPr>
        <w:footnoteReference w:id="116"/>
      </w:r>
      <w:r>
        <w:rPr>
          <w:rFonts w:ascii="Amiri" w:hAnsi="Amiri" w:eastAsia="Amiri" w:cs="Amiri"/>
          <w:color w:val="111111"/>
          <w:sz w:val="28"/>
          <w:sz w:val="28"/>
          <w:szCs w:val="28"/>
          <w:rtl w:val="true"/>
          <w:lang w:bidi="ar-SA"/>
        </w:rPr>
        <w:t xml:space="preserve">غيرِه بدَليلٍ ؛ </w:t>
      </w:r>
    </w:p>
    <w:p>
      <w:pPr>
        <w:pStyle w:val="BookText"/>
        <w:rPr/>
      </w:pPr>
      <w:r>
        <w:rPr>
          <w:rFonts w:ascii="Amiri" w:hAnsi="Amiri" w:eastAsia="Amiri" w:cs="Amiri"/>
          <w:color w:val="111111"/>
          <w:sz w:val="28"/>
          <w:sz w:val="28"/>
          <w:szCs w:val="28"/>
          <w:rtl w:val="true"/>
          <w:lang w:bidi="ar-SA"/>
        </w:rPr>
        <w:t>لأنّه لا يَكونُ في الألفاظِ التي يَذكرونَ‌</w:t>
      </w:r>
      <w:r>
        <w:rPr>
          <w:rStyle w:val="FootnoteAnchor"/>
          <w:rtl w:val="true"/>
        </w:rPr>
        <w:footnoteReference w:id="117"/>
      </w:r>
      <w:r>
        <w:rPr>
          <w:rFonts w:ascii="Amiri" w:hAnsi="Amiri" w:eastAsia="Amiri" w:cs="Amiri"/>
          <w:color w:val="111111"/>
          <w:sz w:val="28"/>
          <w:sz w:val="28"/>
          <w:szCs w:val="28"/>
          <w:rtl w:val="true"/>
          <w:lang w:bidi="ar-SA"/>
        </w:rPr>
        <w:t>في ذلكَ أَوكَدُ مِن أن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w:t>
      </w:r>
      <w:r>
        <w:rPr>
          <w:rStyle w:val="FootnoteAnchor"/>
          <w:rtl w:val="true"/>
        </w:rPr>
        <w:footnoteReference w:id="118"/>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لَم يُعلَم مُرادُه عليه السلامُ باضطرارٍ أمكَنَ‌</w:t>
      </w:r>
      <w:r>
        <w:rPr>
          <w:rStyle w:val="FootnoteAnchor"/>
          <w:rtl w:val="true"/>
        </w:rPr>
        <w:footnoteReference w:id="119"/>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لا يعُمُّ الإمامةَ‌؛ لأنّه لا يَمتنِعُ أن يريدَ أنّه إمامُكم في الصلاةِ‌، أو إمامُكم في العُلومِ‌</w:t>
      </w:r>
      <w:r>
        <w:rPr>
          <w:rStyle w:val="FootnoteAnchor"/>
          <w:rtl w:val="true"/>
        </w:rPr>
        <w:footnoteReference w:id="120"/>
      </w:r>
      <w:r>
        <w:rPr>
          <w:rFonts w:ascii="Amiri" w:hAnsi="Amiri" w:eastAsia="Amiri" w:cs="Amiri"/>
          <w:color w:val="111111"/>
          <w:sz w:val="28"/>
          <w:sz w:val="28"/>
          <w:szCs w:val="28"/>
          <w:rtl w:val="true"/>
          <w:lang w:bidi="ar-SA"/>
        </w:rPr>
        <w:t>التي هي أجَلُّ مِن الإمامةِ‌</w:t>
      </w:r>
      <w:r>
        <w:rPr>
          <w:rStyle w:val="FootnoteAnchor"/>
          <w:rtl w:val="true"/>
        </w:rPr>
        <w:footnoteReference w:id="121"/>
      </w:r>
      <w:r>
        <w:rPr>
          <w:rFonts w:ascii="Amiri" w:hAnsi="Amiri" w:eastAsia="Amiri" w:cs="Amiri"/>
          <w:color w:val="111111"/>
          <w:sz w:val="28"/>
          <w:sz w:val="28"/>
          <w:szCs w:val="28"/>
          <w:rtl w:val="true"/>
          <w:lang w:bidi="ar-SA"/>
        </w:rPr>
        <w:t>التي تَتضَمَّنُ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أمكَنَ‌</w:t>
      </w:r>
      <w:r>
        <w:rPr>
          <w:rStyle w:val="FootnoteAnchor"/>
          <w:rtl w:val="true"/>
        </w:rPr>
        <w:footnoteReference w:id="122"/>
      </w:r>
      <w:r>
        <w:rPr>
          <w:rFonts w:ascii="Amiri" w:hAnsi="Amiri" w:eastAsia="Amiri" w:cs="Amiri"/>
          <w:color w:val="111111"/>
          <w:sz w:val="28"/>
          <w:sz w:val="28"/>
          <w:szCs w:val="28"/>
          <w:rtl w:val="true"/>
          <w:lang w:bidi="ar-SA"/>
        </w:rPr>
        <w:t>أن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لا يعُمُّ الإمامةَ‌؛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بمَنزِلةِ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رئيسُكم و قائدُكم و سائقُكم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يَقتَضي صفةً لا تَستَوعِبُ و لا يُمكِنُ ادّعاءُ العمومِ فيها؛ و لا بُدَّ</w:t>
      </w:r>
      <w:r>
        <w:rPr>
          <w:rStyle w:val="FootnoteAnchor"/>
          <w:rtl w:val="true"/>
        </w:rPr>
        <w:footnoteReference w:id="124"/>
      </w:r>
      <w:r>
        <w:rPr>
          <w:rFonts w:ascii="Amiri" w:hAnsi="Amiri" w:eastAsia="Amiri" w:cs="Amiri"/>
          <w:color w:val="111111"/>
          <w:sz w:val="28"/>
          <w:sz w:val="28"/>
          <w:szCs w:val="28"/>
          <w:rtl w:val="true"/>
          <w:lang w:bidi="ar-SA"/>
        </w:rPr>
        <w:t>مِن بَيانٍ إذا لَم يَكُن هناكَ‌</w:t>
      </w:r>
      <w:r>
        <w:rPr>
          <w:rStyle w:val="FootnoteAnchor"/>
          <w:rtl w:val="true"/>
        </w:rPr>
        <w:footnoteReference w:id="125"/>
      </w:r>
      <w:r>
        <w:rPr>
          <w:rFonts w:ascii="Amiri" w:hAnsi="Amiri" w:eastAsia="Amiri" w:cs="Amiri"/>
          <w:color w:val="111111"/>
          <w:sz w:val="28"/>
          <w:sz w:val="28"/>
          <w:szCs w:val="28"/>
          <w:rtl w:val="true"/>
          <w:lang w:bidi="ar-SA"/>
        </w:rPr>
        <w:t>تَعارُفٌ يُحمَلُ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يُمكِنُ أن يُدَّعىٰ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التعارُفُ مِن جهةِ اللُّغةِ ؛ لأنّه لا يُعقَلُ في اللُّغةِ أنّها تُفيدُ القيامَ بالأُمورِ التي تَختَصُّ بالإمامِ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يُمكِنُ ادّعاءُ العُرفِ الشرعيِّ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حصَلَ فيه مِن</w:t>
      </w:r>
      <w:r>
        <w:rPr>
          <w:rStyle w:val="FootnoteAnchor"/>
          <w:rtl w:val="true"/>
        </w:rPr>
        <w:footnoteReference w:id="127"/>
      </w:r>
      <w:bookmarkStart w:id="50" w:name="pg20017_202360"/>
    </w:p>
    <w:p>
      <w:pPr>
        <w:pStyle w:val="BookText"/>
        <w:rPr/>
      </w:pPr>
      <w:bookmarkEnd w:id="50"/>
      <w:r>
        <w:rPr>
          <w:rFonts w:ascii="Amiri" w:hAnsi="Amiri" w:eastAsia="Amiri" w:cs="Amiri"/>
          <w:color w:val="111111"/>
          <w:sz w:val="28"/>
          <w:sz w:val="28"/>
          <w:szCs w:val="28"/>
          <w:rtl w:val="true"/>
          <w:lang w:bidi="ar-SA"/>
        </w:rPr>
        <w:t xml:space="preserve">التعارُفِ إنّما حصَلَ باصطلاحِ أربابِ المَذاهبِ‌، و ما حَلَّ هذا المَحَلَّ لا يَجِبُ حَملُ الخطابِ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لَم يُروَ عن الصحابةِ ذِكرُ الإمامةِ‌، و إنّما كانوا يَذكُرونَ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قالوا يومَ السقيفةِ‌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أميرٌ، و 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يَصِفوا أحَداً منهم بالإمامِ‌، و إنّما رُويَ في 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وَجَبَ حَملُ ذلكَ علىٰ ما ذَكَرناه مِن حَيثُ عقَلَ الكُلُّ منه هذا المرادَ، لا بظاهرِه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أرَدنا بهذا الكلامِ أن نبيِّنَ أنّ ادّعاءَ لفظٍ في النصِّ غيرِ محتَمِلٍ لا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مَن سلَكَ هذه الطريقةَ ، فلا بُدَّ مِن أن يسوِّغَ فيما يَرويهِ المناظَرةَ و ادّعاءَ التأويلِ و صَرفِ الكلامِ مِن وجهٍ إلىٰ وجهٍ ؛ لأنّه لا يَكونُ الذي يَدَّعيهِ و يَتعلَّقُ به أقوىٰ مِن كتابِ اللّٰهِ الذي يَصِحُّ فيه طريقةُ النظَرِ، و إنّما يَمتنِعُ ذلكَ فيما يُعلَمُ قَصدُه عليه السلامُ فيه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فَسادَ ذلكَ و أنّه لَيسَ مِن البابِ الذي يَجِبُ نقلُ ألفاظٍ مخصوصةٍ فيه</w:t>
      </w:r>
      <w:r>
        <w:rPr>
          <w:rFonts w:eastAsia="Amiri" w:cs="Amiri" w:ascii="Amiri" w:hAnsi="Amiri"/>
          <w:color w:val="111111"/>
          <w:sz w:val="28"/>
          <w:szCs w:val="28"/>
          <w:rtl w:val="true"/>
          <w:lang w:bidi="ar-SA"/>
        </w:rPr>
        <w:t>].</w:t>
      </w:r>
      <w:r>
        <w:rPr>
          <w:rStyle w:val="FootnoteAnchor"/>
          <w:rtl w:val="true"/>
        </w:rPr>
        <w:footnoteReference w:id="128"/>
      </w:r>
    </w:p>
    <w:p>
      <w:pPr>
        <w:pStyle w:val="Heading4"/>
        <w:numPr>
          <w:ilvl w:val="3"/>
          <w:numId w:val="1"/>
        </w:numPr>
        <w:rPr/>
      </w:pPr>
      <w:bookmarkStart w:id="51" w:name="__RefHeading___Toc964029_2320776876"/>
      <w:bookmarkStart w:id="52" w:name="_Toc18"/>
      <w:bookmarkEnd w:id="51"/>
      <w:r>
        <w:rPr>
          <w:rtl w:val="true"/>
        </w:rPr>
        <w:t>صحّة ما تدّعيه الشيعة من لفظ النصّ و تواتره</w:t>
      </w:r>
      <w:bookmarkEnd w:id="5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يَخلو نفيُكَ لنقلِ ألفاظِ النصِّ مِن أن تريدَ به أنّه لا نقلَ فيه مِن جهةِ الخصومِ </w:t>
      </w:r>
      <w:r>
        <w:rPr>
          <w:rStyle w:val="FootnoteAnchor"/>
          <w:rtl w:val="true"/>
        </w:rPr>
        <w:footnoteReference w:id="129"/>
      </w:r>
      <w:r>
        <w:rPr>
          <w:rFonts w:ascii="Amiri" w:hAnsi="Amiri" w:eastAsia="Amiri" w:cs="Amiri"/>
          <w:color w:val="111111"/>
          <w:sz w:val="28"/>
          <w:sz w:val="28"/>
          <w:szCs w:val="28"/>
          <w:rtl w:val="true"/>
          <w:lang w:bidi="ar-SA"/>
        </w:rPr>
        <w:t xml:space="preserve">، فذلكَ إذا أرَدتَه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يضُرُّنا</w:t>
      </w:r>
      <w:r>
        <w:rPr>
          <w:rStyle w:val="FootnoteAnchor"/>
          <w:rtl w:val="true"/>
        </w:rPr>
        <w:footnoteReference w:id="130"/>
      </w:r>
      <w:r>
        <w:rPr>
          <w:rFonts w:ascii="Amiri" w:hAnsi="Amiri" w:eastAsia="Amiri" w:cs="Amiri"/>
          <w:color w:val="111111"/>
          <w:sz w:val="28"/>
          <w:sz w:val="28"/>
          <w:szCs w:val="28"/>
          <w:rtl w:val="true"/>
          <w:lang w:bidi="ar-SA"/>
        </w:rPr>
        <w:t xml:space="preserve">لأنه لَيسَ يَفتقِرُ النصُّ في الصحّةِ </w:t>
      </w:r>
    </w:p>
    <w:p>
      <w:pPr>
        <w:pStyle w:val="BookText"/>
        <w:rPr/>
      </w:pPr>
      <w:r>
        <w:rPr>
          <w:rFonts w:ascii="Amiri" w:hAnsi="Amiri" w:eastAsia="Amiri" w:cs="Amiri"/>
          <w:color w:val="111111"/>
          <w:sz w:val="28"/>
          <w:sz w:val="28"/>
          <w:szCs w:val="28"/>
          <w:rtl w:val="true"/>
          <w:lang w:bidi="ar-SA"/>
        </w:rPr>
        <w:t>إلىٰ نقلِ الخصومِ إذا كانَ قد نقَلَه مَن تَقومُ‌</w:t>
      </w:r>
      <w:r>
        <w:rPr>
          <w:rStyle w:val="FootnoteAnchor"/>
          <w:rtl w:val="true"/>
        </w:rPr>
        <w:footnoteReference w:id="131"/>
      </w:r>
      <w:r>
        <w:rPr>
          <w:rFonts w:ascii="Amiri" w:hAnsi="Amiri" w:eastAsia="Amiri" w:cs="Amiri"/>
          <w:color w:val="111111"/>
          <w:sz w:val="28"/>
          <w:sz w:val="28"/>
          <w:szCs w:val="28"/>
          <w:rtl w:val="true"/>
          <w:lang w:bidi="ar-SA"/>
        </w:rPr>
        <w:t>الحُجّةُ بنَقلِه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أنّه لا نقلَ فيه علىٰ وجهٍ‌، فأنتَ تَعلَمُ ضرورةً أنّ الشيعةَ تَدَّعي نقلَ لفظِ النصِّ و التواترَ به</w:t>
      </w:r>
      <w:r>
        <w:rPr>
          <w:rStyle w:val="FootnoteAnchor"/>
          <w:rtl w:val="true"/>
        </w:rPr>
        <w:footnoteReference w:id="132"/>
      </w:r>
      <w:r>
        <w:rPr>
          <w:rFonts w:ascii="Amiri" w:hAnsi="Amiri" w:eastAsia="Amiri" w:cs="Amiri"/>
          <w:color w:val="111111"/>
          <w:sz w:val="28"/>
          <w:sz w:val="28"/>
          <w:szCs w:val="28"/>
          <w:rtl w:val="true"/>
          <w:lang w:bidi="ar-SA"/>
        </w:rPr>
        <w:t>، و تَسمَعُ منها ذلكَ أنتَ و أسلافُكَ مِن قَبلِكَ‌، و إن كنتَ تَدَّعي أنّ نقلَهم له غيرُ متّصِلٍ و أنّه ممّا وُلِدَ</w:t>
      </w:r>
      <w:r>
        <w:rPr>
          <w:rStyle w:val="FootnoteAnchor"/>
          <w:rtl w:val="true"/>
        </w:rPr>
        <w:footnoteReference w:id="133"/>
      </w:r>
      <w:r>
        <w:rPr>
          <w:rFonts w:ascii="Amiri" w:hAnsi="Amiri" w:eastAsia="Amiri" w:cs="Amiri"/>
          <w:color w:val="111111"/>
          <w:sz w:val="28"/>
          <w:sz w:val="28"/>
          <w:szCs w:val="28"/>
          <w:rtl w:val="true"/>
          <w:lang w:bidi="ar-SA"/>
        </w:rPr>
        <w:t>بَعدَ زمانِ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تَكونَ أرَدتَ بما ذَكَرتَه في كلامِكَ من نفيِ النقلِ نفيَ ما ذَكَرناه آنِفاً مِن الاتّصالِ و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 كنتَ أرَدتَه غيرُ مفهومٍ مِن كلامِكَ‌، و المفهومُ منه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ما يدُلُّ علَى اتّصالِ نقلِ الشيعةِ‌، و أنّ سلَفَهم في نقلِ النصّ كخَلَفِهم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لَيسَ يَجِبُ‌</w:t>
      </w:r>
      <w:r>
        <w:rPr>
          <w:rStyle w:val="FootnoteAnchor"/>
          <w:rtl w:val="true"/>
        </w:rPr>
        <w:footnoteReference w:id="135"/>
      </w:r>
      <w:r>
        <w:rPr>
          <w:rFonts w:ascii="Amiri" w:hAnsi="Amiri" w:eastAsia="Amiri" w:cs="Amiri"/>
          <w:color w:val="111111"/>
          <w:sz w:val="28"/>
          <w:sz w:val="28"/>
          <w:szCs w:val="28"/>
          <w:rtl w:val="true"/>
          <w:lang w:bidi="ar-SA"/>
        </w:rPr>
        <w:t>إذا لَم يَكُن جميعُ الألفاظِ التي نَرويها</w:t>
      </w:r>
      <w:r>
        <w:rPr>
          <w:rStyle w:val="FootnoteAnchor"/>
          <w:rtl w:val="true"/>
        </w:rPr>
        <w:footnoteReference w:id="136"/>
      </w:r>
      <w:r>
        <w:rPr>
          <w:rFonts w:ascii="Amiri" w:hAnsi="Amiri" w:eastAsia="Amiri" w:cs="Amiri"/>
          <w:color w:val="111111"/>
          <w:sz w:val="28"/>
          <w:sz w:val="28"/>
          <w:szCs w:val="28"/>
          <w:rtl w:val="true"/>
          <w:lang w:bidi="ar-SA"/>
        </w:rPr>
        <w:t>في النصِّ مِثلَ خبرِ</w:t>
      </w:r>
    </w:p>
    <w:p>
      <w:pPr>
        <w:pStyle w:val="BookText"/>
        <w:rPr/>
      </w:pPr>
      <w:r>
        <w:rPr>
          <w:rFonts w:ascii="Amiri" w:hAnsi="Amiri" w:eastAsia="Amiri" w:cs="Amiri"/>
          <w:color w:val="111111"/>
          <w:sz w:val="28"/>
          <w:sz w:val="28"/>
          <w:szCs w:val="28"/>
          <w:rtl w:val="true"/>
          <w:lang w:bidi="ar-SA"/>
        </w:rPr>
        <w:t xml:space="preserve">الغَديرِ أن تَكونَ باطلةً‌؛ لأنّ إبطالَها بهذا الوَجهِ يؤدّي إلىٰ إبطالِ كُلِّ ما لَم يسلِّمْه المخالِفونَ لخصومِهم مِن الأخبارِ، و إن كانَ قد اختَصَّ بنقلِه فِرقةٌ فيهم الحُجّةُ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خبَرَ الغَديرِ لَم يفارِقِ النصَّ الجَليَّ مِن حَيثُ الحُجّةِ </w:t>
      </w:r>
      <w:r>
        <w:rPr>
          <w:rStyle w:val="FootnoteAnchor"/>
          <w:rtl w:val="true"/>
        </w:rPr>
        <w:footnoteReference w:id="137"/>
      </w:r>
      <w:r>
        <w:rPr>
          <w:rFonts w:ascii="Amiri" w:hAnsi="Amiri" w:eastAsia="Amiri" w:cs="Amiri"/>
          <w:color w:val="111111"/>
          <w:sz w:val="28"/>
          <w:sz w:val="28"/>
          <w:szCs w:val="28"/>
          <w:rtl w:val="true"/>
          <w:lang w:bidi="ar-SA"/>
        </w:rPr>
        <w:t xml:space="preserve">، لكِنْ مِن حَيثُ نقَلَه المخالِفونَ و أجمَعَ </w:t>
      </w:r>
      <w:r>
        <w:rPr>
          <w:rStyle w:val="FootnoteAnchor"/>
          <w:rtl w:val="true"/>
        </w:rPr>
        <w:footnoteReference w:id="138"/>
      </w:r>
      <w:r>
        <w:rPr>
          <w:rFonts w:ascii="Amiri" w:hAnsi="Amiri" w:eastAsia="Amiri" w:cs="Amiri"/>
          <w:color w:val="111111"/>
          <w:sz w:val="28"/>
          <w:sz w:val="28"/>
          <w:szCs w:val="28"/>
          <w:rtl w:val="true"/>
          <w:lang w:bidi="ar-SA"/>
        </w:rPr>
        <w:t xml:space="preserve">الناسُ علىٰ تسليمِه، و قد ثبَتَت الحُجّةُ بما لا إجماعَ فيه و لا تسليمَ مِن جميعِ الأُمّةِ </w:t>
      </w:r>
      <w:r>
        <w:rPr>
          <w:rFonts w:eastAsia="Amiri" w:cs="Amiri" w:ascii="Amiri" w:hAnsi="Amiri"/>
          <w:color w:val="111111"/>
          <w:sz w:val="28"/>
          <w:szCs w:val="28"/>
          <w:rtl w:val="true"/>
          <w:lang w:bidi="ar-SA"/>
        </w:rPr>
        <w:t xml:space="preserve">. </w:t>
      </w:r>
      <w:bookmarkStart w:id="53" w:name="pg20017_202362"/>
    </w:p>
    <w:p>
      <w:pPr>
        <w:pStyle w:val="Heading4"/>
        <w:numPr>
          <w:ilvl w:val="3"/>
          <w:numId w:val="1"/>
        </w:numPr>
        <w:rPr/>
      </w:pPr>
      <w:bookmarkStart w:id="54" w:name="__RefHeading___Toc964031_2320776876"/>
      <w:bookmarkStart w:id="55" w:name="_Toc19"/>
      <w:bookmarkEnd w:id="53"/>
      <w:bookmarkEnd w:id="54"/>
      <w:r>
        <w:rPr>
          <w:rtl w:val="true"/>
        </w:rPr>
        <w:t xml:space="preserve">نفي </w:t>
      </w:r>
      <w:r>
        <w:rPr>
          <w:rtl w:val="true"/>
        </w:rPr>
        <w:t>«</w:t>
      </w:r>
      <w:r>
        <w:rPr>
          <w:rtl w:val="true"/>
        </w:rPr>
        <w:t>الاحتمال</w:t>
      </w:r>
      <w:r>
        <w:rPr>
          <w:rtl w:val="true"/>
        </w:rPr>
        <w:t xml:space="preserve">» </w:t>
      </w:r>
      <w:r>
        <w:rPr>
          <w:rtl w:val="true"/>
        </w:rPr>
        <w:t>عن النصّ</w:t>
      </w:r>
      <w:bookmarkEnd w:id="55"/>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ما نَعتمِدُه مِن النُّصوصِ إذا لَم يُعلَمْ منه قَصدُ النبيِّ صَلّى اللّٰهُ عليه و آلِه باضطرارٍ، فلا بُدَّ أن يَكونَ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يَخلو الاحتمالُ الذي عَناه مِن أن يريدَ به ما لَم يُمكِنِ القَطعُ فيه علىٰ وجهٍ دونَ وجهٍ‌، و كانَت الأقوالُ في المُرادِ منه كالمُتَكافئةِ المُتَحاذيةِ‌</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المفهومُ في الأغلَبِ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فالنصُّ عندَنا بمَعزِلٍ عنه؛ لأنّه ممّا يُقطَعُ علَى المُرادِ منه، و لا تكافؤَ بَينَ الأقوالِ المختَلِفةِ في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بالاحتمالِ جوازَ</w:t>
      </w:r>
      <w:r>
        <w:rPr>
          <w:rStyle w:val="FootnoteAnchor"/>
          <w:rtl w:val="true"/>
        </w:rPr>
        <w:footnoteReference w:id="140"/>
      </w:r>
      <w:r>
        <w:rPr>
          <w:rFonts w:ascii="Amiri" w:hAnsi="Amiri" w:eastAsia="Amiri" w:cs="Amiri"/>
          <w:color w:val="111111"/>
          <w:sz w:val="28"/>
          <w:sz w:val="28"/>
          <w:szCs w:val="28"/>
          <w:rtl w:val="true"/>
          <w:lang w:bidi="ar-SA"/>
        </w:rPr>
        <w:t>دخولِ الشُّبهةِ و عدمَ العِلمِ الضروريِّ‌، فهو غَلَطٌ؛ لأنّه لَيسَ كُلُّ ما لَم يُعلَمْ ضرورةً و أمكَنَ المُبطِلَ صَرفُه عن ظاهرِه بالشُّبهةِ‌</w:t>
      </w:r>
      <w:r>
        <w:rPr>
          <w:rStyle w:val="FootnoteAnchor"/>
          <w:rtl w:val="true"/>
        </w:rPr>
        <w:footnoteReference w:id="141"/>
      </w:r>
      <w:r>
        <w:rPr>
          <w:rFonts w:ascii="Amiri" w:hAnsi="Amiri" w:eastAsia="Amiri" w:cs="Amiri"/>
          <w:color w:val="111111"/>
          <w:sz w:val="28"/>
          <w:sz w:val="28"/>
          <w:szCs w:val="28"/>
          <w:rtl w:val="true"/>
          <w:lang w:bidi="ar-SA"/>
        </w:rPr>
        <w:t>مُحتَمِلاً؛ لأنّه لَو كانَ ما هذه صفتُه موسوماً</w:t>
      </w:r>
      <w:r>
        <w:rPr>
          <w:rStyle w:val="FootnoteAnchor"/>
          <w:rtl w:val="true"/>
        </w:rPr>
        <w:footnoteReference w:id="142"/>
      </w:r>
      <w:r>
        <w:rPr>
          <w:rFonts w:ascii="Amiri" w:hAnsi="Amiri" w:eastAsia="Amiri" w:cs="Amiri"/>
          <w:color w:val="111111"/>
          <w:sz w:val="28"/>
          <w:sz w:val="28"/>
          <w:szCs w:val="28"/>
          <w:rtl w:val="true"/>
          <w:lang w:bidi="ar-SA"/>
        </w:rPr>
        <w:t>بالاحتمالِ لَوَجَبَ أن تَكونَ‌</w:t>
      </w:r>
      <w:r>
        <w:rPr>
          <w:rStyle w:val="FootnoteAnchor"/>
          <w:rtl w:val="true"/>
        </w:rPr>
        <w:footnoteReference w:id="143"/>
      </w:r>
      <w:r>
        <w:rPr>
          <w:rFonts w:ascii="Amiri" w:hAnsi="Amiri" w:eastAsia="Amiri" w:cs="Amiri"/>
          <w:color w:val="111111"/>
          <w:sz w:val="28"/>
          <w:sz w:val="28"/>
          <w:szCs w:val="28"/>
          <w:rtl w:val="true"/>
          <w:lang w:bidi="ar-SA"/>
        </w:rPr>
        <w:t>أدلّةُ العقلِ‌</w:t>
      </w:r>
      <w:r>
        <w:rPr>
          <w:rStyle w:val="FootnoteAnchor"/>
          <w:rtl w:val="true"/>
        </w:rPr>
        <w:footnoteReference w:id="144"/>
      </w:r>
      <w:r>
        <w:rPr>
          <w:rFonts w:ascii="Amiri" w:hAnsi="Amiri" w:eastAsia="Amiri" w:cs="Amiri"/>
          <w:color w:val="111111"/>
          <w:sz w:val="28"/>
          <w:sz w:val="28"/>
          <w:szCs w:val="28"/>
          <w:rtl w:val="true"/>
          <w:lang w:bidi="ar-SA"/>
        </w:rPr>
        <w:t xml:space="preserve">كُلُّها مُحتَمِلةً ، و كذلكَ نُصوصُ </w:t>
      </w:r>
      <w:r>
        <w:rPr>
          <w:rStyle w:val="FootnoteAnchor"/>
          <w:rtl w:val="true"/>
        </w:rPr>
        <w:footnoteReference w:id="145"/>
      </w:r>
      <w:r>
        <w:rPr>
          <w:rFonts w:ascii="Amiri" w:hAnsi="Amiri" w:eastAsia="Amiri" w:cs="Amiri"/>
          <w:color w:val="111111"/>
          <w:sz w:val="28"/>
          <w:sz w:val="28"/>
          <w:szCs w:val="28"/>
          <w:rtl w:val="true"/>
          <w:lang w:bidi="ar-SA"/>
        </w:rPr>
        <w:t xml:space="preserve">القُرآنِ و السُّنّةِ التي نَقطَعُ </w:t>
      </w:r>
      <w:r>
        <w:rPr>
          <w:rStyle w:val="FootnoteAnchor"/>
          <w:rtl w:val="true"/>
        </w:rPr>
        <w:footnoteReference w:id="146"/>
      </w:r>
      <w:r>
        <w:rPr>
          <w:rFonts w:ascii="Amiri" w:hAnsi="Amiri" w:eastAsia="Amiri" w:cs="Amiri"/>
          <w:color w:val="111111"/>
          <w:sz w:val="28"/>
          <w:sz w:val="28"/>
          <w:szCs w:val="28"/>
          <w:rtl w:val="true"/>
          <w:lang w:bidi="ar-SA"/>
        </w:rPr>
        <w:t xml:space="preserve">علَى المُرادِ منها، حتّىٰ يَكونَ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اِتَّخَذَ اللّٰهُ مِنْ وَلَدٍ</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كَمِثْلِهِ شَيْ ءٌ </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أنّا و إن مَنَعناه مِن </w:t>
      </w:r>
    </w:p>
    <w:p>
      <w:pPr>
        <w:pStyle w:val="BookText"/>
        <w:rPr/>
      </w:pPr>
      <w:r>
        <w:rPr>
          <w:rFonts w:ascii="Amiri" w:hAnsi="Amiri" w:eastAsia="Amiri" w:cs="Amiri"/>
          <w:color w:val="111111"/>
          <w:sz w:val="28"/>
          <w:sz w:val="28"/>
          <w:szCs w:val="28"/>
          <w:rtl w:val="true"/>
          <w:lang w:bidi="ar-SA"/>
        </w:rPr>
        <w:t xml:space="preserve">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جازَ دخولُ الشُّبهةِ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أنّه مؤَدٍّ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نَمتنِعُ‌</w:t>
      </w:r>
      <w:r>
        <w:rPr>
          <w:rStyle w:val="FootnoteAnchor"/>
          <w:rtl w:val="true"/>
        </w:rPr>
        <w:footnoteReference w:id="150"/>
      </w:r>
      <w:r>
        <w:rPr>
          <w:rFonts w:ascii="Amiri" w:hAnsi="Amiri" w:eastAsia="Amiri" w:cs="Amiri"/>
          <w:color w:val="111111"/>
          <w:sz w:val="28"/>
          <w:sz w:val="28"/>
          <w:szCs w:val="28"/>
          <w:rtl w:val="true"/>
          <w:lang w:bidi="ar-SA"/>
        </w:rPr>
        <w:t>مِن جوازِ دخولِ الشُّبهةِ‌</w:t>
      </w:r>
      <w:r>
        <w:rPr>
          <w:rStyle w:val="FootnoteAnchor"/>
          <w:rtl w:val="true"/>
        </w:rPr>
        <w:footnoteReference w:id="151"/>
      </w:r>
      <w:r>
        <w:rPr>
          <w:rFonts w:ascii="Amiri" w:hAnsi="Amiri" w:eastAsia="Amiri" w:cs="Amiri"/>
          <w:color w:val="111111"/>
          <w:sz w:val="28"/>
          <w:sz w:val="28"/>
          <w:szCs w:val="28"/>
          <w:rtl w:val="true"/>
          <w:lang w:bidi="ar-SA"/>
        </w:rPr>
        <w:t>في الألفاظِ التي نَرويها و نَعتمِدُها</w:t>
      </w:r>
      <w:r>
        <w:rPr>
          <w:rStyle w:val="FootnoteAnchor"/>
          <w:rtl w:val="true"/>
        </w:rPr>
        <w:footnoteReference w:id="152"/>
      </w:r>
      <w:r>
        <w:rPr>
          <w:rFonts w:ascii="Amiri" w:hAnsi="Amiri" w:eastAsia="Amiri" w:cs="Amiri"/>
          <w:color w:val="111111"/>
          <w:sz w:val="28"/>
          <w:sz w:val="28"/>
          <w:szCs w:val="28"/>
          <w:rtl w:val="true"/>
          <w:lang w:bidi="ar-SA"/>
        </w:rPr>
        <w:t>في الدَّلالةِ علَى النصِّ‌، و مِن أن يَصرِفَها المُبطِلُ عن ظاهرِها علىٰ سَبيلِ الخَطَإ، و إنّما مَنَعنا</w:t>
      </w:r>
      <w:r>
        <w:rPr>
          <w:rStyle w:val="FootnoteAnchor"/>
          <w:rtl w:val="true"/>
        </w:rPr>
        <w:footnoteReference w:id="153"/>
      </w:r>
      <w:r>
        <w:rPr>
          <w:rFonts w:ascii="Amiri" w:hAnsi="Amiri" w:eastAsia="Amiri" w:cs="Amiri"/>
          <w:color w:val="111111"/>
          <w:sz w:val="28"/>
          <w:sz w:val="28"/>
          <w:szCs w:val="28"/>
          <w:rtl w:val="true"/>
          <w:lang w:bidi="ar-SA"/>
        </w:rPr>
        <w:t xml:space="preserve">مِن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أرادَ بالاحتمالِ جوازَ العُدولِ عن الظاهرِ أو عن الحَقيقةِ علىٰ 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مُمكِنٌ في الكلامِ خاصّةً دونَ أدِلّةِ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مؤَدٍّ إلىٰ أنّ جميعَ أدِلّةِ الكتابِ و السُّنّةِ مُحتَمِلةٌ‌، و ما نظُنُّه يَستَحسِنُ إطلاقَ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العُدولَ عن الظاهرِ و</w:t>
      </w:r>
      <w:r>
        <w:rPr>
          <w:rStyle w:val="FootnoteAnchor"/>
          <w:rtl w:val="true"/>
        </w:rPr>
        <w:footnoteReference w:id="154"/>
      </w:r>
      <w:r>
        <w:rPr>
          <w:rFonts w:ascii="Amiri" w:hAnsi="Amiri" w:eastAsia="Amiri" w:cs="Amiri"/>
          <w:color w:val="111111"/>
          <w:sz w:val="28"/>
          <w:sz w:val="28"/>
          <w:szCs w:val="28"/>
          <w:rtl w:val="true"/>
          <w:lang w:bidi="ar-SA"/>
        </w:rPr>
        <w:t>عن الحَقيقةِ لا يَخلو مِن أن يَكونَ مُستَعمَلاً بدَليلٍ‌، أو بشُبهةٍ‌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عن دليلٍ‌، فسنُبيِّنُ أنّ جميعَ ألفاظِ النصِّ لا يَجوزُ الانصرافُ عن اقتضائها النصَّ‌</w:t>
      </w:r>
      <w:r>
        <w:rPr>
          <w:rStyle w:val="FootnoteAnchor"/>
          <w:rtl w:val="true"/>
        </w:rPr>
        <w:footnoteReference w:id="155"/>
      </w:r>
      <w:r>
        <w:rPr>
          <w:rFonts w:ascii="Amiri" w:hAnsi="Amiri" w:eastAsia="Amiri" w:cs="Amiri"/>
          <w:color w:val="111111"/>
          <w:sz w:val="28"/>
          <w:sz w:val="28"/>
          <w:szCs w:val="28"/>
          <w:rtl w:val="true"/>
          <w:lang w:bidi="ar-SA"/>
        </w:rPr>
        <w:t>إلىٰ غيرِه بشيءٍ مِن الأدلّةِ‌، و أنّه لا يَصِحُّ قيامُ دليلٍ يَقتَضي حَملَها علىٰ خِلافِ النصِّ الذي نَذهَبُ‌</w:t>
      </w:r>
      <w:r>
        <w:rPr>
          <w:rStyle w:val="FootnoteAnchor"/>
          <w:rtl w:val="true"/>
        </w:rPr>
        <w:footnoteReference w:id="156"/>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العُدولُ عن الظاهرِ بالشُّبهةِ‌، فنحنُ نجوِّزُ أن تدخُلَ </w:t>
      </w:r>
      <w:r>
        <w:rPr>
          <w:rStyle w:val="FootnoteAnchor"/>
          <w:rtl w:val="true"/>
        </w:rPr>
        <w:footnoteReference w:id="157"/>
      </w:r>
      <w:r>
        <w:rPr>
          <w:rFonts w:ascii="Amiri" w:hAnsi="Amiri" w:eastAsia="Amiri" w:cs="Amiri"/>
          <w:color w:val="111111"/>
          <w:sz w:val="28"/>
          <w:sz w:val="28"/>
          <w:szCs w:val="28"/>
          <w:rtl w:val="true"/>
          <w:lang w:bidi="ar-SA"/>
        </w:rPr>
        <w:t xml:space="preserve">الشُّبهةُ علىٰ بعضِ الناظِرينَ ، فيَصرِفَ لَفظَ النصِّ إلىٰ غيرِ موجَبِه و مدلولِه، غيرَ أنّ ذلكَ لا يوجِبُ أن يَكونَ مُحتَمِلاً؛ لِما تَقدَّمَ </w:t>
      </w:r>
      <w:r>
        <w:rPr>
          <w:rFonts w:eastAsia="Amiri" w:cs="Amiri" w:ascii="Amiri" w:hAnsi="Amiri"/>
          <w:color w:val="111111"/>
          <w:sz w:val="28"/>
          <w:szCs w:val="28"/>
          <w:rtl w:val="true"/>
          <w:lang w:bidi="ar-SA"/>
        </w:rPr>
        <w:t xml:space="preserve">. </w:t>
      </w:r>
      <w:bookmarkStart w:id="56" w:name="pg20017_202364"/>
    </w:p>
    <w:p>
      <w:pPr>
        <w:pStyle w:val="BookText"/>
        <w:rPr/>
      </w:pPr>
      <w:bookmarkEnd w:id="56"/>
      <w:r>
        <w:rPr>
          <w:rFonts w:ascii="Amiri" w:hAnsi="Amiri" w:eastAsia="Amiri" w:cs="Amiri"/>
          <w:color w:val="111111"/>
          <w:sz w:val="28"/>
          <w:sz w:val="28"/>
          <w:szCs w:val="28"/>
          <w:rtl w:val="true"/>
          <w:lang w:bidi="ar-SA"/>
        </w:rPr>
        <w:t>فقد بَطَلَ بهذه الجُملةِ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شيءَ نورِدُه مِن ألفاظِ النُّصوصِ إلّا و هو محتَمِلٌ </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964033_2320776876"/>
      <w:bookmarkStart w:id="58" w:name="_Toc20"/>
      <w:bookmarkEnd w:id="57"/>
      <w:r>
        <w:rPr>
          <w:rtl w:val="true"/>
        </w:rPr>
        <w:t xml:space="preserve">دلالة لفظ </w:t>
      </w:r>
      <w:r>
        <w:rPr>
          <w:rtl w:val="true"/>
        </w:rPr>
        <w:t>«</w:t>
      </w:r>
      <w:r>
        <w:rPr>
          <w:rtl w:val="true"/>
        </w:rPr>
        <w:t>الإمامة</w:t>
      </w:r>
      <w:r>
        <w:rPr>
          <w:rtl w:val="true"/>
        </w:rPr>
        <w:t xml:space="preserve">» </w:t>
      </w:r>
      <w:r>
        <w:rPr>
          <w:rtl w:val="true"/>
        </w:rPr>
        <w:t>في النصّ على الإمامة العامّة</w:t>
      </w:r>
      <w:bookmarkEnd w:id="58"/>
    </w:p>
    <w:p>
      <w:pPr>
        <w:pStyle w:val="BookText"/>
        <w:rPr/>
      </w:pPr>
      <w:r>
        <w:rPr>
          <w:rFonts w:ascii="Amiri" w:hAnsi="Amiri" w:eastAsia="Amiri" w:cs="Amiri"/>
          <w:color w:val="111111"/>
          <w:sz w:val="28"/>
          <w:sz w:val="28"/>
          <w:szCs w:val="28"/>
          <w:rtl w:val="true"/>
          <w:lang w:bidi="ar-SA"/>
        </w:rPr>
        <w:t>فأمّا تخصيصُه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ادّعاؤه أنّ الضرورةَ إذا ارتفَعَت أمكَنَ أن يُحمَلَ‌</w:t>
      </w:r>
      <w:r>
        <w:rPr>
          <w:rStyle w:val="FootnoteAnchor"/>
          <w:rtl w:val="true"/>
        </w:rPr>
        <w:footnoteReference w:id="158"/>
      </w:r>
      <w:r>
        <w:rPr>
          <w:rFonts w:ascii="Amiri" w:hAnsi="Amiri" w:eastAsia="Amiri" w:cs="Amiri"/>
          <w:color w:val="111111"/>
          <w:sz w:val="28"/>
          <w:sz w:val="28"/>
          <w:szCs w:val="28"/>
          <w:rtl w:val="true"/>
          <w:lang w:bidi="ar-SA"/>
        </w:rPr>
        <w:t>علىٰ إمامةِ الصلاةِ أو العِلمِ‌، فغَيرُ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أصحابُنا عن هذا الإلزامِ و أمثالِه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يؤمِنُنا مِن أن يَجوزَ</w:t>
      </w:r>
      <w:r>
        <w:rPr>
          <w:rStyle w:val="FootnoteAnchor"/>
          <w:rtl w:val="true"/>
        </w:rPr>
        <w:footnoteReference w:id="159"/>
      </w:r>
      <w:r>
        <w:rPr>
          <w:rFonts w:ascii="Amiri" w:hAnsi="Amiri" w:eastAsia="Amiri" w:cs="Amiri"/>
          <w:color w:val="111111"/>
          <w:sz w:val="28"/>
          <w:sz w:val="28"/>
          <w:szCs w:val="28"/>
          <w:rtl w:val="true"/>
          <w:lang w:bidi="ar-SA"/>
        </w:rPr>
        <w:t>ما أُلزِمناه مِن التخصيصِ أنّ الذين نَقَلوا إلينا ألفاظَ النُّصوصِ خَبَّرونا بأنّ أسلافَهم خَبَّروهم عن أسلافِهم، إلىٰ أن يَتّصِلَ الخبرُ بزَمانِ الرسولِ صَلّى اللّٰهُ عليه و آلِه، أنّهم</w:t>
      </w:r>
      <w:r>
        <w:rPr>
          <w:rStyle w:val="FootnoteAnchor"/>
          <w:rtl w:val="true"/>
        </w:rPr>
        <w:footnoteReference w:id="160"/>
      </w:r>
      <w:r>
        <w:rPr>
          <w:rFonts w:ascii="Amiri" w:hAnsi="Amiri" w:eastAsia="Amiri" w:cs="Amiri"/>
          <w:color w:val="111111"/>
          <w:sz w:val="28"/>
          <w:sz w:val="28"/>
          <w:szCs w:val="28"/>
          <w:rtl w:val="true"/>
          <w:lang w:bidi="ar-SA"/>
        </w:rPr>
        <w:t>فَهِموا مِن قَصدِه النصَّ علَى الإمامةِ التي قد استقَرَّ في الشريعةِ حُكمُها</w:t>
      </w:r>
    </w:p>
    <w:p>
      <w:pPr>
        <w:pStyle w:val="BookText"/>
        <w:rPr/>
      </w:pPr>
      <w:r>
        <w:rPr>
          <w:rFonts w:ascii="Amiri" w:hAnsi="Amiri" w:eastAsia="Amiri" w:cs="Amiri"/>
          <w:color w:val="111111"/>
          <w:sz w:val="28"/>
          <w:sz w:val="28"/>
          <w:szCs w:val="28"/>
          <w:rtl w:val="true"/>
          <w:lang w:bidi="ar-SA"/>
        </w:rPr>
        <w:t>و صفتُها و عمومُها لسائرِ الوِلاياتِ‌؛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مُرادُه عليه السلامُ ممّا</w:t>
      </w:r>
      <w:r>
        <w:rPr>
          <w:rStyle w:val="FootnoteAnchor"/>
          <w:rtl w:val="true"/>
        </w:rPr>
        <w:footnoteReference w:id="161"/>
      </w:r>
      <w:r>
        <w:rPr>
          <w:rFonts w:ascii="Amiri" w:hAnsi="Amiri" w:eastAsia="Amiri" w:cs="Amiri"/>
          <w:color w:val="111111"/>
          <w:sz w:val="28"/>
          <w:sz w:val="28"/>
          <w:szCs w:val="28"/>
          <w:rtl w:val="true"/>
          <w:lang w:bidi="ar-SA"/>
        </w:rPr>
        <w:t xml:space="preserve">يَصِحُّ أن يَقَعَ الاضطرارُ إليه كما يَصِحُّ أن يَقَعَ </w:t>
      </w:r>
      <w:r>
        <w:rPr>
          <w:rStyle w:val="FootnoteAnchor"/>
          <w:rtl w:val="true"/>
        </w:rPr>
        <w:footnoteReference w:id="162"/>
      </w:r>
      <w:r>
        <w:rPr>
          <w:rFonts w:ascii="Amiri" w:hAnsi="Amiri" w:eastAsia="Amiri" w:cs="Amiri"/>
          <w:color w:val="111111"/>
          <w:sz w:val="28"/>
          <w:sz w:val="28"/>
          <w:szCs w:val="28"/>
          <w:rtl w:val="true"/>
          <w:lang w:bidi="ar-SA"/>
        </w:rPr>
        <w:t>الاضطرارُ إلىٰ خِطابِه و كلامِه، فلَو جَوَّزنا علَى الناقِلينَ الكَذِبَ في أحَدِ الأمرَينِ جَوَّزناه في الآخَرِ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ذهَبَ مِن أصحابِنا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اللفظَ المُحتَمِلَ لأُمورٍ مختَلِفةٍ علىٰ جهةِ الحقيقةِ إذا ارتفَعَ بَيانُ المُخاطِبِ و تخصيصُه مُرادَه بوَجهٍ دونَ وَجهٍ ، يَجِبُ حَملُه علىٰ سائرِ محتَمَلاتِه، إلّاما منَعَ منه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بهذا</w:t>
      </w:r>
      <w:r>
        <w:rPr>
          <w:rStyle w:val="FootnoteAnchor"/>
          <w:rtl w:val="true"/>
        </w:rPr>
        <w:footnoteReference w:id="163"/>
      </w:r>
      <w:r>
        <w:rPr>
          <w:rFonts w:ascii="Amiri" w:hAnsi="Amiri" w:eastAsia="Amiri" w:cs="Amiri"/>
          <w:color w:val="111111"/>
          <w:sz w:val="28"/>
          <w:sz w:val="28"/>
          <w:szCs w:val="28"/>
          <w:rtl w:val="true"/>
          <w:lang w:bidi="ar-SA"/>
        </w:rPr>
        <w:t xml:space="preserve">المَذهَبِ السؤالَ </w:t>
      </w:r>
      <w:bookmarkStart w:id="59" w:name="pg20017_202365"/>
    </w:p>
    <w:p>
      <w:pPr>
        <w:pStyle w:val="BookText"/>
        <w:rPr/>
      </w:pPr>
      <w:bookmarkEnd w:id="59"/>
      <w:r>
        <w:rPr>
          <w:rFonts w:ascii="Amiri" w:hAnsi="Amiri" w:eastAsia="Amiri" w:cs="Amiri"/>
          <w:color w:val="111111"/>
          <w:sz w:val="28"/>
          <w:sz w:val="28"/>
          <w:szCs w:val="28"/>
          <w:rtl w:val="true"/>
          <w:lang w:bidi="ar-SA"/>
        </w:rPr>
        <w:t>عن نفسِه، فنَقولُ‌</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 لسائرِ الوِلاياتِ التي تَستَغرِقُها الإمامةُ الشرعيّةُ‌</w:t>
      </w:r>
      <w:r>
        <w:rPr>
          <w:rStyle w:val="FootnoteAnchor"/>
          <w:rtl w:val="true"/>
        </w:rPr>
        <w:footnoteReference w:id="165"/>
      </w:r>
      <w:r>
        <w:rPr>
          <w:rFonts w:ascii="Amiri" w:hAnsi="Amiri" w:eastAsia="Amiri" w:cs="Amiri"/>
          <w:color w:val="111111"/>
          <w:sz w:val="28"/>
          <w:sz w:val="28"/>
          <w:szCs w:val="28"/>
          <w:rtl w:val="true"/>
          <w:lang w:bidi="ar-SA"/>
        </w:rPr>
        <w:t>كاحتمالِه لبعضِها، و لَم يبيِّنِ الرسولُ صَلّى اللّٰهُ عليه و آلِه</w:t>
      </w:r>
      <w:r>
        <w:rPr>
          <w:rStyle w:val="FootnoteAnchor"/>
          <w:rtl w:val="true"/>
        </w:rPr>
        <w:footnoteReference w:id="166"/>
      </w:r>
      <w:r>
        <w:rPr>
          <w:rFonts w:ascii="Amiri" w:hAnsi="Amiri" w:eastAsia="Amiri" w:cs="Amiri"/>
          <w:color w:val="111111"/>
          <w:sz w:val="28"/>
          <w:sz w:val="28"/>
          <w:szCs w:val="28"/>
          <w:rtl w:val="true"/>
          <w:lang w:bidi="ar-SA"/>
        </w:rPr>
        <w:t>مُرادَه علىٰ سبيلِ التعيينِ و التخصيصِ‌، وَجَبَ أن يُحمَلَ اللفظُ علىٰ جميعِ ما يَحتَمِلُه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غيرُ معتَمَدٍ عندَنا؛ لأنّه مخالِفٌ لأُصولِنا، و مبنيٌّ علىٰ أصلٍ نَعتقِدُ فَسادَه و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 ما يُجابُ به عن السؤالِ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وَجَدنا الأُمّةَ في هذا الخبرِ المخصوصِ الذي تَدَّعيهِ الشيعةُ بَينَ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قولُ مَن نَفاه</w:t>
      </w:r>
      <w:r>
        <w:rPr>
          <w:rStyle w:val="FootnoteAnchor"/>
          <w:rtl w:val="true"/>
        </w:rPr>
        <w:footnoteReference w:id="167"/>
      </w:r>
      <w:r>
        <w:rPr>
          <w:rFonts w:ascii="Amiri" w:hAnsi="Amiri" w:eastAsia="Amiri" w:cs="Amiri"/>
          <w:color w:val="111111"/>
          <w:sz w:val="28"/>
          <w:sz w:val="28"/>
          <w:szCs w:val="28"/>
          <w:rtl w:val="true"/>
          <w:lang w:bidi="ar-SA"/>
        </w:rPr>
        <w:t>و حَكَمَ ببُطلانِه، و الآخَرُ قولُ مَن أثبَتَه و قَطَعَ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وَجَدنا كُلَّ مَن قَطَعَ علىٰ صحّتِه لا يفرِّقُ </w:t>
      </w:r>
      <w:r>
        <w:rPr>
          <w:rStyle w:val="FootnoteAnchor"/>
          <w:rtl w:val="true"/>
        </w:rPr>
        <w:footnoteReference w:id="168"/>
      </w:r>
      <w:r>
        <w:rPr>
          <w:rFonts w:ascii="Amiri" w:hAnsi="Amiri" w:eastAsia="Amiri" w:cs="Amiri"/>
          <w:color w:val="111111"/>
          <w:sz w:val="28"/>
          <w:sz w:val="28"/>
          <w:szCs w:val="28"/>
          <w:rtl w:val="true"/>
          <w:lang w:bidi="ar-SA"/>
        </w:rPr>
        <w:t xml:space="preserve">في تَناوُلِه للإمامةِ بَينَ وِلايةٍ و غيرِها، بَل يَحكُمُ باستيعابِه لجميعِ </w:t>
      </w:r>
      <w:r>
        <w:rPr>
          <w:rStyle w:val="FootnoteAnchor"/>
          <w:rtl w:val="true"/>
        </w:rPr>
        <w:footnoteReference w:id="169"/>
      </w:r>
      <w:r>
        <w:rPr>
          <w:rFonts w:ascii="Amiri" w:hAnsi="Amiri" w:eastAsia="Amiri" w:cs="Amiri"/>
          <w:color w:val="111111"/>
          <w:sz w:val="28"/>
          <w:sz w:val="28"/>
          <w:szCs w:val="28"/>
          <w:rtl w:val="true"/>
          <w:lang w:bidi="ar-SA"/>
        </w:rPr>
        <w:t>الوِلاياتِ التي تدخُلُ تَحتَ الإمامةِ الشرعيّةِ ، و لا يميِّزُ بَينَ عِلمٍ و صلاةٍ و غيرِهما؛ فالقولُ بإثباتِ الخبرِ مع التخصيصِ قولٌ خارجٌ عن أقوالِ الأُمّةِ المستقِرّةِ ، فوجَبَ اطِّراحُه</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964035_2320776876"/>
      <w:bookmarkStart w:id="61" w:name="_Toc21"/>
      <w:bookmarkEnd w:id="60"/>
      <w:r>
        <w:rPr>
          <w:rtl w:val="true"/>
        </w:rPr>
        <w:t xml:space="preserve">وجود عُرف شرعيّ في لفظ </w:t>
      </w:r>
      <w:r>
        <w:rPr>
          <w:rtl w:val="true"/>
        </w:rPr>
        <w:t>«</w:t>
      </w:r>
      <w:r>
        <w:rPr>
          <w:rtl w:val="true"/>
        </w:rPr>
        <w:t>الإمام</w:t>
      </w:r>
      <w:r>
        <w:rPr>
          <w:rtl w:val="true"/>
        </w:rPr>
        <w:t>»</w:t>
      </w:r>
      <w:bookmarkEnd w:id="6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نفيُه أن يَكونَ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شرعيٌّ‌،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حصَلَ التعارُفُ فيها باصطِلاحِ أربابِ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طَريقٌ إلىٰ نفيِ العُرفِ الشرعيِّ في جميعِ الألفاظِ الشرعيّةِ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الصلاةِ و الزكاةِ لَيسَ بشَرعيٍّ ، و إنّما اصطلَحَ علىٰ معنىٰ هذه الألفاظِ أربابُ المَذاهِبِ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w:t>
      </w:r>
      <w:r>
        <w:rPr>
          <w:rStyle w:val="FootnoteAnchor"/>
          <w:rtl w:val="true"/>
        </w:rPr>
        <w:footnoteReference w:id="170"/>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إخراجُ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أشبَهَها مِن عُرفِ الشرعِ و قد وَرَدَ الكتابُ و السُّنّةُ بذِكرِها، و فَهِمَ المخاطَبونَ مِن جميعِ ألفاظِ الكتابِ و السُّنّةِ هذه الأفعالَ المخصوصةَ؟</w:t>
      </w:r>
    </w:p>
    <w:p>
      <w:pPr>
        <w:pStyle w:val="BookText"/>
        <w:rPr/>
      </w:pPr>
      <w:r>
        <w:rPr>
          <w:rFonts w:ascii="Amiri" w:hAnsi="Amiri" w:eastAsia="Amiri" w:cs="Amiri"/>
          <w:color w:val="111111"/>
          <w:sz w:val="28"/>
          <w:sz w:val="28"/>
          <w:szCs w:val="28"/>
          <w:rtl w:val="true"/>
          <w:lang w:bidi="ar-SA"/>
        </w:rPr>
        <w:t>قُلنا</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يُنفىٰ‌</w:t>
      </w:r>
      <w:r>
        <w:rPr>
          <w:rStyle w:val="FootnoteAnchor"/>
          <w:rtl w:val="true"/>
        </w:rPr>
        <w:footnoteReference w:id="172"/>
      </w:r>
      <w:r>
        <w:rPr>
          <w:rFonts w:ascii="Amiri" w:hAnsi="Amiri" w:eastAsia="Amiri" w:cs="Amiri"/>
          <w:color w:val="111111"/>
          <w:sz w:val="28"/>
          <w:sz w:val="28"/>
          <w:szCs w:val="28"/>
          <w:rtl w:val="true"/>
          <w:lang w:bidi="ar-SA"/>
        </w:rPr>
        <w:t xml:space="preserve">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شرعيّاً و يُدَّعَى اصطلاحُ أهلِ المَذاهبِ‌، و قد ورَدَ الكتابُ و السُّنّةُ بلفظِ الإمامةِ‌، و فَهِمَ المخاطَبونَ منها الإمامةَ الشرعيّةَ؟</w:t>
      </w:r>
    </w:p>
    <w:p>
      <w:pPr>
        <w:pStyle w:val="BookText"/>
        <w:rPr/>
      </w:pPr>
      <w:r>
        <w:rPr>
          <w:rFonts w:ascii="Amiri" w:hAnsi="Amiri" w:eastAsia="Amiri" w:cs="Amiri"/>
          <w:color w:val="111111"/>
          <w:sz w:val="28"/>
          <w:sz w:val="28"/>
          <w:szCs w:val="28"/>
          <w:rtl w:val="true"/>
          <w:lang w:bidi="ar-SA"/>
        </w:rPr>
        <w:t>فممّا ورَدَ به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 وَ 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ورَدَ في</w:t>
      </w:r>
      <w:r>
        <w:rPr>
          <w:rStyle w:val="FootnoteAnchor"/>
          <w:rtl w:val="true"/>
        </w:rPr>
        <w:footnoteReference w:id="174"/>
      </w:r>
      <w:r>
        <w:rPr>
          <w:rFonts w:ascii="Amiri" w:hAnsi="Amiri" w:eastAsia="Amiri" w:cs="Amiri"/>
          <w:color w:val="111111"/>
          <w:sz w:val="28"/>
          <w:sz w:val="28"/>
          <w:szCs w:val="28"/>
          <w:rtl w:val="true"/>
          <w:lang w:bidi="ar-SA"/>
        </w:rPr>
        <w:t>السُّنّةِ‌</w:t>
      </w:r>
      <w:r>
        <w:rPr>
          <w:rStyle w:val="FootnoteAnchor"/>
          <w:rtl w:val="true"/>
        </w:rPr>
        <w:footnoteReference w:id="175"/>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فَهِمَ السامعونَ لهذا القولِ‌</w:t>
      </w:r>
      <w:r>
        <w:rPr>
          <w:rStyle w:val="FootnoteAnchor"/>
          <w:rtl w:val="true"/>
        </w:rPr>
        <w:footnoteReference w:id="176"/>
      </w:r>
      <w:r>
        <w:rPr>
          <w:rFonts w:ascii="Amiri" w:hAnsi="Amiri" w:eastAsia="Amiri" w:cs="Amiri"/>
          <w:color w:val="111111"/>
          <w:sz w:val="28"/>
          <w:sz w:val="28"/>
          <w:szCs w:val="28"/>
          <w:rtl w:val="true"/>
          <w:lang w:bidi="ar-SA"/>
        </w:rPr>
        <w:t>و المخاطَبونَ به</w:t>
      </w:r>
      <w:r>
        <w:rPr>
          <w:rStyle w:val="FootnoteAnchor"/>
          <w:rtl w:val="true"/>
        </w:rPr>
        <w:footnoteReference w:id="177"/>
      </w:r>
      <w:r>
        <w:rPr>
          <w:rFonts w:ascii="Amiri" w:hAnsi="Amiri" w:eastAsia="Amiri" w:cs="Amiri"/>
          <w:color w:val="111111"/>
          <w:sz w:val="28"/>
          <w:sz w:val="28"/>
          <w:szCs w:val="28"/>
          <w:rtl w:val="true"/>
          <w:lang w:bidi="ar-SA"/>
        </w:rPr>
        <w:t>منه الإمامةَ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جازَ لكم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فَهِموا ذلكَ لا مِن قِبَلِ الظاهرِ، جازَ أن يُقالَ‌</w:t>
      </w:r>
      <w:r>
        <w:rPr>
          <w:rStyle w:val="FootnoteAnchor"/>
          <w:rtl w:val="true"/>
        </w:rPr>
        <w:footnoteReference w:id="178"/>
      </w:r>
      <w:r>
        <w:rPr>
          <w:rFonts w:ascii="Amiri" w:hAnsi="Amiri" w:eastAsia="Amiri" w:cs="Amiri"/>
          <w:color w:val="111111"/>
          <w:sz w:val="28"/>
          <w:sz w:val="28"/>
          <w:szCs w:val="28"/>
          <w:rtl w:val="true"/>
          <w:lang w:bidi="ar-SA"/>
        </w:rPr>
        <w:t>في جميعِ ما فَهِموه مِن معنىٰ لفظِ الصلاةِ و الزكاةِ و جميعِ الألفاظِ التي تُنسَبُ إلىٰ عُرفِ الشَّرعِ أنّهم لَم يَفهَموا مَعانيَها المخصوصةَ بالظاهرِ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يبيِّنُ أنّ الطريقَ إلىٰ إثباتِ العُرفِ الشرعيِّ في سائرِ الألفاظِ ثابتٌ في لَفظِ الإمامةِ‌، و أنّ </w:t>
      </w:r>
      <w:r>
        <w:rPr>
          <w:rStyle w:val="FootnoteAnchor"/>
          <w:rtl w:val="true"/>
        </w:rPr>
        <w:footnoteReference w:id="179"/>
      </w:r>
      <w:r>
        <w:rPr>
          <w:rFonts w:ascii="Amiri" w:hAnsi="Amiri" w:eastAsia="Amiri" w:cs="Amiri"/>
          <w:color w:val="111111"/>
          <w:sz w:val="28"/>
          <w:sz w:val="28"/>
          <w:szCs w:val="28"/>
          <w:rtl w:val="true"/>
          <w:lang w:bidi="ar-SA"/>
        </w:rPr>
        <w:t xml:space="preserve">القادِحَ في كَونِها شرعيّةً قادحٌ في جميعِ ألفاظِ الشرعِ </w:t>
      </w:r>
      <w:r>
        <w:rPr>
          <w:rFonts w:eastAsia="Amiri" w:cs="Amiri" w:ascii="Amiri" w:hAnsi="Amiri"/>
          <w:color w:val="111111"/>
          <w:sz w:val="28"/>
          <w:szCs w:val="28"/>
          <w:rtl w:val="true"/>
          <w:lang w:bidi="ar-SA"/>
        </w:rPr>
        <w:t xml:space="preserve">. </w:t>
      </w:r>
      <w:bookmarkStart w:id="62" w:name="pg20017_202367"/>
    </w:p>
    <w:p>
      <w:pPr>
        <w:pStyle w:val="Heading4"/>
        <w:numPr>
          <w:ilvl w:val="3"/>
          <w:numId w:val="1"/>
        </w:numPr>
        <w:rPr/>
      </w:pPr>
      <w:bookmarkStart w:id="63" w:name="__RefHeading___Toc964037_2320776876"/>
      <w:bookmarkStart w:id="64" w:name="_Toc22"/>
      <w:bookmarkEnd w:id="62"/>
      <w:bookmarkEnd w:id="63"/>
      <w:r>
        <w:rPr>
          <w:rtl w:val="true"/>
        </w:rPr>
        <w:t xml:space="preserve">استعمال الصحابة للفظ </w:t>
      </w:r>
      <w:r>
        <w:rPr>
          <w:rtl w:val="true"/>
        </w:rPr>
        <w:t>«</w:t>
      </w:r>
      <w:r>
        <w:rPr>
          <w:rtl w:val="true"/>
        </w:rPr>
        <w:t>الإمامة</w:t>
      </w:r>
      <w:r>
        <w:rPr>
          <w:rtl w:val="true"/>
        </w:rPr>
        <w:t xml:space="preserve">» </w:t>
      </w:r>
      <w:r>
        <w:rPr>
          <w:rtl w:val="true"/>
        </w:rPr>
        <w:t>في حقّ ولاة الأمر</w:t>
      </w:r>
      <w:bookmarkEnd w:id="64"/>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لَم يُسَمّوا بالإمامةِ‌</w:t>
      </w:r>
      <w:r>
        <w:rPr>
          <w:rStyle w:val="FootnoteAnchor"/>
          <w:rtl w:val="true"/>
        </w:rPr>
        <w:footnoteReference w:id="180"/>
      </w:r>
      <w:r>
        <w:rPr>
          <w:rFonts w:ascii="Amiri" w:hAnsi="Amiri" w:eastAsia="Amiri" w:cs="Amiri"/>
          <w:color w:val="111111"/>
          <w:sz w:val="28"/>
          <w:sz w:val="28"/>
          <w:szCs w:val="28"/>
          <w:rtl w:val="true"/>
          <w:lang w:bidi="ar-SA"/>
        </w:rPr>
        <w:t>أحَداً مِن وُلاةِ الأمر، و إنّهم عَدَلوا عن لفظِ الإمامِ إلىٰ لفظِ الخَليفةِ و الأميرِ</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بيّنّا أنّهم قد استَعمَلوا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الإنباءِ عن الوِلايةِ المخصوصةِ‌، كما استَعمَلوا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و استَدلَلنا بما رَوَوه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فَهِمَ جميعُهم معنَى الإمامةِ الشرعيّةِ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يَجِبُ إذا استَعمَلوا لفظَ الإمامةِ في مَوضعٍ أن لا يَستَعمِلوا غيرَه ممّا يَقومُ مَقامَه في مَوضعٍ آخَرَ، و لفظةُ‌</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إمرةِ‌</w:t>
      </w:r>
      <w:r>
        <w:rPr>
          <w:rStyle w:val="FootnoteAnchor"/>
          <w:rtl w:val="true"/>
        </w:rPr>
        <w:footnoteReference w:id="184"/>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w:t>
      </w:r>
      <w:r>
        <w:rPr>
          <w:rStyle w:val="FootnoteAnchor"/>
          <w:rtl w:val="true"/>
        </w:rPr>
        <w:footnoteReference w:id="185"/>
      </w:r>
      <w:r>
        <w:rPr>
          <w:rFonts w:ascii="Amiri" w:hAnsi="Amiri" w:eastAsia="Amiri" w:cs="Amiri"/>
          <w:color w:val="111111"/>
          <w:sz w:val="28"/>
          <w:sz w:val="28"/>
          <w:szCs w:val="28"/>
          <w:rtl w:val="true"/>
          <w:lang w:bidi="ar-SA"/>
        </w:rPr>
        <w:t>مَقامَ سائِرِ ألفاظِ الإمامةِ‌</w:t>
      </w:r>
      <w:r>
        <w:rPr>
          <w:rStyle w:val="FootnoteAnchor"/>
          <w:rtl w:val="true"/>
        </w:rPr>
        <w:footnoteReference w:id="186"/>
      </w:r>
      <w:r>
        <w:rPr>
          <w:rFonts w:ascii="Amiri" w:hAnsi="Amiri" w:eastAsia="Amiri" w:cs="Amiri"/>
          <w:color w:val="111111"/>
          <w:sz w:val="28"/>
          <w:sz w:val="28"/>
          <w:szCs w:val="28"/>
          <w:rtl w:val="true"/>
          <w:lang w:bidi="ar-SA"/>
        </w:rPr>
        <w:t>في عُرفِهم و تُنبئُ عن معناها، فهُم مخيَّرونَ بَينَ جميعِ هذه الألفاظِ، و مستعمِلونَ لِما حَسُنَ عندَهم</w:t>
      </w:r>
    </w:p>
    <w:p>
      <w:pPr>
        <w:pStyle w:val="BookText"/>
        <w:rPr/>
      </w:pPr>
      <w:r>
        <w:rPr>
          <w:rFonts w:ascii="IRNazanin" w:hAnsi="IRNazanin" w:eastAsia="IRNazanin"/>
          <w:color w:val="111111"/>
          <w:sz w:val="28"/>
          <w:sz w:val="28"/>
          <w:szCs w:val="28"/>
          <w:rtl w:val="true"/>
          <w:lang w:bidi="fa-IR"/>
        </w:rPr>
        <w:t>استعمالُه منها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يَكونُ في كلامِه شُبهةٌ لَو كانوا لَمّا استَعمَلوا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يَستَعملوا لَفظَ</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في مَوضِعٍ مِن المَواضعِ ، فأمّا مع استعمالِهم</w:t>
      </w:r>
      <w:r>
        <w:rPr>
          <w:rStyle w:val="FootnoteAnchor"/>
          <w:rtl w:val="true"/>
        </w:rPr>
        <w:footnoteReference w:id="189"/>
      </w:r>
      <w:r>
        <w:rPr>
          <w:rFonts w:ascii="Amiri" w:hAnsi="Amiri" w:eastAsia="Amiri" w:cs="Amiri"/>
          <w:color w:val="111111"/>
          <w:sz w:val="28"/>
          <w:sz w:val="28"/>
          <w:szCs w:val="28"/>
          <w:rtl w:val="true"/>
          <w:lang w:bidi="ar-SA"/>
        </w:rPr>
        <w:t xml:space="preserve">للكُلِّ فلا شُبهةَ </w:t>
      </w:r>
      <w:r>
        <w:rPr>
          <w:rFonts w:eastAsia="Amiri" w:cs="Amiri" w:ascii="Amiri" w:hAnsi="Amiri"/>
          <w:color w:val="111111"/>
          <w:sz w:val="28"/>
          <w:szCs w:val="28"/>
          <w:rtl w:val="true"/>
          <w:lang w:bidi="ar-SA"/>
        </w:rPr>
        <w:t xml:space="preserve">. </w:t>
      </w:r>
      <w:bookmarkStart w:id="65" w:name="pg20017_202368"/>
    </w:p>
    <w:p>
      <w:pPr>
        <w:pStyle w:val="Heading4"/>
        <w:numPr>
          <w:ilvl w:val="3"/>
          <w:numId w:val="1"/>
        </w:numPr>
        <w:rPr/>
      </w:pPr>
      <w:bookmarkStart w:id="66" w:name="__RefHeading___Toc964039_2320776876"/>
      <w:bookmarkStart w:id="67" w:name="_Toc23"/>
      <w:bookmarkEnd w:id="65"/>
      <w:bookmarkEnd w:id="66"/>
      <w:r>
        <w:rPr>
          <w:rtl w:val="true"/>
        </w:rPr>
        <w:t>إبطال أن يكون النصّ ناظراً إلىٰ إثبات إمامة أمير المؤمنين عليه السلام بعد عثمان خاصّة، لا قبله</w:t>
      </w:r>
      <w:bookmarkEnd w:id="67"/>
    </w:p>
    <w:p>
      <w:pPr>
        <w:pStyle w:val="BookText"/>
        <w:rPr/>
      </w:pPr>
      <w:r>
        <w:rPr>
          <w:rFonts w:ascii="Amiri" w:hAnsi="Amiri" w:eastAsia="Amiri" w:cs="Amiri"/>
          <w:color w:val="111111"/>
          <w:sz w:val="28"/>
          <w:sz w:val="28"/>
          <w:szCs w:val="28"/>
          <w:rtl w:val="true"/>
          <w:lang w:bidi="ar-SA"/>
        </w:rPr>
        <w:t xml:space="preserve">فإن قالَ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أجَبتُم عمّن خصَّصَ الوِلايةَ و قصَرَها علىٰ بعضٍ دونَ بعضٍ ، فما جوابُكم لِمَن ألزَمَكم تخصيصَ الأحوالِ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أن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عُثمانَ ، فيَكونَ مستَعمِلاً للخبرِ علَى الوجهِ الذي يَشهَدُ له الإجماعُ؟</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يسقُطُ بالأجوبةِ الثلاثةِ التي تَقدَّمَ ذِكرُها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فأحَدُها</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نقلِ ما فُهِمَ مِن مُرادِ النبيِّ صَلّى اللّٰهُ عليه و آلِه و العِلمِ بقَصدِه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اللفظِ علىٰ جميعِ محتَمَلاتِه إلّاما منَعَ منه الدليلُ‌، علىٰ مَذهبِ مَن يَرىٰ ذلكَ‌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طريقةُ‌</w:t>
      </w:r>
      <w:r>
        <w:rPr>
          <w:rStyle w:val="FootnoteAnchor"/>
          <w:rtl w:val="true"/>
        </w:rPr>
        <w:footnoteReference w:id="193"/>
      </w:r>
      <w:r>
        <w:rPr>
          <w:rFonts w:ascii="Amiri" w:hAnsi="Amiri" w:eastAsia="Amiri" w:cs="Amiri"/>
          <w:color w:val="111111"/>
          <w:sz w:val="28"/>
          <w:sz w:val="28"/>
          <w:szCs w:val="28"/>
          <w:rtl w:val="true"/>
          <w:lang w:bidi="ar-SA"/>
        </w:rPr>
        <w:t>اعتبارِه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الأُمّةَ مُجمعةٌ </w:t>
      </w:r>
      <w:r>
        <w:rPr>
          <w:rStyle w:val="FootnoteAnchor"/>
          <w:rtl w:val="true"/>
        </w:rPr>
        <w:footnoteReference w:id="194"/>
      </w:r>
      <w:r>
        <w:rPr>
          <w:rFonts w:ascii="Amiri" w:hAnsi="Amiri" w:eastAsia="Amiri" w:cs="Amiri"/>
          <w:color w:val="111111"/>
          <w:sz w:val="28"/>
          <w:sz w:val="28"/>
          <w:szCs w:val="28"/>
          <w:rtl w:val="true"/>
          <w:lang w:bidi="ar-SA"/>
        </w:rPr>
        <w:t>علىٰ أنّ النبيَّ صَلّى اللّٰهُ عليه و آلِه لَم ينُصَّ علىٰ أميرِ المؤمِنينَ عليه السلامُ بالإمامةِ نصّاً يَتَناوَلُ الحالَ التي هي</w:t>
      </w:r>
      <w:r>
        <w:rPr>
          <w:rStyle w:val="FootnoteAnchor"/>
          <w:rtl w:val="true"/>
        </w:rPr>
        <w:footnoteReference w:id="195"/>
      </w:r>
      <w:r>
        <w:rPr>
          <w:rFonts w:ascii="Amiri" w:hAnsi="Amiri" w:eastAsia="Amiri" w:cs="Amiri"/>
          <w:color w:val="111111"/>
          <w:sz w:val="28"/>
          <w:sz w:val="28"/>
          <w:szCs w:val="28"/>
          <w:rtl w:val="true"/>
          <w:lang w:bidi="ar-SA"/>
        </w:rPr>
        <w:t xml:space="preserve">بَعدَ قَتلِ عُثمانَ ، دونَ ما قَبلَها مِن الأحوالِ ؛ لأنّ مَن نفَى النصَّ جُملةً مِن المخالِفينَ يَمنَعُ مِن حصولِ الإمامةِ لأميرِ المؤمِنينَ </w:t>
      </w:r>
      <w:r>
        <w:rPr>
          <w:rStyle w:val="FootnoteAnchor"/>
          <w:rtl w:val="true"/>
        </w:rPr>
        <w:footnoteReference w:id="196"/>
      </w:r>
      <w:r>
        <w:rPr>
          <w:rFonts w:ascii="Amiri" w:hAnsi="Amiri" w:eastAsia="Amiri" w:cs="Amiri"/>
          <w:color w:val="111111"/>
          <w:sz w:val="28"/>
          <w:sz w:val="28"/>
          <w:szCs w:val="28"/>
          <w:rtl w:val="true"/>
          <w:lang w:bidi="ar-SA"/>
        </w:rPr>
        <w:t xml:space="preserve">عليه السلامُ في تلكَ الحالِ بالنصِّ و يُثبِتُها بالاختيارِ، و مَن ذهَبَ إلَى النصِّ لا يخُصُّ تلكَ الحالَ دونَ ما تَقدَّمَها؛ فالقولُ بأنّ النصَّ تَناوَلَ تلكَ الحالَ دونَ ما قَبلَها </w:t>
      </w:r>
      <w:bookmarkStart w:id="68" w:name="pg20017_202369"/>
    </w:p>
    <w:p>
      <w:pPr>
        <w:pStyle w:val="BookText"/>
        <w:rPr/>
      </w:pPr>
      <w:bookmarkEnd w:id="68"/>
      <w:r>
        <w:rPr>
          <w:rFonts w:ascii="Amiri" w:hAnsi="Amiri" w:eastAsia="Amiri" w:cs="Amiri"/>
          <w:color w:val="111111"/>
          <w:sz w:val="28"/>
          <w:sz w:val="28"/>
          <w:szCs w:val="28"/>
          <w:rtl w:val="true"/>
          <w:lang w:bidi="ar-SA"/>
        </w:rPr>
        <w:t xml:space="preserve">خارجٌ </w:t>
      </w:r>
      <w:r>
        <w:rPr>
          <w:rStyle w:val="FootnoteAnchor"/>
          <w:rtl w:val="true"/>
        </w:rPr>
        <w:footnoteReference w:id="197"/>
      </w:r>
      <w:r>
        <w:rPr>
          <w:rFonts w:ascii="IRNazanin" w:hAnsi="IRNazanin" w:eastAsia="IRNazanin"/>
          <w:color w:val="111111"/>
          <w:sz w:val="28"/>
          <w:sz w:val="28"/>
          <w:szCs w:val="28"/>
          <w:rtl w:val="true"/>
          <w:lang w:bidi="fa-IR"/>
        </w:rPr>
        <w:t>عن</w:t>
      </w:r>
      <w:r>
        <w:rPr>
          <w:rStyle w:val="FootnoteAnchor"/>
          <w:rtl w:val="true"/>
        </w:rPr>
        <w:footnoteReference w:id="198"/>
      </w:r>
      <w:r>
        <w:rPr>
          <w:rFonts w:ascii="Amiri" w:hAnsi="Amiri" w:eastAsia="Amiri" w:cs="Amiri"/>
          <w:color w:val="111111"/>
          <w:sz w:val="28"/>
          <w:sz w:val="28"/>
          <w:szCs w:val="28"/>
          <w:rtl w:val="true"/>
          <w:lang w:bidi="ar-SA"/>
        </w:rPr>
        <w:t>الإجماعِ و الأقوالِ المستقِرّةِ فيه</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964041_2320776876"/>
      <w:bookmarkStart w:id="70" w:name="_Toc24"/>
      <w:bookmarkEnd w:id="69"/>
      <w:r>
        <w:rPr>
          <w:rtl w:val="true"/>
        </w:rPr>
        <w:t>إثبات كون النصّ أمراً و إيجاباً، لا إخباراً عن المستقبل</w:t>
      </w:r>
      <w:bookmarkEnd w:id="70"/>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الجوابُ لِمَن حمَلَ ما يَروونَه مِن ألفاظِ</w:t>
      </w:r>
      <w:r>
        <w:rPr>
          <w:rStyle w:val="FootnoteAnchor"/>
          <w:rtl w:val="true"/>
        </w:rPr>
        <w:footnoteReference w:id="199"/>
      </w: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شاكَلَه مِن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الخبرِ دونَ الأمرِ و الإيجابِ؟ فكأنّه عليه</w:t>
      </w:r>
    </w:p>
    <w:p>
      <w:pPr>
        <w:pStyle w:val="BookText"/>
        <w:rPr/>
      </w:pPr>
      <w:r>
        <w:rPr>
          <w:rFonts w:ascii="Amiri" w:hAnsi="Amiri" w:eastAsia="Amiri" w:cs="Amiri"/>
          <w:color w:val="111111"/>
          <w:sz w:val="28"/>
          <w:sz w:val="28"/>
          <w:szCs w:val="28"/>
          <w:rtl w:val="true"/>
          <w:lang w:bidi="ar-SA"/>
        </w:rPr>
        <w:t xml:space="preserve">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سيَكونُ بَعدي إماماً في الحالِ التي عُقِدَت له الإمامةُ فيها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ثُبوتُ الإمامةِ </w:t>
      </w:r>
      <w:r>
        <w:rPr>
          <w:rStyle w:val="FootnoteAnchor"/>
          <w:rtl w:val="true"/>
        </w:rPr>
        <w:footnoteReference w:id="200"/>
      </w:r>
      <w:r>
        <w:rPr>
          <w:rFonts w:ascii="Amiri" w:hAnsi="Amiri" w:eastAsia="Amiri" w:cs="Amiri"/>
          <w:color w:val="111111"/>
          <w:sz w:val="28"/>
          <w:sz w:val="28"/>
          <w:szCs w:val="28"/>
          <w:rtl w:val="true"/>
          <w:lang w:bidi="ar-SA"/>
        </w:rPr>
        <w:t>بالعقدِ له، لا مِن جهةِ قولِ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يسقُطُ بطريقةِ اعتبارِ ما فَهِمَه الناقِلونَ مِن مُرادِه عليه السلامُ ؛ لأنّ مَن نقَلَ ألفاظَ النصِّ ينقُلُ عن أسلافِه أنّهم ذَكَروا عن أسلافِهم حتّىٰ يَتّصِلَ النقلُ بزَمانِ الرسولِ صَلّى اللّٰهُ عليه و آلِه أنّهم فَهِموا مِن مُرادِه عليه السلامُ بألفاظِ النصِّ الإيجابَ و الاستخلافَ ، دونَ الخبرِ عمّا سيَكونُ </w:t>
      </w:r>
      <w:r>
        <w:rPr>
          <w:rStyle w:val="FootnoteAnchor"/>
          <w:rtl w:val="true"/>
        </w:rPr>
        <w:footnoteReference w:id="201"/>
      </w:r>
      <w:r>
        <w:rPr>
          <w:rFonts w:ascii="Amiri" w:hAnsi="Amiri" w:eastAsia="Amiri" w:cs="Amiri"/>
          <w:color w:val="111111"/>
          <w:sz w:val="28"/>
          <w:sz w:val="28"/>
          <w:szCs w:val="28"/>
          <w:rtl w:val="true"/>
          <w:lang w:bidi="ar-SA"/>
        </w:rPr>
        <w:t xml:space="preserve">في المستقبَلِ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يسقُطُ أيضاً بطريقةِ حَملِ اللفظِ علىٰ سائرِ محتَمَلاتِه علىٰ مَذهبِ مَن يَراه؛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إمامُكم مِن</w:t>
      </w:r>
      <w:r>
        <w:rPr>
          <w:rStyle w:val="FootnoteAnchor"/>
          <w:rtl w:val="true"/>
        </w:rPr>
        <w:footnoteReference w:id="202"/>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خبراً، أو أمراً و إيجاباً</w:t>
      </w:r>
      <w:r>
        <w:rPr>
          <w:rStyle w:val="FootnoteAnchor"/>
          <w:rtl w:val="true"/>
        </w:rPr>
        <w:footnoteReference w:id="203"/>
      </w:r>
      <w:r>
        <w:rPr>
          <w:rFonts w:ascii="Amiri" w:hAnsi="Amiri" w:eastAsia="Amiri" w:cs="Amiri"/>
          <w:color w:val="111111"/>
          <w:sz w:val="28"/>
          <w:sz w:val="28"/>
          <w:szCs w:val="28"/>
          <w:rtl w:val="true"/>
          <w:lang w:bidi="ar-SA"/>
        </w:rPr>
        <w:t xml:space="preserve">فلا مانعَ </w:t>
      </w:r>
      <w:r>
        <w:rPr>
          <w:rStyle w:val="FootnoteAnchor"/>
          <w:rtl w:val="true"/>
        </w:rPr>
        <w:footnoteReference w:id="204"/>
      </w:r>
      <w:r>
        <w:rPr>
          <w:rFonts w:ascii="Amiri" w:hAnsi="Amiri" w:eastAsia="Amiri" w:cs="Amiri"/>
          <w:color w:val="111111"/>
          <w:sz w:val="28"/>
          <w:sz w:val="28"/>
          <w:szCs w:val="28"/>
          <w:rtl w:val="true"/>
          <w:lang w:bidi="ar-SA"/>
        </w:rPr>
        <w:t xml:space="preserve">يَمنَعُ مِن أن يريدَ المُخاطِبُ به الأمرَينِ </w:t>
      </w:r>
    </w:p>
    <w:p>
      <w:pPr>
        <w:pStyle w:val="BookText"/>
        <w:rPr/>
      </w:pP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أنّ اللفظةَ الواحدةَ يَجوزُ أن يَقصِدَ بها قائلُها إلَى المعاني المختَلِفةِ التي لا يَمنَعُ مِن إرادتِه لها علَى الاجتماعِ مانعٌ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اعترَضَ به السائلُ لا يَسوغُ في جميعِ الألفاظِ المنقولةِ في النصِّ‌، و لا يَصِحُّ حَملُها علَى الخبرِ دونَ الإيجابِ‌؛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سَلِّموا علىٰ عليٍّ بإمرةِ المؤمِنينَ‌</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لا يَجوزُ أن يَكونَ خبراً عمّا يَكونُ في المستقبَلِ‌؛ لأنّه يدُلُّ علَى استحقاقِه مَنزِلةَ إمرةِ المؤمنينَ في الحالِ‌؛ بدَلالةِ الأمرِ بالتسليمِ المتضمِّنِ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إشارةً إلىٰ ما يقَعُ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نَعلَمُ أنّ الذي يَحصُلُ في المستقبَلِ و لمّا حَصَلَ سببُه غيرُ مستَحَقٍّ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الكلامُ‌، و لَما جازَ أن يأمُرَ عليه السلامُ بالتسليمِ المقتَضي لحُصولِ الاستحقاقِ و سببِه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يُبايِعْني يَكُن أخي و وَصيّي و خَليفَتي مِن بَعدي</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لا يَصِحُّ أن يَكونَ خبراً عمّا يقَعُ في المستقبَلِ‌؛ لأنه عليه السلامُ جعَلَ المَنازِلَ المذكورةَ جَزاءً‌</w:t>
      </w:r>
      <w:r>
        <w:rPr>
          <w:rStyle w:val="FootnoteAnchor"/>
          <w:rtl w:val="true"/>
        </w:rPr>
        <w:footnoteReference w:id="207"/>
      </w:r>
      <w:r>
        <w:rPr>
          <w:rFonts w:ascii="Amiri" w:hAnsi="Amiri" w:eastAsia="Amiri" w:cs="Amiri"/>
          <w:color w:val="111111"/>
          <w:sz w:val="28"/>
          <w:sz w:val="28"/>
          <w:szCs w:val="28"/>
          <w:rtl w:val="true"/>
          <w:lang w:bidi="ar-SA"/>
        </w:rPr>
        <w:t>علىٰ ما</w:t>
      </w:r>
      <w:r>
        <w:rPr>
          <w:rStyle w:val="FootnoteAnchor"/>
          <w:rtl w:val="true"/>
        </w:rPr>
        <w:footnoteReference w:id="208"/>
      </w:r>
      <w:r>
        <w:rPr>
          <w:rFonts w:ascii="Amiri" w:hAnsi="Amiri" w:eastAsia="Amiri" w:cs="Amiri"/>
          <w:color w:val="111111"/>
          <w:sz w:val="28"/>
          <w:sz w:val="28"/>
          <w:szCs w:val="28"/>
          <w:rtl w:val="true"/>
          <w:lang w:bidi="ar-SA"/>
        </w:rPr>
        <w:t>دَعا إليه مِن مُبايَعَتِه، و أخرَجَه</w:t>
      </w:r>
      <w:r>
        <w:rPr>
          <w:rStyle w:val="FootnoteAnchor"/>
          <w:rtl w:val="true"/>
        </w:rPr>
        <w:footnoteReference w:id="209"/>
      </w:r>
      <w:r>
        <w:rPr>
          <w:rFonts w:ascii="Amiri" w:hAnsi="Amiri" w:eastAsia="Amiri" w:cs="Amiri"/>
          <w:color w:val="111111"/>
          <w:sz w:val="28"/>
          <w:sz w:val="28"/>
          <w:szCs w:val="28"/>
          <w:rtl w:val="true"/>
          <w:lang w:bidi="ar-SA"/>
        </w:rPr>
        <w:t>مَخرَجَ الترغيبِ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جعَلَ المَنازِلَ جَزاءً </w:t>
      </w:r>
      <w:r>
        <w:rPr>
          <w:rStyle w:val="FootnoteAnchor"/>
          <w:rtl w:val="true"/>
        </w:rPr>
        <w:footnoteReference w:id="210"/>
      </w:r>
      <w:r>
        <w:rPr>
          <w:rFonts w:ascii="Amiri" w:hAnsi="Amiri" w:eastAsia="Amiri" w:cs="Amiri"/>
          <w:color w:val="111111"/>
          <w:sz w:val="28"/>
          <w:sz w:val="28"/>
          <w:szCs w:val="28"/>
          <w:rtl w:val="true"/>
          <w:lang w:bidi="ar-SA"/>
        </w:rPr>
        <w:t>عليه</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لا يَصِحُّ إذا حُمِلَ اللفظُ علَى الخبرِ، و إنّما يَصِحُّ إذا حُمِلَ علَى الإيجابِ بهذا القولِ ، فكأنّه</w:t>
      </w:r>
      <w:r>
        <w:rPr>
          <w:rStyle w:val="FootnoteAnchor"/>
          <w:rtl w:val="true"/>
        </w:rPr>
        <w:footnoteReference w:id="212"/>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يُبايِعُني مِنكم فقَد أَوجَبتُ كَونَه أخاً لي و وَصيّاً و خَليفةً مِن بَعدي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يبيِّنُ أيضاً بُطلانَ حَملِ اللفظِ علَى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شُبهةَ في أنّ ما تَقَدَّمَ ذِكرَ الخِلافةِ مِن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كالوصيّةِ و الأُخوّةِ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فيها الإيجابُ دونَ الخبرِ؛ لأنّه مُحالٌ أن يريدَ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بايَعَني</w:t>
      </w:r>
      <w:r>
        <w:rPr>
          <w:rStyle w:val="FootnoteAnchor"/>
          <w:rtl w:val="true"/>
        </w:rPr>
        <w:footnoteReference w:id="213"/>
      </w:r>
      <w:r>
        <w:rPr>
          <w:rFonts w:ascii="Amiri" w:hAnsi="Amiri" w:eastAsia="Amiri" w:cs="Amiri"/>
          <w:color w:val="111111"/>
          <w:sz w:val="28"/>
          <w:sz w:val="28"/>
          <w:szCs w:val="28"/>
          <w:rtl w:val="true"/>
          <w:lang w:bidi="ar-SA"/>
        </w:rPr>
        <w:t>صارَ بَعدي أخاً لي و وَصيّاً لأمرٍ لا يَتعلَّقُ بإيجابي ذلكَ له بهذا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ثَبَتَ الوجوبُ فيما تَقدَّمَ ذِكرَ الخِلافةِ‌، ثبَتَ الوجوبُ فيها أيضاً؛ لِاستحالةِ أن يَنسُقَ </w:t>
      </w:r>
      <w:r>
        <w:rPr>
          <w:rStyle w:val="FootnoteAnchor"/>
          <w:rtl w:val="true"/>
        </w:rPr>
        <w:footnoteReference w:id="214"/>
      </w:r>
      <w:r>
        <w:rPr>
          <w:rFonts w:ascii="Amiri" w:hAnsi="Amiri" w:eastAsia="Amiri" w:cs="Amiri"/>
          <w:color w:val="111111"/>
          <w:sz w:val="28"/>
          <w:sz w:val="28"/>
          <w:szCs w:val="28"/>
          <w:rtl w:val="true"/>
          <w:lang w:bidi="ar-SA"/>
        </w:rPr>
        <w:t>عليه السلامُ بعضَ المنازِلِ علىٰ بعضٍ و يريدَ بالجميعِ الإيجابَ دونَ الخبرِ، ما عَدا مَنزِلةَ الخِلافةِ التي حُكمُها في اللفظِ حُكمُ ما تَقدَّمَها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تَرىٰ أنّه لا يَحسُنُ مِن أحَدِنا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عزَمَ علىٰ سَفَرٍ أو هَمَّ بأمرٍ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صَحِبَني في سَفَري أو ساعَدَني علَى الأمرِ الذي هَمَمتُ به، كانَ شَريكي في ضَيعَتي</w:t>
      </w:r>
      <w:r>
        <w:rPr>
          <w:rStyle w:val="FootnoteAnchor"/>
          <w:rtl w:val="true"/>
        </w:rPr>
        <w:footnoteReference w:id="215"/>
      </w:r>
      <w:r>
        <w:rPr>
          <w:rFonts w:ascii="Amiri" w:hAnsi="Amiri" w:eastAsia="Amiri" w:cs="Amiri"/>
          <w:color w:val="111111"/>
          <w:sz w:val="28"/>
          <w:sz w:val="28"/>
          <w:szCs w:val="28"/>
          <w:rtl w:val="true"/>
          <w:lang w:bidi="ar-SA"/>
        </w:rPr>
        <w:t xml:space="preserve">، و المسموعَ القولِ عندي، و المقدَّمَ مِن بَينِ أصحابي، و له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بجميعِ ما ضَمَّنَه الكلامَ الإيجابَ ، ما عَدا ذِكرِ الألْفِ فإنّه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سيَنالُ ألْفاً</w:t>
      </w:r>
      <w:r>
        <w:rPr>
          <w:rStyle w:val="FootnoteAnchor"/>
          <w:rtl w:val="true"/>
        </w:rPr>
        <w:footnoteReference w:id="216"/>
      </w:r>
      <w:r>
        <w:rPr>
          <w:rFonts w:ascii="Amiri" w:hAnsi="Amiri" w:eastAsia="Amiri" w:cs="Amiri"/>
          <w:color w:val="111111"/>
          <w:sz w:val="28"/>
          <w:sz w:val="28"/>
          <w:szCs w:val="28"/>
          <w:rtl w:val="true"/>
          <w:lang w:bidi="ar-SA"/>
        </w:rPr>
        <w:t xml:space="preserve">و يَصِلُ إليه مِن غيرِ جهتِه، و مِن غيرِ أن يَكونَ هو سبباً في الاستحقاقِ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يُبطَلَ تأويلُ مَن حمَلَ جميعَ الألفاظِ المرويّةِ في النصِّ علَى الخبرِ بالطريقةِ </w:t>
      </w:r>
      <w:r>
        <w:rPr>
          <w:rStyle w:val="FootnoteAnchor"/>
          <w:rtl w:val="true"/>
        </w:rPr>
        <w:footnoteReference w:id="217"/>
      </w:r>
      <w:r>
        <w:rPr>
          <w:rFonts w:ascii="Amiri" w:hAnsi="Amiri" w:eastAsia="Amiri" w:cs="Amiri"/>
          <w:color w:val="111111"/>
          <w:sz w:val="28"/>
          <w:sz w:val="28"/>
          <w:szCs w:val="28"/>
          <w:rtl w:val="true"/>
          <w:lang w:bidi="ar-SA"/>
        </w:rPr>
        <w:t xml:space="preserve">التي تَقدَّمَت في اعتبارِ الإجماعِ </w:t>
      </w:r>
      <w:r>
        <w:rPr>
          <w:rStyle w:val="FootnoteAnchor"/>
          <w:rtl w:val="true"/>
        </w:rPr>
        <w:footnoteReference w:id="218"/>
      </w:r>
      <w:r>
        <w:rPr>
          <w:rFonts w:ascii="Amiri" w:hAnsi="Amiri" w:eastAsia="Amiri" w:cs="Amiri"/>
          <w:color w:val="111111"/>
          <w:sz w:val="28"/>
          <w:sz w:val="28"/>
          <w:szCs w:val="28"/>
          <w:rtl w:val="true"/>
          <w:lang w:bidi="ar-SA"/>
        </w:rPr>
        <w:t xml:space="preserve">لأنّ الناسَ في الأخبارِ التي يَروونها في النصِّ الجَليِّ بَينَ مُثبِتٍ لها قاطعٍ علىٰ صحَّتِها، و بَينَ نافٍ لها مكذِّبٍ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نَفاها لا يَشُكُّ في</w:t>
      </w:r>
      <w:r>
        <w:rPr>
          <w:rStyle w:val="FootnoteAnchor"/>
          <w:rtl w:val="true"/>
        </w:rPr>
        <w:footnoteReference w:id="219"/>
      </w:r>
      <w:r>
        <w:rPr>
          <w:rFonts w:ascii="Amiri" w:hAnsi="Amiri" w:eastAsia="Amiri" w:cs="Amiri"/>
          <w:color w:val="111111"/>
          <w:sz w:val="28"/>
          <w:sz w:val="28"/>
          <w:szCs w:val="28"/>
          <w:rtl w:val="true"/>
          <w:lang w:bidi="ar-SA"/>
        </w:rPr>
        <w:t>حَملِها علَى الإيجابِ و مبايَنةِ حَملِها علَى الخبرِ لقَولِه، و مَن أثْبَتَها ذهَبَ إلَى الإيجابِ فيها</w:t>
      </w:r>
      <w:r>
        <w:rPr>
          <w:rStyle w:val="FootnoteAnchor"/>
          <w:rtl w:val="true"/>
        </w:rPr>
        <w:footnoteReference w:id="220"/>
      </w:r>
      <w:r>
        <w:rPr>
          <w:rFonts w:ascii="Amiri" w:hAnsi="Amiri" w:eastAsia="Amiri" w:cs="Amiri"/>
          <w:color w:val="111111"/>
          <w:sz w:val="28"/>
          <w:sz w:val="28"/>
          <w:szCs w:val="28"/>
          <w:rtl w:val="true"/>
          <w:lang w:bidi="ar-SA"/>
        </w:rPr>
        <w:t>دونَ الخبرِ، أو إلَى الأمرَينِ جميعاً</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جوابِ مَن تَعلَّقَ مِن أصحابِنا بالاحتمالِ ، و حمَلَ اللفظَ علىٰ سائرِ محتَمَلاتِه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فحَملُها علَى الخبرِ دونَ الإيجابِ للإمامةِ قولٌ خارجٌ عن الإجماعِ </w:t>
      </w:r>
      <w:r>
        <w:rPr>
          <w:rFonts w:eastAsia="Amiri" w:cs="Amiri" w:ascii="Amiri" w:hAnsi="Amiri"/>
          <w:color w:val="111111"/>
          <w:sz w:val="28"/>
          <w:szCs w:val="28"/>
          <w:rtl w:val="true"/>
          <w:lang w:bidi="ar-SA"/>
        </w:rPr>
        <w:t xml:space="preserve">. </w:t>
      </w:r>
      <w:bookmarkStart w:id="71" w:name="pg20017_202373"/>
    </w:p>
    <w:p>
      <w:pPr>
        <w:pStyle w:val="Heading3"/>
        <w:numPr>
          <w:ilvl w:val="2"/>
          <w:numId w:val="1"/>
        </w:numPr>
        <w:rPr/>
      </w:pPr>
      <w:bookmarkStart w:id="72" w:name="__RefHeading___Toc964043_2320776876"/>
      <w:bookmarkStart w:id="73" w:name="_Toc25"/>
      <w:bookmarkEnd w:id="71"/>
      <w:bookmarkEnd w:id="72"/>
      <w:r>
        <w:rPr>
          <w:rtl w:val="true"/>
        </w:rPr>
        <w:t>مناقَشةُ دَعوَى الإجماعِ علىٰ إمامةِ أبي بَكرٍ</w:t>
      </w:r>
      <w:bookmarkEnd w:id="73"/>
    </w:p>
    <w:p>
      <w:pPr>
        <w:pStyle w:val="Heading4"/>
        <w:numPr>
          <w:ilvl w:val="3"/>
          <w:numId w:val="1"/>
        </w:numPr>
        <w:rPr/>
      </w:pPr>
      <w:bookmarkStart w:id="74" w:name="__RefHeading___Toc964045_2320776876"/>
      <w:bookmarkStart w:id="75" w:name="_Toc26"/>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Style w:val="FootnoteAnchor"/>
          <w:rtl w:val="true"/>
        </w:rPr>
        <w:footnoteReference w:id="222"/>
      </w:r>
      <w:r>
        <w:rPr>
          <w:rFonts w:ascii="Amiri" w:hAnsi="Amiri" w:eastAsia="Amiri" w:cs="Amiri"/>
          <w:color w:val="111111"/>
          <w:sz w:val="28"/>
          <w:sz w:val="28"/>
          <w:szCs w:val="28"/>
          <w:rtl w:val="true"/>
          <w:lang w:bidi="ar-SA"/>
        </w:rPr>
        <w:t>أنّ الذي به تَثبُتُ إمامةُ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Style w:val="FootnoteAnchor"/>
          <w:rtl w:val="true"/>
        </w:rPr>
        <w:footnoteReference w:id="223"/>
      </w:r>
      <w:r>
        <w:rPr>
          <w:rFonts w:ascii="Amiri" w:hAnsi="Amiri" w:eastAsia="Amiri" w:cs="Amiri"/>
          <w:color w:val="111111"/>
          <w:sz w:val="28"/>
          <w:sz w:val="28"/>
          <w:szCs w:val="28"/>
          <w:rtl w:val="true"/>
          <w:lang w:bidi="ar-SA"/>
        </w:rPr>
        <w:t>الإجماعُ الذي ترتُّبُه</w:t>
      </w:r>
      <w:r>
        <w:rPr>
          <w:rStyle w:val="FootnoteAnchor"/>
          <w:rtl w:val="true"/>
        </w:rPr>
        <w:footnoteReference w:id="224"/>
      </w:r>
      <w:r>
        <w:rPr>
          <w:rFonts w:ascii="Amiri" w:hAnsi="Amiri" w:eastAsia="Amiri" w:cs="Amiri"/>
          <w:color w:val="111111"/>
          <w:sz w:val="28"/>
          <w:sz w:val="28"/>
          <w:szCs w:val="28"/>
          <w:rtl w:val="true"/>
          <w:lang w:bidi="ar-SA"/>
        </w:rPr>
        <w:t>يَقتَضي نفيَ‌</w:t>
      </w:r>
      <w:r>
        <w:rPr>
          <w:rStyle w:val="FootnoteAnchor"/>
          <w:rtl w:val="true"/>
        </w:rPr>
        <w:footnoteReference w:id="225"/>
      </w:r>
      <w:r>
        <w:rPr>
          <w:rFonts w:ascii="Amiri" w:hAnsi="Amiri" w:eastAsia="Amiri" w:cs="Amiri"/>
          <w:color w:val="111111"/>
          <w:sz w:val="28"/>
          <w:sz w:val="28"/>
          <w:szCs w:val="28"/>
          <w:rtl w:val="true"/>
          <w:lang w:bidi="ar-SA"/>
        </w:rPr>
        <w:t>كُلِّ شيءٍ يَتعلَّقونَ به و يَزعُمونَه</w:t>
      </w:r>
      <w:r>
        <w:rPr>
          <w:rStyle w:val="FootnoteAnchor"/>
          <w:rtl w:val="true"/>
        </w:rPr>
        <w:footnoteReference w:id="226"/>
      </w:r>
      <w:r>
        <w:rPr>
          <w:rFonts w:ascii="Amiri" w:hAnsi="Amiri" w:eastAsia="Amiri" w:cs="Amiri"/>
          <w:color w:val="111111"/>
          <w:sz w:val="28"/>
          <w:sz w:val="28"/>
          <w:szCs w:val="28"/>
          <w:rtl w:val="true"/>
          <w:lang w:bidi="ar-SA"/>
        </w:rPr>
        <w:t>دالّاً علىٰ إمامةِ أميرِ المؤمِنينَ عليه السلامُ ، و أنّه مصروفٌ عن ظاهرِه متأوَّلٌ إن كانَ ظاهرُه</w:t>
      </w:r>
      <w:r>
        <w:rPr>
          <w:rStyle w:val="FootnoteAnchor"/>
          <w:rtl w:val="true"/>
        </w:rPr>
        <w:footnoteReference w:id="227"/>
      </w:r>
      <w:r>
        <w:rPr>
          <w:rFonts w:ascii="Amiri" w:hAnsi="Amiri" w:eastAsia="Amiri" w:cs="Amiri"/>
          <w:color w:val="111111"/>
          <w:sz w:val="28"/>
          <w:sz w:val="28"/>
          <w:szCs w:val="28"/>
          <w:rtl w:val="true"/>
          <w:lang w:bidi="ar-SA"/>
        </w:rPr>
        <w:t>يدُلُّ علىٰ ما يَدَّعونَه</w:t>
      </w:r>
      <w:r>
        <w:rPr>
          <w:rStyle w:val="FootnoteAnchor"/>
          <w:rtl w:val="true"/>
        </w:rPr>
        <w:footnoteReference w:id="228"/>
      </w:r>
      <w:r>
        <w:rPr>
          <w:rFonts w:ascii="Amiri" w:hAnsi="Amiri" w:eastAsia="Amiri" w:cs="Amiri"/>
          <w:color w:val="111111"/>
          <w:sz w:val="28"/>
          <w:sz w:val="28"/>
          <w:szCs w:val="28"/>
          <w:rtl w:val="true"/>
          <w:lang w:bidi="ar-SA"/>
        </w:rPr>
        <w:t xml:space="preserve">لأنّه قد ثبَتَ أنّ الإجماعَ حُجّةٌ ، و صَحَّ أنّه يَجِبُ </w:t>
      </w:r>
      <w:r>
        <w:rPr>
          <w:rStyle w:val="FootnoteAnchor"/>
          <w:rtl w:val="true"/>
        </w:rPr>
        <w:footnoteReference w:id="229"/>
      </w:r>
      <w:r>
        <w:rPr>
          <w:rFonts w:ascii="Amiri" w:hAnsi="Amiri" w:eastAsia="Amiri" w:cs="Amiri"/>
          <w:color w:val="111111"/>
          <w:sz w:val="28"/>
          <w:sz w:val="28"/>
          <w:szCs w:val="28"/>
          <w:rtl w:val="true"/>
          <w:lang w:bidi="ar-SA"/>
        </w:rPr>
        <w:t xml:space="preserve">لأجلِه صَرفُ الكلامِ عن ظاهرِه، و أنّه بمَنزِلةِ الأدلّةِ العقليّةِ و السمعيّةِ في ذلكَ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بيّنّا أنّه لا يُمكِنُ أن يُقالَ في شيءٍ مِن أدلّتِهم أنّه لا احتمالَ فيها، </w:t>
      </w:r>
    </w:p>
    <w:p>
      <w:pPr>
        <w:pStyle w:val="BookText"/>
        <w:rPr/>
      </w:pPr>
      <w:r>
        <w:rPr>
          <w:rFonts w:ascii="Amiri" w:hAnsi="Amiri" w:eastAsia="Amiri" w:cs="Amiri"/>
          <w:color w:val="111111"/>
          <w:sz w:val="28"/>
          <w:sz w:val="28"/>
          <w:szCs w:val="28"/>
          <w:rtl w:val="true"/>
          <w:lang w:bidi="ar-SA"/>
        </w:rPr>
        <w:t>بل لا بُدَّ مِن دخولِ الاحتمالِ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لأجلِ ذلكَ‌</w:t>
      </w:r>
      <w:r>
        <w:rPr>
          <w:rStyle w:val="FootnoteAnchor"/>
          <w:rtl w:val="true"/>
        </w:rPr>
        <w:footnoteReference w:id="230"/>
      </w:r>
      <w:r>
        <w:rPr>
          <w:rFonts w:ascii="Amiri" w:hAnsi="Amiri" w:eastAsia="Amiri" w:cs="Amiri"/>
          <w:color w:val="111111"/>
          <w:sz w:val="28"/>
          <w:sz w:val="28"/>
          <w:szCs w:val="28"/>
          <w:rtl w:val="true"/>
          <w:lang w:bidi="ar-SA"/>
        </w:rPr>
        <w:t>أن يُتأوَّلَ ما يورِدونَ‌</w:t>
      </w:r>
      <w:r>
        <w:rPr>
          <w:rStyle w:val="FootnoteAnchor"/>
          <w:rtl w:val="true"/>
        </w:rPr>
        <w:footnoteReference w:id="231"/>
      </w:r>
      <w:r>
        <w:rPr>
          <w:rFonts w:ascii="Amiri" w:hAnsi="Amiri" w:eastAsia="Amiri" w:cs="Amiri"/>
          <w:color w:val="111111"/>
          <w:sz w:val="28"/>
          <w:sz w:val="28"/>
          <w:szCs w:val="28"/>
          <w:rtl w:val="true"/>
          <w:lang w:bidi="ar-SA"/>
        </w:rPr>
        <w:t>في هذا البابِ‌، و يُصرَفَ إلىٰ غيرِ ظاهرِه</w:t>
      </w:r>
      <w:r>
        <w:rPr>
          <w:rStyle w:val="FootnoteAnchor"/>
          <w:rtl w:val="true"/>
        </w:rPr>
        <w:footnoteReference w:id="232"/>
      </w:r>
      <w:r>
        <w:rPr>
          <w:rFonts w:ascii="Amiri" w:hAnsi="Amiri" w:eastAsia="Amiri" w:cs="Amiri"/>
          <w:color w:val="111111"/>
          <w:sz w:val="28"/>
          <w:sz w:val="28"/>
          <w:szCs w:val="28"/>
          <w:rtl w:val="true"/>
          <w:lang w:bidi="ar-SA"/>
        </w:rPr>
        <w:t>، أو يُخَصَّ بدليلِ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w:t>
      </w:r>
      <w:r>
        <w:rPr>
          <w:rStyle w:val="FootnoteAnchor"/>
          <w:rtl w:val="true"/>
        </w:rPr>
        <w:footnoteReference w:id="233"/>
      </w:r>
      <w:r>
        <w:rPr>
          <w:rFonts w:ascii="Amiri" w:hAnsi="Amiri" w:eastAsia="Amiri" w:cs="Amiri"/>
          <w:color w:val="111111"/>
          <w:sz w:val="28"/>
          <w:sz w:val="28"/>
          <w:szCs w:val="28"/>
          <w:rtl w:val="true"/>
          <w:lang w:bidi="ar-SA"/>
        </w:rPr>
        <w:t>كانَ مَشايِخُنا إنّما قالوا بإمامةِ أبي بَكرٍ مِن جهةِ دليلِ الإجماعِ‌، فمتىٰ ثبَتَ لهم ذلكَ صَحَّ الطعنُ به في جُملةِ أدلّتِهم، فلَو لَم نَشتغِلْ بأدلّتِهم أصلاً لَصَحَّ‌، و للَزِمَهم عندَ ذلكَ أن يُكلِّمونا في هذا الدليلِ‌</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صحيحٌ أم لا؟</w:t>
      </w:r>
    </w:p>
    <w:p>
      <w:pPr>
        <w:pStyle w:val="BookText"/>
        <w:rPr/>
      </w:pPr>
      <w:r>
        <w:rPr>
          <w:rFonts w:ascii="Amiri" w:hAnsi="Amiri" w:eastAsia="Amiri" w:cs="Amiri"/>
          <w:color w:val="111111"/>
          <w:sz w:val="28"/>
          <w:sz w:val="28"/>
          <w:szCs w:val="28"/>
          <w:rtl w:val="true"/>
          <w:lang w:bidi="ar-SA"/>
        </w:rPr>
        <w:t>فإن صَحَّ لنا علىٰ ما نُرتِّبُه، فقَد كُفينا مَؤونةَ الاشتغالِ بأدلّتِهم واحداً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يَصِحَّ و لا معوَّلَ لنا في إمامةِ أبي بَكرٍ إلّاعليه، فقد كُفوا هُم</w:t>
      </w:r>
      <w:r>
        <w:rPr>
          <w:rStyle w:val="FootnoteAnchor"/>
          <w:rtl w:val="true"/>
        </w:rPr>
        <w:footnoteReference w:id="235"/>
      </w:r>
      <w:r>
        <w:rPr>
          <w:rFonts w:ascii="Amiri" w:hAnsi="Amiri" w:eastAsia="Amiri" w:cs="Amiri"/>
          <w:color w:val="111111"/>
          <w:sz w:val="28"/>
          <w:sz w:val="28"/>
          <w:szCs w:val="28"/>
          <w:rtl w:val="true"/>
          <w:lang w:bidi="ar-SA"/>
        </w:rPr>
        <w:t>مَؤونةَ الاشتغالِ بهذه الأدلّةِ‌؛ لأنه لا خِلافَ أنّ‌</w:t>
      </w:r>
      <w:r>
        <w:rPr>
          <w:rStyle w:val="FootnoteAnchor"/>
          <w:rtl w:val="true"/>
        </w:rPr>
        <w:footnoteReference w:id="236"/>
      </w:r>
      <w:r>
        <w:rPr>
          <w:rFonts w:ascii="Amiri" w:hAnsi="Amiri" w:eastAsia="Amiri" w:cs="Amiri"/>
          <w:color w:val="111111"/>
          <w:sz w:val="28"/>
          <w:sz w:val="28"/>
          <w:szCs w:val="28"/>
          <w:rtl w:val="true"/>
          <w:lang w:bidi="ar-SA"/>
        </w:rPr>
        <w:t>إمامةَ أبي بَكرٍ إذا لَم تَصِحَّ‌</w:t>
      </w:r>
      <w:r>
        <w:rPr>
          <w:rStyle w:val="FootnoteAnchor"/>
          <w:rtl w:val="true"/>
        </w:rPr>
        <w:footnoteReference w:id="237"/>
      </w:r>
      <w:r>
        <w:rPr>
          <w:rFonts w:ascii="Amiri" w:hAnsi="Amiri" w:eastAsia="Amiri" w:cs="Amiri"/>
          <w:color w:val="111111"/>
          <w:sz w:val="28"/>
          <w:sz w:val="28"/>
          <w:szCs w:val="28"/>
          <w:rtl w:val="true"/>
          <w:lang w:bidi="ar-SA"/>
        </w:rPr>
        <w:t>، فالصحيحُ إمامةُ عليٍّ عليه السلامُ‌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يبيِّنُ أنّ الواجبَ التشاغُلُ بهذه الدَّلالةِ </w:t>
      </w:r>
      <w:r>
        <w:rPr>
          <w:rStyle w:val="FootnoteAnchor"/>
          <w:rtl w:val="true"/>
        </w:rPr>
        <w:footnoteReference w:id="238"/>
      </w:r>
      <w:r>
        <w:rPr>
          <w:rFonts w:ascii="Amiri" w:hAnsi="Amiri" w:eastAsia="Amiri" w:cs="Amiri"/>
          <w:color w:val="111111"/>
          <w:sz w:val="28"/>
          <w:sz w:val="28"/>
          <w:szCs w:val="28"/>
          <w:rtl w:val="true"/>
          <w:lang w:bidi="ar-SA"/>
        </w:rPr>
        <w:t xml:space="preserve">لأنّها إن صَحَّت فلا وجهَ </w:t>
      </w:r>
    </w:p>
    <w:p>
      <w:pPr>
        <w:pStyle w:val="BookText"/>
        <w:rPr/>
      </w:pPr>
      <w:r>
        <w:rPr>
          <w:rFonts w:ascii="Amiri" w:hAnsi="Amiri" w:eastAsia="Amiri" w:cs="Amiri"/>
          <w:color w:val="111111"/>
          <w:sz w:val="28"/>
          <w:sz w:val="28"/>
          <w:szCs w:val="28"/>
          <w:rtl w:val="true"/>
          <w:lang w:bidi="ar-SA"/>
        </w:rPr>
        <w:t>لأدلّتِهم، و إن لَم تَصِحَّ فقد استَغنَوا عن أدلّتِهم</w:t>
      </w:r>
      <w:r>
        <w:rPr>
          <w:rStyle w:val="FootnoteAnchor"/>
          <w:rtl w:val="true"/>
        </w:rPr>
        <w:footnoteReference w:id="239"/>
      </w:r>
      <w:r>
        <w:rPr>
          <w:rFonts w:ascii="Amiri" w:hAnsi="Amiri" w:eastAsia="Amiri" w:cs="Amiri"/>
          <w:color w:val="111111"/>
          <w:sz w:val="28"/>
          <w:sz w:val="28"/>
          <w:szCs w:val="28"/>
          <w:rtl w:val="true"/>
          <w:lang w:bidi="ar-SA"/>
        </w:rPr>
        <w:t>لأنّ في كِلا الطَرَفَينِ الإجماعُ يُغني</w:t>
      </w:r>
      <w:r>
        <w:rPr>
          <w:rStyle w:val="FootnoteAnchor"/>
          <w:rtl w:val="true"/>
        </w:rPr>
        <w:footnoteReference w:id="240"/>
      </w:r>
      <w:r>
        <w:rPr>
          <w:rFonts w:ascii="Amiri" w:hAnsi="Amiri" w:eastAsia="Amiri" w:cs="Amiri"/>
          <w:color w:val="111111"/>
          <w:sz w:val="28"/>
          <w:sz w:val="28"/>
          <w:szCs w:val="28"/>
          <w:rtl w:val="true"/>
          <w:lang w:bidi="ar-SA"/>
        </w:rPr>
        <w:t>عن إيرادِ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إيرادَ هذه</w:t>
      </w:r>
      <w:r>
        <w:rPr>
          <w:rStyle w:val="FootnoteAnchor"/>
          <w:rtl w:val="true"/>
        </w:rPr>
        <w:footnoteReference w:id="241"/>
      </w:r>
      <w:r>
        <w:rPr>
          <w:rFonts w:ascii="Amiri" w:hAnsi="Amiri" w:eastAsia="Amiri" w:cs="Amiri"/>
          <w:color w:val="111111"/>
          <w:sz w:val="28"/>
          <w:sz w:val="28"/>
          <w:szCs w:val="28"/>
          <w:rtl w:val="true"/>
          <w:lang w:bidi="ar-SA"/>
        </w:rPr>
        <w:t>الأدلّةِ المَقصَدُ بها إبطالُ قولِ مَن يَدَّعي إمامةَ أبي بَكرٍ مِن جهةِ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قد بيّنّا أنّ ذلكَ القولَ متروكٌ‌، و أنّه لا معوَّلَ عليه؛ لأنّ أحَداً لَم يَدَّعِ‌</w:t>
      </w:r>
    </w:p>
    <w:p>
      <w:pPr>
        <w:pStyle w:val="BookText"/>
        <w:rPr/>
      </w:pPr>
      <w:r>
        <w:rPr>
          <w:rFonts w:ascii="Amiri" w:hAnsi="Amiri" w:eastAsia="Amiri" w:cs="Amiri"/>
          <w:color w:val="111111"/>
          <w:sz w:val="28"/>
          <w:sz w:val="28"/>
          <w:szCs w:val="28"/>
          <w:rtl w:val="true"/>
          <w:lang w:bidi="ar-SA"/>
        </w:rPr>
        <w:t>النصَّ عليه إلّامِن جهةِ أخبارِ الآحادِ التي يَتعلَّقُ بها أصحابُ الحديثِ‌، أو مِن جهةِ التقديمِ للصلاةِ الذي</w:t>
      </w:r>
      <w:r>
        <w:rPr>
          <w:rStyle w:val="FootnoteAnchor"/>
          <w:rtl w:val="true"/>
        </w:rPr>
        <w:footnoteReference w:id="242"/>
      </w:r>
      <w:r>
        <w:rPr>
          <w:rFonts w:ascii="Amiri" w:hAnsi="Amiri" w:eastAsia="Amiri" w:cs="Amiri"/>
          <w:color w:val="111111"/>
          <w:sz w:val="28"/>
          <w:sz w:val="28"/>
          <w:szCs w:val="28"/>
          <w:rtl w:val="true"/>
          <w:lang w:bidi="ar-SA"/>
        </w:rPr>
        <w:t>يبيِّنُ أنّه أشَدُّ احتمالاً مِن سائرِ ما يُذكَرُ مِن</w:t>
      </w:r>
      <w:r>
        <w:rPr>
          <w:rStyle w:val="FootnoteAnchor"/>
          <w:rtl w:val="true"/>
        </w:rPr>
        <w:footnoteReference w:id="243"/>
      </w:r>
      <w:r>
        <w:rPr>
          <w:rFonts w:ascii="Amiri" w:hAnsi="Amiri" w:eastAsia="Amiri" w:cs="Amiri"/>
          <w:color w:val="111111"/>
          <w:sz w:val="28"/>
          <w:sz w:val="28"/>
          <w:szCs w:val="28"/>
          <w:rtl w:val="true"/>
          <w:lang w:bidi="ar-SA"/>
        </w:rPr>
        <w:t>النُّصوصِ‌، و إنّما ذَكَرنا المَذاهِبَ المعتمَدةَ‌، و لَيسَ إلّا</w:t>
      </w:r>
      <w:r>
        <w:rPr>
          <w:rStyle w:val="FootnoteAnchor"/>
          <w:rtl w:val="true"/>
        </w:rPr>
        <w:footnoteReference w:id="244"/>
      </w:r>
      <w:r>
        <w:rPr>
          <w:rFonts w:ascii="Amiri" w:hAnsi="Amiri" w:eastAsia="Amiri" w:cs="Amiri"/>
          <w:color w:val="111111"/>
          <w:sz w:val="28"/>
          <w:sz w:val="28"/>
          <w:szCs w:val="28"/>
          <w:rtl w:val="true"/>
          <w:lang w:bidi="ar-SA"/>
        </w:rPr>
        <w:t xml:space="preserve">ما ذَكَرناه مِن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ذلكَ يوجِبُ أن يورِدوا هذه الحُجَجَ علَى البَكريّةِ و أصحابِ الحديثِ دونَنا، و هُم إنّما يَقصِدون بالحِجاجِ هذه الطائفةَ </w:t>
      </w:r>
      <w:r>
        <w:rPr>
          <w:rStyle w:val="FootnoteAnchor"/>
          <w:rtl w:val="true"/>
        </w:rPr>
        <w:footnoteReference w:id="245"/>
      </w:r>
      <w:r>
        <w:rPr>
          <w:rFonts w:ascii="Amiri" w:hAnsi="Amiri" w:eastAsia="Amiri" w:cs="Amiri"/>
          <w:color w:val="111111"/>
          <w:sz w:val="28"/>
          <w:sz w:val="28"/>
          <w:szCs w:val="28"/>
          <w:rtl w:val="true"/>
          <w:lang w:bidi="ar-SA"/>
        </w:rPr>
        <w:t>التي تدخُلُ معهم في طريقةِ النظَرِ، و تَعتمِدُ علىٰ قولِهم</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نَقُلْ ذلكَ لأنّ إيرادَهم</w:t>
      </w:r>
      <w:r>
        <w:rPr>
          <w:rStyle w:val="FootnoteAnchor"/>
          <w:rtl w:val="true"/>
        </w:rPr>
        <w:footnoteReference w:id="247"/>
      </w:r>
      <w:r>
        <w:rPr>
          <w:rFonts w:ascii="Amiri" w:hAnsi="Amiri" w:eastAsia="Amiri" w:cs="Amiri"/>
          <w:color w:val="111111"/>
          <w:sz w:val="28"/>
          <w:sz w:val="28"/>
          <w:szCs w:val="28"/>
          <w:rtl w:val="true"/>
          <w:lang w:bidi="ar-SA"/>
        </w:rPr>
        <w:t xml:space="preserve">هذه الأدِلّةَ لا يَصِحُّ ، و إنّما أورَدناه لنبيِّنَ أنّ </w:t>
      </w:r>
      <w:bookmarkStart w:id="76" w:name="pg20017_202376"/>
    </w:p>
    <w:p>
      <w:pPr>
        <w:pStyle w:val="BookText"/>
        <w:rPr/>
      </w:pPr>
      <w:bookmarkEnd w:id="76"/>
      <w:r>
        <w:rPr>
          <w:rFonts w:ascii="Amiri" w:hAnsi="Amiri" w:eastAsia="Amiri" w:cs="Amiri"/>
          <w:color w:val="111111"/>
          <w:sz w:val="28"/>
          <w:sz w:val="28"/>
          <w:szCs w:val="28"/>
          <w:rtl w:val="true"/>
          <w:lang w:bidi="ar-SA"/>
        </w:rPr>
        <w:t xml:space="preserve">هذه الطريقةَ يُمكِنُ أن يُعترَضَ بها علَى الجميعِ‌، و أنّها متىٰ صَحَّت لَم يَلزَمِ </w:t>
      </w:r>
      <w:r>
        <w:rPr>
          <w:rStyle w:val="FootnoteAnchor"/>
          <w:rtl w:val="true"/>
        </w:rPr>
        <w:footnoteReference w:id="248"/>
      </w:r>
      <w:r>
        <w:rPr>
          <w:rFonts w:ascii="Amiri" w:hAnsi="Amiri" w:eastAsia="Amiri" w:cs="Amiri"/>
          <w:color w:val="111111"/>
          <w:sz w:val="28"/>
          <w:sz w:val="28"/>
          <w:szCs w:val="28"/>
          <w:rtl w:val="true"/>
          <w:lang w:bidi="ar-SA"/>
        </w:rPr>
        <w:t xml:space="preserve">الاشتغالُ بأدلّتِهم إلّاكما يَلزَمُ في باب التوحيدِ مِن الاشتغالِ بتأويلِ الآيِ </w:t>
      </w:r>
      <w:r>
        <w:rPr>
          <w:rStyle w:val="FootnoteAnchor"/>
          <w:rtl w:val="true"/>
        </w:rPr>
        <w:footnoteReference w:id="249"/>
      </w:r>
      <w:r>
        <w:rPr>
          <w:rFonts w:ascii="Amiri" w:hAnsi="Amiri" w:eastAsia="Amiri" w:cs="Amiri"/>
          <w:color w:val="111111"/>
          <w:sz w:val="28"/>
          <w:sz w:val="28"/>
          <w:szCs w:val="28"/>
          <w:rtl w:val="true"/>
          <w:lang w:bidi="ar-SA"/>
        </w:rPr>
        <w:t xml:space="preserve">المتشابِهةِ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بيّنّا أنّ الإجماعَ حُجّةٌ و أنّ طَعنَهم في ذلكَ لا يَصِحُّ ، و إنّما يَبقىٰ بَينَنا و بَينَهم أنّ الإجماعَ الذي نَدَّعيهِ في إمامةِ أبي بَكرٍ هل هو ثابتٌ أم لا؟ فإذا صَحَّ ثَباتُه فلَيسَ إلّاما ذَكَرناه</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حُجّةٌ كما ذَكَرتَ ، لكِنْ إذا</w:t>
      </w:r>
      <w:r>
        <w:rPr>
          <w:rStyle w:val="FootnoteAnchor"/>
          <w:rtl w:val="true"/>
        </w:rPr>
        <w:footnoteReference w:id="251"/>
      </w:r>
      <w:r>
        <w:rPr>
          <w:rFonts w:ascii="Amiri" w:hAnsi="Amiri" w:eastAsia="Amiri" w:cs="Amiri"/>
          <w:color w:val="111111"/>
          <w:sz w:val="28"/>
          <w:sz w:val="28"/>
          <w:szCs w:val="28"/>
          <w:rtl w:val="true"/>
          <w:lang w:bidi="ar-SA"/>
        </w:rPr>
        <w:t xml:space="preserve">ثبَتَ و لَم يُقتصَرْ فيه علَى الدَّعوىٰ ، و سنبيِّنُ بُطلانَ ما يُدَّعىٰ مِن الإجماعِ علىٰ إمامةِ أبي بَكرٍ إذا صِرنا إلَى الكلامِ في إمامتِه، بعَونِ اللّٰهِ </w:t>
      </w:r>
      <w:r>
        <w:rPr>
          <w:rFonts w:eastAsia="Amiri" w:cs="Amiri" w:ascii="Amiri" w:hAnsi="Amiri"/>
          <w:color w:val="111111"/>
          <w:sz w:val="28"/>
          <w:szCs w:val="28"/>
          <w:rtl w:val="true"/>
          <w:lang w:bidi="ar-SA"/>
        </w:rPr>
        <w:t>.</w:t>
      </w:r>
      <w:r>
        <w:rPr>
          <w:rStyle w:val="FootnoteAnchor"/>
          <w:rtl w:val="true"/>
        </w:rPr>
        <w:footnoteReference w:id="252"/>
      </w:r>
    </w:p>
    <w:p>
      <w:pPr>
        <w:pStyle w:val="Heading4"/>
        <w:numPr>
          <w:ilvl w:val="3"/>
          <w:numId w:val="1"/>
        </w:numPr>
        <w:rPr/>
      </w:pPr>
      <w:bookmarkStart w:id="77" w:name="__RefHeading___Toc964047_2320776876"/>
      <w:bookmarkStart w:id="78" w:name="_Toc27"/>
      <w:bookmarkEnd w:id="77"/>
      <w:r>
        <w:rPr>
          <w:rtl w:val="true"/>
        </w:rPr>
        <w:t>بيان عدم دخول الاحتمال في النصّ ، و دخوله في الإجماع علىٰ أبي بكر</w:t>
      </w:r>
      <w:bookmarkEnd w:id="7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دخولُ الاحتمالِ في</w:t>
      </w:r>
      <w:r>
        <w:rPr>
          <w:rStyle w:val="FootnoteAnchor"/>
          <w:rtl w:val="true"/>
        </w:rPr>
        <w:footnoteReference w:id="253"/>
      </w:r>
      <w:r>
        <w:rPr>
          <w:rFonts w:ascii="Amiri" w:hAnsi="Amiri" w:eastAsia="Amiri" w:cs="Amiri"/>
          <w:color w:val="111111"/>
          <w:sz w:val="28"/>
          <w:sz w:val="28"/>
          <w:szCs w:val="28"/>
          <w:rtl w:val="true"/>
          <w:lang w:bidi="ar-SA"/>
        </w:rPr>
        <w:t>أدلّتِنا فقد بيّنّا ما فيه</w:t>
      </w:r>
      <w:r>
        <w:rPr>
          <w:rStyle w:val="FootnoteAnchor"/>
          <w:rtl w:val="true"/>
        </w:rPr>
        <w:footnoteReference w:id="254"/>
      </w:r>
      <w:r>
        <w:rPr>
          <w:rFonts w:ascii="Amiri" w:hAnsi="Amiri" w:eastAsia="Amiri" w:cs="Amiri"/>
          <w:color w:val="111111"/>
          <w:sz w:val="28"/>
          <w:sz w:val="28"/>
          <w:szCs w:val="28"/>
          <w:rtl w:val="true"/>
          <w:lang w:bidi="ar-SA"/>
        </w:rPr>
        <w:t xml:space="preserve">، و أبطَلنا دخولَ الاحتمالِ الذي هو بمَعنَى التكافؤِ و تَساوي الأقوالِ فيها، و ذَكَرنا أنّ ظواهرَها لا يَجوزُ الانصرافُ عنها، و أنّه لا يَصِحُّ </w:t>
      </w:r>
      <w:r>
        <w:rPr>
          <w:rStyle w:val="FootnoteAnchor"/>
          <w:rtl w:val="true"/>
        </w:rPr>
        <w:footnoteReference w:id="255"/>
      </w:r>
      <w:r>
        <w:rPr>
          <w:rFonts w:ascii="Amiri" w:hAnsi="Amiri" w:eastAsia="Amiri" w:cs="Amiri"/>
          <w:color w:val="111111"/>
          <w:sz w:val="28"/>
          <w:sz w:val="28"/>
          <w:szCs w:val="28"/>
          <w:rtl w:val="true"/>
          <w:lang w:bidi="ar-SA"/>
        </w:rPr>
        <w:t xml:space="preserve">أن يَقومَ دليلٌ يَقتَضي العُدولَ عمّا نَذهَبُ </w:t>
      </w:r>
      <w:r>
        <w:rPr>
          <w:rStyle w:val="FootnoteAnchor"/>
          <w:rtl w:val="true"/>
        </w:rPr>
        <w:footnoteReference w:id="256"/>
      </w:r>
      <w:r>
        <w:rPr>
          <w:rFonts w:ascii="Amiri" w:hAnsi="Amiri" w:eastAsia="Amiri" w:cs="Amiri"/>
          <w:color w:val="111111"/>
          <w:sz w:val="28"/>
          <w:sz w:val="28"/>
          <w:szCs w:val="28"/>
          <w:rtl w:val="true"/>
          <w:lang w:bidi="ar-SA"/>
        </w:rPr>
        <w:t>إليه في مفهومِها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سنَدُلُّ فيما بَعدُ علىٰ أنّ خبرَ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خبرَ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إلّاأنّه لا نَبيَّ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أن يُحمَلا علىٰ غيرِ الإمامةِ‌</w:t>
      </w:r>
      <w:r>
        <w:rPr>
          <w:rStyle w:val="FootnoteAnchor"/>
          <w:rtl w:val="true"/>
        </w:rPr>
        <w:footnoteReference w:id="257"/>
      </w:r>
      <w:r>
        <w:rPr>
          <w:rFonts w:ascii="Amiri" w:hAnsi="Amiri" w:eastAsia="Amiri" w:cs="Amiri"/>
          <w:color w:val="111111"/>
          <w:sz w:val="28"/>
          <w:sz w:val="28"/>
          <w:szCs w:val="28"/>
          <w:rtl w:val="true"/>
          <w:lang w:bidi="ar-SA"/>
        </w:rPr>
        <w:t>، لا حقيقةً و لا مَجازاً، و أنّ‌</w:t>
      </w:r>
      <w:r>
        <w:rPr>
          <w:rStyle w:val="FootnoteAnchor"/>
          <w:rtl w:val="true"/>
        </w:rPr>
        <w:footnoteReference w:id="258"/>
      </w:r>
      <w:r>
        <w:rPr>
          <w:rFonts w:ascii="Amiri" w:hAnsi="Amiri" w:eastAsia="Amiri" w:cs="Amiri"/>
          <w:color w:val="111111"/>
          <w:sz w:val="28"/>
          <w:sz w:val="28"/>
          <w:szCs w:val="28"/>
          <w:rtl w:val="true"/>
          <w:lang w:bidi="ar-SA"/>
        </w:rPr>
        <w:t>حَملَهما</w:t>
      </w:r>
      <w:r>
        <w:rPr>
          <w:rStyle w:val="FootnoteAnchor"/>
          <w:rtl w:val="true"/>
        </w:rPr>
        <w:footnoteReference w:id="259"/>
      </w:r>
      <w:r>
        <w:rPr>
          <w:rFonts w:ascii="Amiri" w:hAnsi="Amiri" w:eastAsia="Amiri" w:cs="Amiri"/>
          <w:color w:val="111111"/>
          <w:sz w:val="28"/>
          <w:sz w:val="28"/>
          <w:szCs w:val="28"/>
          <w:rtl w:val="true"/>
          <w:lang w:bidi="ar-SA"/>
        </w:rPr>
        <w:t>علىٰ خِلافِ الإمامةِ يَقتَضي إخراجَ الخِطابِ عن حَدِّ</w:t>
      </w:r>
    </w:p>
    <w:p>
      <w:pPr>
        <w:pStyle w:val="BookText"/>
        <w:rPr/>
      </w:pPr>
      <w:r>
        <w:rPr>
          <w:rFonts w:ascii="Amiri" w:hAnsi="Amiri" w:eastAsia="Amiri" w:cs="Amiri"/>
          <w:color w:val="111111"/>
          <w:sz w:val="28"/>
          <w:sz w:val="28"/>
          <w:szCs w:val="28"/>
          <w:rtl w:val="true"/>
          <w:lang w:bidi="ar-SA"/>
        </w:rPr>
        <w:t>الحِكمةِ‌</w:t>
      </w:r>
      <w:r>
        <w:rPr>
          <w:rStyle w:val="FootnoteAnchor"/>
          <w:rtl w:val="true"/>
        </w:rPr>
        <w:footnoteReference w:id="260"/>
      </w:r>
      <w:r>
        <w:rPr>
          <w:rFonts w:ascii="Amiri" w:hAnsi="Amiri" w:eastAsia="Amiri" w:cs="Amiri"/>
          <w:color w:val="111111"/>
          <w:sz w:val="28"/>
          <w:sz w:val="28"/>
          <w:szCs w:val="28"/>
          <w:rtl w:val="true"/>
          <w:lang w:bidi="ar-SA"/>
        </w:rPr>
        <w:t>و الصوابِ‌، و أنّ إيجابَ الإمامةِ يَتناوَلُ الحالَ التي تَلي وَفاتَه عليه السلامُ بلا فَصلٍ‌؛ و لا نَذكُرُ في ذلكَ إلّاأدلّةً قاطعةً لا يَدخُلُها تأويلٌ و لا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يَدَّعيه المخالِفونَ مِن الإجماعِ علىٰ إمامةِ أبي بَكرٍ محتَمِلٌ أيضاً؛ لأنّ إطباقَ الكُلِّ علَى الرضا بإمامتِه غيرُ معلومٍ ضرورةً‌، و إنّما يُتعلَّقُ فيه</w:t>
      </w:r>
      <w:r>
        <w:rPr>
          <w:rStyle w:val="FootnoteAnchor"/>
          <w:rtl w:val="true"/>
        </w:rPr>
        <w:footnoteReference w:id="261"/>
      </w:r>
      <w:r>
        <w:rPr>
          <w:rFonts w:ascii="Amiri" w:hAnsi="Amiri" w:eastAsia="Amiri" w:cs="Amiri"/>
          <w:color w:val="111111"/>
          <w:sz w:val="28"/>
          <w:sz w:val="28"/>
          <w:szCs w:val="28"/>
          <w:rtl w:val="true"/>
          <w:lang w:bidi="ar-SA"/>
        </w:rPr>
        <w:t>بالإمساكِ عن النَّكيرِ و الكَفِّ عن المنازَعةِ و المخالَفةِ‌، و ذلكَ غيرُ معلومٍ و لا مسلَّمٍ في جميعِ الأحوالِ‌، و لَو سُلِّمَ في جميعِها لَم يَكُن فيه دَلالةٌ علَى الرضا؛ لأنّ الرضا لا يُعلَمُ بوقوعِ الكَفِّ عن النَّكيرِ فقَط دونَ أن يُعلَمَ أنّه لا وجهَ للكَفِّ إلّاالرضا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تَقرَّرَ بما ذَكَرناه دخولُ الاحتمالِ فيما يَدَّعونَه</w:t>
      </w:r>
      <w:r>
        <w:rPr>
          <w:rStyle w:val="FootnoteAnchor"/>
          <w:rtl w:val="true"/>
        </w:rPr>
        <w:footnoteReference w:id="262"/>
      </w:r>
      <w:r>
        <w:rPr>
          <w:rFonts w:ascii="Amiri" w:hAnsi="Amiri" w:eastAsia="Amiri" w:cs="Amiri"/>
          <w:color w:val="111111"/>
          <w:sz w:val="28"/>
          <w:sz w:val="28"/>
          <w:szCs w:val="28"/>
          <w:rtl w:val="true"/>
          <w:lang w:bidi="ar-SA"/>
        </w:rPr>
        <w:t>مِن الإجماعِ ، و جازَ أن يُصرَفَ عن ظاهرِه لَو كانَ له ظاهرٌ يَقتَضي الرِّضا، و لَيسَ كذلكَ علَى</w:t>
      </w:r>
      <w:r>
        <w:rPr>
          <w:rStyle w:val="FootnoteAnchor"/>
          <w:rtl w:val="true"/>
        </w:rPr>
        <w:footnoteReference w:id="263"/>
      </w:r>
      <w:r>
        <w:rPr>
          <w:rFonts w:ascii="Amiri" w:hAnsi="Amiri" w:eastAsia="Amiri" w:cs="Amiri"/>
          <w:color w:val="111111"/>
          <w:sz w:val="28"/>
          <w:sz w:val="28"/>
          <w:szCs w:val="28"/>
          <w:rtl w:val="true"/>
          <w:lang w:bidi="ar-SA"/>
        </w:rPr>
        <w:t xml:space="preserve">الحقيقةِ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ثبَتَت هذه الجُملةُ ، فلَو لَم يَصِحَّ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الاحتمالِ عن أدلّتِنا الذي</w:t>
      </w:r>
      <w:r>
        <w:rPr>
          <w:rStyle w:val="FootnoteAnchor"/>
          <w:rtl w:val="true"/>
        </w:rPr>
        <w:footnoteReference w:id="264"/>
      </w:r>
      <w:bookmarkStart w:id="79" w:name="pg20017_202378"/>
    </w:p>
    <w:p>
      <w:pPr>
        <w:pStyle w:val="BookText"/>
        <w:rPr/>
      </w:pPr>
      <w:bookmarkEnd w:id="79"/>
      <w:r>
        <w:rPr>
          <w:rFonts w:ascii="Amiri" w:hAnsi="Amiri" w:eastAsia="Amiri" w:cs="Amiri"/>
          <w:color w:val="111111"/>
          <w:sz w:val="28"/>
          <w:sz w:val="28"/>
          <w:szCs w:val="28"/>
          <w:rtl w:val="true"/>
          <w:lang w:bidi="ar-SA"/>
        </w:rPr>
        <w:t xml:space="preserve">إذا ثَبَتَ </w:t>
      </w:r>
      <w:r>
        <w:rPr>
          <w:rStyle w:val="FootnoteAnchor"/>
          <w:rtl w:val="true"/>
        </w:rPr>
        <w:footnoteReference w:id="265"/>
      </w:r>
      <w:r>
        <w:rPr>
          <w:rFonts w:ascii="Amiri" w:hAnsi="Amiri" w:eastAsia="Amiri" w:cs="Amiri"/>
          <w:color w:val="111111"/>
          <w:sz w:val="28"/>
          <w:sz w:val="28"/>
          <w:szCs w:val="28"/>
          <w:rtl w:val="true"/>
          <w:lang w:bidi="ar-SA"/>
        </w:rPr>
        <w:t xml:space="preserve">قَضىٰ علىٰ ما يَدَّعونَه مِن الإجماعِ الذي هو محتمِلٌ في نفسِه، و دخَلَها الاحتمالُ علىٰ ما يَدَّعيه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إذا كانَ الاحتمالُ داخلاً</w:t>
      </w:r>
      <w:r>
        <w:rPr>
          <w:rStyle w:val="FootnoteAnchor"/>
          <w:rtl w:val="true"/>
        </w:rPr>
        <w:footnoteReference w:id="266"/>
      </w:r>
      <w:r>
        <w:rPr>
          <w:rFonts w:ascii="Amiri" w:hAnsi="Amiri" w:eastAsia="Amiri" w:cs="Amiri"/>
          <w:color w:val="111111"/>
          <w:sz w:val="28"/>
          <w:sz w:val="28"/>
          <w:szCs w:val="28"/>
          <w:rtl w:val="true"/>
          <w:lang w:bidi="ar-SA"/>
        </w:rPr>
        <w:t>في الأمرَينِ أن يَبطُلَ الترجيحُ ، و يَجِبَ أن يُنظَرَ في كُلِّ واحدٍ مِن الأمرَينِ علىٰ حِدَتِه؛ فإذا صَحَّ قَضَينا به علىٰ فَسادِ الآخَرِ</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964049_2320776876"/>
      <w:bookmarkStart w:id="81" w:name="_Toc28"/>
      <w:bookmarkEnd w:id="80"/>
      <w:r>
        <w:rPr>
          <w:rtl w:val="true"/>
        </w:rPr>
        <w:t>نقض كلام القاضي بنفس طريقته</w:t>
      </w:r>
      <w:bookmarkEnd w:id="81"/>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فمتىٰ ثبَتَ لهم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دليلَ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الطعنُ به في جُملةِ أدلّتهم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يبيِّنُ أنّ الواجبَ التشاغُلُ بهذه الدَّلالةِ‌؛ لأنّها إن صَحَّت فلا وجهَ لأدلّتِهم، و إن لَم تَصِحَّ فقد استَغنَوا عن أدلّتِهم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فيه مثلُ‌</w:t>
      </w:r>
      <w:r>
        <w:rPr>
          <w:rStyle w:val="FootnoteAnchor"/>
          <w:rtl w:val="true"/>
        </w:rPr>
        <w:footnoteReference w:id="267"/>
      </w:r>
      <w:r>
        <w:rPr>
          <w:rFonts w:ascii="Amiri" w:hAnsi="Amiri" w:eastAsia="Amiri" w:cs="Amiri"/>
          <w:color w:val="111111"/>
          <w:sz w:val="28"/>
          <w:sz w:val="28"/>
          <w:szCs w:val="28"/>
          <w:rtl w:val="true"/>
          <w:lang w:bidi="ar-SA"/>
        </w:rPr>
        <w:t>ما له؛ لأنّا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w:t>
      </w:r>
      <w:r>
        <w:rPr>
          <w:rStyle w:val="FootnoteAnchor"/>
          <w:rtl w:val="true"/>
        </w:rPr>
        <w:footnoteReference w:id="268"/>
      </w:r>
      <w:r>
        <w:rPr>
          <w:rFonts w:ascii="Amiri" w:hAnsi="Amiri" w:eastAsia="Amiri" w:cs="Amiri"/>
          <w:color w:val="111111"/>
          <w:sz w:val="28"/>
          <w:sz w:val="28"/>
          <w:szCs w:val="28"/>
          <w:rtl w:val="true"/>
          <w:lang w:bidi="ar-SA"/>
        </w:rPr>
        <w:t xml:space="preserve">صَحَّ ما يُستدلُّ به علىٰ صحّةِ النصِّ‌، و قامَت حُجّتُه، صَحَّ الطعنُ به في جُملةِ أدلّةِ مَن خالَفَنا، التي مِن جُملتِها التعلُّقُ بالإجماعِ </w:t>
      </w:r>
      <w:r>
        <w:rPr>
          <w:rStyle w:val="FootnoteAnchor"/>
          <w:rtl w:val="true"/>
        </w:rPr>
        <w:footnoteReference w:id="269"/>
      </w:r>
      <w:r>
        <w:rPr>
          <w:rFonts w:ascii="Amiri" w:hAnsi="Amiri" w:eastAsia="Amiri" w:cs="Amiri"/>
          <w:color w:val="111111"/>
          <w:sz w:val="28"/>
          <w:sz w:val="28"/>
          <w:szCs w:val="28"/>
          <w:rtl w:val="true"/>
          <w:lang w:bidi="ar-SA"/>
        </w:rPr>
        <w:t>، فلَو لَم نَشتغِلْ بأدلّتِهم أصلاً لَصَحَّ ، و لَلَزِمَهم أن يُكلِّمونا فيما نَعتمِدُه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هو صحيحٌ أم لا؟ فإن صَحَّ فقَد كُفِينا</w:t>
      </w:r>
      <w:r>
        <w:rPr>
          <w:rStyle w:val="FootnoteAnchor"/>
          <w:rtl w:val="true"/>
        </w:rPr>
        <w:footnoteReference w:id="270"/>
      </w:r>
      <w:r>
        <w:rPr>
          <w:rFonts w:ascii="Amiri" w:hAnsi="Amiri" w:eastAsia="Amiri" w:cs="Amiri"/>
          <w:color w:val="111111"/>
          <w:sz w:val="28"/>
          <w:sz w:val="28"/>
          <w:szCs w:val="28"/>
          <w:rtl w:val="true"/>
          <w:lang w:bidi="ar-SA"/>
        </w:rPr>
        <w:t>مَؤونةَ الاشتغالِ بأدلّتِهم، و إن لَم يَصِحَّ شيءٌ ممّا نَعتمِدُه مِن أدلّةِ النصِّ فقد كُفوا هم</w:t>
      </w:r>
      <w:r>
        <w:rPr>
          <w:rStyle w:val="FootnoteAnchor"/>
          <w:rtl w:val="true"/>
        </w:rPr>
        <w:footnoteReference w:id="271"/>
      </w:r>
      <w:r>
        <w:rPr>
          <w:rFonts w:ascii="Amiri" w:hAnsi="Amiri" w:eastAsia="Amiri" w:cs="Amiri"/>
          <w:color w:val="111111"/>
          <w:sz w:val="28"/>
          <w:sz w:val="28"/>
          <w:szCs w:val="28"/>
          <w:rtl w:val="true"/>
          <w:lang w:bidi="ar-SA"/>
        </w:rPr>
        <w:t>مَؤونةَ الاشتغالِ بأدلَّتِهم</w:t>
      </w:r>
      <w:r>
        <w:rPr>
          <w:rStyle w:val="FootnoteAnchor"/>
          <w:rtl w:val="true"/>
        </w:rPr>
        <w:footnoteReference w:id="272"/>
      </w:r>
      <w:r>
        <w:rPr>
          <w:rFonts w:ascii="Amiri" w:hAnsi="Amiri" w:eastAsia="Amiri" w:cs="Amiri"/>
          <w:color w:val="111111"/>
          <w:sz w:val="28"/>
          <w:sz w:val="28"/>
          <w:szCs w:val="28"/>
          <w:rtl w:val="true"/>
          <w:lang w:bidi="ar-SA"/>
        </w:rPr>
        <w:t xml:space="preserve">لأنّ إمامةَ </w:t>
      </w:r>
      <w:bookmarkStart w:id="82" w:name="pg20017_202379"/>
    </w:p>
    <w:p>
      <w:pPr>
        <w:pStyle w:val="BookText"/>
        <w:rPr/>
      </w:pPr>
      <w:bookmarkEnd w:id="82"/>
      <w:r>
        <w:rPr>
          <w:rFonts w:ascii="Amiri" w:hAnsi="Amiri" w:eastAsia="Amiri" w:cs="Amiri"/>
          <w:color w:val="111111"/>
          <w:sz w:val="28"/>
          <w:sz w:val="28"/>
          <w:szCs w:val="28"/>
          <w:rtl w:val="true"/>
          <w:lang w:bidi="ar-SA"/>
        </w:rPr>
        <w:t>أميرِ المؤمِنينَ عليه السلامُ إذا لَم تَصِحَّ فالصحيحُ إمامةُ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مقابَلةٌ له بمِثلِ لفظِه أو بقَريبٍ منه، فإن وجَبَ بما ذَكرَه العُدولُ عن الكلامِ في أدلّتِنا إلَى الكلامِ فيما يَدَّعي مِن الإجماعِ ، وجَبَ بمِثلِه العُدولُ عن الكلامِ في الإجماعِ إلَى الكلامِ في أدلّتِنا</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964051_2320776876"/>
      <w:bookmarkStart w:id="84" w:name="_Toc29"/>
      <w:bookmarkEnd w:id="83"/>
      <w:r>
        <w:rPr>
          <w:rtl w:val="true"/>
        </w:rPr>
        <w:t>تهافت كلام القاضي</w:t>
      </w:r>
      <w:bookmarkEnd w:id="84"/>
    </w:p>
    <w:p>
      <w:pPr>
        <w:pStyle w:val="BookText"/>
        <w:rPr/>
      </w:pPr>
      <w:r>
        <w:rPr>
          <w:rFonts w:ascii="Amiri" w:hAnsi="Amiri" w:eastAsia="Amiri" w:cs="Amiri"/>
          <w:color w:val="111111"/>
          <w:sz w:val="28"/>
          <w:sz w:val="28"/>
          <w:szCs w:val="28"/>
          <w:rtl w:val="true"/>
          <w:lang w:bidi="ar-SA"/>
        </w:rPr>
        <w:t>و مِن العجَبِ أنّه يعارِضُ فيما تَقدَّمَ‌</w:t>
      </w:r>
      <w:r>
        <w:rPr>
          <w:rStyle w:val="FootnoteAnchor"/>
          <w:rtl w:val="true"/>
        </w:rPr>
        <w:footnoteReference w:id="273"/>
      </w:r>
      <w:r>
        <w:rPr>
          <w:rFonts w:ascii="Amiri" w:hAnsi="Amiri" w:eastAsia="Amiri" w:cs="Amiri"/>
          <w:color w:val="111111"/>
          <w:sz w:val="28"/>
          <w:sz w:val="28"/>
          <w:szCs w:val="28"/>
          <w:rtl w:val="true"/>
          <w:lang w:bidi="ar-SA"/>
        </w:rPr>
        <w:t>ما نَرويهِ مِن النصِّ الجَليِّ علىٰ أميرِ المؤمِنينَ عليه السلامُ بما يُحكىٰ عن العبّاسيّةِ‌</w:t>
      </w:r>
      <w:r>
        <w:rPr>
          <w:rStyle w:val="FootnoteAnchor"/>
          <w:rtl w:val="true"/>
        </w:rPr>
        <w:footnoteReference w:id="274"/>
      </w:r>
      <w:r>
        <w:rPr>
          <w:rFonts w:ascii="Amiri" w:hAnsi="Amiri" w:eastAsia="Amiri" w:cs="Amiri"/>
          <w:color w:val="111111"/>
          <w:sz w:val="28"/>
          <w:sz w:val="28"/>
          <w:szCs w:val="28"/>
          <w:rtl w:val="true"/>
          <w:lang w:bidi="ar-SA"/>
        </w:rPr>
        <w:t>ما تَدَّعيهِ مِن النصِّ علىٰ صاحبِهم</w:t>
      </w:r>
      <w:r>
        <w:rPr>
          <w:rStyle w:val="FootnoteAnchor"/>
          <w:rtl w:val="true"/>
        </w:rPr>
        <w:footnoteReference w:id="275"/>
      </w:r>
      <w:r>
        <w:rPr>
          <w:rFonts w:ascii="Amiri" w:hAnsi="Amiri" w:eastAsia="Amiri" w:cs="Amiri"/>
          <w:color w:val="111111"/>
          <w:sz w:val="28"/>
          <w:sz w:val="28"/>
          <w:szCs w:val="28"/>
          <w:rtl w:val="true"/>
          <w:lang w:bidi="ar-SA"/>
        </w:rPr>
        <w:t>العبّاسِ و يُسَوّي بَينَ القولَينِ‌، و هو يَقولُ في هذا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خِلافَ أنّ إمامةَ أبي بَكرٍ إذا لَم تَصِحَّ فالصحيحُ إمامةُ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Style w:val="FootnoteAnchor"/>
          <w:rtl w:val="true"/>
        </w:rPr>
        <w:footnoteReference w:id="276"/>
      </w:r>
      <w:r>
        <w:rPr>
          <w:rFonts w:ascii="Amiri" w:hAnsi="Amiri" w:eastAsia="Amiri" w:cs="Amiri"/>
          <w:color w:val="111111"/>
          <w:sz w:val="28"/>
          <w:sz w:val="28"/>
          <w:szCs w:val="28"/>
          <w:rtl w:val="true"/>
          <w:lang w:bidi="ar-SA"/>
        </w:rPr>
        <w:t>هاهنا لا يَحفِلُ بقَولِ العبّاسيّةِ‌، و يُسقِطُه عن جُملةِ‌</w:t>
      </w:r>
      <w:r>
        <w:rPr>
          <w:rStyle w:val="FootnoteAnchor"/>
          <w:rtl w:val="true"/>
        </w:rPr>
        <w:footnoteReference w:id="277"/>
      </w:r>
      <w:r>
        <w:rPr>
          <w:rFonts w:ascii="Amiri" w:hAnsi="Amiri" w:eastAsia="Amiri" w:cs="Amiri"/>
          <w:color w:val="111111"/>
          <w:sz w:val="28"/>
          <w:sz w:val="28"/>
          <w:szCs w:val="28"/>
          <w:rtl w:val="true"/>
          <w:lang w:bidi="ar-SA"/>
        </w:rPr>
        <w:t xml:space="preserve">أقوالِ المُجمِعينَ‌، و فيما تَقدَّمَ يَجعَلُه مُساوياً لقَولِ الشيعةِ التي لا يُخرِجُ قولَها مِن الإجماعِ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صنَعَ في بابِ البَكريّةِ ؛ لأنّه عارَضَ بقَولِهم قولَ الشيعةِ فيما تَقدَّمَ </w:t>
      </w:r>
      <w:r>
        <w:rPr>
          <w:rStyle w:val="FootnoteAnchor"/>
          <w:rtl w:val="true"/>
        </w:rPr>
        <w:footnoteReference w:id="278"/>
      </w:r>
      <w:r>
        <w:rPr>
          <w:rFonts w:ascii="Amiri" w:hAnsi="Amiri" w:eastAsia="Amiri" w:cs="Amiri"/>
          <w:color w:val="111111"/>
          <w:sz w:val="28"/>
          <w:sz w:val="28"/>
          <w:szCs w:val="28"/>
          <w:rtl w:val="true"/>
          <w:lang w:bidi="ar-SA"/>
        </w:rPr>
        <w:t>، و أنكَرَ علىٰ مَن حكَمَ فيهم</w:t>
      </w:r>
      <w:r>
        <w:rPr>
          <w:rStyle w:val="FootnoteAnchor"/>
          <w:rtl w:val="true"/>
        </w:rPr>
        <w:footnoteReference w:id="279"/>
      </w:r>
      <w:r>
        <w:rPr>
          <w:rFonts w:ascii="Amiri" w:hAnsi="Amiri" w:eastAsia="Amiri" w:cs="Amiri"/>
          <w:color w:val="111111"/>
          <w:sz w:val="28"/>
          <w:sz w:val="28"/>
          <w:szCs w:val="28"/>
          <w:rtl w:val="true"/>
          <w:lang w:bidi="ar-SA"/>
        </w:rPr>
        <w:t xml:space="preserve">بالشُّذوذِ، و جعَلَهم كشيعةِ أميرِ المؤمِنينَ </w:t>
      </w:r>
      <w:bookmarkStart w:id="85" w:name="pg20017_202380"/>
    </w:p>
    <w:p>
      <w:pPr>
        <w:pStyle w:val="BookText"/>
        <w:rPr/>
      </w:pPr>
      <w:bookmarkEnd w:id="85"/>
      <w:r>
        <w:rPr>
          <w:rFonts w:ascii="Amiri" w:hAnsi="Amiri" w:eastAsia="Amiri" w:cs="Amiri"/>
          <w:color w:val="111111"/>
          <w:sz w:val="28"/>
          <w:sz w:val="28"/>
          <w:szCs w:val="28"/>
          <w:rtl w:val="true"/>
          <w:lang w:bidi="ar-SA"/>
        </w:rPr>
        <w:t>عليه السلامُ في سائرِ الأحوالِ‌، و قالَ في هذا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قولَهم متروكٌ لا معوَّلَ‌</w:t>
      </w:r>
      <w:r>
        <w:rPr>
          <w:rStyle w:val="FootnoteAnchor"/>
          <w:rtl w:val="true"/>
        </w:rPr>
        <w:footnoteReference w:id="280"/>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إذا شاءَ أن يَحتَجَّ بقَولِهم قوّاه و شيَّدَه، و إذا رأىٰ أنّ الحُجّةَ في قولِهم عليه ضعَّفَه و 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صورةُ مَن يَنصُرُ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مَقصَدُنا بإيرادِ أدلّتِنا إبطالَ قولِ مَن يَدَّعي إمامةَ أبي بَكرٍ مِن جهةِ النصِّ حسَبَ ما سأل نفسَه</w:t>
      </w:r>
      <w:r>
        <w:rPr>
          <w:rStyle w:val="FootnoteAnchor"/>
          <w:rtl w:val="true"/>
        </w:rPr>
        <w:footnoteReference w:id="281"/>
      </w:r>
      <w:r>
        <w:rPr>
          <w:rFonts w:ascii="Amiri" w:hAnsi="Amiri" w:eastAsia="Amiri" w:cs="Amiri"/>
          <w:color w:val="111111"/>
          <w:sz w:val="28"/>
          <w:sz w:val="28"/>
          <w:szCs w:val="28"/>
          <w:rtl w:val="true"/>
          <w:lang w:bidi="ar-SA"/>
        </w:rPr>
        <w:t>عنه، بَل مَقصَدُنا بإيرادِها إبطالُ كُلِّ قولٍ يُخالِفُ النصَّ علىٰ</w:t>
      </w:r>
    </w:p>
    <w:p>
      <w:pPr>
        <w:pStyle w:val="BookText"/>
        <w:rPr/>
      </w:pPr>
      <w:r>
        <w:rPr>
          <w:rFonts w:ascii="Amiri" w:hAnsi="Amiri" w:eastAsia="Amiri" w:cs="Amiri"/>
          <w:color w:val="111111"/>
          <w:sz w:val="28"/>
          <w:sz w:val="28"/>
          <w:szCs w:val="28"/>
          <w:rtl w:val="true"/>
          <w:lang w:bidi="ar-SA"/>
        </w:rPr>
        <w:t>أميرِ المؤمِنينَ عليه السلامُ ، فكَيفَ يظُنُّ أنّ أدلّتَنا تَتناوَلُ خِلافَ البَكريّةِ ، دونَ خِلافِ مَن أثبَتَ إمامةَ أبي بَكرٍ مِن جهةِ الاختيارِ؟</w:t>
      </w:r>
    </w:p>
    <w:p>
      <w:pPr>
        <w:pStyle w:val="BookText"/>
        <w:rPr/>
      </w:pPr>
      <w:r>
        <w:rPr>
          <w:rFonts w:ascii="Amiri" w:hAnsi="Amiri" w:eastAsia="Amiri" w:cs="Amiri"/>
          <w:color w:val="111111"/>
          <w:sz w:val="28"/>
          <w:sz w:val="28"/>
          <w:szCs w:val="28"/>
          <w:rtl w:val="true"/>
          <w:lang w:bidi="ar-SA"/>
        </w:rPr>
        <w:t>و الوجهُ الذي منه يُتَناوَلُ خِلافُ البَكريّةِ مِن مِثلِه يُتَناوَلُ خِلافُ مَن عَداهم؛ لأنّه كما يَبطُلُ قولُ مَن ادَّعَى النصَّ علىٰ أبي بَكرٍ متىٰ ثبَتَ النصُّ علىٰ أميرِ المؤمِنينَ عليه السلامُ ، كذلكَ يَبطُلُ قولُ مَن ادَّعىٰ ثُبوتَ إمامةِ أبي بَكرٍ مِن جهةِ الاختيارِ متىٰ ثبَتَ النصُّ عليه</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964053_2320776876"/>
      <w:bookmarkStart w:id="87" w:name="_Toc30"/>
      <w:bookmarkEnd w:id="86"/>
      <w:r>
        <w:rPr>
          <w:rtl w:val="true"/>
        </w:rPr>
        <w:t>إلزام القاضي بنفس ما ألزم به القائلين بالنصّ</w:t>
      </w:r>
      <w:bookmarkEnd w:id="87"/>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نَقُلْ ذلكَ لأنّ إيرادَهم هذه الأدِلّةَ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الفَصلِ ، فمُبطِلٌ لفائدةِ </w:t>
      </w:r>
      <w:r>
        <w:rPr>
          <w:rStyle w:val="FootnoteAnchor"/>
          <w:rtl w:val="true"/>
        </w:rPr>
        <w:footnoteReference w:id="282"/>
      </w:r>
      <w:r>
        <w:rPr>
          <w:rFonts w:ascii="Amiri" w:hAnsi="Amiri" w:eastAsia="Amiri" w:cs="Amiri"/>
          <w:color w:val="111111"/>
          <w:sz w:val="28"/>
          <w:sz w:val="28"/>
          <w:szCs w:val="28"/>
          <w:rtl w:val="true"/>
          <w:lang w:bidi="ar-SA"/>
        </w:rPr>
        <w:t>جميعِ ما تَكلَّفَه؛ لأنّه إذا كانَ إيرادُنا لأدلّتِنا يَصِحُّ و يَجِبُ أن يُتكلَّمَ فيها متَى</w:t>
      </w:r>
      <w:r>
        <w:rPr>
          <w:rStyle w:val="FootnoteAnchor"/>
          <w:rtl w:val="true"/>
        </w:rPr>
        <w:footnoteReference w:id="283"/>
      </w:r>
      <w:r>
        <w:rPr>
          <w:rFonts w:ascii="Amiri" w:hAnsi="Amiri" w:eastAsia="Amiri" w:cs="Amiri"/>
          <w:color w:val="111111"/>
          <w:sz w:val="28"/>
          <w:sz w:val="28"/>
          <w:szCs w:val="28"/>
          <w:rtl w:val="true"/>
          <w:lang w:bidi="ar-SA"/>
        </w:rPr>
        <w:t>احتَجَجنا بها، و لا يُعدَلُ بنا إلَى الكلامِ فيما يَعتمِدُه المخالِفُ ، فأيُّ ترجيحٍ بَينَ الأدلّةِ؟ و أيُّ ثَمرةٍ لِما تَكلَّفَه و أطالَ الكلامَ فيه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شكَّ أنّ طريقتَهم يُمكِنُ أن يُعترَضَ بها علىٰ جميعِ طُرُقِنا؛ لأنّها لَو صَحَّت </w:t>
      </w:r>
    </w:p>
    <w:p>
      <w:pPr>
        <w:pStyle w:val="BookText"/>
        <w:rPr/>
      </w:pPr>
      <w:r>
        <w:rPr>
          <w:rFonts w:ascii="Amiri" w:hAnsi="Amiri" w:eastAsia="Amiri" w:cs="Amiri"/>
          <w:color w:val="111111"/>
          <w:sz w:val="28"/>
          <w:sz w:val="28"/>
          <w:szCs w:val="28"/>
          <w:rtl w:val="true"/>
          <w:lang w:bidi="ar-SA"/>
        </w:rPr>
        <w:t>لَم يَلزَمِ الاشتغالُ بأدلّتِنا إلّاكما يَلزَمُ الاشتغالُ بتأويلِ الآيِ المتشابِهةِ‌، حسَبَ ما ذَكرَه، غيرَ أنّ ذلكَ ثابتٌ أيضاً في أدلّتِنا؛ لأنّه لا إشكالَ في أنّ كُلَّ طريقةٍ نَعتمِدُها</w:t>
      </w:r>
      <w:r>
        <w:rPr>
          <w:rStyle w:val="FootnoteAnchor"/>
          <w:rtl w:val="true"/>
        </w:rPr>
        <w:footnoteReference w:id="284"/>
      </w:r>
      <w:r>
        <w:rPr>
          <w:rFonts w:ascii="Amiri" w:hAnsi="Amiri" w:eastAsia="Amiri" w:cs="Amiri"/>
          <w:color w:val="111111"/>
          <w:sz w:val="28"/>
          <w:sz w:val="28"/>
          <w:szCs w:val="28"/>
          <w:rtl w:val="true"/>
          <w:lang w:bidi="ar-SA"/>
        </w:rPr>
        <w:t>في النصِّ يَعترِضُ ما يَعتمِدونَه في إمامةِ أبي بَكرٍ، و</w:t>
      </w:r>
      <w:r>
        <w:rPr>
          <w:rStyle w:val="FootnoteAnchor"/>
          <w:rtl w:val="true"/>
        </w:rPr>
        <w:footnoteReference w:id="285"/>
      </w:r>
      <w:r>
        <w:rPr>
          <w:rFonts w:ascii="Amiri" w:hAnsi="Amiri" w:eastAsia="Amiri" w:cs="Amiri"/>
          <w:color w:val="111111"/>
          <w:sz w:val="28"/>
          <w:sz w:val="28"/>
          <w:szCs w:val="28"/>
          <w:rtl w:val="true"/>
          <w:lang w:bidi="ar-SA"/>
        </w:rPr>
        <w:t>أنّها متىٰ صَحَّت لَم يَجِبْ أن يُشتغَلَ‌</w:t>
      </w:r>
      <w:r>
        <w:rPr>
          <w:rStyle w:val="FootnoteAnchor"/>
          <w:rtl w:val="true"/>
        </w:rPr>
        <w:footnoteReference w:id="286"/>
      </w:r>
      <w:r>
        <w:rPr>
          <w:rFonts w:ascii="Amiri" w:hAnsi="Amiri" w:eastAsia="Amiri" w:cs="Amiri"/>
          <w:color w:val="111111"/>
          <w:sz w:val="28"/>
          <w:sz w:val="28"/>
          <w:szCs w:val="28"/>
          <w:rtl w:val="true"/>
          <w:lang w:bidi="ar-SA"/>
        </w:rPr>
        <w:t xml:space="preserve">بما يَدَّعونَه مِن الأدلّةِ إلّاكما يُشتَغَلُ </w:t>
      </w:r>
      <w:r>
        <w:rPr>
          <w:rStyle w:val="FootnoteAnchor"/>
          <w:rtl w:val="true"/>
        </w:rPr>
        <w:footnoteReference w:id="287"/>
      </w:r>
      <w:r>
        <w:rPr>
          <w:rFonts w:ascii="Amiri" w:hAnsi="Amiri" w:eastAsia="Amiri" w:cs="Amiri"/>
          <w:color w:val="111111"/>
          <w:sz w:val="28"/>
          <w:sz w:val="28"/>
          <w:szCs w:val="28"/>
          <w:rtl w:val="true"/>
          <w:lang w:bidi="ar-SA"/>
        </w:rPr>
        <w:t xml:space="preserve">بتأويلِ الآيِ المتشابِهةِ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ثبَتَ علىٰ كُلِّ حالٍ أنّ الكلامَ في أدلّتِنا متَى اعتَمَدناها يَجِبُ عليهم الكلامُ فيها</w:t>
      </w:r>
      <w:r>
        <w:rPr>
          <w:rStyle w:val="FootnoteAnchor"/>
          <w:rtl w:val="true"/>
        </w:rPr>
        <w:footnoteReference w:id="288"/>
      </w:r>
      <w:r>
        <w:rPr>
          <w:rFonts w:ascii="Amiri" w:hAnsi="Amiri" w:eastAsia="Amiri" w:cs="Amiri"/>
          <w:color w:val="111111"/>
          <w:sz w:val="28"/>
          <w:sz w:val="28"/>
          <w:szCs w:val="28"/>
          <w:rtl w:val="true"/>
          <w:lang w:bidi="ar-SA"/>
        </w:rPr>
        <w:t xml:space="preserve">، و أنّ مَن حادَ عن الكلامِ عليها و نقَلَه إلَى الإجماعِ و ادَّعىٰ أنّه هو الواجبُ مُطالِبٌ بما لا يَلزَمُ </w:t>
      </w:r>
      <w:r>
        <w:rPr>
          <w:rFonts w:eastAsia="Amiri" w:cs="Amiri" w:ascii="Amiri" w:hAnsi="Amiri"/>
          <w:color w:val="111111"/>
          <w:sz w:val="28"/>
          <w:szCs w:val="28"/>
          <w:rtl w:val="true"/>
          <w:lang w:bidi="ar-SA"/>
        </w:rPr>
        <w:t xml:space="preserve">. </w:t>
      </w:r>
      <w:bookmarkStart w:id="88" w:name="pg20017_202382"/>
    </w:p>
    <w:p>
      <w:pPr>
        <w:pStyle w:val="Heading3"/>
        <w:numPr>
          <w:ilvl w:val="2"/>
          <w:numId w:val="1"/>
        </w:numPr>
        <w:rPr/>
      </w:pPr>
      <w:bookmarkStart w:id="89" w:name="__RefHeading___Toc964055_2320776876"/>
      <w:bookmarkStart w:id="90" w:name="_Toc31"/>
      <w:bookmarkEnd w:id="88"/>
      <w:bookmarkEnd w:id="89"/>
      <w:r>
        <w:rPr>
          <w:rtl w:val="true"/>
        </w:rPr>
        <w:t>الكلام في الأدلّة الدالّة علىٰ  إمامة أمير المؤمنين عليه السلام</w:t>
      </w:r>
      <w:bookmarkEnd w:id="9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 w:name="__RefHeading___Toc964057_2320776876"/>
      <w:bookmarkStart w:id="92" w:name="_Toc32"/>
      <w:bookmarkEnd w:id="91"/>
      <w:r>
        <w:rPr>
          <w:rtl w:val="true"/>
        </w:rPr>
        <w:t>اشارة</w:t>
      </w:r>
      <w:bookmarkEnd w:id="9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20017_202384"/>
      <w:bookmarkStart w:id="94" w:name="pg20017_202384"/>
      <w:bookmarkEnd w:id="94"/>
    </w:p>
    <w:p>
      <w:pPr>
        <w:pStyle w:val="Heading4"/>
        <w:numPr>
          <w:ilvl w:val="3"/>
          <w:numId w:val="1"/>
        </w:numPr>
        <w:rPr/>
      </w:pPr>
      <w:bookmarkStart w:id="95" w:name="pg20017_202384"/>
      <w:bookmarkStart w:id="96" w:name="__RefHeading___Toc964059_2320776876"/>
      <w:bookmarkStart w:id="97" w:name="_Toc33"/>
      <w:bookmarkEnd w:id="95"/>
      <w:bookmarkEnd w:id="96"/>
      <w:r>
        <w:rPr>
          <w:rtl w:val="true"/>
        </w:rPr>
        <w:t>الدليل الأوّل و الثاني و الثالث دليل العصمة، و الأفضليّة، و المطاعن</w:t>
      </w:r>
      <w:bookmarkEnd w:id="97"/>
    </w:p>
    <w:p>
      <w:pPr>
        <w:pStyle w:val="Heading5"/>
        <w:numPr>
          <w:ilvl w:val="4"/>
          <w:numId w:val="1"/>
        </w:numPr>
        <w:rPr/>
      </w:pPr>
      <w:bookmarkStart w:id="98" w:name="__RefHeading___Toc964061_2320776876"/>
      <w:bookmarkStart w:id="99" w:name="_Toc34"/>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نذكُرُ الآنَ سائرَ الطرُقِ التي يَذكُرونَها في إمامةِ أميرِ المؤمنينَ عليه السلامُ مِن نصٍّ و غيرِه، و نَتكلَّمُ عليه إن شاءَ اللّٰهُ </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دليلٌ لهم آخَرُ</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سَلَكوا في أنّه</w:t>
      </w:r>
      <w:r>
        <w:rPr>
          <w:rStyle w:val="FootnoteAnchor"/>
          <w:rtl w:val="true"/>
        </w:rPr>
        <w:footnoteReference w:id="291"/>
      </w:r>
      <w:r>
        <w:rPr>
          <w:rFonts w:ascii="Amiri" w:hAnsi="Amiri" w:eastAsia="Amiri" w:cs="Amiri"/>
          <w:color w:val="111111"/>
          <w:sz w:val="28"/>
          <w:sz w:val="28"/>
          <w:szCs w:val="28"/>
          <w:rtl w:val="true"/>
          <w:lang w:bidi="ar-SA"/>
        </w:rPr>
        <w:t>الإمامُ مسلَكَ مَن يَدَّعي أنّه لا يصلُحُ‌</w:t>
      </w:r>
      <w:r>
        <w:rPr>
          <w:rStyle w:val="FootnoteAnchor"/>
          <w:rtl w:val="true"/>
        </w:rPr>
        <w:footnoteReference w:id="292"/>
      </w:r>
      <w:r>
        <w:rPr>
          <w:rFonts w:ascii="Amiri" w:hAnsi="Amiri" w:eastAsia="Amiri" w:cs="Amiri"/>
          <w:color w:val="111111"/>
          <w:sz w:val="28"/>
          <w:sz w:val="28"/>
          <w:szCs w:val="28"/>
          <w:rtl w:val="true"/>
          <w:lang w:bidi="ar-SA"/>
        </w:rPr>
        <w:t>للإمامةِ سِواه، و يزعُمُ أنّ الإمامةَ إذا لَم يَصِحَّ أن يَكونَ‌</w:t>
      </w:r>
      <w:r>
        <w:rPr>
          <w:rStyle w:val="FootnoteAnchor"/>
          <w:rtl w:val="true"/>
        </w:rPr>
        <w:footnoteReference w:id="293"/>
      </w:r>
      <w:r>
        <w:rPr>
          <w:rFonts w:ascii="Amiri" w:hAnsi="Amiri" w:eastAsia="Amiri" w:cs="Amiri"/>
          <w:color w:val="111111"/>
          <w:sz w:val="28"/>
          <w:sz w:val="28"/>
          <w:szCs w:val="28"/>
          <w:rtl w:val="true"/>
          <w:lang w:bidi="ar-SA"/>
        </w:rPr>
        <w:t xml:space="preserve">إلّابنَصٍّ </w:t>
      </w:r>
      <w:r>
        <w:rPr>
          <w:rStyle w:val="FootnoteAnchor"/>
          <w:rtl w:val="true"/>
        </w:rPr>
        <w:footnoteReference w:id="294"/>
      </w:r>
      <w:r>
        <w:rPr>
          <w:rFonts w:ascii="Amiri" w:hAnsi="Amiri" w:eastAsia="Amiri" w:cs="Amiri"/>
          <w:color w:val="111111"/>
          <w:sz w:val="28"/>
          <w:sz w:val="28"/>
          <w:szCs w:val="28"/>
          <w:rtl w:val="true"/>
          <w:lang w:bidi="ar-SA"/>
        </w:rPr>
        <w:t xml:space="preserve">فيَجِبُ أن يَكونَ النصُّ عليه حاصلاً و إن لَم يُنقَلْ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لهم في ذلكَ طُرُقٌ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w:t>
      </w:r>
      <w:r>
        <w:rPr>
          <w:rStyle w:val="FootnoteAnchor"/>
          <w:rtl w:val="true"/>
        </w:rPr>
        <w:footnoteReference w:id="295"/>
      </w:r>
      <w:r>
        <w:rPr>
          <w:rFonts w:ascii="Amiri" w:hAnsi="Amiri" w:eastAsia="Amiri" w:cs="Amiri"/>
          <w:color w:val="111111"/>
          <w:sz w:val="28"/>
          <w:sz w:val="28"/>
          <w:szCs w:val="28"/>
          <w:rtl w:val="true"/>
          <w:lang w:bidi="ar-SA"/>
        </w:rPr>
        <w:t>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الإمامُ لا بُدَّ مِن أن يَكونَ معصوماً، و لَم </w:t>
      </w:r>
      <w:bookmarkStart w:id="100" w:name="pg20017_202385"/>
    </w:p>
    <w:p>
      <w:pPr>
        <w:pStyle w:val="BookText"/>
        <w:rPr/>
      </w:pPr>
      <w:bookmarkEnd w:id="100"/>
      <w:r>
        <w:rPr>
          <w:rFonts w:ascii="Amiri" w:hAnsi="Amiri" w:eastAsia="Amiri" w:cs="Amiri"/>
          <w:color w:val="111111"/>
          <w:sz w:val="28"/>
          <w:sz w:val="28"/>
          <w:szCs w:val="28"/>
          <w:rtl w:val="true"/>
          <w:lang w:bidi="ar-SA"/>
        </w:rPr>
        <w:t xml:space="preserve">يَثبُتْ في الصَّحابةِ مَن يُعلَمُ </w:t>
      </w:r>
      <w:r>
        <w:rPr>
          <w:rStyle w:val="FootnoteAnchor"/>
          <w:rtl w:val="true"/>
        </w:rPr>
        <w:footnoteReference w:id="296"/>
      </w:r>
      <w:r>
        <w:rPr>
          <w:rFonts w:ascii="Amiri" w:hAnsi="Amiri" w:eastAsia="Amiri" w:cs="Amiri"/>
          <w:color w:val="111111"/>
          <w:sz w:val="28"/>
          <w:sz w:val="28"/>
          <w:szCs w:val="28"/>
          <w:rtl w:val="true"/>
          <w:lang w:bidi="ar-SA"/>
        </w:rPr>
        <w:t xml:space="preserve">عصمتُه غيرُه، فيَجِبُ أن يَكونَ هو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الإمامَ لا يَكونُ إلّاالأفضَلَ ، و ثَبَتَ فيه عليه السلامُ أنّه</w:t>
      </w:r>
      <w:r>
        <w:rPr>
          <w:rStyle w:val="FootnoteAnchor"/>
          <w:rtl w:val="true"/>
        </w:rPr>
        <w:footnoteReference w:id="297"/>
      </w:r>
      <w:r>
        <w:rPr>
          <w:rFonts w:ascii="Amiri" w:hAnsi="Amiri" w:eastAsia="Amiri" w:cs="Amiri"/>
          <w:color w:val="111111"/>
          <w:sz w:val="28"/>
          <w:sz w:val="28"/>
          <w:szCs w:val="28"/>
          <w:rtl w:val="true"/>
          <w:lang w:bidi="ar-SA"/>
        </w:rPr>
        <w:t xml:space="preserve">الأفضَلُ ، فكأنّ النصَّ علىٰ إمامتِه منقولٌ و إن لَم يُنقَلْ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في غيرِه أنّه لا يصلُحُ للإمامةِ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لوجوهٍ </w:t>
      </w:r>
      <w:r>
        <w:rPr>
          <w:rStyle w:val="FootnoteAnchor"/>
          <w:rtl w:val="true"/>
        </w:rPr>
        <w:footnoteReference w:id="298"/>
      </w:r>
      <w:r>
        <w:rPr>
          <w:rFonts w:ascii="Amiri" w:hAnsi="Amiri" w:eastAsia="Amiri" w:cs="Amiri"/>
          <w:color w:val="111111"/>
          <w:sz w:val="28"/>
          <w:sz w:val="28"/>
          <w:szCs w:val="28"/>
          <w:rtl w:val="true"/>
          <w:lang w:bidi="ar-SA"/>
        </w:rPr>
        <w:t xml:space="preserve">مِن القَدحِ يَذكُرونها في أبي بَكرٍ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يَكونَ الإمامُ عليّاً عليه السلامُ ، و أن يَكونَ هناكَ نَصٌّ و إن لَم يُنقَلْ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يُمكِنُهم التعلُّقُ بالنصِّ مِن غيرِ نقلِ النصِّ إلّامِن هذه الوجوهِ ، و بادّعاءِ المُعجِزِ الذي قد بيّنّا فَسادَه</w:t>
      </w:r>
      <w:r>
        <w:rPr>
          <w:rFonts w:eastAsia="Amiri" w:cs="Amiri" w:ascii="Amiri" w:hAnsi="Amiri"/>
          <w:color w:val="111111"/>
          <w:sz w:val="28"/>
          <w:szCs w:val="28"/>
          <w:rtl w:val="true"/>
          <w:lang w:bidi="ar-SA"/>
        </w:rPr>
        <w:t>].</w:t>
      </w:r>
      <w:r>
        <w:rPr>
          <w:rStyle w:val="FootnoteAnchor"/>
          <w:rtl w:val="true"/>
        </w:rPr>
        <w:footnoteReference w:id="299"/>
      </w:r>
    </w:p>
    <w:p>
      <w:pPr>
        <w:pStyle w:val="Heading5"/>
        <w:numPr>
          <w:ilvl w:val="4"/>
          <w:numId w:val="1"/>
        </w:numPr>
        <w:rPr/>
      </w:pPr>
      <w:bookmarkStart w:id="101" w:name="__RefHeading___Toc964063_2320776876"/>
      <w:bookmarkStart w:id="102" w:name="_Toc35"/>
      <w:bookmarkEnd w:id="101"/>
      <w:r>
        <w:rPr>
          <w:rtl w:val="true"/>
        </w:rPr>
        <w:t>تقرير المصنّف لدليل العصمة</w:t>
      </w:r>
      <w:bookmarkEnd w:id="102"/>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أَورَدتَ دليلَ التعلُّقِ بالعصمةِ علىٰ غيرِ وجهِه، و رَتَّبتَه علىٰ وجهٍ لا يدُلُّ معه علىٰ ما جَعَلناه دليلاً عليه، و لَو جَعَلتَ بَدَلاً 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يَثبُتْ في الصحابةِ مَن يُعلَمُ عصمتُه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 يَكُن فيمَن ادُّعِيَت له الإمامةُ بَعدَ الرسول صَلّى اللّٰهُ عليه و آلِه إلّامَن تَقطَعُ </w:t>
      </w:r>
      <w:r>
        <w:rPr>
          <w:rStyle w:val="FootnoteAnchor"/>
          <w:rtl w:val="true"/>
        </w:rPr>
        <w:footnoteReference w:id="300"/>
      </w:r>
      <w:r>
        <w:rPr>
          <w:rFonts w:ascii="Amiri" w:hAnsi="Amiri" w:eastAsia="Amiri" w:cs="Amiri"/>
          <w:color w:val="111111"/>
          <w:sz w:val="28"/>
          <w:sz w:val="28"/>
          <w:szCs w:val="28"/>
          <w:rtl w:val="true"/>
          <w:lang w:bidi="ar-SA"/>
        </w:rPr>
        <w:t xml:space="preserve">الأُمّةُ علَى ارتفاعِ العصمةِ عنه، غيرُه عليه السلامُ ، لَصَحَّ الكلامُ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نرتِّبُ هذا الدليلَ علىٰ وجهِه، ثمّ نبيِّنُ ما وَلِيَه</w:t>
      </w:r>
      <w:r>
        <w:rPr>
          <w:rStyle w:val="FootnoteAnchor"/>
          <w:rtl w:val="true"/>
        </w:rPr>
        <w:footnoteReference w:id="301"/>
      </w:r>
      <w:r>
        <w:rPr>
          <w:rFonts w:ascii="Amiri" w:hAnsi="Amiri" w:eastAsia="Amiri" w:cs="Amiri"/>
          <w:color w:val="111111"/>
          <w:sz w:val="28"/>
          <w:sz w:val="28"/>
          <w:szCs w:val="28"/>
          <w:rtl w:val="true"/>
          <w:lang w:bidi="ar-SA"/>
        </w:rPr>
        <w:t>مِن الأدلّةِ التي 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فمَبنيٌّ علىٰ أصلَينِ‌</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لا يَكونُ إلّامعصوماً كعِصمةِ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لا يَجوزُ خروجُه عن جميعِ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تَقدَّمَت الأدلّةُ عليه، و مضَى الكلامُ فيها مُستَقصىً‌</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بَينَنا و بَينَ صاحبِ الكتابِ فيه، و إن كُنّا مختَلِفينَ في عِلّتِه؛ لأنّا نوجِبُ أنّ الحقَّ لا يخرُجُ مِن جُملتِهم مِن حَيثُ ثبَتَ أنّ بَينَهم معصوماً لا يَجوزُ أن يَخلوَ منه زَمانٌ مِن الأزمِنةِ‌</w:t>
      </w:r>
      <w:r>
        <w:rPr>
          <w:rStyle w:val="FootnoteAnchor"/>
          <w:rtl w:val="true"/>
        </w:rPr>
        <w:footnoteReference w:id="304"/>
      </w:r>
      <w:r>
        <w:rPr>
          <w:rFonts w:ascii="Amiri" w:hAnsi="Amiri" w:eastAsia="Amiri" w:cs="Amiri"/>
          <w:color w:val="111111"/>
          <w:sz w:val="28"/>
          <w:sz w:val="28"/>
          <w:szCs w:val="28"/>
          <w:rtl w:val="true"/>
          <w:lang w:bidi="ar-SA"/>
        </w:rPr>
        <w:t>، و صاحبُ الكتابِ يوجِبُ مِثلَ ما أوجَبناه</w:t>
      </w:r>
      <w:r>
        <w:rPr>
          <w:rStyle w:val="FootnoteAnchor"/>
          <w:rtl w:val="true"/>
        </w:rPr>
        <w:footnoteReference w:id="305"/>
      </w:r>
      <w:r>
        <w:rPr>
          <w:rFonts w:ascii="Amiri" w:hAnsi="Amiri" w:eastAsia="Amiri" w:cs="Amiri"/>
          <w:color w:val="111111"/>
          <w:sz w:val="28"/>
          <w:sz w:val="28"/>
          <w:szCs w:val="28"/>
          <w:rtl w:val="true"/>
          <w:lang w:bidi="ar-SA"/>
        </w:rPr>
        <w:t>بغَيرِ</w:t>
      </w:r>
      <w:r>
        <w:rPr>
          <w:rStyle w:val="FootnoteAnchor"/>
          <w:rtl w:val="true"/>
        </w:rPr>
        <w:footnoteReference w:id="306"/>
      </w:r>
      <w:r>
        <w:rPr>
          <w:rFonts w:ascii="Amiri" w:hAnsi="Amiri" w:eastAsia="Amiri" w:cs="Amiri"/>
          <w:color w:val="111111"/>
          <w:sz w:val="28"/>
          <w:sz w:val="28"/>
          <w:szCs w:val="28"/>
          <w:rtl w:val="true"/>
          <w:lang w:bidi="ar-SA"/>
        </w:rPr>
        <w:t>علّتِنا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الأدلّةُ علىٰ أنّ الإمامَ لا يَخلو الزمانُ منه، و أنّه لا يَكونُ إلّا معصوماً، فقَد صارَ الأصلُ الثاني أيضاً مدلولاً عليه و لَحِقَ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إذَن ثَبَتَ الأصلانِ اللذانِ ذَكَرناهما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وَجَدنا الأُمّةَ في الإمامةِ بَعدَ الرسولِ صَلّى اللّٰهُ عليه و آلِه علىٰ ثلاثةِ أقوالٍ‌، لَيسَ وَراءَها 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ذهَبَ إلىٰ أنّ الإمامَ بَعدَه أميرُ المؤمِنينَ عليه السلامُ بنَصِّه صَلّى اللّٰهُ عليه و آلِه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الشيعةِ ، علَى اختلافِها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ذهَبَ إلىٰ أنّ أبا بَكرٍ هو الإمامُ بَعدَه، علَى اختلافِ مَذاهبِهم في اعتقادِ النصِّ عليه أو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أكثَرِ مخالِفينا في الإمامةِ ؛ مِن المُعتزِلةِ ، و</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أصحابِ الحَديثِ‌، و المُرجئةِ‌</w:t>
      </w:r>
      <w:r>
        <w:rPr>
          <w:rStyle w:val="FootnoteAnchor"/>
          <w:rtl w:val="true"/>
        </w:rPr>
        <w:footnoteReference w:id="308"/>
      </w:r>
      <w:r>
        <w:rPr>
          <w:rFonts w:ascii="Amiri" w:hAnsi="Amiri" w:eastAsia="Amiri" w:cs="Amiri"/>
          <w:color w:val="111111"/>
          <w:sz w:val="28"/>
          <w:sz w:val="28"/>
          <w:szCs w:val="28"/>
          <w:rtl w:val="true"/>
          <w:lang w:bidi="ar-SA"/>
        </w:rPr>
        <w:t>، و مَن وافَقَهم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العبّاسيّةِ الذينَ ذَهَبوا إلىٰ أنّ العبّاسَ رضي اللّٰه عنه هو الإمامُ بَعدَ الرسولِ صَلّى اللّٰهُ عليه و آلِه، علىٰ شُذوذِهم و انقراضِهم، و قِلّةِ عَددِهم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وَجَدنا قولَ مَن أثبَتَ إمامةَ أبي بَكرٍ و قولَ مَن أثبَتَ إمامةَ العبّاسِ باطلَينِ‌؛ لإجماعِ الأُمّةِ علىٰ أنّ صاحبَيهما</w:t>
      </w:r>
      <w:r>
        <w:rPr>
          <w:rStyle w:val="FootnoteAnchor"/>
          <w:rtl w:val="true"/>
        </w:rPr>
        <w:footnoteReference w:id="309"/>
      </w:r>
      <w:r>
        <w:rPr>
          <w:rFonts w:ascii="Amiri" w:hAnsi="Amiri" w:eastAsia="Amiri" w:cs="Amiri"/>
          <w:color w:val="111111"/>
          <w:sz w:val="28"/>
          <w:sz w:val="28"/>
          <w:szCs w:val="28"/>
          <w:rtl w:val="true"/>
          <w:lang w:bidi="ar-SA"/>
        </w:rPr>
        <w:t>لَم يَكونا معصومَينِ بالعصمةِ‌</w:t>
      </w:r>
      <w:r>
        <w:rPr>
          <w:rStyle w:val="FootnoteAnchor"/>
          <w:rtl w:val="true"/>
        </w:rPr>
        <w:footnoteReference w:id="310"/>
      </w:r>
      <w:r>
        <w:rPr>
          <w:rFonts w:ascii="Amiri" w:hAnsi="Amiri" w:eastAsia="Amiri" w:cs="Amiri"/>
          <w:color w:val="111111"/>
          <w:sz w:val="28"/>
          <w:sz w:val="28"/>
          <w:szCs w:val="28"/>
          <w:rtl w:val="true"/>
          <w:lang w:bidi="ar-SA"/>
        </w:rPr>
        <w:t>التي عَنَيناها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يَكونا معصومَينِ‌، و ثبَتَ بالعقلِ أنّ الإمامَ لا يَكونُ إلّامعصوماً، بَطَلَت دَعوىٰ مَن ادَّعىٰ إمامتَهما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بطَلَ هذانِ القولانِ‌، ثبَتَ قولُ الشيعةِ‌، و أنّه حَقٌّ‌؛ لأنّه لَو لَحِقَ بهما في البُطلانِ لَكانَ الحَقُّ خارِجاً مِن الأُمّةِ‌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ثبَتَ بهذا الترتيبِ أنّ الإمامَ بَعدَ الرسولِ صَلّى اللّٰهُ عليه و آلِه أميرُ المؤمِنينَ عليه السلامُ بنَصِّه صَلّى اللّٰهُ عليه و آلِه بالإمامةِ ؛ لأنّ كُلَّ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بَعدَ الرسولِ صَلّى اللّٰهُ عليه و آلِه بلا فَصلٍ ، لَم يُثبِتِ الإمامةَ له عليه السلامُ إلّابالنصِّ </w:t>
      </w:r>
      <w:r>
        <w:rPr>
          <w:rFonts w:eastAsia="Amiri" w:cs="Amiri" w:ascii="Amiri" w:hAnsi="Amiri"/>
          <w:color w:val="111111"/>
          <w:sz w:val="28"/>
          <w:szCs w:val="28"/>
          <w:rtl w:val="true"/>
          <w:lang w:bidi="ar-SA"/>
        </w:rPr>
        <w:t xml:space="preserve">. </w:t>
      </w:r>
      <w:bookmarkStart w:id="103" w:name="pg20017_202388"/>
    </w:p>
    <w:p>
      <w:pPr>
        <w:pStyle w:val="BookText"/>
        <w:rPr/>
      </w:pPr>
      <w:bookmarkEnd w:id="103"/>
      <w:r>
        <w:rPr>
          <w:rFonts w:ascii="Amiri" w:hAnsi="Amiri" w:eastAsia="Amiri" w:cs="Amiri"/>
          <w:color w:val="111111"/>
          <w:sz w:val="28"/>
          <w:sz w:val="28"/>
          <w:szCs w:val="28"/>
          <w:rtl w:val="true"/>
          <w:lang w:bidi="ar-SA"/>
        </w:rPr>
        <w:t xml:space="preserve">و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تَدَّعونَ </w:t>
      </w:r>
      <w:r>
        <w:rPr>
          <w:rStyle w:val="FootnoteAnchor"/>
          <w:rtl w:val="true"/>
        </w:rPr>
        <w:footnoteReference w:id="311"/>
      </w:r>
      <w:r>
        <w:rPr>
          <w:rFonts w:ascii="Amiri" w:hAnsi="Amiri" w:eastAsia="Amiri" w:cs="Amiri"/>
          <w:color w:val="111111"/>
          <w:sz w:val="28"/>
          <w:sz w:val="28"/>
          <w:szCs w:val="28"/>
          <w:rtl w:val="true"/>
          <w:lang w:bidi="ar-SA"/>
        </w:rPr>
        <w:t>الإجماعَ علَى ارتفاعِ العصمةِ عن أبي بَكرٍ، و في الناسِ مَن يَذهَبُ إلىٰ عصمتِه ؟</w:t>
      </w:r>
    </w:p>
    <w:p>
      <w:pPr>
        <w:pStyle w:val="BookText"/>
        <w:rPr/>
      </w:pPr>
      <w:r>
        <w:rPr>
          <w:rFonts w:ascii="Amiri" w:hAnsi="Amiri" w:eastAsia="Amiri" w:cs="Amiri"/>
          <w:color w:val="111111"/>
          <w:sz w:val="28"/>
          <w:sz w:val="28"/>
          <w:szCs w:val="28"/>
          <w:rtl w:val="true"/>
          <w:lang w:bidi="ar-SA"/>
        </w:rPr>
        <w:t xml:space="preserve">لأنّا لَم نَنفِ بالإجماعِ العصمةَ التي يُمكِنُ أن يَدَّعيَها بعضُ الناسِ ؛ لأنّهم و إن قالوا فيه و في غيرِه أنّه معصومٌ بالإيمانِ أو بما يَرجِعُ إلىٰ هذا المَعنىٰ ، فلَيسَ فيهم مَن يُثبِتُ له العصمةَ التي نوجِبُها للأنبياءِ عليهم السلام، و لا اعتبارَ بقَولِ مَن حَمَلَ نفسَه علىٰ ما يخالِفُ المعلومَ مِن المَذاهبِ المستقِرّةِ </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964065_2320776876"/>
      <w:bookmarkStart w:id="105" w:name="_Toc36"/>
      <w:bookmarkEnd w:id="104"/>
      <w:r>
        <w:rPr>
          <w:rtl w:val="true"/>
        </w:rPr>
        <w:t>دليل الأفضليّة</w:t>
      </w:r>
      <w:bookmarkEnd w:id="105"/>
    </w:p>
    <w:p>
      <w:pPr>
        <w:pStyle w:val="BookText"/>
        <w:rPr/>
      </w:pPr>
      <w:r>
        <w:rPr>
          <w:rFonts w:ascii="Amiri" w:hAnsi="Amiri" w:eastAsia="Amiri" w:cs="Amiri"/>
          <w:color w:val="111111"/>
          <w:sz w:val="28"/>
          <w:sz w:val="28"/>
          <w:szCs w:val="28"/>
          <w:rtl w:val="true"/>
          <w:lang w:bidi="ar-SA"/>
        </w:rPr>
        <w:t>فأمّا دليلُ التعلُّقِ بالأفضَلِ‌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النحوِ الذي ذَكَره صاحبُ الكتابِ‌؛ لأنّه إذا دَلَّ الدليلُ علىٰ أنّ الإمامَ لا يَكونُ إلّاالأفضَلَ‌، و ثبَتَ أنّه عليه السلامُ الأفضَلُ‌، وَجَبَت إمامتُه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يُستدلُّ أيضاً علىٰ إمامتِه عليه السلامُ بما يقارِبُ هذا الوجهَ‌؛ و هو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ثَبَتَ بالأدلّةِ القاطعةِ أنّ الإمامَ لا يَكونُ إلّاأعلَمَ الأُمّةِ‌</w:t>
      </w:r>
      <w:r>
        <w:rPr>
          <w:rStyle w:val="FootnoteAnchor"/>
          <w:rtl w:val="true"/>
        </w:rPr>
        <w:footnoteReference w:id="313"/>
      </w:r>
      <w:r>
        <w:rPr>
          <w:rFonts w:ascii="Amiri" w:hAnsi="Amiri" w:eastAsia="Amiri" w:cs="Amiri"/>
          <w:color w:val="111111"/>
          <w:sz w:val="28"/>
          <w:sz w:val="28"/>
          <w:szCs w:val="28"/>
          <w:rtl w:val="true"/>
          <w:lang w:bidi="ar-SA"/>
        </w:rPr>
        <w:t>بجميعِ الدِّينِ‌؛ دقيقِه و جليلِه، حتّىٰ لا يَشِذَّ عنه شيءٌ مِن علومِه</w:t>
      </w:r>
      <w:r>
        <w:rPr>
          <w:rStyle w:val="FootnoteAnchor"/>
          <w:rtl w:val="true"/>
        </w:rPr>
        <w:footnoteReference w:id="314"/>
      </w:r>
      <w:r>
        <w:rPr>
          <w:rFonts w:ascii="Amiri" w:hAnsi="Amiri" w:eastAsia="Amiri" w:cs="Amiri"/>
          <w:color w:val="111111"/>
          <w:sz w:val="28"/>
          <w:sz w:val="28"/>
          <w:szCs w:val="28"/>
          <w:rtl w:val="true"/>
          <w:lang w:bidi="ar-SA"/>
        </w:rPr>
        <w:t xml:space="preserve">، و قد ثَبَتَ بالإجماعِ أنّ أبا بَكرٍ 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اللذانِ ادَّعىٰ مخالِفو الشيعةِ إمامتَهما بَعدَ الرسولِ‌</w:t>
      </w:r>
      <w:r>
        <w:rPr>
          <w:rStyle w:val="FootnoteAnchor"/>
          <w:rtl w:val="true"/>
        </w:rPr>
        <w:footnoteReference w:id="315"/>
      </w:r>
      <w:r>
        <w:rPr>
          <w:rFonts w:ascii="Amiri" w:hAnsi="Amiri" w:eastAsia="Amiri" w:cs="Amiri"/>
          <w:color w:val="111111"/>
          <w:sz w:val="28"/>
          <w:sz w:val="28"/>
          <w:szCs w:val="28"/>
          <w:rtl w:val="true"/>
          <w:lang w:bidi="ar-SA"/>
        </w:rPr>
        <w:t>صَلّى اللّٰهُ عليه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يَكونا بهذه الصفةِ ، بَل كانا فاقدَينِ لكثيرٍ مِن علومِ الدِّينِ ، و ذلكَ ظاهرٌ مِن 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فبطَلَت إمامتُهما، و ثبَتَت إمامةُ أميرِ المؤمنينَ عليه السلامُ ؛ لأنّه لا قولَ لأحَدٍ مِن الأُمّةِ بَعدَ الأقوالِ الثلاثةِ التي ذَكَرناها</w:t>
      </w:r>
      <w:r>
        <w:rPr>
          <w:rFonts w:eastAsia="Amiri" w:cs="Amiri" w:ascii="Amiri" w:hAnsi="Amiri"/>
          <w:color w:val="111111"/>
          <w:sz w:val="28"/>
          <w:szCs w:val="28"/>
          <w:rtl w:val="true"/>
          <w:lang w:bidi="ar-SA"/>
        </w:rPr>
        <w:t xml:space="preserve">. </w:t>
      </w:r>
      <w:bookmarkStart w:id="106" w:name="pg20017_202389"/>
    </w:p>
    <w:p>
      <w:pPr>
        <w:pStyle w:val="Heading5"/>
        <w:numPr>
          <w:ilvl w:val="4"/>
          <w:numId w:val="1"/>
        </w:numPr>
        <w:rPr/>
      </w:pPr>
      <w:bookmarkStart w:id="107" w:name="__RefHeading___Toc964067_2320776876"/>
      <w:bookmarkStart w:id="108" w:name="_Toc37"/>
      <w:bookmarkEnd w:id="106"/>
      <w:bookmarkEnd w:id="107"/>
      <w:r>
        <w:rPr>
          <w:rtl w:val="true"/>
        </w:rPr>
        <w:t>دليل المطاعن</w:t>
      </w:r>
      <w:bookmarkEnd w:id="10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طريقةُ الطعنِ في أنّ غيرَه لا يصلُحُ للإمامةِ فواضحةٌ‌، و قد اعتمَدَها شُيوخُنا رحمهم اللّٰه قَديماً</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w:t>
      </w:r>
      <w:r>
        <w:rPr>
          <w:rStyle w:val="FootnoteAnchor"/>
          <w:rtl w:val="true"/>
        </w:rPr>
        <w:footnoteReference w:id="317"/>
      </w:r>
      <w:r>
        <w:rPr>
          <w:rFonts w:ascii="Amiri" w:hAnsi="Amiri" w:eastAsia="Amiri" w:cs="Amiri"/>
          <w:color w:val="111111"/>
          <w:sz w:val="28"/>
          <w:sz w:val="28"/>
          <w:szCs w:val="28"/>
          <w:rtl w:val="true"/>
          <w:lang w:bidi="ar-SA"/>
        </w:rPr>
        <w:t>ذَكَروا</w:t>
      </w:r>
      <w:r>
        <w:rPr>
          <w:rStyle w:val="FootnoteAnchor"/>
          <w:rtl w:val="true"/>
        </w:rPr>
        <w:footnoteReference w:id="318"/>
      </w:r>
      <w:r>
        <w:rPr>
          <w:rFonts w:ascii="Amiri" w:hAnsi="Amiri" w:eastAsia="Amiri" w:cs="Amiri"/>
          <w:color w:val="111111"/>
          <w:sz w:val="28"/>
          <w:sz w:val="28"/>
          <w:szCs w:val="28"/>
          <w:rtl w:val="true"/>
          <w:lang w:bidi="ar-SA"/>
        </w:rPr>
        <w:t>فيما يُخرِجُ‌</w:t>
      </w:r>
      <w:r>
        <w:rPr>
          <w:rStyle w:val="FootnoteAnchor"/>
          <w:rtl w:val="true"/>
        </w:rPr>
        <w:footnoteReference w:id="319"/>
      </w:r>
      <w:r>
        <w:rPr>
          <w:rFonts w:ascii="Amiri" w:hAnsi="Amiri" w:eastAsia="Amiri" w:cs="Amiri"/>
          <w:color w:val="111111"/>
          <w:sz w:val="28"/>
          <w:sz w:val="28"/>
          <w:szCs w:val="28"/>
          <w:rtl w:val="true"/>
          <w:lang w:bidi="ar-SA"/>
        </w:rPr>
        <w:t>أبا بَكرٍ مِن الصلاحِ للإمامةِ ارتفاعَ العصمةِ عنه، و إخلالَه بكَثيرٍ مِن علومِ الدِّينِ‌؛ و هو الأقوىٰ و إن رجَعَ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ذَكَروا أنّه أُخِّرَ عن الوِلاياتِ‌</w:t>
      </w:r>
      <w:r>
        <w:rPr>
          <w:rStyle w:val="FootnoteAnchor"/>
          <w:rtl w:val="true"/>
        </w:rPr>
        <w:footnoteReference w:id="320"/>
      </w:r>
      <w:r>
        <w:rPr>
          <w:rFonts w:ascii="Amiri" w:hAnsi="Amiri" w:eastAsia="Amiri" w:cs="Amiri"/>
          <w:color w:val="111111"/>
          <w:sz w:val="28"/>
          <w:sz w:val="28"/>
          <w:szCs w:val="28"/>
          <w:rtl w:val="true"/>
          <w:lang w:bidi="ar-SA"/>
        </w:rPr>
        <w:t>و قُدِّمَ عليه</w:t>
      </w:r>
      <w:r>
        <w:rPr>
          <w:rStyle w:val="FootnoteAnchor"/>
          <w:rtl w:val="true"/>
        </w:rPr>
        <w:footnoteReference w:id="321"/>
      </w:r>
      <w:r>
        <w:rPr>
          <w:rFonts w:ascii="Amiri" w:hAnsi="Amiri" w:eastAsia="Amiri" w:cs="Amiri"/>
          <w:color w:val="111111"/>
          <w:sz w:val="28"/>
          <w:sz w:val="28"/>
          <w:szCs w:val="28"/>
          <w:rtl w:val="true"/>
          <w:lang w:bidi="ar-SA"/>
        </w:rPr>
        <w:t>غيرُه، و أنّه عُزِلَ عن أداءِ سورةِ بَراءةٍ بَعدَ أن تَوجَّهَ بها، و عُزِلَ أيضاً عن الجَيشِ المبعوثِ‌</w:t>
      </w:r>
      <w:r>
        <w:rPr>
          <w:rStyle w:val="FootnoteAnchor"/>
          <w:rtl w:val="true"/>
        </w:rPr>
        <w:footnoteReference w:id="322"/>
      </w:r>
      <w:r>
        <w:rPr>
          <w:rFonts w:ascii="Amiri" w:hAnsi="Amiri" w:eastAsia="Amiri" w:cs="Amiri"/>
          <w:color w:val="111111"/>
          <w:sz w:val="28"/>
          <w:sz w:val="28"/>
          <w:szCs w:val="28"/>
          <w:rtl w:val="true"/>
          <w:lang w:bidi="ar-SA"/>
        </w:rPr>
        <w:t>لفَتحِ خَيبَرَ بَعدَ أن بانَ قُبحُ أثرِه فيه، و أَورَدَ</w:t>
      </w:r>
      <w:r>
        <w:rPr>
          <w:rStyle w:val="FootnoteAnchor"/>
          <w:rtl w:val="true"/>
        </w:rPr>
        <w:footnoteReference w:id="323"/>
      </w:r>
      <w:r>
        <w:rPr>
          <w:rFonts w:ascii="Amiri" w:hAnsi="Amiri" w:eastAsia="Amiri" w:cs="Amiri"/>
          <w:color w:val="111111"/>
          <w:sz w:val="28"/>
          <w:sz w:val="28"/>
          <w:szCs w:val="28"/>
          <w:rtl w:val="true"/>
          <w:lang w:bidi="ar-SA"/>
        </w:rPr>
        <w:t>الرسولُ صَلّى اللّٰهُ عليه و آلِه عَقيبَ عَزلِه مِن القولِ ما لا شكَّ في خروجِه مَخرَجَ التهجينِ و التوبيخِ ، حتّىٰ إنّ كَثيراً مِن أصحابِنا ذَهَبوا إلىٰ أنّ ما تَضمَّنَه قولُه صَلّى اللّٰهُ عليه و آلِه</w:t>
      </w:r>
      <w:r>
        <w:rPr>
          <w:rStyle w:val="FootnoteAnchor"/>
          <w:rtl w:val="true"/>
        </w:rPr>
        <w:footnoteReference w:id="324"/>
      </w:r>
      <w:r>
        <w:rPr>
          <w:rFonts w:ascii="Amiri" w:hAnsi="Amiri" w:eastAsia="Amiri" w:cs="Amiri"/>
          <w:color w:val="111111"/>
          <w:sz w:val="28"/>
          <w:sz w:val="28"/>
          <w:szCs w:val="28"/>
          <w:rtl w:val="true"/>
          <w:lang w:bidi="ar-SA"/>
        </w:rPr>
        <w:t>في تلكَ الحالِ مِن</w:t>
      </w:r>
      <w:r>
        <w:rPr>
          <w:rStyle w:val="FootnoteAnchor"/>
          <w:rtl w:val="true"/>
        </w:rPr>
        <w:footnoteReference w:id="325"/>
      </w:r>
      <w:r>
        <w:rPr>
          <w:rFonts w:ascii="Amiri" w:hAnsi="Amiri" w:eastAsia="Amiri" w:cs="Amiri"/>
          <w:color w:val="111111"/>
          <w:sz w:val="28"/>
          <w:sz w:val="28"/>
          <w:szCs w:val="28"/>
          <w:rtl w:val="true"/>
          <w:lang w:bidi="ar-SA"/>
        </w:rPr>
        <w:t xml:space="preserve">الوصفِ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بمَحبَّتِه</w:t>
      </w:r>
      <w:r>
        <w:rPr>
          <w:rStyle w:val="FootnoteAnchor"/>
          <w:rtl w:val="true"/>
        </w:rPr>
        <w:footnoteReference w:id="326"/>
      </w:r>
      <w:r>
        <w:rPr>
          <w:rFonts w:ascii="Amiri" w:hAnsi="Amiri" w:eastAsia="Amiri" w:cs="Amiri"/>
          <w:color w:val="111111"/>
          <w:sz w:val="28"/>
          <w:sz w:val="28"/>
          <w:szCs w:val="28"/>
          <w:rtl w:val="true"/>
          <w:lang w:bidi="ar-SA"/>
        </w:rPr>
        <w:t xml:space="preserve">للّٰه و رسولِه، و مَحبّةِ اللّٰهِ و رسولِه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انتفائه عمّن عُزِلَ عن الوِلايةِ ، و يَذكُرونَ أشياءَ كثيرةً مِن هذا الجِنسِ </w:t>
      </w:r>
      <w:r>
        <w:rPr>
          <w:rStyle w:val="FootnoteAnchor"/>
          <w:rtl w:val="true"/>
        </w:rPr>
        <w:footnoteReference w:id="327"/>
      </w:r>
      <w:r>
        <w:rPr>
          <w:rFonts w:ascii="Amiri" w:hAnsi="Amiri" w:eastAsia="Amiri" w:cs="Amiri"/>
          <w:color w:val="111111"/>
          <w:sz w:val="28"/>
          <w:sz w:val="28"/>
          <w:szCs w:val="28"/>
          <w:rtl w:val="true"/>
          <w:lang w:bidi="ar-SA"/>
        </w:rPr>
        <w:t xml:space="preserve">هي مذكورةٌ في الكتُبِ مشهورةٌ يَستَخرِجونَ مِن جميعِها كَونَ الرجُلِ </w:t>
      </w:r>
    </w:p>
    <w:p>
      <w:pPr>
        <w:pStyle w:val="BookText"/>
        <w:rPr/>
      </w:pPr>
      <w:r>
        <w:rPr>
          <w:rFonts w:ascii="Amiri" w:hAnsi="Amiri" w:eastAsia="Amiri" w:cs="Amiri"/>
          <w:color w:val="111111"/>
          <w:sz w:val="28"/>
          <w:sz w:val="28"/>
          <w:szCs w:val="28"/>
          <w:rtl w:val="true"/>
          <w:lang w:bidi="ar-SA"/>
        </w:rPr>
        <w:t>ممّن لا يصلُحُ للإمامةِ ، و سيأتي الكلامُ فيها مشروحاً عندَ انتهائنا إلَى الكلامِ في إمامةِ أبي بَكرٍ</w:t>
      </w:r>
      <w:r>
        <w:rPr>
          <w:rStyle w:val="FootnoteAnchor"/>
          <w:rtl w:val="true"/>
        </w:rPr>
        <w:footnoteReference w:id="328"/>
      </w:r>
      <w:r>
        <w:rPr>
          <w:rFonts w:ascii="Amiri" w:hAnsi="Amiri" w:eastAsia="Amiri" w:cs="Amiri"/>
          <w:color w:val="111111"/>
          <w:sz w:val="28"/>
          <w:sz w:val="28"/>
          <w:szCs w:val="28"/>
          <w:rtl w:val="true"/>
          <w:lang w:bidi="ar-SA"/>
        </w:rPr>
        <w:t>بمَشيئةِ اللّٰهِ و عَونِه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330"/>
      </w:r>
      <w:r>
        <w:rPr>
          <w:rFonts w:ascii="Amiri" w:hAnsi="Amiri" w:eastAsia="Amiri" w:cs="Amiri"/>
          <w:color w:val="111111"/>
          <w:sz w:val="28"/>
          <w:sz w:val="28"/>
          <w:szCs w:val="28"/>
          <w:rtl w:val="true"/>
          <w:lang w:bidi="ar-SA"/>
        </w:rPr>
        <w:t>ادّعاؤهم أنّ الإمامَ لا يَكونُ إلّامعصوماً، فقَد قُلنا فيه ما وَجَبَ‌</w:t>
      </w:r>
      <w:r>
        <w:rPr>
          <w:rStyle w:val="FootnoteAnchor"/>
          <w:rtl w:val="true"/>
        </w:rPr>
        <w:footnoteReference w:id="331"/>
      </w:r>
      <w:r>
        <w:rPr>
          <w:rFonts w:ascii="Amiri" w:hAnsi="Amiri" w:eastAsia="Amiri" w:cs="Amiri"/>
          <w:color w:val="111111"/>
          <w:sz w:val="28"/>
          <w:sz w:val="28"/>
          <w:szCs w:val="28"/>
          <w:rtl w:val="true"/>
          <w:lang w:bidi="ar-SA"/>
        </w:rPr>
        <w:t>، فلا يُمكِنُهم جَعلُ ذلك أصلاً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طريقَ العِلمِ بأنّ أميرَ المؤمنينَ عليه السلامُ معصومٌ ثُبوتُ‌</w:t>
      </w:r>
    </w:p>
    <w:p>
      <w:pPr>
        <w:pStyle w:val="BookText"/>
        <w:rPr/>
      </w:pPr>
      <w:r>
        <w:rPr>
          <w:rFonts w:ascii="Amiri" w:hAnsi="Amiri" w:eastAsia="Amiri" w:cs="Amiri"/>
          <w:color w:val="111111"/>
          <w:sz w:val="28"/>
          <w:sz w:val="28"/>
          <w:szCs w:val="28"/>
          <w:rtl w:val="true"/>
          <w:lang w:bidi="ar-SA"/>
        </w:rPr>
        <w:t>النصِّ علىٰ عَينِه؛ لأنّ الذي يدُلُّ مِن جهةِ العقلِ‌</w:t>
      </w:r>
      <w:r>
        <w:rPr>
          <w:rStyle w:val="FootnoteAnchor"/>
          <w:rtl w:val="true"/>
        </w:rPr>
        <w:footnoteReference w:id="332"/>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عصمةُ الحُجّةِ مِن غير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w:t>
      </w:r>
      <w:r>
        <w:rPr>
          <w:rStyle w:val="FootnoteAnchor"/>
          <w:rtl w:val="true"/>
        </w:rPr>
        <w:footnoteReference w:id="333"/>
      </w:r>
      <w:r>
        <w:rPr>
          <w:rFonts w:ascii="Amiri" w:hAnsi="Amiri" w:eastAsia="Amiri" w:cs="Amiri"/>
          <w:color w:val="111111"/>
          <w:sz w:val="28"/>
          <w:sz w:val="28"/>
          <w:szCs w:val="28"/>
          <w:rtl w:val="true"/>
          <w:lang w:bidi="ar-SA"/>
        </w:rPr>
        <w:t>صَحَّ ذلكَ‌، فمتىٰ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منصوصٌ عليه لكَونِه معصوماً</w:t>
      </w:r>
      <w:r>
        <w:rPr>
          <w:rStyle w:val="FootnoteAnchor"/>
          <w:rtl w:val="true"/>
        </w:rPr>
        <w:footnoteReference w:id="334"/>
      </w:r>
      <w:r>
        <w:rPr>
          <w:rFonts w:ascii="Amiri" w:hAnsi="Amiri" w:eastAsia="Amiri" w:cs="Amiri"/>
          <w:color w:val="111111"/>
          <w:sz w:val="28"/>
          <w:sz w:val="28"/>
          <w:szCs w:val="28"/>
          <w:rtl w:val="true"/>
          <w:lang w:bidi="ar-SA"/>
        </w:rPr>
        <w:t>، و إنّما يحصُلُ معصوماً بالنصِّ‌</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عَلَّقوا النصَّ عليه بالعصمةِ‌، و العصمةَ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يوجِبُ أنّ كُلَّ واحدٍ منهما لا يدخُلُ في أن يَكونَ معلوماً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يَصِحُّ التعلُّقُ بما هذا حالُه‌؟</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قولُهم أنّه الأفضَلُ‌، ففيمَن يُخالِفُهم مَن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الأفضَلَ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w:t>
      </w:r>
      <w:r>
        <w:rPr>
          <w:rStyle w:val="FootnoteAnchor"/>
          <w:rtl w:val="true"/>
        </w:rPr>
        <w:footnoteReference w:id="337"/>
      </w:r>
      <w:r>
        <w:rPr>
          <w:rFonts w:ascii="Amiri" w:hAnsi="Amiri" w:eastAsia="Amiri" w:cs="Amiri"/>
          <w:color w:val="111111"/>
          <w:sz w:val="28"/>
          <w:sz w:val="28"/>
          <w:szCs w:val="28"/>
          <w:rtl w:val="true"/>
          <w:lang w:bidi="ar-SA"/>
        </w:rPr>
        <w:t xml:space="preserve">يُمكِنُ إثباتُ النصِّ بذلكَ؟ </w:t>
      </w:r>
    </w:p>
    <w:p>
      <w:pPr>
        <w:pStyle w:val="BookText"/>
        <w:rPr/>
      </w:pPr>
      <w:r>
        <w:rPr>
          <w:rFonts w:ascii="Amiri" w:hAnsi="Amiri" w:eastAsia="Amiri" w:cs="Amiri"/>
          <w:color w:val="111111"/>
          <w:sz w:val="28"/>
          <w:sz w:val="28"/>
          <w:szCs w:val="28"/>
          <w:rtl w:val="true"/>
          <w:lang w:bidi="ar-SA"/>
        </w:rPr>
        <w:t>و فيمَن يُخالِفُهم</w:t>
      </w:r>
      <w:r>
        <w:rPr>
          <w:rStyle w:val="FootnoteAnchor"/>
          <w:rtl w:val="true"/>
        </w:rPr>
        <w:footnoteReference w:id="338"/>
      </w:r>
      <w:r>
        <w:rPr>
          <w:rFonts w:ascii="Amiri" w:hAnsi="Amiri" w:eastAsia="Amiri" w:cs="Amiri"/>
          <w:color w:val="111111"/>
          <w:sz w:val="28"/>
          <w:sz w:val="28"/>
          <w:szCs w:val="28"/>
          <w:rtl w:val="true"/>
          <w:lang w:bidi="ar-SA"/>
        </w:rPr>
        <w:t>مَن لا يُسلِّمُ أنّ الأحَقَّ بالإمامةِ الأفضَلُ ، بَل يجوِّزُ إمامةَ المفضولِ علىٰ كُلِّ وجهٍ ، أو يجوِّزُ إمامةَ المفضولِ إذا كانَ في الفاضلِ عِلّةٌ تُقعِدُه، أو كانَ هناكَ عُذرٌ</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 مَن يُجَوِّزُ</w:t>
      </w:r>
      <w:r>
        <w:rPr>
          <w:rStyle w:val="FootnoteAnchor"/>
          <w:rtl w:val="true"/>
        </w:rPr>
        <w:footnoteReference w:id="340"/>
      </w:r>
      <w:r>
        <w:rPr>
          <w:rFonts w:ascii="Amiri" w:hAnsi="Amiri" w:eastAsia="Amiri" w:cs="Amiri"/>
          <w:color w:val="111111"/>
          <w:sz w:val="28"/>
          <w:sz w:val="28"/>
          <w:szCs w:val="28"/>
          <w:rtl w:val="true"/>
          <w:lang w:bidi="ar-SA"/>
        </w:rPr>
        <w:t xml:space="preserve">إمامةَ مَن غيرُه مِثلُه في الفَضلِ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يَصِحُّ التعلُّقُ بما ذَكَروه ؟</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أحَلتَ عليه مِن كلامِكَ في العصمةِ‌، فقَد تَقدَّمَ نقضُه و بَيانُ فَسادِه، و دَلَّلنا علىٰ وجوبِ كَونِ الإمامِ معصوماً بما استَحكَمناه و استَقصَيناه</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 لَو كانَ طريقُ العِلمِ بأنّ أميرَ المؤمِنينَ عليه السلامُ معصومٌ </w:t>
      </w:r>
      <w:r>
        <w:rPr>
          <w:rStyle w:val="FootnoteAnchor"/>
          <w:rtl w:val="true"/>
        </w:rPr>
        <w:footnoteReference w:id="343"/>
      </w:r>
      <w:r>
        <w:rPr>
          <w:rFonts w:ascii="Amiri" w:hAnsi="Amiri" w:eastAsia="Amiri" w:cs="Amiri"/>
          <w:color w:val="111111"/>
          <w:sz w:val="28"/>
          <w:sz w:val="28"/>
          <w:szCs w:val="28"/>
          <w:rtl w:val="true"/>
          <w:lang w:bidi="ar-SA"/>
        </w:rPr>
        <w:t xml:space="preserve">ثُبوتَ النصِّ عليه، و لا طريقَ إليه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يَلزَمُنا</w:t>
      </w:r>
      <w:r>
        <w:rPr>
          <w:rStyle w:val="FootnoteAnchor"/>
          <w:rtl w:val="true"/>
        </w:rPr>
        <w:footnoteReference w:id="344"/>
      </w:r>
      <w:r>
        <w:rPr>
          <w:rFonts w:ascii="Amiri" w:hAnsi="Amiri" w:eastAsia="Amiri" w:cs="Amiri"/>
          <w:color w:val="111111"/>
          <w:sz w:val="28"/>
          <w:sz w:val="28"/>
          <w:szCs w:val="28"/>
          <w:rtl w:val="true"/>
          <w:lang w:bidi="ar-SA"/>
        </w:rPr>
        <w:t xml:space="preserve">شيءٌ ممّا أَورَدتَه؛ لأنّكَ بَنَيتَه علىٰ ما لا نَعتمِدُه،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منصوصٌ عليه لكَونِه معصوماً، و إنّما يَحصُلُ معصوماً بالنصِّ ، وجَبَ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لَم نَقُلْه و لا نَقولُه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اعتَمَدناه</w:t>
      </w:r>
      <w:r>
        <w:rPr>
          <w:rStyle w:val="FootnoteAnchor"/>
          <w:rtl w:val="true"/>
        </w:rPr>
        <w:footnoteReference w:id="346"/>
      </w:r>
      <w:r>
        <w:rPr>
          <w:rFonts w:ascii="Amiri" w:hAnsi="Amiri" w:eastAsia="Amiri" w:cs="Amiri"/>
          <w:color w:val="111111"/>
          <w:sz w:val="28"/>
          <w:sz w:val="28"/>
          <w:szCs w:val="28"/>
          <w:rtl w:val="true"/>
          <w:lang w:bidi="ar-SA"/>
        </w:rPr>
        <w:t>في كَونِه عليه السلامُ منصوصاً عليه</w:t>
      </w:r>
      <w:r>
        <w:rPr>
          <w:rStyle w:val="FootnoteAnchor"/>
          <w:rtl w:val="true"/>
        </w:rPr>
        <w:footnoteReference w:id="347"/>
      </w:r>
      <w:r>
        <w:rPr>
          <w:rFonts w:ascii="Amiri" w:hAnsi="Amiri" w:eastAsia="Amiri" w:cs="Amiri"/>
          <w:color w:val="111111"/>
          <w:sz w:val="28"/>
          <w:sz w:val="28"/>
          <w:szCs w:val="28"/>
          <w:rtl w:val="true"/>
          <w:lang w:bidi="ar-SA"/>
        </w:rPr>
        <w:t xml:space="preserve">قد تَقدَّمَ </w:t>
      </w:r>
      <w:r>
        <w:rPr>
          <w:rStyle w:val="FootnoteAnchor"/>
          <w:rtl w:val="true"/>
        </w:rPr>
        <w:footnoteReference w:id="348"/>
      </w:r>
      <w:r>
        <w:rPr>
          <w:rFonts w:ascii="Amiri" w:hAnsi="Amiri" w:eastAsia="Amiri" w:cs="Amiri"/>
          <w:color w:val="111111"/>
          <w:sz w:val="28"/>
          <w:sz w:val="28"/>
          <w:szCs w:val="28"/>
          <w:rtl w:val="true"/>
          <w:lang w:bidi="ar-SA"/>
        </w:rPr>
        <w:t>، و جُملتُه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الدليلَ إذا دَلَّنا</w:t>
      </w:r>
      <w:r>
        <w:rPr>
          <w:rStyle w:val="FootnoteAnchor"/>
          <w:rtl w:val="true"/>
        </w:rPr>
        <w:footnoteReference w:id="349"/>
      </w:r>
      <w:r>
        <w:rPr>
          <w:rFonts w:ascii="Amiri" w:hAnsi="Amiri" w:eastAsia="Amiri" w:cs="Amiri"/>
          <w:color w:val="111111"/>
          <w:sz w:val="28"/>
          <w:sz w:val="28"/>
          <w:szCs w:val="28"/>
          <w:rtl w:val="true"/>
          <w:lang w:bidi="ar-SA"/>
        </w:rPr>
        <w:t>علىٰ أنّ الإمامَ في الجُملةِ لا بُدَّ مِن عصمتِه</w:t>
      </w:r>
      <w:r>
        <w:rPr>
          <w:rStyle w:val="FootnoteAnchor"/>
          <w:rtl w:val="true"/>
        </w:rPr>
        <w:footnoteReference w:id="350"/>
      </w:r>
      <w:r>
        <w:rPr>
          <w:rFonts w:ascii="Amiri" w:hAnsi="Amiri" w:eastAsia="Amiri" w:cs="Amiri"/>
          <w:color w:val="111111"/>
          <w:sz w:val="28"/>
          <w:sz w:val="28"/>
          <w:szCs w:val="28"/>
          <w:rtl w:val="true"/>
          <w:lang w:bidi="ar-SA"/>
        </w:rPr>
        <w:t>، و أجمَعَت</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الأُمّةُ علَى ارتفاعِ العصمةِ عمّن ادُّعيَت إمامتُه بَعدَ الرسولِ صَلّى اللّٰهُ عليه و آلِه سِوىٰ أميرِ المؤمنينَ عليه السلامُ </w:t>
      </w:r>
      <w:r>
        <w:rPr>
          <w:rStyle w:val="FootnoteAnchor"/>
          <w:rtl w:val="true"/>
        </w:rPr>
        <w:footnoteReference w:id="352"/>
      </w:r>
      <w:r>
        <w:rPr>
          <w:rFonts w:ascii="Amiri" w:hAnsi="Amiri" w:eastAsia="Amiri" w:cs="Amiri"/>
          <w:color w:val="111111"/>
          <w:sz w:val="28"/>
          <w:sz w:val="28"/>
          <w:szCs w:val="28"/>
          <w:rtl w:val="true"/>
          <w:lang w:bidi="ar-SA"/>
        </w:rPr>
        <w:t xml:space="preserve">، فقَد وَجَبَ بُطلانُ إمامةِ مَن عداه، و ثَبَتَت إمامتُه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w:t>
      </w:r>
      <w:r>
        <w:rPr>
          <w:rStyle w:val="FootnoteAnchor"/>
          <w:rtl w:val="true"/>
        </w:rPr>
        <w:footnoteReference w:id="353"/>
      </w:r>
      <w:r>
        <w:rPr>
          <w:rFonts w:ascii="Amiri" w:hAnsi="Amiri" w:eastAsia="Amiri" w:cs="Amiri"/>
          <w:color w:val="111111"/>
          <w:sz w:val="28"/>
          <w:sz w:val="28"/>
          <w:szCs w:val="28"/>
          <w:rtl w:val="true"/>
          <w:lang w:bidi="ar-SA"/>
        </w:rPr>
        <w:t xml:space="preserve">يَجوزُ أن نَقولَ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منصوصٌ عليه لكَونِه معصوماً، و قد ثبَتَت</w:t>
      </w:r>
      <w:r>
        <w:rPr>
          <w:rStyle w:val="FootnoteAnchor"/>
          <w:rtl w:val="true"/>
        </w:rPr>
        <w:footnoteReference w:id="355"/>
      </w:r>
      <w:r>
        <w:rPr>
          <w:rFonts w:ascii="Amiri" w:hAnsi="Amiri" w:eastAsia="Amiri" w:cs="Amiri"/>
          <w:color w:val="111111"/>
          <w:sz w:val="28"/>
          <w:sz w:val="28"/>
          <w:szCs w:val="28"/>
          <w:rtl w:val="true"/>
          <w:lang w:bidi="ar-SA"/>
        </w:rPr>
        <w:t>العصمةُ عندَنا لِمَن لَيسَ بإمامٍ؟</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r>
        <w:rPr>
          <w:rStyle w:val="FootnoteAnchor"/>
          <w:rtl w:val="true"/>
        </w:rPr>
        <w:footnoteReference w:id="356"/>
      </w:r>
      <w:r>
        <w:rPr>
          <w:rFonts w:ascii="Amiri" w:hAnsi="Amiri" w:eastAsia="Amiri" w:cs="Amiri"/>
          <w:color w:val="111111"/>
          <w:sz w:val="28"/>
          <w:sz w:val="28"/>
          <w:szCs w:val="28"/>
          <w:rtl w:val="true"/>
          <w:lang w:bidi="ar-SA"/>
        </w:rPr>
        <w:t>السبيلُ إلَى العِلمِ بعصمتِه عليه السلامُ مِن</w:t>
      </w:r>
      <w:r>
        <w:rPr>
          <w:rStyle w:val="FootnoteAnchor"/>
          <w:rtl w:val="true"/>
        </w:rPr>
        <w:footnoteReference w:id="357"/>
      </w:r>
      <w:r>
        <w:rPr>
          <w:rFonts w:ascii="Amiri" w:hAnsi="Amiri" w:eastAsia="Amiri" w:cs="Amiri"/>
          <w:color w:val="111111"/>
          <w:sz w:val="28"/>
          <w:sz w:val="28"/>
          <w:szCs w:val="28"/>
          <w:rtl w:val="true"/>
          <w:lang w:bidi="ar-SA"/>
        </w:rPr>
        <w:t xml:space="preserve">هذا الاستخراجِ و علىٰ هذه الطريقةِ؟ و أنتم تَعلَمونَ أنّه لَيسَ كُلُّ مَن قالَ بأنّه المنصوصُ عليه بَعدَ الرسولِ يَذهَبُ إلىٰ عصمتِه؛ لأنّ مَن ذهَبَ مِن الزيديّةِ إلَى النصِّ يُثبِتُه و يُخالِفُ في العصمةِ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أنّه عليه السلامُ المنصوصُ عليه بالإمامةِ ، و كانَ العقلُ دالاًّ علىٰ أنّ الإمامَ لا يَكونُ إلّامعصوماً، وجَبَت</w:t>
      </w:r>
      <w:r>
        <w:rPr>
          <w:rStyle w:val="FootnoteAnchor"/>
          <w:rtl w:val="true"/>
        </w:rPr>
        <w:footnoteReference w:id="358"/>
      </w:r>
      <w:r>
        <w:rPr>
          <w:rFonts w:ascii="Amiri" w:hAnsi="Amiri" w:eastAsia="Amiri" w:cs="Amiri"/>
          <w:color w:val="111111"/>
          <w:sz w:val="28"/>
          <w:sz w:val="28"/>
          <w:szCs w:val="28"/>
          <w:rtl w:val="true"/>
          <w:lang w:bidi="ar-SA"/>
        </w:rPr>
        <w:t>عصمتُه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التعلُّقُ بمنازَعةِ من نازَعَنا في كَونِه عليه السلامُ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نافعٍ ؛ لأنّا لَم نَعتمِدْ</w:t>
      </w:r>
      <w:r>
        <w:rPr>
          <w:rStyle w:val="FootnoteAnchor"/>
          <w:rtl w:val="true"/>
        </w:rPr>
        <w:footnoteReference w:id="359"/>
      </w:r>
      <w:r>
        <w:rPr>
          <w:rFonts w:ascii="Amiri" w:hAnsi="Amiri" w:eastAsia="Amiri" w:cs="Amiri"/>
          <w:color w:val="111111"/>
          <w:sz w:val="28"/>
          <w:sz w:val="28"/>
          <w:szCs w:val="28"/>
          <w:rtl w:val="true"/>
          <w:lang w:bidi="ar-SA"/>
        </w:rPr>
        <w:t xml:space="preserve">علىٰ أنّه لا خِلافَ فيه، و لَيسَ كُلُّ ما وقَعَ فيه خِلافٌ يَجِبُ أن يَبطُلَ </w:t>
      </w:r>
    </w:p>
    <w:p>
      <w:pPr>
        <w:pStyle w:val="BookText"/>
        <w:rPr/>
      </w:pPr>
      <w:r>
        <w:rPr>
          <w:rFonts w:ascii="Amiri" w:hAnsi="Amiri" w:eastAsia="Amiri" w:cs="Amiri"/>
          <w:color w:val="111111"/>
          <w:sz w:val="28"/>
          <w:sz w:val="28"/>
          <w:szCs w:val="28"/>
          <w:rtl w:val="true"/>
          <w:lang w:bidi="ar-SA"/>
        </w:rPr>
        <w:t>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دَلَّلنا علىٰ أنّه الأفضَلُ‌</w:t>
      </w:r>
      <w:r>
        <w:rPr>
          <w:rStyle w:val="FootnoteAnchor"/>
          <w:rtl w:val="true"/>
        </w:rPr>
        <w:footnoteReference w:id="360"/>
      </w:r>
      <w:r>
        <w:rPr>
          <w:rFonts w:ascii="Amiri" w:hAnsi="Amiri" w:eastAsia="Amiri" w:cs="Amiri"/>
          <w:color w:val="111111"/>
          <w:sz w:val="28"/>
          <w:sz w:val="28"/>
          <w:szCs w:val="28"/>
          <w:rtl w:val="true"/>
          <w:lang w:bidi="ar-SA"/>
        </w:rPr>
        <w:t xml:space="preserve">سقَطَ خِلافُ المخالِفِ ، و سنَدُلُّ عليه عندَ الكلامِ في التفضيلِ </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 أمّا الدليلُ على أنّ المفضولَ لا يَجوزُ أن يَكونَ إماماً، فقَد تَقدَّمَ </w:t>
      </w:r>
      <w:r>
        <w:rPr>
          <w:rStyle w:val="FootnoteAnchor"/>
          <w:rtl w:val="true"/>
        </w:rPr>
        <w:footnoteReference w:id="362"/>
      </w:r>
      <w:r>
        <w:rPr>
          <w:rFonts w:ascii="Amiri" w:hAnsi="Amiri" w:eastAsia="Amiri" w:cs="Amiri"/>
          <w:color w:val="111111"/>
          <w:sz w:val="28"/>
          <w:sz w:val="28"/>
          <w:szCs w:val="28"/>
          <w:rtl w:val="true"/>
          <w:lang w:bidi="ar-SA"/>
        </w:rPr>
        <w:t xml:space="preserve">فيما مضىٰ مِن الكتابِ </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364"/>
      </w:r>
      <w:r>
        <w:rPr>
          <w:rFonts w:ascii="Amiri" w:hAnsi="Amiri" w:eastAsia="Amiri" w:cs="Amiri"/>
          <w:color w:val="111111"/>
          <w:sz w:val="28"/>
          <w:sz w:val="28"/>
          <w:szCs w:val="28"/>
          <w:rtl w:val="true"/>
          <w:lang w:bidi="ar-SA"/>
        </w:rPr>
        <w:t>توَصُّلُهم إلَى النصِّ بما يَقدَحُ في سائِر مَن يُقالُ إنّه إمامٌ فبَعيدٌ؛ لأنّ مَن خالَفَهم يَنفي عنهم ما يَذكُرونَ‌، و يَزعُمون أنّهم يصلُحونَ للإمامةِ كصلاحِ أميرِ المؤمِنينَ عليه السلامُ‌، بَل فيمَن خالَفَهم مَن يَعلو</w:t>
      </w:r>
      <w:r>
        <w:rPr>
          <w:rStyle w:val="FootnoteAnchor"/>
          <w:rtl w:val="true"/>
        </w:rPr>
        <w:footnoteReference w:id="365"/>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بَعدَ الرسولِ للإمامةِ غيرُ أبي بَكرٍ، و يقولُ في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يصلُحُ للإمامةِ لَيسَ إلّامَن تَوَلّىٰ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رُبَّما تسلُكونَ </w:t>
      </w:r>
      <w:r>
        <w:rPr>
          <w:rStyle w:val="FootnoteAnchor"/>
          <w:rtl w:val="true"/>
        </w:rPr>
        <w:footnoteReference w:id="367"/>
      </w:r>
      <w:r>
        <w:rPr>
          <w:rFonts w:ascii="Amiri" w:hAnsi="Amiri" w:eastAsia="Amiri" w:cs="Amiri"/>
          <w:color w:val="111111"/>
          <w:sz w:val="28"/>
          <w:sz w:val="28"/>
          <w:szCs w:val="28"/>
          <w:rtl w:val="true"/>
          <w:lang w:bidi="ar-SA"/>
        </w:rPr>
        <w:t xml:space="preserve">مع أهلِ الحديثِ مِثلَ ذلكَ في إمامةِ </w:t>
      </w:r>
      <w:r>
        <w:rPr>
          <w:rStyle w:val="FootnoteAnchor"/>
          <w:rtl w:val="true"/>
        </w:rPr>
        <w:footnoteReference w:id="368"/>
      </w:r>
      <w:r>
        <w:rPr>
          <w:rFonts w:ascii="Amiri" w:hAnsi="Amiri" w:eastAsia="Amiri" w:cs="Amiri"/>
          <w:color w:val="111111"/>
          <w:sz w:val="28"/>
          <w:sz w:val="28"/>
          <w:szCs w:val="28"/>
          <w:rtl w:val="true"/>
          <w:lang w:bidi="ar-SA"/>
        </w:rPr>
        <w:t>معاويةَ؟ فلِماذا مَنَعتمونا مِن مِثلِه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الوجوهَ التي لا يصلُحُ معاويةُ للإمامةِ معها</w:t>
      </w:r>
      <w:r>
        <w:rPr>
          <w:rStyle w:val="FootnoteAnchor"/>
          <w:rtl w:val="true"/>
        </w:rPr>
        <w:footnoteReference w:id="369"/>
      </w:r>
      <w:r>
        <w:rPr>
          <w:rFonts w:ascii="Amiri" w:hAnsi="Amiri" w:eastAsia="Amiri" w:cs="Amiri"/>
          <w:color w:val="111111"/>
          <w:sz w:val="28"/>
          <w:sz w:val="28"/>
          <w:szCs w:val="28"/>
          <w:rtl w:val="true"/>
          <w:lang w:bidi="ar-SA"/>
        </w:rPr>
        <w:t xml:space="preserve">ظاهرةٌ و لا </w:t>
      </w:r>
    </w:p>
    <w:p>
      <w:pPr>
        <w:pStyle w:val="BookText"/>
        <w:rPr/>
      </w:pPr>
      <w:r>
        <w:rPr>
          <w:rFonts w:ascii="Amiri" w:hAnsi="Amiri" w:eastAsia="Amiri" w:cs="Amiri"/>
          <w:color w:val="111111"/>
          <w:sz w:val="28"/>
          <w:sz w:val="28"/>
          <w:szCs w:val="28"/>
          <w:rtl w:val="true"/>
          <w:lang w:bidi="ar-SA"/>
        </w:rPr>
        <w:t>شُبهةَ فيها، فنقرِّبُ بذِكرِها عليهم، لا أنّا نَجعَلُ ذلك أصلاً؛ لأنّ عندَنا أنّ الإمامةَ فيمَن يصلُحُ لها لَم تَثبُتْ‌</w:t>
      </w:r>
      <w:r>
        <w:rPr>
          <w:rStyle w:val="FootnoteAnchor"/>
          <w:rtl w:val="true"/>
        </w:rPr>
        <w:footnoteReference w:id="370"/>
      </w:r>
      <w:r>
        <w:rPr>
          <w:rFonts w:ascii="Amiri" w:hAnsi="Amiri" w:eastAsia="Amiri" w:cs="Amiri"/>
          <w:color w:val="111111"/>
          <w:sz w:val="28"/>
          <w:sz w:val="28"/>
          <w:szCs w:val="28"/>
          <w:rtl w:val="true"/>
          <w:lang w:bidi="ar-SA"/>
        </w:rPr>
        <w:t>إلّابوجوهٍ لَم تَثبُتْ في معاويةَ و ثبَتَت في أميرِ المؤمِنينَ عليه السلامُ‌، و إنّما يُدفَعُ شيوخُنا إلىٰ‌</w:t>
      </w:r>
      <w:r>
        <w:rPr>
          <w:rStyle w:val="FootnoteAnchor"/>
          <w:rtl w:val="true"/>
        </w:rPr>
        <w:footnoteReference w:id="371"/>
      </w:r>
      <w:r>
        <w:rPr>
          <w:rFonts w:ascii="Amiri" w:hAnsi="Amiri" w:eastAsia="Amiri" w:cs="Amiri"/>
          <w:color w:val="111111"/>
          <w:sz w:val="28"/>
          <w:sz w:val="28"/>
          <w:szCs w:val="28"/>
          <w:rtl w:val="true"/>
          <w:lang w:bidi="ar-SA"/>
        </w:rPr>
        <w:t>ذِكرِ ذلك</w:t>
      </w:r>
      <w:r>
        <w:rPr>
          <w:rStyle w:val="FootnoteAnchor"/>
          <w:rtl w:val="true"/>
        </w:rPr>
        <w:footnoteReference w:id="372"/>
      </w:r>
      <w:r>
        <w:rPr>
          <w:rFonts w:ascii="Amiri" w:hAnsi="Amiri" w:eastAsia="Amiri" w:cs="Amiri"/>
          <w:color w:val="111111"/>
          <w:sz w:val="28"/>
          <w:sz w:val="28"/>
          <w:szCs w:val="28"/>
          <w:rtl w:val="true"/>
          <w:lang w:bidi="ar-SA"/>
        </w:rPr>
        <w:t>عندَ سؤالٍ يورَدُ عليهم</w:t>
      </w:r>
      <w:r>
        <w:rPr>
          <w:rStyle w:val="FootnoteAnchor"/>
          <w:rtl w:val="true"/>
        </w:rPr>
        <w:footnoteReference w:id="373"/>
      </w:r>
      <w:r>
        <w:rPr>
          <w:rFonts w:ascii="Amiri" w:hAnsi="Amiri" w:eastAsia="Amiri" w:cs="Amiri"/>
          <w:color w:val="111111"/>
          <w:sz w:val="28"/>
          <w:sz w:val="28"/>
          <w:szCs w:val="28"/>
          <w:rtl w:val="true"/>
          <w:lang w:bidi="ar-SA"/>
        </w:rPr>
        <w:t>،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أجمَعوا</w:t>
      </w:r>
      <w:r>
        <w:rPr>
          <w:rStyle w:val="FootnoteAnchor"/>
          <w:rtl w:val="true"/>
        </w:rPr>
        <w:footnoteReference w:id="374"/>
      </w:r>
      <w:r>
        <w:rPr>
          <w:rFonts w:ascii="Amiri" w:hAnsi="Amiri" w:eastAsia="Amiri" w:cs="Amiri"/>
          <w:color w:val="111111"/>
          <w:sz w:val="28"/>
          <w:sz w:val="28"/>
          <w:szCs w:val="28"/>
          <w:rtl w:val="true"/>
          <w:lang w:bidi="ar-SA"/>
        </w:rPr>
        <w:t>علىٰ إمامةِ معاويةَ‌، و إنّه عند تسليمِ الحَسَنِ عليه السلامُ سُمّيَ 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يوجِبْ ذلكَ إمامتَه، فكذلكَ القولُ في إمامةِ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فنَذكُرُ</w:t>
      </w:r>
      <w:r>
        <w:rPr>
          <w:rStyle w:val="FootnoteAnchor"/>
          <w:rtl w:val="true"/>
        </w:rPr>
        <w:footnoteReference w:id="375"/>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إنّما يُقالُ‌</w:t>
      </w:r>
      <w:r>
        <w:rPr>
          <w:rStyle w:val="FootnoteAnchor"/>
          <w:rtl w:val="true"/>
        </w:rPr>
        <w:footnoteReference w:id="376"/>
      </w:r>
      <w:r>
        <w:rPr>
          <w:rFonts w:ascii="Amiri" w:hAnsi="Amiri" w:eastAsia="Amiri" w:cs="Amiri"/>
          <w:color w:val="111111"/>
          <w:sz w:val="28"/>
          <w:sz w:val="28"/>
          <w:szCs w:val="28"/>
          <w:rtl w:val="true"/>
          <w:lang w:bidi="ar-SA"/>
        </w:rPr>
        <w:t>فيمن يَصلُحُ للإمامةِ و يَكونُ في أمرِه شُبهةٌ‌، و لا يَتأتّىٰ مِثلُه في معاويةَ‌، كما لا يَتأتّىٰ مِثلُه في الخوارجِ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تبيَّنَ </w:t>
      </w:r>
      <w:r>
        <w:rPr>
          <w:rStyle w:val="FootnoteAnchor"/>
          <w:rtl w:val="true"/>
        </w:rPr>
        <w:footnoteReference w:id="377"/>
      </w:r>
      <w:r>
        <w:rPr>
          <w:rFonts w:ascii="Amiri" w:hAnsi="Amiri" w:eastAsia="Amiri" w:cs="Amiri"/>
          <w:color w:val="111111"/>
          <w:sz w:val="28"/>
          <w:sz w:val="28"/>
          <w:szCs w:val="28"/>
          <w:rtl w:val="true"/>
          <w:lang w:bidi="ar-SA"/>
        </w:rPr>
        <w:t>بهذا الوجهِ و بغَيرِه اختلالُ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أن يُجعَلَ </w:t>
      </w:r>
      <w:r>
        <w:rPr>
          <w:rStyle w:val="FootnoteAnchor"/>
          <w:rtl w:val="true"/>
        </w:rPr>
        <w:footnoteReference w:id="378"/>
      </w:r>
      <w:r>
        <w:rPr>
          <w:rFonts w:ascii="Amiri" w:hAnsi="Amiri" w:eastAsia="Amiri" w:cs="Amiri"/>
          <w:color w:val="111111"/>
          <w:sz w:val="28"/>
          <w:sz w:val="28"/>
          <w:szCs w:val="28"/>
          <w:rtl w:val="true"/>
          <w:lang w:bidi="ar-SA"/>
        </w:rPr>
        <w:t>ذلك أصلاً في الإمامةِ فبَعيدٌ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ما يَقتَضي ثُبوتَ إمامةِ أبي بَكرٍ يُبطِلُ القَدحَ </w:t>
      </w:r>
      <w:r>
        <w:rPr>
          <w:rStyle w:val="FootnoteAnchor"/>
          <w:rtl w:val="true"/>
        </w:rPr>
        <w:footnoteReference w:id="379"/>
      </w:r>
      <w:r>
        <w:rPr>
          <w:rFonts w:ascii="Amiri" w:hAnsi="Amiri" w:eastAsia="Amiri" w:cs="Amiri"/>
          <w:color w:val="111111"/>
          <w:sz w:val="28"/>
          <w:sz w:val="28"/>
          <w:szCs w:val="28"/>
          <w:rtl w:val="true"/>
          <w:lang w:bidi="ar-SA"/>
        </w:rPr>
        <w:t>فيه، و يَمنَعُ مِن القولِ بأنّه لا يصلُحُ للإمامةِ ، فيَجِبُ أن يَكونَ الكلامُ في إثباتِ إمامتِه؛ فإنّ ما عَداه تابعٌ له</w:t>
      </w:r>
      <w:r>
        <w:rPr>
          <w:rFonts w:eastAsia="Amiri" w:cs="Amiri" w:ascii="Amiri" w:hAnsi="Amiri"/>
          <w:color w:val="111111"/>
          <w:sz w:val="28"/>
          <w:szCs w:val="28"/>
          <w:rtl w:val="true"/>
          <w:lang w:bidi="ar-SA"/>
        </w:rPr>
        <w:t xml:space="preserve">. </w:t>
      </w:r>
      <w:bookmarkStart w:id="109" w:name="pg20017_202395"/>
    </w:p>
    <w:p>
      <w:pPr>
        <w:pStyle w:val="BookText"/>
        <w:rPr/>
      </w:pPr>
      <w:bookmarkEnd w:id="109"/>
      <w:r>
        <w:rPr>
          <w:rFonts w:ascii="IRNazanin" w:hAnsi="IRNazanin" w:eastAsia="IRNazanin"/>
          <w:color w:val="111111"/>
          <w:sz w:val="28"/>
          <w:sz w:val="28"/>
          <w:szCs w:val="28"/>
          <w:rtl w:val="true"/>
          <w:lang w:bidi="fa-IR"/>
        </w:rPr>
        <w:t>و هذا</w:t>
      </w:r>
      <w:r>
        <w:rPr>
          <w:rStyle w:val="FootnoteAnchor"/>
          <w:rtl w:val="true"/>
        </w:rPr>
        <w:footnoteReference w:id="380"/>
      </w:r>
      <w:r>
        <w:rPr>
          <w:rFonts w:ascii="Amiri" w:hAnsi="Amiri" w:eastAsia="Amiri" w:cs="Amiri"/>
          <w:color w:val="111111"/>
          <w:sz w:val="28"/>
          <w:sz w:val="28"/>
          <w:szCs w:val="28"/>
          <w:rtl w:val="true"/>
          <w:lang w:bidi="ar-SA"/>
        </w:rPr>
        <w:t>يبيِّنُ أنّه لا شُبهةَ‌</w:t>
      </w:r>
      <w:r>
        <w:rPr>
          <w:rStyle w:val="FootnoteAnchor"/>
          <w:rtl w:val="true"/>
        </w:rPr>
        <w:footnoteReference w:id="381"/>
      </w:r>
      <w:r>
        <w:rPr>
          <w:rFonts w:ascii="Amiri" w:hAnsi="Amiri" w:eastAsia="Amiri" w:cs="Amiri"/>
          <w:color w:val="111111"/>
          <w:sz w:val="28"/>
          <w:sz w:val="28"/>
          <w:szCs w:val="28"/>
          <w:rtl w:val="true"/>
          <w:lang w:bidi="ar-SA"/>
        </w:rPr>
        <w:t>فيما جَرىٰ‌</w:t>
      </w:r>
      <w:r>
        <w:rPr>
          <w:rStyle w:val="FootnoteAnchor"/>
          <w:rtl w:val="true"/>
        </w:rPr>
        <w:footnoteReference w:id="382"/>
      </w:r>
      <w:r>
        <w:rPr>
          <w:rFonts w:ascii="Amiri" w:hAnsi="Amiri" w:eastAsia="Amiri" w:cs="Amiri"/>
          <w:color w:val="111111"/>
          <w:sz w:val="28"/>
          <w:sz w:val="28"/>
          <w:szCs w:val="28"/>
          <w:rtl w:val="true"/>
          <w:lang w:bidi="ar-SA"/>
        </w:rPr>
        <w:t>هذا المَجرىٰ مِن الحِجاجِ في إثباتِ النصِّ‌، و أنّ‌</w:t>
      </w:r>
      <w:r>
        <w:rPr>
          <w:rStyle w:val="FootnoteAnchor"/>
          <w:rtl w:val="true"/>
        </w:rPr>
        <w:footnoteReference w:id="383"/>
      </w:r>
      <w:r>
        <w:rPr>
          <w:rFonts w:ascii="Amiri" w:hAnsi="Amiri" w:eastAsia="Amiri" w:cs="Amiri"/>
          <w:color w:val="111111"/>
          <w:sz w:val="28"/>
          <w:sz w:val="28"/>
          <w:szCs w:val="28"/>
          <w:rtl w:val="true"/>
          <w:lang w:bidi="ar-SA"/>
        </w:rPr>
        <w:t>الواجبَ أن يَذكروا دليلاً بعَينِه مِن كتابٍ أو سُنّةٍ ليَصِحَّ التعلُّقُ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القومُ بهذه الطريقةِ أسعَدَ حالاً ممّن خالَفَهم؛ بأن يَقولَ </w:t>
      </w:r>
      <w:r>
        <w:rPr>
          <w:rStyle w:val="FootnoteAnchor"/>
          <w:rtl w:val="true"/>
        </w:rPr>
        <w:footnoteReference w:id="3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بَعدَ إبطالِ النصِّ إلّاطريقةُ الاختيارِ و قد ثبَتَ في إمامةِ أبي بَكرٍ، فيَجِبُ أن يُقالَ بإمامتِه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يَكونوا</w:t>
      </w:r>
      <w:r>
        <w:rPr>
          <w:rStyle w:val="FootnoteAnchor"/>
          <w:rtl w:val="true"/>
        </w:rPr>
        <w:footnoteReference w:id="385"/>
      </w:r>
      <w:r>
        <w:rPr>
          <w:rFonts w:ascii="Amiri" w:hAnsi="Amiri" w:eastAsia="Amiri" w:cs="Amiri"/>
          <w:color w:val="111111"/>
          <w:sz w:val="28"/>
          <w:sz w:val="28"/>
          <w:szCs w:val="28"/>
          <w:rtl w:val="true"/>
          <w:lang w:bidi="ar-SA"/>
        </w:rPr>
        <w:t>مُحيلينَ</w:t>
      </w:r>
    </w:p>
    <w:p>
      <w:pPr>
        <w:pStyle w:val="BookText"/>
        <w:rPr/>
      </w:pPr>
      <w:r>
        <w:rPr>
          <w:rFonts w:ascii="Amiri" w:hAnsi="Amiri" w:eastAsia="Amiri" w:cs="Amiri"/>
          <w:color w:val="111111"/>
          <w:sz w:val="28"/>
          <w:sz w:val="28"/>
          <w:szCs w:val="28"/>
          <w:rtl w:val="true"/>
          <w:lang w:bidi="ar-SA"/>
        </w:rPr>
        <w:t xml:space="preserve">علىٰ أمرٍ معلومٍ </w:t>
      </w:r>
      <w:r>
        <w:rPr>
          <w:rFonts w:eastAsia="Amiri" w:cs="Amiri" w:ascii="Amiri" w:hAnsi="Amiri"/>
          <w:color w:val="111111"/>
          <w:sz w:val="28"/>
          <w:szCs w:val="28"/>
          <w:rtl w:val="true"/>
          <w:lang w:bidi="ar-SA"/>
        </w:rPr>
        <w:t>.</w:t>
      </w:r>
      <w:r>
        <w:rPr>
          <w:rStyle w:val="FootnoteAnchor"/>
          <w:rtl w:val="true"/>
        </w:rPr>
        <w:footnoteReference w:id="386"/>
      </w:r>
    </w:p>
    <w:p>
      <w:pPr>
        <w:pStyle w:val="Heading5"/>
        <w:numPr>
          <w:ilvl w:val="4"/>
          <w:numId w:val="1"/>
        </w:numPr>
        <w:rPr/>
      </w:pPr>
      <w:bookmarkStart w:id="110" w:name="__RefHeading___Toc964069_2320776876"/>
      <w:bookmarkStart w:id="111" w:name="_Toc38"/>
      <w:bookmarkEnd w:id="110"/>
      <w:r>
        <w:rPr>
          <w:rtl w:val="true"/>
        </w:rPr>
        <w:t>نفي أن يكون الخلاف في شيء دليلاً علىٰ بطلانه</w:t>
      </w:r>
      <w:bookmarkEnd w:id="111"/>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طَعَنَ به أصحابُنا في صلاحِ أبي بَكرٍ للإمامةِ ممّا يَتمكَّنُ المخالِفونَ مِن إنكارِه، و إن خالَفوا في كَونِه دليلاً علىٰ أنّه لا يصلُحُ للإمامةِ ؛ لأنّ إخلالَه بكَثيرٍ مِن علومِ الدِّينِ و حاجَتَه فيها إلىٰ غيرِه و تَوَقُّفَه في مَواضعَ منها معلومٌ ظاهرٌ، و كذلكَ كَونُه غيرَ معصومٍ و أنّه ممّن يَجوزُ عليه الخطأُ أيضاً مُجمَعٌ عليه، و قد تَقدَّمَت الأدلّةُ علىٰ أنّ مَن كانَت هذه حالُه لا يصلُحُ أن يَكونَ إماماً</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تأخيرُه</w:t>
      </w:r>
      <w:r>
        <w:rPr>
          <w:rStyle w:val="FootnoteAnchor"/>
          <w:rtl w:val="true"/>
        </w:rPr>
        <w:footnoteReference w:id="388"/>
      </w:r>
      <w:r>
        <w:rPr>
          <w:rFonts w:ascii="Amiri" w:hAnsi="Amiri" w:eastAsia="Amiri" w:cs="Amiri"/>
          <w:color w:val="111111"/>
          <w:sz w:val="28"/>
          <w:sz w:val="28"/>
          <w:szCs w:val="28"/>
          <w:rtl w:val="true"/>
          <w:lang w:bidi="ar-SA"/>
        </w:rPr>
        <w:t xml:space="preserve">عن الوِلاياتِ ، و تقديمُ غيرِه عليه، و عزلُه عن وِلايةِ أداءِ سورةِ </w:t>
      </w:r>
    </w:p>
    <w:p>
      <w:pPr>
        <w:pStyle w:val="BookText"/>
        <w:rPr/>
      </w:pPr>
      <w:r>
        <w:rPr>
          <w:rFonts w:ascii="Amiri" w:hAnsi="Amiri" w:eastAsia="Amiri" w:cs="Amiri"/>
          <w:color w:val="111111"/>
          <w:sz w:val="28"/>
          <w:sz w:val="28"/>
          <w:szCs w:val="28"/>
          <w:rtl w:val="true"/>
          <w:lang w:bidi="ar-SA"/>
        </w:rPr>
        <w:t>بَراءةٍ علَى الوجهِ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خِلافَ أيضاً فيه، و سنَتكلَّمُ علىٰ ذلك و ما أشبَهَه إذا انتَهَينا إلَى الكلامِ في إمامةِ أبي بَكرٍ</w:t>
      </w:r>
      <w:r>
        <w:rPr>
          <w:rStyle w:val="FootnoteAnchor"/>
          <w:rtl w:val="true"/>
        </w:rPr>
        <w:footnoteReference w:id="389"/>
      </w:r>
      <w:r>
        <w:rPr>
          <w:rFonts w:ascii="Amiri" w:hAnsi="Amiri" w:eastAsia="Amiri" w:cs="Amiri"/>
          <w:color w:val="111111"/>
          <w:sz w:val="28"/>
          <w:sz w:val="28"/>
          <w:szCs w:val="28"/>
          <w:rtl w:val="true"/>
          <w:lang w:bidi="ar-SA"/>
        </w:rPr>
        <w:t>، إن شاءَ اللّٰهُ عزّ و جلّ‌</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ثُبوتُ الخِلافِ في الشيءِ دليلاً علىٰ بُطلانِه، و مانعاً مِن الاعتمادِ عليه، و المُراعىٰ في هذا البابِ ما تدُلُّ الأدلّةُ علىٰ صحّتِه</w:t>
      </w:r>
      <w:r>
        <w:rPr>
          <w:rStyle w:val="FootnoteAnchor"/>
          <w:rtl w:val="true"/>
        </w:rPr>
        <w:footnoteReference w:id="391"/>
      </w:r>
      <w:r>
        <w:rPr>
          <w:rFonts w:ascii="Amiri" w:hAnsi="Amiri" w:eastAsia="Amiri" w:cs="Amiri"/>
          <w:color w:val="111111"/>
          <w:sz w:val="28"/>
          <w:sz w:val="28"/>
          <w:szCs w:val="28"/>
          <w:rtl w:val="true"/>
          <w:lang w:bidi="ar-SA"/>
        </w:rPr>
        <w:t xml:space="preserve">، سَواءٌ وَقَعَ الخِلافُ فيه أو الوِفاقُ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اعتمادِه في جوابِ السؤالِ الذي أورَدَه علىٰ أنّ الوجوهَ التي لا يصلُحُ لها مُعاويةُ للإمامةِ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مع ظهورِها عندَكَ قد خالَفَكَ فيها الخَلقُ الكثيرُ ممّن يَعتقِدُ</w:t>
      </w:r>
      <w:r>
        <w:rPr>
          <w:rStyle w:val="FootnoteAnchor"/>
          <w:rtl w:val="true"/>
        </w:rPr>
        <w:footnoteReference w:id="392"/>
      </w:r>
      <w:r>
        <w:rPr>
          <w:rFonts w:ascii="Amiri" w:hAnsi="Amiri" w:eastAsia="Amiri" w:cs="Amiri"/>
          <w:color w:val="111111"/>
          <w:sz w:val="28"/>
          <w:sz w:val="28"/>
          <w:szCs w:val="28"/>
          <w:rtl w:val="true"/>
          <w:lang w:bidi="ar-SA"/>
        </w:rPr>
        <w:t>إمامةَ مُعاويةَ‌، و ذَهَبوا في كثيرٍ ممّا يُعتقَدُ كَونُ معاويةَ عليه مِن الأسبابِ المانعةِ مِن صلاحِه للإمامةِ إلىٰ أنّه باطلٌ لا أصلَ له، و في البعضِ الذي سَلَّموا حصولَه إلىٰ أنّه غيرُ دالٍّ علَى ارتفاعِ صلاحِه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جازَ أن تَثبُتَ‌</w:t>
      </w:r>
      <w:r>
        <w:rPr>
          <w:rStyle w:val="FootnoteAnchor"/>
          <w:rtl w:val="true"/>
        </w:rPr>
        <w:footnoteReference w:id="393"/>
      </w:r>
      <w:r>
        <w:rPr>
          <w:rFonts w:ascii="Amiri" w:hAnsi="Amiri" w:eastAsia="Amiri" w:cs="Amiri"/>
          <w:color w:val="111111"/>
          <w:sz w:val="28"/>
          <w:sz w:val="28"/>
          <w:szCs w:val="28"/>
          <w:rtl w:val="true"/>
          <w:lang w:bidi="ar-SA"/>
        </w:rPr>
        <w:t>حُجَّتُكَ عليهم في أنّ معاويةَ لا يصلُحُ للأمرِ مع ما ذَكَرناه مِن</w:t>
      </w:r>
      <w:r>
        <w:rPr>
          <w:rStyle w:val="FootnoteAnchor"/>
          <w:rtl w:val="true"/>
        </w:rPr>
        <w:footnoteReference w:id="394"/>
      </w:r>
      <w:r>
        <w:rPr>
          <w:rFonts w:ascii="Amiri" w:hAnsi="Amiri" w:eastAsia="Amiri" w:cs="Amiri"/>
          <w:color w:val="111111"/>
          <w:sz w:val="28"/>
          <w:sz w:val="28"/>
          <w:szCs w:val="28"/>
          <w:rtl w:val="true"/>
          <w:lang w:bidi="ar-SA"/>
        </w:rPr>
        <w:t>خِلافِهم، و ساغَ لكَ الاعتمادُ علىٰ ما يخالِفونَ فيه، فألّا ساغَ لنا مِثلُه في إمامةِ‌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بَكرٍ؟ و كَيفَ‌</w:t>
      </w:r>
      <w:r>
        <w:rPr>
          <w:rStyle w:val="FootnoteAnchor"/>
          <w:rtl w:val="true"/>
        </w:rPr>
        <w:footnoteReference w:id="395"/>
      </w:r>
      <w:r>
        <w:rPr>
          <w:rFonts w:ascii="Amiri" w:hAnsi="Amiri" w:eastAsia="Amiri" w:cs="Amiri"/>
          <w:color w:val="111111"/>
          <w:sz w:val="28"/>
          <w:sz w:val="28"/>
          <w:szCs w:val="28"/>
          <w:rtl w:val="true"/>
          <w:lang w:bidi="ar-SA"/>
        </w:rPr>
        <w:t xml:space="preserve">جَعَلتَ وقوعَ الخِلافِ علينا فيما نَقولُ أنّ أبا بَكرٍ لا يصلُحُ لأجلِه للإمامةِ </w:t>
      </w:r>
      <w:r>
        <w:rPr>
          <w:rStyle w:val="FootnoteAnchor"/>
          <w:rtl w:val="true"/>
        </w:rPr>
        <w:footnoteReference w:id="396"/>
      </w:r>
      <w:r>
        <w:rPr>
          <w:rFonts w:ascii="Amiri" w:hAnsi="Amiri" w:eastAsia="Amiri" w:cs="Amiri"/>
          <w:color w:val="111111"/>
          <w:sz w:val="28"/>
          <w:sz w:val="28"/>
          <w:szCs w:val="28"/>
          <w:rtl w:val="true"/>
          <w:lang w:bidi="ar-SA"/>
        </w:rPr>
        <w:t xml:space="preserve">مانعاً مِن الاحتجاجِ به، و لَم تُلزِم نفسَكَ مِثلَه في بابِ معاويةَ؟ </w:t>
      </w:r>
      <w:bookmarkStart w:id="112" w:name="pg20017_202397"/>
    </w:p>
    <w:p>
      <w:pPr>
        <w:pStyle w:val="Heading5"/>
        <w:numPr>
          <w:ilvl w:val="4"/>
          <w:numId w:val="1"/>
        </w:numPr>
        <w:rPr/>
      </w:pPr>
      <w:bookmarkStart w:id="113" w:name="__RefHeading___Toc964071_2320776876"/>
      <w:bookmarkStart w:id="114" w:name="_Toc39"/>
      <w:bookmarkEnd w:id="112"/>
      <w:bookmarkEnd w:id="113"/>
      <w:r>
        <w:rPr>
          <w:rtl w:val="true"/>
        </w:rPr>
        <w:t>بيان الوجه الأَولىٰ في إبطال إمامة من تُدّعىٰ له الإمامة بلا استحقاق</w:t>
      </w:r>
      <w:bookmarkEnd w:id="114"/>
    </w:p>
    <w:p>
      <w:pPr>
        <w:pStyle w:val="BookText"/>
        <w:rPr/>
      </w:pPr>
      <w:r>
        <w:rPr>
          <w:rFonts w:ascii="Amiri" w:hAnsi="Amiri" w:eastAsia="Amiri" w:cs="Amiri"/>
          <w:color w:val="111111"/>
          <w:sz w:val="28"/>
          <w:sz w:val="28"/>
          <w:szCs w:val="28"/>
          <w:rtl w:val="true"/>
          <w:lang w:bidi="ar-SA"/>
        </w:rPr>
        <w:t>و مِن العجَبِ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فنقرِّبُ بذِكرِها عليهم و لا نَجعَلُها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لا مانعَ 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مَن يُدَّعىٰ له الإمامةُ‌</w:t>
      </w:r>
      <w:r>
        <w:rPr>
          <w:rStyle w:val="FootnoteAnchor"/>
          <w:rtl w:val="true"/>
        </w:rPr>
        <w:footnoteReference w:id="397"/>
      </w:r>
      <w:r>
        <w:rPr>
          <w:rFonts w:ascii="Amiri" w:hAnsi="Amiri" w:eastAsia="Amiri" w:cs="Amiri"/>
          <w:color w:val="111111"/>
          <w:sz w:val="28"/>
          <w:sz w:val="28"/>
          <w:szCs w:val="28"/>
          <w:rtl w:val="true"/>
          <w:lang w:bidi="ar-SA"/>
        </w:rPr>
        <w:t>لا يَصلُحُ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في إبطالِ إمامتِه، بَل هو الأَولىٰ عند قيامِ الدليلِ عليه؛ لأنّ كَونَه ممّن لا يَصلُحُ للإمامةِ مُفسِدٌ لإمامتِه، كما أنّ انتفاءَ ما به يَثبُتُ‌</w:t>
      </w:r>
      <w:r>
        <w:rPr>
          <w:rStyle w:val="FootnoteAnchor"/>
          <w:rtl w:val="true"/>
        </w:rPr>
        <w:footnoteReference w:id="398"/>
      </w:r>
      <w:r>
        <w:rPr>
          <w:rFonts w:ascii="Amiri" w:hAnsi="Amiri" w:eastAsia="Amiri" w:cs="Amiri"/>
          <w:color w:val="111111"/>
          <w:sz w:val="28"/>
          <w:sz w:val="28"/>
          <w:szCs w:val="28"/>
          <w:rtl w:val="true"/>
          <w:lang w:bidi="ar-SA"/>
        </w:rPr>
        <w:t xml:space="preserve">الإمامةُ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عقدٍ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 الوجهُ الأوّلُ‌</w:t>
      </w:r>
      <w:r>
        <w:rPr>
          <w:rStyle w:val="FootnoteAnchor"/>
          <w:rtl w:val="true"/>
        </w:rPr>
        <w:footnoteReference w:id="399"/>
      </w:r>
      <w:r>
        <w:rPr>
          <w:rFonts w:ascii="Amiri" w:hAnsi="Amiri" w:eastAsia="Amiri" w:cs="Amiri"/>
          <w:color w:val="111111"/>
          <w:sz w:val="28"/>
          <w:sz w:val="28"/>
          <w:szCs w:val="28"/>
          <w:rtl w:val="true"/>
          <w:lang w:bidi="ar-SA"/>
        </w:rPr>
        <w:t>آكَدَ و أَولىٰ‌؛ لأنّه مانعٌ مِن وقوعِ الإمامةِ و جوازِ وقوعِها، و الثاني</w:t>
      </w:r>
      <w:r>
        <w:rPr>
          <w:rStyle w:val="FootnoteAnchor"/>
          <w:rtl w:val="true"/>
        </w:rPr>
        <w:footnoteReference w:id="400"/>
      </w:r>
      <w:r>
        <w:rPr>
          <w:rFonts w:ascii="Amiri" w:hAnsi="Amiri" w:eastAsia="Amiri" w:cs="Amiri"/>
          <w:color w:val="111111"/>
          <w:sz w:val="28"/>
          <w:sz w:val="28"/>
          <w:szCs w:val="28"/>
          <w:rtl w:val="true"/>
          <w:lang w:bidi="ar-SA"/>
        </w:rPr>
        <w:t>مانعٌ مِن ثُبوتِها و غيرُ مانعٍ مِن جوازِه؛ ألا تَعلَمُ أنّا</w:t>
      </w:r>
      <w:r>
        <w:rPr>
          <w:rStyle w:val="FootnoteAnchor"/>
          <w:rtl w:val="true"/>
        </w:rPr>
        <w:footnoteReference w:id="401"/>
      </w:r>
      <w:r>
        <w:rPr>
          <w:rFonts w:ascii="Amiri" w:hAnsi="Amiri" w:eastAsia="Amiri" w:cs="Amiri"/>
          <w:color w:val="111111"/>
          <w:sz w:val="28"/>
          <w:sz w:val="28"/>
          <w:szCs w:val="28"/>
          <w:rtl w:val="true"/>
          <w:lang w:bidi="ar-SA"/>
        </w:rPr>
        <w:t>لَو أُلزِمنا إمامةَ كافرٍ أو متظاهِرٍ بالفِسقِ‌، أو مَن لَيسَ له نَسَبٌ في قُرَيشٍ‌، لَكانَ الأَولىٰ أن نبيِّنَ أنّه لا يصلُحُ للإمامةِ‌، و نجعَلَ بَيانَ حالِه مُبطِلاً لإمامتِه، و لا نَعدِلَ إلىٰ ذِكرِ انتفاءِ ما به تَثبُتُ‌</w:t>
      </w:r>
      <w:r>
        <w:rPr>
          <w:rStyle w:val="FootnoteAnchor"/>
          <w:rtl w:val="true"/>
        </w:rPr>
        <w:footnoteReference w:id="402"/>
      </w:r>
      <w:r>
        <w:rPr>
          <w:rFonts w:ascii="Amiri" w:hAnsi="Amiri" w:eastAsia="Amiri" w:cs="Amiri"/>
          <w:color w:val="111111"/>
          <w:sz w:val="28"/>
          <w:sz w:val="28"/>
          <w:szCs w:val="28"/>
          <w:rtl w:val="true"/>
          <w:lang w:bidi="ar-SA"/>
        </w:rPr>
        <w:t>الإمامةُ مِن عقدٍ و ما يَجري مَجراه‌؟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لَسنا نَعلَمُ بَينَ إيرادِ ما ذَكَرَه مِن كَونِ معاويةَ لا يصلُحُ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السؤالِ الذي حَكاه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إيرادِه ابتداءً فَرقاً يَقتَضي أن يُستَحسَنَ جواباً و يُنكِرَه</w:t>
      </w:r>
      <w:r>
        <w:rPr>
          <w:rStyle w:val="FootnoteAnchor"/>
          <w:rtl w:val="true"/>
        </w:rPr>
        <w:footnoteReference w:id="403"/>
      </w:r>
      <w:r>
        <w:rPr>
          <w:rFonts w:ascii="Amiri" w:hAnsi="Amiri" w:eastAsia="Amiri" w:cs="Amiri"/>
          <w:color w:val="111111"/>
          <w:sz w:val="28"/>
          <w:sz w:val="28"/>
          <w:szCs w:val="28"/>
          <w:rtl w:val="true"/>
          <w:lang w:bidi="ar-SA"/>
        </w:rPr>
        <w:t xml:space="preserve">ابتداءً ؛ لأنّه إذا ساغَ أن يَقولَ لِمَن يَدَّعي الإجماعَ علىٰ إمامةِ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يَتأتّىٰ في معاويةَ لأنّه لا يصلُحُ للإمامةِ ، ساغَ أن يَقولَ أيضاً في الأصلِ لمَن يسألُ عن ثبوتِ إمامةِ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الإمامةِ إنّما يَتأتّىٰ فيمَن يصلُحُ لها، و معاويةُ ممّن لا يصلُحُ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أُرِدْ أنّي لا أجعَلُ ذلك أصلاً في نفيِ إمامةِ معاويةَ ، و إنّما أرَدتُ أن أجعَلَه أصلاً في بابِ انتفاءِ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يَكونُ ما ذَكَرتَه أصلاً في نفيِ إمامةِ كُلِّ مَن ثبَتَ أنّه لا يصلُحُ‌</w:t>
      </w:r>
    </w:p>
    <w:p>
      <w:pPr>
        <w:pStyle w:val="BookText"/>
        <w:rPr/>
      </w:pPr>
      <w:r>
        <w:rPr>
          <w:rFonts w:ascii="Amiri" w:hAnsi="Amiri" w:eastAsia="Amiri" w:cs="Amiri"/>
          <w:color w:val="111111"/>
          <w:sz w:val="28"/>
          <w:sz w:val="28"/>
          <w:szCs w:val="28"/>
          <w:rtl w:val="true"/>
          <w:lang w:bidi="ar-SA"/>
        </w:rPr>
        <w:t>للإمامةِ‌؛ سَواءٌ كانَ معاويةَ أو غيرَه‌؟ اللّهمّ إلّاأن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لا أجعَلُه أصلاً فيمَن يصلُحُ للإمامةِ‌، أو فيمَن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يصلُحُ أم لا؟</w:t>
      </w:r>
    </w:p>
    <w:p>
      <w:pPr>
        <w:pStyle w:val="BookText"/>
        <w:rPr/>
      </w:pPr>
      <w:r>
        <w:rPr>
          <w:rFonts w:ascii="Amiri" w:hAnsi="Amiri" w:eastAsia="Amiri" w:cs="Amiri"/>
          <w:color w:val="111111"/>
          <w:sz w:val="28"/>
          <w:sz w:val="28"/>
          <w:szCs w:val="28"/>
          <w:rtl w:val="true"/>
          <w:lang w:bidi="ar-SA"/>
        </w:rPr>
        <w:t>و هذا إذا أرَدتَه خارجٌ عمّا نحنُ فيه، و عمّا كلامُنا عليه</w:t>
      </w:r>
      <w:r>
        <w:rPr>
          <w:rStyle w:val="FootnoteAnchor"/>
          <w:rtl w:val="true"/>
        </w:rPr>
        <w:footnoteReference w:id="404"/>
      </w:r>
      <w:r>
        <w:rPr>
          <w:rFonts w:ascii="Amiri" w:hAnsi="Amiri" w:eastAsia="Amiri" w:cs="Amiri"/>
          <w:color w:val="111111"/>
          <w:sz w:val="28"/>
          <w:sz w:val="28"/>
          <w:szCs w:val="28"/>
          <w:rtl w:val="true"/>
          <w:lang w:bidi="ar-SA"/>
        </w:rPr>
        <w:t xml:space="preserve">لأنّ الكلامَ إنّما هو في صحّةِ التطرُّقِ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Style w:val="FootnoteAnchor"/>
          <w:rtl w:val="true"/>
        </w:rPr>
        <w:footnoteReference w:id="405"/>
      </w:r>
      <w:r>
        <w:rPr>
          <w:rFonts w:ascii="Amiri" w:hAnsi="Amiri" w:eastAsia="Amiri" w:cs="Amiri"/>
          <w:color w:val="111111"/>
          <w:sz w:val="28"/>
          <w:sz w:val="28"/>
          <w:szCs w:val="28"/>
          <w:rtl w:val="true"/>
          <w:lang w:bidi="ar-SA"/>
        </w:rPr>
        <w:t>مَن يُدَّعىٰ له الإمامةُ لا يصلُحُ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نفيِ إمامتِه، كما يَصِحُّ أن يُتطرَّقَ إلىٰ نفيِها بغَيرِه مِن عدمِ العقدِ أو ما يَجري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الجوابَ عن السؤالِ الذي حَكىٰ أنّ شيوخَه دُفِعوا إليه ما نَراه</w:t>
      </w:r>
      <w:r>
        <w:rPr>
          <w:rStyle w:val="FootnoteAnchor"/>
          <w:rtl w:val="true"/>
        </w:rPr>
        <w:footnoteReference w:id="406"/>
      </w:r>
      <w:r>
        <w:rPr>
          <w:rFonts w:ascii="Amiri" w:hAnsi="Amiri" w:eastAsia="Amiri" w:cs="Amiri"/>
          <w:color w:val="111111"/>
          <w:sz w:val="28"/>
          <w:sz w:val="28"/>
          <w:szCs w:val="28"/>
          <w:rtl w:val="true"/>
          <w:lang w:bidi="ar-SA"/>
        </w:rPr>
        <w:t>إلّامؤكِّداً للسؤالِ و</w:t>
      </w:r>
      <w:r>
        <w:rPr>
          <w:rStyle w:val="FootnoteAnchor"/>
          <w:rtl w:val="true"/>
        </w:rPr>
        <w:footnoteReference w:id="407"/>
      </w:r>
      <w:r>
        <w:rPr>
          <w:rFonts w:ascii="Amiri" w:hAnsi="Amiri" w:eastAsia="Amiri" w:cs="Amiri"/>
          <w:color w:val="111111"/>
          <w:sz w:val="28"/>
          <w:sz w:val="28"/>
          <w:szCs w:val="28"/>
          <w:rtl w:val="true"/>
          <w:lang w:bidi="ar-SA"/>
        </w:rPr>
        <w:t xml:space="preserve">مُحَقِّقاً له؛ لأنّه إذا جازَ أن يَحصُلَ الإجماعُ علَى الصورةِ التي كانَ </w:t>
      </w:r>
      <w:r>
        <w:rPr>
          <w:rStyle w:val="FootnoteAnchor"/>
          <w:rtl w:val="true"/>
        </w:rPr>
        <w:footnoteReference w:id="408"/>
      </w:r>
      <w:r>
        <w:rPr>
          <w:rFonts w:ascii="Amiri" w:hAnsi="Amiri" w:eastAsia="Amiri" w:cs="Amiri"/>
          <w:color w:val="111111"/>
          <w:sz w:val="28"/>
          <w:sz w:val="28"/>
          <w:szCs w:val="28"/>
          <w:rtl w:val="true"/>
          <w:lang w:bidi="ar-SA"/>
        </w:rPr>
        <w:t xml:space="preserve">عليها في أيّامِ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يَصلُحُ عندَه للإمامةِ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مَن لَيسَ بإمامٍ و لا يَصلُحُ للإمامةِ ، فقَد بَطَلَ أن يَكونَ الإمساكُ عن النكيرِ و إظهارُ التسليمِ دَلالةً علىٰ حصولِ الإجماعِ في الحقيقةِ و وقوعِ الرضا في مَوضِعٍ مِن المَواضعِ ؛ لحصولِهما</w:t>
      </w:r>
      <w:r>
        <w:rPr>
          <w:rStyle w:val="FootnoteAnchor"/>
          <w:rtl w:val="true"/>
        </w:rPr>
        <w:footnoteReference w:id="409"/>
      </w:r>
      <w:r>
        <w:rPr>
          <w:rFonts w:ascii="Amiri" w:hAnsi="Amiri" w:eastAsia="Amiri" w:cs="Amiri"/>
          <w:color w:val="111111"/>
          <w:sz w:val="28"/>
          <w:sz w:val="28"/>
          <w:szCs w:val="28"/>
          <w:rtl w:val="true"/>
          <w:lang w:bidi="ar-SA"/>
        </w:rPr>
        <w:t xml:space="preserve">فيمن لَيسَ بإمامٍ و لا يَصلُحُ للإمامةِ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يَقتَضي ثُبوتَ إمامةِ أبي بكرٍ يَمنَعُ مِن القولِ بأنّه لا يَصلُحُ </w:t>
      </w:r>
    </w:p>
    <w:p>
      <w:pPr>
        <w:pStyle w:val="BookText"/>
        <w:rPr/>
      </w:pPr>
      <w:r>
        <w:rPr>
          <w:rFonts w:ascii="Amiri" w:hAnsi="Amiri" w:eastAsia="Amiri" w:cs="Amiri"/>
          <w:color w:val="111111"/>
          <w:sz w:val="28"/>
          <w:sz w:val="28"/>
          <w:szCs w:val="28"/>
          <w:rtl w:val="true"/>
          <w:lang w:bidi="ar-SA"/>
        </w:rPr>
        <w:t>للإمامةِ ، و يُبطِلُ القَدْحَ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يَصِحُّ لَو ثَبَتَت</w:t>
      </w:r>
      <w:r>
        <w:rPr>
          <w:rStyle w:val="FootnoteAnchor"/>
          <w:rtl w:val="true"/>
        </w:rPr>
        <w:footnoteReference w:id="410"/>
      </w:r>
      <w:r>
        <w:rPr>
          <w:rFonts w:ascii="Amiri" w:hAnsi="Amiri" w:eastAsia="Amiri" w:cs="Amiri"/>
          <w:color w:val="111111"/>
          <w:sz w:val="28"/>
          <w:sz w:val="28"/>
          <w:szCs w:val="28"/>
          <w:rtl w:val="true"/>
          <w:lang w:bidi="ar-SA"/>
        </w:rPr>
        <w:t>إمامةُ أبي بكرٍ و قامَ علىٰ صحّتِها دليلٌ ، و نحنُ نبيِّنُ بُطلانَ ما يَظُنُّه دليلاً علىٰ إمامتِه إذا بَلَغنا إليه</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علىٰ أنّ الاعتبارَ القياسيَّ الذي قد</w:t>
      </w:r>
      <w:r>
        <w:rPr>
          <w:rStyle w:val="FootnoteAnchor"/>
          <w:rtl w:val="true"/>
        </w:rPr>
        <w:footnoteReference w:id="412"/>
      </w:r>
      <w:r>
        <w:rPr>
          <w:rFonts w:ascii="Amiri" w:hAnsi="Amiri" w:eastAsia="Amiri" w:cs="Amiri"/>
          <w:color w:val="111111"/>
          <w:sz w:val="28"/>
          <w:sz w:val="28"/>
          <w:szCs w:val="28"/>
          <w:rtl w:val="true"/>
          <w:lang w:bidi="ar-SA"/>
        </w:rPr>
        <w:t>اعتَمَدناه</w:t>
      </w:r>
      <w:r>
        <w:rPr>
          <w:rStyle w:val="FootnoteAnchor"/>
          <w:rtl w:val="true"/>
        </w:rPr>
        <w:footnoteReference w:id="413"/>
      </w:r>
      <w:r>
        <w:rPr>
          <w:rFonts w:ascii="Amiri" w:hAnsi="Amiri" w:eastAsia="Amiri" w:cs="Amiri"/>
          <w:color w:val="111111"/>
          <w:sz w:val="28"/>
          <w:sz w:val="28"/>
          <w:szCs w:val="28"/>
          <w:rtl w:val="true"/>
          <w:lang w:bidi="ar-SA"/>
        </w:rPr>
        <w:t>لَيسَ ممّا</w:t>
      </w:r>
      <w:r>
        <w:rPr>
          <w:rStyle w:val="FootnoteAnchor"/>
          <w:rtl w:val="true"/>
        </w:rPr>
        <w:footnoteReference w:id="414"/>
      </w:r>
      <w:r>
        <w:rPr>
          <w:rFonts w:ascii="Amiri" w:hAnsi="Amiri" w:eastAsia="Amiri" w:cs="Amiri"/>
          <w:color w:val="111111"/>
          <w:sz w:val="28"/>
          <w:sz w:val="28"/>
          <w:szCs w:val="28"/>
          <w:rtl w:val="true"/>
          <w:lang w:bidi="ar-SA"/>
        </w:rPr>
        <w:t xml:space="preserve">يُمكِنُ أن يُدَّعىٰ دخولُ الاحتمالِ أو التخصيصِ </w:t>
      </w:r>
      <w:r>
        <w:rPr>
          <w:rStyle w:val="FootnoteAnchor"/>
          <w:rtl w:val="true"/>
        </w:rPr>
        <w:footnoteReference w:id="415"/>
      </w:r>
      <w:r>
        <w:rPr>
          <w:rFonts w:ascii="Amiri" w:hAnsi="Amiri" w:eastAsia="Amiri" w:cs="Amiri"/>
          <w:color w:val="111111"/>
          <w:sz w:val="28"/>
          <w:sz w:val="28"/>
          <w:szCs w:val="28"/>
          <w:rtl w:val="true"/>
          <w:lang w:bidi="ar-SA"/>
        </w:rPr>
        <w:t>فيه كألفاظِ النصِّ ؛ فالكلامُ فيه أَولىٰ مِن العدولِ إلَى الكلامِ فيما يَدَّعونَه مِن الإجماعِ علىٰ أبي بكرٍ الذي قد بيّنّا أنّه يَحتَمِلُ و يُجوِّزُ الانصرافَ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بَعدَ إبطالِ النصِّ إلّاطريقةُ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أيضاً، غيرَ أنّه لَم يُقِمْ دليلًا</w:t>
      </w:r>
      <w:r>
        <w:rPr>
          <w:rStyle w:val="FootnoteAnchor"/>
          <w:rtl w:val="true"/>
        </w:rPr>
        <w:footnoteReference w:id="416"/>
      </w:r>
      <w:r>
        <w:rPr>
          <w:rFonts w:ascii="Amiri" w:hAnsi="Amiri" w:eastAsia="Amiri" w:cs="Amiri"/>
          <w:color w:val="111111"/>
          <w:sz w:val="28"/>
          <w:sz w:val="28"/>
          <w:szCs w:val="28"/>
          <w:rtl w:val="true"/>
          <w:lang w:bidi="ar-SA"/>
        </w:rPr>
        <w:t>علىٰ بُطلانِ ما نَذهَبُ إليه مِن</w:t>
      </w:r>
      <w:r>
        <w:rPr>
          <w:rStyle w:val="FootnoteAnchor"/>
          <w:rtl w:val="true"/>
        </w:rPr>
        <w:footnoteReference w:id="417"/>
      </w:r>
      <w:r>
        <w:rPr>
          <w:rFonts w:ascii="Amiri" w:hAnsi="Amiri" w:eastAsia="Amiri" w:cs="Amiri"/>
          <w:color w:val="111111"/>
          <w:sz w:val="28"/>
          <w:sz w:val="28"/>
          <w:szCs w:val="28"/>
          <w:rtl w:val="true"/>
          <w:lang w:bidi="ar-SA"/>
        </w:rPr>
        <w:t>النصِّ‌، و قد بيّنّا صحّةَ الأصلَينِ اللذَينِ جَعَلناهما مقدِّمةً لطريقتِنا</w:t>
      </w:r>
      <w:r>
        <w:rPr>
          <w:rStyle w:val="FootnoteAnchor"/>
          <w:rtl w:val="true"/>
        </w:rPr>
        <w:footnoteReference w:id="418"/>
      </w:r>
      <w:r>
        <w:rPr>
          <w:rFonts w:ascii="Amiri" w:hAnsi="Amiri" w:eastAsia="Amiri" w:cs="Amiri"/>
          <w:color w:val="111111"/>
          <w:sz w:val="28"/>
          <w:sz w:val="28"/>
          <w:szCs w:val="28"/>
          <w:rtl w:val="true"/>
          <w:lang w:bidi="ar-SA"/>
        </w:rPr>
        <w:t>،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و أنّ الحقَّ لا يَخرُجُ عن الأُمَّةِ ؛ فصَحَّ</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بَنَيناه عليهما، و بَطَلَ ما بَناه صاحبُ الكتابِ علىٰ ثُبوتِ بُطلانِ النصِّ ، لفَقدِ الدَّلالةِ عليه</w:t>
      </w:r>
      <w:r>
        <w:rPr>
          <w:rFonts w:eastAsia="Amiri" w:cs="Amiri" w:ascii="Amiri" w:hAnsi="Amiri"/>
          <w:color w:val="111111"/>
          <w:sz w:val="28"/>
          <w:szCs w:val="28"/>
          <w:rtl w:val="true"/>
          <w:lang w:bidi="ar-SA"/>
        </w:rPr>
        <w:t xml:space="preserve">. </w:t>
      </w:r>
      <w:bookmarkStart w:id="115" w:name="pg20017_202400"/>
    </w:p>
    <w:p>
      <w:pPr>
        <w:pStyle w:val="Heading4"/>
        <w:numPr>
          <w:ilvl w:val="3"/>
          <w:numId w:val="1"/>
        </w:numPr>
        <w:rPr/>
      </w:pPr>
      <w:bookmarkStart w:id="116" w:name="__RefHeading___Toc964073_2320776876"/>
      <w:bookmarkStart w:id="117" w:name="_Toc40"/>
      <w:bookmarkEnd w:id="115"/>
      <w:bookmarkEnd w:id="116"/>
      <w:r>
        <w:rPr>
          <w:rtl w:val="true"/>
        </w:rPr>
        <w:t>الدليل الرابع آية الولاية</w:t>
      </w:r>
      <w:bookmarkEnd w:id="117"/>
    </w:p>
    <w:p>
      <w:pPr>
        <w:pStyle w:val="Heading5"/>
        <w:numPr>
          <w:ilvl w:val="4"/>
          <w:numId w:val="1"/>
        </w:numPr>
        <w:rPr/>
      </w:pPr>
      <w:bookmarkStart w:id="118" w:name="__RefHeading___Toc964075_2320776876"/>
      <w:bookmarkStart w:id="119" w:name="_Toc41"/>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لهم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تَعلَّقوا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Style w:val="FootnoteAnchor"/>
          <w:rtl w:val="true"/>
        </w:rPr>
        <w:footnoteReference w:id="421"/>
      </w:r>
      <w:r>
        <w:rPr>
          <w:rFonts w:ascii="Amiri" w:hAnsi="Amiri" w:eastAsia="Amiri" w:cs="Amiri"/>
          <w:color w:val="111111"/>
          <w:sz w:val="28"/>
          <w:sz w:val="28"/>
          <w:szCs w:val="28"/>
          <w:rtl w:val="true"/>
          <w:lang w:bidi="ar-SA"/>
        </w:rPr>
        <w:t>بالذين آمَنوا أميرُ المؤمنينَ عليُّ بنُ أبي طالبٍ‌</w:t>
      </w:r>
      <w:r>
        <w:rPr>
          <w:rStyle w:val="FootnoteAnchor"/>
          <w:rtl w:val="true"/>
        </w:rPr>
        <w:footnoteReference w:id="422"/>
      </w:r>
      <w:r>
        <w:rPr>
          <w:rFonts w:ascii="Amiri" w:hAnsi="Amiri" w:eastAsia="Amiri" w:cs="Amiri"/>
          <w:color w:val="111111"/>
          <w:sz w:val="28"/>
          <w:sz w:val="28"/>
          <w:szCs w:val="28"/>
          <w:rtl w:val="true"/>
          <w:lang w:bidi="ar-SA"/>
        </w:rPr>
        <w:t>عليه السلامُ‌؛ لأنّه</w:t>
      </w:r>
      <w:r>
        <w:rPr>
          <w:rStyle w:val="FootnoteAnchor"/>
          <w:rtl w:val="true"/>
        </w:rPr>
        <w:footnoteReference w:id="423"/>
      </w:r>
      <w:r>
        <w:rPr>
          <w:rFonts w:ascii="Amiri" w:hAnsi="Amiri" w:eastAsia="Amiri" w:cs="Amiri"/>
          <w:color w:val="111111"/>
          <w:sz w:val="28"/>
          <w:sz w:val="28"/>
          <w:szCs w:val="28"/>
          <w:rtl w:val="true"/>
          <w:lang w:bidi="ar-SA"/>
        </w:rPr>
        <w:t>وَصَفَه بصفةٍ لَم تَثبُتْ إلّاله، و هي إيتاءُ الزكاةِ في حالِ الركوعِ‌، و رُبَّما ادَّعَوا في ذلكَ أخباراً منقولةً أنّه الذي أُريدَ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يُذكَرُ الواحدُ بلفظِ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تفخيماً لشأنِه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Style w:val="FootnoteAnchor"/>
          <w:rtl w:val="true"/>
        </w:rPr>
        <w:footnoteReference w:id="424"/>
      </w:r>
      <w:r>
        <w:rPr>
          <w:rFonts w:ascii="Amiri" w:hAnsi="Amiri" w:eastAsia="Amiri" w:cs="Amiri"/>
          <w:color w:val="111111"/>
          <w:sz w:val="28"/>
          <w:sz w:val="28"/>
          <w:szCs w:val="28"/>
          <w:rtl w:val="true"/>
          <w:lang w:bidi="ar-SA"/>
        </w:rPr>
        <w:t xml:space="preserve">بالوليِّ في الآيةِ لا يَخلو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يُرادَ مَن </w:t>
      </w:r>
      <w:bookmarkStart w:id="120" w:name="pg20017_202401"/>
    </w:p>
    <w:p>
      <w:pPr>
        <w:pStyle w:val="BookText"/>
        <w:rPr/>
      </w:pPr>
      <w:bookmarkEnd w:id="120"/>
      <w:r>
        <w:rPr>
          <w:rFonts w:ascii="Amiri" w:hAnsi="Amiri" w:eastAsia="Amiri" w:cs="Amiri"/>
          <w:color w:val="111111"/>
          <w:sz w:val="28"/>
          <w:sz w:val="28"/>
          <w:szCs w:val="28"/>
          <w:rtl w:val="true"/>
          <w:lang w:bidi="ar-SA"/>
        </w:rPr>
        <w:t>له التوَلّي</w:t>
      </w:r>
      <w:r>
        <w:rPr>
          <w:rStyle w:val="FootnoteAnchor"/>
          <w:rtl w:val="true"/>
        </w:rPr>
        <w:footnoteReference w:id="425"/>
      </w:r>
      <w:r>
        <w:rPr>
          <w:rFonts w:ascii="Amiri" w:hAnsi="Amiri" w:eastAsia="Amiri" w:cs="Amiri"/>
          <w:color w:val="111111"/>
          <w:sz w:val="28"/>
          <w:sz w:val="28"/>
          <w:szCs w:val="28"/>
          <w:rtl w:val="true"/>
          <w:lang w:bidi="ar-SA"/>
        </w:rPr>
        <w:t>في بابِ الدِّينِ‌، أو يُرادَ نَفاذُ الأمرِ و تنفيذُ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يُرادَ به الأوّلُ‌؛ لأنّ ذلكَ لا يَختَصُّ الرسولَ و لا</w:t>
      </w:r>
      <w:r>
        <w:rPr>
          <w:rStyle w:val="FootnoteAnchor"/>
          <w:rtl w:val="true"/>
        </w:rPr>
        <w:footnoteReference w:id="426"/>
      </w:r>
      <w:r>
        <w:rPr>
          <w:rFonts w:ascii="Amiri" w:hAnsi="Amiri" w:eastAsia="Amiri" w:cs="Amiri"/>
          <w:color w:val="111111"/>
          <w:sz w:val="28"/>
          <w:sz w:val="28"/>
          <w:szCs w:val="28"/>
          <w:rtl w:val="true"/>
          <w:lang w:bidi="ar-SA"/>
        </w:rPr>
        <w:t xml:space="preserve">أميرَ المؤمنينَ‌؛ لأنّ الواجبَ تَوَلّي كُلِّ مؤمنٍ </w:t>
      </w:r>
      <w:r>
        <w:rPr>
          <w:rStyle w:val="FootnoteAnchor"/>
          <w:rtl w:val="true"/>
        </w:rPr>
        <w:footnoteReference w:id="427"/>
      </w:r>
      <w:r>
        <w:rPr>
          <w:rFonts w:ascii="Amiri" w:hAnsi="Amiri" w:eastAsia="Amiri" w:cs="Amiri"/>
          <w:color w:val="111111"/>
          <w:sz w:val="28"/>
          <w:sz w:val="28"/>
          <w:szCs w:val="28"/>
          <w:rtl w:val="true"/>
          <w:lang w:bidi="ar-SA"/>
        </w:rPr>
        <w:t xml:space="preserve">، فلا يَكونُ لهذا الاختصاصِ وجهٌ ، فلَم يَبقَ </w:t>
      </w:r>
      <w:r>
        <w:rPr>
          <w:rStyle w:val="FootnoteAnchor"/>
          <w:rtl w:val="true"/>
        </w:rPr>
        <w:footnoteReference w:id="428"/>
      </w:r>
      <w:r>
        <w:rPr>
          <w:rFonts w:ascii="Amiri" w:hAnsi="Amiri" w:eastAsia="Amiri" w:cs="Amiri"/>
          <w:color w:val="111111"/>
          <w:sz w:val="28"/>
          <w:sz w:val="28"/>
          <w:szCs w:val="28"/>
          <w:rtl w:val="true"/>
          <w:lang w:bidi="ar-SA"/>
        </w:rPr>
        <w:t xml:space="preserve">إلّاأنّ </w:t>
      </w:r>
      <w:r>
        <w:rPr>
          <w:rStyle w:val="FootnoteAnchor"/>
          <w:rtl w:val="true"/>
        </w:rPr>
        <w:footnoteReference w:id="429"/>
      </w:r>
      <w:r>
        <w:rPr>
          <w:rFonts w:ascii="Amiri" w:hAnsi="Amiri" w:eastAsia="Amiri" w:cs="Amiri"/>
          <w:color w:val="111111"/>
          <w:sz w:val="28"/>
          <w:sz w:val="28"/>
          <w:szCs w:val="28"/>
          <w:rtl w:val="true"/>
          <w:lang w:bidi="ar-SA"/>
        </w:rPr>
        <w:t>المُرادَ ما ذَكرناه</w:t>
      </w:r>
      <w:r>
        <w:rPr>
          <w:rFonts w:eastAsia="Amiri" w:cs="Amiri" w:ascii="Amiri" w:hAnsi="Amiri"/>
          <w:color w:val="111111"/>
          <w:sz w:val="28"/>
          <w:szCs w:val="28"/>
          <w:rtl w:val="true"/>
          <w:lang w:bidi="ar-SA"/>
        </w:rPr>
        <w:t>.</w:t>
      </w:r>
      <w:r>
        <w:rPr>
          <w:rStyle w:val="FootnoteAnchor"/>
          <w:rtl w:val="true"/>
        </w:rPr>
        <w:footnoteReference w:id="430"/>
      </w:r>
    </w:p>
    <w:p>
      <w:pPr>
        <w:pStyle w:val="Heading5"/>
        <w:numPr>
          <w:ilvl w:val="4"/>
          <w:numId w:val="1"/>
        </w:numPr>
        <w:rPr/>
      </w:pPr>
      <w:bookmarkStart w:id="121" w:name="__RefHeading___Toc964077_2320776876"/>
      <w:bookmarkStart w:id="122" w:name="_Toc42"/>
      <w:bookmarkEnd w:id="121"/>
      <w:r>
        <w:rPr>
          <w:rtl w:val="true"/>
        </w:rPr>
        <w:t>تقرير المصنّف للاستدلال بآية الولاية</w:t>
      </w:r>
      <w:bookmarkEnd w:id="122"/>
    </w:p>
    <w:p>
      <w:pPr>
        <w:pStyle w:val="Heading6"/>
        <w:numPr>
          <w:ilvl w:val="5"/>
          <w:numId w:val="1"/>
        </w:numPr>
        <w:rPr/>
      </w:pPr>
      <w:bookmarkStart w:id="123" w:name="__RefHeading___Toc964079_2320776876"/>
      <w:bookmarkStart w:id="124" w:name="_Toc43"/>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الاستدلالِ بهذه الآيةِ علَى النصِّ‌</w:t>
      </w:r>
      <w:r>
        <w:rPr>
          <w:rStyle w:val="FootnoteAnchor"/>
          <w:rtl w:val="true"/>
        </w:rPr>
        <w:footnoteReference w:id="431"/>
      </w:r>
      <w:r>
        <w:rPr>
          <w:rFonts w:ascii="Amiri" w:hAnsi="Amiri" w:eastAsia="Amiri" w:cs="Amiri"/>
          <w:color w:val="111111"/>
          <w:sz w:val="28"/>
          <w:sz w:val="28"/>
          <w:szCs w:val="28"/>
          <w:rtl w:val="true"/>
          <w:lang w:bidi="ar-SA"/>
        </w:rPr>
        <w:t xml:space="preserve">هو أنّه قد ثَبَتَ أنّ المُرادَ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w:t>
      </w:r>
      <w:r>
        <w:rPr>
          <w:rStyle w:val="FootnoteAnchor"/>
          <w:rtl w:val="true"/>
        </w:rPr>
        <w:footnoteReference w:id="432"/>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مُتحقِّقاً بتدبيرِكم</w:t>
      </w:r>
      <w:r>
        <w:rPr>
          <w:rStyle w:val="FootnoteAnchor"/>
          <w:rtl w:val="true"/>
        </w:rPr>
        <w:footnoteReference w:id="433"/>
      </w:r>
      <w:r>
        <w:rPr>
          <w:rFonts w:ascii="Amiri" w:hAnsi="Amiri" w:eastAsia="Amiri" w:cs="Amiri"/>
          <w:color w:val="111111"/>
          <w:sz w:val="28"/>
          <w:sz w:val="28"/>
          <w:szCs w:val="28"/>
          <w:rtl w:val="true"/>
          <w:lang w:bidi="ar-SA"/>
        </w:rPr>
        <w:t xml:space="preserve">و القيامِ بأُمورِكم و تَجِبُ </w:t>
      </w:r>
      <w:r>
        <w:rPr>
          <w:rStyle w:val="FootnoteAnchor"/>
          <w:rtl w:val="true"/>
        </w:rPr>
        <w:footnoteReference w:id="434"/>
      </w:r>
      <w:r>
        <w:rPr>
          <w:rFonts w:ascii="Amiri" w:hAnsi="Amiri" w:eastAsia="Amiri" w:cs="Amiri"/>
          <w:color w:val="111111"/>
          <w:sz w:val="28"/>
          <w:sz w:val="28"/>
          <w:szCs w:val="28"/>
          <w:rtl w:val="true"/>
          <w:lang w:bidi="ar-SA"/>
        </w:rPr>
        <w:t xml:space="preserve">طاعتُه عليكم، و ثَبَتَ أنّ المَعنيَّ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ثُبوتِ هذَينِ الوصفَينِ </w:t>
      </w:r>
      <w:r>
        <w:rPr>
          <w:rStyle w:val="FootnoteAnchor"/>
          <w:rtl w:val="true"/>
        </w:rPr>
        <w:footnoteReference w:id="435"/>
      </w:r>
      <w:r>
        <w:rPr>
          <w:rFonts w:ascii="Amiri" w:hAnsi="Amiri" w:eastAsia="Amiri" w:cs="Amiri"/>
          <w:color w:val="111111"/>
          <w:sz w:val="28"/>
          <w:sz w:val="28"/>
          <w:szCs w:val="28"/>
          <w:rtl w:val="true"/>
          <w:lang w:bidi="ar-SA"/>
        </w:rPr>
        <w:t>دَلالةٌ علىٰ كَونِه عليه السلامُ إماماً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دُلّوا أوّلاً علىٰ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في الاستعمالِ ما ادَّعَيتُموه مِن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التَحقُّقِ </w:t>
      </w:r>
      <w:r>
        <w:rPr>
          <w:rStyle w:val="FootnoteAnchor"/>
          <w:rtl w:val="true"/>
        </w:rPr>
        <w:footnoteReference w:id="436"/>
      </w:r>
      <w:r>
        <w:rPr>
          <w:rFonts w:ascii="Amiri" w:hAnsi="Amiri" w:eastAsia="Amiri" w:cs="Amiri"/>
          <w:color w:val="111111"/>
          <w:sz w:val="28"/>
          <w:sz w:val="28"/>
          <w:szCs w:val="28"/>
          <w:rtl w:val="true"/>
          <w:lang w:bidi="ar-SA"/>
        </w:rPr>
        <w:t xml:space="preserve">بالتدبيرِ و التصرُّفِ ، ثُمَّ دُلّوا علىٰ أنّ المُرادَ بها في الآيةِ ذلكَ ؛ لأنّه قد </w:t>
      </w:r>
      <w:bookmarkStart w:id="125" w:name="pg20017_202402"/>
    </w:p>
    <w:p>
      <w:pPr>
        <w:pStyle w:val="BookText"/>
        <w:rPr/>
      </w:pPr>
      <w:bookmarkEnd w:id="125"/>
      <w:r>
        <w:rPr>
          <w:rFonts w:ascii="Amiri" w:hAnsi="Amiri" w:eastAsia="Amiri" w:cs="Amiri"/>
          <w:color w:val="111111"/>
          <w:sz w:val="28"/>
          <w:sz w:val="28"/>
          <w:szCs w:val="28"/>
          <w:rtl w:val="true"/>
          <w:lang w:bidi="ar-SA"/>
        </w:rPr>
        <w:t xml:space="preserve">يَجوزُ أن تَحتَمِلَ اللفظَةُ </w:t>
      </w:r>
      <w:r>
        <w:rPr>
          <w:rStyle w:val="FootnoteAnchor"/>
          <w:rtl w:val="true"/>
        </w:rPr>
        <w:footnoteReference w:id="437"/>
      </w:r>
      <w:r>
        <w:rPr>
          <w:rFonts w:ascii="Amiri" w:hAnsi="Amiri" w:eastAsia="Amiri" w:cs="Amiri"/>
          <w:color w:val="111111"/>
          <w:sz w:val="28"/>
          <w:sz w:val="28"/>
          <w:szCs w:val="28"/>
          <w:rtl w:val="true"/>
          <w:lang w:bidi="ar-SA"/>
        </w:rPr>
        <w:t xml:space="preserve">في وَضعِ اللُّغةِ ما لا يَقصِدُ المخاطِبُ بها إليه في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دُلّوا مِن بَعدُ علىٰ تَوجُّهِ لفظَةِ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أميرِ المؤمنينَ عليه السلامُو أنّه المُتفرِّدُ بها، دونَ غيرِه</w:t>
      </w:r>
      <w:r>
        <w:rPr>
          <w:rFonts w:eastAsia="Amiri" w:cs="Amiri" w:ascii="Amiri" w:hAnsi="Amiri"/>
          <w:color w:val="111111"/>
          <w:sz w:val="28"/>
          <w:szCs w:val="28"/>
          <w:rtl w:val="true"/>
          <w:lang w:bidi="ar-SA"/>
        </w:rPr>
        <w:t>.</w:t>
      </w:r>
      <w:r>
        <w:rPr>
          <w:rStyle w:val="FootnoteAnchor"/>
          <w:rtl w:val="true"/>
        </w:rPr>
        <w:footnoteReference w:id="439"/>
      </w:r>
    </w:p>
    <w:p>
      <w:pPr>
        <w:pStyle w:val="Heading6"/>
        <w:numPr>
          <w:ilvl w:val="5"/>
          <w:numId w:val="1"/>
        </w:numPr>
        <w:rPr/>
      </w:pPr>
      <w:bookmarkStart w:id="126" w:name="__RefHeading___Toc964081_2320776876"/>
      <w:bookmarkStart w:id="127" w:name="_Toc44"/>
      <w:bookmarkEnd w:id="126"/>
      <w:r>
        <w:rPr>
          <w:rtl w:val="true"/>
        </w:rPr>
        <w:t>البحث الأوّل</w:t>
      </w:r>
      <w:r>
        <w:rPr>
          <w:rtl w:val="true"/>
        </w:rPr>
        <w:t xml:space="preserve">: </w:t>
      </w:r>
      <w:r>
        <w:rPr>
          <w:rtl w:val="true"/>
        </w:rPr>
        <w:t xml:space="preserve">دلالة لفظة </w:t>
      </w:r>
      <w:r>
        <w:rPr>
          <w:rtl w:val="true"/>
        </w:rPr>
        <w:t>«</w:t>
      </w:r>
      <w:r>
        <w:rPr>
          <w:rtl w:val="true"/>
        </w:rPr>
        <w:t xml:space="preserve">وليّ </w:t>
      </w:r>
      <w:r>
        <w:rPr>
          <w:rtl w:val="true"/>
        </w:rPr>
        <w:t xml:space="preserve">» </w:t>
      </w:r>
      <w:r>
        <w:rPr>
          <w:rtl w:val="true"/>
        </w:rPr>
        <w:t>في اللغة على التدبير و الإمامة</w:t>
      </w:r>
      <w:bookmarkEnd w:id="127"/>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مفيدةً لِما ذَكرناه فظاهرٌ لا إشكالَ في مِثلِه؛ ألا تَرىٰ 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وليُّ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يَملِكُ تدبيرَ إنكاحِها و العقدِ عليها، و يَصِفونَ عَصَبَةَ‌</w:t>
      </w:r>
      <w:r>
        <w:rPr>
          <w:rStyle w:val="FootnoteAnchor"/>
          <w:rtl w:val="true"/>
        </w:rPr>
        <w:footnoteReference w:id="440"/>
      </w:r>
      <w:r>
        <w:rPr>
          <w:rFonts w:ascii="Amiri" w:hAnsi="Amiri" w:eastAsia="Amiri" w:cs="Amiri"/>
          <w:color w:val="111111"/>
          <w:sz w:val="28"/>
          <w:sz w:val="28"/>
          <w:szCs w:val="28"/>
          <w:rtl w:val="true"/>
          <w:lang w:bidi="ar-SA"/>
        </w:rPr>
        <w:t xml:space="preserve">المقتولِ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كانَت</w:t>
      </w:r>
      <w:r>
        <w:rPr>
          <w:rStyle w:val="FootnoteAnchor"/>
          <w:rtl w:val="true"/>
        </w:rPr>
        <w:footnoteReference w:id="441"/>
      </w:r>
      <w:r>
        <w:rPr>
          <w:rFonts w:ascii="Amiri" w:hAnsi="Amiri" w:eastAsia="Amiri" w:cs="Amiri"/>
          <w:color w:val="111111"/>
          <w:sz w:val="28"/>
          <w:sz w:val="28"/>
          <w:szCs w:val="28"/>
          <w:rtl w:val="true"/>
          <w:lang w:bidi="ar-SA"/>
        </w:rPr>
        <w:t>إليهم المُطالَبةُ بالقَوَدِ</w:t>
      </w:r>
      <w:r>
        <w:rPr>
          <w:rStyle w:val="FootnoteAnchor"/>
          <w:rtl w:val="true"/>
        </w:rPr>
        <w:footnoteReference w:id="442"/>
      </w:r>
      <w:r>
        <w:rPr>
          <w:rFonts w:ascii="IRNazanin" w:hAnsi="IRNazanin" w:eastAsia="IRNazanin"/>
          <w:color w:val="111111"/>
          <w:sz w:val="28"/>
          <w:sz w:val="28"/>
          <w:szCs w:val="28"/>
          <w:rtl w:val="true"/>
          <w:lang w:bidi="fa-IR"/>
        </w:rPr>
        <w:t>و الإعفاء</w:t>
      </w:r>
      <w:r>
        <w:rPr>
          <w:rStyle w:val="FootnoteAnchor"/>
          <w:rtl w:val="true"/>
        </w:rPr>
        <w:footnoteReference w:id="443"/>
      </w:r>
      <w:r>
        <w:rPr>
          <w:rFonts w:ascii="Amiri" w:hAnsi="Amiri" w:eastAsia="Amiri" w:cs="Amiri"/>
          <w:color w:val="111111"/>
          <w:sz w:val="28"/>
          <w:sz w:val="28"/>
          <w:szCs w:val="28"/>
          <w:rtl w:val="true"/>
          <w:lang w:bidi="ar-SA"/>
        </w:rPr>
        <w:t>، و كذلكَ يَقولونَ في السُّلطانِ‌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وليُّ أمرِ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فيمن يُرشِّحُه لخِلافتِه عليهم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وليُّ عهدِ المُسلِمينَ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الكُمَيتُ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نِعمَ وليُّ الأمرِ بَعدَ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مُنتَجَعُ التقوىٰ و نِعمَ المؤدِّبُ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 إنّما</w:t>
      </w:r>
      <w:r>
        <w:rPr>
          <w:rStyle w:val="FootnoteAnchor"/>
          <w:rtl w:val="true"/>
        </w:rPr>
        <w:footnoteReference w:id="446"/>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الأمرِ</w:t>
      </w:r>
      <w:r>
        <w:rPr>
          <w:rStyle w:val="FootnoteAnchor"/>
          <w:rtl w:val="true"/>
        </w:rPr>
        <w:footnoteReference w:id="447"/>
      </w:r>
      <w:r>
        <w:rPr>
          <w:rFonts w:ascii="Amiri" w:hAnsi="Amiri" w:eastAsia="Amiri" w:cs="Amiri"/>
          <w:color w:val="111111"/>
          <w:sz w:val="28"/>
          <w:sz w:val="28"/>
          <w:szCs w:val="28"/>
          <w:rtl w:val="true"/>
          <w:lang w:bidi="ar-SA"/>
        </w:rPr>
        <w:t>و القائمَ بتدبيرِه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العبّاسِ المُبَرَّدُ في كتابِه المترجَمِ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 كان المبرّد و ثعلب عالمين متعاصرين، قد ختم بهما تاريخ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المبرّد يحبّ الاجتماع في المناظرة بثعلب، و كان ثعلب يكره ذلك و يمتنع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خلافة المعتضد، و دفن في مقابر الكوفة في دار اشتريت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الشعراء، 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887</w:t>
      </w:r>
      <w:r>
        <w:rPr>
          <w:rFonts w:ascii="Amiri" w:hAnsi="Amiri" w:eastAsia="Amiri" w:cs="Amiri"/>
          <w:color w:val="111111"/>
          <w:sz w:val="28"/>
          <w:sz w:val="28"/>
          <w:szCs w:val="28"/>
          <w:rtl w:val="true"/>
          <w:lang w:bidi="ar-SA"/>
        </w:rPr>
        <w:t xml:space="preserve">؛ الفهرست لابن النديم،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1814</w:t>
      </w:r>
      <w:r>
        <w:rPr>
          <w:rFonts w:ascii="Amiri" w:hAnsi="Amiri" w:eastAsia="Amiri" w:cs="Amiri"/>
          <w:color w:val="111111"/>
          <w:sz w:val="28"/>
          <w:sz w:val="28"/>
          <w:szCs w:val="28"/>
          <w:rtl w:val="true"/>
          <w:lang w:bidi="ar-SA"/>
        </w:rPr>
        <w:t xml:space="preserve">؛ تاريخ مدينة دمشق، ج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7110</w:t>
      </w:r>
      <w:r>
        <w:rPr>
          <w:rFonts w:ascii="Amiri" w:hAnsi="Amiri" w:eastAsia="Amiri" w:cs="Amiri"/>
          <w:color w:val="111111"/>
          <w:sz w:val="28"/>
          <w:sz w:val="28"/>
          <w:szCs w:val="28"/>
          <w:rtl w:val="true"/>
          <w:lang w:bidi="ar-SA"/>
        </w:rPr>
        <w:t xml:space="preserve">؛ معجم الأُدباء،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 xml:space="preserve">؛ وفيات الأعيان،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صفاتِ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تأويلِ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أَولىٰ‌، أي أحَقُّ‌</w:t>
      </w:r>
      <w:r>
        <w:rPr>
          <w:rStyle w:val="FootnoteAnchor"/>
          <w:rtl w:val="true"/>
        </w:rPr>
        <w:footnoteReference w:id="449"/>
      </w:r>
      <w:r>
        <w:rPr>
          <w:rFonts w:ascii="Amiri" w:hAnsi="Amiri" w:eastAsia="Amiri" w:cs="Amiri"/>
          <w:color w:val="111111"/>
          <w:sz w:val="28"/>
          <w:sz w:val="28"/>
          <w:szCs w:val="28"/>
          <w:rtl w:val="true"/>
          <w:lang w:bidi="ar-SA"/>
        </w:rPr>
        <w:t>، و مِثلُه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Style w:val="FootnoteAnchor"/>
          <w:rtl w:val="true"/>
        </w:rPr>
        <w:footnoteReference w:id="450"/>
      </w:r>
      <w:r>
        <w:rPr>
          <w:rFonts w:ascii="Amiri" w:hAnsi="Amiri" w:eastAsia="Amiri" w:cs="Amiri"/>
          <w:color w:val="111111"/>
          <w:sz w:val="28"/>
          <w:sz w:val="28"/>
          <w:szCs w:val="28"/>
          <w:rtl w:val="true"/>
          <w:lang w:bidi="ar-SA"/>
        </w:rPr>
        <w:t>مَن كان والياً لأمرٍ و</w:t>
      </w:r>
      <w:r>
        <w:rPr>
          <w:rStyle w:val="FootnoteAnchor"/>
          <w:rtl w:val="true"/>
        </w:rPr>
        <w:footnoteReference w:id="451"/>
      </w:r>
      <w:r>
        <w:rPr>
          <w:rFonts w:ascii="Amiri" w:hAnsi="Amiri" w:eastAsia="Amiri" w:cs="Amiri"/>
          <w:color w:val="111111"/>
          <w:sz w:val="28"/>
          <w:sz w:val="28"/>
          <w:szCs w:val="28"/>
          <w:rtl w:val="true"/>
          <w:lang w:bidi="ar-SA"/>
        </w:rPr>
        <w:t>مُتحقِّقاً بتدبيرِه، يوصَفُ بأنّه وليُّه</w:t>
      </w:r>
    </w:p>
    <w:p>
      <w:pPr>
        <w:pStyle w:val="BookText"/>
        <w:rPr/>
      </w:pPr>
      <w:r>
        <w:rPr>
          <w:rFonts w:ascii="Amiri" w:hAnsi="Amiri" w:eastAsia="Amiri" w:cs="Amiri"/>
          <w:color w:val="111111"/>
          <w:sz w:val="28"/>
          <w:sz w:val="28"/>
          <w:szCs w:val="28"/>
          <w:rtl w:val="true"/>
          <w:lang w:bidi="ar-SA"/>
        </w:rPr>
        <w:t>التي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طربتُ و ما شوقاً إلى البيضِ أطربُ و لا لعباً منّي و ذو الشيب يلعبُ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الشعر و الشعراء،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معجم الشعراء،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الأغاني،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تاريخ مدينة دمشق، ج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5828</w:t>
      </w:r>
      <w:r>
        <w:rPr>
          <w:rFonts w:ascii="Amiri" w:hAnsi="Amiri" w:eastAsia="Amiri" w:cs="Amiri"/>
          <w:color w:val="111111"/>
          <w:sz w:val="28"/>
          <w:sz w:val="28"/>
          <w:szCs w:val="28"/>
          <w:rtl w:val="true"/>
          <w:lang w:bidi="ar-SA"/>
        </w:rPr>
        <w:t xml:space="preserve">؛ رجال ابن داود،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bookmarkStart w:id="128" w:name="pg20017_202404"/>
    </w:p>
    <w:p>
      <w:pPr>
        <w:pStyle w:val="BookText"/>
        <w:rPr/>
      </w:pPr>
      <w:bookmarkEnd w:id="128"/>
      <w:r>
        <w:rPr>
          <w:rFonts w:ascii="Amiri" w:hAnsi="Amiri" w:eastAsia="Amiri" w:cs="Amiri"/>
          <w:color w:val="111111"/>
          <w:sz w:val="28"/>
          <w:sz w:val="28"/>
          <w:szCs w:val="28"/>
          <w:rtl w:val="true"/>
          <w:lang w:bidi="ar-SA"/>
        </w:rPr>
        <w:t>و أَولىٰ به في العُرفِ اللُّغويِّ و الشرعيِّ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فيما ذَكرناه ظاهرٌ جِدّاً</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964083_2320776876"/>
      <w:bookmarkStart w:id="130" w:name="_Toc45"/>
      <w:bookmarkEnd w:id="129"/>
      <w:r>
        <w:rPr>
          <w:rtl w:val="true"/>
        </w:rPr>
        <w:t>البحث الثاني</w:t>
      </w:r>
      <w:r>
        <w:rPr>
          <w:rtl w:val="true"/>
        </w:rPr>
        <w:t xml:space="preserve">: </w:t>
      </w:r>
      <w:r>
        <w:rPr>
          <w:rtl w:val="true"/>
        </w:rPr>
        <w:t xml:space="preserve">دلالة لفظة </w:t>
      </w:r>
      <w:r>
        <w:rPr>
          <w:rtl w:val="true"/>
        </w:rPr>
        <w:t>«</w:t>
      </w:r>
      <w:r>
        <w:rPr>
          <w:rtl w:val="true"/>
        </w:rPr>
        <w:t xml:space="preserve">وليّ </w:t>
      </w:r>
      <w:r>
        <w:rPr>
          <w:rtl w:val="true"/>
        </w:rPr>
        <w:t xml:space="preserve">» </w:t>
      </w:r>
      <w:r>
        <w:rPr>
          <w:rtl w:val="true"/>
        </w:rPr>
        <w:t>في الآية علىٰ معنى التدبير و الإمامة</w:t>
      </w:r>
      <w:bookmarkEnd w:id="1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r>
        <w:rPr>
          <w:rStyle w:val="FootnoteAnchor"/>
          <w:rtl w:val="true"/>
        </w:rPr>
        <w:footnoteReference w:id="452"/>
      </w:r>
      <w:r>
        <w:rPr>
          <w:rFonts w:ascii="Amiri" w:hAnsi="Amiri" w:eastAsia="Amiri" w:cs="Amiri"/>
          <w:color w:val="111111"/>
          <w:sz w:val="28"/>
          <w:sz w:val="28"/>
          <w:szCs w:val="28"/>
          <w:rtl w:val="true"/>
          <w:lang w:bidi="ar-SA"/>
        </w:rPr>
        <w:t xml:space="preserve">الذي يَدُلُّ علىٰ أنّ المُرادَ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ما بيّنّاه مِن</w:t>
      </w:r>
      <w:r>
        <w:rPr>
          <w:rStyle w:val="FootnoteAnchor"/>
          <w:rtl w:val="true"/>
        </w:rPr>
        <w:footnoteReference w:id="453"/>
      </w:r>
      <w:r>
        <w:rPr>
          <w:rFonts w:ascii="Amiri" w:hAnsi="Amiri" w:eastAsia="Amiri" w:cs="Amiri"/>
          <w:color w:val="111111"/>
          <w:sz w:val="28"/>
          <w:sz w:val="28"/>
          <w:szCs w:val="28"/>
          <w:rtl w:val="true"/>
          <w:lang w:bidi="ar-SA"/>
        </w:rPr>
        <w:t>معنَى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قد ثَبَتَ أوّلاً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جميعَهم علَى العمومِ‌، بَل</w:t>
      </w:r>
      <w:r>
        <w:rPr>
          <w:rStyle w:val="FootnoteAnchor"/>
          <w:rtl w:val="true"/>
        </w:rPr>
        <w:footnoteReference w:id="454"/>
      </w:r>
      <w:r>
        <w:rPr>
          <w:rFonts w:ascii="Amiri" w:hAnsi="Amiri" w:eastAsia="Amiri" w:cs="Amiri"/>
          <w:color w:val="111111"/>
          <w:sz w:val="28"/>
          <w:sz w:val="28"/>
          <w:szCs w:val="28"/>
          <w:rtl w:val="true"/>
          <w:lang w:bidi="ar-SA"/>
        </w:rPr>
        <w:t>بعضُهم، و هو مَن كانَت له الصفةُ المخصوصةُ التي هي إيتاءُ الزكاةِ في حالِ الركوعِ‌؛ لأنّه تَعالىٰ كما وَصَفَ بالإيمانِ مَن أخبَرَ</w:t>
      </w:r>
      <w:r>
        <w:rPr>
          <w:rStyle w:val="FootnoteAnchor"/>
          <w:rtl w:val="true"/>
        </w:rPr>
        <w:footnoteReference w:id="455"/>
      </w:r>
      <w:r>
        <w:rPr>
          <w:rFonts w:ascii="Amiri" w:hAnsi="Amiri" w:eastAsia="Amiri" w:cs="Amiri"/>
          <w:color w:val="111111"/>
          <w:sz w:val="28"/>
          <w:sz w:val="28"/>
          <w:szCs w:val="28"/>
          <w:rtl w:val="true"/>
          <w:lang w:bidi="ar-SA"/>
        </w:rPr>
        <w:t>بأنّه وليُّنا بَعدَ ذِكرِ نفسِه تَعالىٰ‌</w:t>
      </w:r>
      <w:r>
        <w:rPr>
          <w:rStyle w:val="FootnoteAnchor"/>
          <w:rtl w:val="true"/>
        </w:rPr>
        <w:footnoteReference w:id="456"/>
      </w:r>
      <w:r>
        <w:rPr>
          <w:rFonts w:ascii="Amiri" w:hAnsi="Amiri" w:eastAsia="Amiri" w:cs="Amiri"/>
          <w:color w:val="111111"/>
          <w:sz w:val="28"/>
          <w:sz w:val="28"/>
          <w:szCs w:val="28"/>
          <w:rtl w:val="true"/>
          <w:lang w:bidi="ar-SA"/>
        </w:rPr>
        <w:t>و ذِكرِ رسولِه صَلّى اللّٰهُ عليه و آلِه</w:t>
      </w:r>
      <w:r>
        <w:rPr>
          <w:rStyle w:val="FootnoteAnchor"/>
          <w:rtl w:val="true"/>
        </w:rPr>
        <w:footnoteReference w:id="457"/>
      </w:r>
      <w:r>
        <w:rPr>
          <w:rFonts w:ascii="Amiri" w:hAnsi="Amiri" w:eastAsia="Amiri" w:cs="Amiri"/>
          <w:color w:val="111111"/>
          <w:sz w:val="28"/>
          <w:sz w:val="28"/>
          <w:szCs w:val="28"/>
          <w:rtl w:val="true"/>
          <w:lang w:bidi="ar-SA"/>
        </w:rPr>
        <w:t>، كذلكَ‌</w:t>
      </w:r>
      <w:r>
        <w:rPr>
          <w:rStyle w:val="FootnoteAnchor"/>
          <w:rtl w:val="true"/>
        </w:rPr>
        <w:footnoteReference w:id="458"/>
      </w:r>
      <w:r>
        <w:rPr>
          <w:rFonts w:ascii="Amiri" w:hAnsi="Amiri" w:eastAsia="Amiri" w:cs="Amiri"/>
          <w:color w:val="111111"/>
          <w:sz w:val="28"/>
          <w:sz w:val="28"/>
          <w:szCs w:val="28"/>
          <w:rtl w:val="true"/>
          <w:lang w:bidi="ar-SA"/>
        </w:rPr>
        <w:t>وَصَفَه بإيتاءِ الزكاةِ في حالِ الركوعِ‌؛ فيَجِبُ أن يُراعىٰ ثُبوتُ الصفتَينِ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عَلِمنا أنّ الصفةَ الثانيةَ التي هي إيتاءُ الزكاةِ لَم تَثبُتْ في كُلِّ مؤمِنٍ علَى الاستغراقِ‌؛ لأنّ‌</w:t>
      </w:r>
      <w:r>
        <w:rPr>
          <w:rStyle w:val="FootnoteAnchor"/>
          <w:rtl w:val="true"/>
        </w:rPr>
        <w:footnoteReference w:id="459"/>
      </w:r>
      <w:r>
        <w:rPr>
          <w:rFonts w:ascii="Amiri" w:hAnsi="Amiri" w:eastAsia="Amiri" w:cs="Amiri"/>
          <w:color w:val="111111"/>
          <w:sz w:val="28"/>
          <w:sz w:val="28"/>
          <w:szCs w:val="28"/>
          <w:rtl w:val="true"/>
          <w:lang w:bidi="ar-SA"/>
        </w:rPr>
        <w:t>مُخالِفينا و إن حَمَلوا نُفوسَهم علىٰ أن يُجوِّزوا</w:t>
      </w:r>
      <w:r>
        <w:rPr>
          <w:rStyle w:val="FootnoteAnchor"/>
          <w:rtl w:val="true"/>
        </w:rPr>
        <w:footnoteReference w:id="460"/>
      </w:r>
      <w:r>
        <w:rPr>
          <w:rFonts w:ascii="Amiri" w:hAnsi="Amiri" w:eastAsia="Amiri" w:cs="Amiri"/>
          <w:color w:val="111111"/>
          <w:sz w:val="28"/>
          <w:sz w:val="28"/>
          <w:szCs w:val="28"/>
          <w:rtl w:val="true"/>
          <w:lang w:bidi="ar-SA"/>
        </w:rPr>
        <w:t>مشارَكةَ غيرِ أميرِ المؤمنينَ عليه السلامُ في ذلكَ الفِعلِ له، فلَيسَ يَصِحُّ‌</w:t>
      </w:r>
      <w:r>
        <w:rPr>
          <w:rStyle w:val="FootnoteAnchor"/>
          <w:rtl w:val="true"/>
        </w:rPr>
        <w:footnoteReference w:id="461"/>
      </w:r>
      <w:r>
        <w:rPr>
          <w:rFonts w:ascii="Amiri" w:hAnsi="Amiri" w:eastAsia="Amiri" w:cs="Amiri"/>
          <w:color w:val="111111"/>
          <w:sz w:val="28"/>
          <w:sz w:val="28"/>
          <w:szCs w:val="28"/>
          <w:rtl w:val="true"/>
          <w:lang w:bidi="ar-SA"/>
        </w:rPr>
        <w:t>أن يُثبِتوه لكُلِّ مؤمنٍ‌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سنَدُلُّ‌</w:t>
      </w:r>
      <w:r>
        <w:rPr>
          <w:rStyle w:val="FootnoteAnchor"/>
          <w:rtl w:val="true"/>
        </w:rPr>
        <w:footnoteReference w:id="462"/>
      </w:r>
      <w:r>
        <w:rPr>
          <w:rFonts w:ascii="Amiri" w:hAnsi="Amiri" w:eastAsia="Amiri" w:cs="Amiri"/>
          <w:color w:val="111111"/>
          <w:sz w:val="28"/>
          <w:sz w:val="28"/>
          <w:szCs w:val="28"/>
          <w:rtl w:val="true"/>
          <w:lang w:bidi="ar-SA"/>
        </w:rPr>
        <w:t>فيما بَعدُ</w:t>
      </w:r>
      <w:r>
        <w:rPr>
          <w:rStyle w:val="FootnoteAnchor"/>
          <w:rtl w:val="true"/>
        </w:rPr>
        <w:footnoteReference w:id="463"/>
      </w:r>
      <w:r>
        <w:rPr>
          <w:rFonts w:ascii="Amiri" w:hAnsi="Amiri" w:eastAsia="Amiri" w:cs="Amiri"/>
          <w:color w:val="111111"/>
          <w:sz w:val="28"/>
          <w:sz w:val="28"/>
          <w:szCs w:val="28"/>
          <w:rtl w:val="true"/>
          <w:lang w:bidi="ar-SA"/>
        </w:rPr>
        <w:t xml:space="preserve">علىٰ أنّ المرادَ وَصفُهم بإعطاءِ الزكاةِ في حالِ الركوعِ ، </w:t>
      </w:r>
    </w:p>
    <w:p>
      <w:pPr>
        <w:pStyle w:val="BookText"/>
        <w:rPr/>
      </w:pPr>
      <w:r>
        <w:rPr>
          <w:rFonts w:ascii="Amiri" w:hAnsi="Amiri" w:eastAsia="Amiri" w:cs="Amiri"/>
          <w:color w:val="111111"/>
          <w:sz w:val="28"/>
          <w:sz w:val="28"/>
          <w:szCs w:val="28"/>
          <w:rtl w:val="true"/>
          <w:lang w:bidi="ar-SA"/>
        </w:rPr>
        <w:t>دونَ أن يَكونَ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464"/>
      </w:r>
      <w:r>
        <w:rPr>
          <w:rFonts w:ascii="Amiri" w:hAnsi="Amiri" w:eastAsia="Amiri" w:cs="Amiri"/>
          <w:color w:val="111111"/>
          <w:sz w:val="28"/>
          <w:sz w:val="28"/>
          <w:szCs w:val="28"/>
          <w:rtl w:val="true"/>
          <w:lang w:bidi="ar-SA"/>
        </w:rPr>
        <w:t>مِن صفتِهم إقامةَ الصلاةِ و إيتاءَ الزكاةِ و مِن صفتِهم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يُبطَلُ‌</w:t>
      </w:r>
      <w:r>
        <w:rPr>
          <w:rStyle w:val="FootnoteAnchor"/>
          <w:rtl w:val="true"/>
        </w:rPr>
        <w:footnoteReference w:id="465"/>
      </w:r>
      <w:r>
        <w:rPr>
          <w:rFonts w:ascii="Amiri" w:hAnsi="Amiri" w:eastAsia="Amiri" w:cs="Amiri"/>
          <w:color w:val="111111"/>
          <w:sz w:val="28"/>
          <w:sz w:val="28"/>
          <w:szCs w:val="28"/>
          <w:rtl w:val="true"/>
          <w:lang w:bidi="ar-SA"/>
        </w:rPr>
        <w:t>أيضاً أن يَكونَ المُرادُ بالركوعِ الخُضوعَ‌، دونَ الفِعلِ المخصوصِ‌، عندَ الكلامِ علىٰ ما أورَدَه صاحبُ الكتابِ‌</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إذا ثَبَتَ تَوجُّهُ الآيةِ إلىٰ بعضِ المؤمنينَ دونَ جميعِهم، و وَجَدناه تَعالىٰ قد</w:t>
      </w:r>
    </w:p>
    <w:p>
      <w:pPr>
        <w:pStyle w:val="BookText"/>
        <w:rPr/>
      </w:pPr>
      <w:r>
        <w:rPr>
          <w:rFonts w:ascii="Amiri" w:hAnsi="Amiri" w:eastAsia="Amiri" w:cs="Amiri"/>
          <w:color w:val="111111"/>
          <w:sz w:val="28"/>
          <w:sz w:val="28"/>
          <w:szCs w:val="28"/>
          <w:rtl w:val="true"/>
          <w:lang w:bidi="ar-SA"/>
        </w:rPr>
        <w:t>أثبَتَ كَونَ مَن أرادَه مِن المؤمنينَ وليّاً لنا علىٰ وجهٍ‌</w:t>
      </w:r>
      <w:r>
        <w:rPr>
          <w:rStyle w:val="FootnoteAnchor"/>
          <w:rtl w:val="true"/>
        </w:rPr>
        <w:footnoteReference w:id="467"/>
      </w:r>
      <w:r>
        <w:rPr>
          <w:rFonts w:ascii="Amiri" w:hAnsi="Amiri" w:eastAsia="Amiri" w:cs="Amiri"/>
          <w:color w:val="111111"/>
          <w:sz w:val="28"/>
          <w:sz w:val="28"/>
          <w:szCs w:val="28"/>
          <w:rtl w:val="true"/>
          <w:lang w:bidi="ar-SA"/>
        </w:rPr>
        <w:t xml:space="preserve">يَقتَضي التخصيصَ و نفيَ ما أثبَتَه لِمَن عَدا المذكورَ؛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بظاهرِها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صحّةَ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النُّحاةُ المُدقِّقونَ البَصريّونَ‌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الفَصاحةُ في الشعرِ للجاهِليّةِ‌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التدقيقِ في النحوِ و الفَصاحةِ عمَّن عَدا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المفهومُ مِن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لَقيتُ اليومَ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أكلتُ رغيفاً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لِقاءِ غيرِ زيدٍ، و</w:t>
      </w:r>
      <w:r>
        <w:rPr>
          <w:rStyle w:val="FootnoteAnchor"/>
          <w:rtl w:val="true"/>
        </w:rPr>
        <w:footnoteReference w:id="468"/>
      </w:r>
      <w:r>
        <w:rPr>
          <w:rFonts w:ascii="Amiri" w:hAnsi="Amiri" w:eastAsia="Amiri" w:cs="Amiri"/>
          <w:color w:val="111111"/>
          <w:sz w:val="28"/>
          <w:sz w:val="28"/>
          <w:szCs w:val="28"/>
          <w:rtl w:val="true"/>
          <w:lang w:bidi="ar-SA"/>
        </w:rPr>
        <w:t xml:space="preserve">أكلِ أكثَرَ مِن رَغيفٍ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الأعشى</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لَستَ بالأكثَرِ منهم 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العِزّةُ للكاثِرِ</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إنّما أرادَ نفيَ العِزّةِ عمّن لَيسَ بكاثِرٍ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يَكونَ المُرادُ بلفظِ</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ما يَرجِعُ إلىٰ معنَى الإمامةِ و الاختصاصِ بالتدبيرِ؛ لأنّ ما يَحتَمِلُه</w:t>
      </w:r>
      <w:r>
        <w:rPr>
          <w:rStyle w:val="FootnoteAnchor"/>
          <w:rtl w:val="true"/>
        </w:rPr>
        <w:footnoteReference w:id="472"/>
      </w:r>
      <w:r>
        <w:rPr>
          <w:rFonts w:ascii="Amiri" w:hAnsi="Amiri" w:eastAsia="Amiri" w:cs="Amiri"/>
          <w:color w:val="111111"/>
          <w:sz w:val="28"/>
          <w:sz w:val="28"/>
          <w:szCs w:val="28"/>
          <w:rtl w:val="true"/>
          <w:lang w:bidi="ar-SA"/>
        </w:rPr>
        <w:t xml:space="preserve">هذه اللفظةُ مِن 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الموالاةُ في الدينِ و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تخصيصَ فيه، و المؤمنونَ كُلُّهم مُشتَرِكونَ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نَطَقَ الكتابُ بذلكَ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الْمُؤْمِنُونَ وَ الْمُؤْمِنٰاتُ بَعْضُهُمْ أَوْلِيٰاءُ بَعْضٍ </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بَطَلَ حَملُها علَى الموالاةِ ، فلا بُدَّ مِن حَملِها علَى الوجهِ الذي بيّنّاه؛ لأنّه لا مُحتَمَلَ للفظِه</w:t>
      </w:r>
      <w:r>
        <w:rPr>
          <w:rStyle w:val="FootnoteAnchor"/>
          <w:rtl w:val="true"/>
        </w:rPr>
        <w:footnoteReference w:id="474"/>
      </w:r>
      <w:r>
        <w:rPr>
          <w:rFonts w:ascii="Amiri" w:hAnsi="Amiri" w:eastAsia="Amiri" w:cs="Amiri"/>
          <w:color w:val="111111"/>
          <w:sz w:val="28"/>
          <w:sz w:val="28"/>
          <w:szCs w:val="28"/>
          <w:rtl w:val="true"/>
          <w:lang w:bidi="ar-SA"/>
        </w:rPr>
        <w:t>سِواهما</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فيمن يَستَدِلُّ بهذه الآيةِ علَى النصِّ مَن يَقولُ إذا طولِبَ بمِثلِ ما طولِبنا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ثَبَتَ أنّ اللفظةَ مُحتَمِلةٌ للوجهَينِ جميعاً علىٰ سَبيلِ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حملُها علَى المعنيَينِ معاً؛ إذ هي مُحتَمِلةٌ لهما معاً،</w:t>
      </w:r>
      <w:r>
        <w:rPr>
          <w:rStyle w:val="FootnoteAnchor"/>
          <w:rtl w:val="true"/>
        </w:rPr>
        <w:footnoteReference w:id="476"/>
      </w:r>
      <w:r>
        <w:rPr>
          <w:rFonts w:ascii="Amiri" w:hAnsi="Amiri" w:eastAsia="Amiri" w:cs="Amiri"/>
          <w:color w:val="111111"/>
          <w:sz w:val="28"/>
          <w:sz w:val="28"/>
          <w:szCs w:val="28"/>
          <w:rtl w:val="true"/>
          <w:lang w:bidi="ar-SA"/>
        </w:rPr>
        <w:t>و لا تَنافيَ بَينَهما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لجودة شعره و رقّته، و هو أُستاذ الشعراء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فحول الشعراء،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الشعر و الشعراء،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الأغاني،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21250</w:t>
      </w:r>
      <w:r>
        <w:rPr>
          <w:rFonts w:ascii="Amiri" w:hAnsi="Amiri" w:eastAsia="Amiri" w:cs="Amiri"/>
          <w:color w:val="111111"/>
          <w:sz w:val="28"/>
          <w:sz w:val="28"/>
          <w:szCs w:val="28"/>
          <w:rtl w:val="true"/>
          <w:lang w:bidi="ar-SA"/>
        </w:rPr>
        <w:t xml:space="preserve">؛ معجم الشعراء،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 تاريخ مدينة دمشق، ج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7805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بيّنّا فيما تَقدَّمَ أنّ هذه الطريقةَ غيرُ سديدةٍ و لا مُعتَمَدةٍ </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توَجُّهَ الخِطابِ إلىٰ جميعِ المُكلَّفينَ‌؛ مؤمنِهم و كافرِهم؛ لأنّ أحَدَنا لَو أقبَلَ علىٰ جماعةٍ‌، فشافَهَهم</w:t>
      </w:r>
      <w:r>
        <w:rPr>
          <w:rStyle w:val="FootnoteAnchor"/>
          <w:rtl w:val="true"/>
        </w:rPr>
        <w:footnoteReference w:id="479"/>
      </w:r>
      <w:r>
        <w:rPr>
          <w:rFonts w:ascii="Amiri" w:hAnsi="Amiri" w:eastAsia="Amiri" w:cs="Amiri"/>
          <w:color w:val="111111"/>
          <w:sz w:val="28"/>
          <w:sz w:val="28"/>
          <w:szCs w:val="28"/>
          <w:rtl w:val="true"/>
          <w:lang w:bidi="ar-SA"/>
        </w:rPr>
        <w:t>بالخِطابِ بالكافِ‌، لَحُمِلَ‌</w:t>
      </w:r>
      <w:r>
        <w:rPr>
          <w:rStyle w:val="FootnoteAnchor"/>
          <w:rtl w:val="true"/>
        </w:rPr>
        <w:footnoteReference w:id="480"/>
      </w:r>
      <w:r>
        <w:rPr>
          <w:rFonts w:ascii="Amiri" w:hAnsi="Amiri" w:eastAsia="Amiri" w:cs="Amiri"/>
          <w:color w:val="111111"/>
          <w:sz w:val="28"/>
          <w:sz w:val="28"/>
          <w:szCs w:val="28"/>
          <w:rtl w:val="true"/>
          <w:lang w:bidi="ar-SA"/>
        </w:rPr>
        <w:t>خِطابُه علىٰ أنّه متوجِّهٌ إلَى الجميعِ‌؛ مِن حَيثُ لَم يَكُن بأن يَتَناوَلَ بعضَهم أَولىٰ مِن أن يَتَناوَلَ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المُكلَّفينَ فيما تَوجَّهَ‌</w:t>
      </w:r>
      <w:r>
        <w:rPr>
          <w:rStyle w:val="FootnoteAnchor"/>
          <w:rtl w:val="true"/>
        </w:rPr>
        <w:footnoteReference w:id="481"/>
      </w:r>
      <w:r>
        <w:rPr>
          <w:rFonts w:ascii="Amiri" w:hAnsi="Amiri" w:eastAsia="Amiri" w:cs="Amiri"/>
          <w:color w:val="111111"/>
          <w:sz w:val="28"/>
          <w:sz w:val="28"/>
          <w:szCs w:val="28"/>
          <w:rtl w:val="true"/>
          <w:lang w:bidi="ar-SA"/>
        </w:rPr>
        <w:t>إليهم مِن خِطابِ القَديمِ تَعالىٰ بمَنزِلةِ مَن شافَهَه</w:t>
      </w:r>
      <w:r>
        <w:rPr>
          <w:rStyle w:val="FootnoteAnchor"/>
          <w:rtl w:val="true"/>
        </w:rPr>
        <w:footnoteReference w:id="482"/>
      </w:r>
      <w:r>
        <w:rPr>
          <w:rFonts w:ascii="Amiri" w:hAnsi="Amiri" w:eastAsia="Amiri" w:cs="Amiri"/>
          <w:color w:val="111111"/>
          <w:sz w:val="28"/>
          <w:sz w:val="28"/>
          <w:szCs w:val="28"/>
          <w:rtl w:val="true"/>
          <w:lang w:bidi="ar-SA"/>
        </w:rPr>
        <w:t>أحَدُنا بخِطابِه؛ لأنّهم</w:t>
      </w:r>
    </w:p>
    <w:p>
      <w:pPr>
        <w:pStyle w:val="BookText"/>
        <w:rPr/>
      </w:pPr>
      <w:r>
        <w:rPr>
          <w:rFonts w:ascii="Amiri" w:hAnsi="Amiri" w:eastAsia="Amiri" w:cs="Amiri"/>
          <w:color w:val="111111"/>
          <w:sz w:val="28"/>
          <w:sz w:val="28"/>
          <w:szCs w:val="28"/>
          <w:rtl w:val="true"/>
          <w:lang w:bidi="ar-SA"/>
        </w:rPr>
        <w:t>جميعاً في حُكمِ الحاضرينَ له، فيَجِبُ أن يَكونَ الخِطابُ مُتَوجِّهاً إلىٰ جميعِهم كما تَوَجَّهَ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و ما أشبَهَه مِن الخِطابِ إلَى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w:t>
      </w:r>
      <w:r>
        <w:rPr>
          <w:rStyle w:val="FootnoteAnchor"/>
          <w:rtl w:val="true"/>
        </w:rPr>
        <w:footnoteReference w:id="484"/>
      </w:r>
      <w:r>
        <w:rPr>
          <w:rFonts w:ascii="Amiri" w:hAnsi="Amiri" w:eastAsia="Amiri" w:cs="Amiri"/>
          <w:color w:val="111111"/>
          <w:sz w:val="28"/>
          <w:sz w:val="28"/>
          <w:szCs w:val="28"/>
          <w:rtl w:val="true"/>
          <w:lang w:bidi="ar-SA"/>
        </w:rPr>
        <w:t xml:space="preserve">دَخَلَ الجميعُ تَحتَه استَحالَ أن يَكونَ المُرادُ باللفظةِ الموالاةَ في الدِّينِ‌؛ لأنّ هذه الموالاةَ يَختَصُّ بها المؤمنونَ دونَ غيرِهم؛ فلا بُدَّ إذَن مِن حَملِها علىٰ ما يَصِحُّ دخولُ الجميعِ فيه، و هو معنَى الإمامةِ و وجوبِ الطاعةِ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الطريقةُ أيضاً لا تَستَمِرُّ؛ لأنّها مَبنيّةٌ علىٰ أنّ ظاهرَ الخِطابِ يَقتَضي تَوجُّهَه إلَى الكُلِّ ، و ذلكَ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صاحبَ الكتابِ لا يُمكِنُه دفعُ الاستدلالِ بهاتَينِ الطريقتَينِ </w:t>
      </w:r>
      <w:r>
        <w:rPr>
          <w:rStyle w:val="FootnoteAnchor"/>
          <w:rtl w:val="true"/>
        </w:rPr>
        <w:footnoteReference w:id="485"/>
      </w:r>
      <w:r>
        <w:rPr>
          <w:rFonts w:ascii="Amiri" w:hAnsi="Amiri" w:eastAsia="Amiri" w:cs="Amiri"/>
          <w:color w:val="111111"/>
          <w:sz w:val="28"/>
          <w:sz w:val="28"/>
          <w:szCs w:val="28"/>
          <w:rtl w:val="true"/>
          <w:lang w:bidi="ar-SA"/>
        </w:rPr>
        <w:t>علىٰ أُصولِه؛ لأنّه يَذهَبُ إلىٰ ما بَنَينا</w:t>
      </w:r>
      <w:r>
        <w:rPr>
          <w:rStyle w:val="FootnoteAnchor"/>
          <w:rtl w:val="true"/>
        </w:rPr>
        <w:footnoteReference w:id="486"/>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bookmarkStart w:id="131" w:name="pg20017_202408"/>
    </w:p>
    <w:p>
      <w:pPr>
        <w:pStyle w:val="Heading6"/>
        <w:numPr>
          <w:ilvl w:val="5"/>
          <w:numId w:val="1"/>
        </w:numPr>
        <w:rPr/>
      </w:pPr>
      <w:bookmarkStart w:id="132" w:name="__RefHeading___Toc964085_2320776876"/>
      <w:bookmarkStart w:id="133" w:name="_Toc46"/>
      <w:bookmarkEnd w:id="131"/>
      <w:bookmarkEnd w:id="132"/>
      <w:r>
        <w:rPr>
          <w:rtl w:val="true"/>
        </w:rPr>
        <w:t>البحث الثالث</w:t>
      </w:r>
      <w:r>
        <w:rPr>
          <w:rtl w:val="true"/>
        </w:rPr>
        <w:t xml:space="preserve">: </w:t>
      </w:r>
      <w:r>
        <w:rPr>
          <w:rtl w:val="true"/>
        </w:rPr>
        <w:t xml:space="preserve">توجّه لفظة </w:t>
      </w:r>
      <w:r>
        <w:rPr>
          <w:rtl w:val="true"/>
        </w:rPr>
        <w:t>(</w:t>
      </w:r>
      <w:r>
        <w:rPr>
          <w:rtl w:val="true"/>
        </w:rPr>
        <w:t>الَّذِينَ آمَنُوا</w:t>
      </w:r>
      <w:r>
        <w:rPr>
          <w:rtl w:val="true"/>
        </w:rPr>
        <w:t xml:space="preserve">) </w:t>
      </w:r>
      <w:r>
        <w:rPr>
          <w:rtl w:val="true"/>
        </w:rPr>
        <w:t>في الآية إلىٰ أميرِ المؤمنينَ عليه السلام</w:t>
      </w:r>
      <w:bookmarkEnd w:id="133"/>
    </w:p>
    <w:p>
      <w:pPr>
        <w:pStyle w:val="BookText"/>
        <w:rPr/>
      </w:pPr>
      <w:r>
        <w:rPr>
          <w:rFonts w:ascii="Amiri" w:hAnsi="Amiri" w:eastAsia="Amiri" w:cs="Amiri"/>
          <w:color w:val="111111"/>
          <w:sz w:val="28"/>
          <w:sz w:val="28"/>
          <w:szCs w:val="28"/>
          <w:rtl w:val="true"/>
          <w:lang w:bidi="ar-SA"/>
        </w:rPr>
        <w:t xml:space="preserve">فأمّا الذي يَدُلُّ علىٰ تَوجُّهِ لفظةِ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أميرِ المؤمنينَ عليه السلامُ فوجوهٌ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الأُمّةَ مُجمِعةٌ </w:t>
      </w:r>
      <w:r>
        <w:rPr>
          <w:rStyle w:val="FootnoteAnchor"/>
          <w:rtl w:val="true"/>
        </w:rPr>
        <w:footnoteReference w:id="488"/>
      </w:r>
      <w:r>
        <w:rPr>
          <w:rFonts w:ascii="Amiri" w:hAnsi="Amiri" w:eastAsia="Amiri" w:cs="Amiri"/>
          <w:color w:val="111111"/>
          <w:sz w:val="28"/>
          <w:sz w:val="28"/>
          <w:szCs w:val="28"/>
          <w:rtl w:val="true"/>
          <w:lang w:bidi="ar-SA"/>
        </w:rPr>
        <w:t>مع اختلافِها علىٰ تَوجُّهِها إليه عليه السلامُ ؛ لأنّها</w:t>
      </w:r>
      <w:r>
        <w:rPr>
          <w:rStyle w:val="FootnoteAnchor"/>
          <w:rtl w:val="true"/>
        </w:rPr>
        <w:footnoteReference w:id="489"/>
      </w:r>
      <w:r>
        <w:rPr>
          <w:rFonts w:ascii="Amiri" w:hAnsi="Amiri" w:eastAsia="Amiri" w:cs="Amiri"/>
          <w:color w:val="111111"/>
          <w:sz w:val="28"/>
          <w:sz w:val="28"/>
          <w:szCs w:val="28"/>
          <w:rtl w:val="true"/>
          <w:lang w:bidi="ar-SA"/>
        </w:rPr>
        <w:t xml:space="preserve">بَينَ 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عليه السلامُ المُختَصُّ بها</w:t>
      </w:r>
      <w:r>
        <w:rPr>
          <w:rStyle w:val="FootnoteAnchor"/>
          <w:rtl w:val="true"/>
        </w:rPr>
        <w:footnoteReference w:id="490"/>
      </w:r>
      <w:r>
        <w:rPr>
          <w:rFonts w:ascii="Amiri" w:hAnsi="Amiri" w:eastAsia="Amiri" w:cs="Amiri"/>
          <w:color w:val="111111"/>
          <w:sz w:val="28"/>
          <w:sz w:val="28"/>
          <w:szCs w:val="28"/>
          <w:rtl w:val="true"/>
          <w:lang w:bidi="ar-SA"/>
        </w:rPr>
        <w:t xml:space="preserve">، و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جميعُ المؤمنينَ الذي</w:t>
      </w:r>
      <w:r>
        <w:rPr>
          <w:rStyle w:val="FootnoteAnchor"/>
          <w:rtl w:val="true"/>
        </w:rPr>
        <w:footnoteReference w:id="491"/>
      </w:r>
      <w:r>
        <w:rPr>
          <w:rFonts w:ascii="Amiri" w:hAnsi="Amiri" w:eastAsia="Amiri" w:cs="Amiri"/>
          <w:color w:val="111111"/>
          <w:sz w:val="28"/>
          <w:sz w:val="28"/>
          <w:szCs w:val="28"/>
          <w:rtl w:val="true"/>
          <w:lang w:bidi="ar-SA"/>
        </w:rPr>
        <w:t>هو عليه السلامُ أحَدُهم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w:t>
      </w:r>
      <w:r>
        <w:rPr>
          <w:rStyle w:val="FootnoteAnchor"/>
          <w:rtl w:val="true"/>
        </w:rPr>
        <w:footnoteReference w:id="492"/>
      </w:r>
      <w:r>
        <w:rPr>
          <w:rFonts w:ascii="Amiri" w:hAnsi="Amiri" w:eastAsia="Amiri" w:cs="Amiri"/>
          <w:color w:val="111111"/>
          <w:sz w:val="28"/>
          <w:sz w:val="28"/>
          <w:szCs w:val="28"/>
          <w:rtl w:val="true"/>
          <w:lang w:bidi="ar-SA"/>
        </w:rPr>
        <w:t>الخبرِ بنَقلِ طائفتَينِ‌</w:t>
      </w:r>
      <w:r>
        <w:rPr>
          <w:rStyle w:val="FootnoteAnchor"/>
          <w:rtl w:val="true"/>
        </w:rPr>
        <w:footnoteReference w:id="493"/>
      </w:r>
      <w:r>
        <w:rPr>
          <w:rFonts w:ascii="Amiri" w:hAnsi="Amiri" w:eastAsia="Amiri" w:cs="Amiri"/>
          <w:color w:val="111111"/>
          <w:sz w:val="28"/>
          <w:sz w:val="28"/>
          <w:szCs w:val="28"/>
          <w:rtl w:val="true"/>
          <w:lang w:bidi="ar-SA"/>
        </w:rPr>
        <w:t xml:space="preserve">مُختَلِفتَينِ و مِن طريقِ </w:t>
      </w:r>
      <w:r>
        <w:rPr>
          <w:rStyle w:val="FootnoteAnchor"/>
          <w:rtl w:val="true"/>
        </w:rPr>
        <w:footnoteReference w:id="494"/>
      </w:r>
      <w:r>
        <w:rPr>
          <w:rFonts w:ascii="Amiri" w:hAnsi="Amiri" w:eastAsia="Amiri" w:cs="Amiri"/>
          <w:color w:val="111111"/>
          <w:sz w:val="28"/>
          <w:sz w:val="28"/>
          <w:szCs w:val="28"/>
          <w:rtl w:val="true"/>
          <w:lang w:bidi="ar-SA"/>
        </w:rPr>
        <w:t xml:space="preserve">الخاصّةِ و العامّةِ </w:t>
      </w:r>
      <w:r>
        <w:rPr>
          <w:rStyle w:val="FootnoteAnchor"/>
          <w:rtl w:val="true"/>
        </w:rPr>
        <w:footnoteReference w:id="495"/>
      </w:r>
      <w:r>
        <w:rPr>
          <w:rFonts w:ascii="Amiri" w:hAnsi="Amiri" w:eastAsia="Amiri" w:cs="Amiri"/>
          <w:color w:val="111111"/>
          <w:sz w:val="28"/>
          <w:sz w:val="28"/>
          <w:szCs w:val="28"/>
          <w:rtl w:val="true"/>
          <w:lang w:bidi="ar-SA"/>
        </w:rPr>
        <w:t xml:space="preserve">بنُزولِ الآيةِ في أميرِ المؤمنينَ عليه السلامُ عندَ تصدُّقِه بخاتَمِه في حالِ ركوعِه، و القِصّةُ في ذلكَ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w:t>
      </w:r>
      <w:r>
        <w:rPr>
          <w:rStyle w:val="FootnoteAnchor"/>
          <w:rtl w:val="true"/>
        </w:rPr>
        <w:footnoteReference w:id="496"/>
      </w:r>
      <w:r>
        <w:rPr>
          <w:rFonts w:ascii="Amiri" w:hAnsi="Amiri" w:eastAsia="Amiri" w:cs="Amiri"/>
          <w:color w:val="111111"/>
          <w:sz w:val="28"/>
          <w:sz w:val="28"/>
          <w:szCs w:val="28"/>
          <w:rtl w:val="true"/>
          <w:lang w:bidi="ar-SA"/>
        </w:rPr>
        <w:t>الخبرِ الذي ذَكرنا</w:t>
      </w:r>
      <w:r>
        <w:rPr>
          <w:rStyle w:val="FootnoteAnchor"/>
          <w:rtl w:val="true"/>
        </w:rPr>
        <w:footnoteReference w:id="497"/>
      </w:r>
      <w:r>
        <w:rPr>
          <w:rFonts w:ascii="Amiri" w:hAnsi="Amiri" w:eastAsia="Amiri" w:cs="Amiri"/>
          <w:color w:val="111111"/>
          <w:sz w:val="28"/>
          <w:sz w:val="28"/>
          <w:szCs w:val="28"/>
          <w:rtl w:val="true"/>
          <w:lang w:bidi="ar-SA"/>
        </w:rPr>
        <w:t>إطباقَ أهلِ النقلِ عليه ما يُقطَعُ به</w:t>
      </w:r>
      <w:r>
        <w:rPr>
          <w:rFonts w:eastAsia="Amiri" w:cs="Amiri" w:ascii="Amiri" w:hAnsi="Amiri"/>
          <w:color w:val="111111"/>
          <w:sz w:val="28"/>
          <w:szCs w:val="28"/>
          <w:rtl w:val="true"/>
          <w:lang w:bidi="ar-SA"/>
        </w:rPr>
        <w:t>.</w:t>
      </w:r>
      <w:r>
        <w:rPr>
          <w:rStyle w:val="FootnoteAnchor"/>
          <w:rtl w:val="true"/>
        </w:rPr>
        <w:footnoteReference w:id="498"/>
      </w:r>
      <w:bookmarkStart w:id="134" w:name="pg20017_202409"/>
    </w:p>
    <w:p>
      <w:pPr>
        <w:pStyle w:val="BookText"/>
        <w:rPr/>
      </w:pPr>
      <w:bookmarkEnd w:id="134"/>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دَلَّلنا علىٰ أنّ المُرادَ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ما يَرجِعُ إلىٰ معنَى</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الإمامةِ ، و وَجَدنا كُلَّ مَن ذَهَبَ </w:t>
      </w:r>
      <w:r>
        <w:rPr>
          <w:rStyle w:val="FootnoteAnchor"/>
          <w:rtl w:val="true"/>
        </w:rPr>
        <w:footnoteReference w:id="500"/>
      </w:r>
      <w:r>
        <w:rPr>
          <w:rFonts w:ascii="Amiri" w:hAnsi="Amiri" w:eastAsia="Amiri" w:cs="Amiri"/>
          <w:color w:val="111111"/>
          <w:sz w:val="28"/>
          <w:sz w:val="28"/>
          <w:szCs w:val="28"/>
          <w:rtl w:val="true"/>
          <w:lang w:bidi="ar-SA"/>
        </w:rPr>
        <w:t>إلىٰ أنّ المُرادَ بهذه اللفظةِ ما ذَكرناه يَذهَبُ إلىٰ أنّ أميرَ المؤمنينَ عليه السلامُ المقصودُ بها، فوَجَبَ تَوجُّهُها إليه</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964087_2320776876"/>
      <w:bookmarkStart w:id="136" w:name="_Toc47"/>
      <w:bookmarkEnd w:id="135"/>
      <w:r>
        <w:rPr>
          <w:rtl w:val="true"/>
        </w:rPr>
        <w:t>البحث الرابع</w:t>
      </w:r>
      <w:r>
        <w:rPr>
          <w:rtl w:val="true"/>
        </w:rPr>
        <w:t xml:space="preserve">: </w:t>
      </w:r>
      <w:r>
        <w:rPr>
          <w:rtl w:val="true"/>
        </w:rPr>
        <w:t xml:space="preserve">اختصاص أمير المؤمنين عليه السلام بلفظة </w:t>
      </w:r>
      <w:r>
        <w:rPr>
          <w:rtl w:val="true"/>
        </w:rPr>
        <w:t>(</w:t>
      </w:r>
      <w:r>
        <w:rPr>
          <w:rtl w:val="true"/>
        </w:rPr>
        <w:t>الَّذِينَ آمَنُوا</w:t>
      </w:r>
      <w:r>
        <w:rPr>
          <w:rtl w:val="true"/>
        </w:rPr>
        <w:t xml:space="preserve">) </w:t>
      </w:r>
      <w:r>
        <w:rPr>
          <w:rtl w:val="true"/>
        </w:rPr>
        <w:t>دون غيره</w:t>
      </w:r>
      <w:bookmarkEnd w:id="136"/>
    </w:p>
    <w:p>
      <w:pPr>
        <w:pStyle w:val="BookText"/>
        <w:rPr/>
      </w:pPr>
      <w:r>
        <w:rPr>
          <w:rFonts w:ascii="Amiri" w:hAnsi="Amiri" w:eastAsia="Amiri" w:cs="Amiri"/>
          <w:color w:val="111111"/>
          <w:sz w:val="28"/>
          <w:sz w:val="28"/>
          <w:szCs w:val="28"/>
          <w:rtl w:val="true"/>
          <w:lang w:bidi="ar-SA"/>
        </w:rPr>
        <w:t xml:space="preserve">و الذي يَدُلُّ علىٰ أنّه عليه السلامُ المُخَتصُّ باللفظةِ </w:t>
      </w:r>
      <w:r>
        <w:rPr>
          <w:rStyle w:val="FootnoteAnchor"/>
          <w:rtl w:val="true"/>
        </w:rPr>
        <w:footnoteReference w:id="501"/>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ثَبَتَ اقتضاءُ اللفظةِ </w:t>
      </w:r>
      <w:r>
        <w:rPr>
          <w:rStyle w:val="FootnoteAnchor"/>
          <w:rtl w:val="true"/>
        </w:rPr>
        <w:footnoteReference w:id="502"/>
      </w:r>
      <w:r>
        <w:rPr>
          <w:rFonts w:ascii="Amiri" w:hAnsi="Amiri" w:eastAsia="Amiri" w:cs="Amiri"/>
          <w:color w:val="111111"/>
          <w:sz w:val="28"/>
          <w:sz w:val="28"/>
          <w:szCs w:val="28"/>
          <w:rtl w:val="true"/>
          <w:lang w:bidi="ar-SA"/>
        </w:rPr>
        <w:t>للإمامةِ و تَوجُّهُها إليه عليه السلامُ بما بيّنّاه، و بَطَلَ ثُبوتُ الإمامةِ لأكثَرَ مِن واحدٍ في الزمانِ ، ثَبَتَ أنّه عليه السلامُ المُتفرِّدُ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503"/>
      </w:r>
      <w:r>
        <w:rPr>
          <w:rFonts w:ascii="Amiri" w:hAnsi="Amiri" w:eastAsia="Amiri" w:cs="Amiri"/>
          <w:color w:val="111111"/>
          <w:sz w:val="28"/>
          <w:sz w:val="28"/>
          <w:szCs w:val="28"/>
          <w:rtl w:val="true"/>
          <w:lang w:bidi="ar-SA"/>
        </w:rPr>
        <w:t>لأنّ كُلَّ مَن ذَهَبَ إلىٰ أنّ اللفظةَ تَقتَضي الإمامةَ أفرَدَه عليه السلامُ بموجَبِها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المُتَعَلِّقَ بذلكَ لا يَخلو</w:t>
      </w:r>
      <w:r>
        <w:rPr>
          <w:rStyle w:val="FootnoteAnchor"/>
          <w:rtl w:val="true"/>
        </w:rPr>
        <w:footnoteReference w:id="504"/>
      </w:r>
      <w:r>
        <w:rPr>
          <w:rFonts w:ascii="Amiri" w:hAnsi="Amiri" w:eastAsia="Amiri" w:cs="Amiri"/>
          <w:color w:val="111111"/>
          <w:sz w:val="28"/>
          <w:sz w:val="28"/>
          <w:szCs w:val="28"/>
          <w:rtl w:val="true"/>
          <w:lang w:bidi="ar-SA"/>
        </w:rPr>
        <w:t>مِن أن يَتَعَلَّقَ بظاهرِه، أو بأُمورٍ تُقارِنُه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فتح القدير للشوكاني،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البحر المحيط،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تفسير ابن كثير،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أسباب النزول للواحدي،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التذكرة لسبط ابن الجوزي،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نور الأبصار للشبلنجي،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أنوار التنزيل،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تفسير الطبري،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الرياض النضرة،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العمدة لابن البطريق،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الجامع لأحكام القرآن للقرطبي،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الدرّ المنثور،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الفصول المهمّة لابن الصبّاغ المالكي،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المواقف للإيجي،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البداية و النهاية لابن كثير،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مطالب السؤول لابن طلحة الشافعي،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تَعلَّقَ بظاهرِه فهو غيرُ دالٍّ علىٰ ما ذَكَرَه</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xml:space="preserve">و إن تَعلَّقَ بقَرينةٍ فيَجِبُ أن يُبَيِّنَها، و لا قَرينةَ في ذلكَ </w:t>
      </w:r>
      <w:r>
        <w:rPr>
          <w:rStyle w:val="FootnoteAnchor"/>
          <w:rtl w:val="true"/>
        </w:rPr>
        <w:footnoteReference w:id="507"/>
      </w:r>
      <w:r>
        <w:rPr>
          <w:rFonts w:ascii="Amiri" w:hAnsi="Amiri" w:eastAsia="Amiri" w:cs="Amiri"/>
          <w:color w:val="111111"/>
          <w:sz w:val="28"/>
          <w:sz w:val="28"/>
          <w:szCs w:val="28"/>
          <w:rtl w:val="true"/>
          <w:lang w:bidi="ar-SA"/>
        </w:rPr>
        <w:t>، مِن إجماعٍ أو خبرٍ 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508"/>
      </w:r>
      <w:r>
        <w:rPr>
          <w:rFonts w:ascii="Amiri" w:hAnsi="Amiri" w:eastAsia="Amiri" w:cs="Amiri"/>
          <w:color w:val="111111"/>
          <w:sz w:val="28"/>
          <w:sz w:val="28"/>
          <w:szCs w:val="28"/>
          <w:rtl w:val="true"/>
          <w:lang w:bidi="ar-SA"/>
        </w:rPr>
        <w:t>أينَ أنّ ظاهرَه لا يَدُلُّ علىٰ ما ذَكرناه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تخصيصٍ بمُعيَّنٍ‌</w:t>
      </w:r>
      <w:r>
        <w:rPr>
          <w:rStyle w:val="FootnoteAnchor"/>
          <w:rtl w:val="true"/>
        </w:rPr>
        <w:footnoteReference w:id="509"/>
      </w:r>
      <w:r>
        <w:rPr>
          <w:rFonts w:ascii="Amiri" w:hAnsi="Amiri" w:eastAsia="Amiri" w:cs="Amiri"/>
          <w:color w:val="111111"/>
          <w:sz w:val="28"/>
          <w:sz w:val="28"/>
          <w:szCs w:val="28"/>
          <w:rtl w:val="true"/>
          <w:lang w:bidi="ar-SA"/>
        </w:rPr>
        <w:t>أو نصٍّ عليه، و الكلامُ بَينَنا و بَينَهم في واحدٍ مُعيَّنٍ‌؛ فلا فَرقَ بَينَ مَن تَعَلَّقَ بذلكَ في أنّه الإمامُ‌، و بَينَ مَن تَعَلَّقَ به</w:t>
      </w:r>
      <w:r>
        <w:rPr>
          <w:rStyle w:val="FootnoteAnchor"/>
          <w:rtl w:val="true"/>
        </w:rPr>
        <w:footnoteReference w:id="510"/>
      </w:r>
      <w:r>
        <w:rPr>
          <w:rFonts w:ascii="Amiri" w:hAnsi="Amiri" w:eastAsia="Amiri" w:cs="Amiri"/>
          <w:color w:val="111111"/>
          <w:sz w:val="28"/>
          <w:sz w:val="28"/>
          <w:szCs w:val="28"/>
          <w:rtl w:val="true"/>
          <w:lang w:bidi="ar-SA"/>
        </w:rPr>
        <w:t>في أنّ الإمامَ غيرُه و جَعَلَه نصّاً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تَعالىٰ ذَكَرَ الجَميعَ‌</w:t>
      </w:r>
      <w:r>
        <w:rPr>
          <w:rStyle w:val="FootnoteAnchor"/>
          <w:rtl w:val="true"/>
        </w:rPr>
        <w:footnoteReference w:id="511"/>
      </w:r>
      <w:r>
        <w:rPr>
          <w:rFonts w:ascii="Amiri" w:hAnsi="Amiri" w:eastAsia="Amiri" w:cs="Amiri"/>
          <w:color w:val="111111"/>
          <w:sz w:val="28"/>
          <w:sz w:val="28"/>
          <w:szCs w:val="28"/>
          <w:rtl w:val="true"/>
          <w:lang w:bidi="ar-SA"/>
        </w:rPr>
        <w:t>، فكَيفَ يُحمَلُ الكلامُ علىٰ واحدٍ مُعيَّنٍ؟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أنّه لَم يَحصُلْ إلّالأميرِ المؤمنينَ عليه السلامُ لَم يوجِبْ ذلكَ أنّه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صَدرَ الكلامِ إذا كانَ عامّاً لَم يَجِبْ تخصيصُه لأجلِ تخصيصِ الصفةِ ، كما ذَكَرناه</w:t>
      </w:r>
      <w:r>
        <w:rPr>
          <w:rStyle w:val="FootnoteAnchor"/>
          <w:rtl w:val="true"/>
        </w:rPr>
        <w:footnoteReference w:id="512"/>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إلىٰ ما شاكَلَه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يَجِبُ إذا ما</w:t>
      </w:r>
      <w:r>
        <w:rPr>
          <w:rStyle w:val="FootnoteAnchor"/>
          <w:rtl w:val="true"/>
        </w:rPr>
        <w:footnoteReference w:id="514"/>
      </w:r>
      <w:r>
        <w:rPr>
          <w:rFonts w:ascii="Amiri" w:hAnsi="Amiri" w:eastAsia="Amiri" w:cs="Amiri"/>
          <w:color w:val="111111"/>
          <w:sz w:val="28"/>
          <w:sz w:val="28"/>
          <w:szCs w:val="28"/>
          <w:rtl w:val="true"/>
          <w:lang w:bidi="ar-SA"/>
        </w:rPr>
        <w:t xml:space="preserve">خَصَصنا الذي ذَكَرَه ثانياً لدليلٍ أن </w:t>
      </w:r>
      <w:bookmarkStart w:id="137" w:name="pg20017_202411"/>
    </w:p>
    <w:p>
      <w:pPr>
        <w:pStyle w:val="BookText"/>
        <w:rPr/>
      </w:pPr>
      <w:bookmarkEnd w:id="137"/>
      <w:r>
        <w:rPr>
          <w:rFonts w:ascii="Amiri" w:hAnsi="Amiri" w:eastAsia="Amiri" w:cs="Amiri"/>
          <w:color w:val="111111"/>
          <w:sz w:val="28"/>
          <w:sz w:val="28"/>
          <w:szCs w:val="28"/>
          <w:rtl w:val="true"/>
          <w:lang w:bidi="ar-SA"/>
        </w:rPr>
        <w:t xml:space="preserve">نَخُصَّ </w:t>
      </w:r>
      <w:r>
        <w:rPr>
          <w:rStyle w:val="FootnoteAnchor"/>
          <w:rtl w:val="true"/>
        </w:rPr>
        <w:footnoteReference w:id="515"/>
      </w:r>
      <w:r>
        <w:rPr>
          <w:rFonts w:ascii="Amiri" w:hAnsi="Amiri" w:eastAsia="Amiri" w:cs="Amiri"/>
          <w:color w:val="111111"/>
          <w:sz w:val="28"/>
          <w:sz w:val="28"/>
          <w:szCs w:val="28"/>
          <w:rtl w:val="true"/>
          <w:lang w:bidi="ar-SA"/>
        </w:rPr>
        <w:t>الذي ذَكَرَه أوّلاً مِن غيرِ</w:t>
      </w:r>
      <w:r>
        <w:rPr>
          <w:rStyle w:val="FootnoteAnchor"/>
          <w:rtl w:val="true"/>
        </w:rPr>
        <w:footnoteReference w:id="516"/>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كيفيّةَ الاستدلالِ بالآيةِ علَى النصِّ ، و دَلَّلنا علىٰ أنّها مُتَناوِلةٌ لأميرِ المؤمنينَ عليه السلامُ دونَ غيرِه</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و في ذلكَ إبطالٌ لِما تَضَمَّنَه صَدرُ هذا الفَصلِ و جوابٌ عنه</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964089_2320776876"/>
      <w:bookmarkStart w:id="139" w:name="_Toc48"/>
      <w:bookmarkEnd w:id="138"/>
      <w:r>
        <w:rPr>
          <w:rtl w:val="true"/>
        </w:rPr>
        <w:t>جواز حمل لفظ الجمع على الواحد</w:t>
      </w:r>
      <w:bookmarkEnd w:id="139"/>
    </w:p>
    <w:p>
      <w:pPr>
        <w:pStyle w:val="BookText"/>
        <w:rPr/>
      </w:pPr>
      <w:r>
        <w:rPr>
          <w:rFonts w:ascii="Amiri" w:hAnsi="Amiri" w:eastAsia="Amiri" w:cs="Amiri"/>
          <w:color w:val="111111"/>
          <w:sz w:val="28"/>
          <w:sz w:val="28"/>
          <w:szCs w:val="28"/>
          <w:rtl w:val="true"/>
          <w:lang w:bidi="ar-SA"/>
        </w:rPr>
        <w:t>فأمّا حَملُ لفظِ الجَمعِ علَى الواحدِ فجائزٌ معهودٌ استعمالُه في اللُّغةِ و الشريعةِ‌؛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بَنَيْنٰاهٰا بِأَيْدٍ</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نُوحاً</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و إنّما المُرادُ</w:t>
      </w:r>
      <w:r>
        <w:rPr>
          <w:rStyle w:val="FootnoteAnchor"/>
          <w:rtl w:val="true"/>
        </w:rPr>
        <w:footnoteReference w:id="522"/>
      </w:r>
      <w:r>
        <w:rPr>
          <w:rFonts w:ascii="Amiri" w:hAnsi="Amiri" w:eastAsia="Amiri" w:cs="Amiri"/>
          <w:color w:val="111111"/>
          <w:sz w:val="28"/>
          <w:sz w:val="28"/>
          <w:szCs w:val="28"/>
          <w:rtl w:val="true"/>
          <w:lang w:bidi="ar-SA"/>
        </w:rPr>
        <w:t>العبارةُ عنه تَعالىٰ دونَ غيرِه، و هو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خِطابِ المُلوكِ و الرؤساءِ‌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فَعَلْنا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مُرادُهم الوَحدةُ‌، دونَ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الأمرُ في استعمالِ هذه الألفاظِ علَى التعظيمِ </w:t>
      </w:r>
      <w:r>
        <w:rPr>
          <w:rStyle w:val="FootnoteAnchor"/>
          <w:rtl w:val="true"/>
        </w:rPr>
        <w:footnoteReference w:id="523"/>
      </w:r>
      <w:r>
        <w:rPr>
          <w:rFonts w:ascii="Amiri" w:hAnsi="Amiri" w:eastAsia="Amiri" w:cs="Amiri"/>
          <w:color w:val="111111"/>
          <w:sz w:val="28"/>
          <w:sz w:val="28"/>
          <w:szCs w:val="28"/>
          <w:rtl w:val="true"/>
          <w:lang w:bidi="ar-SA"/>
        </w:rPr>
        <w:t>في العبارةِ عن الواحدِ ظاهرٌ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أرادَ صاحبُ الكتابِ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تَعالىٰ ذَكَرَ الجَميعَ </w:t>
      </w:r>
      <w:r>
        <w:rPr>
          <w:rStyle w:val="FootnoteAnchor"/>
          <w:rtl w:val="true"/>
        </w:rPr>
        <w:footnoteReference w:id="524"/>
      </w:r>
      <w:r>
        <w:rPr>
          <w:rFonts w:ascii="Amiri" w:hAnsi="Amiri" w:eastAsia="Amiri" w:cs="Amiri"/>
          <w:color w:val="111111"/>
          <w:sz w:val="28"/>
          <w:sz w:val="28"/>
          <w:szCs w:val="28"/>
          <w:rtl w:val="true"/>
          <w:lang w:bidi="ar-SA"/>
        </w:rPr>
        <w:t>، فكَيفَ يُحمَلُ الكلامُ علىٰ واحدٍ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جوازِ ذلكَ في اللُّغةِ و صحّةِ استعمالِه، فقَد دَلَّلنا عليه</w:t>
      </w:r>
      <w:r>
        <w:rPr>
          <w:rStyle w:val="FootnoteAnchor"/>
          <w:rtl w:val="true"/>
        </w:rPr>
        <w:footnoteReference w:id="525"/>
      </w:r>
      <w:r>
        <w:rPr>
          <w:rFonts w:ascii="Amiri" w:hAnsi="Amiri" w:eastAsia="Amiri" w:cs="Amiri"/>
          <w:color w:val="111111"/>
          <w:sz w:val="28"/>
          <w:sz w:val="28"/>
          <w:szCs w:val="28"/>
          <w:rtl w:val="true"/>
          <w:lang w:bidi="ar-SA"/>
        </w:rPr>
        <w:t xml:space="preserve">و ضَرَبنا له الأمثلةَ </w:t>
      </w:r>
      <w:r>
        <w:rPr>
          <w:rFonts w:eastAsia="Amiri" w:cs="Amiri" w:ascii="Amiri" w:hAnsi="Amiri"/>
          <w:color w:val="111111"/>
          <w:sz w:val="28"/>
          <w:szCs w:val="28"/>
          <w:rtl w:val="true"/>
          <w:lang w:bidi="ar-SA"/>
        </w:rPr>
        <w:t xml:space="preserve">. </w:t>
      </w:r>
      <w:bookmarkStart w:id="140" w:name="pg20017_202412"/>
    </w:p>
    <w:p>
      <w:pPr>
        <w:pStyle w:val="BookText"/>
        <w:rPr/>
      </w:pPr>
      <w:bookmarkEnd w:id="140"/>
      <w:r>
        <w:rPr>
          <w:rFonts w:ascii="Amiri" w:hAnsi="Amiri" w:eastAsia="Amiri" w:cs="Amiri"/>
          <w:color w:val="111111"/>
          <w:sz w:val="28"/>
          <w:sz w:val="28"/>
          <w:szCs w:val="28"/>
          <w:rtl w:val="true"/>
          <w:lang w:bidi="ar-SA"/>
        </w:rPr>
        <w:t xml:space="preserve">و إن سَألَ عن وجوبِ حَملِ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ظاهرَه للجمعِ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يوجِبُه هو</w:t>
      </w:r>
      <w:r>
        <w:rPr>
          <w:rStyle w:val="FootnoteAnchor"/>
          <w:rtl w:val="true"/>
        </w:rPr>
        <w:footnoteReference w:id="526"/>
      </w:r>
      <w:r>
        <w:rPr>
          <w:rFonts w:ascii="Amiri" w:hAnsi="Amiri" w:eastAsia="Amiri" w:cs="Amiri"/>
          <w:color w:val="111111"/>
          <w:sz w:val="28"/>
          <w:sz w:val="28"/>
          <w:szCs w:val="28"/>
          <w:rtl w:val="true"/>
          <w:lang w:bidi="ar-SA"/>
        </w:rPr>
        <w:t xml:space="preserve">ما ذَكرناه فيما تَقدَّمَ </w:t>
      </w:r>
      <w:r>
        <w:rPr>
          <w:rFonts w:eastAsia="Amiri" w:cs="Amiri" w:ascii="Amiri" w:hAnsi="Amiri"/>
          <w:color w:val="111111"/>
          <w:sz w:val="28"/>
          <w:szCs w:val="28"/>
          <w:rtl w:val="true"/>
          <w:lang w:bidi="ar-SA"/>
        </w:rPr>
        <w:t>.</w:t>
      </w:r>
      <w:r>
        <w:rPr>
          <w:rStyle w:val="FootnoteAnchor"/>
          <w:rtl w:val="true"/>
        </w:rPr>
        <w:footnoteReference w:id="527"/>
      </w:r>
    </w:p>
    <w:p>
      <w:pPr>
        <w:pStyle w:val="Heading5"/>
        <w:numPr>
          <w:ilvl w:val="4"/>
          <w:numId w:val="1"/>
        </w:numPr>
        <w:rPr/>
      </w:pPr>
      <w:bookmarkStart w:id="141" w:name="__RefHeading___Toc964091_2320776876"/>
      <w:bookmarkStart w:id="142" w:name="_Toc49"/>
      <w:bookmarkEnd w:id="141"/>
      <w:r>
        <w:rPr>
          <w:rtl w:val="true"/>
        </w:rPr>
        <w:t xml:space="preserve">وجوب تخصيص لفظة </w:t>
      </w:r>
      <w:r>
        <w:rPr>
          <w:rtl w:val="true"/>
        </w:rPr>
        <w:t>«</w:t>
      </w:r>
      <w:r>
        <w:rPr>
          <w:rtl w:val="true"/>
        </w:rPr>
        <w:t>الذين آمنوا</w:t>
      </w:r>
      <w:r>
        <w:rPr>
          <w:rtl w:val="true"/>
        </w:rPr>
        <w:t>»</w:t>
      </w:r>
      <w:r>
        <w:rPr>
          <w:rtl w:val="true"/>
        </w:rPr>
        <w:t>، و نفي عمومها</w:t>
      </w:r>
      <w:bookmarkEnd w:id="142"/>
    </w:p>
    <w:p>
      <w:pPr>
        <w:pStyle w:val="BookText"/>
        <w:rPr/>
      </w:pPr>
      <w:r>
        <w:rPr>
          <w:rFonts w:ascii="Amiri" w:hAnsi="Amiri" w:eastAsia="Amiri" w:cs="Amiri"/>
          <w:color w:val="111111"/>
          <w:sz w:val="28"/>
          <w:sz w:val="28"/>
          <w:szCs w:val="28"/>
          <w:rtl w:val="true"/>
          <w:lang w:bidi="ar-SA"/>
        </w:rPr>
        <w:t xml:space="preserve">فأمّا إلزامُه 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عمومِه و إن دَخَلَ التخصيصُ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صحيحٍ‌؛ لأنّ اختصاصَ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إيتاءُ الزكاةِ في حالِ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اختصاصِ صَدرِ الكلامِ‌؛ لأنّ الكُلَّ صفاتُ موصوفٍ واحدٍ</w:t>
      </w:r>
      <w:r>
        <w:rPr>
          <w:rStyle w:val="FootnoteAnchor"/>
          <w:rtl w:val="true"/>
        </w:rPr>
        <w:footnoteReference w:id="528"/>
      </w:r>
      <w:r>
        <w:rPr>
          <w:rFonts w:ascii="Amiri" w:hAnsi="Amiri" w:eastAsia="Amiri" w:cs="Amiri"/>
          <w:color w:val="111111"/>
          <w:sz w:val="28"/>
          <w:sz w:val="28"/>
          <w:szCs w:val="28"/>
          <w:rtl w:val="true"/>
          <w:lang w:bidi="ar-SA"/>
        </w:rPr>
        <w:t>ألا تَرىٰ أنّ قائلاً لَو قالَ في وصيّتِه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w:t>
      </w:r>
      <w:r>
        <w:rPr>
          <w:rStyle w:val="FootnoteAnchor"/>
          <w:rtl w:val="true"/>
        </w:rPr>
        <w:footnoteReference w:id="529"/>
      </w:r>
      <w:r>
        <w:rPr>
          <w:rFonts w:ascii="Amiri" w:hAnsi="Amiri" w:eastAsia="Amiri" w:cs="Amiri"/>
          <w:color w:val="111111"/>
          <w:sz w:val="28"/>
          <w:sz w:val="28"/>
          <w:szCs w:val="28"/>
          <w:rtl w:val="true"/>
          <w:lang w:bidi="ar-SA"/>
        </w:rPr>
        <w:t>مِن مالي كَذا للعَرَبِ الذين لهم نَسَبٌ في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الأشرافَ النازلينَ في مَحلّةِ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يوجِبْ كلامُه و لَم يُفْهَمْ منه إلّاتفريقُ مالِه علىٰ مَن اختَصَّ مِن العَرَبِ بكَونِه مِن بَني هاشمٍ‌، و أنّه لَقِيَ مِن الأشرافِ مَن كانَ نازلاً في المَحلّةِ المخصوصةِ التي عَيَّنَها، و أنّ أحَداً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كلامِه يَقتَضي إعطاءَ المالِ لكُلِّ العَرَبِ‌، و أنّه لَقِيَ أشرافَ بَلَدِه كُلَّهم، أو أشرافَ جميعِ الأرضِ‌، و يَدَّعي أنّ القولَ المُتقدِّمَ لا يَختَصُّ بتخصيصِ الصفةِ الواردةِ عَقيبَه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وَجَبَ بما ذَكرناه أن يَختَصَّ لفظةُ </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آتَى الزكاةَ في حالِ الركوعِ ، كما وَجَبَ </w:t>
      </w:r>
      <w:r>
        <w:rPr>
          <w:rStyle w:val="FootnoteAnchor"/>
          <w:rtl w:val="true"/>
        </w:rPr>
        <w:footnoteReference w:id="531"/>
      </w:r>
      <w:r>
        <w:rPr>
          <w:rFonts w:ascii="Amiri" w:hAnsi="Amiri" w:eastAsia="Amiri" w:cs="Amiri"/>
          <w:color w:val="111111"/>
          <w:sz w:val="28"/>
          <w:sz w:val="28"/>
          <w:szCs w:val="28"/>
          <w:rtl w:val="true"/>
          <w:lang w:bidi="ar-SA"/>
        </w:rPr>
        <w:t>اختصاصُ ما استُشهِدَ</w:t>
      </w:r>
      <w:r>
        <w:rPr>
          <w:rStyle w:val="FootnoteAnchor"/>
          <w:rtl w:val="true"/>
        </w:rPr>
        <w:footnoteReference w:id="532"/>
      </w:r>
      <w:r>
        <w:rPr>
          <w:rFonts w:ascii="Amiri" w:hAnsi="Amiri" w:eastAsia="Amiri" w:cs="Amiri"/>
          <w:color w:val="111111"/>
          <w:sz w:val="28"/>
          <w:sz w:val="28"/>
          <w:szCs w:val="28"/>
          <w:rtl w:val="true"/>
          <w:lang w:bidi="ar-SA"/>
        </w:rPr>
        <w:t xml:space="preserve">به مِن المِثالَينِ </w:t>
      </w:r>
      <w:r>
        <w:rPr>
          <w:rFonts w:eastAsia="Amiri" w:cs="Amiri" w:ascii="Amiri" w:hAnsi="Amiri"/>
          <w:color w:val="111111"/>
          <w:sz w:val="28"/>
          <w:szCs w:val="28"/>
          <w:rtl w:val="true"/>
          <w:lang w:bidi="ar-SA"/>
        </w:rPr>
        <w:t xml:space="preserve">. </w:t>
      </w:r>
      <w:bookmarkStart w:id="143" w:name="pg20017_202413"/>
    </w:p>
    <w:p>
      <w:pPr>
        <w:pStyle w:val="Heading5"/>
        <w:numPr>
          <w:ilvl w:val="4"/>
          <w:numId w:val="1"/>
        </w:numPr>
        <w:rPr/>
      </w:pPr>
      <w:bookmarkStart w:id="144" w:name="__RefHeading___Toc964093_2320776876"/>
      <w:bookmarkStart w:id="145" w:name="_Toc50"/>
      <w:bookmarkEnd w:id="143"/>
      <w:bookmarkEnd w:id="144"/>
      <w:r>
        <w:rPr>
          <w:rtl w:val="true"/>
        </w:rPr>
        <w:t>نفي أن يكون حمل الآية علىٰ إمامة أمير المؤمنين عليه السلام مستلزماً لوجود مجازَين فيها</w:t>
      </w:r>
      <w:bookmarkEnd w:id="145"/>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أراكم</w:t>
      </w:r>
      <w:r>
        <w:rPr>
          <w:rStyle w:val="FootnoteAnchor"/>
          <w:rtl w:val="true"/>
        </w:rPr>
        <w:footnoteReference w:id="533"/>
      </w:r>
      <w:r>
        <w:rPr>
          <w:rFonts w:ascii="Amiri" w:hAnsi="Amiri" w:eastAsia="Amiri" w:cs="Amiri"/>
          <w:color w:val="111111"/>
          <w:sz w:val="28"/>
          <w:sz w:val="28"/>
          <w:szCs w:val="28"/>
          <w:rtl w:val="true"/>
          <w:lang w:bidi="ar-SA"/>
        </w:rPr>
        <w:t>قد حَمَلتم الآيةَ علىٰ مَجازَينِ‌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أنّكم جَعَلتم</w:t>
      </w:r>
      <w:r>
        <w:rPr>
          <w:rStyle w:val="FootnoteAnchor"/>
          <w:rtl w:val="true"/>
        </w:rPr>
        <w:footnoteReference w:id="534"/>
      </w:r>
      <w:r>
        <w:rPr>
          <w:rFonts w:ascii="Amiri" w:hAnsi="Amiri" w:eastAsia="Amiri" w:cs="Amiri"/>
          <w:color w:val="111111"/>
          <w:sz w:val="28"/>
          <w:sz w:val="28"/>
          <w:szCs w:val="28"/>
          <w:rtl w:val="true"/>
          <w:lang w:bidi="ar-SA"/>
        </w:rPr>
        <w:t>لفظَ</w:t>
      </w:r>
      <w:r>
        <w:rPr>
          <w:rStyle w:val="FootnoteAnchor"/>
          <w:rtl w:val="true"/>
        </w:rPr>
        <w:footnoteReference w:id="535"/>
      </w:r>
      <w:r>
        <w:rPr>
          <w:rFonts w:ascii="Amiri" w:hAnsi="Amiri" w:eastAsia="Amiri" w:cs="Amiri"/>
          <w:color w:val="111111"/>
          <w:sz w:val="28"/>
          <w:sz w:val="28"/>
          <w:szCs w:val="28"/>
          <w:rtl w:val="true"/>
          <w:lang w:bidi="ar-SA"/>
        </w:rPr>
        <w:t>الجمعِ للواحدِ، و المَجازُ الآخَرُ حَملُكم لفظَ الاستقبالِ علَى الماضي؛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يُقِيمُونَ الصَّلاٰةَ وَ 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 لفظُ استقبالٍ‌</w:t>
      </w:r>
      <w:r>
        <w:rPr>
          <w:rStyle w:val="FootnoteAnchor"/>
          <w:rtl w:val="true"/>
        </w:rPr>
        <w:footnoteReference w:id="536"/>
      </w:r>
      <w:r>
        <w:rPr>
          <w:rFonts w:ascii="Amiri" w:hAnsi="Amiri" w:eastAsia="Amiri" w:cs="Amiri"/>
          <w:color w:val="111111"/>
          <w:sz w:val="28"/>
          <w:sz w:val="28"/>
          <w:szCs w:val="28"/>
          <w:rtl w:val="true"/>
          <w:lang w:bidi="ar-SA"/>
        </w:rPr>
        <w:t>، و أنتم تَجعَلونَه عبارةً عن فِعلٍ واقعٍ‌، فَلِمَ صِرتم بذلكَ أَولىٰ منّا إذا حَمَلنا الآيةَ علىٰ مَجازٍ واحدٍ؟</w:t>
      </w:r>
    </w:p>
    <w:p>
      <w:pPr>
        <w:pStyle w:val="BookText"/>
        <w:rPr/>
      </w:pPr>
      <w:r>
        <w:rPr>
          <w:rFonts w:ascii="Amiri" w:hAnsi="Amiri" w:eastAsia="Amiri" w:cs="Amiri"/>
          <w:color w:val="111111"/>
          <w:sz w:val="28"/>
          <w:sz w:val="28"/>
          <w:szCs w:val="28"/>
          <w:rtl w:val="true"/>
          <w:lang w:bidi="ar-SA"/>
        </w:rPr>
        <w:t>و هو أن يُحمَلَ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أرادَ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صفتِهم إيتاءَ الزكاةِ‌، و مِن صفتِهم أنّهم راكعونَ‌، مِن غيرِ أن تَكونَ‌</w:t>
      </w:r>
      <w:r>
        <w:rPr>
          <w:rStyle w:val="FootnoteAnchor"/>
          <w:rtl w:val="true"/>
        </w:rPr>
        <w:footnoteReference w:id="537"/>
      </w:r>
      <w:r>
        <w:rPr>
          <w:rFonts w:ascii="Amiri" w:hAnsi="Amiri" w:eastAsia="Amiri" w:cs="Amiri"/>
          <w:color w:val="111111"/>
          <w:sz w:val="28"/>
          <w:sz w:val="28"/>
          <w:szCs w:val="28"/>
          <w:rtl w:val="true"/>
          <w:lang w:bidi="ar-SA"/>
        </w:rPr>
        <w:t xml:space="preserve">إحدَى الصفتَينِ حالاً للأُخرىٰ </w:t>
      </w:r>
      <w:r>
        <w:rPr>
          <w:rStyle w:val="FootnoteAnchor"/>
          <w:rtl w:val="true"/>
        </w:rPr>
        <w:footnoteReference w:id="538"/>
      </w:r>
      <w:r>
        <w:rPr>
          <w:rFonts w:ascii="Amiri" w:hAnsi="Amiri" w:eastAsia="Amiri" w:cs="Amiri"/>
          <w:color w:val="111111"/>
          <w:sz w:val="28"/>
          <w:sz w:val="28"/>
          <w:szCs w:val="28"/>
          <w:rtl w:val="true"/>
          <w:lang w:bidi="ar-SA"/>
        </w:rPr>
        <w:t>هذا إذا ثَبَتَ أنّه إذا حُمِلَ علىٰ ذلكَ كانَ مَجازاً علىٰ نِهايةِ اقتراحِكم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تُحمَلَ </w:t>
      </w:r>
      <w:r>
        <w:rPr>
          <w:rStyle w:val="FootnoteAnchor"/>
          <w:rtl w:val="true"/>
        </w:rPr>
        <w:footnoteReference w:id="539"/>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عَدَلنا عن تأويلِ الركوعِ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 لا علىٰ تخصيصِ الصفةِ بالمذكورِ و نفيِها عمّن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فنَكونَ أولىٰ منكم؛ لأنّ معكم في الآيةِ علىٰ تأويلِكم مَجازَينِ ، و معنا مَجازٌ واحدٌ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ظَنُّكَ </w:t>
      </w:r>
      <w:r>
        <w:rPr>
          <w:rStyle w:val="FootnoteAnchor"/>
          <w:rtl w:val="true"/>
        </w:rPr>
        <w:footnoteReference w:id="540"/>
      </w:r>
      <w:r>
        <w:rPr>
          <w:rFonts w:ascii="Amiri" w:hAnsi="Amiri" w:eastAsia="Amiri" w:cs="Amiri"/>
          <w:color w:val="111111"/>
          <w:sz w:val="28"/>
          <w:sz w:val="28"/>
          <w:szCs w:val="28"/>
          <w:rtl w:val="true"/>
          <w:lang w:bidi="ar-SA"/>
        </w:rPr>
        <w:t>أنّ لفظَ</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للاستقبالِ و حَمْلَه علىٰ غيرِه </w:t>
      </w:r>
    </w:p>
    <w:p>
      <w:pPr>
        <w:pStyle w:val="BookText"/>
        <w:rPr/>
      </w:pPr>
      <w:r>
        <w:rPr>
          <w:rFonts w:ascii="Amiri" w:hAnsi="Amiri" w:eastAsia="Amiri" w:cs="Amiri"/>
          <w:color w:val="111111"/>
          <w:sz w:val="28"/>
          <w:sz w:val="28"/>
          <w:szCs w:val="28"/>
          <w:rtl w:val="true"/>
          <w:lang w:bidi="ar-SA"/>
        </w:rPr>
        <w:t xml:space="preserve">يَقتَضي المَجازَ، فغَلَطٌ؛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أشبَهَها مِن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تَدخُلُ عليها الزوائدُ الأربَعُ الموجِبةُ للمُضارَعةِ‌؛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و التاءُ‌، و النونُ‌، و الياءُ‌</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مُجرَّدةً للاستقبالِ‌، بَل هي مُشتَرَكةٌ بَينَ الحالِ و الاستقبالِ‌، و إنّما تَخلُصُ‌</w:t>
      </w:r>
      <w:r>
        <w:rPr>
          <w:rStyle w:val="FootnoteAnchor"/>
          <w:rtl w:val="true"/>
        </w:rPr>
        <w:footnoteReference w:id="543"/>
      </w:r>
      <w:r>
        <w:rPr>
          <w:rFonts w:ascii="Amiri" w:hAnsi="Amiri" w:eastAsia="Amiri" w:cs="Amiri"/>
          <w:color w:val="111111"/>
          <w:sz w:val="28"/>
          <w:sz w:val="28"/>
          <w:szCs w:val="28"/>
          <w:rtl w:val="true"/>
          <w:lang w:bidi="ar-SA"/>
        </w:rPr>
        <w:t xml:space="preserve">للاستقبالِ بدُخولِ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نَصَّ علىٰ ما ذَكرناه النحويّونَ في كُتُبِهم، فمَن حَمَلَها علَى الحالِ دونَ الاستقبالِ لَم يَتَعَدَّ الحقيقةَ‌، و لا تَجاوَزَ باللفظةِ ما وُضِعَت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المعنىٰ‌</w:t>
      </w:r>
      <w:r>
        <w:rPr>
          <w:rStyle w:val="FootnoteAnchor"/>
          <w:rtl w:val="true"/>
        </w:rPr>
        <w:footnoteReference w:id="544"/>
      </w:r>
      <w:r>
        <w:rPr>
          <w:rFonts w:ascii="Amiri" w:hAnsi="Amiri" w:eastAsia="Amiri" w:cs="Amiri"/>
          <w:color w:val="111111"/>
          <w:sz w:val="28"/>
          <w:sz w:val="28"/>
          <w:szCs w:val="28"/>
          <w:rtl w:val="true"/>
          <w:lang w:bidi="ar-SA"/>
        </w:rPr>
        <w:t xml:space="preserve">تَأوَّلنا الآيةَ‌؛ لأنّا جَعَلنا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وَقَعَ في الحالِ مِن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يَمتَنِعُ أن نَذكُرَ</w:t>
      </w:r>
      <w:r>
        <w:rPr>
          <w:rStyle w:val="FootnoteAnchor"/>
          <w:rtl w:val="true"/>
        </w:rPr>
        <w:footnoteReference w:id="545"/>
      </w:r>
      <w:r>
        <w:rPr>
          <w:rFonts w:ascii="Amiri" w:hAnsi="Amiri" w:eastAsia="Amiri" w:cs="Amiri"/>
          <w:color w:val="111111"/>
          <w:sz w:val="28"/>
          <w:sz w:val="28"/>
          <w:szCs w:val="28"/>
          <w:rtl w:val="true"/>
          <w:lang w:bidi="ar-SA"/>
        </w:rPr>
        <w:t xml:space="preserve">في الجوابِ عن السؤالِ وجهاً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لا نَحتاجُ مع ما ذَكرناه</w:t>
      </w:r>
      <w:r>
        <w:rPr>
          <w:rStyle w:val="FootnoteAnchor"/>
          <w:rtl w:val="true"/>
        </w:rPr>
        <w:footnoteReference w:id="546"/>
      </w:r>
      <w:r>
        <w:rPr>
          <w:rFonts w:ascii="Amiri" w:hAnsi="Amiri" w:eastAsia="Amiri" w:cs="Amiri"/>
          <w:color w:val="111111"/>
          <w:sz w:val="28"/>
          <w:sz w:val="28"/>
          <w:szCs w:val="28"/>
          <w:rtl w:val="true"/>
          <w:lang w:bidi="ar-SA"/>
        </w:rPr>
        <w:t xml:space="preserve">إلىٰ غيرِه؛ لأنّه الظاهرُ مِن مَذهَبِ أهلِ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نُزولَ الآيةِ و خِطابَ اللّٰهِ تَعالىٰ بها يَجوزُ أن يَكونا</w:t>
      </w:r>
      <w:r>
        <w:rPr>
          <w:rStyle w:val="FootnoteAnchor"/>
          <w:rtl w:val="true"/>
        </w:rPr>
        <w:footnoteReference w:id="547"/>
      </w:r>
      <w:r>
        <w:rPr>
          <w:rFonts w:ascii="Amiri" w:hAnsi="Amiri" w:eastAsia="Amiri" w:cs="Amiri"/>
          <w:color w:val="111111"/>
          <w:sz w:val="28"/>
          <w:sz w:val="28"/>
          <w:szCs w:val="28"/>
          <w:rtl w:val="true"/>
          <w:lang w:bidi="ar-SA"/>
        </w:rPr>
        <w:t>قَبلَ الفِعلِ الواقعِ في تلكَ الحالِ‌، فتَجري اللفظةُ علىٰ جهةِ‌</w:t>
      </w:r>
      <w:r>
        <w:rPr>
          <w:rStyle w:val="FootnoteAnchor"/>
          <w:rtl w:val="true"/>
        </w:rPr>
        <w:footnoteReference w:id="548"/>
      </w:r>
      <w:r>
        <w:rPr>
          <w:rFonts w:ascii="Amiri" w:hAnsi="Amiri" w:eastAsia="Amiri" w:cs="Amiri"/>
          <w:color w:val="111111"/>
          <w:sz w:val="28"/>
          <w:sz w:val="28"/>
          <w:szCs w:val="28"/>
          <w:rtl w:val="true"/>
          <w:lang w:bidi="ar-SA"/>
        </w:rPr>
        <w:t>الاستقبالِ‌، و هو الحقيقةُ‌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مِن مَذاهِبِ المُتكلِّمينَ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أحدَثَه في السماءِ قَبلَ نُبوّةِ النبيِّ صَلّى اللّٰهُ عليه و آلِه بمُدَدٍ 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المَذهَبِ لَم يَجرِ لفظُ الاستقبالِ في الآيةِ إلّاعلىٰ وجهِه؛ لأنّ الفعلَ المخصوصَ عند إحداثِ القُرآنِ في الابتداءِ لَم يَكُن إلّامُستَقبَلاً، و إنّما يُحتاجُ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القولُ في القُرآنِ علىٰ ما </w:t>
      </w:r>
    </w:p>
    <w:p>
      <w:pPr>
        <w:pStyle w:val="BookText"/>
        <w:rPr/>
      </w:pPr>
      <w:r>
        <w:rPr>
          <w:rFonts w:ascii="Amiri" w:hAnsi="Amiri" w:eastAsia="Amiri" w:cs="Amiri"/>
          <w:color w:val="111111"/>
          <w:sz w:val="28"/>
          <w:sz w:val="28"/>
          <w:szCs w:val="28"/>
          <w:rtl w:val="true"/>
          <w:lang w:bidi="ar-SA"/>
        </w:rPr>
        <w:t xml:space="preserve">حَكَيناه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تُتأوَّلَ‌</w:t>
      </w:r>
      <w:r>
        <w:rPr>
          <w:rStyle w:val="FootnoteAnchor"/>
          <w:rtl w:val="true"/>
        </w:rPr>
        <w:footnoteReference w:id="550"/>
      </w:r>
      <w:r>
        <w:rPr>
          <w:rFonts w:ascii="Amiri" w:hAnsi="Amiri" w:eastAsia="Amiri" w:cs="Amiri"/>
          <w:color w:val="111111"/>
          <w:sz w:val="28"/>
          <w:sz w:val="28"/>
          <w:szCs w:val="28"/>
          <w:rtl w:val="true"/>
          <w:lang w:bidi="ar-SA"/>
        </w:rPr>
        <w:t>ألفاظُه الواردةُ بلفظِ</w:t>
      </w:r>
      <w:r>
        <w:rPr>
          <w:rStyle w:val="FootnoteAnchor"/>
          <w:rtl w:val="true"/>
        </w:rPr>
        <w:footnoteReference w:id="551"/>
      </w:r>
      <w:r>
        <w:rPr>
          <w:rFonts w:ascii="Amiri" w:hAnsi="Amiri" w:eastAsia="Amiri" w:cs="Amiri"/>
          <w:color w:val="111111"/>
          <w:sz w:val="28"/>
          <w:sz w:val="28"/>
          <w:szCs w:val="28"/>
          <w:rtl w:val="true"/>
          <w:lang w:bidi="ar-SA"/>
        </w:rPr>
        <w:t>الماضي فيما يُعلَمُ‌</w:t>
      </w:r>
      <w:r>
        <w:rPr>
          <w:rStyle w:val="FootnoteAnchor"/>
          <w:rtl w:val="true"/>
        </w:rPr>
        <w:footnoteReference w:id="552"/>
      </w:r>
      <w:r>
        <w:rPr>
          <w:rFonts w:ascii="Amiri" w:hAnsi="Amiri" w:eastAsia="Amiri" w:cs="Amiri"/>
          <w:color w:val="111111"/>
          <w:sz w:val="28"/>
          <w:sz w:val="28"/>
          <w:szCs w:val="28"/>
          <w:rtl w:val="true"/>
          <w:lang w:bidi="ar-SA"/>
        </w:rPr>
        <w:t>أنّه وَقَعَ مُستَقبَلاً، و إلّافما ذُكِرَ بلفظِ الاستقبالِ لا حاجةَ بنا إلىٰ تأويلِه؛</w:t>
      </w:r>
      <w:r>
        <w:rPr>
          <w:rStyle w:val="FootnoteAnchor"/>
          <w:rtl w:val="true"/>
        </w:rPr>
        <w:footnoteReference w:id="553"/>
      </w:r>
      <w:r>
        <w:rPr>
          <w:rFonts w:ascii="Amiri" w:hAnsi="Amiri" w:eastAsia="Amiri" w:cs="Amiri"/>
          <w:color w:val="111111"/>
          <w:sz w:val="28"/>
          <w:sz w:val="28"/>
          <w:szCs w:val="28"/>
          <w:rtl w:val="true"/>
          <w:lang w:bidi="ar-SA"/>
        </w:rPr>
        <w:t>لوقوعِه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 إن كانَت موضوعةً في الأصلِ للجمعِ دونَ الواحدِ، فغَيرُ مُمتَنِعٍ أن تَكونَ‌</w:t>
      </w:r>
      <w:r>
        <w:rPr>
          <w:rStyle w:val="FootnoteAnchor"/>
          <w:rtl w:val="true"/>
        </w:rPr>
        <w:footnoteReference w:id="554"/>
      </w:r>
      <w:r>
        <w:rPr>
          <w:rFonts w:ascii="Amiri" w:hAnsi="Amiri" w:eastAsia="Amiri" w:cs="Amiri"/>
          <w:color w:val="111111"/>
          <w:sz w:val="28"/>
          <w:sz w:val="28"/>
          <w:szCs w:val="28"/>
          <w:rtl w:val="true"/>
          <w:lang w:bidi="ar-SA"/>
        </w:rPr>
        <w:t>بالعُرفِ و كثرةِ الاستعمالِ قد دَخَلَت في أن تُستَعمَلَ في الواحدِ المُعظَّمِ أيضاً علىٰ سَبيلِ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نُوحاً إِلىٰ قَوْمِهِ‌</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و ما أشبَهَه مِن</w:t>
      </w:r>
    </w:p>
    <w:p>
      <w:pPr>
        <w:pStyle w:val="BookText"/>
        <w:rPr/>
      </w:pPr>
      <w:r>
        <w:rPr>
          <w:rFonts w:ascii="Amiri" w:hAnsi="Amiri" w:eastAsia="Amiri" w:cs="Amiri"/>
          <w:color w:val="111111"/>
          <w:sz w:val="28"/>
          <w:sz w:val="28"/>
          <w:szCs w:val="28"/>
          <w:rtl w:val="true"/>
          <w:lang w:bidi="ar-SA"/>
        </w:rPr>
        <w:t>الألفاظِ لا يَصِحُّ أن يُقالَ أنّه مَجازٌ، و كذلكَ قولُ أحَدِ 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الذينَ فَعَلنا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أنّه خارجٌ عن الحقيقةِ‌؛ لأنّ العُرفَ قد ألحَقَه ببابِها، و لا شَكَّ في أنّ العُرفَ يؤثِّرُ هذا التأثيرَ، كما أثَّرَ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غائطٍ</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و ما أشبَهَها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أنّا لَو سَلَّمنا أنّ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الواحدِ مَجازٌ و علىٰ وجهِ العُدولِ عن الحقيقةِ ، لَكُنّا بِحَملِ </w:t>
      </w:r>
      <w:r>
        <w:rPr>
          <w:rStyle w:val="FootnoteAnchor"/>
          <w:rtl w:val="true"/>
        </w:rPr>
        <w:footnoteReference w:id="557"/>
      </w:r>
      <w:r>
        <w:rPr>
          <w:rFonts w:ascii="Amiri" w:hAnsi="Amiri" w:eastAsia="Amiri" w:cs="Amiri"/>
          <w:color w:val="111111"/>
          <w:sz w:val="28"/>
          <w:sz w:val="28"/>
          <w:szCs w:val="28"/>
          <w:rtl w:val="true"/>
          <w:lang w:bidi="ar-SA"/>
        </w:rPr>
        <w:t xml:space="preserve">الآيةِ علىٰ هذا الضربِ مِن المَجازِ أَولىٰ منكم بحَملِها علىٰ أحَدِ المَجازَينِ اللذَينِ ذَكَرتُموهما في السؤالِ مِن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الذي له شاهدٌ</w:t>
      </w:r>
      <w:r>
        <w:rPr>
          <w:rStyle w:val="FootnoteAnchor"/>
          <w:rtl w:val="true"/>
        </w:rPr>
        <w:footnoteReference w:id="558"/>
      </w:r>
      <w:r>
        <w:rPr>
          <w:rFonts w:ascii="Amiri" w:hAnsi="Amiri" w:eastAsia="Amiri" w:cs="Amiri"/>
          <w:color w:val="111111"/>
          <w:sz w:val="28"/>
          <w:sz w:val="28"/>
          <w:szCs w:val="28"/>
          <w:rtl w:val="true"/>
          <w:lang w:bidi="ar-SA"/>
        </w:rPr>
        <w:t>في الاستعمالِ و جَرَت عادةُ أهلِ اللسانِ باستعمالِه أولىٰ ممّا لَم يَكُن بهذه الصفةِ‌، و قد بيّنّا</w:t>
      </w:r>
      <w:r>
        <w:rPr>
          <w:rStyle w:val="FootnoteAnchor"/>
          <w:rtl w:val="true"/>
        </w:rPr>
        <w:footnoteReference w:id="559"/>
      </w:r>
      <w:r>
        <w:rPr>
          <w:rFonts w:ascii="Amiri" w:hAnsi="Amiri" w:eastAsia="Amiri" w:cs="Amiri"/>
          <w:color w:val="111111"/>
          <w:sz w:val="28"/>
          <w:sz w:val="28"/>
          <w:szCs w:val="28"/>
          <w:rtl w:val="true"/>
          <w:lang w:bidi="ar-SA"/>
        </w:rPr>
        <w:t>الشاهدَ باستعمالِ مَجازِنا مِن القُرآنِ و الخِطابِ‌، و أنّه لقُوّتِه و ظهورِه قد يَكادُ يَلحَقُ بالحقائقِ‌</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يُمكِنُ المُخالِفَ‌</w:t>
      </w:r>
      <w:r>
        <w:rPr>
          <w:rStyle w:val="FootnoteAnchor"/>
          <w:rtl w:val="true"/>
        </w:rPr>
        <w:footnoteReference w:id="561"/>
      </w:r>
      <w:r>
        <w:rPr>
          <w:rFonts w:ascii="Amiri" w:hAnsi="Amiri" w:eastAsia="Amiri" w:cs="Amiri"/>
          <w:color w:val="111111"/>
          <w:sz w:val="28"/>
          <w:sz w:val="28"/>
          <w:szCs w:val="28"/>
          <w:rtl w:val="true"/>
          <w:lang w:bidi="ar-SA"/>
        </w:rPr>
        <w:t xml:space="preserve">أن يَستَشهِدَ في استعمالِ مَجازِه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قُرآناً و لا سُنّةً و لا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الخِطابِ‌؛</w:t>
      </w:r>
      <w:r>
        <w:rPr>
          <w:rStyle w:val="FootnoteAnchor"/>
          <w:rtl w:val="true"/>
        </w:rPr>
        <w:footnoteReference w:id="562"/>
      </w:r>
      <w:r>
        <w:rPr>
          <w:rFonts w:ascii="Amiri" w:hAnsi="Amiri" w:eastAsia="Amiri" w:cs="Amiri"/>
          <w:color w:val="111111"/>
          <w:sz w:val="28"/>
          <w:sz w:val="28"/>
          <w:szCs w:val="28"/>
          <w:rtl w:val="true"/>
          <w:lang w:bidi="ar-SA"/>
        </w:rPr>
        <w:t>لأنّ خُلوَّ سائرِ الخِطابِ مِن استعمالِ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يؤتونَ الزكاةَ في حالِ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خُلوُّه مِن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Style w:val="FootnoteAnchor"/>
          <w:rtl w:val="true"/>
        </w:rPr>
        <w:footnoteReference w:id="563"/>
      </w:r>
      <w:r>
        <w:rPr>
          <w:rFonts w:ascii="Amiri" w:hAnsi="Amiri" w:eastAsia="Amiri" w:cs="Amiri"/>
          <w:color w:val="111111"/>
          <w:sz w:val="28"/>
          <w:sz w:val="28"/>
          <w:szCs w:val="28"/>
          <w:rtl w:val="true"/>
          <w:lang w:bidi="ar-SA"/>
        </w:rPr>
        <w:t>علىٰ وجهِ التخصيصِ ، و إن وُجِدَت هذه اللفظةُ فيما يُخالِفُ ما ذَكرناه فلَن</w:t>
      </w:r>
      <w:r>
        <w:rPr>
          <w:rStyle w:val="FootnoteAnchor"/>
          <w:rtl w:val="true"/>
        </w:rPr>
        <w:footnoteReference w:id="564"/>
      </w:r>
      <w:r>
        <w:rPr>
          <w:rFonts w:ascii="Amiri" w:hAnsi="Amiri" w:eastAsia="Amiri" w:cs="Amiri"/>
          <w:color w:val="111111"/>
          <w:sz w:val="28"/>
          <w:sz w:val="28"/>
          <w:szCs w:val="28"/>
          <w:rtl w:val="true"/>
          <w:lang w:bidi="ar-SA"/>
        </w:rPr>
        <w:t xml:space="preserve">يَكونَ </w:t>
      </w:r>
      <w:r>
        <w:rPr>
          <w:rStyle w:val="FootnoteAnchor"/>
          <w:rtl w:val="true"/>
        </w:rPr>
        <w:footnoteReference w:id="565"/>
      </w:r>
      <w:r>
        <w:rPr>
          <w:rFonts w:ascii="Amiri" w:hAnsi="Amiri" w:eastAsia="Amiri" w:cs="Amiri"/>
          <w:color w:val="111111"/>
          <w:sz w:val="28"/>
          <w:sz w:val="28"/>
          <w:szCs w:val="28"/>
          <w:rtl w:val="true"/>
          <w:lang w:bidi="ar-SA"/>
        </w:rPr>
        <w:t xml:space="preserve">ذلكَ </w:t>
      </w:r>
      <w:r>
        <w:rPr>
          <w:rStyle w:val="FootnoteAnchor"/>
          <w:rtl w:val="true"/>
        </w:rPr>
        <w:footnoteReference w:id="566"/>
      </w:r>
      <w:r>
        <w:rPr>
          <w:rFonts w:ascii="Amiri" w:hAnsi="Amiri" w:eastAsia="Amiri" w:cs="Amiri"/>
          <w:color w:val="111111"/>
          <w:sz w:val="28"/>
          <w:sz w:val="28"/>
          <w:szCs w:val="28"/>
          <w:rtl w:val="true"/>
          <w:lang w:bidi="ar-SA"/>
        </w:rPr>
        <w:t>إلّاعلىٰ وجهِ الشُّذوذِ 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w:t>
      </w:r>
      <w:r>
        <w:rPr>
          <w:rStyle w:val="FootnoteAnchor"/>
          <w:rtl w:val="true"/>
        </w:rPr>
        <w:footnoteReference w:id="567"/>
      </w:r>
      <w:r>
        <w:rPr>
          <w:rFonts w:ascii="Amiri" w:hAnsi="Amiri" w:eastAsia="Amiri" w:cs="Amiri"/>
          <w:color w:val="111111"/>
          <w:sz w:val="28"/>
          <w:sz w:val="28"/>
          <w:szCs w:val="28"/>
          <w:rtl w:val="true"/>
          <w:lang w:bidi="ar-SA"/>
        </w:rPr>
        <w:t>أن يَكونَ هُناكَ شَبَهٌ قويٌّ بما</w:t>
      </w:r>
      <w:r>
        <w:rPr>
          <w:rStyle w:val="FootnoteAnchor"/>
          <w:rtl w:val="true"/>
        </w:rPr>
        <w:footnoteReference w:id="568"/>
      </w:r>
      <w:r>
        <w:rPr>
          <w:rFonts w:ascii="Amiri" w:hAnsi="Amiri" w:eastAsia="Amiri" w:cs="Amiri"/>
          <w:color w:val="111111"/>
          <w:sz w:val="28"/>
          <w:sz w:val="28"/>
          <w:szCs w:val="28"/>
          <w:rtl w:val="true"/>
          <w:lang w:bidi="ar-SA"/>
        </w:rPr>
        <w:t xml:space="preserve">يَختَصُّ بالصفةِ و لا يثبُتُ إلّاله حتّىٰ يَكونَ المُسوِّغُ لاستعمالِها قُوّةَ الشَّبَهِ بما يَبلُغُ الغايةَ في الاختصاصِ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w:t>
      </w:r>
      <w:r>
        <w:rPr>
          <w:rStyle w:val="FootnoteAnchor"/>
          <w:rtl w:val="true"/>
        </w:rPr>
        <w:footnoteReference w:id="569"/>
      </w:r>
      <w:r>
        <w:rPr>
          <w:rFonts w:ascii="Amiri" w:hAnsi="Amiri" w:eastAsia="Amiri" w:cs="Amiri"/>
          <w:color w:val="111111"/>
          <w:sz w:val="28"/>
          <w:sz w:val="28"/>
          <w:szCs w:val="28"/>
          <w:rtl w:val="true"/>
          <w:lang w:bidi="ar-SA"/>
        </w:rPr>
        <w:t>حَمَلنا الآيةَ علىٰ أحَدِ المَجازَينِ اللذَينِ في خبرِ</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ليَصِحَّ‌</w:t>
      </w:r>
      <w:r>
        <w:rPr>
          <w:rStyle w:val="FootnoteAnchor"/>
          <w:rtl w:val="true"/>
        </w:rPr>
        <w:footnoteReference w:id="571"/>
      </w:r>
      <w:r>
        <w:rPr>
          <w:rFonts w:ascii="Amiri" w:hAnsi="Amiri" w:eastAsia="Amiri" w:cs="Amiri"/>
          <w:color w:val="111111"/>
          <w:sz w:val="28"/>
          <w:sz w:val="28"/>
          <w:szCs w:val="28"/>
          <w:rtl w:val="true"/>
          <w:lang w:bidi="ar-SA"/>
        </w:rPr>
        <w:t xml:space="preserve">تأوُّلُها علىٰ معنَى الوَلايةِ في الدينِ‌، دون ما يَقتَضي وجوبَ الطاعةِ و التحقُّقَ بالتدبيرِ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نَستَفِدْ</w:t>
      </w:r>
      <w:r>
        <w:rPr>
          <w:rStyle w:val="FootnoteAnchor"/>
          <w:rtl w:val="true"/>
        </w:rPr>
        <w:footnoteReference w:id="572"/>
      </w:r>
      <w:r>
        <w:rPr>
          <w:rFonts w:ascii="Amiri" w:hAnsi="Amiri" w:eastAsia="Amiri" w:cs="Amiri"/>
          <w:color w:val="111111"/>
          <w:sz w:val="28"/>
          <w:sz w:val="28"/>
          <w:szCs w:val="28"/>
          <w:rtl w:val="true"/>
          <w:lang w:bidi="ar-SA"/>
        </w:rPr>
        <w:t>بها إلّاما هو معلومٌ لنا؛ لأنّا نَعلَمُ وجوبَ تَوَلّي المؤمنِ‌</w:t>
      </w:r>
      <w:r>
        <w:rPr>
          <w:rStyle w:val="FootnoteAnchor"/>
          <w:rtl w:val="true"/>
        </w:rPr>
        <w:footnoteReference w:id="573"/>
      </w:r>
      <w:r>
        <w:rPr>
          <w:rFonts w:ascii="Amiri" w:hAnsi="Amiri" w:eastAsia="Amiri" w:cs="Amiri"/>
          <w:color w:val="111111"/>
          <w:sz w:val="28"/>
          <w:sz w:val="28"/>
          <w:szCs w:val="28"/>
          <w:rtl w:val="true"/>
          <w:lang w:bidi="ar-SA"/>
        </w:rPr>
        <w:t>في الدِّينِ‌</w:t>
      </w:r>
      <w:r>
        <w:rPr>
          <w:rStyle w:val="FootnoteAnchor"/>
          <w:rtl w:val="true"/>
        </w:rPr>
        <w:footnoteReference w:id="574"/>
      </w:r>
      <w:r>
        <w:rPr>
          <w:rFonts w:ascii="Amiri" w:hAnsi="Amiri" w:eastAsia="Amiri" w:cs="Amiri"/>
          <w:color w:val="111111"/>
          <w:sz w:val="28"/>
          <w:sz w:val="28"/>
          <w:szCs w:val="28"/>
          <w:rtl w:val="true"/>
          <w:lang w:bidi="ar-SA"/>
        </w:rPr>
        <w:t xml:space="preserve">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تَلَونا</w:t>
      </w:r>
      <w:r>
        <w:rPr>
          <w:rStyle w:val="FootnoteAnchor"/>
          <w:rtl w:val="true"/>
        </w:rPr>
        <w:footnoteReference w:id="575"/>
      </w:r>
      <w:r>
        <w:rPr>
          <w:rFonts w:ascii="Amiri" w:hAnsi="Amiri" w:eastAsia="Amiri" w:cs="Amiri"/>
          <w:color w:val="111111"/>
          <w:sz w:val="28"/>
          <w:sz w:val="28"/>
          <w:szCs w:val="28"/>
          <w:rtl w:val="true"/>
          <w:lang w:bidi="ar-SA"/>
        </w:rPr>
        <w:t>الآيةَ الدالّةَ علىٰ ذلكَ فيما تَقدَّمَ‌</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 و الحجري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بالسُّنّةِ و الإجماعِ‌، و الأمرُ فيه ظاهرٌ جدًّا؛ لأنّ كُلَّ أحَدٍ</w:t>
      </w:r>
      <w:r>
        <w:rPr>
          <w:rStyle w:val="FootnoteAnchor"/>
          <w:rtl w:val="true"/>
        </w:rPr>
        <w:footnoteReference w:id="578"/>
      </w:r>
      <w:r>
        <w:rPr>
          <w:rFonts w:ascii="Amiri" w:hAnsi="Amiri" w:eastAsia="Amiri" w:cs="Amiri"/>
          <w:color w:val="111111"/>
          <w:sz w:val="28"/>
          <w:sz w:val="28"/>
          <w:szCs w:val="28"/>
          <w:rtl w:val="true"/>
          <w:lang w:bidi="ar-SA"/>
        </w:rPr>
        <w:t>يَعلَمُه مِن دينِ‌</w:t>
      </w:r>
    </w:p>
    <w:p>
      <w:pPr>
        <w:pStyle w:val="BookText"/>
        <w:rPr/>
      </w:pPr>
      <w:r>
        <w:rPr>
          <w:rFonts w:ascii="Amiri" w:hAnsi="Amiri" w:eastAsia="Amiri" w:cs="Amiri"/>
          <w:color w:val="111111"/>
          <w:sz w:val="28"/>
          <w:sz w:val="28"/>
          <w:szCs w:val="28"/>
          <w:rtl w:val="true"/>
          <w:lang w:bidi="ar-SA"/>
        </w:rPr>
        <w:t>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عَدَلنا إلَى المَجازِ الذي اختَرناه في تأويلِ الآيةِ‌، استَفَدنا معه بالآيةِ فائدةً ظاهرةً لا تَجري مَجرَى الأُولىٰ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كلامُ الحكيمِ كما يَجِبُ حملُه علَى الوجهِ الذي يُفيدُ عليه، كذلكَ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ما كانَ أزيَدَ فائدةً ، فظَهَرَت مَزيّةُ تأويلِنا علىٰ كُلِّ وجهٍ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فمَن ذَهَبَ مِن مُخالِفينا إلىٰ أنّ الألِفَ و اللامَ إذا لَم يَكونا للعهدِ اقتَضَتا</w:t>
      </w:r>
      <w:r>
        <w:rPr>
          <w:rStyle w:val="FootnoteAnchor"/>
          <w:rtl w:val="true"/>
        </w:rPr>
        <w:footnoteReference w:id="580"/>
      </w:r>
      <w:r>
        <w:rPr>
          <w:rFonts w:ascii="Amiri" w:hAnsi="Amiri" w:eastAsia="Amiri" w:cs="Amiri"/>
          <w:color w:val="111111"/>
          <w:sz w:val="28"/>
          <w:sz w:val="28"/>
          <w:szCs w:val="28"/>
          <w:rtl w:val="true"/>
          <w:lang w:bidi="ar-SA"/>
        </w:rPr>
        <w:t xml:space="preserve">الاستغراقَ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الجُمهورُ، و صاحبُ الكتابِ أحَدُ مَن يَرىٰ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w:t>
      </w:r>
      <w:r>
        <w:rPr>
          <w:rStyle w:val="FootnoteAnchor"/>
          <w:rtl w:val="true"/>
        </w:rPr>
        <w:footnoteReference w:id="581"/>
      </w:r>
      <w:r>
        <w:rPr>
          <w:rFonts w:ascii="Amiri" w:hAnsi="Amiri" w:eastAsia="Amiri" w:cs="Amiri"/>
          <w:color w:val="111111"/>
          <w:sz w:val="28"/>
          <w:sz w:val="28"/>
          <w:szCs w:val="28"/>
          <w:rtl w:val="true"/>
          <w:lang w:bidi="ar-SA"/>
        </w:rPr>
        <w:t xml:space="preserve">له في تأويلِ الآيةِ مِن مَجازٍ آخَرَ زائدٍ علىٰ ما تَقدَّمَ ؛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الاستغراقَ علىٰ مَذهَبِه، و هو في الآيةِ لا يَصِحُّ أن يَكونَ مُستَغرِقاً لجميعِ المؤمنينَ‌؛ لأنّه لا بُدَّ أن يَكونَ خِطاباً للمؤمنينَ‌؛ لأنّ الموالاةَ في الدينِ لا تَجوزُ</w:t>
      </w:r>
      <w:r>
        <w:rPr>
          <w:rStyle w:val="FootnoteAnchor"/>
          <w:rtl w:val="true"/>
        </w:rPr>
        <w:footnoteReference w:id="583"/>
      </w:r>
      <w:r>
        <w:rPr>
          <w:rFonts w:ascii="Amiri" w:hAnsi="Amiri" w:eastAsia="Amiri" w:cs="Amiri"/>
          <w:color w:val="111111"/>
          <w:sz w:val="28"/>
          <w:sz w:val="28"/>
          <w:szCs w:val="28"/>
          <w:rtl w:val="true"/>
          <w:lang w:bidi="ar-SA"/>
        </w:rPr>
        <w:t>لغَيرِهم، و لا بُدَّ أن يَكونَ مَن خوطِبَ بها و وُجِّهَ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عمّن عُنِيَ بالذينَ آمَنوا، و إلّا أدّىٰ إلىٰ أن يَكونَ كُلُّ واحدٍ وليَّ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مُستَغرِقٍ لجميعِ المؤمنينَ‌، و إذا خَرَجَ عن</w:t>
      </w:r>
      <w:r>
        <w:rPr>
          <w:rStyle w:val="FootnoteAnchor"/>
          <w:rtl w:val="true"/>
        </w:rPr>
        <w:footnoteReference w:id="584"/>
      </w:r>
      <w:r>
        <w:rPr>
          <w:rFonts w:ascii="Amiri" w:hAnsi="Amiri" w:eastAsia="Amiri" w:cs="Amiri"/>
          <w:color w:val="111111"/>
          <w:sz w:val="28"/>
          <w:sz w:val="28"/>
          <w:szCs w:val="28"/>
          <w:rtl w:val="true"/>
          <w:lang w:bidi="ar-SA"/>
        </w:rPr>
        <w:t>الاستغراقِ خَرَجَ عن الحقيقةِ عندَ كُلِّ‌</w:t>
      </w:r>
      <w:r>
        <w:rPr>
          <w:rStyle w:val="FootnoteAnchor"/>
          <w:rtl w:val="true"/>
        </w:rPr>
        <w:footnoteReference w:id="585"/>
      </w:r>
      <w:r>
        <w:rPr>
          <w:rFonts w:ascii="Amiri" w:hAnsi="Amiri" w:eastAsia="Amiri" w:cs="Amiri"/>
          <w:color w:val="111111"/>
          <w:sz w:val="28"/>
          <w:sz w:val="28"/>
          <w:szCs w:val="28"/>
          <w:rtl w:val="true"/>
          <w:lang w:bidi="ar-SA"/>
        </w:rPr>
        <w:t>مَن ذَكرناه</w:t>
      </w:r>
      <w:r>
        <w:rPr>
          <w:rStyle w:val="FootnoteAnchor"/>
          <w:rtl w:val="true"/>
        </w:rPr>
        <w:footnoteReference w:id="586"/>
      </w:r>
      <w:r>
        <w:rPr>
          <w:rFonts w:ascii="Amiri" w:hAnsi="Amiri" w:eastAsia="Amiri" w:cs="Amiri"/>
          <w:color w:val="111111"/>
          <w:sz w:val="28"/>
          <w:sz w:val="28"/>
          <w:szCs w:val="28"/>
          <w:rtl w:val="true"/>
          <w:lang w:bidi="ar-SA"/>
        </w:rPr>
        <w:t xml:space="preserve">مِن مُخالِفينا و لَحِقَ بالمَجازِ، و انضَمَّ هذا المَجازُ إلىٰ أحَدِ المَجازَينِ المُتقدِّمَينِ ، فصارا مَجازَينِ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تأويلِنا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سَلَّمنا</w:t>
      </w:r>
      <w:r>
        <w:rPr>
          <w:rStyle w:val="FootnoteAnchor"/>
          <w:rtl w:val="true"/>
        </w:rPr>
        <w:footnoteReference w:id="587"/>
      </w:r>
      <w:r>
        <w:rPr>
          <w:rFonts w:ascii="Amiri" w:hAnsi="Amiri" w:eastAsia="Amiri" w:cs="Amiri"/>
          <w:color w:val="111111"/>
          <w:sz w:val="28"/>
          <w:sz w:val="28"/>
          <w:szCs w:val="28"/>
          <w:rtl w:val="true"/>
          <w:lang w:bidi="ar-SA"/>
        </w:rPr>
        <w:t xml:space="preserve">أنّ العبارةَ عن الواحدِ بلفظِ الجَمعِ </w:t>
      </w:r>
      <w:r>
        <w:rPr>
          <w:rStyle w:val="FootnoteAnchor"/>
          <w:rtl w:val="true"/>
        </w:rPr>
        <w:footnoteReference w:id="588"/>
      </w:r>
      <w:r>
        <w:rPr>
          <w:rFonts w:ascii="Amiri" w:hAnsi="Amiri" w:eastAsia="Amiri" w:cs="Amiri"/>
          <w:color w:val="111111"/>
          <w:sz w:val="28"/>
          <w:sz w:val="28"/>
          <w:szCs w:val="28"/>
          <w:rtl w:val="true"/>
          <w:lang w:bidi="ar-SA"/>
        </w:rPr>
        <w:t xml:space="preserve">علىٰ سبيلِ التعظيمِ يَكونُ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يَتَحَصَّلُ إلّامَجازٌ واحدٌ؛ فصارَ تأويلُنا في هذه</w:t>
      </w:r>
      <w:r>
        <w:rPr>
          <w:rStyle w:val="FootnoteAnchor"/>
          <w:rtl w:val="true"/>
        </w:rPr>
        <w:footnoteReference w:id="589"/>
      </w:r>
      <w:r>
        <w:rPr>
          <w:rFonts w:ascii="Amiri" w:hAnsi="Amiri" w:eastAsia="Amiri" w:cs="Amiri"/>
          <w:color w:val="111111"/>
          <w:sz w:val="28"/>
          <w:sz w:val="28"/>
          <w:szCs w:val="28"/>
          <w:rtl w:val="true"/>
          <w:lang w:bidi="ar-SA"/>
        </w:rPr>
        <w:t xml:space="preserve">الآيةِ </w:t>
      </w:r>
      <w:r>
        <w:rPr>
          <w:rStyle w:val="FootnoteAnchor"/>
          <w:rtl w:val="true"/>
        </w:rPr>
        <w:footnoteReference w:id="590"/>
      </w:r>
      <w:r>
        <w:rPr>
          <w:rFonts w:ascii="Amiri" w:hAnsi="Amiri" w:eastAsia="Amiri" w:cs="Amiri"/>
          <w:color w:val="111111"/>
          <w:sz w:val="28"/>
          <w:sz w:val="28"/>
          <w:szCs w:val="28"/>
          <w:rtl w:val="true"/>
          <w:lang w:bidi="ar-SA"/>
        </w:rPr>
        <w:t>أَولىٰ مِن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فمِن أينَ أنّ المُرادَ بالثاني</w:t>
      </w:r>
      <w:r>
        <w:rPr>
          <w:rStyle w:val="FootnoteAnchor"/>
          <w:rtl w:val="true"/>
        </w:rPr>
        <w:footnoteReference w:id="591"/>
      </w:r>
      <w:r>
        <w:rPr>
          <w:rFonts w:ascii="Amiri" w:hAnsi="Amiri" w:eastAsia="Amiri" w:cs="Amiri"/>
          <w:color w:val="111111"/>
          <w:sz w:val="28"/>
          <w:sz w:val="28"/>
          <w:szCs w:val="28"/>
          <w:rtl w:val="true"/>
          <w:lang w:bidi="ar-SA"/>
        </w:rPr>
        <w:t xml:space="preserve">هو أميرُ المؤمنينَ عليه السلامُ و ظاهرُه يَقتَضي الجَمعَ </w:t>
      </w:r>
      <w:r>
        <w:rPr>
          <w:rStyle w:val="FootnoteAnchor"/>
          <w:rtl w:val="true"/>
        </w:rPr>
        <w:footnoteReference w:id="59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لَيسَ يَجِبُ إذا رُويَ أنّه عليه السلامُ تَصَدَّقَ بخاتَمِه و هو راكعٌ أن لا</w:t>
      </w:r>
    </w:p>
    <w:p>
      <w:pPr>
        <w:pStyle w:val="BookText"/>
        <w:rPr/>
      </w:pPr>
      <w:r>
        <w:rPr>
          <w:rFonts w:ascii="Amiri" w:hAnsi="Amiri" w:eastAsia="Amiri" w:cs="Amiri"/>
          <w:color w:val="111111"/>
          <w:sz w:val="28"/>
          <w:sz w:val="28"/>
          <w:szCs w:val="28"/>
          <w:rtl w:val="true"/>
          <w:lang w:bidi="ar-SA"/>
        </w:rPr>
        <w:t>يَثبُتَ غيرُه مُشارِكاً له في هذا الفعلِ‌، بَل يَجِبُ لأجلِ الآيةِ‌</w:t>
      </w:r>
      <w:r>
        <w:rPr>
          <w:rStyle w:val="FootnoteAnchor"/>
          <w:rtl w:val="true"/>
        </w:rPr>
        <w:footnoteReference w:id="593"/>
      </w:r>
      <w:r>
        <w:rPr>
          <w:rFonts w:ascii="Amiri" w:hAnsi="Amiri" w:eastAsia="Amiri" w:cs="Amiri"/>
          <w:color w:val="111111"/>
          <w:sz w:val="28"/>
          <w:sz w:val="28"/>
          <w:szCs w:val="28"/>
          <w:rtl w:val="true"/>
          <w:lang w:bidi="ar-SA"/>
        </w:rPr>
        <w:t>أن يُقطَعَ في غيرِه بذلكَ‌</w:t>
      </w:r>
      <w:r>
        <w:rPr>
          <w:rStyle w:val="FootnoteAnchor"/>
          <w:rtl w:val="true"/>
        </w:rPr>
        <w:footnoteReference w:id="594"/>
      </w:r>
      <w:r>
        <w:rPr>
          <w:rFonts w:ascii="Amiri" w:hAnsi="Amiri" w:eastAsia="Amiri" w:cs="Amiri"/>
          <w:color w:val="111111"/>
          <w:sz w:val="28"/>
          <w:sz w:val="28"/>
          <w:szCs w:val="28"/>
          <w:rtl w:val="true"/>
          <w:lang w:bidi="ar-SA"/>
        </w:rPr>
        <w:t>و إن لَم يُنقَلْ‌؛ لأنّ نَقْلَ ما جَرىٰ هذا المَجرىٰ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فمِن أينَ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زَعَموه، دونَ أن يَكونَ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يؤتونَ‌</w:t>
      </w:r>
      <w:r>
        <w:rPr>
          <w:rStyle w:val="FootnoteAnchor"/>
          <w:rtl w:val="true"/>
        </w:rPr>
        <w:footnoteReference w:id="595"/>
      </w:r>
      <w:r>
        <w:rPr>
          <w:rFonts w:ascii="Amiri" w:hAnsi="Amiri" w:eastAsia="Amiri" w:cs="Amiri"/>
          <w:color w:val="111111"/>
          <w:sz w:val="28"/>
          <w:sz w:val="28"/>
          <w:szCs w:val="28"/>
          <w:rtl w:val="true"/>
          <w:lang w:bidi="ar-SA"/>
        </w:rPr>
        <w:t>الزكاةَ و طريقتُهم التواضُعُ و الخُضوعُ؟ ليَكونَ ذلكَ مَدحاً لهم</w:t>
      </w:r>
      <w:r>
        <w:rPr>
          <w:rStyle w:val="FootnoteAnchor"/>
          <w:rtl w:val="true"/>
        </w:rPr>
        <w:footnoteReference w:id="596"/>
      </w:r>
      <w:r>
        <w:rPr>
          <w:rFonts w:ascii="Amiri" w:hAnsi="Amiri" w:eastAsia="Amiri" w:cs="Amiri"/>
          <w:color w:val="111111"/>
          <w:sz w:val="28"/>
          <w:sz w:val="28"/>
          <w:szCs w:val="28"/>
          <w:rtl w:val="true"/>
          <w:lang w:bidi="ar-SA"/>
        </w:rPr>
        <w:t>في إيتاءِ الزكاةِ‌، و إخراجاً لهم</w:t>
      </w:r>
      <w:r>
        <w:rPr>
          <w:rStyle w:val="FootnoteAnchor"/>
          <w:rtl w:val="true"/>
        </w:rPr>
        <w:footnoteReference w:id="597"/>
      </w:r>
      <w:r>
        <w:rPr>
          <w:rFonts w:ascii="Amiri" w:hAnsi="Amiri" w:eastAsia="Amiri" w:cs="Amiri"/>
          <w:color w:val="111111"/>
          <w:sz w:val="28"/>
          <w:sz w:val="28"/>
          <w:szCs w:val="28"/>
          <w:rtl w:val="true"/>
          <w:lang w:bidi="ar-SA"/>
        </w:rPr>
        <w:t>مِن أن يؤتوها مع المَنِّ و الأذىٰ‌، و علىٰ طريقةِ‌</w:t>
      </w:r>
      <w:r>
        <w:rPr>
          <w:rStyle w:val="FootnoteAnchor"/>
          <w:rtl w:val="true"/>
        </w:rPr>
        <w:footnoteReference w:id="598"/>
      </w:r>
      <w:r>
        <w:rPr>
          <w:rFonts w:ascii="Amiri" w:hAnsi="Amiri" w:eastAsia="Amiri" w:cs="Amiri"/>
          <w:color w:val="111111"/>
          <w:sz w:val="28"/>
          <w:sz w:val="28"/>
          <w:szCs w:val="28"/>
          <w:rtl w:val="true"/>
          <w:lang w:bidi="ar-SA"/>
        </w:rPr>
        <w:t>الاستطالةِ و التكبُّرِ؛ فكأنّه تَعالىٰ مَدَحَهم غايةَ المَدحِ‌، فوَصَفَهم</w:t>
      </w:r>
      <w:r>
        <w:rPr>
          <w:rStyle w:val="FootnoteAnchor"/>
          <w:rtl w:val="true"/>
        </w:rPr>
        <w:footnoteReference w:id="599"/>
      </w:r>
      <w:r>
        <w:rPr>
          <w:rFonts w:ascii="Amiri" w:hAnsi="Amiri" w:eastAsia="Amiri" w:cs="Amiri"/>
          <w:color w:val="111111"/>
          <w:sz w:val="28"/>
          <w:sz w:val="28"/>
          <w:szCs w:val="28"/>
          <w:rtl w:val="true"/>
          <w:lang w:bidi="ar-SA"/>
        </w:rPr>
        <w:t>بإقامةِ‌</w:t>
      </w:r>
      <w:r>
        <w:rPr>
          <w:rStyle w:val="FootnoteAnchor"/>
          <w:rtl w:val="true"/>
        </w:rPr>
        <w:footnoteReference w:id="600"/>
      </w:r>
      <w:r>
        <w:rPr>
          <w:rFonts w:ascii="Amiri" w:hAnsi="Amiri" w:eastAsia="Amiri" w:cs="Amiri"/>
          <w:color w:val="111111"/>
          <w:sz w:val="28"/>
          <w:sz w:val="28"/>
          <w:szCs w:val="28"/>
          <w:rtl w:val="true"/>
          <w:lang w:bidi="ar-SA"/>
        </w:rPr>
        <w:t>الصلاةِ‌، و بأنّهم يؤتونَ الزكاةَ علىٰ أقوىٰ وجوهِ‌</w:t>
      </w:r>
      <w:r>
        <w:rPr>
          <w:rStyle w:val="FootnoteAnchor"/>
          <w:rtl w:val="true"/>
        </w:rPr>
        <w:footnoteReference w:id="601"/>
      </w:r>
      <w:r>
        <w:rPr>
          <w:rFonts w:ascii="Amiri" w:hAnsi="Amiri" w:eastAsia="Amiri" w:cs="Amiri"/>
          <w:color w:val="111111"/>
          <w:sz w:val="28"/>
          <w:sz w:val="28"/>
          <w:szCs w:val="28"/>
          <w:rtl w:val="true"/>
          <w:lang w:bidi="ar-SA"/>
        </w:rPr>
        <w:t xml:space="preserve">القُربةِ‌؛ و أقوىٰ ما تؤدّىٰ </w:t>
      </w:r>
      <w:r>
        <w:rPr>
          <w:rStyle w:val="FootnoteAnchor"/>
          <w:rtl w:val="true"/>
        </w:rPr>
        <w:footnoteReference w:id="602"/>
      </w:r>
      <w:r>
        <w:rPr>
          <w:rFonts w:ascii="Amiri" w:hAnsi="Amiri" w:eastAsia="Amiri" w:cs="Amiri"/>
          <w:color w:val="111111"/>
          <w:sz w:val="28"/>
          <w:sz w:val="28"/>
          <w:szCs w:val="28"/>
          <w:rtl w:val="true"/>
          <w:lang w:bidi="ar-SA"/>
        </w:rPr>
        <w:t xml:space="preserve">عليه الزكاةُ </w:t>
      </w:r>
      <w:r>
        <w:rPr>
          <w:rStyle w:val="FootnoteAnchor"/>
          <w:rtl w:val="true"/>
        </w:rPr>
        <w:footnoteReference w:id="603"/>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مِن المَدحِ إيتاءُ الزكاةِ </w:t>
      </w:r>
      <w:r>
        <w:rPr>
          <w:rStyle w:val="FootnoteAnchor"/>
          <w:rtl w:val="true"/>
        </w:rPr>
        <w:footnoteReference w:id="604"/>
      </w:r>
      <w:r>
        <w:rPr>
          <w:rFonts w:ascii="Amiri" w:hAnsi="Amiri" w:eastAsia="Amiri" w:cs="Amiri"/>
          <w:color w:val="111111"/>
          <w:sz w:val="28"/>
          <w:sz w:val="28"/>
          <w:szCs w:val="28"/>
          <w:rtl w:val="true"/>
          <w:lang w:bidi="ar-SA"/>
        </w:rPr>
        <w:t>مع الاشتغالِ بالصلاةِ ؛ لأنّ الواجبَ في الراكعِ أن يَصرِفَ هِمّتَه</w:t>
      </w:r>
      <w:r>
        <w:rPr>
          <w:rStyle w:val="FootnoteAnchor"/>
          <w:rtl w:val="true"/>
        </w:rPr>
        <w:footnoteReference w:id="605"/>
      </w:r>
      <w:r>
        <w:rPr>
          <w:rFonts w:ascii="Amiri" w:hAnsi="Amiri" w:eastAsia="Amiri" w:cs="Amiri"/>
          <w:color w:val="111111"/>
          <w:sz w:val="28"/>
          <w:sz w:val="28"/>
          <w:szCs w:val="28"/>
          <w:rtl w:val="true"/>
          <w:lang w:bidi="ar-SA"/>
        </w:rPr>
        <w:t xml:space="preserve">و نيّتَه إلىٰ ما هو فيه و لا يَشتَغِلَ بغَيرِه، و متىٰ أرادَ </w:t>
      </w:r>
      <w:bookmarkStart w:id="146" w:name="pg20017_202420"/>
    </w:p>
    <w:p>
      <w:pPr>
        <w:pStyle w:val="BookText"/>
        <w:rPr/>
      </w:pPr>
      <w:bookmarkEnd w:id="146"/>
      <w:r>
        <w:rPr>
          <w:rFonts w:ascii="Amiri" w:hAnsi="Amiri" w:eastAsia="Amiri" w:cs="Amiri"/>
          <w:color w:val="111111"/>
          <w:sz w:val="28"/>
          <w:sz w:val="28"/>
          <w:szCs w:val="28"/>
          <w:rtl w:val="true"/>
          <w:lang w:bidi="ar-SA"/>
        </w:rPr>
        <w:t>الزكاةَ فَعَلَها تاليةً للصلاةِ‌؛ فكَيفَ‌</w:t>
      </w:r>
      <w:r>
        <w:rPr>
          <w:rStyle w:val="FootnoteAnchor"/>
          <w:rtl w:val="true"/>
        </w:rPr>
        <w:footnoteReference w:id="606"/>
      </w:r>
      <w:r>
        <w:rPr>
          <w:rFonts w:ascii="Amiri" w:hAnsi="Amiri" w:eastAsia="Amiri" w:cs="Amiri"/>
          <w:color w:val="111111"/>
          <w:sz w:val="28"/>
          <w:sz w:val="28"/>
          <w:szCs w:val="28"/>
          <w:rtl w:val="true"/>
          <w:lang w:bidi="ar-SA"/>
        </w:rPr>
        <w:t xml:space="preserve">يُحمَلُ الكلامُ علىٰ ذلكَ ، و لأَن يُحمَلَ </w:t>
      </w:r>
      <w:r>
        <w:rPr>
          <w:rStyle w:val="FootnoteAnchor"/>
          <w:rtl w:val="true"/>
        </w:rPr>
        <w:footnoteReference w:id="607"/>
      </w:r>
      <w:r>
        <w:rPr>
          <w:rFonts w:ascii="Amiri" w:hAnsi="Amiri" w:eastAsia="Amiri" w:cs="Amiri"/>
          <w:color w:val="111111"/>
          <w:sz w:val="28"/>
          <w:sz w:val="28"/>
          <w:szCs w:val="28"/>
          <w:rtl w:val="true"/>
          <w:lang w:bidi="ar-SA"/>
        </w:rPr>
        <w:t xml:space="preserve">علىٰ ما يُمكِنُ </w:t>
      </w:r>
      <w:r>
        <w:rPr>
          <w:rStyle w:val="FootnoteAnchor"/>
          <w:rtl w:val="true"/>
        </w:rPr>
        <w:footnoteReference w:id="608"/>
      </w:r>
      <w:r>
        <w:rPr>
          <w:rFonts w:ascii="Amiri" w:hAnsi="Amiri" w:eastAsia="Amiri" w:cs="Amiri"/>
          <w:color w:val="111111"/>
          <w:sz w:val="28"/>
          <w:sz w:val="28"/>
          <w:szCs w:val="28"/>
          <w:rtl w:val="true"/>
          <w:lang w:bidi="ar-SA"/>
        </w:rPr>
        <w:t>تَوفيةُ العمومِ حقَّه معه</w:t>
      </w:r>
      <w:r>
        <w:rPr>
          <w:rStyle w:val="FootnoteAnchor"/>
          <w:rtl w:val="true"/>
        </w:rPr>
        <w:footnoteReference w:id="609"/>
      </w:r>
      <w:r>
        <w:rPr>
          <w:rFonts w:ascii="Amiri" w:hAnsi="Amiri" w:eastAsia="Amiri" w:cs="Amiri"/>
          <w:color w:val="111111"/>
          <w:sz w:val="28"/>
          <w:sz w:val="28"/>
          <w:szCs w:val="28"/>
          <w:rtl w:val="true"/>
          <w:lang w:bidi="ar-SA"/>
        </w:rPr>
        <w:t>أَولىٰ ممّا يَقتَضي تخصيصَه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دَلَّلنا علىٰ أنّ المُرادَ باللفظِ الأوّلِ الذي هو</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و إن كانَ لفظَ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w:t>
      </w:r>
    </w:p>
    <w:p>
      <w:pPr>
        <w:pStyle w:val="BookText"/>
        <w:rPr/>
      </w:pPr>
      <w:r>
        <w:rPr>
          <w:rFonts w:ascii="Amiri" w:hAnsi="Amiri" w:eastAsia="Amiri" w:cs="Amiri"/>
          <w:color w:val="111111"/>
          <w:sz w:val="28"/>
          <w:sz w:val="28"/>
          <w:szCs w:val="28"/>
          <w:rtl w:val="true"/>
          <w:lang w:bidi="ar-SA"/>
        </w:rPr>
        <w:t>اَلصَّلاٰةَ وَ يُؤْتُونَ الزَّكٰاةَ‌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صفةً للمذكورِ باللفظِ الأوّلِ ، فيَجِبُ أن يَكونَ المَعنيُّ بهما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نَعتَمِدْ في أنّه عليه السلامُ المخصوصُ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يُؤْتُونَ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علىٰ نَقلِ الخبرِ، بَل اعتَمَدنا الخبرَ في جُملةِ غيرِه مِن الوجوهِ في الدَّلالةِ علىٰ تَوَجُّهِ الآيةِ إليه عليه السلامُ ، و اعتَمَدنا في أنّه عليه السلامُ المُنفَرِدُ</w:t>
      </w:r>
      <w:r>
        <w:rPr>
          <w:rStyle w:val="FootnoteAnchor"/>
          <w:rtl w:val="true"/>
        </w:rPr>
        <w:footnoteReference w:id="612"/>
      </w:r>
      <w:r>
        <w:rPr>
          <w:rFonts w:ascii="Amiri" w:hAnsi="Amiri" w:eastAsia="Amiri" w:cs="Amiri"/>
          <w:color w:val="111111"/>
          <w:sz w:val="28"/>
          <w:sz w:val="28"/>
          <w:szCs w:val="28"/>
          <w:rtl w:val="true"/>
          <w:lang w:bidi="ar-SA"/>
        </w:rPr>
        <w:t>بها دونَ غيرِه علَى الوجهَينِ اللذَينِ قَدَّمناهما</w:t>
      </w:r>
      <w:r>
        <w:rPr>
          <w:rFonts w:eastAsia="Amiri" w:cs="Amiri" w:ascii="Amiri" w:hAnsi="Amiri"/>
          <w:color w:val="111111"/>
          <w:sz w:val="28"/>
          <w:szCs w:val="28"/>
          <w:rtl w:val="true"/>
          <w:lang w:bidi="ar-SA"/>
        </w:rPr>
        <w:t>.</w:t>
      </w:r>
      <w:r>
        <w:rPr>
          <w:rStyle w:val="FootnoteAnchor"/>
          <w:rtl w:val="true"/>
        </w:rPr>
        <w:footnoteReference w:id="613"/>
      </w:r>
    </w:p>
    <w:p>
      <w:pPr>
        <w:pStyle w:val="Heading5"/>
        <w:numPr>
          <w:ilvl w:val="4"/>
          <w:numId w:val="1"/>
        </w:numPr>
        <w:rPr/>
      </w:pPr>
      <w:bookmarkStart w:id="147" w:name="__RefHeading___Toc964095_2320776876"/>
      <w:bookmarkStart w:id="148" w:name="_Toc51"/>
      <w:bookmarkEnd w:id="147"/>
      <w:r>
        <w:rPr>
          <w:rtl w:val="true"/>
        </w:rPr>
        <w:t xml:space="preserve">نفي دلالة لفظة </w:t>
      </w:r>
      <w:r>
        <w:rPr>
          <w:rtl w:val="true"/>
        </w:rPr>
        <w:t>«</w:t>
      </w:r>
      <w:r>
        <w:rPr>
          <w:rtl w:val="true"/>
        </w:rPr>
        <w:t>الركوع</w:t>
      </w:r>
      <w:r>
        <w:rPr>
          <w:rtl w:val="true"/>
        </w:rPr>
        <w:t xml:space="preserve">» </w:t>
      </w:r>
      <w:r>
        <w:rPr>
          <w:rtl w:val="true"/>
        </w:rPr>
        <w:t>على التواضع و الخضوع</w:t>
      </w:r>
      <w:bookmarkEnd w:id="14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حَملُه لفظةَ </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التواضُعِ و الخُضوعِ </w:t>
      </w:r>
      <w:r>
        <w:rPr>
          <w:rStyle w:val="FootnoteAnchor"/>
          <w:rtl w:val="true"/>
        </w:rPr>
        <w:footnoteReference w:id="615"/>
      </w:r>
      <w:r>
        <w:rPr>
          <w:rFonts w:ascii="Amiri" w:hAnsi="Amiri" w:eastAsia="Amiri" w:cs="Amiri"/>
          <w:color w:val="111111"/>
          <w:sz w:val="28"/>
          <w:sz w:val="28"/>
          <w:szCs w:val="28"/>
          <w:rtl w:val="true"/>
          <w:lang w:bidi="ar-SA"/>
        </w:rPr>
        <w:t xml:space="preserve">فغَلَطٌ بيِّنٌ ؛ لأنّ الركوعَ لا </w:t>
      </w:r>
    </w:p>
    <w:p>
      <w:pPr>
        <w:pStyle w:val="BookText"/>
        <w:rPr/>
      </w:pPr>
      <w:r>
        <w:rPr>
          <w:rFonts w:ascii="Amiri" w:hAnsi="Amiri" w:eastAsia="Amiri" w:cs="Amiri"/>
          <w:color w:val="111111"/>
          <w:sz w:val="28"/>
          <w:sz w:val="28"/>
          <w:szCs w:val="28"/>
          <w:rtl w:val="true"/>
          <w:lang w:bidi="ar-SA"/>
        </w:rPr>
        <w:t>يُفهَمُ منه في اللُّغةِ و الشرعِ معاً إلّاالتطأطؤُ المخصوصُ‌</w:t>
      </w:r>
      <w:r>
        <w:rPr>
          <w:rStyle w:val="FootnoteAnchor"/>
          <w:rtl w:val="true"/>
        </w:rPr>
        <w:footnoteReference w:id="616"/>
      </w:r>
      <w:r>
        <w:rPr>
          <w:rFonts w:ascii="Amiri" w:hAnsi="Amiri" w:eastAsia="Amiri" w:cs="Amiri"/>
          <w:color w:val="111111"/>
          <w:sz w:val="28"/>
          <w:sz w:val="28"/>
          <w:szCs w:val="28"/>
          <w:rtl w:val="true"/>
          <w:lang w:bidi="ar-SA"/>
        </w:rPr>
        <w:t>، دونَ التواضُعِ و 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يوصَفُ الخاضعُ بأنّه راكعٌ علىٰ سَبيلِ التشبيهِ و المَجازِ لِما يَستَعمِلُه مِن التطامُنِ و تَركِ التطاوُلِ‌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r>
        <w:rPr>
          <w:rStyle w:val="FootnoteAnchor"/>
          <w:rtl w:val="true"/>
        </w:rPr>
        <w:footnoteReference w:id="6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يَنكَبُّ لوجهِه</w:t>
      </w:r>
      <w:r>
        <w:rPr>
          <w:rStyle w:val="FootnoteAnchor"/>
          <w:rtl w:val="true"/>
        </w:rPr>
        <w:footnoteReference w:id="618"/>
      </w:r>
      <w:r>
        <w:rPr>
          <w:rFonts w:ascii="Amiri" w:hAnsi="Amiri" w:eastAsia="Amiri" w:cs="Amiri"/>
          <w:color w:val="111111"/>
          <w:sz w:val="28"/>
          <w:sz w:val="28"/>
          <w:szCs w:val="28"/>
          <w:rtl w:val="true"/>
          <w:lang w:bidi="ar-SA"/>
        </w:rPr>
        <w:t>، فيَمَسُّ برُكبتَيه</w:t>
      </w:r>
      <w:r>
        <w:rPr>
          <w:rStyle w:val="FootnoteAnchor"/>
          <w:rtl w:val="true"/>
        </w:rPr>
        <w:footnoteReference w:id="619"/>
      </w:r>
      <w:r>
        <w:rPr>
          <w:rFonts w:ascii="Amiri" w:hAnsi="Amiri" w:eastAsia="Amiri" w:cs="Amiri"/>
          <w:color w:val="111111"/>
          <w:sz w:val="28"/>
          <w:sz w:val="28"/>
          <w:szCs w:val="28"/>
          <w:rtl w:val="true"/>
          <w:lang w:bidi="ar-SA"/>
        </w:rPr>
        <w:t>الأرضَ أو لا يَمَسُّ‌</w:t>
      </w:r>
      <w:r>
        <w:rPr>
          <w:rStyle w:val="FootnoteAnchor"/>
          <w:rtl w:val="true"/>
        </w:rPr>
        <w:footnoteReference w:id="620"/>
      </w:r>
      <w:r>
        <w:rPr>
          <w:rFonts w:ascii="Amiri" w:hAnsi="Amiri" w:eastAsia="Amiri" w:cs="Amiri"/>
          <w:color w:val="111111"/>
          <w:sz w:val="28"/>
          <w:sz w:val="28"/>
          <w:szCs w:val="28"/>
          <w:rtl w:val="true"/>
          <w:lang w:bidi="ar-SA"/>
        </w:rPr>
        <w:t>بعد أن يُطأطئَ‌</w:t>
      </w:r>
      <w:r>
        <w:rPr>
          <w:rStyle w:val="FootnoteAnchor"/>
          <w:rtl w:val="true"/>
        </w:rPr>
        <w:footnoteReference w:id="621"/>
      </w:r>
      <w:r>
        <w:rPr>
          <w:rFonts w:ascii="Amiri" w:hAnsi="Amiri" w:eastAsia="Amiri" w:cs="Amiri"/>
          <w:color w:val="111111"/>
          <w:sz w:val="28"/>
          <w:sz w:val="28"/>
          <w:szCs w:val="28"/>
          <w:rtl w:val="true"/>
          <w:lang w:bidi="ar-SA"/>
        </w:rPr>
        <w:t xml:space="preserve">رأسَه، فهو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للَبيدٍ</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كان معروفاً بالتديّن و الاتّصال باللّٰه أيّام الجاهليّة، فلم يذكر صنماً في شعره، و لا دعا لغير عبادة اللّٰه تعالى، حتّى إذا ما أدرك الإسلام جهر بإسلامه بعد وقعة أُحد حينما بعثه قومه إلى النبيّ صلّى اللّٰه عليه و آله لتطّلع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إليهم و قد أسلم على يده، و هو يحفظ سوراً من القرآن و يحدّثهم بالبعث و الحشر و مفاهيم الإسلام، حتّى عدّ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الشعر بعد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هاجر بعد ذلك إلى الكوفة أيّام عمر بن الخطّاب، و كان أثناء إقامته بالكوفة يعدّ من القرّاء، و يقضي أكثر أوقاته في المسجد، أو عاكفاً على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بها ليلة نزل معاوية النخيلة لمصالحة الإمام الحسن بن عليّ عليهما السلام في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البيت المشار إليه في المتن من قصيدة تشمل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بَلينا و ما تَبلَى النجومُ الطوالعُ و تَبقَى الديارُ بَعدَنا و المَصانِعُ</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 أخبارَ القُرونِ التي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كَأَنّي كُلَّما قُمْتُ راكِعُ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و قالَ صاحبُ الجَمهَرةِ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 عدّه ابن شهر آشوب في معالم العلماء من شعراء أهل البيت عليهم السلام، و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النبيَّ محمّداً و وَصيَّهُ وَ ابْنَيْهِ وَ ابْنَتَهُ البتولَ الطاهِرَهْ</w:t>
      </w:r>
    </w:p>
    <w:p>
      <w:pPr>
        <w:pStyle w:val="BookText"/>
        <w:rPr/>
      </w:pPr>
      <w:r>
        <w:rPr>
          <w:rFonts w:ascii="Amiri" w:hAnsi="Amiri" w:eastAsia="Amiri" w:cs="Amiri"/>
          <w:color w:val="111111"/>
          <w:sz w:val="28"/>
          <w:sz w:val="28"/>
          <w:szCs w:val="28"/>
          <w:rtl w:val="true"/>
          <w:lang w:bidi="ar-SA"/>
        </w:rPr>
        <w:t>أَهْلَ الولاءِ فإنّني بولائهم أرجُو السلامَةَ و النَّجا في الآخِرَهْ</w:t>
      </w:r>
    </w:p>
    <w:p>
      <w:pPr>
        <w:pStyle w:val="BookText"/>
        <w:rPr/>
      </w:pPr>
      <w:r>
        <w:rPr>
          <w:rFonts w:ascii="Amiri" w:hAnsi="Amiri" w:eastAsia="Amiri" w:cs="Amiri"/>
          <w:color w:val="111111"/>
          <w:sz w:val="28"/>
          <w:sz w:val="28"/>
          <w:szCs w:val="28"/>
          <w:rtl w:val="true"/>
          <w:lang w:bidi="ar-SA"/>
        </w:rPr>
        <w:t>و أرَىٰ مَحَبّةَ من يقولُ بِفَضْلِهِم سبباً يُجيرُ من السبيلِ الجائِرَهْ</w:t>
      </w:r>
    </w:p>
    <w:p>
      <w:pPr>
        <w:pStyle w:val="BookText"/>
        <w:rPr/>
      </w:pPr>
      <w:r>
        <w:rPr>
          <w:rFonts w:ascii="Amiri" w:hAnsi="Amiri" w:eastAsia="Amiri" w:cs="Amiri"/>
          <w:color w:val="111111"/>
          <w:sz w:val="28"/>
          <w:sz w:val="28"/>
          <w:szCs w:val="28"/>
          <w:rtl w:val="true"/>
          <w:lang w:bidi="ar-SA"/>
        </w:rPr>
        <w:t>أرجو بذاك رِضا المُهَيمِنِ وَحْدَهُ يَومَ الوقوفِ على ظُهورِ الساهِرَهْ</w:t>
      </w:r>
    </w:p>
    <w:p>
      <w:pPr>
        <w:pStyle w:val="BookText"/>
        <w:rPr/>
      </w:pPr>
      <w:r>
        <w:rPr>
          <w:rFonts w:ascii="Amiri" w:hAnsi="Amiri" w:eastAsia="Amiri" w:cs="Amiri"/>
          <w:color w:val="111111"/>
          <w:sz w:val="28"/>
          <w:sz w:val="28"/>
          <w:szCs w:val="28"/>
          <w:rtl w:val="true"/>
          <w:lang w:bidi="ar-SA"/>
        </w:rPr>
        <w:t xml:space="preserve">معجم الشعراء، 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 الفهرست لابن النديم،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معجم الأُدباء،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يَكبو علىٰ وجهِه، و منه الركوعُ في الصلاةِ ؛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أفلَتَ حاجِبٌ فَوتَ </w:t>
      </w:r>
      <w:r>
        <w:rPr>
          <w:rStyle w:val="FootnoteAnchor"/>
          <w:rtl w:val="true"/>
        </w:rPr>
        <w:footnoteReference w:id="625"/>
      </w:r>
      <w:r>
        <w:rPr>
          <w:rFonts w:ascii="Amiri" w:hAnsi="Amiri" w:eastAsia="Amiri" w:cs="Amiri"/>
          <w:color w:val="111111"/>
          <w:sz w:val="28"/>
          <w:sz w:val="28"/>
          <w:szCs w:val="28"/>
          <w:rtl w:val="true"/>
          <w:lang w:bidi="ar-SA"/>
        </w:rPr>
        <w:t xml:space="preserve">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شَقّاءَ </w:t>
      </w:r>
      <w:r>
        <w:rPr>
          <w:rStyle w:val="FootnoteAnchor"/>
          <w:rtl w:val="true"/>
        </w:rPr>
        <w:footnoteReference w:id="626"/>
      </w:r>
      <w:r>
        <w:rPr>
          <w:rFonts w:ascii="Amiri" w:hAnsi="Amiri" w:eastAsia="Amiri" w:cs="Amiri"/>
          <w:color w:val="111111"/>
          <w:sz w:val="28"/>
          <w:sz w:val="28"/>
          <w:szCs w:val="28"/>
          <w:rtl w:val="true"/>
          <w:lang w:bidi="ar-SA"/>
        </w:rPr>
        <w:t>تَركَعُ في الظِّرابِ</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 xml:space="preserve">؛ الشعر و الشعراء،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w:t>
      </w:r>
      <w:bookmarkStart w:id="149" w:name="pg20017_202423"/>
    </w:p>
    <w:p>
      <w:pPr>
        <w:pStyle w:val="BookText"/>
        <w:rPr/>
      </w:pPr>
      <w:bookmarkEnd w:id="149"/>
      <w:r>
        <w:rPr>
          <w:rFonts w:ascii="Amiri" w:hAnsi="Amiri" w:eastAsia="Amiri" w:cs="Amiri"/>
          <w:color w:val="111111"/>
          <w:sz w:val="28"/>
          <w:sz w:val="28"/>
          <w:szCs w:val="28"/>
          <w:rtl w:val="true"/>
          <w:lang w:bidi="ar-SA"/>
        </w:rPr>
        <w:t>أي تَكبو</w:t>
      </w:r>
      <w:r>
        <w:rPr>
          <w:rStyle w:val="FootnoteAnchor"/>
          <w:rtl w:val="true"/>
        </w:rPr>
        <w:footnoteReference w:id="627"/>
      </w:r>
      <w:r>
        <w:rPr>
          <w:rFonts w:ascii="Amiri" w:hAnsi="Amiri" w:eastAsia="Amiri" w:cs="Amiri"/>
          <w:color w:val="111111"/>
          <w:sz w:val="28"/>
          <w:sz w:val="28"/>
          <w:szCs w:val="28"/>
          <w:rtl w:val="true"/>
          <w:lang w:bidi="ar-SA"/>
        </w:rPr>
        <w:t>علىٰ وجهِها</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 إذا</w:t>
      </w:r>
      <w:r>
        <w:rPr>
          <w:rStyle w:val="FootnoteAnchor"/>
          <w:rtl w:val="true"/>
        </w:rPr>
        <w:footnoteReference w:id="629"/>
      </w:r>
      <w:r>
        <w:rPr>
          <w:rFonts w:ascii="Amiri" w:hAnsi="Amiri" w:eastAsia="Amiri" w:cs="Amiri"/>
          <w:color w:val="111111"/>
          <w:sz w:val="28"/>
          <w:sz w:val="28"/>
          <w:szCs w:val="28"/>
          <w:rtl w:val="true"/>
          <w:lang w:bidi="ar-SA"/>
        </w:rPr>
        <w:t xml:space="preserve">ثَبَتَ أنّ الحقيقةَ في الركوعِ ما ذَكرناه، لَم يَسُغْ حَملُه علَى المَجازِ لغَيرِ ضرورةٍ </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964097_2320776876"/>
      <w:bookmarkStart w:id="151" w:name="_Toc52"/>
      <w:bookmarkEnd w:id="150"/>
      <w:r>
        <w:rPr>
          <w:rtl w:val="true"/>
        </w:rPr>
        <w:t>بيان عدم التنافي بين إيتاء الزكاة و الاشتغال بالصلاة</w:t>
      </w:r>
      <w:bookmarkEnd w:id="151"/>
    </w:p>
    <w:p>
      <w:pPr>
        <w:pStyle w:val="BookText"/>
        <w:rPr/>
      </w:pPr>
      <w:r>
        <w:rPr>
          <w:rFonts w:ascii="Amiri" w:hAnsi="Amiri" w:eastAsia="Amiri" w:cs="Amiri"/>
          <w:color w:val="111111"/>
          <w:sz w:val="28"/>
          <w:sz w:val="28"/>
          <w:szCs w:val="28"/>
          <w:rtl w:val="true"/>
          <w:lang w:bidi="ar-SA"/>
        </w:rPr>
        <w:t>و يُقالُ 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المَدحِ إيتاءُ الزكاةِ مع الاشتغالِ بالصلاةِ‌، و إنّ الواجبَ علَى الراكعِ أن يَصرِفَ هِمّتَه إلىٰ 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لا يَكونُ ما ذَكَرتَه</w:t>
      </w:r>
      <w:r>
        <w:rPr>
          <w:rStyle w:val="FootnoteAnchor"/>
          <w:rtl w:val="true"/>
        </w:rPr>
        <w:footnoteReference w:id="630"/>
      </w:r>
      <w:r>
        <w:rPr>
          <w:rFonts w:ascii="Amiri" w:hAnsi="Amiri" w:eastAsia="Amiri" w:cs="Amiri"/>
          <w:color w:val="111111"/>
          <w:sz w:val="28"/>
          <w:sz w:val="28"/>
          <w:szCs w:val="28"/>
          <w:rtl w:val="true"/>
          <w:lang w:bidi="ar-SA"/>
        </w:rPr>
        <w:t>مَدحاً إذا كانَ قَطعاً للصلاةِ و انصرافاً عن الاهتمامِ بها و الإقبالِ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كانَ مع القيامِ بحُدودِها و الأداءِ بشُروطِها، فلا يَمتَنِعُ أن يَكونَ مَدحاً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الخبرَ الذي بيّنّا ورودَه مِن طريقَينِ مُختَلِفَينِ </w:t>
      </w:r>
      <w:r>
        <w:rPr>
          <w:rStyle w:val="FootnoteAnchor"/>
          <w:rtl w:val="true"/>
        </w:rPr>
        <w:footnoteReference w:id="631"/>
      </w:r>
      <w:r>
        <w:rPr>
          <w:rFonts w:ascii="Amiri" w:hAnsi="Amiri" w:eastAsia="Amiri" w:cs="Amiri"/>
          <w:color w:val="111111"/>
          <w:sz w:val="28"/>
          <w:sz w:val="28"/>
          <w:szCs w:val="28"/>
          <w:rtl w:val="true"/>
          <w:lang w:bidi="ar-SA"/>
        </w:rPr>
        <w:t>مُبطِلٌ لتأويلِه هذا</w:t>
      </w:r>
      <w:r>
        <w:rPr>
          <w:rStyle w:val="FootnoteAnchor"/>
          <w:rtl w:val="true"/>
        </w:rPr>
        <w:footnoteReference w:id="632"/>
      </w:r>
      <w:r>
        <w:rPr>
          <w:rFonts w:ascii="Amiri" w:hAnsi="Amiri" w:eastAsia="Amiri" w:cs="Amiri"/>
          <w:color w:val="111111"/>
          <w:sz w:val="28"/>
          <w:sz w:val="28"/>
          <w:szCs w:val="28"/>
          <w:rtl w:val="true"/>
          <w:lang w:bidi="ar-SA"/>
        </w:rPr>
        <w:t xml:space="preserve">لأنّ الروايةَ وَرَدَت بأنّ النبيَّ صَلّى اللّٰهُ عليه و آلِه لمّا خَرَجَ إلَى المَسجِدِ و سَألَ عمّن تَصدَّقَ علَى السائلِ ، فعَرَفَ أنّ أميرَ المؤمنينَ عليه السلامُ تَصَدَّقَ بخاتَمِه و هو راكعٌ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قد</w:t>
      </w:r>
      <w:r>
        <w:rPr>
          <w:rStyle w:val="FootnoteAnchor"/>
          <w:rtl w:val="true"/>
        </w:rPr>
        <w:footnoteReference w:id="633"/>
      </w:r>
      <w:r>
        <w:rPr>
          <w:rFonts w:ascii="Amiri" w:hAnsi="Amiri" w:eastAsia="Amiri" w:cs="Amiri"/>
          <w:color w:val="111111"/>
          <w:sz w:val="28"/>
          <w:sz w:val="28"/>
          <w:szCs w:val="28"/>
          <w:rtl w:val="true"/>
          <w:lang w:bidi="ar-SA"/>
        </w:rPr>
        <w:t>أنزَلَ فيه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الآيتَينِ </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 في هذا دَلالةٌ واضحةٌ علىٰ أنّ فِعلَه عليه السلامُ وَقَعَ علىٰ غايةِ ما يَقتَضي المَدحَ و التعظيمَ‌؛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يَتَنافَى</w:t>
      </w:r>
      <w:r>
        <w:rPr>
          <w:rStyle w:val="FootnoteAnchor"/>
          <w:rtl w:val="true"/>
        </w:rPr>
        <w:footnoteReference w:id="635"/>
      </w:r>
      <w:r>
        <w:rPr>
          <w:rFonts w:ascii="Amiri" w:hAnsi="Amiri" w:eastAsia="Amiri" w:cs="Amiri"/>
          <w:color w:val="111111"/>
          <w:sz w:val="28"/>
          <w:sz w:val="28"/>
          <w:szCs w:val="28"/>
          <w:rtl w:val="true"/>
          <w:lang w:bidi="ar-SA"/>
        </w:rPr>
        <w:t>الجَمعُ بَينَ الصلاةِ و الزكاةِ؟</w:t>
      </w:r>
    </w:p>
    <w:p>
      <w:pPr>
        <w:pStyle w:val="BookText"/>
        <w:rPr/>
      </w:pPr>
      <w:r>
        <w:rPr>
          <w:rFonts w:ascii="Amiri" w:hAnsi="Amiri" w:eastAsia="Amiri" w:cs="Amiri"/>
          <w:color w:val="111111"/>
          <w:sz w:val="28"/>
          <w:sz w:val="28"/>
          <w:szCs w:val="28"/>
          <w:rtl w:val="true"/>
          <w:lang w:bidi="ar-SA"/>
        </w:rPr>
        <w:t>و بَعدُ، فإنّا لَم نَجعَلْ إيتاءَ الزكاةِ في حالِ الركوعِ جهةً لفَضلِ الزكاةِ حتّىٰ يَجِبَ الحُكمُ بأنّ فِعلَها في حالِ الركوعِ أفضَلُ‌، بل مَخرَجُ الكلامِ يَدُلُّ علىٰ أنّه وُصِفَ‌</w:t>
      </w:r>
      <w:r>
        <w:rPr>
          <w:rStyle w:val="FootnoteAnchor"/>
          <w:rtl w:val="true"/>
        </w:rPr>
        <w:footnoteReference w:id="636"/>
      </w:r>
      <w:r>
        <w:rPr>
          <w:rFonts w:ascii="Amiri" w:hAnsi="Amiri" w:eastAsia="Amiri" w:cs="Amiri"/>
          <w:color w:val="111111"/>
          <w:sz w:val="28"/>
          <w:sz w:val="28"/>
          <w:szCs w:val="28"/>
          <w:rtl w:val="true"/>
          <w:lang w:bidi="ar-SA"/>
        </w:rPr>
        <w:t>بإيتاءِ الزكاةِ في حالِ الركوعِ المذكورِ أوّلاً علىٰ سَبيلِ التمييزِ له مِن غيرِه و التعريفِ‌</w:t>
      </w:r>
      <w:r>
        <w:rPr>
          <w:rStyle w:val="FootnoteAnchor"/>
          <w:rtl w:val="true"/>
        </w:rPr>
        <w:footnoteReference w:id="637"/>
      </w:r>
      <w:r>
        <w:rPr>
          <w:rFonts w:ascii="Amiri" w:hAnsi="Amiri" w:eastAsia="Amiri" w:cs="Amiri"/>
          <w:color w:val="111111"/>
          <w:sz w:val="28"/>
          <w:sz w:val="28"/>
          <w:szCs w:val="28"/>
          <w:rtl w:val="true"/>
          <w:lang w:bidi="ar-SA"/>
        </w:rPr>
        <w:t>فكأنّه تَعالىٰ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يُعرِّفَ مَن عَناه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الصَّلاٰةَ وَ يُؤْتُونَ الزَّكٰاةَ وَ 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وجهَ الكلامِ و إن كانَ ما ذَكرناه، فلا بُدَّ أن يَكونَ في إعطائه الزكاةَ في</w:t>
      </w:r>
    </w:p>
    <w:p>
      <w:pPr>
        <w:pStyle w:val="BookText"/>
        <w:rPr/>
      </w:pPr>
      <w:r>
        <w:rPr>
          <w:rFonts w:ascii="Amiri" w:hAnsi="Amiri" w:eastAsia="Amiri" w:cs="Amiri"/>
          <w:color w:val="111111"/>
          <w:sz w:val="28"/>
          <w:sz w:val="28"/>
          <w:szCs w:val="28"/>
          <w:rtl w:val="true"/>
          <w:lang w:bidi="ar-SA"/>
        </w:rPr>
        <w:t xml:space="preserve">حالِ الركوعِ غايةُ الفَضلِ و أعلىٰ وجوهِ القُربِ ؛ بدَليلِ نُزولِ </w:t>
      </w:r>
      <w:r>
        <w:rPr>
          <w:rStyle w:val="FootnoteAnchor"/>
          <w:rtl w:val="true"/>
        </w:rPr>
        <w:footnoteReference w:id="638"/>
      </w:r>
      <w:r>
        <w:rPr>
          <w:rFonts w:ascii="Amiri" w:hAnsi="Amiri" w:eastAsia="Amiri" w:cs="Amiri"/>
          <w:color w:val="111111"/>
          <w:sz w:val="28"/>
          <w:sz w:val="28"/>
          <w:szCs w:val="28"/>
          <w:rtl w:val="true"/>
          <w:lang w:bidi="ar-SA"/>
        </w:rPr>
        <w:t xml:space="preserve">الآيةِ الموجِبةِ للمَدحِ و التعظيمِ فيه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w:t>
      </w:r>
      <w:r>
        <w:rPr>
          <w:rStyle w:val="FootnoteAnchor"/>
          <w:rtl w:val="true"/>
        </w:rPr>
        <w:footnoteReference w:id="639"/>
      </w:r>
      <w:r>
        <w:rPr>
          <w:rFonts w:ascii="Amiri" w:hAnsi="Amiri" w:eastAsia="Amiri" w:cs="Amiri"/>
          <w:color w:val="111111"/>
          <w:sz w:val="28"/>
          <w:sz w:val="28"/>
          <w:szCs w:val="28"/>
          <w:rtl w:val="true"/>
          <w:lang w:bidi="ar-SA"/>
        </w:rPr>
        <w:t xml:space="preserve">وَقَعَ مِن مَدحِه عليه السلامُ أيضاً يُعلَمُ أنّ فِعلَه للزكاةِ لَم يَكُن شاغلاً عن القيامِ بحُدودِ الصلاةِ </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أَورَدَ كلاماً يَتَضَمَّنُ أنّ إثباتَه عليه السلامُ وليّاً لنا لا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التفسير الكبير،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غرائب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مع اختلاف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يَمنَعُ مِن كَونِ غيرِه بهذه الصفةِ‌</w:t>
      </w:r>
      <w:r>
        <w:rPr>
          <w:rStyle w:val="FootnoteAnchor"/>
          <w:rtl w:val="true"/>
        </w:rPr>
        <w:footnoteReference w:id="641"/>
      </w:r>
      <w:r>
        <w:rPr>
          <w:rFonts w:ascii="Amiri" w:hAnsi="Amiri" w:eastAsia="Amiri" w:cs="Amiri"/>
          <w:color w:val="111111"/>
          <w:sz w:val="28"/>
          <w:sz w:val="28"/>
          <w:szCs w:val="28"/>
          <w:rtl w:val="true"/>
          <w:lang w:bidi="ar-SA"/>
        </w:rPr>
        <w:t xml:space="preserve">، و قد تَقَدَّمَ الكلامُ علىٰ ذلكَ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فإن صَحَّ أنّه المُختَصُّ بذلكَ ، فمِن أينَ أنّه يَختَصُّ بهذه الصفةِ في وقتٍ مُعيَّنٍ و لا ذِكرَ للأوقاتِ فيه ؟</w:t>
      </w:r>
    </w:p>
    <w:p>
      <w:pPr>
        <w:pStyle w:val="BookText"/>
        <w:rPr/>
      </w:pPr>
      <w:r>
        <w:rPr>
          <w:rFonts w:ascii="IRNazanin" w:hAnsi="IRNazanin" w:eastAsia="IRNazanin"/>
          <w:color w:val="111111"/>
          <w:sz w:val="28"/>
          <w:sz w:val="28"/>
          <w:szCs w:val="28"/>
          <w:rtl w:val="true"/>
          <w:lang w:bidi="fa-IR"/>
        </w:rPr>
        <w:t>فإن</w:t>
      </w:r>
      <w:r>
        <w:rPr>
          <w:rStyle w:val="FootnoteAnchor"/>
          <w:rtl w:val="true"/>
        </w:rPr>
        <w:footnoteReference w:id="64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تَعالىٰ أثبَتَه كذلكَ ، فيَجِبُ أن يَكونَ هذا الحُكمُ ثابتاً له في كُلِّ 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إنّما يَقتَضي أنّه كذلكَ في حالِ الخِطابِ‌، و قد عَلِمنا أنّه لا يَصِحُّ أن يَكونَ إماماً مع الرسولِ عليه السلامُ‌، فلا يَصِحُّ التعَلُّقُ بظاهرِه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 مِن بَعدُ في بعضِ الأحوالِ‌، فقَد زالوا عن الظاهرِ، و لَيسوا بذلكَ أَولىٰ ممّن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 في الوقتِ الذي ثَبَتَ أنّه إمامٌ فيه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لَو سُلِّمَ‌</w:t>
      </w:r>
      <w:r>
        <w:rPr>
          <w:rStyle w:val="FootnoteAnchor"/>
          <w:rtl w:val="true"/>
        </w:rPr>
        <w:footnoteReference w:id="646"/>
      </w:r>
      <w:r>
        <w:rPr>
          <w:rFonts w:ascii="Amiri" w:hAnsi="Amiri" w:eastAsia="Amiri" w:cs="Amiri"/>
          <w:color w:val="111111"/>
          <w:sz w:val="28"/>
          <w:sz w:val="28"/>
          <w:szCs w:val="28"/>
          <w:rtl w:val="true"/>
          <w:lang w:bidi="ar-SA"/>
        </w:rPr>
        <w:t>أنّ المُرادَ بالوليِّ ما ذَكَروه</w:t>
      </w:r>
      <w:r>
        <w:rPr>
          <w:rStyle w:val="FootnoteAnchor"/>
          <w:rtl w:val="true"/>
        </w:rPr>
        <w:footnoteReference w:id="647"/>
      </w:r>
      <w:r>
        <w:rPr>
          <w:rFonts w:ascii="Amiri" w:hAnsi="Amiri" w:eastAsia="Amiri" w:cs="Amiri"/>
          <w:color w:val="111111"/>
          <w:sz w:val="28"/>
          <w:sz w:val="28"/>
          <w:szCs w:val="28"/>
          <w:rtl w:val="true"/>
          <w:lang w:bidi="ar-SA"/>
        </w:rPr>
        <w:t xml:space="preserve">، فكَيفَ و ذلكَ غيرُ ثابتٍ ؛ لأنّه </w:t>
      </w:r>
      <w:bookmarkStart w:id="152" w:name="pg20017_202426"/>
    </w:p>
    <w:p>
      <w:pPr>
        <w:pStyle w:val="BookText"/>
        <w:rPr/>
      </w:pPr>
      <w:bookmarkEnd w:id="152"/>
      <w:r>
        <w:rPr>
          <w:rFonts w:ascii="Amiri" w:hAnsi="Amiri" w:eastAsia="Amiri" w:cs="Amiri"/>
          <w:color w:val="111111"/>
          <w:sz w:val="28"/>
          <w:sz w:val="28"/>
          <w:szCs w:val="28"/>
          <w:rtl w:val="true"/>
          <w:lang w:bidi="ar-SA"/>
        </w:rPr>
        <w:t>تَعالىٰ بَدَأَ بذِكرِ نفسِه، و لا يَصِحُّ أن يوصَفَ تَعالىٰ بأنّه وليُّنا بمَعنىٰ إمضاءِ الحُدودِ و الأحكامِ علَى الحَدِّ الذي يوصَفُ به الإمامُ ؛ بَل لا يُقالُ ذلكَ في الرسولِ صلّى اللّٰه عليه و آله،</w:t>
      </w:r>
      <w:r>
        <w:rPr>
          <w:rStyle w:val="FootnoteAnchor"/>
          <w:rtl w:val="true"/>
        </w:rPr>
        <w:footnoteReference w:id="648"/>
      </w:r>
      <w:r>
        <w:rPr>
          <w:rFonts w:ascii="Amiri" w:hAnsi="Amiri" w:eastAsia="Amiri" w:cs="Amiri"/>
          <w:color w:val="111111"/>
          <w:sz w:val="28"/>
          <w:sz w:val="28"/>
          <w:szCs w:val="28"/>
          <w:rtl w:val="true"/>
          <w:lang w:bidi="ar-SA"/>
        </w:rPr>
        <w:t>فلا بُدَّ مِن</w:t>
      </w:r>
      <w:r>
        <w:rPr>
          <w:rStyle w:val="FootnoteAnchor"/>
          <w:rtl w:val="true"/>
        </w:rPr>
        <w:footnoteReference w:id="649"/>
      </w:r>
      <w:r>
        <w:rPr>
          <w:rFonts w:ascii="Amiri" w:hAnsi="Amiri" w:eastAsia="Amiri" w:cs="Amiri"/>
          <w:color w:val="111111"/>
          <w:sz w:val="28"/>
          <w:sz w:val="28"/>
          <w:szCs w:val="28"/>
          <w:rtl w:val="true"/>
          <w:lang w:bidi="ar-SA"/>
        </w:rPr>
        <w:t>أن يَكونَ محمولاً علىٰ تَوَلّي النُّصرةِ في بابِ الدِّينِ ، و ذلكَ ممّا لا يَختَصُّ بالإمامةِ ، و لذلكَ قالَ مِن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 رَسُولَهُ وَ الَّذِينَ آمَنُوا فَإِنَّ حِزْبَ اللّٰهِ هُمُ</w:t>
      </w:r>
    </w:p>
    <w:p>
      <w:pPr>
        <w:pStyle w:val="BookText"/>
        <w:rPr/>
      </w:pPr>
      <w:r>
        <w:rPr>
          <w:rFonts w:ascii="Amiri" w:hAnsi="Amiri" w:eastAsia="Amiri" w:cs="Amiri"/>
          <w:color w:val="111111"/>
          <w:sz w:val="28"/>
          <w:sz w:val="28"/>
          <w:szCs w:val="28"/>
          <w:rtl w:val="true"/>
          <w:lang w:bidi="ar-SA"/>
        </w:rPr>
        <w:t xml:space="preserve">اَلْغٰالِبُونَ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فبَيَّنَ ما يَحصُلُ لِمَن يَتوَلَّى اللّٰهَ‌</w:t>
      </w:r>
      <w:r>
        <w:rPr>
          <w:rStyle w:val="FootnoteAnchor"/>
          <w:rtl w:val="true"/>
        </w:rPr>
        <w:footnoteReference w:id="652"/>
      </w:r>
      <w:r>
        <w:rPr>
          <w:rFonts w:ascii="Amiri" w:hAnsi="Amiri" w:eastAsia="Amiri" w:cs="Amiri"/>
          <w:color w:val="111111"/>
          <w:sz w:val="28"/>
          <w:sz w:val="28"/>
          <w:szCs w:val="28"/>
          <w:rtl w:val="true"/>
          <w:lang w:bidi="ar-SA"/>
        </w:rPr>
        <w:t>مِن الغَلَبةِ و الظفَرِ، و ذلكَ لا يَليقُ إلّا بتَوَلّي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ذَكَرَ في الآيةِ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الآيةِ </w:t>
      </w:r>
      <w:r>
        <w:rPr>
          <w:rStyle w:val="FootnoteAnchor"/>
          <w:rtl w:val="true"/>
        </w:rPr>
        <w:footnoteReference w:id="653"/>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فَصَلَ بَينَ الإضافتَينِ ليُبَيِّنَ أنّ المُرادَ تَوَلّي النُّصرةِ في بابِ الدِّينِ ؛ لأنّ ذلكَ هو الذي يَقَعُ فيه الاشتراكُ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أحَدُهما وليّاً للآخَرِ، كانَ الآخَرُ وليّاً له و مُتَوَلّياً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بَيِّنٌ في صحّةِ ما ذَكرناه</w:t>
      </w:r>
      <w:r>
        <w:rPr>
          <w:rFonts w:eastAsia="Amiri" w:cs="Amiri" w:ascii="Amiri" w:hAnsi="Amiri"/>
          <w:color w:val="111111"/>
          <w:sz w:val="28"/>
          <w:szCs w:val="28"/>
          <w:rtl w:val="true"/>
          <w:lang w:bidi="ar-SA"/>
        </w:rPr>
        <w:t>].</w:t>
      </w:r>
      <w:r>
        <w:rPr>
          <w:rStyle w:val="FootnoteAnchor"/>
          <w:rtl w:val="true"/>
        </w:rPr>
        <w:footnoteReference w:id="654"/>
      </w:r>
    </w:p>
    <w:p>
      <w:pPr>
        <w:pStyle w:val="Heading5"/>
        <w:numPr>
          <w:ilvl w:val="4"/>
          <w:numId w:val="1"/>
        </w:numPr>
        <w:rPr/>
      </w:pPr>
      <w:bookmarkStart w:id="153" w:name="__RefHeading___Toc964099_2320776876"/>
      <w:bookmarkStart w:id="154" w:name="_Toc53"/>
      <w:bookmarkEnd w:id="153"/>
      <w:r>
        <w:rPr>
          <w:rtl w:val="true"/>
        </w:rPr>
        <w:t>بيان دلالة الآية علىٰ إمامة أمير المؤمنين عليه السلام بعد الرسول صلى الله عليه و آله بلا فصل</w:t>
      </w:r>
      <w:bookmarkEnd w:id="15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يَدُلُّ علَى اختصاصِه عليه السلامُ بموجَبِ الآيةِ في الوقتِ الذي ثَبَتَ‌</w:t>
      </w:r>
      <w:r>
        <w:rPr>
          <w:rStyle w:val="FootnoteAnchor"/>
          <w:rtl w:val="true"/>
        </w:rPr>
        <w:footnoteReference w:id="655"/>
      </w:r>
      <w:r>
        <w:rPr>
          <w:rFonts w:ascii="Amiri" w:hAnsi="Amiri" w:eastAsia="Amiri" w:cs="Amiri"/>
          <w:color w:val="111111"/>
          <w:sz w:val="28"/>
          <w:sz w:val="28"/>
          <w:szCs w:val="28"/>
          <w:rtl w:val="true"/>
          <w:lang w:bidi="ar-SA"/>
        </w:rPr>
        <w:t>له الإمامةُ فيه عندَنا، فهو أنّ كُلَّ مَن أوجَبَ بهذه الآيةِ له عليه السلامُ‌</w:t>
      </w:r>
      <w:r>
        <w:rPr>
          <w:rStyle w:val="FootnoteAnchor"/>
          <w:rtl w:val="true"/>
        </w:rPr>
        <w:footnoteReference w:id="656"/>
      </w:r>
      <w:r>
        <w:rPr>
          <w:rFonts w:ascii="Amiri" w:hAnsi="Amiri" w:eastAsia="Amiri" w:cs="Amiri"/>
          <w:color w:val="111111"/>
          <w:sz w:val="28"/>
          <w:sz w:val="28"/>
          <w:szCs w:val="28"/>
          <w:rtl w:val="true"/>
          <w:lang w:bidi="ar-SA"/>
        </w:rPr>
        <w:t>الإمامةَ علىٰ سَبيلِ الاختصاصِ ، أَوجَبَها بَعدَ الرسولِ صَلّى اللّٰهُ عليه و آلِه</w:t>
      </w:r>
      <w:r>
        <w:rPr>
          <w:rStyle w:val="FootnoteAnchor"/>
          <w:rtl w:val="true"/>
        </w:rPr>
        <w:footnoteReference w:id="657"/>
      </w:r>
      <w:r>
        <w:rPr>
          <w:rFonts w:ascii="Amiri" w:hAnsi="Amiri" w:eastAsia="Amiri" w:cs="Amiri"/>
          <w:color w:val="111111"/>
          <w:sz w:val="28"/>
          <w:sz w:val="28"/>
          <w:szCs w:val="28"/>
          <w:rtl w:val="true"/>
          <w:lang w:bidi="ar-SA"/>
        </w:rPr>
        <w:t>بِلا فَصلٍ ، و لَيسَ يُعتَمَدُ</w:t>
      </w:r>
      <w:r>
        <w:rPr>
          <w:rStyle w:val="FootnoteAnchor"/>
          <w:rtl w:val="true"/>
        </w:rPr>
        <w:footnoteReference w:id="658"/>
      </w:r>
      <w:r>
        <w:rPr>
          <w:rFonts w:ascii="Amiri" w:hAnsi="Amiri" w:eastAsia="Amiri" w:cs="Amiri"/>
          <w:color w:val="111111"/>
          <w:sz w:val="28"/>
          <w:sz w:val="28"/>
          <w:szCs w:val="28"/>
          <w:rtl w:val="true"/>
          <w:lang w:bidi="ar-SA"/>
        </w:rPr>
        <w:t xml:space="preserve">علىٰ ما حَكاه مِن أنّ الظاهرَ إثباتُ الحُكمِ في كُلِّ وقتٍ </w:t>
      </w:r>
      <w:r>
        <w:rPr>
          <w:rFonts w:eastAsia="Amiri" w:cs="Amiri" w:ascii="Amiri" w:hAnsi="Amiri"/>
          <w:color w:val="111111"/>
          <w:sz w:val="28"/>
          <w:szCs w:val="28"/>
          <w:rtl w:val="true"/>
          <w:lang w:bidi="ar-SA"/>
        </w:rPr>
        <w:t xml:space="preserve">. </w:t>
      </w:r>
      <w:bookmarkStart w:id="155" w:name="pg20017_202427"/>
    </w:p>
    <w:p>
      <w:pPr>
        <w:pStyle w:val="BookText"/>
        <w:rPr/>
      </w:pPr>
      <w:bookmarkEnd w:id="155"/>
      <w:r>
        <w:rPr>
          <w:rFonts w:ascii="Amiri" w:hAnsi="Amiri" w:eastAsia="Amiri" w:cs="Amiri"/>
          <w:color w:val="111111"/>
          <w:sz w:val="28"/>
          <w:sz w:val="28"/>
          <w:szCs w:val="28"/>
          <w:rtl w:val="true"/>
          <w:lang w:bidi="ar-SA"/>
        </w:rPr>
        <w:t>و مَن قالَ بذلكَ‌</w:t>
      </w:r>
      <w:r>
        <w:rPr>
          <w:rStyle w:val="FootnoteAnchor"/>
          <w:rtl w:val="true"/>
        </w:rPr>
        <w:footnoteReference w:id="659"/>
      </w:r>
      <w:r>
        <w:rPr>
          <w:rFonts w:ascii="Amiri" w:hAnsi="Amiri" w:eastAsia="Amiri" w:cs="Amiri"/>
          <w:color w:val="111111"/>
          <w:sz w:val="28"/>
          <w:sz w:val="28"/>
          <w:szCs w:val="28"/>
          <w:rtl w:val="true"/>
          <w:lang w:bidi="ar-SA"/>
        </w:rPr>
        <w:t xml:space="preserve">مِن أصحابِنا فإنّه يَنصُرُ هذه الطريقةَ‌؛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لا يَقتَضي الحالَ فَقَط، بَل يَقتَضي جميعَ الأوقاتِ التي الحالُ مِن جُملِتها؛ فإذا خَرَجَ بعضُها بدَليلٍ بَقيَ ما عَداه ثابتاً بالظاهرِ أيضاً، و لَم يَسُغِ الزوالُ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أخرَجتُ الحالَ بدليلِ إجماعِ الأُمّةِ علىٰ أنّه لَم يَكُن مع النبيِّ صَلّى اللّٰهُ عليه و آلِه إمامٌ غيرُه، و لا دليلَ يَقتَضي إخراجَ الحالِ التي تَلي الوفاةَ بلا 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المُعتَمَدُ هو الأوّلُ </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964101_2320776876"/>
      <w:bookmarkStart w:id="157" w:name="_Toc54"/>
      <w:bookmarkEnd w:id="156"/>
      <w:r>
        <w:rPr>
          <w:rtl w:val="true"/>
        </w:rPr>
        <w:t>نفي دلالة الآية على إمامة أمير المؤمنين عليه السلام بعد عثمان، دون ما قبله من الأحوال</w:t>
      </w:r>
      <w:bookmarkEnd w:id="157"/>
    </w:p>
    <w:p>
      <w:pPr>
        <w:pStyle w:val="BookText"/>
        <w:rPr/>
      </w:pPr>
      <w:r>
        <w:rPr>
          <w:rFonts w:ascii="Amiri" w:hAnsi="Amiri" w:eastAsia="Amiri" w:cs="Amiri"/>
          <w:color w:val="111111"/>
          <w:sz w:val="28"/>
          <w:sz w:val="28"/>
          <w:szCs w:val="28"/>
          <w:rtl w:val="true"/>
          <w:lang w:bidi="ar-SA"/>
        </w:rPr>
        <w:t>فأمّا الجوابُ لِمَن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لَستم بذلكَ أَولىٰ ممّن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 في الوقتِ الذي تَثبُتُ‌</w:t>
      </w:r>
      <w:r>
        <w:rPr>
          <w:rStyle w:val="FootnoteAnchor"/>
          <w:rtl w:val="true"/>
        </w:rPr>
        <w:footnoteReference w:id="660"/>
      </w:r>
      <w:r>
        <w:rPr>
          <w:rFonts w:ascii="Amiri" w:hAnsi="Amiri" w:eastAsia="Amiri" w:cs="Amiri"/>
          <w:color w:val="111111"/>
          <w:sz w:val="28"/>
          <w:sz w:val="28"/>
          <w:szCs w:val="28"/>
          <w:rtl w:val="true"/>
          <w:lang w:bidi="ar-SA"/>
        </w:rPr>
        <w:t xml:space="preserve">عندَه إمامتُه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وفاةِ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أيضاً ما قدّمناه</w:t>
      </w:r>
      <w:r>
        <w:rPr>
          <w:rStyle w:val="FootnoteAnchor"/>
          <w:rtl w:val="true"/>
        </w:rPr>
        <w:footnoteReference w:id="661"/>
      </w:r>
      <w:r>
        <w:rPr>
          <w:rFonts w:ascii="Amiri" w:hAnsi="Amiri" w:eastAsia="Amiri" w:cs="Amiri"/>
          <w:color w:val="111111"/>
          <w:sz w:val="28"/>
          <w:sz w:val="28"/>
          <w:szCs w:val="28"/>
          <w:rtl w:val="true"/>
          <w:lang w:bidi="ar-SA"/>
        </w:rPr>
        <w:t xml:space="preserve">لأنّه لا أحَدَ مِن الأُمّةِ يُثبِتُ </w:t>
      </w:r>
      <w:r>
        <w:rPr>
          <w:rStyle w:val="FootnoteAnchor"/>
          <w:rtl w:val="true"/>
        </w:rPr>
        <w:footnoteReference w:id="662"/>
      </w:r>
      <w:r>
        <w:rPr>
          <w:rFonts w:ascii="Amiri" w:hAnsi="Amiri" w:eastAsia="Amiri" w:cs="Amiri"/>
          <w:color w:val="111111"/>
          <w:sz w:val="28"/>
          <w:sz w:val="28"/>
          <w:szCs w:val="28"/>
          <w:rtl w:val="true"/>
          <w:lang w:bidi="ar-SA"/>
        </w:rPr>
        <w:t>الإمامةَ بهذه الآيةِ لأميرِ المؤمنينَ عليه السلامُ بَعدَ عُثمانَ ، دونَ ما قَبلَها مِن الأحوالِ ؛ بَل لا أحَدَ يُثبِتُها له عليه السلامُ بَعدَ عُثمانَ دونَ ما تَقدَّمَ مِن</w:t>
      </w:r>
      <w:r>
        <w:rPr>
          <w:rStyle w:val="FootnoteAnchor"/>
          <w:rtl w:val="true"/>
        </w:rPr>
        <w:footnoteReference w:id="663"/>
      </w:r>
      <w:r>
        <w:rPr>
          <w:rFonts w:ascii="Amiri" w:hAnsi="Amiri" w:eastAsia="Amiri" w:cs="Amiri"/>
          <w:color w:val="111111"/>
          <w:sz w:val="28"/>
          <w:sz w:val="28"/>
          <w:szCs w:val="28"/>
          <w:rtl w:val="true"/>
          <w:lang w:bidi="ar-SA"/>
        </w:rPr>
        <w:t xml:space="preserve">الأحوالِ علىٰ وجهٍ مِن الوجوهِ و بدَليلٍ مِن الأدِلّةِ </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964103_2320776876"/>
      <w:bookmarkStart w:id="159" w:name="_Toc55"/>
      <w:bookmarkEnd w:id="158"/>
      <w:r>
        <w:rPr>
          <w:rtl w:val="true"/>
        </w:rPr>
        <w:t>معنىٰ وصفه تعالىٰ بأنّه وليّنا</w:t>
      </w:r>
      <w:bookmarkEnd w:id="159"/>
    </w:p>
    <w:p>
      <w:pPr>
        <w:pStyle w:val="BookText"/>
        <w:rPr/>
      </w:pPr>
      <w:r>
        <w:rPr>
          <w:rFonts w:ascii="Amiri" w:hAnsi="Amiri" w:eastAsia="Amiri" w:cs="Amiri"/>
          <w:color w:val="111111"/>
          <w:sz w:val="28"/>
          <w:sz w:val="28"/>
          <w:szCs w:val="28"/>
          <w:rtl w:val="true"/>
          <w:lang w:bidi="ar-SA"/>
        </w:rPr>
        <w:t>و القَديمُ تَعالىٰ و إن لَم يوصَفْ بأنّه وليُّنا بمعنىٰ إقامةِ الحُدودِ علينا، فهو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يوصَفُ بذلكَ بمعنى أنّه أملَكُ بتدبيرِنا و تصريفِنا، و أنّ طاعتَه تَجِبُ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المعنىٰ هو الذي يَجِبُ للرسولِ و الإمامِ ، و يَدخُلُ تَحتَه إمضاءُ الحُدودِ و الأحكامِ </w:t>
      </w:r>
      <w:bookmarkStart w:id="160" w:name="pg20017_202428"/>
    </w:p>
    <w:p>
      <w:pPr>
        <w:pStyle w:val="BookText"/>
        <w:rPr/>
      </w:pPr>
      <w:bookmarkEnd w:id="160"/>
      <w:r>
        <w:rPr>
          <w:rFonts w:ascii="Amiri" w:hAnsi="Amiri" w:eastAsia="Amiri" w:cs="Amiri"/>
          <w:color w:val="111111"/>
          <w:sz w:val="28"/>
          <w:sz w:val="28"/>
          <w:szCs w:val="28"/>
          <w:rtl w:val="true"/>
          <w:lang w:bidi="ar-SA"/>
        </w:rPr>
        <w:t>و غيرِها؛ لأنّ إمضاءَها جُزءٌ ممّا يَجِبُ طاعتُه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ما يَجِبُ للّٰهِ تَعالىٰ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مُماثِلٌ لِما يَجِبُ للرسولِ و الإمامِ بالإطلاقِ‌؛ لأنّ ما يَجِبُ له عَزَّ و جَلَّ‌</w:t>
      </w:r>
      <w:r>
        <w:rPr>
          <w:rStyle w:val="FootnoteAnchor"/>
          <w:rtl w:val="true"/>
        </w:rPr>
        <w:footnoteReference w:id="664"/>
      </w:r>
      <w:r>
        <w:rPr>
          <w:rFonts w:ascii="Amiri" w:hAnsi="Amiri" w:eastAsia="Amiri" w:cs="Amiri"/>
          <w:color w:val="111111"/>
          <w:sz w:val="28"/>
          <w:sz w:val="28"/>
          <w:szCs w:val="28"/>
          <w:rtl w:val="true"/>
          <w:lang w:bidi="ar-SA"/>
        </w:rPr>
        <w:t xml:space="preserve">آكَدُ ممّا يَجِبُ لهما؛ مِن قِبَلِ أنّ ما يَجِبُ لهما راجعٌ إلىٰ وجوبِ ما وَجَبَ له عَزَّ و جَلَّ </w:t>
      </w:r>
      <w:r>
        <w:rPr>
          <w:rStyle w:val="FootnoteAnchor"/>
          <w:rtl w:val="true"/>
        </w:rPr>
        <w:footnoteReference w:id="665"/>
      </w:r>
      <w:r>
        <w:rPr>
          <w:rFonts w:ascii="Amiri" w:hAnsi="Amiri" w:eastAsia="Amiri" w:cs="Amiri"/>
          <w:color w:val="111111"/>
          <w:sz w:val="28"/>
          <w:sz w:val="28"/>
          <w:szCs w:val="28"/>
          <w:rtl w:val="true"/>
          <w:lang w:bidi="ar-SA"/>
        </w:rPr>
        <w:t xml:space="preserve">، و لَولا وجوبُه لَم يَجِبْ </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964105_2320776876"/>
      <w:bookmarkStart w:id="162" w:name="_Toc56"/>
      <w:bookmarkEnd w:id="161"/>
      <w:r>
        <w:rPr>
          <w:rtl w:val="true"/>
        </w:rPr>
        <w:t>صحّة وصف الرسول صلى الله عليه و آله بأنه وليّ بمعنىٰ إمضاء الحدود و الأحكام</w:t>
      </w:r>
      <w:bookmarkEnd w:id="162"/>
    </w:p>
    <w:p>
      <w:pPr>
        <w:pStyle w:val="BookText"/>
        <w:rPr/>
      </w:pPr>
      <w:r>
        <w:rPr>
          <w:rFonts w:ascii="Amiri" w:hAnsi="Amiri" w:eastAsia="Amiri" w:cs="Amiri"/>
          <w:color w:val="111111"/>
          <w:sz w:val="28"/>
          <w:sz w:val="28"/>
          <w:szCs w:val="28"/>
          <w:rtl w:val="true"/>
          <w:lang w:bidi="ar-SA"/>
        </w:rPr>
        <w:t xml:space="preserve">و قولُ صاحبِ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Style w:val="FootnoteAnchor"/>
          <w:rtl w:val="true"/>
        </w:rPr>
        <w:footnoteReference w:id="666"/>
      </w:r>
      <w:r>
        <w:rPr>
          <w:rFonts w:ascii="Amiri" w:hAnsi="Amiri" w:eastAsia="Amiri" w:cs="Amiri"/>
          <w:color w:val="111111"/>
          <w:sz w:val="28"/>
          <w:sz w:val="28"/>
          <w:szCs w:val="28"/>
          <w:rtl w:val="true"/>
          <w:lang w:bidi="ar-SA"/>
        </w:rPr>
        <w:t>لا يُقالُ ذلكَ في الرسولِ صَلّى اللّٰهُ عليه و آلِه</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 ؛ لأنّا لا نَعلَمُ مانعاً مِن أن يُقالَ ذلكَ في الرسولِ صَلّى اللّٰهُ عليه و آلِه، و هو أحَدُ ما يَجِبُ طاعتُه فيه، و كَيفَ لا يُقالُ و نحنُ نَعلَمُ أنّ الإمامَ بَعدَ الرسولِ صَلّى اللّٰهُ عليه و آلِه خَليفةٌ له و قائمٌ فيما كان يَتَوَلّاه و يَقومُ به مَقامَه</w:t>
      </w:r>
      <w:r>
        <w:rPr>
          <w:rStyle w:val="FootnoteAnchor"/>
          <w:rtl w:val="true"/>
        </w:rPr>
        <w:footnoteReference w:id="668"/>
      </w:r>
      <w:r>
        <w:rPr>
          <w:rFonts w:ascii="Amiri" w:hAnsi="Amiri" w:eastAsia="Amiri" w:cs="Amiri"/>
          <w:color w:val="111111"/>
          <w:sz w:val="28"/>
          <w:sz w:val="28"/>
          <w:szCs w:val="28"/>
          <w:rtl w:val="true"/>
          <w:lang w:bidi="ar-SA"/>
        </w:rPr>
        <w:t>؟ و إذا كانَ إلَى الإمامِ إقامةُ الحُدودِ و إمضاءُ الأحكامِ ، فلا بُدَّ أن يَكونا</w:t>
      </w:r>
      <w:r>
        <w:rPr>
          <w:rStyle w:val="FootnoteAnchor"/>
          <w:rtl w:val="true"/>
        </w:rPr>
        <w:footnoteReference w:id="669"/>
      </w:r>
      <w:r>
        <w:rPr>
          <w:rFonts w:ascii="Amiri" w:hAnsi="Amiri" w:eastAsia="Amiri" w:cs="Amiri"/>
          <w:color w:val="111111"/>
          <w:sz w:val="28"/>
          <w:sz w:val="28"/>
          <w:szCs w:val="28"/>
          <w:rtl w:val="true"/>
          <w:lang w:bidi="ar-SA"/>
        </w:rPr>
        <w:t>إلىٰ مَن هو خَليفةٌ له و قائمٌ فيها مَقامَه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عَنَيتُ أنّ الرسولَ لا يوصَفُ بإمضاءِ الحُدودِ و إقامةِ الأحكامِ علَى الحَدِّ الذي يوصَفُ به الإمامُ ، و لَم أُرِدْ أنّه لا يوصَفُ بهما أصلاً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لا مانِعَ مِن أن يوصَفا جَميعاً</w:t>
      </w:r>
      <w:r>
        <w:rPr>
          <w:rStyle w:val="FootnoteAnchor"/>
          <w:rtl w:val="true"/>
        </w:rPr>
        <w:footnoteReference w:id="671"/>
      </w:r>
      <w:r>
        <w:rPr>
          <w:rFonts w:ascii="Amiri" w:hAnsi="Amiri" w:eastAsia="Amiri" w:cs="Amiri"/>
          <w:color w:val="111111"/>
          <w:sz w:val="28"/>
          <w:sz w:val="28"/>
          <w:szCs w:val="28"/>
          <w:rtl w:val="true"/>
          <w:lang w:bidi="ar-SA"/>
        </w:rPr>
        <w:t xml:space="preserve">بما ذَكَرَه علىٰ حَدٍّ واحدٍ؛ مِن قِبَل أنّ المُقتَضيَ له فيهما واحدٌ و هو فَرضُ الطاعةِ ، و إن كانا يَختَلِفانِ مِن حَيثُ كانَ </w:t>
      </w:r>
      <w:bookmarkStart w:id="163" w:name="pg20017_202429"/>
    </w:p>
    <w:p>
      <w:pPr>
        <w:pStyle w:val="BookText"/>
        <w:rPr/>
      </w:pPr>
      <w:bookmarkEnd w:id="163"/>
      <w:r>
        <w:rPr>
          <w:rFonts w:ascii="Amiri" w:hAnsi="Amiri" w:eastAsia="Amiri" w:cs="Amiri"/>
          <w:color w:val="111111"/>
          <w:sz w:val="28"/>
          <w:sz w:val="28"/>
          <w:szCs w:val="28"/>
          <w:rtl w:val="true"/>
          <w:lang w:bidi="ar-SA"/>
        </w:rPr>
        <w:t>أحَدُهما نبيّاً و الآخَرُ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لاختلافِهما مِن هذا الوجهِ مَدخَلٌ فيما نَحنُ فيه</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964107_2320776876"/>
      <w:bookmarkStart w:id="165" w:name="_Toc57"/>
      <w:bookmarkEnd w:id="164"/>
      <w:r>
        <w:rPr>
          <w:rtl w:val="true"/>
        </w:rPr>
        <w:t xml:space="preserve">نفي دلالة لفظة </w:t>
      </w:r>
      <w:r>
        <w:rPr>
          <w:rtl w:val="true"/>
        </w:rPr>
        <w:t>«</w:t>
      </w:r>
      <w:r>
        <w:rPr>
          <w:rtl w:val="true"/>
        </w:rPr>
        <w:t xml:space="preserve">وليّ </w:t>
      </w:r>
      <w:r>
        <w:rPr>
          <w:rtl w:val="true"/>
        </w:rPr>
        <w:t xml:space="preserve">» </w:t>
      </w:r>
      <w:r>
        <w:rPr>
          <w:rtl w:val="true"/>
        </w:rPr>
        <w:t>علىٰ معنى النصرة</w:t>
      </w:r>
      <w:bookmarkEnd w:id="165"/>
    </w:p>
    <w:p>
      <w:pPr>
        <w:pStyle w:val="BookText"/>
        <w:rPr/>
      </w:pPr>
      <w:r>
        <w:rPr>
          <w:rFonts w:ascii="Amiri" w:hAnsi="Amiri" w:eastAsia="Amiri" w:cs="Amiri"/>
          <w:color w:val="111111"/>
          <w:sz w:val="28"/>
          <w:sz w:val="28"/>
          <w:szCs w:val="28"/>
          <w:rtl w:val="true"/>
          <w:lang w:bidi="ar-SA"/>
        </w:rPr>
        <w:t xml:space="preserve">فأمّا حَملُه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التَّوَلّي في الدينِ </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xml:space="preserve">المذكورِ في الآيةِ الثانيةِ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فغَيرُ صحيحٍ ؛ لأنّه غيرُ مُمتَنِعٍ أن يُخبِرَ تَعالىٰ بأنّه وليُّنا و رسولُه و مَن عَناه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يوجِبَ علينا في الآيةِ الثانيةِ تَوَلّيَهم و نُصرتَهم</w:t>
      </w:r>
      <w:r>
        <w:rPr>
          <w:rStyle w:val="FootnoteAnchor"/>
          <w:rtl w:val="true"/>
        </w:rPr>
        <w:footnoteReference w:id="674"/>
      </w:r>
      <w:r>
        <w:rPr>
          <w:rFonts w:ascii="Amiri" w:hAnsi="Amiri" w:eastAsia="Amiri" w:cs="Amiri"/>
          <w:color w:val="111111"/>
          <w:sz w:val="28"/>
          <w:sz w:val="28"/>
          <w:szCs w:val="28"/>
          <w:rtl w:val="true"/>
          <w:lang w:bidi="ar-SA"/>
        </w:rPr>
        <w:t>، و يُخبِرَنا بما لنا فيهما</w:t>
      </w:r>
      <w:r>
        <w:rPr>
          <w:rStyle w:val="FootnoteAnchor"/>
          <w:rtl w:val="true"/>
        </w:rPr>
        <w:footnoteReference w:id="675"/>
      </w:r>
      <w:r>
        <w:rPr>
          <w:rFonts w:ascii="Amiri" w:hAnsi="Amiri" w:eastAsia="Amiri" w:cs="Amiri"/>
          <w:color w:val="111111"/>
          <w:sz w:val="28"/>
          <w:sz w:val="28"/>
          <w:szCs w:val="28"/>
          <w:rtl w:val="true"/>
          <w:lang w:bidi="ar-SA"/>
        </w:rPr>
        <w:t>مِن الفَوزِ و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يَمتَنِعْ ما ذَكرناه، و كُنّا قد دَلَّلنا علىٰ وجوبِ تَناوُلِ الآيةِ الأُولىٰ لمعنَى</w:t>
      </w:r>
      <w:r>
        <w:rPr>
          <w:rStyle w:val="FootnoteAnchor"/>
          <w:rtl w:val="true"/>
        </w:rPr>
        <w:footnoteReference w:id="676"/>
      </w:r>
      <w:r>
        <w:rPr>
          <w:rFonts w:ascii="Amiri" w:hAnsi="Amiri" w:eastAsia="Amiri" w:cs="Amiri"/>
          <w:color w:val="111111"/>
          <w:sz w:val="28"/>
          <w:sz w:val="28"/>
          <w:szCs w:val="28"/>
          <w:rtl w:val="true"/>
          <w:lang w:bidi="ar-SA"/>
        </w:rPr>
        <w:t>الإمامةِ ، فقَد بَطَلَ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شَيئاً</w:t>
      </w:r>
      <w:r>
        <w:rPr>
          <w:rStyle w:val="FootnoteAnchor"/>
          <w:rtl w:val="true"/>
        </w:rPr>
        <w:footnoteReference w:id="677"/>
      </w:r>
      <w:r>
        <w:rPr>
          <w:rFonts w:ascii="Amiri" w:hAnsi="Amiri" w:eastAsia="Amiri" w:cs="Amiri"/>
          <w:color w:val="111111"/>
          <w:sz w:val="28"/>
          <w:sz w:val="28"/>
          <w:szCs w:val="28"/>
          <w:rtl w:val="true"/>
          <w:lang w:bidi="ar-SA"/>
        </w:rPr>
        <w:t>قد مضَى الكلامُ عليه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شَيخُنا أبو عليٍّ </w:t>
      </w:r>
      <w:r>
        <w:rPr>
          <w:rStyle w:val="FootnoteAnchor"/>
          <w:rtl w:val="true"/>
        </w:rPr>
        <w:footnoteReference w:id="679"/>
      </w:r>
      <w:r>
        <w:rPr>
          <w:rFonts w:ascii="Amiri" w:hAnsi="Amiri" w:eastAsia="Amiri" w:cs="Amiri"/>
          <w:color w:val="111111"/>
          <w:sz w:val="28"/>
          <w:sz w:val="28"/>
          <w:szCs w:val="28"/>
          <w:rtl w:val="true"/>
          <w:lang w:bidi="ar-SA"/>
        </w:rPr>
        <w:t xml:space="preserve">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جَماعةٍ مِن</w:t>
      </w:r>
      <w:r>
        <w:rPr>
          <w:rStyle w:val="FootnoteAnchor"/>
          <w:rtl w:val="true"/>
        </w:rPr>
        <w:footnoteReference w:id="680"/>
      </w:r>
      <w:r>
        <w:rPr>
          <w:rFonts w:ascii="Amiri" w:hAnsi="Amiri" w:eastAsia="Amiri" w:cs="Amiri"/>
          <w:color w:val="111111"/>
          <w:sz w:val="28"/>
          <w:sz w:val="28"/>
          <w:szCs w:val="28"/>
          <w:rtl w:val="true"/>
          <w:lang w:bidi="ar-SA"/>
        </w:rPr>
        <w:t xml:space="preserve">أصحابِ </w:t>
      </w:r>
    </w:p>
    <w:p>
      <w:pPr>
        <w:pStyle w:val="BookText"/>
        <w:rPr/>
      </w:pPr>
      <w:r>
        <w:rPr>
          <w:rFonts w:ascii="Amiri" w:hAnsi="Amiri" w:eastAsia="Amiri" w:cs="Amiri"/>
          <w:color w:val="111111"/>
          <w:sz w:val="28"/>
          <w:sz w:val="28"/>
          <w:szCs w:val="28"/>
          <w:rtl w:val="true"/>
          <w:lang w:bidi="ar-SA"/>
        </w:rPr>
        <w:t>النبيِّ صَلّى اللّٰهُ عليه و آلِه في حالٍ‌</w:t>
      </w:r>
      <w:r>
        <w:rPr>
          <w:rStyle w:val="FootnoteAnchor"/>
          <w:rtl w:val="true"/>
        </w:rPr>
        <w:footnoteReference w:id="681"/>
      </w:r>
      <w:r>
        <w:rPr>
          <w:rFonts w:ascii="Amiri" w:hAnsi="Amiri" w:eastAsia="Amiri" w:cs="Amiri"/>
          <w:color w:val="111111"/>
          <w:sz w:val="28"/>
          <w:sz w:val="28"/>
          <w:szCs w:val="28"/>
          <w:rtl w:val="true"/>
          <w:lang w:bidi="ar-SA"/>
        </w:rPr>
        <w:t>كانوا فيها في الصلاةِ و في الركوعِ‌،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 و لَم يَعنِ أنّهم يُؤتونَ الزكاةَ‌</w:t>
      </w:r>
      <w:r>
        <w:rPr>
          <w:rStyle w:val="FootnoteAnchor"/>
          <w:rtl w:val="true"/>
        </w:rPr>
        <w:footnoteReference w:id="682"/>
      </w:r>
      <w:r>
        <w:rPr>
          <w:rFonts w:ascii="Amiri" w:hAnsi="Amiri" w:eastAsia="Amiri" w:cs="Amiri"/>
          <w:color w:val="111111"/>
          <w:sz w:val="28"/>
          <w:sz w:val="28"/>
          <w:szCs w:val="28"/>
          <w:rtl w:val="true"/>
          <w:lang w:bidi="ar-SA"/>
        </w:rPr>
        <w:t>في حالِ الركوعِ‌، بَل أرادَ أنّ ذلكَ طريقتُهم</w:t>
      </w:r>
      <w:r>
        <w:rPr>
          <w:rStyle w:val="FootnoteAnchor"/>
          <w:rtl w:val="true"/>
        </w:rPr>
        <w:footnoteReference w:id="683"/>
      </w:r>
      <w:r>
        <w:rPr>
          <w:rFonts w:ascii="Amiri" w:hAnsi="Amiri" w:eastAsia="Amiri" w:cs="Amiri"/>
          <w:color w:val="111111"/>
          <w:sz w:val="28"/>
          <w:sz w:val="28"/>
          <w:szCs w:val="28"/>
          <w:rtl w:val="true"/>
          <w:lang w:bidi="ar-SA"/>
        </w:rPr>
        <w:t>و هُم في الحالِ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الآيةِ علىٰ هذا الوجهِ أشبَهُ بالظاهرِ، و يُبيِّنُ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مِن حالِ أميرِ المؤمنينَ عليه السلامُ أنّ الذي دَفَعَه إلَى السائلِ لَيسَ بزَكاةٍ‌؛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لَم تَكُن واجبةً عليه؛ علىٰ ما يُعرَفُ‌</w:t>
      </w:r>
      <w:r>
        <w:rPr>
          <w:rStyle w:val="FootnoteAnchor"/>
          <w:rtl w:val="true"/>
        </w:rPr>
        <w:footnoteReference w:id="684"/>
      </w:r>
      <w:r>
        <w:rPr>
          <w:rFonts w:ascii="Amiri" w:hAnsi="Amiri" w:eastAsia="Amiri" w:cs="Amiri"/>
          <w:color w:val="111111"/>
          <w:sz w:val="28"/>
          <w:sz w:val="28"/>
          <w:szCs w:val="28"/>
          <w:rtl w:val="true"/>
          <w:lang w:bidi="ar-SA"/>
        </w:rPr>
        <w:t>مِن غالبِ أمرِه</w:t>
      </w:r>
      <w:r>
        <w:rPr>
          <w:rStyle w:val="FootnoteAnchor"/>
          <w:rtl w:val="true"/>
        </w:rPr>
        <w:footnoteReference w:id="685"/>
      </w:r>
      <w:r>
        <w:rPr>
          <w:rFonts w:ascii="Amiri" w:hAnsi="Amiri" w:eastAsia="Amiri" w:cs="Amiri"/>
          <w:color w:val="111111"/>
          <w:sz w:val="28"/>
          <w:sz w:val="28"/>
          <w:szCs w:val="28"/>
          <w:rtl w:val="true"/>
          <w:lang w:bidi="ar-SA"/>
        </w:rPr>
        <w:t>في أيّامِ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دَفْعَ الخاتَمِ بَعيدٌ أن يُعَدَّ في الزكاةِ‌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w:t>
      </w:r>
      <w:r>
        <w:rPr>
          <w:rStyle w:val="FootnoteAnchor"/>
          <w:rtl w:val="true"/>
        </w:rPr>
        <w:footnoteReference w:id="687"/>
      </w:r>
      <w:r>
        <w:rPr>
          <w:rFonts w:ascii="Amiri" w:hAnsi="Amiri" w:eastAsia="Amiri" w:cs="Amiri"/>
          <w:color w:val="111111"/>
          <w:sz w:val="28"/>
          <w:sz w:val="28"/>
          <w:szCs w:val="28"/>
          <w:rtl w:val="true"/>
          <w:lang w:bidi="ar-SA"/>
        </w:rPr>
        <w:t>دَفْعَ الزكاةِ منه عليه السلامُ لا يَقَعُ إلّاعلىٰ وجهِ القَصدِ عندَ وجودِه</w:t>
      </w:r>
      <w:r>
        <w:rPr>
          <w:rStyle w:val="FootnoteAnchor"/>
          <w:rtl w:val="true"/>
        </w:rPr>
        <w:footnoteReference w:id="688"/>
      </w:r>
      <w:r>
        <w:rPr>
          <w:rFonts w:ascii="Amiri" w:hAnsi="Amiri" w:eastAsia="Amiri" w:cs="Amiri"/>
          <w:color w:val="111111"/>
          <w:sz w:val="28"/>
          <w:sz w:val="28"/>
          <w:szCs w:val="28"/>
          <w:rtl w:val="true"/>
          <w:lang w:bidi="ar-SA"/>
        </w:rPr>
        <w:t>، و ما فَعَلَه فالغالبُ منه أنّه جَرىٰ علىٰ وجهِ الاتّفاقِ‌</w:t>
      </w:r>
      <w:r>
        <w:rPr>
          <w:rStyle w:val="FootnoteAnchor"/>
          <w:rtl w:val="true"/>
        </w:rPr>
        <w:footnoteReference w:id="689"/>
      </w:r>
      <w:r>
        <w:rPr>
          <w:rFonts w:ascii="Amiri" w:hAnsi="Amiri" w:eastAsia="Amiri" w:cs="Amiri"/>
          <w:color w:val="111111"/>
          <w:sz w:val="28"/>
          <w:sz w:val="28"/>
          <w:szCs w:val="28"/>
          <w:rtl w:val="true"/>
          <w:lang w:bidi="ar-SA"/>
        </w:rPr>
        <w:t xml:space="preserve">لمّا رأَى السائلَ المُحتاجَ ، و أنّ غيرَه لَم يُواسِه، فواساه و هو في الصلاةِ ؛ فذلكَ </w:t>
      </w:r>
      <w:bookmarkStart w:id="166" w:name="pg20017_202431"/>
    </w:p>
    <w:p>
      <w:pPr>
        <w:pStyle w:val="BookText"/>
        <w:rPr/>
      </w:pPr>
      <w:bookmarkEnd w:id="166"/>
      <w:r>
        <w:rPr>
          <w:rFonts w:ascii="Amiri" w:hAnsi="Amiri" w:eastAsia="Amiri" w:cs="Amiri"/>
          <w:color w:val="111111"/>
          <w:sz w:val="28"/>
          <w:sz w:val="28"/>
          <w:szCs w:val="28"/>
          <w:rtl w:val="true"/>
          <w:lang w:bidi="ar-SA"/>
        </w:rPr>
        <w:t xml:space="preserve">بالتطوُّعِ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نَقُلْ ذلكَ إلّانُصرةً للقولِ الذي حَكَيناه، لا أنّه يَمتَنِعُ في الحقيقةِ أن يَكونَ ذلكَ زكاةً لِمالِه</w:t>
      </w:r>
      <w:r>
        <w:rPr>
          <w:rFonts w:eastAsia="Amiri" w:cs="Amiri" w:ascii="Amiri" w:hAnsi="Amiri"/>
          <w:color w:val="111111"/>
          <w:sz w:val="28"/>
          <w:szCs w:val="28"/>
          <w:rtl w:val="true"/>
          <w:lang w:bidi="ar-SA"/>
        </w:rPr>
        <w:t>.</w:t>
      </w:r>
      <w:r>
        <w:rPr>
          <w:rStyle w:val="FootnoteAnchor"/>
          <w:rtl w:val="true"/>
        </w:rPr>
        <w:footnoteReference w:id="690"/>
      </w:r>
    </w:p>
    <w:p>
      <w:pPr>
        <w:pStyle w:val="Heading5"/>
        <w:numPr>
          <w:ilvl w:val="4"/>
          <w:numId w:val="1"/>
        </w:numPr>
        <w:rPr/>
      </w:pPr>
      <w:bookmarkStart w:id="167" w:name="__RefHeading___Toc964109_2320776876"/>
      <w:bookmarkStart w:id="168" w:name="_Toc58"/>
      <w:bookmarkEnd w:id="167"/>
      <w:r>
        <w:rPr>
          <w:rtl w:val="true"/>
        </w:rPr>
        <w:t>دلالة اللغة علىٰ أنّ الركوع في الآية حالٌ لإيتاء الزكاة</w:t>
      </w:r>
      <w:bookmarkEnd w:id="168"/>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يَجوزُ حَملُ الآيةِ علىٰ ما تَأوَّلَها</w:t>
      </w:r>
      <w:r>
        <w:rPr>
          <w:rStyle w:val="FootnoteAnchor"/>
          <w:rtl w:val="true"/>
        </w:rPr>
        <w:footnoteReference w:id="691"/>
      </w:r>
      <w:r>
        <w:rPr>
          <w:rFonts w:ascii="Amiri" w:hAnsi="Amiri" w:eastAsia="Amiri" w:cs="Amiri"/>
          <w:color w:val="111111"/>
          <w:sz w:val="28"/>
          <w:sz w:val="28"/>
          <w:szCs w:val="28"/>
          <w:rtl w:val="true"/>
          <w:lang w:bidi="ar-SA"/>
        </w:rPr>
        <w:t>شَيخُكَ أبو عليٍّ عليه</w:t>
      </w:r>
      <w:r>
        <w:rPr>
          <w:rStyle w:val="FootnoteAnchor"/>
          <w:rtl w:val="true"/>
        </w:rPr>
        <w:footnoteReference w:id="692"/>
      </w:r>
      <w:r>
        <w:rPr>
          <w:rFonts w:ascii="Amiri" w:hAnsi="Amiri" w:eastAsia="Amiri" w:cs="Amiri"/>
          <w:color w:val="111111"/>
          <w:sz w:val="28"/>
          <w:sz w:val="28"/>
          <w:szCs w:val="28"/>
          <w:rtl w:val="true"/>
          <w:lang w:bidi="ar-SA"/>
        </w:rPr>
        <w:t>مِن جَعلِه إيتاءَ الزكاةِ مُنفَصِلاً مِن حالِ الركوعِ‌، و لا بُدَّ علىٰ مُقتَضَى اللسانِ و اللُّغةِ مِن أن يَكونَ الركوعُ حالاً لإيتاءِ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مِن قولِ أحَدِنا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الكَريمُ المُستَحِقُّ للمَدحِ الذي يَجودُ بمالِه و هو 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يَغشىٰ إخوانَه و هو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Style w:val="FootnoteAnchor"/>
          <w:rtl w:val="true"/>
        </w:rPr>
        <w:footnoteReference w:id="693"/>
      </w:r>
      <w:r>
        <w:rPr>
          <w:rFonts w:ascii="Amiri" w:hAnsi="Amiri" w:eastAsia="Amiri" w:cs="Amiri"/>
          <w:color w:val="111111"/>
          <w:sz w:val="28"/>
          <w:sz w:val="28"/>
          <w:szCs w:val="28"/>
          <w:rtl w:val="true"/>
          <w:lang w:bidi="ar-SA"/>
        </w:rPr>
        <w:t>الحالِ‌، دونَ غيرِها؛ حتّىٰ أنّ قولَه هذا يَجري مَجرىٰ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يَجودُ بمالِه في حالِ ضَحِكِه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 إخوانَه في حالِ رُكوبِه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أيضاً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متىٰ حَمَلنا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يُؤْتُونَ الزَّكٰاةَ وَ 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الحالِ ، و جَعَلنا المُرادَ بها أنّهم يُؤتونَ الزكاةَ و مِن وصفِهم</w:t>
      </w:r>
      <w:r>
        <w:rPr>
          <w:rStyle w:val="FootnoteAnchor"/>
          <w:rtl w:val="true"/>
        </w:rPr>
        <w:footnoteReference w:id="694"/>
      </w:r>
      <w:r>
        <w:rPr>
          <w:rFonts w:ascii="Amiri" w:hAnsi="Amiri" w:eastAsia="Amiri" w:cs="Amiri"/>
          <w:color w:val="111111"/>
          <w:sz w:val="28"/>
          <w:sz w:val="28"/>
          <w:szCs w:val="28"/>
          <w:rtl w:val="true"/>
          <w:lang w:bidi="ar-SA"/>
        </w:rPr>
        <w:t xml:space="preserve">أنّهم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تَعلُّقٍ لأحَدِ الأمرَينِ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حاملينَ للكلامِ </w:t>
      </w:r>
      <w:r>
        <w:rPr>
          <w:rStyle w:val="FootnoteAnchor"/>
          <w:rtl w:val="true"/>
        </w:rPr>
        <w:footnoteReference w:id="695"/>
      </w:r>
      <w:r>
        <w:rPr>
          <w:rFonts w:ascii="Amiri" w:hAnsi="Amiri" w:eastAsia="Amiri" w:cs="Amiri"/>
          <w:color w:val="111111"/>
          <w:sz w:val="28"/>
          <w:sz w:val="28"/>
          <w:szCs w:val="28"/>
          <w:rtl w:val="true"/>
          <w:lang w:bidi="ar-SA"/>
        </w:rPr>
        <w:t>علىٰ معنَى</w:t>
      </w:r>
      <w:r>
        <w:rPr>
          <w:rStyle w:val="FootnoteAnchor"/>
          <w:rtl w:val="true"/>
        </w:rPr>
        <w:footnoteReference w:id="696"/>
      </w:r>
      <w:r>
        <w:rPr>
          <w:rFonts w:ascii="Amiri" w:hAnsi="Amiri" w:eastAsia="Amiri" w:cs="Amiri"/>
          <w:color w:val="111111"/>
          <w:sz w:val="28"/>
          <w:sz w:val="28"/>
          <w:szCs w:val="28"/>
          <w:rtl w:val="true"/>
          <w:lang w:bidi="ar-SA"/>
        </w:rPr>
        <w:t>التَّكرارِ؛ لأنّه قد أفادَ تَعالىٰ بوَصفِه لهم بِأنّهم</w:t>
      </w:r>
      <w:r>
        <w:rPr>
          <w:rStyle w:val="FootnoteAnchor"/>
          <w:rtl w:val="true"/>
        </w:rPr>
        <w:footnoteReference w:id="697"/>
      </w:r>
      <w:r>
        <w:rPr>
          <w:rFonts w:ascii="Amiri" w:hAnsi="Amiri" w:eastAsia="Amiri" w:cs="Amiri"/>
          <w:color w:val="111111"/>
          <w:sz w:val="28"/>
          <w:sz w:val="28"/>
          <w:szCs w:val="28"/>
          <w:rtl w:val="true"/>
          <w:lang w:bidi="ar-SA"/>
        </w:rPr>
        <w:t xml:space="preserve">يُقيمونَ الصلاةَ وَصفَهم بأنّهم </w:t>
      </w:r>
    </w:p>
    <w:p>
      <w:pPr>
        <w:pStyle w:val="BookText"/>
        <w:rPr/>
      </w:pPr>
      <w:r>
        <w:rPr>
          <w:rFonts w:ascii="Amiri" w:hAnsi="Amiri" w:eastAsia="Amiri" w:cs="Amiri"/>
          <w:color w:val="111111"/>
          <w:sz w:val="28"/>
          <w:sz w:val="28"/>
          <w:szCs w:val="28"/>
          <w:rtl w:val="true"/>
          <w:lang w:bidi="ar-SA"/>
        </w:rPr>
        <w:t>راكعونَ ؛ لأنّ الصلاةَ مُشتَمِلةٌ علَى الركوعِ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تَأوَّلناها علَى الوجهِ الذي اختَرناه استَفَدنا بها معنىً زائداً، و زيادةُ الفائدةِ بكلامِ </w:t>
      </w:r>
      <w:r>
        <w:rPr>
          <w:rStyle w:val="FootnoteAnchor"/>
          <w:rtl w:val="true"/>
        </w:rPr>
        <w:footnoteReference w:id="698"/>
      </w:r>
      <w:r>
        <w:rPr>
          <w:rFonts w:ascii="Amiri" w:hAnsi="Amiri" w:eastAsia="Amiri" w:cs="Amiri"/>
          <w:color w:val="111111"/>
          <w:sz w:val="28"/>
          <w:sz w:val="28"/>
          <w:szCs w:val="28"/>
          <w:rtl w:val="true"/>
          <w:lang w:bidi="ar-SA"/>
        </w:rPr>
        <w:t xml:space="preserve">الحكيمِ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قَبُحَ أن يُحمَلَ قولُهم فيمن يُريدونَ مَدْحَه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يَجودُ بمالِه و هو 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الحالِ‌؛ مِن قِبَلِ أنّ وقوعَ الجودِ منه مع طَلاقةِ الوجهِ يَدُلُّ علىٰ طيبِ نفسِه بالعَطيّةِ‌، و هو أنّ المالَ لا يَعظُمُ في عَينِه</w:t>
      </w:r>
      <w:r>
        <w:rPr>
          <w:rStyle w:val="FootnoteAnchor"/>
          <w:rtl w:val="true"/>
        </w:rPr>
        <w:footnoteReference w:id="699"/>
      </w:r>
      <w:r>
        <w:rPr>
          <w:rFonts w:ascii="Amiri" w:hAnsi="Amiri" w:eastAsia="Amiri" w:cs="Amiri"/>
          <w:color w:val="111111"/>
          <w:sz w:val="28"/>
          <w:sz w:val="28"/>
          <w:szCs w:val="28"/>
          <w:rtl w:val="true"/>
          <w:lang w:bidi="ar-SA"/>
        </w:rPr>
        <w:t xml:space="preserve">، فصارَ ذلكَ وجهاً تَعظُمُ </w:t>
      </w:r>
      <w:r>
        <w:rPr>
          <w:rStyle w:val="FootnoteAnchor"/>
          <w:rtl w:val="true"/>
        </w:rPr>
        <w:footnoteReference w:id="700"/>
      </w:r>
      <w:r>
        <w:rPr>
          <w:rFonts w:ascii="Amiri" w:hAnsi="Amiri" w:eastAsia="Amiri" w:cs="Amiri"/>
          <w:color w:val="111111"/>
          <w:sz w:val="28"/>
          <w:sz w:val="28"/>
          <w:szCs w:val="28"/>
          <w:rtl w:val="true"/>
          <w:lang w:bidi="ar-SA"/>
        </w:rPr>
        <w:t>معه العطيّةُ ، و يَكثُرُ المَدحُ المُستَحَقُّ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الحالُ في الآيةِ هذه</w:t>
      </w:r>
      <w:r>
        <w:rPr>
          <w:rStyle w:val="FootnoteAnchor"/>
          <w:rtl w:val="true"/>
        </w:rPr>
        <w:footnoteReference w:id="701"/>
      </w:r>
      <w:r>
        <w:rPr>
          <w:rFonts w:ascii="Amiri" w:hAnsi="Amiri" w:eastAsia="Amiri" w:cs="Amiri"/>
          <w:color w:val="111111"/>
          <w:sz w:val="28"/>
          <w:sz w:val="28"/>
          <w:szCs w:val="28"/>
          <w:rtl w:val="true"/>
          <w:lang w:bidi="ar-SA"/>
        </w:rPr>
        <w:t>لأنّه لا مَزيّةَ لإعطاءِ الزكاةِ في حالِ الركوعِ علىٰ إيتائها</w:t>
      </w:r>
      <w:r>
        <w:rPr>
          <w:rStyle w:val="FootnoteAnchor"/>
          <w:rtl w:val="true"/>
        </w:rPr>
        <w:footnoteReference w:id="702"/>
      </w:r>
      <w:r>
        <w:rPr>
          <w:rFonts w:ascii="Amiri" w:hAnsi="Amiri" w:eastAsia="Amiri" w:cs="Amiri"/>
          <w:color w:val="111111"/>
          <w:sz w:val="28"/>
          <w:sz w:val="28"/>
          <w:szCs w:val="28"/>
          <w:rtl w:val="true"/>
          <w:lang w:bidi="ar-SA"/>
        </w:rPr>
        <w:t xml:space="preserve">في غيرِها، و لَيسَ وقوعُها في تلكَ الحالِ يَقتَضي زيادةَ مَدحٍ أو ثوابٍ ، ففارَقَ حُكمُها حُكمَ المثالِ </w:t>
      </w:r>
      <w:r>
        <w:rPr>
          <w:rStyle w:val="FootnoteAnchor"/>
          <w:rtl w:val="true"/>
        </w:rPr>
        <w:footnoteReference w:id="703"/>
      </w:r>
      <w:r>
        <w:rPr>
          <w:rFonts w:ascii="Amiri" w:hAnsi="Amiri" w:eastAsia="Amiri" w:cs="Amiri"/>
          <w:color w:val="111111"/>
          <w:sz w:val="28"/>
          <w:sz w:val="28"/>
          <w:szCs w:val="28"/>
          <w:rtl w:val="true"/>
          <w:lang w:bidi="ar-SA"/>
        </w:rPr>
        <w:t>الذي أَورَدتموه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العِلّةُ في وجوبِ حَملِ الكلامِ الذي حَكَيناه علَى الحالِ و قُبحِ حَملِه علىٰ خِلافِها ما ذَكرتَه، لَوَجَبَ أن يَحسُنَ حَملُ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يَغشىٰ إخوانَه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زيداً و 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الحالِ‌؛ لمُفارَقتِه للمثالِ الأوّلِ في العِلّةِ‌، حتّىٰ يُفهَمَ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يَغشىٰ إخوانَه و مِن صفتِه أنّه راكبٌ ، و لَقيتُ زيداً</w:t>
      </w:r>
      <w:r>
        <w:rPr>
          <w:rStyle w:val="FootnoteAnchor"/>
          <w:rtl w:val="true"/>
        </w:rPr>
        <w:footnoteReference w:id="704"/>
      </w:r>
      <w:r>
        <w:rPr>
          <w:rFonts w:ascii="Amiri" w:hAnsi="Amiri" w:eastAsia="Amiri" w:cs="Amiri"/>
          <w:color w:val="111111"/>
          <w:sz w:val="28"/>
          <w:sz w:val="28"/>
          <w:szCs w:val="28"/>
          <w:rtl w:val="true"/>
          <w:lang w:bidi="ar-SA"/>
        </w:rPr>
        <w:t xml:space="preserve">و مِن صفتِه أنّه جالسٌ ، مِن غيرِ أن يَكونَ </w:t>
      </w:r>
      <w:r>
        <w:rPr>
          <w:rStyle w:val="FootnoteAnchor"/>
          <w:rtl w:val="true"/>
        </w:rPr>
        <w:footnoteReference w:id="705"/>
      </w:r>
      <w:r>
        <w:rPr>
          <w:rFonts w:ascii="Amiri" w:hAnsi="Amiri" w:eastAsia="Amiri" w:cs="Amiri"/>
          <w:color w:val="111111"/>
          <w:sz w:val="28"/>
          <w:sz w:val="28"/>
          <w:szCs w:val="28"/>
          <w:rtl w:val="true"/>
          <w:lang w:bidi="ar-SA"/>
        </w:rPr>
        <w:t xml:space="preserve">الركوبُ حالاً للغَشَيانِ </w:t>
      </w:r>
      <w:bookmarkStart w:id="169" w:name="pg20017_202433"/>
    </w:p>
    <w:p>
      <w:pPr>
        <w:pStyle w:val="BookText"/>
        <w:rPr/>
      </w:pPr>
      <w:bookmarkEnd w:id="169"/>
      <w:r>
        <w:rPr>
          <w:rFonts w:ascii="Amiri" w:hAnsi="Amiri" w:eastAsia="Amiri" w:cs="Amiri"/>
          <w:color w:val="111111"/>
          <w:sz w:val="28"/>
          <w:sz w:val="28"/>
          <w:szCs w:val="28"/>
          <w:rtl w:val="true"/>
          <w:lang w:bidi="ar-SA"/>
        </w:rPr>
        <w:t xml:space="preserve">و الجلوسُ حالاً 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المفهومُ خِلافَ هذا، فقَد بَطَلَ أن تَكونَ </w:t>
      </w:r>
      <w:r>
        <w:rPr>
          <w:rStyle w:val="FootnoteAnchor"/>
          <w:rtl w:val="true"/>
        </w:rPr>
        <w:footnoteReference w:id="706"/>
      </w:r>
      <w:r>
        <w:rPr>
          <w:rFonts w:ascii="Amiri" w:hAnsi="Amiri" w:eastAsia="Amiri" w:cs="Amiri"/>
          <w:color w:val="111111"/>
          <w:sz w:val="28"/>
          <w:sz w:val="28"/>
          <w:szCs w:val="28"/>
          <w:rtl w:val="true"/>
          <w:lang w:bidi="ar-SA"/>
        </w:rPr>
        <w:t xml:space="preserve">العِلّةُ ما ذَكرتَه، و وَجَبَ أن يَكونَ الظاهرُ في كُلِّ الخِطابِ الواردِ علىٰ هذه الصفةِ معنَى الحالِ </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964111_2320776876"/>
      <w:bookmarkStart w:id="171" w:name="_Toc59"/>
      <w:bookmarkEnd w:id="170"/>
      <w:r>
        <w:rPr>
          <w:rtl w:val="true"/>
        </w:rPr>
        <w:t>بيان حقيقة الزكاة التي آتاها أمير المؤمنين عليه السلام في حال الصلاة</w:t>
      </w:r>
      <w:bookmarkEnd w:id="171"/>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الزكاةَ لَم تَكُن واجبةً علىٰ أميرِ المؤمنينَ عليه السلامُ علىٰ ما يُعرَفُ مِن غالبِ أمرِه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البُطلانِ‌</w:t>
      </w:r>
      <w:r>
        <w:rPr>
          <w:rStyle w:val="FootnoteAnchor"/>
          <w:rtl w:val="true"/>
        </w:rPr>
        <w:footnoteReference w:id="707"/>
      </w:r>
      <w:r>
        <w:rPr>
          <w:rFonts w:ascii="Amiri" w:hAnsi="Amiri" w:eastAsia="Amiri" w:cs="Amiri"/>
          <w:color w:val="111111"/>
          <w:sz w:val="28"/>
          <w:sz w:val="28"/>
          <w:szCs w:val="28"/>
          <w:rtl w:val="true"/>
          <w:lang w:bidi="ar-SA"/>
        </w:rPr>
        <w:t>لأنّه غيرُ واجبٍ أوّلاً حملُ اللفظِ علَى الزكاةِ الواجبةِ دونَ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الزكاةِ لَو كانَ إطلاقُه مُفيداً</w:t>
      </w:r>
      <w:r>
        <w:rPr>
          <w:rStyle w:val="FootnoteAnchor"/>
          <w:rtl w:val="true"/>
        </w:rPr>
        <w:footnoteReference w:id="708"/>
      </w:r>
      <w:r>
        <w:rPr>
          <w:rFonts w:ascii="Amiri" w:hAnsi="Amiri" w:eastAsia="Amiri" w:cs="Amiri"/>
          <w:color w:val="111111"/>
          <w:sz w:val="28"/>
          <w:sz w:val="28"/>
          <w:szCs w:val="28"/>
          <w:rtl w:val="true"/>
          <w:lang w:bidi="ar-SA"/>
        </w:rPr>
        <w:t xml:space="preserve">في الشرعِ للعطيّةِ الواجبةِ ، فغَيرُ مُمتَنِعٍ أن نَحمِلَه علَى النَّفلِ الذي يَشهَدُ بمعناه أصلُ اللُّغةِ </w:t>
      </w:r>
      <w:r>
        <w:rPr>
          <w:rStyle w:val="FootnoteAnchor"/>
          <w:rtl w:val="true"/>
        </w:rPr>
        <w:footnoteReference w:id="709"/>
      </w:r>
      <w:r>
        <w:rPr>
          <w:rFonts w:ascii="Amiri" w:hAnsi="Amiri" w:eastAsia="Amiri" w:cs="Amiri"/>
          <w:color w:val="111111"/>
          <w:sz w:val="28"/>
          <w:sz w:val="28"/>
          <w:szCs w:val="28"/>
          <w:rtl w:val="true"/>
          <w:lang w:bidi="ar-SA"/>
        </w:rPr>
        <w:t>لأنّ الزكاةَ في اللُّغةِ هي</w:t>
      </w:r>
      <w:r>
        <w:rPr>
          <w:rStyle w:val="FootnoteAnchor"/>
          <w:rtl w:val="true"/>
        </w:rPr>
        <w:footnoteReference w:id="710"/>
      </w:r>
      <w:r>
        <w:rPr>
          <w:rFonts w:ascii="Amiri" w:hAnsi="Amiri" w:eastAsia="Amiri" w:cs="Amiri"/>
          <w:color w:val="111111"/>
          <w:sz w:val="28"/>
          <w:sz w:val="28"/>
          <w:szCs w:val="28"/>
          <w:rtl w:val="true"/>
          <w:lang w:bidi="ar-SA"/>
        </w:rPr>
        <w:t xml:space="preserve">النَّماءُ و الطهارةُ </w:t>
      </w:r>
      <w:r>
        <w:rPr>
          <w:rStyle w:val="FootnoteAnchor"/>
          <w:rtl w:val="true"/>
        </w:rPr>
        <w:footnoteReference w:id="711"/>
      </w:r>
      <w:r>
        <w:rPr>
          <w:rFonts w:ascii="Amiri" w:hAnsi="Amiri" w:eastAsia="Amiri" w:cs="Amiri"/>
          <w:color w:val="111111"/>
          <w:sz w:val="28"/>
          <w:sz w:val="28"/>
          <w:szCs w:val="28"/>
          <w:rtl w:val="true"/>
          <w:lang w:bidi="ar-SA"/>
        </w:rPr>
        <w:t xml:space="preserve">، و الواجبُ مِن الزكاةِ و النَّفلُ جميعاً يَدخُلانِ تَحتَ هذا الأصلِ ، و يَكونُ الموجِبُ للانتقالِ عن ظاهرِ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بالخبرِ تَوجُّهَ الآيةِ إلىٰ مَن يُستَبعَدُ وجوبُ الزكاةِ عليه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 الاستبعادَ لوجوبِ الزكاةِ عليه عليه السلامُ </w:t>
      </w:r>
      <w:r>
        <w:rPr>
          <w:rStyle w:val="FootnoteAnchor"/>
          <w:rtl w:val="true"/>
        </w:rPr>
        <w:footnoteReference w:id="712"/>
      </w:r>
      <w:r>
        <w:rPr>
          <w:rFonts w:ascii="Amiri" w:hAnsi="Amiri" w:eastAsia="Amiri" w:cs="Amiri"/>
          <w:color w:val="111111"/>
          <w:sz w:val="28"/>
          <w:sz w:val="28"/>
          <w:szCs w:val="28"/>
          <w:rtl w:val="true"/>
          <w:lang w:bidi="ar-SA"/>
        </w:rPr>
        <w:t xml:space="preserve">لا معنىٰ له؛ لأنّه غيرُ مُمتَنِعٍ وجوبُها عليه في وقتٍ مِن الأوقاتِ بحُصولِ أدنىٰ مقاديرِ النِّصابِ الذي </w:t>
      </w:r>
    </w:p>
    <w:p>
      <w:pPr>
        <w:pStyle w:val="BookText"/>
        <w:rPr/>
      </w:pPr>
      <w:r>
        <w:rPr>
          <w:rFonts w:ascii="Amiri" w:hAnsi="Amiri" w:eastAsia="Amiri" w:cs="Amiri"/>
          <w:color w:val="111111"/>
          <w:sz w:val="28"/>
          <w:sz w:val="28"/>
          <w:szCs w:val="28"/>
          <w:rtl w:val="true"/>
          <w:lang w:bidi="ar-SA"/>
        </w:rPr>
        <w:t xml:space="preserve">يَجِبُ </w:t>
      </w:r>
      <w:r>
        <w:rPr>
          <w:rStyle w:val="FootnoteAnchor"/>
          <w:rtl w:val="true"/>
        </w:rPr>
        <w:footnoteReference w:id="713"/>
      </w:r>
      <w:r>
        <w:rPr>
          <w:rFonts w:ascii="Amiri" w:hAnsi="Amiri" w:eastAsia="Amiri" w:cs="Amiri"/>
          <w:color w:val="111111"/>
          <w:sz w:val="28"/>
          <w:sz w:val="28"/>
          <w:szCs w:val="28"/>
          <w:rtl w:val="true"/>
          <w:lang w:bidi="ar-SA"/>
        </w:rPr>
        <w:t xml:space="preserve">في مِثلِه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هذا مِن اليَسارِ المُستَبعَدِ فيه عليه السلامُ </w:t>
      </w:r>
      <w:r>
        <w:rPr>
          <w:rStyle w:val="FootnoteAnchor"/>
          <w:rtl w:val="true"/>
        </w:rPr>
        <w:footnoteReference w:id="714"/>
      </w:r>
      <w:r>
        <w:rPr>
          <w:rFonts w:ascii="Amiri" w:hAnsi="Amiri" w:eastAsia="Amiri" w:cs="Amiri"/>
          <w:color w:val="111111"/>
          <w:sz w:val="28"/>
          <w:sz w:val="28"/>
          <w:szCs w:val="28"/>
          <w:rtl w:val="true"/>
          <w:lang w:bidi="ar-SA"/>
        </w:rPr>
        <w:t>لأنّ مَن</w:t>
      </w:r>
      <w:r>
        <w:rPr>
          <w:rStyle w:val="FootnoteAnchor"/>
          <w:rtl w:val="true"/>
        </w:rPr>
        <w:footnoteReference w:id="715"/>
      </w:r>
      <w:r>
        <w:rPr>
          <w:rFonts w:ascii="Amiri" w:hAnsi="Amiri" w:eastAsia="Amiri" w:cs="Amiri"/>
          <w:color w:val="111111"/>
          <w:sz w:val="28"/>
          <w:sz w:val="28"/>
          <w:szCs w:val="28"/>
          <w:rtl w:val="true"/>
          <w:lang w:bidi="ar-SA"/>
        </w:rPr>
        <w:t xml:space="preserve">مَلَكَ مائتَي دِرهَمٍ </w:t>
      </w:r>
      <w:r>
        <w:rPr>
          <w:rStyle w:val="FootnoteAnchor"/>
          <w:rtl w:val="true"/>
        </w:rPr>
        <w:footnoteReference w:id="716"/>
      </w:r>
      <w:r>
        <w:rPr>
          <w:rFonts w:ascii="Amiri" w:hAnsi="Amiri" w:eastAsia="Amiri" w:cs="Amiri"/>
          <w:color w:val="111111"/>
          <w:sz w:val="28"/>
          <w:sz w:val="28"/>
          <w:szCs w:val="28"/>
          <w:rtl w:val="true"/>
          <w:lang w:bidi="ar-SA"/>
        </w:rPr>
        <w:t>لا يُسمّىٰ مُوسِراً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دفعُ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نَعلَمُ مِن أيِّ وجهٍ استُبعِدَ أن يَكونَ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حُكمَ الخاتَمِ حُكمُ غيرِه، و كُلُّ ما له قيمةٌ و يَنتَفِعُ الفقراءُ بمِثلِه جائزٌ أن يُخرَجَ في الزكاةِ‌</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أمّا في الأنعام فالحكم محلّ خلاف بين العلماء، فالشيخ الطوسي في الخلاف يرى الجواز و أنّ الحكم شامل موارد الزكاة كافّةً ، و المحقّق الحلّي و جماعة يمنعون ذلك رادّين للإجماع و مانعين دلالة الأخبار علىٰ موضع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المقنعة،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المعتبر،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المبسوط للسرخسي،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الحاوي الكبير،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حلية العلماء،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المجموع شرح المهذّب،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المغني لابن قدامة،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القَصدُ إلَى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بُدَّ منه، و إنّما الكلامُ في تَوَجُّهِه إلَى الواجبِ أو النَّفلِ‌، و لَيسَ في ظاهرِ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مِن القَصدِ إلَى الواجبِ‌؛ </w:t>
      </w:r>
    </w:p>
    <w:p>
      <w:pPr>
        <w:pStyle w:val="BookText"/>
        <w:rPr/>
      </w:pPr>
      <w:r>
        <w:rPr>
          <w:rFonts w:ascii="Amiri" w:hAnsi="Amiri" w:eastAsia="Amiri" w:cs="Amiri"/>
          <w:color w:val="111111"/>
          <w:sz w:val="28"/>
          <w:sz w:val="28"/>
          <w:szCs w:val="28"/>
          <w:rtl w:val="true"/>
          <w:lang w:bidi="ar-SA"/>
        </w:rPr>
        <w:t xml:space="preserve">لأنّه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يَعلَمْ بأنّ السائلَ سيَحضُرُ</w:t>
      </w:r>
      <w:r>
        <w:rPr>
          <w:rStyle w:val="FootnoteAnchor"/>
          <w:rtl w:val="true"/>
        </w:rPr>
        <w:footnoteReference w:id="718"/>
      </w:r>
      <w:r>
        <w:rPr>
          <w:rFonts w:ascii="Amiri" w:hAnsi="Amiri" w:eastAsia="Amiri" w:cs="Amiri"/>
          <w:color w:val="111111"/>
          <w:sz w:val="28"/>
          <w:sz w:val="28"/>
          <w:szCs w:val="28"/>
          <w:rtl w:val="true"/>
          <w:lang w:bidi="ar-SA"/>
        </w:rPr>
        <w:t>فيَسألُه</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يَكونَ أعَدَّ الخاتَمَ للزكاةِ ، فلمّا حَضَرَ مَن يَسألُ اتّفاقاً تَصدَّقَ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عليه السلامُ لَم</w:t>
      </w:r>
      <w:r>
        <w:rPr>
          <w:rStyle w:val="FootnoteAnchor"/>
          <w:rtl w:val="true"/>
        </w:rPr>
        <w:footnoteReference w:id="720"/>
      </w:r>
      <w:r>
        <w:rPr>
          <w:rFonts w:ascii="Amiri" w:hAnsi="Amiri" w:eastAsia="Amiri" w:cs="Amiri"/>
          <w:color w:val="111111"/>
          <w:sz w:val="28"/>
          <w:sz w:val="28"/>
          <w:szCs w:val="28"/>
          <w:rtl w:val="true"/>
          <w:lang w:bidi="ar-SA"/>
        </w:rPr>
        <w:t>يُعِدَّه لذلكَ ، فلمّا حَضَرَ السائلُ و لَم يُواسِه أحَدٌ دَفَعَه إليه، و نَوَى الاحتسابَ به مِن</w:t>
      </w:r>
      <w:r>
        <w:rPr>
          <w:rStyle w:val="FootnoteAnchor"/>
          <w:rtl w:val="true"/>
        </w:rPr>
        <w:footnoteReference w:id="721"/>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يَفعَلُ الناسُ هذا كَثيراً؛ فأيُّ وجهٍ لاستبعادِه و القولِ بأنّه بالتطَوُّعِ أشبَهُ؟</w:t>
      </w:r>
    </w:p>
    <w:p>
      <w:pPr>
        <w:pStyle w:val="BookText"/>
        <w:rPr/>
      </w:pPr>
      <w:r>
        <w:rPr>
          <w:rFonts w:ascii="Amiri" w:hAnsi="Amiri" w:eastAsia="Amiri" w:cs="Amiri"/>
          <w:color w:val="111111"/>
          <w:sz w:val="28"/>
          <w:sz w:val="28"/>
          <w:szCs w:val="28"/>
          <w:rtl w:val="true"/>
          <w:lang w:bidi="ar-SA"/>
        </w:rPr>
        <w:t>فأمّا اعتذارُه في آخِرِ الكلامِ مِن إيرادِه و تضعيفُه له</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يَجِبُ أن لا يورِدَ ما يُحوِجُ إلَى الاعتذارِ و التنَصُّلِ </w:t>
      </w:r>
      <w:r>
        <w:rPr>
          <w:rStyle w:val="FootnoteAnchor"/>
          <w:rtl w:val="true"/>
        </w:rPr>
        <w:footnoteReference w:id="723"/>
      </w:r>
      <w:r>
        <w:rPr>
          <w:rFonts w:ascii="Amiri" w:hAnsi="Amiri" w:eastAsia="Amiri" w:cs="Amiri"/>
          <w:color w:val="111111"/>
          <w:sz w:val="28"/>
          <w:sz w:val="28"/>
          <w:szCs w:val="28"/>
          <w:rtl w:val="true"/>
          <w:lang w:bidi="ar-SA"/>
        </w:rPr>
        <w:t>فإنّ تَركَ إيرادِ ما يَجري هذا المَجرىٰ أجمَلُ مِن إيرادِه مع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شَيخُنا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المُرادُ بذلكَ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يُقِيمُونَ الصَّلاٰةَ وَ يُؤْتُونَ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الواجبتَينِ </w:t>
      </w:r>
      <w:r>
        <w:rPr>
          <w:rStyle w:val="FootnoteAnchor"/>
          <w:rtl w:val="true"/>
        </w:rPr>
        <w:footnoteReference w:id="724"/>
      </w:r>
      <w:r>
        <w:rPr>
          <w:rFonts w:ascii="Amiri" w:hAnsi="Amiri" w:eastAsia="Amiri" w:cs="Amiri"/>
          <w:color w:val="111111"/>
          <w:sz w:val="28"/>
          <w:sz w:val="28"/>
          <w:szCs w:val="28"/>
          <w:rtl w:val="true"/>
          <w:lang w:bidi="ar-SA"/>
        </w:rPr>
        <w:t>، دونَ النَّفلِ الذي وجودُه كعَدَمِه في أنّه يَكونُ المؤمنُ مؤمناً معه؛ فلا بُدَّ مِن حَملِه علىٰ ما لَولاه لَم يَكُن مؤمناً و لَم يَجِبْ تَوَلّيه</w:t>
      </w:r>
      <w:r>
        <w:rPr>
          <w:rStyle w:val="FootnoteAnchor"/>
          <w:rtl w:val="true"/>
        </w:rPr>
        <w:footnoteReference w:id="725"/>
      </w:r>
      <w:r>
        <w:rPr>
          <w:rFonts w:ascii="Amiri" w:hAnsi="Amiri" w:eastAsia="Amiri" w:cs="Amiri"/>
          <w:color w:val="111111"/>
          <w:sz w:val="28"/>
          <w:sz w:val="28"/>
          <w:szCs w:val="28"/>
          <w:rtl w:val="true"/>
          <w:lang w:bidi="ar-SA"/>
        </w:rPr>
        <w:t xml:space="preserve">لأنّه جَعَلَه مِن صفاتِ المؤمنينَ </w:t>
      </w:r>
      <w:r>
        <w:rPr>
          <w:rStyle w:val="FootnoteAnchor"/>
          <w:rtl w:val="true"/>
        </w:rPr>
        <w:footnoteReference w:id="726"/>
      </w:r>
      <w:r>
        <w:rPr>
          <w:rFonts w:ascii="Amiri" w:hAnsi="Amiri" w:eastAsia="Amiri" w:cs="Amiri"/>
          <w:color w:val="111111"/>
          <w:sz w:val="28"/>
          <w:sz w:val="28"/>
          <w:szCs w:val="28"/>
          <w:rtl w:val="true"/>
          <w:lang w:bidi="ar-SA"/>
        </w:rPr>
        <w:t>، فيَجِبُ أن يُحمَلَ على ما لَولاه لَم يَكُن مؤمناً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فَعَلَه أميرُ المؤمنينَ عليه السلامُ كانَ مِن النَّفلِ‌؛ لأنّه عليه السلامُ و غيرَه مِن جِلّةِ الصحابةِ‌</w:t>
      </w:r>
      <w:r>
        <w:rPr>
          <w:rStyle w:val="FootnoteAnchor"/>
          <w:rtl w:val="true"/>
        </w:rPr>
        <w:footnoteReference w:id="727"/>
      </w:r>
      <w:r>
        <w:rPr>
          <w:rFonts w:ascii="Amiri" w:hAnsi="Amiri" w:eastAsia="Amiri" w:cs="Amiri"/>
          <w:color w:val="111111"/>
          <w:sz w:val="28"/>
          <w:sz w:val="28"/>
          <w:szCs w:val="28"/>
          <w:rtl w:val="true"/>
          <w:lang w:bidi="ar-SA"/>
        </w:rPr>
        <w:t>لَم تَكُن</w:t>
      </w:r>
      <w:r>
        <w:rPr>
          <w:rStyle w:val="FootnoteAnchor"/>
          <w:rtl w:val="true"/>
        </w:rPr>
        <w:footnoteReference w:id="728"/>
      </w:r>
      <w:r>
        <w:rPr>
          <w:rFonts w:ascii="Amiri" w:hAnsi="Amiri" w:eastAsia="Amiri" w:cs="Amiri"/>
          <w:color w:val="111111"/>
          <w:sz w:val="28"/>
          <w:sz w:val="28"/>
          <w:szCs w:val="28"/>
          <w:rtl w:val="true"/>
          <w:lang w:bidi="ar-SA"/>
        </w:rPr>
        <w:t>عليهم زكاةٌ‌، و إنّما الذينَ وَجَبَ عليهم ذلك</w:t>
      </w:r>
      <w:r>
        <w:rPr>
          <w:rStyle w:val="FootnoteAnchor"/>
          <w:rtl w:val="true"/>
        </w:rPr>
        <w:footnoteReference w:id="729"/>
      </w:r>
      <w:r>
        <w:rPr>
          <w:rFonts w:ascii="Amiri" w:hAnsi="Amiri" w:eastAsia="Amiri" w:cs="Amiri"/>
          <w:color w:val="111111"/>
          <w:sz w:val="28"/>
          <w:sz w:val="28"/>
          <w:szCs w:val="28"/>
          <w:rtl w:val="true"/>
          <w:lang w:bidi="ar-SA"/>
        </w:rPr>
        <w:t>عَدَدٌ يَسيرٌ، و ذلكَ يَمنَعُ مِن أن لا يُرادَ بالآيةِ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الجَمعِ في لُغةِ العربِ لا يَجوزُ أن يُرادَ به الواحدُ، و إنّما يَجوزُ ذلكَ في مَواضِعَ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المَقصَدُ بالآيةِ مَدحُهم، فلا يَجوزُ أن يُحمَلَ علىٰ ما لا يَكونُ‌</w:t>
      </w:r>
    </w:p>
    <w:p>
      <w:pPr>
        <w:pStyle w:val="BookText"/>
        <w:rPr/>
      </w:pPr>
      <w:r>
        <w:rPr>
          <w:rFonts w:ascii="Amiri" w:hAnsi="Amiri" w:eastAsia="Amiri" w:cs="Amiri"/>
          <w:color w:val="111111"/>
          <w:sz w:val="28"/>
          <w:sz w:val="28"/>
          <w:szCs w:val="28"/>
          <w:rtl w:val="true"/>
          <w:lang w:bidi="ar-SA"/>
        </w:rPr>
        <w:t>مَدحاً، و إيتاءُ الزكاةِ في الصلاةِ ممّا يَنقُصُ‌</w:t>
      </w:r>
      <w:r>
        <w:rPr>
          <w:rStyle w:val="FootnoteAnchor"/>
          <w:rtl w:val="true"/>
        </w:rPr>
        <w:footnoteReference w:id="730"/>
      </w:r>
      <w:r>
        <w:rPr>
          <w:rFonts w:ascii="Amiri" w:hAnsi="Amiri" w:eastAsia="Amiri" w:cs="Amiri"/>
          <w:color w:val="111111"/>
          <w:sz w:val="28"/>
          <w:sz w:val="28"/>
          <w:szCs w:val="28"/>
          <w:rtl w:val="true"/>
          <w:lang w:bidi="ar-SA"/>
        </w:rPr>
        <w:t>أجرَ المُصلّي؛ لأنّه عملٌ في الصلاةِ‌؛ فيَجِبُ أن يُحمَلَ علىٰ ما ذَكرناه مِن أنّه أداءُ الواجبِ‌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يُبيِّنُ صحّةَ هذا الوجهِ أنه أجرَى الكلامَ علىٰ طريقةِ‌</w:t>
      </w:r>
      <w:r>
        <w:rPr>
          <w:rStyle w:val="FootnoteAnchor"/>
          <w:rtl w:val="true"/>
        </w:rPr>
        <w:footnoteReference w:id="731"/>
      </w:r>
      <w:r>
        <w:rPr>
          <w:rFonts w:ascii="Amiri" w:hAnsi="Amiri" w:eastAsia="Amiri" w:cs="Amiri"/>
          <w:color w:val="111111"/>
          <w:sz w:val="28"/>
          <w:sz w:val="28"/>
          <w:szCs w:val="28"/>
          <w:rtl w:val="true"/>
          <w:lang w:bidi="ar-SA"/>
        </w:rPr>
        <w:t>الاستقبالِ‌؛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تَحتَه الماضي مِن الفعلِ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يَتمسَّكونَ بذلكَ علَى الدَّوامِ و يَقومونَ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المُرادُ به</w:t>
      </w:r>
      <w:r>
        <w:rPr>
          <w:rStyle w:val="FootnoteAnchor"/>
          <w:rtl w:val="true"/>
        </w:rPr>
        <w:footnoteReference w:id="733"/>
      </w:r>
      <w:r>
        <w:rPr>
          <w:rFonts w:ascii="Amiri" w:hAnsi="Amiri" w:eastAsia="Amiri" w:cs="Amiri"/>
          <w:color w:val="111111"/>
          <w:sz w:val="28"/>
          <w:sz w:val="28"/>
          <w:szCs w:val="28"/>
          <w:rtl w:val="true"/>
          <w:lang w:bidi="ar-SA"/>
        </w:rPr>
        <w:t xml:space="preserve">أن يُزَكّوا في حالِ الركوعِ ، لَوَجَبَ أن يَكونَ ذلكَ طريقةً لفَضلِ الزكاةِ في الصلاةِ </w:t>
      </w:r>
      <w:r>
        <w:rPr>
          <w:rStyle w:val="FootnoteAnchor"/>
          <w:rtl w:val="true"/>
        </w:rPr>
        <w:footnoteReference w:id="734"/>
      </w:r>
      <w:r>
        <w:rPr>
          <w:rFonts w:ascii="Amiri" w:hAnsi="Amiri" w:eastAsia="Amiri" w:cs="Amiri"/>
          <w:color w:val="111111"/>
          <w:sz w:val="28"/>
          <w:sz w:val="28"/>
          <w:szCs w:val="28"/>
          <w:rtl w:val="true"/>
          <w:lang w:bidi="ar-SA"/>
        </w:rPr>
        <w:t>، و أن يُقصَدَ</w:t>
      </w:r>
      <w:r>
        <w:rPr>
          <w:rStyle w:val="FootnoteAnchor"/>
          <w:rtl w:val="true"/>
        </w:rPr>
        <w:footnoteReference w:id="735"/>
      </w:r>
      <w:r>
        <w:rPr>
          <w:rFonts w:ascii="Amiri" w:hAnsi="Amiri" w:eastAsia="Amiri" w:cs="Amiri"/>
          <w:color w:val="111111"/>
          <w:sz w:val="28"/>
          <w:sz w:val="28"/>
          <w:szCs w:val="28"/>
          <w:rtl w:val="true"/>
          <w:lang w:bidi="ar-SA"/>
        </w:rPr>
        <w:t xml:space="preserve">إليه حالاً بَعدَ حالٍ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بَطَلَ ذلكَ عُلِمَ أنّه لَم يُرَدْ به</w:t>
      </w:r>
      <w:r>
        <w:rPr>
          <w:rStyle w:val="FootnoteAnchor"/>
          <w:rtl w:val="true"/>
        </w:rPr>
        <w:footnoteReference w:id="736"/>
      </w:r>
      <w:r>
        <w:rPr>
          <w:rFonts w:ascii="Amiri" w:hAnsi="Amiri" w:eastAsia="Amiri" w:cs="Amiri"/>
          <w:color w:val="111111"/>
          <w:sz w:val="28"/>
          <w:sz w:val="28"/>
          <w:szCs w:val="28"/>
          <w:rtl w:val="true"/>
          <w:lang w:bidi="ar-SA"/>
        </w:rPr>
        <w:t>هذا المعنىٰ‌، و أنّه أُريدَ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في المُستَقبَلِ و يَدومونَ عليها، و يؤتونَ الزكاةَ و هُم في الحالِ مُتمسِّكونَ بالركوعِ و بالصلاةِ‌، فجُمِعَ لهم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المُرادُ بذِكرِ الركوعِ الخُضوعَ‌، علىٰ ما قَدَّمنا ذِكرَه؛ لأنّ الركوعَ و السجودَ قد يُرادُ بهما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w:t>
      </w:r>
      <w:r>
        <w:rPr>
          <w:rStyle w:val="FootnoteAnchor"/>
          <w:rtl w:val="true"/>
        </w:rPr>
        <w:footnoteReference w:id="737"/>
      </w:r>
      <w:r>
        <w:rPr>
          <w:rFonts w:ascii="Amiri" w:hAnsi="Amiri" w:eastAsia="Amiri" w:cs="Amiri"/>
          <w:color w:val="111111"/>
          <w:sz w:val="28"/>
          <w:sz w:val="28"/>
          <w:szCs w:val="28"/>
          <w:rtl w:val="true"/>
          <w:lang w:bidi="ar-SA"/>
        </w:rPr>
        <w:t xml:space="preserve">أبو مُسلِمٍ </w:t>
      </w:r>
      <w:r>
        <w:rPr>
          <w:rStyle w:val="FootnoteAnchor"/>
          <w:rtl w:val="true"/>
        </w:rPr>
        <w:footnoteReference w:id="738"/>
      </w:r>
      <w:r>
        <w:rPr>
          <w:rFonts w:ascii="Amiri" w:hAnsi="Amiri" w:eastAsia="Amiri" w:cs="Amiri"/>
          <w:color w:val="111111"/>
          <w:sz w:val="28"/>
          <w:sz w:val="28"/>
          <w:szCs w:val="28"/>
          <w:rtl w:val="true"/>
          <w:lang w:bidi="ar-SA"/>
        </w:rPr>
        <w:t xml:space="preserve">لمّا ذَكَرَ هذا الوجهَ بما يَدُلُّ </w:t>
      </w:r>
      <w:r>
        <w:rPr>
          <w:rStyle w:val="FootnoteAnchor"/>
          <w:rtl w:val="true"/>
        </w:rPr>
        <w:footnoteReference w:id="739"/>
      </w:r>
      <w:r>
        <w:rPr>
          <w:rFonts w:ascii="Amiri" w:hAnsi="Amiri" w:eastAsia="Amiri" w:cs="Amiri"/>
          <w:color w:val="111111"/>
          <w:sz w:val="28"/>
          <w:sz w:val="28"/>
          <w:szCs w:val="28"/>
          <w:rtl w:val="true"/>
          <w:lang w:bidi="ar-SA"/>
        </w:rPr>
        <w:t xml:space="preserve">عليه، و هو قولُ الأضبَطِ بنِ قُرَيعٍ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تَحقِرَنّ الفَقيرَ؛ عَلَّكَ </w:t>
      </w:r>
      <w:r>
        <w:rPr>
          <w:rStyle w:val="FootnoteAnchor"/>
          <w:rtl w:val="true"/>
        </w:rPr>
        <w:footnoteReference w:id="741"/>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تَرْكَعَ يَوْماً و الدَّهرُ قَد رَفَعَهْ </w:t>
      </w:r>
      <w:r>
        <w:rPr>
          <w:rStyle w:val="FootnoteAnchor"/>
          <w:rtl w:val="true"/>
        </w:rPr>
        <w:footnoteReference w:id="74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وَصَفَهم في هذا المَوضِعِ بالركوعِ و الخُضوعِ هُم الذينَ </w:t>
      </w:r>
    </w:p>
    <w:p>
      <w:pPr>
        <w:pStyle w:val="BookText"/>
        <w:rPr/>
      </w:pPr>
      <w:r>
        <w:rPr>
          <w:rFonts w:ascii="Amiri" w:hAnsi="Amiri" w:eastAsia="Amiri" w:cs="Amiri"/>
          <w:color w:val="111111"/>
          <w:sz w:val="28"/>
          <w:sz w:val="28"/>
          <w:szCs w:val="28"/>
          <w:rtl w:val="true"/>
          <w:lang w:bidi="ar-SA"/>
        </w:rPr>
        <w:t>وَصَفَهم</w:t>
      </w:r>
      <w:r>
        <w:rPr>
          <w:rStyle w:val="FootnoteAnchor"/>
          <w:rtl w:val="true"/>
        </w:rPr>
        <w:footnoteReference w:id="743"/>
      </w:r>
      <w:r>
        <w:rPr>
          <w:rFonts w:ascii="Amiri" w:hAnsi="Amiri" w:eastAsia="Amiri" w:cs="Amiri"/>
          <w:color w:val="111111"/>
          <w:sz w:val="28"/>
          <w:sz w:val="28"/>
          <w:szCs w:val="28"/>
          <w:rtl w:val="true"/>
          <w:lang w:bidi="ar-SA"/>
        </w:rPr>
        <w:t>مِن قَبلُ بأنّه يُبدِّلُ المُرتَدّينَ بهم</w:t>
      </w:r>
      <w:r>
        <w:rPr>
          <w:rStyle w:val="FootnoteAnchor"/>
          <w:rtl w:val="true"/>
        </w:rPr>
        <w:footnoteReference w:id="744"/>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 يُحِبُّونَهُ أَذِلَّةٍ عَلَى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أرادَ به طريقةَ التواضُعِ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أَعِزَّةٍ عَلَى الْكٰافِرِينَ يُجٰاهِدُونَ فِي سَبِيلِ اللّٰهِ وَ لاٰ يَخٰافُونَ لَوْمَةَ لاٰئِمٍ‌</w:t>
      </w:r>
      <w:r>
        <w:rPr>
          <w:rFonts w:eastAsia="Amiri" w:cs="Amiri" w:ascii="Amiri" w:hAnsi="Amiri"/>
          <w:color w:val="111111"/>
          <w:sz w:val="28"/>
          <w:szCs w:val="28"/>
          <w:rtl w:val="true"/>
          <w:lang w:bidi="ar-SA"/>
        </w:rPr>
        <w:t>)</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النسخ و المطبوع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ذلك يُبيِّنُ أنّ المُرادَ بالآيةِ المُوالاةُ في الدينِ‌؛ لأنّه قد قيلَ‌، 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الذي يَنصُرُكم و يَدفَعُ عنكم لدينِكم هو اللّٰهُ و رسولُه و الذين آمَنوا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أنّها نَزَلَت في عُبادةَ بنِ الصامِتِ‌</w:t>
      </w:r>
      <w:r>
        <w:rPr>
          <w:rStyle w:val="FootnoteAnchor"/>
          <w:rtl w:val="true"/>
        </w:rPr>
        <w:footnoteReference w:id="747"/>
      </w:r>
      <w:r>
        <w:rPr>
          <w:rFonts w:ascii="Amiri" w:hAnsi="Amiri" w:eastAsia="Amiri" w:cs="Amiri"/>
          <w:color w:val="111111"/>
          <w:sz w:val="28"/>
          <w:sz w:val="28"/>
          <w:szCs w:val="28"/>
          <w:rtl w:val="true"/>
          <w:lang w:bidi="ar-SA"/>
        </w:rPr>
        <w:t>لأنّه كانَ قد دَخَلَ في حِلفِ اليهودِ، ثُمَّ تَبَرَّأَ منهم و مِن وَلايتِهم، و فَزِعَ إلىٰ رسولِ اللّٰهِ صَلّى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هذه الآيةَ مُقوّيةً‌</w:t>
      </w:r>
      <w:r>
        <w:rPr>
          <w:rStyle w:val="FootnoteAnchor"/>
          <w:rtl w:val="true"/>
        </w:rPr>
        <w:footnoteReference w:id="748"/>
      </w:r>
      <w:r>
        <w:rPr>
          <w:rFonts w:ascii="Amiri" w:hAnsi="Amiri" w:eastAsia="Amiri" w:cs="Amiri"/>
          <w:color w:val="111111"/>
          <w:sz w:val="28"/>
          <w:sz w:val="28"/>
          <w:szCs w:val="28"/>
          <w:rtl w:val="true"/>
          <w:lang w:bidi="ar-SA"/>
        </w:rPr>
        <w:t>لقلوبِ مَن دَخَلَ في الإيمانِ ، و مُبَيِّناً</w:t>
      </w:r>
      <w:r>
        <w:rPr>
          <w:rStyle w:val="FootnoteAnchor"/>
          <w:rtl w:val="true"/>
        </w:rPr>
        <w:footnoteReference w:id="749"/>
      </w:r>
      <w:r>
        <w:rPr>
          <w:rFonts w:ascii="Amiri" w:hAnsi="Amiri" w:eastAsia="Amiri" w:cs="Amiri"/>
          <w:color w:val="111111"/>
          <w:sz w:val="28"/>
          <w:sz w:val="28"/>
          <w:szCs w:val="28"/>
          <w:rtl w:val="true"/>
          <w:lang w:bidi="ar-SA"/>
        </w:rPr>
        <w:t xml:space="preserve">له أنّ ناصِرَه هو اللّٰهُ و رسولُه و المؤمنونَ </w:t>
      </w:r>
      <w:bookmarkStart w:id="172" w:name="pg20017_202439"/>
    </w:p>
    <w:p>
      <w:pPr>
        <w:pStyle w:val="BookText"/>
        <w:rPr/>
      </w:pPr>
      <w:bookmarkEnd w:id="1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بَيَّنَ أنّ مَن يَتولَّى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يَقومُ بحقِّ طاعتِه و ما يَلزَمُ مِن إعظامِه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مِن طاعتِه ما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فيَلزَمُه مِن مُوالاتِهم ما يَلزَمُه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المنصورُ؛ لدخولِه في حِزبِ اللّٰهِ الذين هُم الغالِبونَ </w:t>
      </w:r>
      <w:r>
        <w:rPr>
          <w:rFonts w:eastAsia="Amiri" w:cs="Amiri" w:ascii="Amiri" w:hAnsi="Amiri"/>
          <w:color w:val="111111"/>
          <w:sz w:val="28"/>
          <w:szCs w:val="28"/>
          <w:rtl w:val="true"/>
          <w:lang w:bidi="ar-SA"/>
        </w:rPr>
        <w:t>].</w:t>
      </w:r>
      <w:r>
        <w:rPr>
          <w:rStyle w:val="FootnoteAnchor"/>
          <w:rtl w:val="true"/>
        </w:rPr>
        <w:footnoteReference w:id="750"/>
      </w:r>
    </w:p>
    <w:p>
      <w:pPr>
        <w:pStyle w:val="Heading5"/>
        <w:numPr>
          <w:ilvl w:val="4"/>
          <w:numId w:val="1"/>
        </w:numPr>
        <w:rPr/>
      </w:pPr>
      <w:bookmarkStart w:id="173" w:name="__RefHeading___Toc964113_2320776876"/>
      <w:bookmarkStart w:id="174" w:name="_Toc60"/>
      <w:bookmarkEnd w:id="173"/>
      <w:r>
        <w:rPr>
          <w:rtl w:val="true"/>
        </w:rPr>
        <w:t>عدم دلالة الآية على الصلاة و الزكاة الواجبتين دون المستحبّتين</w:t>
      </w:r>
      <w:bookmarkEnd w:id="174"/>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w:t>
      </w:r>
      <w:r>
        <w:rPr>
          <w:rStyle w:val="FootnoteAnchor"/>
          <w:rtl w:val="true"/>
        </w:rPr>
        <w:footnoteReference w:id="751"/>
      </w:r>
      <w:r>
        <w:rPr>
          <w:rFonts w:ascii="Amiri" w:hAnsi="Amiri" w:eastAsia="Amiri" w:cs="Amiri"/>
          <w:color w:val="111111"/>
          <w:sz w:val="28"/>
          <w:sz w:val="28"/>
          <w:szCs w:val="28"/>
          <w:rtl w:val="true"/>
          <w:lang w:bidi="ar-SA"/>
        </w:rPr>
        <w:t>علىٰ ما ظَنَّه أبو هاشِمٍ مِن أنّ الآيةَ تَقتَضي الصلاةَ و الزكاةَ الواجبتَينِ دونَ ما كانَ مُتنفَّلاً به؛ لأنّها لَم تَخرُجْ مَخرَجَ الصفةِ لِما يَكونُ به المؤمنُ مؤمناً، و إنّما وَصَفَ اللّٰهُ تَعالىٰ مَن أخبَرَ بأنّه وليُّنا بالإيمانِ‌</w:t>
      </w:r>
      <w:r>
        <w:rPr>
          <w:rStyle w:val="FootnoteAnchor"/>
          <w:rtl w:val="true"/>
        </w:rPr>
        <w:footnoteReference w:id="752"/>
      </w:r>
      <w:r>
        <w:rPr>
          <w:rFonts w:ascii="Amiri" w:hAnsi="Amiri" w:eastAsia="Amiri" w:cs="Amiri"/>
          <w:color w:val="111111"/>
          <w:sz w:val="28"/>
          <w:sz w:val="28"/>
          <w:szCs w:val="28"/>
          <w:rtl w:val="true"/>
          <w:lang w:bidi="ar-SA"/>
        </w:rPr>
        <w:t>و بإقامةِ الصلاةِ و بإيتاءِ الزكاةِ‌، و لا مانعَ مِن أن يَكونَ في جُملةِ الصفاتِ‌</w:t>
      </w:r>
      <w:r>
        <w:rPr>
          <w:rStyle w:val="FootnoteAnchor"/>
          <w:rtl w:val="true"/>
        </w:rPr>
        <w:footnoteReference w:id="753"/>
      </w:r>
      <w:r>
        <w:rPr>
          <w:rFonts w:ascii="Amiri" w:hAnsi="Amiri" w:eastAsia="Amiri" w:cs="Amiri"/>
          <w:color w:val="111111"/>
          <w:sz w:val="28"/>
          <w:sz w:val="28"/>
          <w:szCs w:val="28"/>
          <w:rtl w:val="true"/>
          <w:lang w:bidi="ar-SA"/>
        </w:rPr>
        <w:t>ما لَو انتَفىٰ لَم يَكُن مُخِلًّا بالإيمانِ‌، و إنّما كانَ يَجِبُ ما ظَنَّه</w:t>
      </w:r>
      <w:r>
        <w:rPr>
          <w:rStyle w:val="FootnoteAnchor"/>
          <w:rtl w:val="true"/>
        </w:rPr>
        <w:footnoteReference w:id="754"/>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الذينَ يُقيمونَ الصلاةَ و يؤتونَ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كانَت الآيةُ خارجةً خِلافَ هذا المَخرَجِ ، فلا وَجهَ لِما قالَه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شُبهةَ في أنّه كانَ يَحسُنُ أن يُصرِّحَ تَعالىٰ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نفسِه تَعالىٰ و رسولِه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Style w:val="FootnoteAnchor"/>
          <w:rtl w:val="true"/>
        </w:rPr>
        <w:footnoteReference w:id="755"/>
      </w:r>
      <w:r>
        <w:rPr>
          <w:rFonts w:ascii="Amiri" w:hAnsi="Amiri" w:eastAsia="Amiri" w:cs="Amiri"/>
          <w:color w:val="111111"/>
          <w:sz w:val="28"/>
          <w:sz w:val="28"/>
          <w:szCs w:val="28"/>
          <w:rtl w:val="true"/>
          <w:lang w:bidi="ar-SA"/>
        </w:rPr>
        <w:t>آمَنُوا الذين يَتطَّوعونَ بفعلِ الخَيراتِ و يَتنفَّلونَ بضُروبِ القُرَبِ و يَفعلونَ كَذا و كَذا ممّا لا يَخرُجُ المؤمنُ بانتفائه عنه مِن أن يَكونَ مؤمناً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سَلَّمنا ما يُريدُه مِن أنّ إقامةَ الصلاةِ و إيتاءَ الزكاةِ الواجبتَينِ‌</w:t>
      </w:r>
      <w:r>
        <w:rPr>
          <w:rStyle w:val="FootnoteAnchor"/>
          <w:rtl w:val="true"/>
        </w:rPr>
        <w:footnoteReference w:id="756"/>
      </w:r>
      <w:r>
        <w:rPr>
          <w:rFonts w:ascii="Amiri" w:hAnsi="Amiri" w:eastAsia="Amiri" w:cs="Amiri"/>
          <w:color w:val="111111"/>
          <w:sz w:val="28"/>
          <w:sz w:val="28"/>
          <w:szCs w:val="28"/>
          <w:rtl w:val="true"/>
          <w:lang w:bidi="ar-SA"/>
        </w:rPr>
        <w:t>مِن شرائطِ الإيمانِ و ممّا لا يَكونُ المؤمنُ مؤمناً إلّامعه، و الصحيحُ عندَنا خِلافُه</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و لَيسَ‌</w:t>
      </w:r>
      <w:r>
        <w:rPr>
          <w:rStyle w:val="FootnoteAnchor"/>
          <w:rtl w:val="true"/>
        </w:rPr>
        <w:footnoteReference w:id="758"/>
      </w:r>
      <w:r>
        <w:rPr>
          <w:rFonts w:ascii="Amiri" w:hAnsi="Amiri" w:eastAsia="Amiri" w:cs="Amiri"/>
          <w:color w:val="111111"/>
          <w:sz w:val="28"/>
          <w:sz w:val="28"/>
          <w:szCs w:val="28"/>
          <w:rtl w:val="true"/>
          <w:lang w:bidi="ar-SA"/>
        </w:rPr>
        <w:t>يُمكِنُ أن يُدَّعىٰ أنّ لفظَ</w:t>
      </w:r>
      <w:r>
        <w:rPr>
          <w:rStyle w:val="FootnoteAnchor"/>
          <w:rtl w:val="true"/>
        </w:rPr>
        <w:footnoteReference w:id="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الشرعِ يُفهَمُ مِن ظاهرِه الصلاةُ‌</w:t>
      </w:r>
      <w:r>
        <w:rPr>
          <w:rStyle w:val="FootnoteAnchor"/>
          <w:rtl w:val="true"/>
        </w:rPr>
        <w:footnoteReference w:id="760"/>
      </w:r>
      <w:r>
        <w:rPr>
          <w:rFonts w:ascii="Amiri" w:hAnsi="Amiri" w:eastAsia="Amiri" w:cs="Amiri"/>
          <w:color w:val="111111"/>
          <w:sz w:val="28"/>
          <w:sz w:val="28"/>
          <w:szCs w:val="28"/>
          <w:rtl w:val="true"/>
          <w:lang w:bidi="ar-SA"/>
        </w:rPr>
        <w:t>الواجبةُ دونَ النَّفلِ‌، و لَيسَ ادّعاءُ‌</w:t>
      </w:r>
      <w:r>
        <w:rPr>
          <w:rStyle w:val="FootnoteAnchor"/>
          <w:rtl w:val="true"/>
        </w:rPr>
        <w:footnoteReference w:id="761"/>
      </w:r>
      <w:r>
        <w:rPr>
          <w:rFonts w:ascii="Amiri" w:hAnsi="Amiri" w:eastAsia="Amiri" w:cs="Amiri"/>
          <w:color w:val="111111"/>
          <w:sz w:val="28"/>
          <w:sz w:val="28"/>
          <w:szCs w:val="28"/>
          <w:rtl w:val="true"/>
          <w:lang w:bidi="ar-SA"/>
        </w:rPr>
        <w:t xml:space="preserve">ذلكَ في الصلاةِ بجارٍ مَجرَى ادّعائه في الزكاةِ‌؛ لأنّا نَعلَمُ مِن عُرفِ أهلِ الشرعِ جَميعاً أنّهم يَستَعمِلونَ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و النَّفلِ علىٰ حدٍّ واحدٍ، حتّىٰ إنّ أحَدَهم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فُلاناً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بفُلانٍ و هو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يُفهَمْ مِن قولِه الصلاةُ الواجبةُ دونَ غيرِها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w:t>
      </w:r>
      <w:r>
        <w:rPr>
          <w:rStyle w:val="FootnoteAnchor"/>
          <w:rtl w:val="true"/>
        </w:rPr>
        <w:footnoteReference w:id="762"/>
      </w:r>
      <w:r>
        <w:rPr>
          <w:rFonts w:ascii="Amiri" w:hAnsi="Amiri" w:eastAsia="Amiri" w:cs="Amiri"/>
          <w:color w:val="111111"/>
          <w:sz w:val="28"/>
          <w:sz w:val="28"/>
          <w:szCs w:val="28"/>
          <w:rtl w:val="true"/>
          <w:lang w:bidi="ar-SA"/>
        </w:rPr>
        <w:t xml:space="preserve">قد بيّنّا قُبَيلَ </w:t>
      </w:r>
      <w:r>
        <w:rPr>
          <w:rStyle w:val="FootnoteAnchor"/>
          <w:rtl w:val="true"/>
        </w:rPr>
        <w:footnoteReference w:id="763"/>
      </w:r>
      <w:r>
        <w:rPr>
          <w:rFonts w:ascii="Amiri" w:hAnsi="Amiri" w:eastAsia="Amiri" w:cs="Amiri"/>
          <w:color w:val="111111"/>
          <w:sz w:val="28"/>
          <w:sz w:val="28"/>
          <w:szCs w:val="28"/>
          <w:rtl w:val="true"/>
          <w:lang w:bidi="ar-SA"/>
        </w:rPr>
        <w:t>هذا الفَصلِ أنّ الذي فَعَلَه أميرُ المؤمنينَ عليه السلامُ لَيسَ بمُنكَرٍ أن يَكونَ واجباً</w:t>
      </w:r>
      <w:r>
        <w:rPr>
          <w:rStyle w:val="FootnoteAnchor"/>
          <w:rtl w:val="true"/>
        </w:rPr>
        <w:footnoteReference w:id="764"/>
      </w:r>
      <w:r>
        <w:rPr>
          <w:rFonts w:ascii="Amiri" w:hAnsi="Amiri" w:eastAsia="Amiri" w:cs="Amiri"/>
          <w:color w:val="111111"/>
          <w:sz w:val="28"/>
          <w:sz w:val="28"/>
          <w:szCs w:val="28"/>
          <w:rtl w:val="true"/>
          <w:lang w:bidi="ar-SA"/>
        </w:rPr>
        <w:t xml:space="preserve">، و أنّ المُستَبعَدَ فيه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فيمَن عَلِمنا مِن حالِه ما عَلِمناه مِن حالِه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وجوبِ الزكاةِ في الأحوالِ ، و وجوبُ المقاديرِ منها التي يَعُدُّها الناسُ يَساراً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وجودُ أقَلِّ مقاديرِها</w:t>
      </w:r>
      <w:r>
        <w:rPr>
          <w:rStyle w:val="FootnoteAnchor"/>
          <w:rtl w:val="true"/>
        </w:rPr>
        <w:footnoteReference w:id="765"/>
      </w:r>
      <w:r>
        <w:rPr>
          <w:rFonts w:ascii="Amiri" w:hAnsi="Amiri" w:eastAsia="Amiri" w:cs="Amiri"/>
          <w:color w:val="111111"/>
          <w:sz w:val="28"/>
          <w:sz w:val="28"/>
          <w:szCs w:val="28"/>
          <w:rtl w:val="true"/>
          <w:lang w:bidi="ar-SA"/>
        </w:rPr>
        <w:t xml:space="preserve">في بعضِ الأحوالِ فغَيرُ مُستَنكَرٍ، و لا مُنافٍ للمعلومِ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العَدَدُ اليَسيرُ الذين أشارَ إليهم</w:t>
      </w:r>
      <w:r>
        <w:rPr>
          <w:rStyle w:val="FootnoteAnchor"/>
          <w:rtl w:val="true"/>
        </w:rPr>
        <w:footnoteReference w:id="766"/>
      </w:r>
      <w:bookmarkStart w:id="175" w:name="pg20017_202441"/>
    </w:p>
    <w:p>
      <w:pPr>
        <w:pStyle w:val="BookText"/>
        <w:rPr/>
      </w:pPr>
      <w:bookmarkEnd w:id="175"/>
      <w:r>
        <w:rPr>
          <w:rFonts w:ascii="Amiri" w:hAnsi="Amiri" w:eastAsia="Amiri" w:cs="Amiri"/>
          <w:color w:val="111111"/>
          <w:sz w:val="28"/>
          <w:sz w:val="28"/>
          <w:szCs w:val="28"/>
          <w:rtl w:val="true"/>
          <w:lang w:bidi="ar-SA"/>
        </w:rPr>
        <w:t xml:space="preserve">و أخْرَجَ </w:t>
      </w:r>
      <w:r>
        <w:rPr>
          <w:rStyle w:val="FootnoteAnchor"/>
          <w:rtl w:val="true"/>
        </w:rPr>
        <w:footnoteReference w:id="767"/>
      </w:r>
      <w:r>
        <w:rPr>
          <w:rFonts w:ascii="Amiri" w:hAnsi="Amiri" w:eastAsia="Amiri" w:cs="Amiri"/>
          <w:color w:val="111111"/>
          <w:sz w:val="28"/>
          <w:sz w:val="28"/>
          <w:szCs w:val="28"/>
          <w:rtl w:val="true"/>
          <w:lang w:bidi="ar-SA"/>
        </w:rPr>
        <w:t>أميرَ المؤمنينَ عليه السلامُ مِن جُملتِهم هُم الموصوفونَ باليَسارِ و كَثرةِ المالِ و اتِّساعِه، و مَن وَجَبَت</w:t>
      </w:r>
      <w:r>
        <w:rPr>
          <w:rStyle w:val="FootnoteAnchor"/>
          <w:rtl w:val="true"/>
        </w:rPr>
        <w:footnoteReference w:id="768"/>
      </w:r>
      <w:r>
        <w:rPr>
          <w:rFonts w:ascii="Amiri" w:hAnsi="Amiri" w:eastAsia="Amiri" w:cs="Amiri"/>
          <w:color w:val="111111"/>
          <w:sz w:val="28"/>
          <w:sz w:val="28"/>
          <w:szCs w:val="28"/>
          <w:rtl w:val="true"/>
          <w:lang w:bidi="ar-SA"/>
        </w:rPr>
        <w:t>عليه زكاةٌ مّا</w:t>
      </w:r>
      <w:r>
        <w:rPr>
          <w:rStyle w:val="FootnoteAnchor"/>
          <w:rtl w:val="true"/>
        </w:rPr>
        <w:footnoteReference w:id="769"/>
      </w:r>
      <w:r>
        <w:rPr>
          <w:rFonts w:ascii="Amiri" w:hAnsi="Amiri" w:eastAsia="Amiri" w:cs="Amiri"/>
          <w:color w:val="111111"/>
          <w:sz w:val="28"/>
          <w:sz w:val="28"/>
          <w:szCs w:val="28"/>
          <w:rtl w:val="true"/>
          <w:lang w:bidi="ar-SA"/>
        </w:rPr>
        <w:t>في بعضِ الأوقاتِ لا يَجِبُ دخولُه في جُملتِهم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فبَطَلَ قولُ أبي هاشمٍ أنّ </w:t>
      </w:r>
      <w:r>
        <w:rPr>
          <w:rStyle w:val="FootnoteAnchor"/>
          <w:rtl w:val="true"/>
        </w:rPr>
        <w:footnoteReference w:id="770"/>
      </w:r>
      <w:r>
        <w:rPr>
          <w:rFonts w:ascii="Amiri" w:hAnsi="Amiri" w:eastAsia="Amiri" w:cs="Amiri"/>
          <w:color w:val="111111"/>
          <w:sz w:val="28"/>
          <w:sz w:val="28"/>
          <w:szCs w:val="28"/>
          <w:rtl w:val="true"/>
          <w:lang w:bidi="ar-SA"/>
        </w:rPr>
        <w:t>الذي ذَكَرَه يَمنَعُ مِن أن لا يُرادَ بالآيةِ سِواه</w:t>
      </w:r>
      <w:r>
        <w:rPr>
          <w:rStyle w:val="FootnoteAnchor"/>
          <w:rtl w:val="true"/>
        </w:rPr>
        <w:footnoteReference w:id="771"/>
      </w:r>
      <w:r>
        <w:rPr>
          <w:rFonts w:ascii="Amiri" w:hAnsi="Amiri" w:eastAsia="Amiri" w:cs="Amiri"/>
          <w:color w:val="111111"/>
          <w:sz w:val="28"/>
          <w:sz w:val="28"/>
          <w:szCs w:val="28"/>
          <w:rtl w:val="true"/>
          <w:lang w:bidi="ar-SA"/>
        </w:rPr>
        <w:t xml:space="preserve">لبُطلانِ ما جَعَلَ قولَه الذي حَكَيناه ثَمَرةً له و 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الذي يَمنَعُ مِن أن يُرادَ بها سِواهُ عليه السلامُ قد قَدَّمناه و بيّنّاه</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فأمّا التعَلُّقُ بلفظِ الجَمعِ فقَد مضَى الكلامُ فيه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4"/>
      </w:r>
    </w:p>
    <w:p>
      <w:pPr>
        <w:pStyle w:val="Heading5"/>
        <w:numPr>
          <w:ilvl w:val="4"/>
          <w:numId w:val="1"/>
        </w:numPr>
        <w:rPr/>
      </w:pPr>
      <w:bookmarkStart w:id="176" w:name="__RefHeading___Toc964115_2320776876"/>
      <w:bookmarkStart w:id="177" w:name="_Toc61"/>
      <w:bookmarkEnd w:id="176"/>
      <w:r>
        <w:rPr>
          <w:rtl w:val="true"/>
        </w:rPr>
        <w:t>نفي أن يؤدّي إيتاء الزكاة إلىٰ بطلان الصلاة</w:t>
      </w:r>
      <w:bookmarkEnd w:id="177"/>
    </w:p>
    <w:p>
      <w:pPr>
        <w:pStyle w:val="BookText"/>
        <w:rPr/>
      </w:pPr>
      <w:r>
        <w:rPr>
          <w:rFonts w:ascii="Amiri" w:hAnsi="Amiri" w:eastAsia="Amiri" w:cs="Amiri"/>
          <w:color w:val="111111"/>
          <w:sz w:val="28"/>
          <w:sz w:val="28"/>
          <w:szCs w:val="28"/>
          <w:rtl w:val="true"/>
          <w:lang w:bidi="ar-SA"/>
        </w:rPr>
        <w:t>و أمّا تَعلُّقُه بالعملِ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وقوعِ فِعلِه عليه السلامُ علىٰ وجهٍ يَكونُ قاطعاً للصلاةِ ، بَل جائزٌ أن يَكونَ عليه السلامُ أشارَ إلَى السائلِ بيَدِه إشارةً خفيفةً </w:t>
      </w:r>
      <w:r>
        <w:rPr>
          <w:rStyle w:val="FootnoteAnchor"/>
          <w:rtl w:val="true"/>
        </w:rPr>
        <w:footnoteReference w:id="775"/>
      </w:r>
      <w:r>
        <w:rPr>
          <w:rFonts w:ascii="Amiri" w:hAnsi="Amiri" w:eastAsia="Amiri" w:cs="Amiri"/>
          <w:color w:val="111111"/>
          <w:sz w:val="28"/>
          <w:sz w:val="28"/>
          <w:szCs w:val="28"/>
          <w:rtl w:val="true"/>
          <w:lang w:bidi="ar-SA"/>
        </w:rPr>
        <w:t xml:space="preserve">لا يَقطَعُ </w:t>
      </w:r>
      <w:r>
        <w:rPr>
          <w:rStyle w:val="FootnoteAnchor"/>
          <w:rtl w:val="true"/>
        </w:rPr>
        <w:footnoteReference w:id="776"/>
      </w:r>
      <w:r>
        <w:rPr>
          <w:rFonts w:ascii="Amiri" w:hAnsi="Amiri" w:eastAsia="Amiri" w:cs="Amiri"/>
          <w:color w:val="111111"/>
          <w:sz w:val="28"/>
          <w:sz w:val="28"/>
          <w:szCs w:val="28"/>
          <w:rtl w:val="true"/>
          <w:lang w:bidi="ar-SA"/>
        </w:rPr>
        <w:t>مِثلُها</w:t>
      </w:r>
      <w:r>
        <w:rPr>
          <w:rStyle w:val="FootnoteAnchor"/>
          <w:rtl w:val="true"/>
        </w:rPr>
        <w:footnoteReference w:id="777"/>
      </w:r>
      <w:r>
        <w:rPr>
          <w:rFonts w:ascii="Amiri" w:hAnsi="Amiri" w:eastAsia="Amiri" w:cs="Amiri"/>
          <w:color w:val="111111"/>
          <w:sz w:val="28"/>
          <w:sz w:val="28"/>
          <w:szCs w:val="28"/>
          <w:rtl w:val="true"/>
          <w:lang w:bidi="ar-SA"/>
        </w:rPr>
        <w:t>الصلاةَ فَهِمَ منها أنّه يُريدُ التصَدُّقَ عليه، فأخَذَ الخاتَمَ مِن إصبَعِه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أجمَعَت الأُمّةُ علىٰ أنّ يَسيرَ العملِ في الصلاةِ لا يَقطَعُها</w:t>
      </w:r>
      <w:r>
        <w:rPr>
          <w:rFonts w:eastAsia="Amiri" w:cs="Amiri" w:ascii="Amiri" w:hAnsi="Amiri"/>
          <w:color w:val="111111"/>
          <w:sz w:val="28"/>
          <w:szCs w:val="28"/>
          <w:rtl w:val="true"/>
          <w:lang w:bidi="ar-SA"/>
        </w:rPr>
        <w:t xml:space="preserve">. </w:t>
      </w:r>
      <w:bookmarkStart w:id="178" w:name="pg20017_202442"/>
    </w:p>
    <w:p>
      <w:pPr>
        <w:pStyle w:val="BookText"/>
        <w:rPr/>
      </w:pPr>
      <w:bookmarkEnd w:id="178"/>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واجبٍ القَطعُ‌</w:t>
      </w:r>
      <w:r>
        <w:rPr>
          <w:rStyle w:val="FootnoteAnchor"/>
          <w:rtl w:val="true"/>
        </w:rPr>
        <w:footnoteReference w:id="778"/>
      </w:r>
      <w:r>
        <w:rPr>
          <w:rFonts w:ascii="Amiri" w:hAnsi="Amiri" w:eastAsia="Amiri" w:cs="Amiri"/>
          <w:color w:val="111111"/>
          <w:sz w:val="28"/>
          <w:sz w:val="28"/>
          <w:szCs w:val="28"/>
          <w:rtl w:val="true"/>
          <w:lang w:bidi="ar-SA"/>
        </w:rPr>
        <w:t>علىٰ أنّ جميعَ الأفعالِ في الصلاةِ كانَت محظورةً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فيها كانَ مُباحاً، ثُمَّ تَجَدَّدَ حَظْرُه مِن بَعدُ</w:t>
      </w:r>
      <w:r>
        <w:rPr>
          <w:rStyle w:val="FootnoteAnchor"/>
          <w:rtl w:val="true"/>
        </w:rPr>
        <w:footnoteReference w:id="779"/>
      </w:r>
      <w:r>
        <w:rPr>
          <w:rFonts w:ascii="Amiri" w:hAnsi="Amiri" w:eastAsia="Amiri" w:cs="Amiri"/>
          <w:color w:val="111111"/>
          <w:sz w:val="28"/>
          <w:sz w:val="28"/>
          <w:szCs w:val="28"/>
          <w:rtl w:val="true"/>
          <w:lang w:bidi="ar-SA"/>
        </w:rPr>
        <w:t xml:space="preserve">فلا يُنكَرُ أن يَكونَ </w:t>
      </w:r>
      <w:r>
        <w:rPr>
          <w:rStyle w:val="FootnoteAnchor"/>
          <w:rtl w:val="true"/>
        </w:rPr>
        <w:footnoteReference w:id="780"/>
      </w:r>
      <w:r>
        <w:rPr>
          <w:rFonts w:ascii="Amiri" w:hAnsi="Amiri" w:eastAsia="Amiri" w:cs="Amiri"/>
          <w:color w:val="111111"/>
          <w:sz w:val="28"/>
          <w:sz w:val="28"/>
          <w:szCs w:val="28"/>
          <w:rtl w:val="true"/>
          <w:lang w:bidi="ar-SA"/>
        </w:rPr>
        <w:t xml:space="preserve">هذه أيضاً حالَ بعضِ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يُبيِّنُ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يوجِبُ </w:t>
      </w:r>
      <w:r>
        <w:rPr>
          <w:rStyle w:val="FootnoteAnchor"/>
          <w:rtl w:val="true"/>
        </w:rPr>
        <w:footnoteReference w:id="781"/>
      </w:r>
      <w:r>
        <w:rPr>
          <w:rFonts w:ascii="Amiri" w:hAnsi="Amiri" w:eastAsia="Amiri" w:cs="Amiri"/>
          <w:color w:val="111111"/>
          <w:sz w:val="28"/>
          <w:sz w:val="28"/>
          <w:szCs w:val="28"/>
          <w:rtl w:val="true"/>
          <w:lang w:bidi="ar-SA"/>
        </w:rPr>
        <w:t>علينا القَطعَ علىٰ أنّ فِعلَه عليه السلامُ لَم يَكُن قاطعاً للصلاةِ و لا ناقصاً</w:t>
      </w:r>
      <w:r>
        <w:rPr>
          <w:rStyle w:val="FootnoteAnchor"/>
          <w:rtl w:val="true"/>
        </w:rPr>
        <w:footnoteReference w:id="782"/>
      </w:r>
      <w:r>
        <w:rPr>
          <w:rFonts w:ascii="Amiri" w:hAnsi="Amiri" w:eastAsia="Amiri" w:cs="Amiri"/>
          <w:color w:val="111111"/>
          <w:sz w:val="28"/>
          <w:sz w:val="28"/>
          <w:szCs w:val="28"/>
          <w:rtl w:val="true"/>
          <w:lang w:bidi="ar-SA"/>
        </w:rPr>
        <w:t xml:space="preserve">مِن 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عَلِمناه</w:t>
      </w:r>
      <w:r>
        <w:rPr>
          <w:rStyle w:val="FootnoteAnchor"/>
          <w:rtl w:val="true"/>
        </w:rPr>
        <w:footnoteReference w:id="783"/>
      </w:r>
      <w:r>
        <w:rPr>
          <w:rFonts w:ascii="Amiri" w:hAnsi="Amiri" w:eastAsia="Amiri" w:cs="Amiri"/>
          <w:color w:val="111111"/>
          <w:sz w:val="28"/>
          <w:sz w:val="28"/>
          <w:szCs w:val="28"/>
          <w:rtl w:val="true"/>
          <w:lang w:bidi="ar-SA"/>
        </w:rPr>
        <w:t>مِن تَوجُّهِ مَدحِ اللّٰهِ تَعالىٰ و رسولِه صَلّى اللّٰهُ عليه و آلِه</w:t>
      </w:r>
      <w:r>
        <w:rPr>
          <w:rStyle w:val="FootnoteAnchor"/>
          <w:rtl w:val="true"/>
        </w:rPr>
        <w:footnoteReference w:id="784"/>
      </w:r>
      <w:r>
        <w:rPr>
          <w:rFonts w:ascii="Amiri" w:hAnsi="Amiri" w:eastAsia="Amiri" w:cs="Amiri"/>
          <w:color w:val="111111"/>
          <w:sz w:val="28"/>
          <w:sz w:val="28"/>
          <w:szCs w:val="28"/>
          <w:rtl w:val="true"/>
          <w:lang w:bidi="ar-SA"/>
        </w:rPr>
        <w:t xml:space="preserve">إليه بذلكَ الفعلِ المخصوصِ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فيَجِبُ أن يُحمَلَ علىٰ ما ذَكرناه مِن أنّه أداءُ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 أداءَه في الصلاةِ ، فهو الذي أنكَرَه و عَدَّه قَطعاً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أرادَ أداءَه علىٰ طريقِ الانفصالِ مِن الصلاةِ ، فقَد مضىٰ أنّ الكلامَ يَقتَضي إيتاءَ الزكاةِ في حالِ الركوعِ </w:t>
      </w:r>
      <w:r>
        <w:rPr>
          <w:rFonts w:eastAsia="Amiri" w:cs="Amiri" w:ascii="Amiri" w:hAnsi="Amiri"/>
          <w:color w:val="111111"/>
          <w:sz w:val="28"/>
          <w:szCs w:val="28"/>
          <w:rtl w:val="true"/>
          <w:lang w:bidi="ar-SA"/>
        </w:rPr>
        <w:t>.</w:t>
      </w:r>
      <w:r>
        <w:rPr>
          <w:rStyle w:val="FootnoteAnchor"/>
          <w:rtl w:val="true"/>
        </w:rPr>
        <w:footnoteReference w:id="785"/>
      </w:r>
    </w:p>
    <w:p>
      <w:pPr>
        <w:pStyle w:val="Heading5"/>
        <w:numPr>
          <w:ilvl w:val="4"/>
          <w:numId w:val="1"/>
        </w:numPr>
        <w:rPr/>
      </w:pPr>
      <w:bookmarkStart w:id="179" w:name="__RefHeading___Toc964117_2320776876"/>
      <w:bookmarkStart w:id="180" w:name="_Toc62"/>
      <w:bookmarkEnd w:id="179"/>
      <w:r>
        <w:rPr>
          <w:rtl w:val="true"/>
        </w:rPr>
        <w:t>نفي أن يكون الركوع جهة فضل للزكاة</w:t>
      </w:r>
      <w:bookmarkEnd w:id="18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التعَلُّقُ بلفظِ الاستقبالِ قد مضىٰ أيضاً ما فيه</w:t>
      </w:r>
      <w:r>
        <w:rPr>
          <w:rStyle w:val="FootnoteAnchor"/>
          <w:rtl w:val="true"/>
        </w:rPr>
        <w:footnoteReference w:id="786"/>
      </w:r>
      <w:r>
        <w:rPr>
          <w:rFonts w:ascii="Amiri" w:hAnsi="Amiri" w:eastAsia="Amiri" w:cs="Amiri"/>
          <w:color w:val="111111"/>
          <w:sz w:val="28"/>
          <w:sz w:val="28"/>
          <w:szCs w:val="28"/>
          <w:rtl w:val="true"/>
          <w:lang w:bidi="ar-SA"/>
        </w:rPr>
        <w:t xml:space="preserve">، و كذلكَ كَونُ الركوعِ جهةً و طريقةً </w:t>
      </w:r>
      <w:r>
        <w:rPr>
          <w:rStyle w:val="FootnoteAnchor"/>
          <w:rtl w:val="true"/>
        </w:rPr>
        <w:footnoteReference w:id="787"/>
      </w:r>
      <w:r>
        <w:rPr>
          <w:rFonts w:ascii="Amiri" w:hAnsi="Amiri" w:eastAsia="Amiri" w:cs="Amiri"/>
          <w:color w:val="111111"/>
          <w:sz w:val="28"/>
          <w:sz w:val="28"/>
          <w:szCs w:val="28"/>
          <w:rtl w:val="true"/>
          <w:lang w:bidi="ar-SA"/>
        </w:rPr>
        <w:t xml:space="preserve">لفَضلِ الزكاةِ </w:t>
      </w:r>
      <w:r>
        <w:rPr>
          <w:rStyle w:val="FootnoteAnchor"/>
          <w:rtl w:val="true"/>
        </w:rPr>
        <w:footnoteReference w:id="788"/>
      </w:r>
      <w:r>
        <w:rPr>
          <w:rFonts w:ascii="Amiri" w:hAnsi="Amiri" w:eastAsia="Amiri" w:cs="Amiri"/>
          <w:color w:val="111111"/>
          <w:sz w:val="28"/>
          <w:sz w:val="28"/>
          <w:szCs w:val="28"/>
          <w:rtl w:val="true"/>
          <w:lang w:bidi="ar-SA"/>
        </w:rPr>
        <w:t xml:space="preserve">لأنّا قد بيّنّا أنّ الآيةَ لا تَقتَضي كَونَ الركوعِ جهةً </w:t>
      </w:r>
    </w:p>
    <w:p>
      <w:pPr>
        <w:pStyle w:val="BookText"/>
        <w:rPr/>
      </w:pPr>
      <w:r>
        <w:rPr>
          <w:rFonts w:ascii="Amiri" w:hAnsi="Amiri" w:eastAsia="Amiri" w:cs="Amiri"/>
          <w:color w:val="111111"/>
          <w:sz w:val="28"/>
          <w:sz w:val="28"/>
          <w:szCs w:val="28"/>
          <w:rtl w:val="true"/>
          <w:lang w:bidi="ar-SA"/>
        </w:rPr>
        <w:t>و طريقةً لفَضلِ الزكاةِ و الصلاةِ حتّىٰ يَجِبَ القَصدُ</w:t>
      </w:r>
      <w:r>
        <w:rPr>
          <w:rStyle w:val="FootnoteAnchor"/>
          <w:rtl w:val="true"/>
        </w:rPr>
        <w:footnoteReference w:id="789"/>
      </w:r>
      <w:r>
        <w:rPr>
          <w:rFonts w:ascii="Amiri" w:hAnsi="Amiri" w:eastAsia="Amiri" w:cs="Amiri"/>
          <w:color w:val="111111"/>
          <w:sz w:val="28"/>
          <w:sz w:val="28"/>
          <w:szCs w:val="28"/>
          <w:rtl w:val="true"/>
          <w:lang w:bidi="ar-SA"/>
        </w:rPr>
        <w:t>إلىٰ فِعلِ أمثالِها، و قُلنا</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أفادَ الوصفَ لِمَن عُنيَ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التمييزَ</w:t>
      </w:r>
      <w:r>
        <w:rPr>
          <w:rStyle w:val="FootnoteAnchor"/>
          <w:rtl w:val="true"/>
        </w:rPr>
        <w:footnoteReference w:id="791"/>
      </w:r>
      <w:r>
        <w:rPr>
          <w:rFonts w:ascii="Amiri" w:hAnsi="Amiri" w:eastAsia="Amiri" w:cs="Amiri"/>
          <w:color w:val="111111"/>
          <w:sz w:val="28"/>
          <w:sz w:val="28"/>
          <w:szCs w:val="28"/>
          <w:rtl w:val="true"/>
          <w:lang w:bidi="ar-SA"/>
        </w:rPr>
        <w:t>له عن سِواه</w:t>
      </w:r>
      <w:r>
        <w:rPr>
          <w:rStyle w:val="FootnoteAnchor"/>
          <w:rtl w:val="true"/>
        </w:rPr>
        <w:footnoteReference w:id="792"/>
      </w:r>
      <w:r>
        <w:rPr>
          <w:rFonts w:ascii="Amiri" w:hAnsi="Amiri" w:eastAsia="Amiri" w:cs="Amiri"/>
          <w:color w:val="111111"/>
          <w:sz w:val="28"/>
          <w:sz w:val="28"/>
          <w:szCs w:val="28"/>
          <w:rtl w:val="true"/>
          <w:lang w:bidi="ar-SA"/>
        </w:rPr>
        <w:t xml:space="preserve">، فكأنّه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يُصَلّونَ و يؤتونَ الزكاةَ في حالِ رُكوعِهم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ليَتميَّزَ المذكورُ</w:t>
      </w:r>
      <w:r>
        <w:rPr>
          <w:rStyle w:val="FootnoteAnchor"/>
          <w:rtl w:val="true"/>
        </w:rPr>
        <w:footnoteReference w:id="793"/>
      </w:r>
      <w:r>
        <w:rPr>
          <w:rFonts w:ascii="Amiri" w:hAnsi="Amiri" w:eastAsia="Amiri" w:cs="Amiri"/>
          <w:color w:val="111111"/>
          <w:sz w:val="28"/>
          <w:sz w:val="28"/>
          <w:szCs w:val="28"/>
          <w:rtl w:val="true"/>
          <w:lang w:bidi="ar-SA"/>
        </w:rPr>
        <w:t xml:space="preserve">الأوّلُ ، مع أنّ فِعلَه عليه السلامُ لا بُدَّ أن يَكونَ واقعاً علىٰ نِهايةِ القُربةِ </w:t>
      </w:r>
      <w:r>
        <w:rPr>
          <w:rStyle w:val="FootnoteAnchor"/>
          <w:rtl w:val="true"/>
        </w:rPr>
        <w:footnoteReference w:id="794"/>
      </w:r>
      <w:r>
        <w:rPr>
          <w:rFonts w:ascii="Amiri" w:hAnsi="Amiri" w:eastAsia="Amiri" w:cs="Amiri"/>
          <w:color w:val="111111"/>
          <w:sz w:val="28"/>
          <w:sz w:val="28"/>
          <w:szCs w:val="28"/>
          <w:rtl w:val="true"/>
          <w:lang w:bidi="ar-SA"/>
        </w:rPr>
        <w:t xml:space="preserve">لِما حَصَلَ عليه مِن المَدحِ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يُشبِهُ ما تَأوَّلنا عليه الآيةَ قولُ أحَدِ مُلوكِنا مُقبِلاً علىٰ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أفضَلُكم عندي و أكرَمُكم لَدَيَّ مَن نَصَرَني في غُرّةِ شَهرِ كَذا، و هو راكبٌ فَرَساً مِن صفتِه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فعلٍ مخصوصٍ وَقَعَ مِن بعضِ أصحابِه علىٰ وجهٍ ارتَضاه و عَظُمَت مَنزِلتُه به عندَه، و نَحنُ نَعلَمُ أنّ قولَه لا يَقتَضي أنّ لغُرَّةِ الشهرِ و الأوصافِ التي وَصَفَ ناصرَه بها تأثيراً في قُوَّةِ نُصرتِه</w:t>
      </w:r>
      <w:r>
        <w:rPr>
          <w:rStyle w:val="FootnoteAnchor"/>
          <w:rtl w:val="true"/>
        </w:rPr>
        <w:footnoteReference w:id="795"/>
      </w:r>
      <w:r>
        <w:rPr>
          <w:rFonts w:ascii="Amiri" w:hAnsi="Amiri" w:eastAsia="Amiri" w:cs="Amiri"/>
          <w:color w:val="111111"/>
          <w:sz w:val="28"/>
          <w:sz w:val="28"/>
          <w:szCs w:val="28"/>
          <w:rtl w:val="true"/>
          <w:lang w:bidi="ar-SA"/>
        </w:rPr>
        <w:t>حتّىٰ يَكونَ ذلكَ جهةً و طريقةً يَقصِدُ إليها مَن أرادَ نُصرتَه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أنّ حقيقةَ الركوعِ ما ذَكرناه، و أنّه يُستَعمَلُ في الخُضوعِ و ما يَجري</w:t>
      </w:r>
      <w:r>
        <w:rPr>
          <w:rStyle w:val="FootnoteAnchor"/>
          <w:rtl w:val="true"/>
        </w:rPr>
        <w:footnoteReference w:id="796"/>
      </w:r>
      <w:r>
        <w:rPr>
          <w:rFonts w:ascii="Amiri" w:hAnsi="Amiri" w:eastAsia="Amiri" w:cs="Amiri"/>
          <w:color w:val="111111"/>
          <w:sz w:val="28"/>
          <w:sz w:val="28"/>
          <w:szCs w:val="28"/>
          <w:rtl w:val="true"/>
          <w:lang w:bidi="ar-SA"/>
        </w:rPr>
        <w:t>مَجراه علىٰ سَبيلِ المَجازِ</w:t>
      </w:r>
      <w:r>
        <w:rPr>
          <w:rStyle w:val="FootnoteAnchor"/>
          <w:rtl w:val="true"/>
        </w:rPr>
        <w:footnoteReference w:id="797"/>
      </w:r>
      <w:r>
        <w:rPr>
          <w:rFonts w:ascii="Amiri" w:hAnsi="Amiri" w:eastAsia="Amiri" w:cs="Amiri"/>
          <w:color w:val="111111"/>
          <w:sz w:val="28"/>
          <w:sz w:val="28"/>
          <w:szCs w:val="28"/>
          <w:rtl w:val="true"/>
          <w:lang w:bidi="ar-SA"/>
        </w:rPr>
        <w:t>، و البيتُ الذي أنشَدَه ممّا يُجوِّزُ فيه شاعِرُه</w:t>
      </w:r>
      <w:r>
        <w:rPr>
          <w:rStyle w:val="FootnoteAnchor"/>
          <w:rtl w:val="true"/>
        </w:rPr>
        <w:footnoteReference w:id="798"/>
      </w:r>
      <w:r>
        <w:rPr>
          <w:rFonts w:ascii="Amiri" w:hAnsi="Amiri" w:eastAsia="Amiri" w:cs="Amiri"/>
          <w:color w:val="111111"/>
          <w:sz w:val="28"/>
          <w:sz w:val="28"/>
          <w:szCs w:val="28"/>
          <w:rtl w:val="true"/>
          <w:lang w:bidi="ar-SA"/>
        </w:rPr>
        <w:t>، و المَجازُ لا يُقاسُ عليه</w:t>
      </w:r>
      <w:r>
        <w:rPr>
          <w:rFonts w:eastAsia="Amiri" w:cs="Amiri" w:ascii="Amiri" w:hAnsi="Amiri"/>
          <w:color w:val="111111"/>
          <w:sz w:val="28"/>
          <w:szCs w:val="28"/>
          <w:rtl w:val="true"/>
          <w:lang w:bidi="ar-SA"/>
        </w:rPr>
        <w:t xml:space="preserve">. </w:t>
      </w:r>
      <w:bookmarkStart w:id="181" w:name="pg20017_202444"/>
    </w:p>
    <w:p>
      <w:pPr>
        <w:pStyle w:val="Heading5"/>
        <w:numPr>
          <w:ilvl w:val="4"/>
          <w:numId w:val="1"/>
        </w:numPr>
        <w:rPr/>
      </w:pPr>
      <w:bookmarkStart w:id="182" w:name="__RefHeading___Toc964119_2320776876"/>
      <w:bookmarkStart w:id="183" w:name="_Toc63"/>
      <w:bookmarkEnd w:id="181"/>
      <w:bookmarkEnd w:id="182"/>
      <w:r>
        <w:rPr>
          <w:rtl w:val="true"/>
        </w:rPr>
        <w:t>نفي دلالة الآية السابقة علىٰ آية الولاية، علىٰ عدم اختصاص آية الولاية بأمير المؤمنين عليه السلام</w:t>
      </w:r>
      <w:bookmarkEnd w:id="183"/>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 أبي مُسلِمِ بنِ بَحرٍ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وَصَفَهم في هذا المَوضِعِ بالركوعِ و الخُضوعِ هُم الذينَ وَصَفَهم مِن قَبلُ بأنّه يُبدِّلُ المُرتَدّينَ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صحيحٍ‌؛ لأنّه غيرُ مُنكَرٍ</w:t>
      </w:r>
      <w:r>
        <w:rPr>
          <w:rStyle w:val="FootnoteAnchor"/>
          <w:rtl w:val="true"/>
        </w:rPr>
        <w:footnoteReference w:id="799"/>
      </w:r>
      <w:r>
        <w:rPr>
          <w:rFonts w:ascii="Amiri" w:hAnsi="Amiri" w:eastAsia="Amiri" w:cs="Amiri"/>
          <w:color w:val="111111"/>
          <w:sz w:val="28"/>
          <w:sz w:val="28"/>
          <w:szCs w:val="28"/>
          <w:rtl w:val="true"/>
          <w:lang w:bidi="ar-SA"/>
        </w:rPr>
        <w:t>أن يَكونَ الموصوفُ بإحدَى الآيتَينِ غيرَ الموصوفِ بالآيةِ الأُخرىٰ‌؛ حتّىٰ يَكونَ‌</w:t>
      </w:r>
      <w:r>
        <w:rPr>
          <w:rStyle w:val="FootnoteAnchor"/>
          <w:rtl w:val="true"/>
        </w:rPr>
        <w:footnoteReference w:id="800"/>
      </w:r>
      <w:r>
        <w:rPr>
          <w:rFonts w:ascii="Amiri" w:hAnsi="Amiri" w:eastAsia="Amiri" w:cs="Amiri"/>
          <w:color w:val="111111"/>
          <w:sz w:val="28"/>
          <w:sz w:val="28"/>
          <w:szCs w:val="28"/>
          <w:rtl w:val="true"/>
          <w:lang w:bidi="ar-SA"/>
        </w:rPr>
        <w:t>الآيةُ التي دَلَّلنا علىٰ اختصاصِها بأميرِ المؤمنينَ عليه السلامُ علىٰ ما حَكَمنا به مِن خُصوصِها، و الآيةُ‌</w:t>
      </w:r>
    </w:p>
    <w:p>
      <w:pPr>
        <w:pStyle w:val="BookText"/>
        <w:rPr/>
      </w:pPr>
      <w:r>
        <w:rPr>
          <w:rFonts w:ascii="Amiri" w:hAnsi="Amiri" w:eastAsia="Amiri" w:cs="Amiri"/>
          <w:color w:val="111111"/>
          <w:sz w:val="28"/>
          <w:sz w:val="28"/>
          <w:szCs w:val="28"/>
          <w:rtl w:val="true"/>
          <w:lang w:bidi="ar-SA"/>
        </w:rPr>
        <w:t>الأُولىٰ عامّةً في جماعةٍ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يَمنَعُ مِن ذلكَ نَسَقُ الكلامِ و قُربُ كُلِّ واحدةٍ‌</w:t>
      </w:r>
      <w:r>
        <w:rPr>
          <w:rStyle w:val="FootnoteAnchor"/>
          <w:rtl w:val="true"/>
        </w:rPr>
        <w:footnoteReference w:id="801"/>
      </w:r>
      <w:r>
        <w:rPr>
          <w:rFonts w:ascii="Amiri" w:hAnsi="Amiri" w:eastAsia="Amiri" w:cs="Amiri"/>
          <w:color w:val="111111"/>
          <w:sz w:val="28"/>
          <w:sz w:val="28"/>
          <w:szCs w:val="28"/>
          <w:rtl w:val="true"/>
          <w:lang w:bidi="ar-SA"/>
        </w:rPr>
        <w:t>مِن الآيتَينِ مِن صاحبتِها</w:t>
      </w:r>
      <w:r>
        <w:rPr>
          <w:rStyle w:val="FootnoteAnchor"/>
          <w:rtl w:val="true"/>
        </w:rPr>
        <w:footnoteReference w:id="802"/>
      </w:r>
      <w:r>
        <w:rPr>
          <w:rFonts w:ascii="Amiri" w:hAnsi="Amiri" w:eastAsia="Amiri" w:cs="Amiri"/>
          <w:color w:val="111111"/>
          <w:sz w:val="28"/>
          <w:sz w:val="28"/>
          <w:szCs w:val="28"/>
          <w:rtl w:val="true"/>
          <w:lang w:bidi="ar-SA"/>
        </w:rPr>
        <w:t xml:space="preserve">لأنّ تَقارُبَ آياتٍ كثيرةٍ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القِصَصِ و المَعاني و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ظاهرٌ، و هو أكثَرُ مِن أن يُذكَرَ</w:t>
      </w:r>
      <w:r>
        <w:rPr>
          <w:rStyle w:val="FootnoteAnchor"/>
          <w:rtl w:val="true"/>
        </w:rPr>
        <w:footnoteReference w:id="803"/>
      </w:r>
      <w:r>
        <w:rPr>
          <w:rFonts w:ascii="Amiri" w:hAnsi="Amiri" w:eastAsia="Amiri" w:cs="Amiri"/>
          <w:color w:val="111111"/>
          <w:sz w:val="28"/>
          <w:sz w:val="28"/>
          <w:szCs w:val="28"/>
          <w:rtl w:val="true"/>
          <w:lang w:bidi="ar-SA"/>
        </w:rPr>
        <w:t>له شاهِدٌ</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كُنّا قد دَلَّلنا علىٰ أنّ لفظةَ قولِه تَعالىٰ‌</w:t>
      </w:r>
      <w:r>
        <w:rPr>
          <w:rStyle w:val="FootnoteAnchor"/>
          <w:rtl w:val="true"/>
        </w:rPr>
        <w:footnoteReference w:id="8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w:t>
      </w:r>
      <w:r>
        <w:rPr>
          <w:rStyle w:val="FootnoteAnchor"/>
          <w:rtl w:val="true"/>
        </w:rPr>
        <w:footnoteReference w:id="806"/>
      </w:r>
      <w:r>
        <w:rPr>
          <w:rFonts w:ascii="Amiri" w:hAnsi="Amiri" w:eastAsia="Amiri" w:cs="Amiri"/>
          <w:color w:val="111111"/>
          <w:sz w:val="28"/>
          <w:sz w:val="28"/>
          <w:szCs w:val="28"/>
          <w:rtl w:val="true"/>
          <w:lang w:bidi="ar-SA"/>
        </w:rPr>
        <w:t xml:space="preserve">علَى اختصاصِ أميرِ المؤمنينَ عليه السلامُ بالآيةِ ، فلَيسَ </w:t>
      </w:r>
      <w:r>
        <w:rPr>
          <w:rStyle w:val="FootnoteAnchor"/>
          <w:rtl w:val="true"/>
        </w:rPr>
        <w:footnoteReference w:id="807"/>
      </w:r>
      <w:r>
        <w:rPr>
          <w:rFonts w:ascii="Amiri" w:hAnsi="Amiri" w:eastAsia="Amiri" w:cs="Amiri"/>
          <w:color w:val="111111"/>
          <w:sz w:val="28"/>
          <w:sz w:val="28"/>
          <w:szCs w:val="28"/>
          <w:rtl w:val="true"/>
          <w:lang w:bidi="ar-SA"/>
        </w:rPr>
        <w:t xml:space="preserve">يَسوغُ أن يُترَكَ </w:t>
      </w:r>
      <w:r>
        <w:rPr>
          <w:rStyle w:val="FootnoteAnchor"/>
          <w:rtl w:val="true"/>
        </w:rPr>
        <w:footnoteReference w:id="808"/>
      </w:r>
      <w:r>
        <w:rPr>
          <w:rFonts w:ascii="Amiri" w:hAnsi="Amiri" w:eastAsia="Amiri" w:cs="Amiri"/>
          <w:color w:val="111111"/>
          <w:sz w:val="28"/>
          <w:sz w:val="28"/>
          <w:szCs w:val="28"/>
          <w:rtl w:val="true"/>
          <w:lang w:bidi="ar-SA"/>
        </w:rPr>
        <w:t>ما يَقتَضيه</w:t>
      </w:r>
      <w:r>
        <w:rPr>
          <w:rStyle w:val="FootnoteAnchor"/>
          <w:rtl w:val="true"/>
        </w:rPr>
        <w:footnoteReference w:id="809"/>
      </w:r>
      <w:bookmarkStart w:id="184" w:name="pg20017_202445"/>
    </w:p>
    <w:p>
      <w:pPr>
        <w:pStyle w:val="BookText"/>
        <w:rPr/>
      </w:pPr>
      <w:bookmarkEnd w:id="184"/>
      <w:r>
        <w:rPr>
          <w:rFonts w:ascii="Amiri" w:hAnsi="Amiri" w:eastAsia="Amiri" w:cs="Amiri"/>
          <w:color w:val="111111"/>
          <w:sz w:val="28"/>
          <w:sz w:val="28"/>
          <w:szCs w:val="28"/>
          <w:rtl w:val="true"/>
          <w:lang w:bidi="ar-SA"/>
        </w:rPr>
        <w:t xml:space="preserve">الدَّلالةُ لِما يُظَنُّ </w:t>
      </w:r>
      <w:r>
        <w:rPr>
          <w:rStyle w:val="FootnoteAnchor"/>
          <w:rtl w:val="true"/>
        </w:rPr>
        <w:footnoteReference w:id="810"/>
      </w:r>
      <w:r>
        <w:rPr>
          <w:rFonts w:ascii="Amiri" w:hAnsi="Amiri" w:eastAsia="Amiri" w:cs="Amiri"/>
          <w:color w:val="111111"/>
          <w:sz w:val="28"/>
          <w:sz w:val="28"/>
          <w:szCs w:val="28"/>
          <w:rtl w:val="true"/>
          <w:lang w:bidi="ar-SA"/>
        </w:rPr>
        <w:t xml:space="preserve">أنّ </w:t>
      </w:r>
      <w:r>
        <w:rPr>
          <w:rStyle w:val="FootnoteAnchor"/>
          <w:rtl w:val="true"/>
        </w:rPr>
        <w:footnoteReference w:id="811"/>
      </w:r>
      <w:r>
        <w:rPr>
          <w:rFonts w:ascii="Amiri" w:hAnsi="Amiri" w:eastAsia="Amiri" w:cs="Amiri"/>
          <w:color w:val="111111"/>
          <w:sz w:val="28"/>
          <w:sz w:val="28"/>
          <w:szCs w:val="28"/>
          <w:rtl w:val="true"/>
          <w:lang w:bidi="ar-SA"/>
        </w:rPr>
        <w:t>نَسَقَ الكلامِ و قُربَ بعضِه مِن بعضٍ يَقتَضيه</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964121_2320776876"/>
      <w:bookmarkStart w:id="186" w:name="_Toc64"/>
      <w:bookmarkEnd w:id="185"/>
      <w:r>
        <w:rPr>
          <w:rtl w:val="true"/>
        </w:rPr>
        <w:t>جواز اختصاص الآية السابقة علىٰ آية الولاية بأمير المؤمنين عليه السلام</w:t>
      </w:r>
      <w:bookmarkEnd w:id="186"/>
    </w:p>
    <w:p>
      <w:pPr>
        <w:pStyle w:val="BookText"/>
        <w:rPr/>
      </w:pPr>
      <w:r>
        <w:rPr>
          <w:rFonts w:ascii="Amiri" w:hAnsi="Amiri" w:eastAsia="Amiri" w:cs="Amiri"/>
          <w:color w:val="111111"/>
          <w:sz w:val="28"/>
          <w:sz w:val="28"/>
          <w:szCs w:val="28"/>
          <w:rtl w:val="true"/>
          <w:lang w:bidi="ar-SA"/>
        </w:rPr>
        <w:t>علىٰ أنّه لا مانعَ لنا مِن أن نَجَعَلَ‌</w:t>
      </w:r>
      <w:r>
        <w:rPr>
          <w:rStyle w:val="FootnoteAnchor"/>
          <w:rtl w:val="true"/>
        </w:rPr>
        <w:footnoteReference w:id="812"/>
      </w:r>
      <w:r>
        <w:rPr>
          <w:rFonts w:ascii="Amiri" w:hAnsi="Amiri" w:eastAsia="Amiri" w:cs="Amiri"/>
          <w:color w:val="111111"/>
          <w:sz w:val="28"/>
          <w:sz w:val="28"/>
          <w:szCs w:val="28"/>
          <w:rtl w:val="true"/>
          <w:lang w:bidi="ar-SA"/>
        </w:rPr>
        <w:t>الآيةَ الأُولىٰ مُتوجِّهةً إلىٰ أميرِ المؤمنينَ عليه السلامُ و مُختَصّةً به أيضاً؛ لأنّا قد بيّنّا أنّ لفظَ الجَمعِ قد يُستَعمَلُ في الواحدِ بالعُرفِ‌</w:t>
      </w:r>
      <w:r>
        <w:rPr>
          <w:rStyle w:val="FootnoteAnchor"/>
          <w:rtl w:val="true"/>
        </w:rPr>
        <w:footnoteReference w:id="813"/>
      </w:r>
      <w:r>
        <w:rPr>
          <w:rFonts w:ascii="Amiri" w:hAnsi="Amiri" w:eastAsia="Amiri" w:cs="Amiri"/>
          <w:color w:val="111111"/>
          <w:sz w:val="28"/>
          <w:sz w:val="28"/>
          <w:szCs w:val="28"/>
          <w:rtl w:val="true"/>
          <w:lang w:bidi="ar-SA"/>
        </w:rPr>
        <w:t>، فلَيسَ لِمُتعلِّقٍ أن يَتَعَلَّقَ بلفظِ الآيةِ في دَفعِ اختصاصِها به عليه السلامُ‌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يُقوّي هذا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وَصَفَ مَن عَناه بالآيةِ بأوصافٍ وَجَدْنا أميرَ المؤمنينَ عليه السلامُ مُستَكمِلاً لها بالإجماعِ‌؛ لأنّه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و قد شَهِدَ النبيُّ صَلّى اللّٰهُ عليه و آلِه لأميرِ المؤمنينَ عليه السلامُ بما يُوافِقُ‌</w:t>
      </w:r>
      <w:r>
        <w:rPr>
          <w:rStyle w:val="FootnoteAnchor"/>
          <w:rtl w:val="true"/>
        </w:rPr>
        <w:footnoteReference w:id="815"/>
      </w:r>
      <w:r>
        <w:rPr>
          <w:rFonts w:ascii="Amiri" w:hAnsi="Amiri" w:eastAsia="Amiri" w:cs="Amiri"/>
          <w:color w:val="111111"/>
          <w:sz w:val="28"/>
          <w:sz w:val="28"/>
          <w:szCs w:val="28"/>
          <w:rtl w:val="true"/>
          <w:lang w:bidi="ar-SA"/>
        </w:rPr>
        <w:t>لفظَ الآيةِ في الخبرِ الذي لا يَختَلِفُ فيه اثنانِ‌، حينَ قالَ صَلّى اللّٰهُ عليه و آلِه له</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نَدَبَه لفَتحِ خَيبَرَ بَعدَ فِرارِ مَن فَرَّ عنها واحِداً بَعدَ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 رسولَه، و يُحِبُّه اللّٰهُ و رسولُه، كَرّارٌ</w:t>
      </w:r>
      <w:r>
        <w:rPr>
          <w:rStyle w:val="FootnoteAnchor"/>
          <w:rtl w:val="true"/>
        </w:rPr>
        <w:footnoteReference w:id="817"/>
      </w:r>
      <w:r>
        <w:rPr>
          <w:rFonts w:ascii="Amiri" w:hAnsi="Amiri" w:eastAsia="Amiri" w:cs="Amiri"/>
          <w:color w:val="111111"/>
          <w:sz w:val="28"/>
          <w:sz w:val="28"/>
          <w:szCs w:val="28"/>
          <w:rtl w:val="true"/>
          <w:lang w:bidi="ar-SA"/>
        </w:rPr>
        <w:t xml:space="preserve">غيرُ فَرّارٍ، لا يَرجِعُ حتّىٰ يَفتَحَ اللّٰهُ علىٰ يَدَيهِ </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فدَفَعها إلىٰ أميرِ المؤمنينَ عليه السلامُ‌، فكانَ‌</w:t>
      </w:r>
      <w:r>
        <w:rPr>
          <w:rStyle w:val="FootnoteAnchor"/>
          <w:rtl w:val="true"/>
        </w:rPr>
        <w:footnoteReference w:id="819"/>
      </w:r>
      <w:r>
        <w:rPr>
          <w:rFonts w:ascii="Amiri" w:hAnsi="Amiri" w:eastAsia="Amiri" w:cs="Amiri"/>
          <w:color w:val="111111"/>
          <w:sz w:val="28"/>
          <w:sz w:val="28"/>
          <w:szCs w:val="28"/>
          <w:rtl w:val="true"/>
          <w:lang w:bidi="ar-SA"/>
        </w:rPr>
        <w:t>مِن ظَفَرِه و فَتحِه ما وافَقَ خبرَ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عَلَى الْمُؤْمِنِينَ أَعِزَّةٍ عَلَى الْكٰافِرِينَ‌</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فوَصَفَ مَن عَناه بالتواضُعِ للمؤمنينَ و الرِّفقِ بهم</w:t>
      </w:r>
      <w:r>
        <w:rPr>
          <w:rStyle w:val="FootnoteAnchor"/>
          <w:rtl w:val="true"/>
        </w:rPr>
        <w:footnoteReference w:id="821"/>
      </w:r>
      <w:r>
        <w:rPr>
          <w:rFonts w:ascii="Amiri" w:hAnsi="Amiri" w:eastAsia="Amiri" w:cs="Amiri"/>
          <w:color w:val="111111"/>
          <w:sz w:val="28"/>
          <w:sz w:val="28"/>
          <w:szCs w:val="28"/>
          <w:rtl w:val="true"/>
          <w:lang w:bidi="ar-SA"/>
        </w:rPr>
        <w:t>و العِزّةِ علَى الكافرينَ‌</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و العَزيزُ علَى الكافرينَ هو المُمتَنِعُ مِن أن يَنالوه مع شِدّةِ نِكايتِه</w:t>
      </w:r>
      <w:r>
        <w:rPr>
          <w:rStyle w:val="FootnoteAnchor"/>
          <w:rtl w:val="true"/>
        </w:rPr>
        <w:footnoteReference w:id="823"/>
      </w:r>
      <w:r>
        <w:rPr>
          <w:rFonts w:ascii="Amiri" w:hAnsi="Amiri" w:eastAsia="Amiri" w:cs="Amiri"/>
          <w:color w:val="111111"/>
          <w:sz w:val="28"/>
          <w:sz w:val="28"/>
          <w:szCs w:val="28"/>
          <w:rtl w:val="true"/>
          <w:lang w:bidi="ar-SA"/>
        </w:rPr>
        <w:t>فيهم و وَطأتِه</w:t>
      </w:r>
      <w:r>
        <w:rPr>
          <w:rStyle w:val="FootnoteAnchor"/>
          <w:rtl w:val="true"/>
        </w:rPr>
        <w:footnoteReference w:id="824"/>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أوصافُ أميرِ المؤمنينَ عليه السلامُ التي</w:t>
      </w:r>
      <w:r>
        <w:rPr>
          <w:rStyle w:val="FootnoteAnchor"/>
          <w:rtl w:val="true"/>
        </w:rPr>
        <w:footnoteReference w:id="825"/>
      </w:r>
      <w:r>
        <w:rPr>
          <w:rFonts w:ascii="Amiri" w:hAnsi="Amiri" w:eastAsia="Amiri" w:cs="Amiri"/>
          <w:color w:val="111111"/>
          <w:sz w:val="28"/>
          <w:sz w:val="28"/>
          <w:szCs w:val="28"/>
          <w:rtl w:val="true"/>
          <w:lang w:bidi="ar-SA"/>
        </w:rPr>
        <w:t>لا يُدانىٰ فيها و لا يُقارَبُ‌</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يُجٰاهِدُونَ فِي سَبِيلِ اللّٰهِ وَ لاٰ يَخٰافُونَ لَوْمَةَ لاٰئِمٍ‌</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فوَصَفَ جَلَّ اسمُه مَن عَناه بقُوّةِ الجهادِ، و بما يَقتَضي</w:t>
      </w:r>
      <w:r>
        <w:rPr>
          <w:rStyle w:val="FootnoteAnchor"/>
          <w:rtl w:val="true"/>
        </w:rPr>
        <w:footnoteReference w:id="828"/>
      </w:r>
      <w:r>
        <w:rPr>
          <w:rFonts w:ascii="Amiri" w:hAnsi="Amiri" w:eastAsia="Amiri" w:cs="Amiri"/>
          <w:color w:val="111111"/>
          <w:sz w:val="28"/>
          <w:sz w:val="28"/>
          <w:szCs w:val="28"/>
          <w:rtl w:val="true"/>
          <w:lang w:bidi="ar-SA"/>
        </w:rPr>
        <w:t>الغايةَ فيه</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أصحابَ الرسولِ صَلّى اللّٰهُ عليه و آلِه بَينَ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عَناءَ‌</w:t>
      </w:r>
      <w:r>
        <w:rPr>
          <w:rStyle w:val="FootnoteAnchor"/>
          <w:rtl w:val="true"/>
        </w:rPr>
        <w:footnoteReference w:id="830"/>
      </w:r>
      <w:r>
        <w:rPr>
          <w:rFonts w:ascii="Amiri" w:hAnsi="Amiri" w:eastAsia="Amiri" w:cs="Amiri"/>
          <w:color w:val="111111"/>
          <w:sz w:val="28"/>
          <w:sz w:val="28"/>
          <w:szCs w:val="28"/>
          <w:rtl w:val="true"/>
          <w:lang w:bidi="ar-SA"/>
        </w:rPr>
        <w:t>له في الحربِ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5818</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5950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5991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6287</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6303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السنن الكبرى للبيهقي،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13439</w:t>
      </w:r>
      <w:r>
        <w:rPr>
          <w:rFonts w:ascii="Amiri" w:hAnsi="Amiri" w:eastAsia="Amiri" w:cs="Amiri"/>
          <w:color w:val="111111"/>
          <w:sz w:val="28"/>
          <w:sz w:val="28"/>
          <w:szCs w:val="28"/>
          <w:rtl w:val="true"/>
          <w:lang w:bidi="ar-SA"/>
        </w:rPr>
        <w:t>، مع اختلاف يسير</w:t>
      </w:r>
      <w:r>
        <w:rPr>
          <w:rFonts w:eastAsia="Amiri" w:cs="Amiri" w:ascii="Amiri" w:hAnsi="Amiri"/>
          <w:color w:val="111111"/>
          <w:sz w:val="28"/>
          <w:szCs w:val="28"/>
          <w:rtl w:val="true"/>
          <w:lang w:bidi="ar-SA"/>
        </w:rPr>
        <w:t xml:space="preserve">. </w:t>
      </w:r>
      <w:bookmarkStart w:id="187" w:name="pg20017_202447"/>
    </w:p>
    <w:p>
      <w:pPr>
        <w:pStyle w:val="BookText"/>
        <w:rPr/>
      </w:pPr>
      <w:bookmarkEnd w:id="187"/>
      <w:r>
        <w:rPr>
          <w:rFonts w:ascii="Amiri" w:hAnsi="Amiri" w:eastAsia="Amiri" w:cs="Amiri"/>
          <w:color w:val="111111"/>
          <w:sz w:val="28"/>
          <w:sz w:val="28"/>
          <w:szCs w:val="28"/>
          <w:rtl w:val="true"/>
          <w:lang w:bidi="ar-SA"/>
        </w:rPr>
        <w:t>و لا جهادَ، و آخَرَ</w:t>
      </w:r>
      <w:r>
        <w:rPr>
          <w:rStyle w:val="FootnoteAnchor"/>
          <w:rtl w:val="true"/>
        </w:rPr>
        <w:footnoteReference w:id="831"/>
      </w:r>
      <w:r>
        <w:rPr>
          <w:rFonts w:ascii="Amiri" w:hAnsi="Amiri" w:eastAsia="Amiri" w:cs="Amiri"/>
          <w:color w:val="111111"/>
          <w:sz w:val="28"/>
          <w:sz w:val="28"/>
          <w:szCs w:val="28"/>
          <w:rtl w:val="true"/>
          <w:lang w:bidi="ar-SA"/>
        </w:rPr>
        <w:t>له جهادٌ و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نَعلَمُ قُصورَ كُلِّ مُجاهِدٍ عن مَنزِلةِ أميرِ المؤمنينَ عليه السلامُ في الجهادِ، و أنّهم مع عُلوِّ مَنزِلتِهم في الشَّجاعةِ و صِدقِ البأسِ لا يَلحَقونَ مَنزِلتَه، و لا يُقارِبونَ رُتبتَه؛ لأنّه عليه السلامُ المعروفُ بتفريجِ الغُمَمِ‌</w:t>
      </w:r>
      <w:r>
        <w:rPr>
          <w:rStyle w:val="FootnoteAnchor"/>
          <w:rtl w:val="true"/>
        </w:rPr>
        <w:footnoteReference w:id="832"/>
      </w:r>
      <w:r>
        <w:rPr>
          <w:rFonts w:ascii="Amiri" w:hAnsi="Amiri" w:eastAsia="Amiri" w:cs="Amiri"/>
          <w:color w:val="111111"/>
          <w:sz w:val="28"/>
          <w:sz w:val="28"/>
          <w:szCs w:val="28"/>
          <w:rtl w:val="true"/>
          <w:lang w:bidi="ar-SA"/>
        </w:rPr>
        <w:t>و كَشفِ الكُرَبِ عن وجهِ الرسولِ صَلّى اللّٰهُ عليه و آلِه</w:t>
      </w:r>
      <w:r>
        <w:rPr>
          <w:rStyle w:val="FootnoteAnchor"/>
          <w:rtl w:val="true"/>
        </w:rPr>
        <w:footnoteReference w:id="833"/>
      </w:r>
      <w:r>
        <w:rPr>
          <w:rFonts w:ascii="Amiri" w:hAnsi="Amiri" w:eastAsia="Amiri" w:cs="Amiri"/>
          <w:color w:val="111111"/>
          <w:sz w:val="28"/>
          <w:sz w:val="28"/>
          <w:szCs w:val="28"/>
          <w:rtl w:val="true"/>
          <w:lang w:bidi="ar-SA"/>
        </w:rPr>
        <w:t>، و هو الذي لَم يُحجِمْ‌</w:t>
      </w:r>
      <w:r>
        <w:rPr>
          <w:rStyle w:val="FootnoteAnchor"/>
          <w:rtl w:val="true"/>
        </w:rPr>
        <w:footnoteReference w:id="834"/>
      </w:r>
      <w:r>
        <w:rPr>
          <w:rFonts w:ascii="Amiri" w:hAnsi="Amiri" w:eastAsia="Amiri" w:cs="Amiri"/>
          <w:color w:val="111111"/>
          <w:sz w:val="28"/>
          <w:sz w:val="28"/>
          <w:szCs w:val="28"/>
          <w:rtl w:val="true"/>
          <w:lang w:bidi="ar-SA"/>
        </w:rPr>
        <w:t>قَطُّ عن قِرْنٍ‌</w:t>
      </w:r>
      <w:r>
        <w:rPr>
          <w:rStyle w:val="FootnoteAnchor"/>
          <w:rtl w:val="true"/>
        </w:rPr>
        <w:footnoteReference w:id="835"/>
      </w:r>
      <w:r>
        <w:rPr>
          <w:rFonts w:ascii="Amiri" w:hAnsi="Amiri" w:eastAsia="Amiri" w:cs="Amiri"/>
          <w:color w:val="111111"/>
          <w:sz w:val="28"/>
          <w:sz w:val="28"/>
          <w:szCs w:val="28"/>
          <w:rtl w:val="true"/>
          <w:lang w:bidi="ar-SA"/>
        </w:rPr>
        <w:t>، و لا نَكَصَ‌</w:t>
      </w:r>
      <w:r>
        <w:rPr>
          <w:rStyle w:val="FootnoteAnchor"/>
          <w:rtl w:val="true"/>
        </w:rPr>
        <w:footnoteReference w:id="836"/>
      </w:r>
      <w:r>
        <w:rPr>
          <w:rFonts w:ascii="Amiri" w:hAnsi="Amiri" w:eastAsia="Amiri" w:cs="Amiri"/>
          <w:color w:val="111111"/>
          <w:sz w:val="28"/>
          <w:sz w:val="28"/>
          <w:szCs w:val="28"/>
          <w:rtl w:val="true"/>
          <w:lang w:bidi="ar-SA"/>
        </w:rPr>
        <w:t>عن هَولٍ‌، و لا وَلَّى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حالٌ لَم تَسلَمْ </w:t>
      </w:r>
      <w:r>
        <w:rPr>
          <w:rStyle w:val="FootnoteAnchor"/>
          <w:rtl w:val="true"/>
        </w:rPr>
        <w:footnoteReference w:id="837"/>
      </w:r>
      <w:r>
        <w:rPr>
          <w:rFonts w:ascii="Amiri" w:hAnsi="Amiri" w:eastAsia="Amiri" w:cs="Amiri"/>
          <w:color w:val="111111"/>
          <w:sz w:val="28"/>
          <w:sz w:val="28"/>
          <w:szCs w:val="28"/>
          <w:rtl w:val="true"/>
          <w:lang w:bidi="ar-SA"/>
        </w:rPr>
        <w:t xml:space="preserve">لأحَدٍ قَبلَه و لا بَعدَه؛ فكانَ </w:t>
      </w:r>
      <w:r>
        <w:rPr>
          <w:rStyle w:val="FootnoteAnchor"/>
          <w:rtl w:val="true"/>
        </w:rPr>
        <w:footnoteReference w:id="838"/>
      </w:r>
      <w:r>
        <w:rPr>
          <w:rFonts w:ascii="Amiri" w:hAnsi="Amiri" w:eastAsia="Amiri" w:cs="Amiri"/>
          <w:color w:val="111111"/>
          <w:sz w:val="28"/>
          <w:sz w:val="28"/>
          <w:szCs w:val="28"/>
          <w:rtl w:val="true"/>
          <w:lang w:bidi="ar-SA"/>
        </w:rPr>
        <w:t xml:space="preserve">عليه السلامُ بِالاختصاصِ </w:t>
      </w:r>
      <w:r>
        <w:rPr>
          <w:rStyle w:val="FootnoteAnchor"/>
          <w:rtl w:val="true"/>
        </w:rPr>
        <w:footnoteReference w:id="839"/>
      </w:r>
      <w:r>
        <w:rPr>
          <w:rFonts w:ascii="Amiri" w:hAnsi="Amiri" w:eastAsia="Amiri" w:cs="Amiri"/>
          <w:color w:val="111111"/>
          <w:sz w:val="28"/>
          <w:sz w:val="28"/>
          <w:szCs w:val="28"/>
          <w:rtl w:val="true"/>
          <w:lang w:bidi="ar-SA"/>
        </w:rPr>
        <w:t>بالآيةِ أَولىٰ ؛ لمُطابَقةِ أوصافِه لمَعناها</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964123_2320776876"/>
      <w:bookmarkStart w:id="189" w:name="_Toc65"/>
      <w:bookmarkEnd w:id="188"/>
      <w:r>
        <w:rPr>
          <w:rtl w:val="true"/>
        </w:rPr>
        <w:t>نفي تطبيق الآية السابقة علىٰ آية الولاية، علىٰ أبي بكر</w:t>
      </w:r>
      <w:bookmarkEnd w:id="189"/>
    </w:p>
    <w:p>
      <w:pPr>
        <w:pStyle w:val="BookText"/>
        <w:rPr/>
      </w:pPr>
      <w:r>
        <w:rPr>
          <w:rFonts w:ascii="Amiri" w:hAnsi="Amiri" w:eastAsia="Amiri" w:cs="Amiri"/>
          <w:color w:val="111111"/>
          <w:sz w:val="28"/>
          <w:sz w:val="28"/>
          <w:szCs w:val="28"/>
          <w:rtl w:val="true"/>
          <w:lang w:bidi="ar-SA"/>
        </w:rPr>
        <w:t>و قد ادَّعىٰ قومٌ مِن أهلِ الغَباوةِ و العِنادِ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 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أبو بَكرٍ؛ مِن حَيثُ قاتَلَ أهلَ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نَعرِفُ قولاً أبعَدَ مِن الصوابِ‌</w:t>
      </w:r>
      <w:r>
        <w:rPr>
          <w:rStyle w:val="FootnoteAnchor"/>
          <w:rtl w:val="true"/>
        </w:rPr>
        <w:footnoteReference w:id="840"/>
      </w:r>
      <w:r>
        <w:rPr>
          <w:rFonts w:ascii="Amiri" w:hAnsi="Amiri" w:eastAsia="Amiri" w:cs="Amiri"/>
          <w:color w:val="111111"/>
          <w:sz w:val="28"/>
          <w:sz w:val="28"/>
          <w:szCs w:val="28"/>
          <w:rtl w:val="true"/>
          <w:lang w:bidi="ar-SA"/>
        </w:rPr>
        <w:t>مِن هذا القولِ‌، حتّىٰ إنّه لَيَكادُ أن يُعلَمَ‌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بُطلانُه ضرورةً ؛ لأنّ اللّٰهَ تَعالىٰ إذا كانَ قد وَصَفَ مَن أرادَه بالآيةِ بالعِزّةِ علَى </w:t>
      </w:r>
    </w:p>
    <w:p>
      <w:pPr>
        <w:pStyle w:val="BookText"/>
        <w:rPr/>
      </w:pPr>
      <w:r>
        <w:rPr>
          <w:rFonts w:ascii="Amiri" w:hAnsi="Amiri" w:eastAsia="Amiri" w:cs="Amiri"/>
          <w:color w:val="111111"/>
          <w:sz w:val="28"/>
          <w:sz w:val="28"/>
          <w:szCs w:val="28"/>
          <w:rtl w:val="true"/>
          <w:lang w:bidi="ar-SA"/>
        </w:rPr>
        <w:t>الكافرينَ و بالجهادِ</w:t>
      </w:r>
      <w:r>
        <w:rPr>
          <w:rStyle w:val="FootnoteAnchor"/>
          <w:rtl w:val="true"/>
        </w:rPr>
        <w:footnoteReference w:id="841"/>
      </w:r>
      <w:r>
        <w:rPr>
          <w:rFonts w:ascii="Amiri" w:hAnsi="Amiri" w:eastAsia="Amiri" w:cs="Amiri"/>
          <w:color w:val="111111"/>
          <w:sz w:val="28"/>
          <w:sz w:val="28"/>
          <w:szCs w:val="28"/>
          <w:rtl w:val="true"/>
          <w:lang w:bidi="ar-SA"/>
        </w:rPr>
        <w:t xml:space="preserve">في سَبيلِه مع اطِّراحِ خوفِ اللَّومِ‌، كَيفَ يَجوزُ أن يَظُنَّ عاقلٌ تَوَجُّهَ الآيةِ إلىٰ مَن لَم يَكُن له حَظٌّ مِن ذلكَ الوصفِ؟ لأنّ المعلومَ أنّ أبا بَكرٍ لَم يَكُن له نِكايةٌ في المُشرِكينَ‌، و لا قتيلٌ في الإسلامِ‌، و لا وَقَفَ في شَيءٍ مِن حروبِ النبيِّ صَلّى اللّٰهُ عليه و آلِه مَوقِفَ أهل البأسِ و العَناءِ‌، بَل كانَ الفِرارُ سُنَّتَه و الهَرَبُ دَيدَنَه، و قد انهَزَمَ عن النبيِّ صَلّى اللّٰهُ عليه و آلِه في جُملةِ المُنهَزِمينَ </w:t>
      </w:r>
      <w:r>
        <w:rPr>
          <w:rStyle w:val="FootnoteAnchor"/>
          <w:rtl w:val="true"/>
        </w:rPr>
        <w:footnoteReference w:id="842"/>
      </w:r>
      <w:r>
        <w:rPr>
          <w:rFonts w:ascii="Amiri" w:hAnsi="Amiri" w:eastAsia="Amiri" w:cs="Amiri"/>
          <w:color w:val="111111"/>
          <w:sz w:val="28"/>
          <w:sz w:val="28"/>
          <w:szCs w:val="28"/>
          <w:rtl w:val="true"/>
          <w:lang w:bidi="ar-SA"/>
        </w:rPr>
        <w:t xml:space="preserve">في مَقامٍ بَعدَ مَقامٍ </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 من ذلك فراره عن النبيّ صلّى اللّٰه عليه و آله مع جميع المسلمين إلّاأمير المؤمنين عليه السلام يوم أُحد حينما أحاط العدوّ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أُسد الغابة،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يوم حنين لمّا حمي الوطيس، و فرّ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فيهم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لم يبق معه إلّاأربعة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بني هاشم و رجل من غيرهم، أمير المؤمنين عليه السلام 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سفيان بن الحارث آخذ بالعنان، و ابن مسعود من جانبه الأيسر كما في السيرة الحلبية،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w:t>
      </w:r>
      <w:r>
        <w:rPr>
          <w:rStyle w:val="FootnoteAnchor"/>
          <w:rtl w:val="true"/>
        </w:rPr>
        <w:footnoteReference w:id="844"/>
      </w:r>
      <w:r>
        <w:rPr>
          <w:rFonts w:ascii="Amiri" w:hAnsi="Amiri" w:eastAsia="Amiri" w:cs="Amiri"/>
          <w:color w:val="111111"/>
          <w:sz w:val="28"/>
          <w:sz w:val="28"/>
          <w:szCs w:val="28"/>
          <w:rtl w:val="true"/>
          <w:lang w:bidi="ar-SA"/>
        </w:rPr>
        <w:t>يوصَفُ بالجهادِ في سَبيلِ اللّٰهِ علَى الوجهِ المذكورِ في الآيةِ مَن لا جهادَ له جُملةً؟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العُدولُ بالآيةِ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الحاصلِ لكُلِّ أحَدٍ بمُوافَقةِ أوصافِه لها</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بَكرٍ إلّاعَصَبيّةٌ ظاهرةٌ ، و انحرافٌ شديدٌ؟ </w:t>
      </w:r>
      <w:bookmarkStart w:id="190" w:name="pg20017_202449"/>
    </w:p>
    <w:p>
      <w:pPr>
        <w:pStyle w:val="BookText"/>
        <w:rPr/>
      </w:pPr>
      <w:bookmarkEnd w:id="190"/>
      <w:r>
        <w:rPr>
          <w:rFonts w:ascii="Amiri" w:hAnsi="Amiri" w:eastAsia="Amiri" w:cs="Amiri"/>
          <w:color w:val="111111"/>
          <w:sz w:val="28"/>
          <w:sz w:val="28"/>
          <w:szCs w:val="28"/>
          <w:rtl w:val="true"/>
          <w:lang w:bidi="ar-SA"/>
        </w:rPr>
        <w:t>و قد رُويَ نُزولُها في قتالِ أميرِ المؤمنينَ عليه السلامُ أهلَ البصرةِ عنه نفسِه، و عن عبدِ اللّٰهِ بنِ عبّاسٍ و عمّارِ بنِ ياسرٍ رَضِيَ اللّٰهُ عنهما</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و إذا عَضَدَ ما ذَكرناه مِن مُقتَضَى الآيةِ الروايةُ ، زالَت الشُّبهةُ ، و قَوِيَت الحُجّةُ </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964125_2320776876"/>
      <w:bookmarkStart w:id="192" w:name="_Toc66"/>
      <w:bookmarkEnd w:id="191"/>
      <w:r>
        <w:rPr>
          <w:rtl w:val="true"/>
        </w:rPr>
        <w:t>عدم دقّة صاحب المغني في نقله لكلام أبي مسلم الأصفهاني</w:t>
      </w:r>
      <w:bookmarkEnd w:id="192"/>
    </w:p>
    <w:p>
      <w:pPr>
        <w:pStyle w:val="BookText"/>
        <w:rPr/>
      </w:pPr>
      <w:r>
        <w:rPr>
          <w:rFonts w:ascii="Amiri" w:hAnsi="Amiri" w:eastAsia="Amiri" w:cs="Amiri"/>
          <w:color w:val="111111"/>
          <w:sz w:val="28"/>
          <w:sz w:val="28"/>
          <w:szCs w:val="28"/>
          <w:rtl w:val="true"/>
          <w:lang w:bidi="ar-SA"/>
        </w:rPr>
        <w:t>علىٰ أنّ صاحبَ الكتابِ قد وَهَمَ في الحكايةِ عن أبي مُسلِمٍ‌، و حَكىٰ عنه ما لَم يَقُلْه، و لا يَقتَضيه صريحُ قولِه و لا معناه؛ لأنّ الذي قاله أبو مُسلِمٍ بَعدَ إنشادِ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وَصَفَهم به مِن الركوعِ في هذا المعنىٰ هو الذي وَصَفَ به مَن أَوعَدَ المُرتَدّينَ بالإتيانِ بهم بَدَلاً منهم، مِن الذِّلّةِ علَى المؤمنينَ‌، و العِزّةِ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ألفاظُه بعَينِها في كتابِه في تفسيرِ القُرآنِ‌</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ندقّق في حكاية صاحب المغني عن أبي مسلم هذا النوع من التدقيق في العبارة</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و هي بخِلافِ حكايةِ صاحبِ الكتابِ‌؛ لأنّ أبا مُسلِمٍ جَعَلَ الوصفَ في الآيتَينِ واحداً، و لَم يَقُلْ أنّ الموصوفَ واحدٌ، و صاحبُ الكتابِ حَكىٰ عنه أنّ الموصوفينَ بالآيةِ الأُولىٰ هُم الموصوفونَ بالآيةِ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تحريفٌ ظاهرٌ؛ لأنه غيرُ مُمتَنِعٍ أن يَكونَ الوصفُ واحداً و الموصوفُ يَختَلِفُ‌</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نُحَقِّقْ‌</w:t>
      </w:r>
      <w:r>
        <w:rPr>
          <w:rStyle w:val="FootnoteAnchor"/>
          <w:rtl w:val="true"/>
        </w:rPr>
        <w:footnoteReference w:id="850"/>
      </w:r>
      <w:r>
        <w:rPr>
          <w:rFonts w:ascii="Amiri" w:hAnsi="Amiri" w:eastAsia="Amiri" w:cs="Amiri"/>
          <w:color w:val="111111"/>
          <w:sz w:val="28"/>
          <w:sz w:val="28"/>
          <w:szCs w:val="28"/>
          <w:rtl w:val="true"/>
          <w:lang w:bidi="ar-SA"/>
        </w:rPr>
        <w:t xml:space="preserve">حكايتَه هذا الضربَ مِن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أبا مُسلِمٍ لَو ادَّعىٰ ما حَكاه عنه كانَت</w:t>
      </w:r>
      <w:r>
        <w:rPr>
          <w:rStyle w:val="FootnoteAnchor"/>
          <w:rtl w:val="true"/>
        </w:rPr>
        <w:footnoteReference w:id="851"/>
      </w:r>
      <w:r>
        <w:rPr>
          <w:rFonts w:ascii="Amiri" w:hAnsi="Amiri" w:eastAsia="Amiri" w:cs="Amiri"/>
          <w:color w:val="111111"/>
          <w:sz w:val="28"/>
          <w:sz w:val="28"/>
          <w:szCs w:val="28"/>
          <w:rtl w:val="true"/>
          <w:lang w:bidi="ar-SA"/>
        </w:rPr>
        <w:t xml:space="preserve">دَعواه حُجّةً ، بَل أرَدنا أن نُبينَ عن وَهمِ صاحبِ الكتابِ في الحكايةِ ، </w:t>
      </w:r>
      <w:bookmarkStart w:id="193" w:name="pg20017_202450"/>
    </w:p>
    <w:p>
      <w:pPr>
        <w:pStyle w:val="BookText"/>
        <w:rPr/>
      </w:pPr>
      <w:bookmarkEnd w:id="193"/>
      <w:r>
        <w:rPr>
          <w:rFonts w:ascii="Amiri" w:hAnsi="Amiri" w:eastAsia="Amiri" w:cs="Amiri"/>
          <w:color w:val="111111"/>
          <w:sz w:val="28"/>
          <w:sz w:val="28"/>
          <w:szCs w:val="28"/>
          <w:rtl w:val="true"/>
          <w:lang w:bidi="ar-SA"/>
        </w:rPr>
        <w:t>و الذي تَقَدَّمَ مِن كلامِنا مُبطِلٌ للدعوَى التي ذَكَرَها في الآيةِ ؛ سَواءٌ كان أبو مُسلِمٍ مُدَّعيَها</w:t>
      </w:r>
      <w:r>
        <w:rPr>
          <w:rStyle w:val="FootnoteAnchor"/>
          <w:rtl w:val="true"/>
        </w:rPr>
        <w:footnoteReference w:id="852"/>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964127_2320776876"/>
      <w:bookmarkStart w:id="195" w:name="_Toc67"/>
      <w:bookmarkEnd w:id="194"/>
      <w:r>
        <w:rPr>
          <w:rtl w:val="true"/>
        </w:rPr>
        <w:t>نفي نزول آية الولاية في حقّ عُبادة بن الصامت</w:t>
      </w:r>
      <w:bookmarkEnd w:id="195"/>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رُويَ أنّها نَزَلَت في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فباطلٌ‌، و لَيسَ يُقابِلُ ما ادَّعاه مِن الروايةِ ما رُويَ مِن نُزولِها في أميرِ المؤمنينَ عليه السلامُ‌؛ لأنّ تلكَ روايةٌ أطبَقَ علىٰ نَقلِها جماعةُ أصحابِ الحَديثِ مِن الخاصّةِ و العامّةِ‌، و ما ادَّعاه</w:t>
      </w:r>
      <w:r>
        <w:rPr>
          <w:rStyle w:val="FootnoteAnchor"/>
          <w:rtl w:val="true"/>
        </w:rPr>
        <w:footnoteReference w:id="853"/>
      </w:r>
      <w:r>
        <w:rPr>
          <w:rFonts w:ascii="Amiri" w:hAnsi="Amiri" w:eastAsia="Amiri" w:cs="Amiri"/>
          <w:color w:val="111111"/>
          <w:sz w:val="28"/>
          <w:sz w:val="28"/>
          <w:szCs w:val="28"/>
          <w:rtl w:val="true"/>
          <w:lang w:bidi="ar-SA"/>
        </w:rPr>
        <w:t>أحسَنُ أحوالِه أن يَكونَ مُسنَداً إلىٰ واحدٍ معروفٍ بالتحايُلِ‌</w:t>
      </w:r>
      <w:r>
        <w:rPr>
          <w:rStyle w:val="FootnoteAnchor"/>
          <w:rtl w:val="true"/>
        </w:rPr>
        <w:footnoteReference w:id="854"/>
      </w:r>
      <w:r>
        <w:rPr>
          <w:rFonts w:ascii="Amiri" w:hAnsi="Amiri" w:eastAsia="Amiri" w:cs="Amiri"/>
          <w:color w:val="111111"/>
          <w:sz w:val="28"/>
          <w:sz w:val="28"/>
          <w:szCs w:val="28"/>
          <w:rtl w:val="true"/>
          <w:lang w:bidi="ar-SA"/>
        </w:rPr>
        <w:t>و العَصَبيّةِ‌، و لا يوجَدُ</w:t>
      </w:r>
      <w:r>
        <w:rPr>
          <w:rStyle w:val="FootnoteAnchor"/>
          <w:rtl w:val="true"/>
        </w:rPr>
        <w:footnoteReference w:id="855"/>
      </w:r>
      <w:r>
        <w:rPr>
          <w:rFonts w:ascii="Amiri" w:hAnsi="Amiri" w:eastAsia="Amiri" w:cs="Amiri"/>
          <w:color w:val="111111"/>
          <w:sz w:val="28"/>
          <w:sz w:val="28"/>
          <w:szCs w:val="28"/>
          <w:rtl w:val="true"/>
          <w:lang w:bidi="ar-SA"/>
        </w:rPr>
        <w:t>له مُوافِقٌ مِن الرُّواةِ و لا مُتابِعٌ‌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مفهومَ الآيةِ مُمتَنِعٌ ممّا ذَكَرَه؛ لأنّا قد دَلَّلنا علَى اقتضائها</w:t>
      </w:r>
      <w:r>
        <w:rPr>
          <w:rStyle w:val="FootnoteAnchor"/>
          <w:rtl w:val="true"/>
        </w:rPr>
        <w:footnoteReference w:id="856"/>
      </w:r>
      <w:r>
        <w:rPr>
          <w:rFonts w:ascii="Amiri" w:hAnsi="Amiri" w:eastAsia="Amiri" w:cs="Amiri"/>
          <w:color w:val="111111"/>
          <w:sz w:val="28"/>
          <w:sz w:val="28"/>
          <w:szCs w:val="28"/>
          <w:rtl w:val="true"/>
          <w:lang w:bidi="ar-SA"/>
        </w:rPr>
        <w:t>فيمن وُصِفَ بها معنَى الإمامةِ‌، فلَيسَ يَجوزُ أن يَكونَ المَعنيُّ بها عُبادةَ بعَينِه؛ للاتّفاقِ علىٰ أنّه لا إمامةَ له في 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أيضاً</w:t>
      </w:r>
      <w:r>
        <w:rPr>
          <w:rStyle w:val="FootnoteAnchor"/>
          <w:rtl w:val="true"/>
        </w:rPr>
        <w:footnoteReference w:id="857"/>
      </w:r>
      <w:r>
        <w:rPr>
          <w:rFonts w:ascii="Amiri" w:hAnsi="Amiri" w:eastAsia="Amiri" w:cs="Amiri"/>
          <w:color w:val="111111"/>
          <w:sz w:val="28"/>
          <w:sz w:val="28"/>
          <w:szCs w:val="28"/>
          <w:rtl w:val="true"/>
          <w:lang w:bidi="ar-SA"/>
        </w:rPr>
        <w:t>أن يَكونَ‌</w:t>
      </w:r>
      <w:r>
        <w:rPr>
          <w:rStyle w:val="FootnoteAnchor"/>
          <w:rtl w:val="true"/>
        </w:rPr>
        <w:footnoteReference w:id="858"/>
      </w:r>
      <w:r>
        <w:rPr>
          <w:rFonts w:ascii="Amiri" w:hAnsi="Amiri" w:eastAsia="Amiri" w:cs="Amiri"/>
          <w:color w:val="111111"/>
          <w:sz w:val="28"/>
          <w:sz w:val="28"/>
          <w:szCs w:val="28"/>
          <w:rtl w:val="true"/>
          <w:lang w:bidi="ar-SA"/>
        </w:rPr>
        <w:t>نَزَلَت بسببِه الذي ذُكِرَ</w:t>
      </w:r>
      <w:r>
        <w:rPr>
          <w:rStyle w:val="FootnoteAnchor"/>
          <w:rtl w:val="true"/>
        </w:rPr>
        <w:footnoteReference w:id="859"/>
      </w:r>
      <w:r>
        <w:rPr>
          <w:rFonts w:ascii="Amiri" w:hAnsi="Amiri" w:eastAsia="Amiri" w:cs="Amiri"/>
          <w:color w:val="111111"/>
          <w:sz w:val="28"/>
          <w:sz w:val="28"/>
          <w:szCs w:val="28"/>
          <w:rtl w:val="true"/>
          <w:lang w:bidi="ar-SA"/>
        </w:rPr>
        <w:t>لأنّ الآيةَ لا يَصِحُّ‌</w:t>
      </w:r>
      <w:r>
        <w:rPr>
          <w:rStyle w:val="FootnoteAnchor"/>
          <w:rtl w:val="true"/>
        </w:rPr>
        <w:footnoteReference w:id="860"/>
      </w:r>
      <w:r>
        <w:rPr>
          <w:rFonts w:ascii="Amiri" w:hAnsi="Amiri" w:eastAsia="Amiri" w:cs="Amiri"/>
          <w:color w:val="111111"/>
          <w:sz w:val="28"/>
          <w:sz w:val="28"/>
          <w:szCs w:val="28"/>
          <w:rtl w:val="true"/>
          <w:lang w:bidi="ar-SA"/>
        </w:rPr>
        <w:t>خروجُها علىٰ سببٍ لا يُطابِقُها، و إن جازَ مع مُطابَقتِه أن يَتعدّىٰ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بيّنّا أنّ المُرادَ بها لا يَجوزُ أن يَكونَ وَلايةَ الدينِ و النُّصرةِ‌؛ لدخولِ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المُقتَضيةِ للتخصيصِ </w:t>
      </w:r>
      <w:r>
        <w:rPr>
          <w:rStyle w:val="FootnoteAnchor"/>
          <w:rtl w:val="true"/>
        </w:rPr>
        <w:footnoteReference w:id="861"/>
      </w:r>
      <w:r>
        <w:rPr>
          <w:rFonts w:ascii="Amiri" w:hAnsi="Amiri" w:eastAsia="Amiri" w:cs="Amiri"/>
          <w:color w:val="111111"/>
          <w:sz w:val="28"/>
          <w:sz w:val="28"/>
          <w:szCs w:val="28"/>
          <w:rtl w:val="true"/>
          <w:lang w:bidi="ar-SA"/>
        </w:rPr>
        <w:t xml:space="preserve">فلَم يَبقَ فيما ذَكرناه شُبهةٌ </w:t>
      </w:r>
      <w:r>
        <w:rPr>
          <w:rFonts w:eastAsia="Amiri" w:cs="Amiri" w:ascii="Amiri" w:hAnsi="Amiri"/>
          <w:color w:val="111111"/>
          <w:sz w:val="28"/>
          <w:szCs w:val="28"/>
          <w:rtl w:val="true"/>
          <w:lang w:bidi="ar-SA"/>
        </w:rPr>
        <w:t xml:space="preserve">. </w:t>
      </w:r>
      <w:bookmarkStart w:id="196" w:name="pg20017_202451"/>
    </w:p>
    <w:p>
      <w:pPr>
        <w:pStyle w:val="Heading4"/>
        <w:numPr>
          <w:ilvl w:val="3"/>
          <w:numId w:val="1"/>
        </w:numPr>
        <w:rPr/>
      </w:pPr>
      <w:bookmarkStart w:id="197" w:name="__RefHeading___Toc964129_2320776876"/>
      <w:bookmarkStart w:id="198" w:name="_Toc68"/>
      <w:bookmarkEnd w:id="196"/>
      <w:bookmarkEnd w:id="197"/>
      <w:r>
        <w:rPr>
          <w:rtl w:val="true"/>
        </w:rPr>
        <w:t xml:space="preserve">الدليل الخامس آية </w:t>
      </w:r>
      <w:r>
        <w:rPr>
          <w:rtl w:val="true"/>
        </w:rPr>
        <w:t>(</w:t>
      </w:r>
      <w:r>
        <w:rPr>
          <w:rtl w:val="true"/>
        </w:rPr>
        <w:t xml:space="preserve">وَ إِنْ تَظٰاهَرٰا عَلَيْهِ فَإِنَّ اللّٰهَ هُوَ مَوْلاٰهُ </w:t>
      </w:r>
      <w:r>
        <w:rPr>
          <w:rtl w:val="true"/>
        </w:rPr>
        <w:t>...)</w:t>
      </w:r>
      <w:bookmarkEnd w:id="198"/>
    </w:p>
    <w:p>
      <w:pPr>
        <w:pStyle w:val="Heading5"/>
        <w:numPr>
          <w:ilvl w:val="4"/>
          <w:numId w:val="1"/>
        </w:numPr>
        <w:rPr/>
      </w:pPr>
      <w:bookmarkStart w:id="199" w:name="__RefHeading___Toc964131_2320776876"/>
      <w:bookmarkStart w:id="200" w:name="_Toc69"/>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لهم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تَعلَّقوا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بصالحِ المؤمنينَ هو أميرُ المؤمنينَ عليٌّ عليه السلامُ‌، و قد جَعَلَه اللّٰهُ تَعالىٰ مَولىً للرسولِ عليه السلامُ ، و لا يَجوزُ أن يَخُصَّه</w:t>
      </w:r>
      <w:r>
        <w:rPr>
          <w:rStyle w:val="FootnoteAnchor"/>
          <w:rtl w:val="true"/>
        </w:rPr>
        <w:footnoteReference w:id="864"/>
      </w:r>
      <w:r>
        <w:rPr>
          <w:rFonts w:ascii="Amiri" w:hAnsi="Amiri" w:eastAsia="Amiri" w:cs="Amiri"/>
          <w:color w:val="111111"/>
          <w:sz w:val="28"/>
          <w:sz w:val="28"/>
          <w:szCs w:val="28"/>
          <w:rtl w:val="true"/>
          <w:lang w:bidi="ar-SA"/>
        </w:rPr>
        <w:t>بذلكَ إلّالأمرٍ يَختَصُّ به</w:t>
      </w:r>
      <w:r>
        <w:rPr>
          <w:rStyle w:val="FootnoteAnchor"/>
          <w:rtl w:val="true"/>
        </w:rPr>
        <w:footnoteReference w:id="865"/>
      </w:r>
      <w:r>
        <w:rPr>
          <w:rFonts w:ascii="Amiri" w:hAnsi="Amiri" w:eastAsia="Amiri" w:cs="Amiri"/>
          <w:color w:val="111111"/>
          <w:sz w:val="28"/>
          <w:sz w:val="28"/>
          <w:szCs w:val="28"/>
          <w:rtl w:val="true"/>
          <w:lang w:bidi="ar-SA"/>
        </w:rPr>
        <w:t xml:space="preserve">دونَ سائرِ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الأمرُ لَيسَ إلّاطريقةَ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الثابتُ عنه في ذلكَ </w:t>
      </w:r>
      <w:r>
        <w:rPr>
          <w:rFonts w:eastAsia="Amiri" w:cs="Amiri" w:ascii="Amiri" w:hAnsi="Amiri"/>
          <w:color w:val="111111"/>
          <w:sz w:val="28"/>
          <w:szCs w:val="28"/>
          <w:rtl w:val="true"/>
          <w:lang w:bidi="ar-SA"/>
        </w:rPr>
        <w:t>].</w:t>
      </w:r>
      <w:r>
        <w:rPr>
          <w:rStyle w:val="FootnoteAnchor"/>
          <w:rtl w:val="true"/>
        </w:rPr>
        <w:footnoteReference w:id="86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أورَدَ كلاماً كَثيراً</w:t>
      </w:r>
      <w:r>
        <w:rPr>
          <w:rStyle w:val="FootnoteAnchor"/>
          <w:rtl w:val="true"/>
        </w:rPr>
        <w:footnoteReference w:id="867"/>
      </w:r>
      <w:r>
        <w:rPr>
          <w:rFonts w:ascii="Amiri" w:hAnsi="Amiri" w:eastAsia="Amiri" w:cs="Amiri"/>
          <w:color w:val="111111"/>
          <w:sz w:val="28"/>
          <w:sz w:val="28"/>
          <w:szCs w:val="28"/>
          <w:rtl w:val="true"/>
          <w:lang w:bidi="ar-SA"/>
        </w:rPr>
        <w:t xml:space="preserve">أبطَلَ به دَلالةَ هذه الآيةِ علَى النصِّ </w:t>
      </w:r>
      <w:r>
        <w:rPr>
          <w:rFonts w:eastAsia="Amiri" w:cs="Amiri" w:ascii="Amiri" w:hAnsi="Amiri"/>
          <w:color w:val="111111"/>
          <w:sz w:val="28"/>
          <w:szCs w:val="28"/>
          <w:rtl w:val="true"/>
          <w:lang w:bidi="ar-SA"/>
        </w:rPr>
        <w:t>.</w:t>
      </w:r>
      <w:r>
        <w:rPr>
          <w:rStyle w:val="FootnoteAnchor"/>
          <w:rtl w:val="true"/>
        </w:rPr>
        <w:footnoteReference w:id="868"/>
      </w:r>
      <w:bookmarkStart w:id="201" w:name="pg20017_202452"/>
    </w:p>
    <w:p>
      <w:pPr>
        <w:pStyle w:val="Heading5"/>
        <w:numPr>
          <w:ilvl w:val="4"/>
          <w:numId w:val="1"/>
        </w:numPr>
        <w:rPr/>
      </w:pPr>
      <w:bookmarkStart w:id="202" w:name="__RefHeading___Toc964133_2320776876"/>
      <w:bookmarkStart w:id="203" w:name="_Toc70"/>
      <w:bookmarkEnd w:id="201"/>
      <w:bookmarkEnd w:id="202"/>
      <w:r>
        <w:rPr>
          <w:rtl w:val="true"/>
        </w:rPr>
        <w:t>نفي دلالة الآية على الإمامة، و إثبات دلالتها على الفضل</w:t>
      </w:r>
      <w:bookmarkEnd w:id="203"/>
    </w:p>
    <w:p>
      <w:pPr>
        <w:pStyle w:val="BookText"/>
        <w:rPr/>
      </w:pPr>
      <w:r>
        <w:rPr>
          <w:rFonts w:ascii="Amiri" w:hAnsi="Amiri" w:eastAsia="Amiri" w:cs="Amiri"/>
          <w:color w:val="111111"/>
          <w:sz w:val="28"/>
          <w:sz w:val="28"/>
          <w:szCs w:val="28"/>
          <w:rtl w:val="true"/>
          <w:lang w:bidi="ar-SA"/>
        </w:rPr>
        <w:t>و الذي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التي تَلاها لا تَدُلُّ عندَنا علَى النصِّ علىٰ أميرِ المؤمنينَ عليه السلامُ بالإمامةِ و لا اعتَمَدَها أحَدٌ مِن شُيوخِنا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 إنّما يدلّ على النصرة لمكان العطف؛ إذ المعلوم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النصرة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به إلّاذلك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أثبته كذلك في الوقت، و إن أُريد به الإمامة فيجب في الحال، بل يجب أن يكون إماماً للرسول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 أنّ المراد ما قلناه من النصر و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الْمَلاٰئِكَةُ بَعْدَ ذٰلِكَ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يراد بذلك إلّاالنصرة و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القول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القصّة تقتضي ذلك؛ لأنّ الآية نزلت فيمن أفشى سرّ النبيّ صلّى اللّٰه عليه من أزواجه، و عرّف اللّٰه تعالى نبيّه عليه السلام ذلك، و أنزل هذه الآية زاجراً لهم عن فعل مثله،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 وَ إِنْ تَظٰاهَرٰا عَلَيْهِ فَإِنَّ اللّٰهَ هُوَ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يليق بذلك إلّاأنّه معين له عليكم و ناصر؛ ليكون ردعاً و زجراً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فيما عطف عليه إلّاهذه الطريقة لكي تقع به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صحّ أنّ المراد بصالح المؤمنين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الجمع، على ما قاله أبو مسلم في أنّ المراد به الجمع، و سقطت به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صالحو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سقطت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يَدْعُ الدّٰاعِ إِلىٰ شَيْ‌ءٍ 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يَدْعُ الْإِنْسٰانُ بِالشَّرِّ دُعٰاءَهُ بِالْخَيْرِ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يَمْحُ اللّٰهُ الْبٰاطِلَ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هذه الحروف الثلاثة واجب في حكم الخطاب ثبات الواو فيه، لكنّه لمّا جاورت الألف و اللام سقطت في اللفظ لالتقاء الساكنين، و أُجري الخطّ في المصاحف ذلك المجرى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شيخنا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لا تليق إلّابالجمع؛ لأنّه تعالى بيّن لهم عظم حال الرسول عليه السلام بنصرة الغير و مظاهرته، و لا بدّ من أن يكون الجمع فيه،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الصالحون؛ إذ المتعالم أنّ المؤمن لا يكون إلّاصالحاً، فهو بمنزلة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الرّٰاكِعُونَ السّٰاجِدُونَ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التّٰائِبُونَ الْعٰابِدُونَ الْحٰامِدُونَ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يكون تائباً إلّاعابداً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أنّ الآية لا تدلّ على الإمامة، و إن ثبت ورودها فيه عليه السلام، فلا وجه للإكثار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يَصِحُّ اعتمادُها في النصِّ مِن حَيثُ التعَلُّقِ‌</w:t>
      </w:r>
      <w:r>
        <w:rPr>
          <w:rStyle w:val="FootnoteAnchor"/>
          <w:rtl w:val="true"/>
        </w:rPr>
        <w:footnoteReference w:id="869"/>
      </w:r>
      <w:r>
        <w:rPr>
          <w:rFonts w:ascii="Amiri" w:hAnsi="Amiri" w:eastAsia="Amiri" w:cs="Amiri"/>
          <w:color w:val="111111"/>
          <w:sz w:val="28"/>
          <w:sz w:val="28"/>
          <w:szCs w:val="28"/>
          <w:rtl w:val="true"/>
          <w:lang w:bidi="ar-SA"/>
        </w:rPr>
        <w:t xml:space="preserve">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نَعلَمُ أنّ هذه اللفظةَ لَو اقتَضَت النصَّ بالإمامةِ لَوَجَبَ أن يَكونَ أميرُ المؤمنينَ عليه السلامُ إماماً للرسولِ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المُكنّىٰ عنه بالهاءِ التي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اقتَصَرَ صاحبُ الكتابِ في إبطالِ دَلالةِ الآيةِ علَى النصِّ علىٰ ما ذَكرناه لَكَفاه و لَاستَغنىٰ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يَعتَمِدُ أصحابُنا هذه الطريقةَ مِن الآيةِ في الدَّلالةِ علىٰ فَضلِ أميرِ المؤمنينَ عليه السلامُ و تَقدُّمِه و عُلوِّ رُتبَتِه، فإن جُعِلَ لها تَعلُّقٌ بالنصِّ علَى الإمامةِ مِن حَيثُ دَلَّت علَى الفَضلِ المُعتَبَرِ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الإمامُ لا يَكونُ إلّاالأفضَلَ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يُخرِجُها مِن أن تَكونَ‌</w:t>
      </w:r>
      <w:r>
        <w:rPr>
          <w:rStyle w:val="FootnoteAnchor"/>
          <w:rtl w:val="true"/>
        </w:rPr>
        <w:footnoteReference w:id="870"/>
      </w:r>
      <w:r>
        <w:rPr>
          <w:rFonts w:ascii="Amiri" w:hAnsi="Amiri" w:eastAsia="Amiri" w:cs="Amiri"/>
          <w:color w:val="111111"/>
          <w:sz w:val="28"/>
          <w:sz w:val="28"/>
          <w:szCs w:val="28"/>
          <w:rtl w:val="true"/>
          <w:lang w:bidi="ar-SA"/>
        </w:rPr>
        <w:t>غيرَ دالّةٍ بنفسِها علَى الإمامةِ‌؛ بَل يَكونُ حُكمُها في الدَّلالةِ‌</w:t>
      </w:r>
    </w:p>
    <w:p>
      <w:pPr>
        <w:pStyle w:val="BookText"/>
        <w:rPr/>
      </w:pPr>
      <w:r>
        <w:rPr>
          <w:rFonts w:ascii="Amiri" w:hAnsi="Amiri" w:eastAsia="Amiri" w:cs="Amiri"/>
          <w:color w:val="111111"/>
          <w:sz w:val="28"/>
          <w:sz w:val="28"/>
          <w:szCs w:val="28"/>
          <w:rtl w:val="true"/>
          <w:lang w:bidi="ar-SA"/>
        </w:rPr>
        <w:t>علَى الفَضلِ حُكمَ غيرِها مِن الأدِلّةِ عليه،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استَدَلَّ أصحابُنا بهذه الآيةِ علىٰ سوءِ طريقةِ المَرأتَينِ اللتَينِ تَوجَّهَ العَتْبُ إليهما و اللَّومُ‌</w:t>
      </w:r>
      <w:r>
        <w:rPr>
          <w:rStyle w:val="FootnoteAnchor"/>
          <w:rtl w:val="true"/>
        </w:rPr>
        <w:footnoteReference w:id="871"/>
      </w:r>
      <w:r>
        <w:rPr>
          <w:rFonts w:ascii="Amiri" w:hAnsi="Amiri" w:eastAsia="Amiri" w:cs="Amiri"/>
          <w:color w:val="111111"/>
          <w:sz w:val="28"/>
          <w:sz w:val="28"/>
          <w:szCs w:val="28"/>
          <w:rtl w:val="true"/>
          <w:lang w:bidi="ar-SA"/>
        </w:rPr>
        <w:t>، و يَذكُرونَ في السِّرِّ الذي أفشَته</w:t>
      </w:r>
      <w:r>
        <w:rPr>
          <w:rStyle w:val="FootnoteAnchor"/>
          <w:rtl w:val="true"/>
        </w:rPr>
        <w:footnoteReference w:id="872"/>
      </w:r>
      <w:r>
        <w:rPr>
          <w:rFonts w:ascii="Amiri" w:hAnsi="Amiri" w:eastAsia="Amiri" w:cs="Amiri"/>
          <w:color w:val="111111"/>
          <w:sz w:val="28"/>
          <w:sz w:val="28"/>
          <w:szCs w:val="28"/>
          <w:rtl w:val="true"/>
          <w:lang w:bidi="ar-SA"/>
        </w:rPr>
        <w:t>إحداهما إلىٰ صاحبتِها</w:t>
      </w:r>
      <w:r>
        <w:rPr>
          <w:rStyle w:val="FootnoteAnchor"/>
          <w:rtl w:val="true"/>
        </w:rPr>
        <w:footnoteReference w:id="873"/>
      </w:r>
      <w:r>
        <w:rPr>
          <w:rFonts w:ascii="Amiri" w:hAnsi="Amiri" w:eastAsia="Amiri" w:cs="Amiri"/>
          <w:color w:val="111111"/>
          <w:sz w:val="28"/>
          <w:sz w:val="28"/>
          <w:szCs w:val="28"/>
          <w:rtl w:val="true"/>
          <w:lang w:bidi="ar-SA"/>
        </w:rPr>
        <w:t>خِلافَ ما يَذكُرُه 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الطريقةُ لنُصرةِ </w:t>
      </w:r>
      <w:r>
        <w:rPr>
          <w:rStyle w:val="FootnoteAnchor"/>
          <w:rtl w:val="true"/>
        </w:rPr>
        <w:footnoteReference w:id="874"/>
      </w:r>
      <w:r>
        <w:rPr>
          <w:rFonts w:ascii="Amiri" w:hAnsi="Amiri" w:eastAsia="Amiri" w:cs="Amiri"/>
          <w:color w:val="111111"/>
          <w:sz w:val="28"/>
          <w:sz w:val="28"/>
          <w:szCs w:val="28"/>
          <w:rtl w:val="true"/>
          <w:lang w:bidi="ar-SA"/>
        </w:rPr>
        <w:t>هذا الوجهِ معروفةٌ ، و لَولا أنّ المَوضِعَ لا يَقتَضيها لَبَسَطناها ضَرباً مِن البَسطِ</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وجهُ </w:t>
      </w:r>
      <w:r>
        <w:rPr>
          <w:rStyle w:val="FootnoteAnchor"/>
          <w:rtl w:val="true"/>
        </w:rPr>
        <w:footnoteReference w:id="875"/>
      </w:r>
      <w:r>
        <w:rPr>
          <w:rFonts w:ascii="Amiri" w:hAnsi="Amiri" w:eastAsia="Amiri" w:cs="Amiri"/>
          <w:color w:val="111111"/>
          <w:sz w:val="28"/>
          <w:sz w:val="28"/>
          <w:szCs w:val="28"/>
          <w:rtl w:val="true"/>
          <w:lang w:bidi="ar-SA"/>
        </w:rPr>
        <w:t xml:space="preserve">دَلالةِ الآيةِ علَى الفَضلِ و التَقدُّمِ فواضحٌ ؛ لأنّه قد ثَبَتَ بالخبرِ الذي </w:t>
      </w:r>
    </w:p>
    <w:p>
      <w:pPr>
        <w:pStyle w:val="BookText"/>
        <w:rPr/>
      </w:pPr>
      <w:r>
        <w:rPr>
          <w:rFonts w:ascii="Amiri" w:hAnsi="Amiri" w:eastAsia="Amiri" w:cs="Amiri"/>
          <w:color w:val="111111"/>
          <w:sz w:val="28"/>
          <w:sz w:val="28"/>
          <w:szCs w:val="28"/>
          <w:rtl w:val="true"/>
          <w:lang w:bidi="ar-SA"/>
        </w:rPr>
        <w:t>اشتَرَكَ‌</w:t>
      </w:r>
      <w:r>
        <w:rPr>
          <w:rStyle w:val="FootnoteAnchor"/>
          <w:rtl w:val="true"/>
        </w:rPr>
        <w:footnoteReference w:id="876"/>
      </w:r>
      <w:r>
        <w:rPr>
          <w:rFonts w:ascii="Amiri" w:hAnsi="Amiri" w:eastAsia="Amiri" w:cs="Amiri"/>
          <w:color w:val="111111"/>
          <w:sz w:val="28"/>
          <w:sz w:val="28"/>
          <w:szCs w:val="28"/>
          <w:rtl w:val="true"/>
          <w:lang w:bidi="ar-SA"/>
        </w:rPr>
        <w:t>في روايتِه رُواةُ‌</w:t>
      </w:r>
      <w:r>
        <w:rPr>
          <w:rStyle w:val="FootnoteAnchor"/>
          <w:rtl w:val="true"/>
        </w:rPr>
        <w:footnoteReference w:id="877"/>
      </w:r>
      <w:r>
        <w:rPr>
          <w:rFonts w:ascii="Amiri" w:hAnsi="Amiri" w:eastAsia="Amiri" w:cs="Amiri"/>
          <w:color w:val="111111"/>
          <w:sz w:val="28"/>
          <w:sz w:val="28"/>
          <w:szCs w:val="28"/>
          <w:rtl w:val="true"/>
          <w:lang w:bidi="ar-SA"/>
        </w:rPr>
        <w:t xml:space="preserve">الخاصّةِ و العامّةِ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الآيةِ هو أميرُ المؤمنينَ عليه السلامُ‌</w:t>
      </w:r>
      <w:r>
        <w:rPr>
          <w:rStyle w:val="FootnoteAnchor"/>
          <w:rtl w:val="true"/>
        </w:rPr>
        <w:footnoteReference w:id="878"/>
      </w:r>
      <w:r>
        <w:rPr>
          <w:rFonts w:ascii="Amiri" w:hAnsi="Amiri" w:eastAsia="Amiri" w:cs="Amiri"/>
          <w:color w:val="111111"/>
          <w:sz w:val="28"/>
          <w:sz w:val="28"/>
          <w:szCs w:val="28"/>
          <w:rtl w:val="true"/>
          <w:lang w:bidi="ar-SA"/>
        </w:rPr>
        <w:t>، و لَيسَ يَجوزُ أن يُخبِرَ اللّٰهُ تَعالىٰ أنّ‌</w:t>
      </w:r>
      <w:r>
        <w:rPr>
          <w:rStyle w:val="FootnoteAnchor"/>
          <w:rtl w:val="true"/>
        </w:rPr>
        <w:footnoteReference w:id="879"/>
      </w:r>
      <w:r>
        <w:rPr>
          <w:rFonts w:ascii="Amiri" w:hAnsi="Amiri" w:eastAsia="Amiri" w:cs="Amiri"/>
          <w:color w:val="111111"/>
          <w:sz w:val="28"/>
          <w:sz w:val="28"/>
          <w:szCs w:val="28"/>
          <w:rtl w:val="true"/>
          <w:lang w:bidi="ar-SA"/>
        </w:rPr>
        <w:t xml:space="preserve">ناصرَ رسولِه إذا وَقَعَ التظاهُرُ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نفسِه تَعالىٰ و ذِكرِ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إلّامَن كانَ أقوَى الخَلقِ نُصرةً لنبيِّه صَلّى اللّٰهُ عليه و آلِه و أمنَعَهم جانباً في الدفاعِ عنه، و لا يَحسُنُ و لا يَليقُ بموضوعِ الكلامِ ذِكرُ ضعيفِ‌</w:t>
      </w:r>
      <w:r>
        <w:rPr>
          <w:rStyle w:val="FootnoteAnchor"/>
          <w:rtl w:val="true"/>
        </w:rPr>
        <w:footnoteReference w:id="880"/>
      </w:r>
      <w:r>
        <w:rPr>
          <w:rFonts w:ascii="Amiri" w:hAnsi="Amiri" w:eastAsia="Amiri" w:cs="Amiri"/>
          <w:color w:val="111111"/>
          <w:sz w:val="28"/>
          <w:sz w:val="28"/>
          <w:szCs w:val="28"/>
          <w:rtl w:val="true"/>
          <w:lang w:bidi="ar-SA"/>
        </w:rPr>
        <w:t>النُّصرةِ ، أو المُتوسِّطِ</w:t>
      </w:r>
      <w:r>
        <w:rPr>
          <w:rStyle w:val="FootnoteAnchor"/>
          <w:rtl w:val="true"/>
        </w:rPr>
        <w:footnoteReference w:id="881"/>
      </w:r>
      <w:r>
        <w:rPr>
          <w:rFonts w:ascii="Amiri" w:hAnsi="Amiri" w:eastAsia="Amiri" w:cs="Amiri"/>
          <w:color w:val="111111"/>
          <w:sz w:val="28"/>
          <w:sz w:val="28"/>
          <w:szCs w:val="28"/>
          <w:rtl w:val="true"/>
          <w:lang w:bidi="ar-SA"/>
        </w:rPr>
        <w:t xml:space="preserve">فيها؛ ألا تَرىٰ أنّ أحَدَ المُلوكِ لَو تَهَدَّدَ بعضَ أعدائه ممّن يُنازِعُه سُلطانَه و يَطلُبُ مَكانَه،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تَطمَعوا فِيَّ ، و</w:t>
      </w:r>
      <w:r>
        <w:rPr>
          <w:rStyle w:val="FootnoteAnchor"/>
          <w:rtl w:val="true"/>
        </w:rPr>
        <w:footnoteReference w:id="882"/>
      </w:r>
      <w:r>
        <w:rPr>
          <w:rFonts w:ascii="Amiri" w:hAnsi="Amiri" w:eastAsia="Amiri" w:cs="Amiri"/>
          <w:color w:val="111111"/>
          <w:sz w:val="28"/>
          <w:sz w:val="28"/>
          <w:szCs w:val="28"/>
          <w:rtl w:val="true"/>
          <w:lang w:bidi="ar-SA"/>
        </w:rPr>
        <w:t>لا تُحدِّثوا نُفوسَكم</w:t>
      </w:r>
      <w:r>
        <w:rPr>
          <w:rStyle w:val="FootnoteAnchor"/>
          <w:rtl w:val="true"/>
        </w:rPr>
        <w:footnoteReference w:id="883"/>
      </w:r>
      <w:r>
        <w:rPr>
          <w:rFonts w:ascii="Amiri" w:hAnsi="Amiri" w:eastAsia="Amiri" w:cs="Amiri"/>
          <w:color w:val="111111"/>
          <w:sz w:val="28"/>
          <w:sz w:val="28"/>
          <w:szCs w:val="28"/>
          <w:rtl w:val="true"/>
          <w:lang w:bidi="ar-SA"/>
        </w:rPr>
        <w:t>بمُغالَبتي؛ فإنّ مَعي مِن أنصاري فُلاناً و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يَحسُنُ أن يُدخِلَ في كلامِه إلّامَن هو الغايةُ في النُّصرةِ ، و المشهورُ بالشَّجاعةِ و حُسنِ المُدافَعةِ؟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حَكاه عن أبي مُسلِمٍ مِن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Style w:val="FootnoteAnchor"/>
          <w:rtl w:val="true"/>
        </w:rPr>
        <w:footnoteReference w:id="884"/>
      </w:r>
      <w:r>
        <w:rPr>
          <w:rFonts w:ascii="Amiri" w:hAnsi="Amiri" w:eastAsia="Amiri" w:cs="Amiri"/>
          <w:color w:val="111111"/>
          <w:sz w:val="28"/>
          <w:sz w:val="28"/>
          <w:szCs w:val="28"/>
          <w:rtl w:val="true"/>
          <w:lang w:bidi="ar-SA"/>
        </w:rPr>
        <w:t>، و سَقَطَت الواوُ</w:t>
      </w:r>
      <w:r>
        <w:rPr>
          <w:rStyle w:val="FootnoteAnchor"/>
          <w:rtl w:val="true"/>
        </w:rPr>
        <w:footnoteReference w:id="885"/>
      </w:r>
      <w:r>
        <w:rPr>
          <w:rFonts w:ascii="Amiri" w:hAnsi="Amiri" w:eastAsia="Amiri" w:cs="Amiri"/>
          <w:color w:val="111111"/>
          <w:sz w:val="28"/>
          <w:sz w:val="28"/>
          <w:szCs w:val="28"/>
          <w:rtl w:val="true"/>
          <w:lang w:bidi="ar-SA"/>
        </w:rPr>
        <w:t>كما سَقَطَت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يَدْعُ الدّٰاعِ إِلىٰ شَيْ ءٍ نُكُرٍ</w:t>
      </w:r>
      <w:r>
        <w:rPr>
          <w:rFonts w:eastAsia="Amiri" w:cs="Amiri" w:ascii="Amiri" w:hAnsi="Amiri"/>
          <w:color w:val="111111"/>
          <w:sz w:val="28"/>
          <w:szCs w:val="28"/>
          <w:rtl w:val="true"/>
          <w:lang w:bidi="ar-SA"/>
        </w:rPr>
        <w:t>)</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bookmarkStart w:id="204" w:name="pg20017_202455"/>
    </w:p>
    <w:p>
      <w:pPr>
        <w:pStyle w:val="BookText"/>
        <w:rPr/>
      </w:pPr>
      <w:bookmarkEnd w:id="204"/>
      <w:r>
        <w:rPr>
          <w:rFonts w:ascii="Amiri" w:hAnsi="Amiri" w:eastAsia="Amiri" w:cs="Amiri"/>
          <w:color w:val="111111"/>
          <w:sz w:val="28"/>
          <w:sz w:val="28"/>
          <w:szCs w:val="28"/>
          <w:rtl w:val="true"/>
          <w:lang w:bidi="ar-SA"/>
        </w:rPr>
        <w:t xml:space="preserve">قاله جائزٌ غيرُ مُمتَنِعٍ ، و جائزٌ أيضاً أن يُريدَ بصالحِ المؤمنينَ الجَمعَ </w:t>
      </w:r>
      <w:r>
        <w:rPr>
          <w:rStyle w:val="FootnoteAnchor"/>
          <w:rtl w:val="true"/>
        </w:rPr>
        <w:footnoteReference w:id="887"/>
      </w:r>
      <w:r>
        <w:rPr>
          <w:rFonts w:ascii="Amiri" w:hAnsi="Amiri" w:eastAsia="Amiri" w:cs="Amiri"/>
          <w:color w:val="111111"/>
          <w:sz w:val="28"/>
          <w:sz w:val="28"/>
          <w:szCs w:val="28"/>
          <w:rtl w:val="true"/>
          <w:lang w:bidi="ar-SA"/>
        </w:rPr>
        <w:t xml:space="preserve">و إن كانَ أتىٰ بلفظِ الواحدِ؛ غيرَ أنّ العملَ بالروايةِ </w:t>
      </w:r>
      <w:r>
        <w:rPr>
          <w:rStyle w:val="FootnoteAnchor"/>
          <w:rtl w:val="true"/>
        </w:rPr>
        <w:footnoteReference w:id="888"/>
      </w:r>
      <w:r>
        <w:rPr>
          <w:rFonts w:ascii="Amiri" w:hAnsi="Amiri" w:eastAsia="Amiri" w:cs="Amiri"/>
          <w:color w:val="111111"/>
          <w:sz w:val="28"/>
          <w:sz w:val="28"/>
          <w:szCs w:val="28"/>
          <w:rtl w:val="true"/>
          <w:lang w:bidi="ar-SA"/>
        </w:rPr>
        <w:t xml:space="preserve">يَمنَعُ مِن حَملِ الآيةِ علَى الجَمعِ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حكايتُه عن أبي هاشمٍ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الآيةَ لا تَليقُ‌</w:t>
      </w:r>
      <w:r>
        <w:rPr>
          <w:rStyle w:val="FootnoteAnchor"/>
          <w:rtl w:val="true"/>
        </w:rPr>
        <w:footnoteReference w:id="890"/>
      </w:r>
      <w:r>
        <w:rPr>
          <w:rFonts w:ascii="Amiri" w:hAnsi="Amiri" w:eastAsia="Amiri" w:cs="Amiri"/>
          <w:color w:val="111111"/>
          <w:sz w:val="28"/>
          <w:sz w:val="28"/>
          <w:szCs w:val="28"/>
          <w:rtl w:val="true"/>
          <w:lang w:bidi="ar-SA"/>
        </w:rPr>
        <w:t>إلّابالجَمعِ‌؛ لأنّه تَعالىٰ بَيَّنَ لهم</w:t>
      </w:r>
      <w:r>
        <w:rPr>
          <w:rStyle w:val="FootnoteAnchor"/>
          <w:rtl w:val="true"/>
        </w:rPr>
        <w:footnoteReference w:id="891"/>
      </w:r>
      <w:r>
        <w:rPr>
          <w:rFonts w:ascii="Amiri" w:hAnsi="Amiri" w:eastAsia="Amiri" w:cs="Amiri"/>
          <w:color w:val="111111"/>
          <w:sz w:val="28"/>
          <w:sz w:val="28"/>
          <w:szCs w:val="28"/>
          <w:rtl w:val="true"/>
          <w:lang w:bidi="ar-SA"/>
        </w:rPr>
        <w:t>حالَ الرسولِ بنُصرةِ الغَيرِ و مُظاهَرتِه، فلا بُدَّ مِن أن يَذكُرَ</w:t>
      </w:r>
      <w:r>
        <w:rPr>
          <w:rStyle w:val="FootnoteAnchor"/>
          <w:rtl w:val="true"/>
        </w:rPr>
        <w:footnoteReference w:id="892"/>
      </w:r>
      <w:r>
        <w:rPr>
          <w:rFonts w:ascii="Amiri" w:hAnsi="Amiri" w:eastAsia="Amiri" w:cs="Amiri"/>
          <w:color w:val="111111"/>
          <w:sz w:val="28"/>
          <w:sz w:val="28"/>
          <w:szCs w:val="28"/>
          <w:rtl w:val="true"/>
          <w:lang w:bidi="ar-SA"/>
        </w:rPr>
        <w:t>الجَمعَ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فتَوهُّمٌ منه طَريفٌ‌؛ لأنّ المخصوصَ بالذِّكرِ إذا كانَ أعظَمَ شأناً في النُّصرةِ و أظهَرَ حالاً في العَناءِ‌</w:t>
      </w:r>
      <w:r>
        <w:rPr>
          <w:rStyle w:val="FootnoteAnchor"/>
          <w:rtl w:val="true"/>
        </w:rPr>
        <w:footnoteReference w:id="893"/>
      </w:r>
      <w:r>
        <w:rPr>
          <w:rFonts w:ascii="Amiri" w:hAnsi="Amiri" w:eastAsia="Amiri" w:cs="Amiri"/>
          <w:color w:val="111111"/>
          <w:sz w:val="28"/>
          <w:sz w:val="28"/>
          <w:szCs w:val="28"/>
          <w:rtl w:val="true"/>
          <w:lang w:bidi="ar-SA"/>
        </w:rPr>
        <w:t>و صِدقِ اللِّقاءِ‌، كانَ تخصيصُه أَولىٰ بالحالِ مِن ذِكرِ الجَمعِ الذي لَيسَت له</w:t>
      </w:r>
      <w:r>
        <w:rPr>
          <w:rStyle w:val="FootnoteAnchor"/>
          <w:rtl w:val="true"/>
        </w:rPr>
        <w:footnoteReference w:id="894"/>
      </w:r>
      <w:r>
        <w:rPr>
          <w:rFonts w:ascii="Amiri" w:hAnsi="Amiri" w:eastAsia="Amiri" w:cs="Amiri"/>
          <w:color w:val="111111"/>
          <w:sz w:val="28"/>
          <w:sz w:val="28"/>
          <w:szCs w:val="28"/>
          <w:rtl w:val="true"/>
          <w:lang w:bidi="ar-SA"/>
        </w:rPr>
        <w:t xml:space="preserve">هذه المنزلةُ ، فكانَ </w:t>
      </w:r>
      <w:r>
        <w:rPr>
          <w:rStyle w:val="FootnoteAnchor"/>
          <w:rtl w:val="true"/>
        </w:rPr>
        <w:footnoteReference w:id="895"/>
      </w:r>
      <w:r>
        <w:rPr>
          <w:rFonts w:ascii="Amiri" w:hAnsi="Amiri" w:eastAsia="Amiri" w:cs="Amiri"/>
          <w:color w:val="111111"/>
          <w:sz w:val="28"/>
          <w:sz w:val="28"/>
          <w:szCs w:val="28"/>
          <w:rtl w:val="true"/>
          <w:lang w:bidi="ar-SA"/>
        </w:rPr>
        <w:t xml:space="preserve">ذِكرُ الأفضَلِ في النُّصرةِ و الأشهَرِ بها أليَقَ بمِثلِ هذا الكلامِ </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964135_2320776876"/>
      <w:bookmarkStart w:id="206" w:name="_Toc71"/>
      <w:bookmarkEnd w:id="205"/>
      <w:r>
        <w:rPr>
          <w:rtl w:val="true"/>
        </w:rPr>
        <w:t xml:space="preserve">دلالة </w:t>
      </w:r>
      <w:r>
        <w:rPr>
          <w:rtl w:val="true"/>
        </w:rPr>
        <w:t>(</w:t>
      </w:r>
      <w:r>
        <w:rPr>
          <w:rtl w:val="true"/>
        </w:rPr>
        <w:t xml:space="preserve">وَ صٰالِحُ الْمُؤْمِنِينَ </w:t>
      </w:r>
      <w:r>
        <w:rPr>
          <w:rtl w:val="true"/>
        </w:rPr>
        <w:t xml:space="preserve">) </w:t>
      </w:r>
      <w:r>
        <w:rPr>
          <w:rtl w:val="true"/>
        </w:rPr>
        <w:t>علىٰ أنّ أمير المؤمنين عليه السلام أصلح القوم</w:t>
      </w:r>
      <w:bookmarkEnd w:id="206"/>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تَعلَّقوا بهذه الآيةِ مِن وجهٍ آخَرَ،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w:t>
      </w:r>
      <w:r>
        <w:rPr>
          <w:rStyle w:val="FootnoteAnchor"/>
          <w:rtl w:val="true"/>
        </w:rPr>
        <w:footnoteReference w:id="896"/>
      </w:r>
      <w:r>
        <w:rPr>
          <w:rFonts w:ascii="Amiri" w:hAnsi="Amiri" w:eastAsia="Amiri" w:cs="Amiri"/>
          <w:color w:val="111111"/>
          <w:sz w:val="28"/>
          <w:sz w:val="28"/>
          <w:szCs w:val="28"/>
          <w:rtl w:val="true"/>
          <w:lang w:bidi="ar-SA"/>
        </w:rPr>
        <w:t>علىٰ أنّه الأفضَلُ‌؛ لتخصيصِه بالذِّكرِ</w:t>
      </w:r>
      <w:r>
        <w:rPr>
          <w:rStyle w:val="FootnoteAnchor"/>
          <w:rtl w:val="true"/>
        </w:rPr>
        <w:footnoteReference w:id="897"/>
      </w:r>
      <w:r>
        <w:rPr>
          <w:rFonts w:ascii="Amiri" w:hAnsi="Amiri" w:eastAsia="Amiri" w:cs="Amiri"/>
          <w:color w:val="111111"/>
          <w:sz w:val="28"/>
          <w:sz w:val="28"/>
          <w:szCs w:val="28"/>
          <w:rtl w:val="true"/>
          <w:lang w:bidi="ar-SA"/>
        </w:rPr>
        <w:t xml:space="preserve">، و لأنّه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بمعنَى الأصلَحِ مِن جَماعتِهم، فإذا</w:t>
      </w:r>
      <w:r>
        <w:rPr>
          <w:rStyle w:val="FootnoteAnchor"/>
          <w:rtl w:val="true"/>
        </w:rPr>
        <w:footnoteReference w:id="898"/>
      </w:r>
      <w:r>
        <w:rPr>
          <w:rFonts w:ascii="Amiri" w:hAnsi="Amiri" w:eastAsia="Amiri" w:cs="Amiri"/>
          <w:color w:val="111111"/>
          <w:sz w:val="28"/>
          <w:sz w:val="28"/>
          <w:szCs w:val="28"/>
          <w:rtl w:val="true"/>
          <w:lang w:bidi="ar-SA"/>
        </w:rPr>
        <w:t xml:space="preserve">كانَ الأفضَلُ أحَقَّ بالإمامةِ‌ </w:t>
      </w:r>
    </w:p>
    <w:p>
      <w:pPr>
        <w:pStyle w:val="BookText"/>
        <w:rPr/>
      </w:pPr>
      <w:r>
        <w:rPr>
          <w:rFonts w:ascii="Amiri" w:hAnsi="Amiri" w:eastAsia="Amiri" w:cs="Amiri"/>
          <w:color w:val="111111"/>
          <w:sz w:val="28"/>
          <w:sz w:val="28"/>
          <w:szCs w:val="28"/>
          <w:rtl w:val="true"/>
          <w:lang w:bidi="ar-SA"/>
        </w:rPr>
        <w:t>فيَجِبُ‌</w:t>
      </w:r>
      <w:r>
        <w:rPr>
          <w:rStyle w:val="FootnoteAnchor"/>
          <w:rtl w:val="true"/>
        </w:rPr>
        <w:footnoteReference w:id="899"/>
      </w:r>
      <w:r>
        <w:rPr>
          <w:rFonts w:ascii="Amiri" w:hAnsi="Amiri" w:eastAsia="Amiri" w:cs="Amiri"/>
          <w:color w:val="111111"/>
          <w:sz w:val="28"/>
          <w:sz w:val="28"/>
          <w:szCs w:val="28"/>
          <w:rtl w:val="true"/>
          <w:lang w:bidi="ar-SA"/>
        </w:rPr>
        <w:t>أن يَكونَ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نُبيِّنُ مِن بَعدُ أنّ الأفضَلَ لَيسَ بأَولىٰ بالإمامةِ‌، و أنّه</w:t>
      </w:r>
      <w:r>
        <w:rPr>
          <w:rStyle w:val="FootnoteAnchor"/>
          <w:rtl w:val="true"/>
        </w:rPr>
        <w:footnoteReference w:id="900"/>
      </w:r>
      <w:r>
        <w:rPr>
          <w:rFonts w:ascii="Amiri" w:hAnsi="Amiri" w:eastAsia="Amiri" w:cs="Amiri"/>
          <w:color w:val="111111"/>
          <w:sz w:val="28"/>
          <w:sz w:val="28"/>
          <w:szCs w:val="28"/>
          <w:rtl w:val="true"/>
          <w:lang w:bidi="ar-SA"/>
        </w:rPr>
        <w:t>لا يَمتَنِعُ العُدولُ عنه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أنّه أصلَحُهم و أفضَلُهم، و إنّما يَدُلُّ علىٰ أنّه صالحٌ‌، و أنّه ظاهرُ الصلاحِ‌، فهو بمَنزِلةِ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فُلانٌ شُجاعُ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شَجاعتُه فيهم، و إن لَم يَكُن بأشجَعِهم؛ فلا اللُّغةُ تَقتَضي ذلكَ و لا التعارُفُ ، و إن كُنّا قد بيّنّا أنّ تسليمَ ذلكَ لا يوجِبُ ما قالوه، و بيّنّا أنّ الآيةَ لا تَدُلُّ علىٰ أنّه المُرادُ به دونَ غيرِه، و لا الرواياتُ المَرويّةُ في ذلكَ مُتَواتِرةٌ فيُقطَعَ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ذِكرُ هذه الآيةِ في بابِ الفاضلِ و المفضولِ أَولىٰ مِن ذِكرِها في بابِ النصِّ علَى الإمامةِ </w:t>
      </w:r>
      <w:r>
        <w:rPr>
          <w:rFonts w:eastAsia="Amiri" w:cs="Amiri" w:ascii="Amiri" w:hAnsi="Amiri"/>
          <w:color w:val="111111"/>
          <w:sz w:val="28"/>
          <w:szCs w:val="28"/>
          <w:rtl w:val="true"/>
          <w:lang w:bidi="ar-SA"/>
        </w:rPr>
        <w:t>].</w:t>
      </w:r>
      <w:r>
        <w:rPr>
          <w:rStyle w:val="FootnoteAnchor"/>
          <w:rtl w:val="true"/>
        </w:rPr>
        <w:footnoteReference w:id="90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التخصيصُ بالذِّكرِ فيُفيدُ ما قَدَّمناه مِن التقَدُّمِ في النُّصرةِ‌</w:t>
      </w:r>
      <w:r>
        <w:rPr>
          <w:rStyle w:val="FootnoteAnchor"/>
          <w:rtl w:val="true"/>
        </w:rPr>
        <w:footnoteReference w:id="902"/>
      </w:r>
      <w:r>
        <w:rPr>
          <w:rFonts w:ascii="Amiri" w:hAnsi="Amiri" w:eastAsia="Amiri" w:cs="Amiri"/>
          <w:color w:val="111111"/>
          <w:sz w:val="28"/>
          <w:sz w:val="28"/>
          <w:szCs w:val="28"/>
          <w:rtl w:val="true"/>
          <w:lang w:bidi="ar-SA"/>
        </w:rPr>
        <w:t xml:space="preserve">لكُلِّ أحَدٍ، و لَم نَرَكَ أبطَلتَ ذلكَ بشَيءٍ‌، و إنّما تَكلَّمتَ علَى الأصلَحِ‌، و الظاهرُ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كَونَه أصلَحَ مِن جميعِهم بدَلالةِ العُرفِ و الاستعمالِ ؛ لأنّ أحَدَنا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عالِمُ قومِه، و زاهدُ أهلِ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يُفهَمْ مِن كلامِه إلّاكَونُه أعلَمَهم و أزهَدَهم</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أيضاً بصحّةِ‌</w:t>
      </w:r>
      <w:r>
        <w:rPr>
          <w:rStyle w:val="FootnoteAnchor"/>
          <w:rtl w:val="true"/>
        </w:rPr>
        <w:footnoteReference w:id="903"/>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ما رُويَ عن أبي عَمرِو بنِ العَلاءِ‌</w:t>
      </w:r>
      <w:r>
        <w:rPr>
          <w:rStyle w:val="FootnoteAnchor"/>
          <w:rtl w:val="true"/>
        </w:rPr>
        <w:footnoteReference w:id="905"/>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أَوسُ بنُ حَجَرٍ</w:t>
      </w:r>
      <w:r>
        <w:rPr>
          <w:rStyle w:val="FootnoteAnchor"/>
          <w:rtl w:val="true"/>
        </w:rPr>
        <w:footnoteReference w:id="906"/>
      </w:r>
      <w:r>
        <w:rPr>
          <w:rFonts w:ascii="Amiri" w:hAnsi="Amiri" w:eastAsia="Amiri" w:cs="Amiri"/>
          <w:color w:val="111111"/>
          <w:sz w:val="28"/>
          <w:sz w:val="28"/>
          <w:szCs w:val="28"/>
          <w:rtl w:val="true"/>
          <w:lang w:bidi="ar-SA"/>
        </w:rPr>
        <w:t>شاعرَ مُضَرٍ، حتّىٰ نَشأَ النابغةُ‌</w:t>
      </w:r>
      <w:r>
        <w:rPr>
          <w:rStyle w:val="FootnoteAnchor"/>
          <w:rtl w:val="true"/>
        </w:rPr>
        <w:footnoteReference w:id="907"/>
      </w:r>
      <w:r>
        <w:rPr>
          <w:rFonts w:ascii="Amiri" w:hAnsi="Amiri" w:eastAsia="Amiri" w:cs="Amiri"/>
          <w:color w:val="111111"/>
          <w:sz w:val="28"/>
          <w:sz w:val="28"/>
          <w:szCs w:val="28"/>
          <w:rtl w:val="true"/>
          <w:lang w:bidi="ar-SA"/>
        </w:rPr>
        <w:t>و زُهَيرٌ</w:t>
      </w:r>
      <w:r>
        <w:rPr>
          <w:rStyle w:val="FootnoteAnchor"/>
          <w:rtl w:val="true"/>
        </w:rPr>
        <w:footnoteReference w:id="908"/>
      </w:r>
      <w:r>
        <w:rPr>
          <w:rFonts w:ascii="Amiri" w:hAnsi="Amiri" w:eastAsia="Amiri" w:cs="Amiri"/>
          <w:color w:val="111111"/>
          <w:sz w:val="28"/>
          <w:sz w:val="28"/>
          <w:szCs w:val="28"/>
          <w:rtl w:val="true"/>
          <w:lang w:bidi="ar-SA"/>
        </w:rPr>
        <w:t>فطَأطَئا</w:t>
      </w:r>
      <w:r>
        <w:rPr>
          <w:rStyle w:val="FootnoteAnchor"/>
          <w:rtl w:val="true"/>
        </w:rPr>
        <w:footnoteReference w:id="909"/>
      </w:r>
      <w:r>
        <w:rPr>
          <w:rFonts w:ascii="IRNazanin" w:hAnsi="IRNazanin" w:eastAsia="IRNazanin"/>
          <w:color w:val="111111"/>
          <w:sz w:val="28"/>
          <w:sz w:val="28"/>
          <w:szCs w:val="28"/>
          <w:rtl w:val="true"/>
          <w:lang w:bidi="fa-IR"/>
        </w:rPr>
        <w:t xml:space="preserve">منه، فهو شاعرُ </w:t>
      </w:r>
    </w:p>
    <w:p>
      <w:pPr>
        <w:pStyle w:val="BookText"/>
        <w:rPr/>
      </w:pPr>
      <w:r>
        <w:rPr>
          <w:rFonts w:ascii="Amiri" w:hAnsi="Amiri" w:eastAsia="Amiri" w:cs="Amiri"/>
          <w:color w:val="111111"/>
          <w:sz w:val="28"/>
          <w:sz w:val="28"/>
          <w:szCs w:val="28"/>
          <w:rtl w:val="true"/>
          <w:lang w:bidi="ar-SA"/>
        </w:rPr>
        <w:t>تَميمٍ في الجاهِليّةِ غيرَ مُدافَعٍ‌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أرادَ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ذَكَرَه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شُجاعُ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جارٍ مَجرىٰ ما ذَكرناه؛ لأنّه لا يُفهَمُ منه إلّاأنّه</w:t>
      </w:r>
      <w:r>
        <w:rPr>
          <w:rStyle w:val="FootnoteAnchor"/>
          <w:rtl w:val="true"/>
        </w:rPr>
        <w:footnoteReference w:id="910"/>
      </w:r>
      <w:r>
        <w:rPr>
          <w:rFonts w:ascii="Amiri" w:hAnsi="Amiri" w:eastAsia="Amiri" w:cs="Amiri"/>
          <w:color w:val="111111"/>
          <w:sz w:val="28"/>
          <w:sz w:val="28"/>
          <w:szCs w:val="28"/>
          <w:rtl w:val="true"/>
          <w:lang w:bidi="ar-SA"/>
        </w:rPr>
        <w:t>أشجَعُهم؛ ألا يَعلَمُ أنّه لا يُقالُ في كُلِّ‌</w:t>
      </w:r>
      <w:r>
        <w:rPr>
          <w:rStyle w:val="FootnoteAnchor"/>
          <w:rtl w:val="true"/>
        </w:rPr>
        <w:footnoteReference w:id="911"/>
      </w:r>
      <w:r>
        <w:rPr>
          <w:rFonts w:ascii="Amiri" w:hAnsi="Amiri" w:eastAsia="Amiri" w:cs="Amiri"/>
          <w:color w:val="111111"/>
          <w:sz w:val="28"/>
          <w:sz w:val="28"/>
          <w:szCs w:val="28"/>
          <w:rtl w:val="true"/>
          <w:lang w:bidi="ar-SA"/>
        </w:rPr>
        <w:t>واحدٍ مِن القومِ إذا ظَهَرَت منه شَجاعةٌ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شُجاعُ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قد دَلَّلنا علىٰ أنّ الأفضَلَ أحَقُّ بالإمامةِ‌، و أنّها لا تَجوزُ للمفضولِ‌، فيما تَقدَّمَ‌</w:t>
      </w:r>
      <w:r>
        <w:rPr>
          <w:rFonts w:eastAsia="Amiri" w:cs="Amiri" w:ascii="Amiri" w:hAnsi="Amiri"/>
          <w:color w:val="111111"/>
          <w:sz w:val="28"/>
          <w:szCs w:val="28"/>
          <w:rtl w:val="true"/>
          <w:lang w:bidi="ar-SA"/>
        </w:rPr>
        <w:t>.</w:t>
      </w:r>
      <w:r>
        <w:rPr>
          <w:rStyle w:val="FootnoteAnchor"/>
          <w:rtl w:val="true"/>
        </w:rPr>
        <w:footnoteReference w:id="91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الواردةُ بنُزولِ الآيةِ في أميرِ المؤمنينَ عليه السلامُ و إن لَم تَكُن مُتَواتِرةً ، فهي ممّا ظَهَرَ نَقلُه بَينَ أصحابِ الحديثِ خاصّتِهم و عامّتِهم، و ما له هذا الحُكمُ مِن الروايةِ يَجِبُ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الشيعةَ مُجمِعةٌ علىٰ تَوجُّهِ الآيةِ </w:t>
      </w:r>
      <w:r>
        <w:rPr>
          <w:rStyle w:val="FootnoteAnchor"/>
          <w:rtl w:val="true"/>
        </w:rPr>
        <w:footnoteReference w:id="913"/>
      </w:r>
      <w:r>
        <w:rPr>
          <w:rFonts w:ascii="Amiri" w:hAnsi="Amiri" w:eastAsia="Amiri" w:cs="Amiri"/>
          <w:color w:val="111111"/>
          <w:sz w:val="28"/>
          <w:sz w:val="28"/>
          <w:szCs w:val="28"/>
          <w:rtl w:val="true"/>
          <w:lang w:bidi="ar-SA"/>
        </w:rPr>
        <w:t xml:space="preserve">إلىٰ أميرِ المؤمنينَ عليه السلامُ و اختصاصِه بها، و إجماعُهم حُجّةٌ </w:t>
      </w:r>
      <w:r>
        <w:rPr>
          <w:rFonts w:eastAsia="Amiri" w:cs="Amiri" w:ascii="Amiri" w:hAnsi="Amiri"/>
          <w:color w:val="111111"/>
          <w:sz w:val="28"/>
          <w:szCs w:val="28"/>
          <w:rtl w:val="true"/>
          <w:lang w:bidi="ar-SA"/>
        </w:rPr>
        <w:t xml:space="preserve">. </w:t>
      </w:r>
      <w:bookmarkStart w:id="207" w:name="pg20017_202459"/>
    </w:p>
    <w:p>
      <w:pPr>
        <w:pStyle w:val="Heading4"/>
        <w:numPr>
          <w:ilvl w:val="3"/>
          <w:numId w:val="1"/>
        </w:numPr>
        <w:rPr/>
      </w:pPr>
      <w:bookmarkStart w:id="208" w:name="__RefHeading___Toc964137_2320776876"/>
      <w:bookmarkStart w:id="209" w:name="_Toc72"/>
      <w:bookmarkEnd w:id="207"/>
      <w:bookmarkEnd w:id="208"/>
      <w:r>
        <w:rPr>
          <w:rtl w:val="true"/>
        </w:rPr>
        <w:t>الدليل السادس آية المُباهَلة</w:t>
      </w:r>
      <w:bookmarkEnd w:id="209"/>
    </w:p>
    <w:p>
      <w:pPr>
        <w:pStyle w:val="Heading5"/>
        <w:numPr>
          <w:ilvl w:val="4"/>
          <w:numId w:val="1"/>
        </w:numPr>
        <w:rPr/>
      </w:pPr>
      <w:bookmarkStart w:id="210" w:name="__RefHeading___Toc964139_2320776876"/>
      <w:bookmarkStart w:id="211" w:name="_Toc73"/>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لهم آخَرُ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تَعلَّقوا بآيةِ المُباهَلةِ‌</w:t>
      </w:r>
      <w:r>
        <w:rPr>
          <w:rStyle w:val="FootnoteAnchor"/>
          <w:rtl w:val="true"/>
        </w:rPr>
        <w:footnoteReference w:id="914"/>
      </w:r>
      <w:r>
        <w:rPr>
          <w:rFonts w:ascii="Amiri" w:hAnsi="Amiri" w:eastAsia="Amiri" w:cs="Amiri"/>
          <w:color w:val="111111"/>
          <w:sz w:val="28"/>
          <w:sz w:val="28"/>
          <w:szCs w:val="28"/>
          <w:rtl w:val="true"/>
          <w:lang w:bidi="ar-SA"/>
        </w:rPr>
        <w:t>و أنّها لمّا نَزَلَت جَمَعَ النبيُّ‌</w:t>
      </w:r>
      <w:r>
        <w:rPr>
          <w:rStyle w:val="FootnoteAnchor"/>
          <w:rtl w:val="true"/>
        </w:rPr>
        <w:footnoteReference w:id="915"/>
      </w:r>
      <w:r>
        <w:rPr>
          <w:rFonts w:ascii="Amiri" w:hAnsi="Amiri" w:eastAsia="Amiri" w:cs="Amiri"/>
          <w:color w:val="111111"/>
          <w:sz w:val="28"/>
          <w:sz w:val="28"/>
          <w:szCs w:val="28"/>
          <w:rtl w:val="true"/>
          <w:lang w:bidi="ar-SA"/>
        </w:rPr>
        <w:t>عليه السلامُ‌</w:t>
      </w:r>
      <w:r>
        <w:rPr>
          <w:rStyle w:val="FootnoteAnchor"/>
          <w:rtl w:val="true"/>
        </w:rPr>
        <w:footnoteReference w:id="916"/>
      </w:r>
      <w:r>
        <w:rPr>
          <w:rFonts w:ascii="Amiri" w:hAnsi="Amiri" w:eastAsia="Amiri" w:cs="Amiri"/>
          <w:color w:val="111111"/>
          <w:sz w:val="28"/>
          <w:sz w:val="28"/>
          <w:szCs w:val="28"/>
          <w:rtl w:val="true"/>
          <w:lang w:bidi="ar-SA"/>
        </w:rPr>
        <w:t>عليّاً و فاطمةَ و الحَسَنَ و الحُسَينَ عليهم السلام</w:t>
      </w:r>
      <w:r>
        <w:rPr>
          <w:rStyle w:val="FootnoteAnchor"/>
          <w:rtl w:val="true"/>
        </w:rPr>
        <w:footnoteReference w:id="917"/>
      </w:r>
      <w:r>
        <w:rPr>
          <w:rFonts w:ascii="Amiri" w:hAnsi="Amiri" w:eastAsia="Amiri" w:cs="Amiri"/>
          <w:color w:val="111111"/>
          <w:sz w:val="28"/>
          <w:sz w:val="28"/>
          <w:szCs w:val="28"/>
          <w:rtl w:val="true"/>
          <w:lang w:bidi="ar-SA"/>
        </w:rPr>
        <w:t>، و أنّ ذلكَ يَدُلُّ علىٰ أنّه الأفضَلُ‌، و ذلكَ يَقتَضي أنّه بالإمامةِ أحَقُّ‌، و لا بُدَّ مِن أن يَكونَ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 xml:space="preserve">لأنّه عليه السلامُ لا يَدخُلُ تَحتَ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w:t>
      </w:r>
      <w:r>
        <w:rPr>
          <w:rStyle w:val="FootnoteAnchor"/>
          <w:rtl w:val="true"/>
        </w:rPr>
        <w:footnoteReference w:id="919"/>
      </w:r>
      <w:r>
        <w:rPr>
          <w:rFonts w:ascii="Amiri" w:hAnsi="Amiri" w:eastAsia="Amiri" w:cs="Amiri"/>
          <w:color w:val="111111"/>
          <w:sz w:val="28"/>
          <w:sz w:val="28"/>
          <w:szCs w:val="28"/>
          <w:rtl w:val="true"/>
          <w:lang w:bidi="ar-SA"/>
        </w:rPr>
        <w:t xml:space="preserve">وَ أَبْنٰاءَكُمْ وَ نِسٰاءَنٰا وَ نِسٰاءَكُمْ </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فيَجِبُ أن يَكونَ داخلاً تَحتَ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أَنْفُسَنٰا وَ أَنْفُسَكُمْ </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 xml:space="preserve">، و لا يَجوزُ أن يَجعَلَه مِن </w:t>
      </w:r>
    </w:p>
    <w:p>
      <w:pPr>
        <w:pStyle w:val="BookText"/>
        <w:rPr/>
      </w:pPr>
      <w:r>
        <w:rPr>
          <w:rFonts w:ascii="Amiri" w:hAnsi="Amiri" w:eastAsia="Amiri" w:cs="Amiri"/>
          <w:color w:val="111111"/>
          <w:sz w:val="28"/>
          <w:sz w:val="28"/>
          <w:szCs w:val="28"/>
          <w:rtl w:val="true"/>
          <w:lang w:bidi="ar-SA"/>
        </w:rPr>
        <w:t>نفسِه إلّاو هو يَتلوه في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مِثلُ الأوّلِ‌</w:t>
      </w:r>
      <w:r>
        <w:rPr>
          <w:rStyle w:val="FootnoteAnchor"/>
          <w:rtl w:val="true"/>
        </w:rPr>
        <w:footnoteReference w:id="922"/>
      </w:r>
      <w:r>
        <w:rPr>
          <w:rFonts w:ascii="Amiri" w:hAnsi="Amiri" w:eastAsia="Amiri" w:cs="Amiri"/>
          <w:color w:val="111111"/>
          <w:sz w:val="28"/>
          <w:sz w:val="28"/>
          <w:szCs w:val="28"/>
          <w:rtl w:val="true"/>
          <w:lang w:bidi="ar-SA"/>
        </w:rPr>
        <w:t>في</w:t>
      </w:r>
      <w:r>
        <w:rPr>
          <w:rStyle w:val="FootnoteAnchor"/>
          <w:rtl w:val="true"/>
        </w:rPr>
        <w:footnoteReference w:id="923"/>
      </w:r>
      <w:r>
        <w:rPr>
          <w:rFonts w:ascii="Amiri" w:hAnsi="Amiri" w:eastAsia="Amiri" w:cs="Amiri"/>
          <w:color w:val="111111"/>
          <w:sz w:val="28"/>
          <w:sz w:val="28"/>
          <w:szCs w:val="28"/>
          <w:rtl w:val="true"/>
          <w:lang w:bidi="ar-SA"/>
        </w:rPr>
        <w:t>أنّه كلامٌ في التفضيلِ‌، و نَحنُ نُبيِّنُ أنّ الإمامةَ قد</w:t>
      </w:r>
      <w:r>
        <w:rPr>
          <w:rStyle w:val="FootnoteAnchor"/>
          <w:rtl w:val="true"/>
        </w:rPr>
        <w:footnoteReference w:id="924"/>
      </w:r>
      <w:r>
        <w:rPr>
          <w:rFonts w:ascii="Amiri" w:hAnsi="Amiri" w:eastAsia="Amiri" w:cs="Amiri"/>
          <w:color w:val="111111"/>
          <w:sz w:val="28"/>
          <w:sz w:val="28"/>
          <w:szCs w:val="28"/>
          <w:rtl w:val="true"/>
          <w:lang w:bidi="ar-SA"/>
        </w:rPr>
        <w:t>تَكونُ فيمن لَيسَ بأفضَلَ‌، و في شُيوخِنا مَن ذَكَرَ عن أصحابِ الآثارِ أنّ عليّاً عليه السلامُ لَم يَكُن في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أبو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خَصَّصَ‌</w:t>
      </w:r>
      <w:r>
        <w:rPr>
          <w:rStyle w:val="FootnoteAnchor"/>
          <w:rtl w:val="true"/>
        </w:rPr>
        <w:footnoteReference w:id="925"/>
      </w:r>
      <w:r>
        <w:rPr>
          <w:rFonts w:ascii="Amiri" w:hAnsi="Amiri" w:eastAsia="Amiri" w:cs="Amiri"/>
          <w:color w:val="111111"/>
          <w:sz w:val="28"/>
          <w:sz w:val="28"/>
          <w:szCs w:val="28"/>
          <w:rtl w:val="true"/>
          <w:lang w:bidi="ar-SA"/>
        </w:rPr>
        <w:t>صَلّى اللّٰهُ عليه</w:t>
      </w:r>
      <w:r>
        <w:rPr>
          <w:rStyle w:val="FootnoteAnchor"/>
          <w:rtl w:val="true"/>
        </w:rPr>
        <w:footnoteReference w:id="926"/>
      </w:r>
      <w:r>
        <w:rPr>
          <w:rFonts w:ascii="Amiri" w:hAnsi="Amiri" w:eastAsia="Amiri" w:cs="Amiri"/>
          <w:color w:val="111111"/>
          <w:sz w:val="28"/>
          <w:sz w:val="28"/>
          <w:szCs w:val="28"/>
          <w:rtl w:val="true"/>
          <w:lang w:bidi="ar-SA"/>
        </w:rPr>
        <w:t>مَن تَقرَّبَ‌</w:t>
      </w:r>
      <w:r>
        <w:rPr>
          <w:rStyle w:val="FootnoteAnchor"/>
          <w:rtl w:val="true"/>
        </w:rPr>
        <w:footnoteReference w:id="927"/>
      </w:r>
      <w:r>
        <w:rPr>
          <w:rFonts w:ascii="Amiri" w:hAnsi="Amiri" w:eastAsia="Amiri" w:cs="Amiri"/>
          <w:color w:val="111111"/>
          <w:sz w:val="28"/>
          <w:sz w:val="28"/>
          <w:szCs w:val="28"/>
          <w:rtl w:val="true"/>
          <w:lang w:bidi="ar-SA"/>
        </w:rPr>
        <w:t>منه في النسَبِ‌، و لَم يَقصِدِ الإبانةَ عن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دَلَّ علىٰ‌</w:t>
      </w:r>
      <w:r>
        <w:rPr>
          <w:rStyle w:val="FootnoteAnchor"/>
          <w:rtl w:val="true"/>
        </w:rPr>
        <w:footnoteReference w:id="928"/>
      </w:r>
      <w:r>
        <w:rPr>
          <w:rFonts w:ascii="Amiri" w:hAnsi="Amiri" w:eastAsia="Amiri" w:cs="Amiri"/>
          <w:color w:val="111111"/>
          <w:sz w:val="28"/>
          <w:sz w:val="28"/>
          <w:szCs w:val="28"/>
          <w:rtl w:val="true"/>
          <w:lang w:bidi="ar-SA"/>
        </w:rPr>
        <w:t>ذلكَ بأنّه عليه السلامُ أدخَلَ فيها الحَسَنَ و الحُسَينَ عليهما السلام مع صِغَرِهما؛ لِما اختَصّا به مِن قُربِ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هذا المعنىٰ‌؛ لأنّه أرادَ قُربَ القَرابةِ‌، كما يُقالُ في الرجُلِ يَقرُبُ في النسَبِ مِن القومِ‌</w:t>
      </w:r>
      <w:r>
        <w:rPr>
          <w:rStyle w:val="FootnoteAnchor"/>
          <w:rtl w:val="true"/>
        </w:rPr>
        <w:footnoteReference w:id="9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يُنكَرُ أن يَدُلَّ ذلكَ علىٰ لُطفِ مَحَلِّه مِن رسولِ اللّٰهِ صَلّى اللّٰهُ عليه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آلِه</w:t>
      </w:r>
      <w:r>
        <w:rPr>
          <w:rStyle w:val="FootnoteAnchor"/>
          <w:rtl w:val="true"/>
        </w:rPr>
        <w:footnoteReference w:id="930"/>
      </w:r>
      <w:r>
        <w:rPr>
          <w:rFonts w:ascii="Amiri" w:hAnsi="Amiri" w:eastAsia="Amiri" w:cs="Amiri"/>
          <w:color w:val="111111"/>
          <w:sz w:val="28"/>
          <w:sz w:val="28"/>
          <w:szCs w:val="28"/>
          <w:rtl w:val="true"/>
          <w:lang w:bidi="ar-SA"/>
        </w:rPr>
        <w:t xml:space="preserve">، و شِدّةِ مَحبَّتِه له و فَضلِه، و إنّما أنكَرنا أن يَدُلَّ ذلكَ علىٰ أنّه الأفضَلُ ، أو علَى الإمامةِ </w:t>
      </w:r>
      <w:r>
        <w:rPr>
          <w:rFonts w:eastAsia="Amiri" w:cs="Amiri" w:ascii="Amiri" w:hAnsi="Amiri"/>
          <w:color w:val="111111"/>
          <w:sz w:val="28"/>
          <w:szCs w:val="28"/>
          <w:rtl w:val="true"/>
          <w:lang w:bidi="ar-SA"/>
        </w:rPr>
        <w:t>.</w:t>
      </w:r>
      <w:r>
        <w:rPr>
          <w:rStyle w:val="FootnoteAnchor"/>
          <w:rtl w:val="true"/>
        </w:rPr>
        <w:footnoteReference w:id="931"/>
      </w:r>
      <w:bookmarkStart w:id="212" w:name="pg20017_202461"/>
    </w:p>
    <w:p>
      <w:pPr>
        <w:pStyle w:val="Heading5"/>
        <w:numPr>
          <w:ilvl w:val="4"/>
          <w:numId w:val="1"/>
        </w:numPr>
        <w:rPr/>
      </w:pPr>
      <w:bookmarkStart w:id="213" w:name="__RefHeading___Toc964141_2320776876"/>
      <w:bookmarkStart w:id="214" w:name="_Toc74"/>
      <w:bookmarkEnd w:id="212"/>
      <w:bookmarkEnd w:id="213"/>
      <w:r>
        <w:rPr>
          <w:rtl w:val="true"/>
        </w:rPr>
        <w:t>دلالة آية المباهلة على الفضل</w:t>
      </w:r>
      <w:bookmarkEnd w:id="214"/>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دَلالةِ آيةِ المُباهَلةِ علىٰ فَضلِ مَن دُعيَ إليها، و جُعِلَ حُضورُه حُجّةً علَى المُخالِفينَ‌، و اقتضائها تَقدُّمَه علىٰ غيرِه؛ لأنّ النبيَّ صَلّى اللّٰهُ عليه و آلِه لا يَجوزُ أن يَدعُوَ إلىٰ ذلكَ المَقامِ ليَكونَ حُجّةً فيه إلّامَن هو في غايةِ الفَضلِ و عُلوِّ المَنزِلةِ ، و قد تَظاهَرَت الروايةُ بحَديثِ المُباهَلةِ و أنّ النبيَّ صَلّى اللّٰهُ عليه و آلِه دَعا إليها أميرَ المؤمنينَ و فاطمةَ و الحَسَنَ و الحُسَينَ عليهم السلامُ ، و أجمَعَ أهلُ النَّقلِ و أهلُ التفسيرِ علىٰ ذلكَ </w:t>
      </w:r>
      <w:r>
        <w:rPr>
          <w:rFonts w:eastAsia="Amiri" w:cs="Amiri" w:ascii="Amiri" w:hAnsi="Amiri"/>
          <w:color w:val="111111"/>
          <w:sz w:val="28"/>
          <w:szCs w:val="28"/>
          <w:rtl w:val="true"/>
          <w:lang w:bidi="ar-SA"/>
        </w:rPr>
        <w:t>.</w:t>
      </w:r>
      <w:r>
        <w:rPr>
          <w:rStyle w:val="FootnoteAnchor"/>
          <w:rtl w:val="true"/>
        </w:rPr>
        <w:footnoteReference w:id="932"/>
      </w:r>
    </w:p>
    <w:p>
      <w:pPr>
        <w:pStyle w:val="Heading5"/>
        <w:numPr>
          <w:ilvl w:val="4"/>
          <w:numId w:val="1"/>
        </w:numPr>
        <w:rPr/>
      </w:pPr>
      <w:bookmarkStart w:id="215" w:name="__RefHeading___Toc964143_2320776876"/>
      <w:bookmarkStart w:id="216" w:name="_Toc75"/>
      <w:bookmarkEnd w:id="215"/>
      <w:r>
        <w:rPr>
          <w:rtl w:val="true"/>
        </w:rPr>
        <w:t>إثبات دخول أمير المؤمنين عليه السلام في المباهلة</w:t>
      </w:r>
      <w:bookmarkEnd w:id="216"/>
    </w:p>
    <w:p>
      <w:pPr>
        <w:pStyle w:val="BookText"/>
        <w:rPr/>
      </w:pPr>
      <w:r>
        <w:rPr>
          <w:rFonts w:ascii="Amiri" w:hAnsi="Amiri" w:eastAsia="Amiri" w:cs="Amiri"/>
          <w:color w:val="111111"/>
          <w:sz w:val="28"/>
          <w:sz w:val="28"/>
          <w:szCs w:val="28"/>
          <w:rtl w:val="true"/>
          <w:lang w:bidi="ar-SA"/>
        </w:rPr>
        <w:t xml:space="preserve">و لَسنا نَعلَمُ إلىٰ أيِّ أصحابِ الآثارِ أشارَ بدَفعِ كَونِ </w:t>
      </w:r>
      <w:r>
        <w:rPr>
          <w:rStyle w:val="FootnoteAnchor"/>
          <w:rtl w:val="true"/>
        </w:rPr>
        <w:footnoteReference w:id="933"/>
      </w:r>
      <w:r>
        <w:rPr>
          <w:rFonts w:ascii="Amiri" w:hAnsi="Amiri" w:eastAsia="Amiri" w:cs="Amiri"/>
          <w:color w:val="111111"/>
          <w:sz w:val="28"/>
          <w:sz w:val="28"/>
          <w:szCs w:val="28"/>
          <w:rtl w:val="true"/>
          <w:lang w:bidi="ar-SA"/>
        </w:rPr>
        <w:t>أميرِ المؤمنينَ عليه السلامُ في المُباهَلةِ؟ و ما نَظُنُّ أحَداً يَستَحسِنُ مِثلَ هذه الدعوىٰ ، و نَحنُ نَعلَمُ أنّ قولَه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يَعنيَ بالمَدعُوِّ فيه النبيَّ صَلّى اللّٰهُ عليه و آلِه؛ لأنّه هو الداعي، و لا يَجوزُ أن يَدعُوَ الإنسانُ نفسَه، و إنّما يَصِحُّ أن يَدعُوَ غيرَه، كما لا يَجوزُ أن يأمُرَ نفسَه</w:t>
      </w:r>
      <w:r>
        <w:rPr>
          <w:rStyle w:val="FootnoteAnchor"/>
          <w:rtl w:val="true"/>
        </w:rPr>
        <w:footnoteReference w:id="934"/>
      </w:r>
      <w:r>
        <w:rPr>
          <w:rFonts w:ascii="Amiri" w:hAnsi="Amiri" w:eastAsia="Amiri" w:cs="Amiri"/>
          <w:color w:val="111111"/>
          <w:sz w:val="28"/>
          <w:sz w:val="28"/>
          <w:szCs w:val="28"/>
          <w:rtl w:val="true"/>
          <w:lang w:bidi="ar-SA"/>
        </w:rPr>
        <w:t>و يَنهاها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أَنْفُسَنٰا وَ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إشارةً إلىٰ غيرِ الرسولِ صَلّى اللّٰهُ عليه و آلِه، وَجَبَ أن يَكونَ إشارةً إلىٰ أميرِ المؤمنينَ عليه السلامُ ؛ لأنّه لا أحَدَ يَدَّعي دخولَ غيرِ أميرِ المؤمنينَ و غيرِ زوجتِه </w:t>
      </w:r>
      <w:bookmarkStart w:id="217" w:name="pg20017_202462"/>
    </w:p>
    <w:p>
      <w:pPr>
        <w:pStyle w:val="BookText"/>
        <w:rPr/>
      </w:pPr>
      <w:bookmarkEnd w:id="217"/>
      <w:r>
        <w:rPr>
          <w:rFonts w:ascii="Amiri" w:hAnsi="Amiri" w:eastAsia="Amiri" w:cs="Amiri"/>
          <w:color w:val="111111"/>
          <w:sz w:val="28"/>
          <w:sz w:val="28"/>
          <w:szCs w:val="28"/>
          <w:rtl w:val="true"/>
          <w:lang w:bidi="ar-SA"/>
        </w:rPr>
        <w:t>و وَلَدَيه عليهم السلامُ في المُباهَلةِ‌، و ما نَظُنُّ مَن حَكىٰ عنه دَفْعَ دخولِ أميرِ المؤمنينَ عليه السلامُ فيها يُقدِمُ علىٰ‌</w:t>
      </w:r>
      <w:r>
        <w:rPr>
          <w:rStyle w:val="FootnoteAnchor"/>
          <w:rtl w:val="true"/>
        </w:rPr>
        <w:footnoteReference w:id="935"/>
      </w:r>
      <w:r>
        <w:rPr>
          <w:rFonts w:ascii="Amiri" w:hAnsi="Amiri" w:eastAsia="Amiri" w:cs="Amiri"/>
          <w:color w:val="111111"/>
          <w:sz w:val="28"/>
          <w:sz w:val="28"/>
          <w:szCs w:val="28"/>
          <w:rtl w:val="true"/>
          <w:lang w:bidi="ar-SA"/>
        </w:rPr>
        <w:t>أن يَجعَلَ مَكانَ أميرِ المؤمنينَ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الضربُ مِن الاستدلالِ كالمُستَغنىٰ عن تَكَلُّفِه؛ لإطباقِ </w:t>
      </w:r>
      <w:r>
        <w:rPr>
          <w:rStyle w:val="FootnoteAnchor"/>
          <w:rtl w:val="true"/>
        </w:rPr>
        <w:footnoteReference w:id="936"/>
      </w:r>
      <w:r>
        <w:rPr>
          <w:rFonts w:ascii="Amiri" w:hAnsi="Amiri" w:eastAsia="Amiri" w:cs="Amiri"/>
          <w:color w:val="111111"/>
          <w:sz w:val="28"/>
          <w:sz w:val="28"/>
          <w:szCs w:val="28"/>
          <w:rtl w:val="true"/>
          <w:lang w:bidi="ar-SA"/>
        </w:rPr>
        <w:t>أهلِ الحَديثِ كافّةً علىٰ دخولِ</w:t>
      </w:r>
    </w:p>
    <w:p>
      <w:pPr>
        <w:pStyle w:val="BookText"/>
        <w:rPr/>
      </w:pPr>
      <w:r>
        <w:rPr>
          <w:rFonts w:ascii="Amiri" w:hAnsi="Amiri" w:eastAsia="Amiri" w:cs="Amiri"/>
          <w:color w:val="111111"/>
          <w:sz w:val="28"/>
          <w:sz w:val="28"/>
          <w:szCs w:val="28"/>
          <w:rtl w:val="true"/>
          <w:lang w:bidi="ar-SA"/>
        </w:rPr>
        <w:t>أميرِ المؤمنينَ عليه السلامُ في المُباهَلةِ ، و إنّما أوردَناه</w:t>
      </w:r>
      <w:r>
        <w:rPr>
          <w:rStyle w:val="FootnoteAnchor"/>
          <w:rtl w:val="true"/>
        </w:rPr>
        <w:footnoteReference w:id="937"/>
      </w:r>
      <w:r>
        <w:rPr>
          <w:rFonts w:ascii="Amiri" w:hAnsi="Amiri" w:eastAsia="Amiri" w:cs="Amiri"/>
          <w:color w:val="111111"/>
          <w:sz w:val="28"/>
          <w:sz w:val="28"/>
          <w:szCs w:val="28"/>
          <w:rtl w:val="true"/>
          <w:lang w:bidi="ar-SA"/>
        </w:rPr>
        <w:t xml:space="preserve">استظهاراً في الحُجّةِ </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964145_2320776876"/>
      <w:bookmarkStart w:id="219" w:name="_Toc76"/>
      <w:bookmarkEnd w:id="218"/>
      <w:r>
        <w:rPr>
          <w:rtl w:val="true"/>
        </w:rPr>
        <w:t>نفي أن يكون سببُ حضور أمير المؤمنين عليه السلام في المباهلة قُربَ نسبه من الرسول صلى الله عليه و آله</w:t>
      </w:r>
      <w:bookmarkEnd w:id="21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Style w:val="FootnoteAnchor"/>
          <w:rtl w:val="true"/>
        </w:rPr>
        <w:footnoteReference w:id="938"/>
      </w:r>
      <w:r>
        <w:rPr>
          <w:rFonts w:ascii="Amiri" w:hAnsi="Amiri" w:eastAsia="Amiri" w:cs="Amiri"/>
          <w:color w:val="111111"/>
          <w:sz w:val="28"/>
          <w:sz w:val="28"/>
          <w:szCs w:val="28"/>
          <w:rtl w:val="true"/>
          <w:lang w:bidi="ar-SA"/>
        </w:rPr>
        <w:t xml:space="preserve">ما حَكاه عن أبي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القَصدَ لَم يَكُن إلَى</w:t>
      </w:r>
      <w:r>
        <w:rPr>
          <w:rStyle w:val="FootnoteAnchor"/>
          <w:rtl w:val="true"/>
        </w:rPr>
        <w:footnoteReference w:id="939"/>
      </w:r>
      <w:r>
        <w:rPr>
          <w:rFonts w:ascii="Amiri" w:hAnsi="Amiri" w:eastAsia="Amiri" w:cs="Amiri"/>
          <w:color w:val="111111"/>
          <w:sz w:val="28"/>
          <w:sz w:val="28"/>
          <w:szCs w:val="28"/>
          <w:rtl w:val="true"/>
          <w:lang w:bidi="ar-SA"/>
        </w:rPr>
        <w:t xml:space="preserve">الإبانةِ عن الفَضلِ‌، و إنّما قَصَدَ إلىٰ إحضارِ مَن يَقرُبُ منه في النَّسَبِ </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البُطلانِ ؛ لأنّ القَصدَ لَو كانَ إلىٰ ما ادَّعاه لَوَجَبَ أن يَدعُوَ العبّاسَ و وَلَدَه و عَقيلاً؛ إذ كانَ إسلامُ العبّاسِ و عَقيلٍ و انضمامُهما إلَى الرسولِ صَلّى اللّٰهُ عليه و آلِه مُتقدِّماً لقِصّةِ المُباهَلةِ بزمانٍ طويلٍ ؛ لأنّ المُباهَلةَ كانَت في سنةِ عَشرةٍ مِن الهِجرةِ لمّا وَفَدَ السيِّدُ و العاقِبُ فيمَن كانَ معهما مِن أساقِفةِ نَجرانَ علَى النبيِّ صَلّى اللّٰهُ عليه و آلِه، و بَينَ هذه الحالِ و بَينَ حصولِ العبّاسِ و عَقيلٍ مع النبيِّ صلّى اللّٰه عليه و آله مُدّةٌ فَسيحةٌ </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xml:space="preserve">و في تخصيصِ النبيِّ صَلّى اللّٰهُ عليه و آلِه أميرَ المؤمنينَ بالحضورِ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مَن عَداه ممّن يَجري مَجراه في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تَعلُّقُه بدخولِ الحَسَنِ و الحُسَينِ عليهما السلام فيها مع صِغَرِ سِنِّهما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فمعلومٌ أنّ صِغَرَ السِّنِّ و نُقصانَها عن حَدِّ بُلوغِ الحُلُمِ لا يُنافي كمالَ العقلِ‌، و إنّما جُعِلَ بُلوغُ الحُلُمِ حَدًّا لِتَعلُّقِ الأحكامِ الشرعيّةِ‌، و قد كانَت</w:t>
      </w:r>
      <w:r>
        <w:rPr>
          <w:rStyle w:val="FootnoteAnchor"/>
          <w:rtl w:val="true"/>
        </w:rPr>
        <w:footnoteReference w:id="942"/>
      </w:r>
      <w:r>
        <w:rPr>
          <w:rFonts w:ascii="Amiri" w:hAnsi="Amiri" w:eastAsia="Amiri" w:cs="Amiri"/>
          <w:color w:val="111111"/>
          <w:sz w:val="28"/>
          <w:sz w:val="28"/>
          <w:szCs w:val="28"/>
          <w:rtl w:val="true"/>
          <w:lang w:bidi="ar-SA"/>
        </w:rPr>
        <w:t>سِنُّهما عليهما السلام في تلكَ الحالِ سِنّاً لا يَمتَنِعُ معها أن يَكونا كامِلَي العقولِ‌؛ لأنّ سِنَّ الحَسَنِ عليه السلامُ كانَ في قِصّةِ المُباهَلةِ يَزيدُ</w:t>
      </w:r>
      <w:r>
        <w:rPr>
          <w:rStyle w:val="FootnoteAnchor"/>
          <w:rtl w:val="true"/>
        </w:rPr>
        <w:footnoteReference w:id="943"/>
      </w:r>
      <w:r>
        <w:rPr>
          <w:rFonts w:ascii="Amiri" w:hAnsi="Amiri" w:eastAsia="Amiri" w:cs="Amiri"/>
          <w:color w:val="111111"/>
          <w:sz w:val="28"/>
          <w:sz w:val="28"/>
          <w:szCs w:val="28"/>
          <w:rtl w:val="true"/>
          <w:lang w:bidi="ar-SA"/>
        </w:rPr>
        <w:t>علىٰ سَبعِ سِنينَ بعِدّةِ شُهورٍ</w:t>
      </w:r>
      <w:r>
        <w:rPr>
          <w:rStyle w:val="FootnoteAnchor"/>
          <w:rtl w:val="true"/>
        </w:rPr>
        <w:footnoteReference w:id="944"/>
      </w:r>
      <w:r>
        <w:rPr>
          <w:rFonts w:ascii="Amiri" w:hAnsi="Amiri" w:eastAsia="Amiri" w:cs="Amiri"/>
          <w:color w:val="111111"/>
          <w:sz w:val="28"/>
          <w:sz w:val="28"/>
          <w:szCs w:val="28"/>
          <w:rtl w:val="true"/>
          <w:lang w:bidi="ar-SA"/>
        </w:rPr>
        <w:t>، و سِنَّ الحُسَينِ عليه السلامُ يُقارِبُ‌</w:t>
      </w:r>
      <w:r>
        <w:rPr>
          <w:rStyle w:val="FootnoteAnchor"/>
          <w:rtl w:val="true"/>
        </w:rPr>
        <w:footnoteReference w:id="945"/>
      </w: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w:t>
      </w:r>
      <w:r>
        <w:rPr>
          <w:rStyle w:val="FootnoteAnchor"/>
          <w:rtl w:val="true"/>
        </w:rPr>
        <w:footnoteReference w:id="946"/>
      </w:r>
      <w:r>
        <w:rPr>
          <w:rFonts w:ascii="Amiri" w:hAnsi="Amiri" w:eastAsia="Amiri" w:cs="Amiri"/>
          <w:color w:val="111111"/>
          <w:sz w:val="28"/>
          <w:sz w:val="28"/>
          <w:szCs w:val="28"/>
          <w:rtl w:val="true"/>
          <w:lang w:bidi="ar-SA"/>
        </w:rPr>
        <w:t>مَذهَبِنا أنّ اللّٰهَ تَعالىٰ يَخرِقُ العاداتِ للأئمّةِ‌، و يَخُصُّهم بما لَيسَ لغَيرِهم، فلَو صَحَّ أنّ كمالَ العقلِ مع صِغَرِ السِّنِّ لَيسَ بمُعتادٍ لَجازَ فيهم عليهم السلام علىٰ سَبيلِ خَرقِ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يَجوزُ أن يَكونَ المعنىٰ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القَرابةِ حَسَبَ ما ظُنَّ‌، بَل لا بُدَّ أن تَكونَ هذه الإضافةُ مُقتَضيةً للتخصيصِ و التفضيلِ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عَضَدَ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أقوالِ الرسولِ صَلّى اللّٰهُ عليه و آلِه</w:t>
      </w:r>
      <w:r>
        <w:rPr>
          <w:rStyle w:val="FootnoteAnchor"/>
          <w:rtl w:val="true"/>
        </w:rPr>
        <w:footnoteReference w:id="948"/>
      </w:r>
      <w:r>
        <w:rPr>
          <w:rFonts w:ascii="Amiri" w:hAnsi="Amiri" w:eastAsia="Amiri" w:cs="Amiri"/>
          <w:color w:val="111111"/>
          <w:sz w:val="28"/>
          <w:sz w:val="28"/>
          <w:szCs w:val="28"/>
          <w:rtl w:val="true"/>
          <w:lang w:bidi="ar-SA"/>
        </w:rPr>
        <w:t xml:space="preserve">في مَقاماتٍ كَثيرةٍ بمَشهَدٍ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يَشهَدُ بصحّةِ قولِنا؛ فمِن ذلكَ </w:t>
      </w:r>
      <w:r>
        <w:rPr>
          <w:rStyle w:val="FootnoteAnchor"/>
          <w:rtl w:val="true"/>
        </w:rPr>
        <w:footnoteReference w:id="949"/>
      </w:r>
      <w:r>
        <w:rPr>
          <w:rFonts w:ascii="Amiri" w:hAnsi="Amiri" w:eastAsia="Amiri" w:cs="Amiri"/>
          <w:color w:val="111111"/>
          <w:sz w:val="28"/>
          <w:sz w:val="28"/>
          <w:szCs w:val="28"/>
          <w:rtl w:val="true"/>
          <w:lang w:bidi="ar-SA"/>
        </w:rPr>
        <w:t xml:space="preserve">ما تَظاهَرَت به الروايةُ مِن أنّه صَلّى اللّٰهُ عليه و آلِه سُئلَ عن بعضِ أصحابِه،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سَألتَني عن الناسِ‌، و لَم تَسألْني عن نفسي</w:t>
      </w:r>
      <w:r>
        <w:rPr>
          <w:rFonts w:eastAsia="Amiri" w:cs="Amiri" w:ascii="Amiri" w:hAnsi="Amiri"/>
          <w:color w:val="111111"/>
          <w:sz w:val="28"/>
          <w:szCs w:val="28"/>
          <w:rtl w:val="true"/>
          <w:lang w:bidi="ar-SA"/>
        </w:rPr>
        <w:t>».</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23062</w:t>
      </w:r>
      <w:r>
        <w:rPr>
          <w:rFonts w:ascii="Amiri" w:hAnsi="Amiri" w:eastAsia="Amiri" w:cs="Amiri"/>
          <w:color w:val="111111"/>
          <w:sz w:val="28"/>
          <w:sz w:val="28"/>
          <w:szCs w:val="28"/>
          <w:rtl w:val="true"/>
          <w:lang w:bidi="ar-SA"/>
        </w:rPr>
        <w:t xml:space="preserve">؛ فضائل الصحابة لأحمد بن حنبل،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 xml:space="preserve">؛ مسند البزّار،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4391</w:t>
      </w:r>
      <w:r>
        <w:rPr>
          <w:rFonts w:ascii="Amiri" w:hAnsi="Amiri" w:eastAsia="Amiri" w:cs="Amiri"/>
          <w:color w:val="111111"/>
          <w:sz w:val="28"/>
          <w:sz w:val="28"/>
          <w:szCs w:val="28"/>
          <w:rtl w:val="true"/>
          <w:lang w:bidi="ar-SA"/>
        </w:rPr>
        <w:t xml:space="preserve">؛ المستدرك على الصحيحين،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2949</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32944</w:t>
      </w:r>
      <w:r>
        <w:rPr>
          <w:rFonts w:ascii="Amiri" w:hAnsi="Amiri" w:eastAsia="Amiri" w:cs="Amiri"/>
          <w:color w:val="111111"/>
          <w:sz w:val="28"/>
          <w:sz w:val="28"/>
          <w:szCs w:val="28"/>
          <w:rtl w:val="true"/>
          <w:lang w:bidi="ar-SA"/>
        </w:rPr>
        <w:t>، مع اختلاف في المصادر</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و قولُه صَلّى اللّٰهُ عليه و آلِه لبُرَيدةَ الأسلَميِّ‌</w:t>
      </w:r>
      <w:r>
        <w:rPr>
          <w:rStyle w:val="FootnoteAnchor"/>
          <w:rtl w:val="true"/>
        </w:rPr>
        <w:footnoteReference w:id="9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بُرَيدةُ‌، لا تُبغِضْ عليّاً، فإنّه مِنّي و أنا منه، إنّ الناسَ خُلِقوا مِن شَجَرٍ شَتّىٰ ، و خُلقِتُ أنا و عَليٌّ مِن شَجَرةٍ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يَومَ أُحُدٍ و قد ظَهَرَ</w:t>
      </w:r>
      <w:r>
        <w:rPr>
          <w:rStyle w:val="FootnoteAnchor"/>
          <w:rtl w:val="true"/>
        </w:rPr>
        <w:footnoteReference w:id="953"/>
      </w:r>
      <w:r>
        <w:rPr>
          <w:rFonts w:ascii="Amiri" w:hAnsi="Amiri" w:eastAsia="Amiri" w:cs="Amiri"/>
          <w:color w:val="111111"/>
          <w:sz w:val="28"/>
          <w:sz w:val="28"/>
          <w:szCs w:val="28"/>
          <w:rtl w:val="true"/>
          <w:lang w:bidi="ar-SA"/>
        </w:rPr>
        <w:t>مِن وِقايةِ أميرِ المؤمنينَ عليه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له بنفسِه و نِكايتِه في المُشرِكينَ و فَضِّه لجَمعٍ منهم</w:t>
      </w:r>
      <w:r>
        <w:rPr>
          <w:rStyle w:val="FootnoteAnchor"/>
          <w:rtl w:val="true"/>
        </w:rPr>
        <w:footnoteReference w:id="954"/>
      </w:r>
      <w:r>
        <w:rPr>
          <w:rFonts w:ascii="Amiri" w:hAnsi="Amiri" w:eastAsia="Amiri" w:cs="Amiri"/>
          <w:color w:val="111111"/>
          <w:sz w:val="28"/>
          <w:sz w:val="28"/>
          <w:szCs w:val="28"/>
          <w:rtl w:val="true"/>
          <w:lang w:bidi="ar-SA"/>
        </w:rPr>
        <w:t xml:space="preserve">بَعدَ جَمعٍ </w:t>
      </w:r>
      <w:r>
        <w:rPr>
          <w:rStyle w:val="FootnoteAnchor"/>
          <w:rtl w:val="true"/>
        </w:rPr>
        <w:footnoteReference w:id="955"/>
      </w:r>
      <w:r>
        <w:rPr>
          <w:rFonts w:ascii="Amiri" w:hAnsi="Amiri" w:eastAsia="Amiri" w:cs="Amiri"/>
          <w:color w:val="111111"/>
          <w:sz w:val="28"/>
          <w:sz w:val="28"/>
          <w:szCs w:val="28"/>
          <w:rtl w:val="true"/>
          <w:lang w:bidi="ar-SA"/>
        </w:rPr>
        <w:t>ما ظَهَرَ، هذا بَعدَ انهزامِ الناسِ و انفلالِهم</w:t>
      </w:r>
      <w:r>
        <w:rPr>
          <w:rStyle w:val="FootnoteAnchor"/>
          <w:rtl w:val="true"/>
        </w:rPr>
        <w:footnoteReference w:id="956"/>
      </w:r>
      <w:r>
        <w:rPr>
          <w:rFonts w:ascii="Amiri" w:hAnsi="Amiri" w:eastAsia="Amiri" w:cs="Amiri"/>
          <w:color w:val="111111"/>
          <w:sz w:val="28"/>
          <w:sz w:val="28"/>
          <w:szCs w:val="28"/>
          <w:rtl w:val="true"/>
          <w:lang w:bidi="ar-SA"/>
        </w:rPr>
        <w:t xml:space="preserve">و إسلامِهم للرسولِ صَلّى اللّٰهُ عليه و آلِه، حتّىٰ </w:t>
      </w:r>
    </w:p>
    <w:p>
      <w:pPr>
        <w:pStyle w:val="BookText"/>
        <w:rPr/>
      </w:pPr>
      <w:r>
        <w:rPr>
          <w:rFonts w:ascii="Amiri" w:hAnsi="Amiri" w:eastAsia="Amiri" w:cs="Amiri"/>
          <w:color w:val="111111"/>
          <w:sz w:val="28"/>
          <w:sz w:val="28"/>
          <w:szCs w:val="28"/>
          <w:rtl w:val="true"/>
          <w:lang w:bidi="ar-SA"/>
        </w:rPr>
        <w:t>قالَ جَبرَئيلُ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هذه لَهِيَ 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 إنّه مِنّي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منكما</w:t>
      </w:r>
      <w:r>
        <w:rPr>
          <w:rFonts w:eastAsia="Amiri" w:cs="Amiri" w:ascii="Amiri" w:hAnsi="Amiri"/>
          <w:color w:val="111111"/>
          <w:sz w:val="28"/>
          <w:szCs w:val="28"/>
          <w:rtl w:val="true"/>
          <w:lang w:bidi="ar-SA"/>
        </w:rPr>
        <w:t>».</w:t>
      </w:r>
      <w:r>
        <w:rPr>
          <w:rStyle w:val="FootnoteAnchor"/>
          <w:rtl w:val="true"/>
        </w:rPr>
        <w:footnoteReference w:id="95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شُبهةَ </w:t>
      </w:r>
      <w:r>
        <w:rPr>
          <w:rStyle w:val="FootnoteAnchor"/>
          <w:rtl w:val="true"/>
        </w:rPr>
        <w:footnoteReference w:id="958"/>
      </w:r>
      <w:r>
        <w:rPr>
          <w:rFonts w:ascii="Amiri" w:hAnsi="Amiri" w:eastAsia="Amiri" w:cs="Amiri"/>
          <w:color w:val="111111"/>
          <w:sz w:val="28"/>
          <w:sz w:val="28"/>
          <w:szCs w:val="28"/>
          <w:rtl w:val="true"/>
          <w:lang w:bidi="ar-SA"/>
        </w:rPr>
        <w:t xml:space="preserve">في أنّ الإضافةَ فيما ذَكرناه مِن الأخبارِ إنّما تَقتَضي التفضيلَ و التعظيمَ و الاختصاصَ ، دونَ القَرابةِ </w:t>
      </w:r>
      <w:r>
        <w:rPr>
          <w:rFonts w:eastAsia="Amiri" w:cs="Amiri" w:ascii="Amiri" w:hAnsi="Amiri"/>
          <w:color w:val="111111"/>
          <w:sz w:val="28"/>
          <w:szCs w:val="28"/>
          <w:rtl w:val="true"/>
          <w:lang w:bidi="ar-SA"/>
        </w:rPr>
        <w:t xml:space="preserve">. </w:t>
      </w:r>
      <w:bookmarkStart w:id="220" w:name="pg20017_202466"/>
    </w:p>
    <w:p>
      <w:pPr>
        <w:pStyle w:val="Heading4"/>
        <w:numPr>
          <w:ilvl w:val="3"/>
          <w:numId w:val="1"/>
        </w:numPr>
        <w:rPr/>
      </w:pPr>
      <w:bookmarkStart w:id="221" w:name="__RefHeading___Toc964147_2320776876"/>
      <w:bookmarkStart w:id="222" w:name="_Toc77"/>
      <w:bookmarkEnd w:id="220"/>
      <w:bookmarkEnd w:id="221"/>
      <w:r>
        <w:rPr>
          <w:rtl w:val="true"/>
        </w:rPr>
        <w:t xml:space="preserve">الدليل السابع آية </w:t>
      </w:r>
      <w:r>
        <w:rPr>
          <w:rtl w:val="true"/>
        </w:rPr>
        <w:t>(</w:t>
      </w:r>
      <w:r>
        <w:rPr>
          <w:rtl w:val="true"/>
        </w:rPr>
        <w:t xml:space="preserve">أَطِيعُوا اللّٰهَ وَ أَطِيعُوا الرَّسُولَ وَ أُولِي الْأَمْرِ مِنْكُمْ </w:t>
      </w:r>
      <w:r>
        <w:rPr>
          <w:rtl w:val="true"/>
        </w:rPr>
        <w:t>)</w:t>
      </w:r>
      <w:bookmarkEnd w:id="222"/>
    </w:p>
    <w:p>
      <w:pPr>
        <w:pStyle w:val="Heading5"/>
        <w:numPr>
          <w:ilvl w:val="4"/>
          <w:numId w:val="1"/>
        </w:numPr>
        <w:rPr/>
      </w:pPr>
      <w:bookmarkStart w:id="223" w:name="__RefHeading___Toc964149_2320776876"/>
      <w:bookmarkStart w:id="224" w:name="_Toc78"/>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لهم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بعضُهم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 xml:space="preserve">، و ذَكَرَ أنّ إيجابَه تَعالىٰ طاعتَه لا يَكونُ </w:t>
      </w:r>
      <w:r>
        <w:rPr>
          <w:rStyle w:val="FootnoteAnchor"/>
          <w:rtl w:val="true"/>
        </w:rPr>
        <w:footnoteReference w:id="961"/>
      </w:r>
      <w:r>
        <w:rPr>
          <w:rFonts w:ascii="Amiri" w:hAnsi="Amiri" w:eastAsia="Amiri" w:cs="Amiri"/>
          <w:color w:val="111111"/>
          <w:sz w:val="28"/>
          <w:sz w:val="28"/>
          <w:szCs w:val="28"/>
          <w:rtl w:val="true"/>
          <w:lang w:bidi="ar-SA"/>
        </w:rPr>
        <w:t>إلّاو هو منصوصٌ عليه معصومٌ لا يَجوزُ عليه الخَطَأُ، و ثُبوتُ ذلكَ يَقتَضي</w:t>
      </w:r>
      <w:r>
        <w:rPr>
          <w:rStyle w:val="FootnoteAnchor"/>
          <w:rtl w:val="true"/>
        </w:rPr>
        <w:footnoteReference w:id="962"/>
      </w:r>
      <w:r>
        <w:rPr>
          <w:rFonts w:ascii="Amiri" w:hAnsi="Amiri" w:eastAsia="Amiri" w:cs="Amiri"/>
          <w:color w:val="111111"/>
          <w:sz w:val="28"/>
          <w:sz w:val="28"/>
          <w:szCs w:val="28"/>
          <w:rtl w:val="true"/>
          <w:lang w:bidi="ar-SA"/>
        </w:rPr>
        <w:t xml:space="preserve">أنّه أميرُ المؤمنينَ عليه السلامُ ؛ لأنّه لا قولَ بَعدَ ما ذَكرناه إلّاذلكَ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في إفسادِ هذه الطريقةِ و الكلامِ علىٰ بُطلانِها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964151_2320776876"/>
      <w:bookmarkStart w:id="226" w:name="_Toc79"/>
      <w:bookmarkEnd w:id="225"/>
      <w:r>
        <w:rPr>
          <w:rtl w:val="true"/>
        </w:rPr>
        <w:t>نفي دلالة الآية علىٰ إمامة أمير المؤمنين عليه السلام</w:t>
      </w:r>
      <w:bookmarkEnd w:id="22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نَقولُه</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لا تَدُلُّ علَى النصِّ علىٰ أميرِ المؤمنينَ ، و ما نَعرِفُ </w:t>
      </w:r>
    </w:p>
    <w:p>
      <w:pPr>
        <w:pStyle w:val="BookText"/>
        <w:rPr/>
      </w:pPr>
      <w:r>
        <w:rPr>
          <w:rFonts w:ascii="Amiri" w:hAnsi="Amiri" w:eastAsia="Amiri" w:cs="Amiri"/>
          <w:color w:val="111111"/>
          <w:sz w:val="28"/>
          <w:sz w:val="28"/>
          <w:szCs w:val="28"/>
          <w:rtl w:val="true"/>
          <w:lang w:bidi="ar-SA"/>
        </w:rPr>
        <w:t xml:space="preserve">أحَداً مِن أصحابِنا اعتَمَدَها فيه، و إنّما استَدَلَّ بها ابنُ الراوَنديِّ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الأئمّةَ يَجِبُ أن يَكونوا معصومينَ‌، منصوصاً علىٰ 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غيرُ دالّةٍ علىٰ هذا المعنىٰ أيضاً</w:t>
      </w:r>
      <w:r>
        <w:rPr>
          <w:rStyle w:val="FootnoteAnchor"/>
          <w:rtl w:val="true"/>
        </w:rPr>
        <w:footnoteReference w:id="964"/>
      </w:r>
      <w:r>
        <w:rPr>
          <w:rFonts w:ascii="Amiri" w:hAnsi="Amiri" w:eastAsia="Amiri" w:cs="Amiri"/>
          <w:color w:val="111111"/>
          <w:sz w:val="28"/>
          <w:sz w:val="28"/>
          <w:szCs w:val="28"/>
          <w:rtl w:val="true"/>
          <w:lang w:bidi="ar-SA"/>
        </w:rPr>
        <w:t>، و التكثيرُ</w:t>
      </w:r>
      <w:r>
        <w:rPr>
          <w:rStyle w:val="FootnoteAnchor"/>
          <w:rtl w:val="true"/>
        </w:rPr>
        <w:footnoteReference w:id="965"/>
      </w:r>
      <w:r>
        <w:rPr>
          <w:rFonts w:ascii="Amiri" w:hAnsi="Amiri" w:eastAsia="Amiri" w:cs="Amiri"/>
          <w:color w:val="111111"/>
          <w:sz w:val="28"/>
          <w:sz w:val="28"/>
          <w:szCs w:val="28"/>
          <w:rtl w:val="true"/>
          <w:lang w:bidi="ar-SA"/>
        </w:rPr>
        <w:t>بما لا تُثمِرُ</w:t>
      </w:r>
      <w:r>
        <w:rPr>
          <w:rStyle w:val="FootnoteAnchor"/>
          <w:rtl w:val="true"/>
        </w:rPr>
        <w:footnoteReference w:id="966"/>
      </w:r>
      <w:r>
        <w:rPr>
          <w:rFonts w:ascii="Amiri" w:hAnsi="Amiri" w:eastAsia="Amiri" w:cs="Amiri"/>
          <w:color w:val="111111"/>
          <w:sz w:val="28"/>
          <w:sz w:val="28"/>
          <w:szCs w:val="28"/>
          <w:rtl w:val="true"/>
          <w:lang w:bidi="ar-SA"/>
        </w:rPr>
        <w:t>دَلالتُه لا معنىٰ له؛ فإنّ فيما تَثبُتُ به الحُجّةُ مَندوحةً‌</w:t>
      </w:r>
      <w:r>
        <w:rPr>
          <w:rStyle w:val="FootnoteAnchor"/>
          <w:rtl w:val="true"/>
        </w:rPr>
        <w:footnoteReference w:id="967"/>
      </w:r>
      <w:r>
        <w:rPr>
          <w:rFonts w:ascii="Amiri" w:hAnsi="Amiri" w:eastAsia="Amiri" w:cs="Amiri"/>
          <w:color w:val="111111"/>
          <w:sz w:val="28"/>
          <w:sz w:val="28"/>
          <w:szCs w:val="28"/>
          <w:rtl w:val="true"/>
          <w:lang w:bidi="ar-SA"/>
        </w:rPr>
        <w:t>و كفايةً بحَمدِ اللّٰهِ و مَنِّه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الآيةَ لَو دَلَّت علىٰ وجوبِ عصمةِ الأئمّةِ و النصِّ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اعتَمَدَها</w:t>
      </w:r>
      <w:r>
        <w:rPr>
          <w:rStyle w:val="FootnoteAnchor"/>
          <w:rtl w:val="true"/>
        </w:rPr>
        <w:footnoteReference w:id="968"/>
      </w:r>
      <w:r>
        <w:rPr>
          <w:rFonts w:ascii="Amiri" w:hAnsi="Amiri" w:eastAsia="Amiri" w:cs="Amiri"/>
          <w:color w:val="111111"/>
          <w:sz w:val="28"/>
          <w:sz w:val="28"/>
          <w:szCs w:val="28"/>
          <w:rtl w:val="true"/>
          <w:lang w:bidi="ar-SA"/>
        </w:rPr>
        <w:t>ابنُ الراوَنديِّ فيه</w:t>
      </w:r>
      <w:r>
        <w:rPr>
          <w:rStyle w:val="FootnoteAnchor"/>
          <w:rtl w:val="true"/>
        </w:rPr>
        <w:footnoteReference w:id="969"/>
      </w:r>
      <w:r>
        <w:rPr>
          <w:rFonts w:ascii="Amiri" w:hAnsi="Amiri" w:eastAsia="Amiri" w:cs="Amiri"/>
          <w:color w:val="111111"/>
          <w:sz w:val="28"/>
          <w:sz w:val="28"/>
          <w:szCs w:val="28"/>
          <w:rtl w:val="true"/>
          <w:lang w:bidi="ar-SA"/>
        </w:rPr>
        <w:t xml:space="preserve">، و حَكاه صاحبُ الكتابِ في صَدرِ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w:t>
      </w:r>
      <w:r>
        <w:rPr>
          <w:rStyle w:val="FootnoteAnchor"/>
          <w:rtl w:val="true"/>
        </w:rPr>
        <w:footnoteReference w:id="970"/>
      </w:r>
      <w:r>
        <w:rPr>
          <w:rFonts w:ascii="Amiri" w:hAnsi="Amiri" w:eastAsia="Amiri" w:cs="Amiri"/>
          <w:color w:val="111111"/>
          <w:sz w:val="28"/>
          <w:sz w:val="28"/>
          <w:szCs w:val="28"/>
          <w:rtl w:val="true"/>
          <w:lang w:bidi="ar-SA"/>
        </w:rPr>
        <w:t>دالّةً علىٰ وقوعِ النصِّ علىٰ أميرِ المؤمنينَ عليه السلامُ بالإمامةِ‌، و إنّما يُرجَعُ في ذلكَ إلىٰ طريقةِ اعتبارِ الإجماعِ‌، و تأمُّلِ أقوالِ الأُمّةِ المُختَلِفينَ في الإمامةِ‌، و أنّ الحَقَّ لا يَخرُجُ عن</w:t>
      </w:r>
      <w:r>
        <w:rPr>
          <w:rStyle w:val="FootnoteAnchor"/>
          <w:rtl w:val="true"/>
        </w:rPr>
        <w:footnoteReference w:id="971"/>
      </w:r>
      <w:r>
        <w:rPr>
          <w:rFonts w:ascii="Amiri" w:hAnsi="Amiri" w:eastAsia="Amiri" w:cs="Amiri"/>
          <w:color w:val="111111"/>
          <w:sz w:val="28"/>
          <w:sz w:val="28"/>
          <w:szCs w:val="28"/>
          <w:rtl w:val="true"/>
          <w:lang w:bidi="ar-SA"/>
        </w:rPr>
        <w:t>الأُمّةِ‌، علىٰ ما رَتَّبناه فيما تَقدَّمَ‌</w:t>
      </w:r>
      <w:r>
        <w:rPr>
          <w:rStyle w:val="FootnoteAnchor"/>
          <w:rtl w:val="true"/>
        </w:rPr>
        <w:footnoteReference w:id="972"/>
      </w:r>
      <w:r>
        <w:rPr>
          <w:rFonts w:ascii="Amiri" w:hAnsi="Amiri" w:eastAsia="Amiri" w:cs="Amiri"/>
          <w:color w:val="111111"/>
          <w:sz w:val="28"/>
          <w:sz w:val="28"/>
          <w:szCs w:val="28"/>
          <w:rtl w:val="true"/>
          <w:lang w:bidi="ar-SA"/>
        </w:rPr>
        <w:t>فكَيفَ‌</w:t>
      </w:r>
      <w:r>
        <w:rPr>
          <w:rStyle w:val="FootnoteAnchor"/>
          <w:rtl w:val="true"/>
        </w:rPr>
        <w:footnoteReference w:id="973"/>
      </w:r>
      <w:r>
        <w:rPr>
          <w:rFonts w:ascii="Amiri" w:hAnsi="Amiri" w:eastAsia="Amiri" w:cs="Amiri"/>
          <w:color w:val="111111"/>
          <w:sz w:val="28"/>
          <w:sz w:val="28"/>
          <w:szCs w:val="28"/>
          <w:rtl w:val="true"/>
          <w:lang w:bidi="ar-SA"/>
        </w:rPr>
        <w:t>يَحسُنُ أن تُجعَلَ دَلالةً في النصِّ و تُحكىٰ‌</w:t>
      </w:r>
      <w:r>
        <w:rPr>
          <w:rStyle w:val="FootnoteAnchor"/>
          <w:rtl w:val="true"/>
        </w:rPr>
        <w:footnoteReference w:id="974"/>
      </w:r>
      <w:r>
        <w:rPr>
          <w:rFonts w:ascii="Amiri" w:hAnsi="Amiri" w:eastAsia="Amiri" w:cs="Amiri"/>
          <w:color w:val="111111"/>
          <w:sz w:val="28"/>
          <w:sz w:val="28"/>
          <w:szCs w:val="28"/>
          <w:rtl w:val="true"/>
          <w:lang w:bidi="ar-SA"/>
        </w:rPr>
        <w:t>في جُملةِ الأدِلّةِ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يوجِبُ كَونَ جميعِ ما دَلَّ مِن جهةِ العقلِ </w:t>
      </w:r>
      <w:r>
        <w:rPr>
          <w:rStyle w:val="FootnoteAnchor"/>
          <w:rtl w:val="true"/>
        </w:rPr>
        <w:footnoteReference w:id="975"/>
      </w:r>
      <w:r>
        <w:rPr>
          <w:rFonts w:ascii="Amiri" w:hAnsi="Amiri" w:eastAsia="Amiri" w:cs="Amiri"/>
          <w:color w:val="111111"/>
          <w:sz w:val="28"/>
          <w:sz w:val="28"/>
          <w:szCs w:val="28"/>
          <w:rtl w:val="true"/>
          <w:lang w:bidi="ar-SA"/>
        </w:rPr>
        <w:t xml:space="preserve">علىٰ وجوبِ عصمةِ الأئمّةِ و النصِّ عليهم دالّاً علَى النصِّ علىٰ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ظاهرٌ</w:t>
      </w:r>
      <w:r>
        <w:rPr>
          <w:rFonts w:eastAsia="Amiri" w:cs="Amiri" w:ascii="Amiri" w:hAnsi="Amiri"/>
          <w:color w:val="111111"/>
          <w:sz w:val="28"/>
          <w:szCs w:val="28"/>
          <w:rtl w:val="true"/>
          <w:lang w:bidi="ar-SA"/>
        </w:rPr>
        <w:t xml:space="preserve">. </w:t>
      </w:r>
      <w:bookmarkStart w:id="227" w:name="pg20017_202468"/>
    </w:p>
    <w:p>
      <w:pPr>
        <w:pStyle w:val="Heading4"/>
        <w:numPr>
          <w:ilvl w:val="3"/>
          <w:numId w:val="1"/>
        </w:numPr>
        <w:rPr/>
      </w:pPr>
      <w:bookmarkStart w:id="228" w:name="__RefHeading___Toc964153_2320776876"/>
      <w:bookmarkStart w:id="229" w:name="_Toc80"/>
      <w:bookmarkEnd w:id="227"/>
      <w:bookmarkEnd w:id="228"/>
      <w:r>
        <w:rPr>
          <w:rtl w:val="true"/>
        </w:rPr>
        <w:t>الدليل الثامن حديثُ الغَديرِ</w:t>
      </w:r>
      <w:bookmarkEnd w:id="229"/>
    </w:p>
    <w:p>
      <w:pPr>
        <w:pStyle w:val="Heading5"/>
        <w:numPr>
          <w:ilvl w:val="4"/>
          <w:numId w:val="1"/>
        </w:numPr>
        <w:rPr/>
      </w:pPr>
      <w:bookmarkStart w:id="230" w:name="__RefHeading___Toc964155_2320776876"/>
      <w:bookmarkStart w:id="231" w:name="_Toc81"/>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لهم آخَرُ</w:t>
      </w:r>
      <w:r>
        <w:rPr>
          <w:rStyle w:val="FootnoteAnchor"/>
          <w:rtl w:val="true"/>
        </w:rPr>
        <w:footnoteReference w:id="976"/>
      </w:r>
      <w:r>
        <w:rPr>
          <w:rFonts w:ascii="Amiri" w:hAnsi="Amiri" w:eastAsia="Amiri" w:cs="Amiri"/>
          <w:color w:val="111111"/>
          <w:sz w:val="28"/>
          <w:sz w:val="28"/>
          <w:szCs w:val="28"/>
          <w:rtl w:val="true"/>
          <w:lang w:bidi="ar-SA"/>
        </w:rPr>
        <w:t>مِن طريقِ السُّنّةِ‌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عنه عليه السلامُ‌</w:t>
      </w:r>
      <w:r>
        <w:rPr>
          <w:rStyle w:val="FootnoteAnchor"/>
          <w:rtl w:val="true"/>
        </w:rPr>
        <w:footnoteReference w:id="977"/>
      </w:r>
      <w:r>
        <w:rPr>
          <w:rFonts w:ascii="Amiri" w:hAnsi="Amiri" w:eastAsia="Amiri" w:cs="Amiri"/>
          <w:color w:val="111111"/>
          <w:sz w:val="28"/>
          <w:sz w:val="28"/>
          <w:szCs w:val="28"/>
          <w:rtl w:val="true"/>
          <w:lang w:bidi="ar-SA"/>
        </w:rPr>
        <w:t>يَومَ غَديرِ خُمٍّ ما يَدُلُّ علىٰ‌</w:t>
      </w:r>
      <w:r>
        <w:rPr>
          <w:rStyle w:val="FootnoteAnchor"/>
          <w:rtl w:val="true"/>
        </w:rPr>
        <w:footnoteReference w:id="978"/>
      </w:r>
      <w:r>
        <w:rPr>
          <w:rFonts w:ascii="Amiri" w:hAnsi="Amiri" w:eastAsia="Amiri" w:cs="Amiri"/>
          <w:color w:val="111111"/>
          <w:sz w:val="28"/>
          <w:sz w:val="28"/>
          <w:szCs w:val="28"/>
          <w:rtl w:val="true"/>
          <w:lang w:bidi="ar-SA"/>
        </w:rPr>
        <w:t>أنّه نَصَّ علىٰ أميرِ المؤمنينَ عليه السلامُ بالإمامةِ‌؛ لأنّه مع الجَمعِ العظيمِ في ذلكَ المَقامِ قامَ فيهم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أَولىٰ بِكم منكم بأنفُسِكُم‌؟</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 بَعدَه إشارةً‌</w:t>
      </w:r>
      <w:r>
        <w:rPr>
          <w:rStyle w:val="FootnoteAnchor"/>
          <w:rtl w:val="true"/>
        </w:rPr>
        <w:footnoteReference w:id="980"/>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فهذا عليٌّ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عُمَرُ بنُ الخَطّابِ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Style w:val="FootnoteAnchor"/>
          <w:rtl w:val="true"/>
        </w:rPr>
        <w:footnoteReference w:id="981"/>
      </w:r>
      <w:r>
        <w:rPr>
          <w:rFonts w:ascii="Amiri" w:hAnsi="Amiri" w:eastAsia="Amiri" w:cs="Amiri"/>
          <w:color w:val="111111"/>
          <w:sz w:val="28"/>
          <w:sz w:val="28"/>
          <w:szCs w:val="28"/>
          <w:rtl w:val="true"/>
          <w:lang w:bidi="ar-SA"/>
        </w:rPr>
        <w:t xml:space="preserve">، أصبَحتَ مَولايَ </w:t>
      </w:r>
    </w:p>
    <w:p>
      <w:pPr>
        <w:pStyle w:val="BookText"/>
        <w:rPr/>
      </w:pPr>
      <w:r>
        <w:rPr>
          <w:rFonts w:ascii="Amiri" w:hAnsi="Amiri" w:eastAsia="Amiri" w:cs="Amiri"/>
          <w:color w:val="111111"/>
          <w:sz w:val="28"/>
          <w:sz w:val="28"/>
          <w:szCs w:val="28"/>
          <w:rtl w:val="true"/>
          <w:lang w:bidi="ar-SA"/>
        </w:rPr>
        <w:t>و مَولىٰ كُلِّ مؤمنٍ و مؤمنةٍ‌</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و لا يَجوزُ أن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إلّاما تَقتَضيهِ‌</w:t>
      </w:r>
      <w:r>
        <w:rPr>
          <w:rStyle w:val="FootnoteAnchor"/>
          <w:rtl w:val="true"/>
        </w:rPr>
        <w:footnoteReference w:id="983"/>
      </w:r>
      <w:r>
        <w:rPr>
          <w:rFonts w:ascii="Amiri" w:hAnsi="Amiri" w:eastAsia="Amiri" w:cs="Amiri"/>
          <w:color w:val="111111"/>
          <w:sz w:val="28"/>
          <w:sz w:val="28"/>
          <w:szCs w:val="28"/>
          <w:rtl w:val="true"/>
          <w:lang w:bidi="ar-SA"/>
        </w:rPr>
        <w:t>مُقدِّمةُ الكلامِ‌، و إلّالَم يَكُن لتقديمِها</w:t>
      </w:r>
      <w:r>
        <w:rPr>
          <w:rStyle w:val="FootnoteAnchor"/>
          <w:rtl w:val="true"/>
        </w:rPr>
        <w:footnoteReference w:id="984"/>
      </w:r>
      <w:r>
        <w:rPr>
          <w:rFonts w:ascii="Amiri" w:hAnsi="Amiri" w:eastAsia="Amiri" w:cs="Amiri"/>
          <w:color w:val="111111"/>
          <w:sz w:val="28"/>
          <w:sz w:val="28"/>
          <w:szCs w:val="28"/>
          <w:rtl w:val="true"/>
          <w:lang w:bidi="ar-SA"/>
        </w:rPr>
        <w:t>فائدةٌ‌، فكأنّه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w:t>
      </w:r>
      <w:r>
        <w:rPr>
          <w:rStyle w:val="FootnoteAnchor"/>
          <w:rtl w:val="true"/>
        </w:rPr>
        <w:footnoteReference w:id="985"/>
      </w:r>
      <w:r>
        <w:rPr>
          <w:rFonts w:ascii="Amiri" w:hAnsi="Amiri" w:eastAsia="Amiri" w:cs="Amiri"/>
          <w:color w:val="111111"/>
          <w:sz w:val="28"/>
          <w:sz w:val="28"/>
          <w:szCs w:val="28"/>
          <w:rtl w:val="true"/>
          <w:lang w:bidi="ar-SA"/>
        </w:rPr>
        <w:t>أَولىٰ به مِن نفسِه فعَليٌّ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w:t>
      </w:r>
      <w:r>
        <w:rPr>
          <w:rStyle w:val="FootnoteAnchor"/>
          <w:rtl w:val="true"/>
        </w:rPr>
        <w:footnoteReference w:id="986"/>
      </w:r>
      <w:r>
        <w:rPr>
          <w:rFonts w:ascii="Amiri" w:hAnsi="Amiri" w:eastAsia="Amiri" w:cs="Amiri"/>
          <w:color w:val="111111"/>
          <w:sz w:val="28"/>
          <w:sz w:val="28"/>
          <w:szCs w:val="28"/>
          <w:rtl w:val="true"/>
          <w:lang w:bidi="ar-SA"/>
        </w:rPr>
        <w:t xml:space="preserve">المُقدِّمةُ مُطابِقةً لِما تَقدَّمَ </w:t>
      </w:r>
      <w:r>
        <w:rPr>
          <w:rStyle w:val="FootnoteAnchor"/>
          <w:rtl w:val="true"/>
        </w:rPr>
        <w:footnoteReference w:id="987"/>
      </w:r>
      <w:r>
        <w:rPr>
          <w:rFonts w:ascii="Amiri" w:hAnsi="Amiri" w:eastAsia="Amiri" w:cs="Amiri"/>
          <w:color w:val="111111"/>
          <w:sz w:val="28"/>
          <w:sz w:val="28"/>
          <w:szCs w:val="28"/>
          <w:rtl w:val="true"/>
          <w:lang w:bidi="ar-SA"/>
        </w:rPr>
        <w:t>ذِكرُه</w:t>
      </w:r>
      <w:r>
        <w:rPr>
          <w:rStyle w:val="FootnoteAnchor"/>
          <w:rtl w:val="true"/>
        </w:rPr>
        <w:footnoteReference w:id="988"/>
      </w:r>
      <w:r>
        <w:rPr>
          <w:rFonts w:ascii="Amiri" w:hAnsi="Amiri" w:eastAsia="Amiri" w:cs="Amiri"/>
          <w:color w:val="111111"/>
          <w:sz w:val="28"/>
          <w:sz w:val="28"/>
          <w:szCs w:val="28"/>
          <w:rtl w:val="true"/>
          <w:lang w:bidi="ar-SA"/>
        </w:rPr>
        <w:t xml:space="preserve">، و ما قُصِدَ إليه مِن الذِّكرِ بَعدَ المُقدِّمةِ يَكونَ </w:t>
      </w:r>
      <w:r>
        <w:rPr>
          <w:rStyle w:val="FootnoteAnchor"/>
          <w:rtl w:val="true"/>
        </w:rPr>
        <w:footnoteReference w:id="989"/>
      </w:r>
      <w:r>
        <w:rPr>
          <w:rFonts w:ascii="Amiri" w:hAnsi="Amiri" w:eastAsia="Amiri" w:cs="Amiri"/>
          <w:color w:val="111111"/>
          <w:sz w:val="28"/>
          <w:sz w:val="28"/>
          <w:szCs w:val="28"/>
          <w:rtl w:val="true"/>
          <w:lang w:bidi="ar-SA"/>
        </w:rPr>
        <w:t>مُطابِقاً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عَلِمنا أنّه لَم يُرِدْ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أَولىٰ بِكم منكم بأنفسِكُم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إلّافي الطاعةِ و الاتّباعِ و الانقيادِ، فيَجِبُ فيما عُطِفَ عليه أن يَكونَ هذا مُرادَه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في المغني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 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 عليها المحقّق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يكلّف نفسه عناء البحث عنها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w:t>
      </w:r>
      <w:r>
        <w:rPr>
          <w:rStyle w:val="FootnoteAnchor"/>
          <w:rtl w:val="true"/>
        </w:rPr>
        <w:footnoteReference w:id="990"/>
      </w:r>
      <w:r>
        <w:rPr>
          <w:rFonts w:ascii="Amiri" w:hAnsi="Amiri" w:eastAsia="Amiri" w:cs="Amiri"/>
          <w:color w:val="111111"/>
          <w:sz w:val="28"/>
          <w:sz w:val="28"/>
          <w:szCs w:val="28"/>
          <w:rtl w:val="true"/>
          <w:lang w:bidi="ar-SA"/>
        </w:rPr>
        <w:t>، و ذلكَ لا يَليقُ إلّابالإمامةِ‌</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بعضُهم بدَلالةِ الحالِ في ذلكَ‌؛ و هو أنّه تَعالىٰ أنزَلَ علىٰ رسولِه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ص، ط،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بجمع أصحابه في غدير خمّ </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فأمَرَ النبيُّ صَلّى اللّٰهُ عليه و سلّم</w:t>
      </w:r>
      <w:r>
        <w:rPr>
          <w:rStyle w:val="FootnoteAnchor"/>
          <w:rtl w:val="true"/>
        </w:rPr>
        <w:footnoteReference w:id="994"/>
      </w:r>
      <w:r>
        <w:rPr>
          <w:rFonts w:ascii="Amiri" w:hAnsi="Amiri" w:eastAsia="Amiri" w:cs="Amiri"/>
          <w:color w:val="111111"/>
          <w:sz w:val="28"/>
          <w:sz w:val="28"/>
          <w:szCs w:val="28"/>
          <w:rtl w:val="true"/>
          <w:lang w:bidi="ar-SA"/>
        </w:rPr>
        <w:t>عندَ ذلكَ في غَديرِ خُمٍّ بجَمعِ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قامَ و أخَذَ</w:t>
      </w:r>
      <w:r>
        <w:rPr>
          <w:rStyle w:val="FootnoteAnchor"/>
          <w:rtl w:val="true"/>
        </w:rPr>
        <w:footnoteReference w:id="995"/>
      </w:r>
      <w:r>
        <w:rPr>
          <w:rFonts w:ascii="Amiri" w:hAnsi="Amiri" w:eastAsia="Amiri" w:cs="Amiri"/>
          <w:color w:val="111111"/>
          <w:sz w:val="28"/>
          <w:sz w:val="28"/>
          <w:szCs w:val="28"/>
          <w:rtl w:val="true"/>
          <w:lang w:bidi="ar-SA"/>
        </w:rPr>
        <w:t>بيَدِ أميرِ المؤمنينَ عليه السلامُ‌، فرَفَعَها حتّىٰ رأىٰ قومٌ‌</w:t>
      </w:r>
      <w:r>
        <w:rPr>
          <w:rStyle w:val="FootnoteAnchor"/>
          <w:rtl w:val="true"/>
        </w:rPr>
        <w:footnoteReference w:id="996"/>
      </w:r>
      <w:r>
        <w:rPr>
          <w:rFonts w:ascii="Amiri" w:hAnsi="Amiri" w:eastAsia="Amiri" w:cs="Amiri"/>
          <w:color w:val="111111"/>
          <w:sz w:val="28"/>
          <w:sz w:val="28"/>
          <w:szCs w:val="28"/>
          <w:rtl w:val="true"/>
          <w:lang w:bidi="ar-SA"/>
        </w:rPr>
        <w:t>بَياضَ إبطِه، و قالَ هذا القولَ مع كلامٍ تَقدَّمَ أو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يَفعَلَ ذلكَ إلّا لبَيانِ أمرٍ عظيمٍ‌، و ذلكَ لا يَليقُ إلّابالإمامةِ التي فيها</w:t>
      </w:r>
      <w:r>
        <w:rPr>
          <w:rStyle w:val="FootnoteAnchor"/>
          <w:rtl w:val="true"/>
        </w:rPr>
        <w:footnoteReference w:id="997"/>
      </w:r>
      <w:r>
        <w:rPr>
          <w:rFonts w:ascii="Amiri" w:hAnsi="Amiri" w:eastAsia="Amiri" w:cs="Amiri"/>
          <w:color w:val="111111"/>
          <w:sz w:val="28"/>
          <w:sz w:val="28"/>
          <w:szCs w:val="28"/>
          <w:rtl w:val="true"/>
          <w:lang w:bidi="ar-SA"/>
        </w:rPr>
        <w:t>إحياءُ مَعالِمِ الدينِ‌، دونَ سائرِ ما يُذكَرُ في هذا البابِ ممّا يَشرَكُه فيه غيرُه، و ممّا قد بانَ‌</w:t>
      </w:r>
      <w:r>
        <w:rPr>
          <w:rStyle w:val="FootnoteAnchor"/>
          <w:rtl w:val="true"/>
        </w:rPr>
        <w:footnoteReference w:id="998"/>
      </w:r>
      <w:r>
        <w:rPr>
          <w:rFonts w:ascii="Amiri" w:hAnsi="Amiri" w:eastAsia="Amiri" w:cs="Amiri"/>
          <w:color w:val="111111"/>
          <w:sz w:val="28"/>
          <w:sz w:val="28"/>
          <w:szCs w:val="28"/>
          <w:rtl w:val="true"/>
          <w:lang w:bidi="ar-SA"/>
        </w:rPr>
        <w:t>و ظَهَرَ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في وجهِ الاستدلالِ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w:t>
      </w:r>
      <w:r>
        <w:rPr>
          <w:rStyle w:val="FootnoteAnchor"/>
          <w:rtl w:val="true"/>
        </w:rPr>
        <w:footnoteReference w:id="999"/>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 مِن أن يُريدَ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الرِّقِّ </w:t>
      </w:r>
      <w:r>
        <w:rPr>
          <w:rFonts w:eastAsia="Amiri" w:cs="Amiri" w:ascii="Amiri" w:hAnsi="Amiri"/>
          <w:color w:val="111111"/>
          <w:sz w:val="28"/>
          <w:szCs w:val="28"/>
          <w:rtl w:val="true"/>
          <w:lang w:bidi="ar-SA"/>
        </w:rPr>
        <w:t>"</w:t>
      </w:r>
      <w:r>
        <w:rPr>
          <w:rStyle w:val="FootnoteAnchor"/>
          <w:rtl w:val="true"/>
        </w:rPr>
        <w:footnoteReference w:id="100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العَمِّ‌</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،أو يُريدَ بذلكَ‌</w:t>
      </w:r>
      <w:r>
        <w:rPr>
          <w:rStyle w:val="FootnoteAnchor"/>
          <w:rtl w:val="true"/>
        </w:rPr>
        <w:footnoteReference w:id="1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مَأْوٰاكُمُ النّٰارُ هِيَ مَوْلاٰكُمْ‌</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 xml:space="preserve">أي عاقِبتُكم، أو يُريدَ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يَليهِ خَلفَه أو قُدّامَه</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 xml:space="preserve">؛لأنّه قد يُرادُ ذلكَ بهذا اللفظِ، أو يُرادَ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الطاعةِ‌</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لأنّ ذلكَ قد يُرادُ بهذا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بَطَلَت تلكَ الأقسامُ‌؛ مِن حَيثُ يُعلَمُ أنّه عليه السلامُ 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p>
    <w:p>
      <w:pPr>
        <w:pStyle w:val="BookText"/>
        <w:rPr/>
      </w:pPr>
      <w:r>
        <w:rPr>
          <w:rFonts w:ascii="Amiri" w:hAnsi="Amiri" w:eastAsia="Amiri" w:cs="Amiri"/>
          <w:color w:val="111111"/>
          <w:sz w:val="28"/>
          <w:sz w:val="28"/>
          <w:szCs w:val="28"/>
          <w:rtl w:val="true"/>
          <w:lang w:bidi="ar-SA"/>
        </w:rPr>
        <w:t>الرِّقِّ‌</w:t>
      </w:r>
      <w:r>
        <w:rPr>
          <w:rFonts w:eastAsia="Amiri" w:cs="Amiri" w:ascii="Amiri" w:hAnsi="Amiri"/>
          <w:color w:val="111111"/>
          <w:sz w:val="28"/>
          <w:szCs w:val="28"/>
          <w:rtl w:val="true"/>
          <w:lang w:bidi="ar-SA"/>
        </w:rPr>
        <w:t>"</w:t>
      </w:r>
      <w:r>
        <w:rPr>
          <w:rStyle w:val="FootnoteAnchor"/>
          <w:rtl w:val="true"/>
        </w:rPr>
        <w:footnoteReference w:id="1007"/>
      </w:r>
      <w:r>
        <w:rPr>
          <w:rFonts w:ascii="IRNazanin" w:hAnsi="IRNazanin" w:eastAsia="IRNazanin"/>
          <w:color w:val="111111"/>
          <w:sz w:val="28"/>
          <w:sz w:val="28"/>
          <w:szCs w:val="28"/>
          <w:rtl w:val="true"/>
          <w:lang w:bidi="fa-IR"/>
        </w:rPr>
        <w:t>،و لا</w:t>
      </w:r>
      <w:r>
        <w:rPr>
          <w:rStyle w:val="FootnoteAnchor"/>
          <w:rtl w:val="true"/>
        </w:rPr>
        <w:footnoteReference w:id="1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أن يَكونَ هذا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الطاعةِ‌</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لا يَكونُ إلّابمعنَى الإمامِ‌</w:t>
      </w:r>
      <w:r>
        <w:rPr>
          <w:rStyle w:val="FootnoteAnchor"/>
          <w:rtl w:val="true"/>
        </w:rPr>
        <w:footnoteReference w:id="1010"/>
      </w:r>
      <w:r>
        <w:rPr>
          <w:rFonts w:ascii="Amiri" w:hAnsi="Amiri" w:eastAsia="Amiri" w:cs="Amiri"/>
          <w:color w:val="111111"/>
          <w:sz w:val="28"/>
          <w:sz w:val="28"/>
          <w:szCs w:val="28"/>
          <w:rtl w:val="true"/>
          <w:lang w:bidi="ar-SA"/>
        </w:rPr>
        <w:t>لأنّ الإمامةَ مُشتَقّةٌ مِن الائتمامِ به، و الائتمامُ هو الاتّباعُ و الاقتداءُ‌</w:t>
      </w:r>
      <w:r>
        <w:rPr>
          <w:rStyle w:val="FootnoteAnchor"/>
          <w:rtl w:val="true"/>
        </w:rPr>
        <w:footnoteReference w:id="1011"/>
      </w:r>
      <w:r>
        <w:rPr>
          <w:rFonts w:ascii="Amiri" w:hAnsi="Amiri" w:eastAsia="Amiri" w:cs="Amiri"/>
          <w:color w:val="111111"/>
          <w:sz w:val="28"/>
          <w:sz w:val="28"/>
          <w:szCs w:val="28"/>
          <w:rtl w:val="true"/>
          <w:lang w:bidi="ar-SA"/>
        </w:rPr>
        <w:t>و الانقيادُ، فإذا وَجَبَت</w:t>
      </w:r>
      <w:r>
        <w:rPr>
          <w:rStyle w:val="FootnoteAnchor"/>
          <w:rtl w:val="true"/>
        </w:rPr>
        <w:footnoteReference w:id="1012"/>
      </w:r>
      <w:r>
        <w:rPr>
          <w:rFonts w:ascii="Amiri" w:hAnsi="Amiri" w:eastAsia="Amiri" w:cs="Amiri"/>
          <w:color w:val="111111"/>
          <w:sz w:val="28"/>
          <w:sz w:val="28"/>
          <w:szCs w:val="28"/>
          <w:rtl w:val="true"/>
          <w:lang w:bidi="ar-SA"/>
        </w:rPr>
        <w:t>طاعتُه فلا بُدَّ مِن أن يَستَحِقَّ هذا المعنىٰ‌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فيهم</w:t>
      </w:r>
      <w:r>
        <w:rPr>
          <w:rStyle w:val="FootnoteAnchor"/>
          <w:rtl w:val="true"/>
        </w:rPr>
        <w:footnoteReference w:id="1013"/>
      </w:r>
      <w:r>
        <w:rPr>
          <w:rFonts w:ascii="Amiri" w:hAnsi="Amiri" w:eastAsia="Amiri" w:cs="Amiri"/>
          <w:color w:val="111111"/>
          <w:sz w:val="28"/>
          <w:sz w:val="28"/>
          <w:szCs w:val="28"/>
          <w:rtl w:val="true"/>
          <w:lang w:bidi="ar-SA"/>
        </w:rPr>
        <w:t>مَن استَدَلَّ بذلكَ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قالَ هذا القولَ ، فلَو لَم يُرِدْ به الإمامةَ علىٰ ما نَقولُ ، لَكانَ بأن يَكونَ مُحيِّراً لهم و مُلبِّساً </w:t>
      </w:r>
      <w:bookmarkStart w:id="232" w:name="pg20017_202472"/>
    </w:p>
    <w:p>
      <w:pPr>
        <w:pStyle w:val="BookText"/>
        <w:rPr/>
      </w:pPr>
      <w:bookmarkEnd w:id="232"/>
      <w:r>
        <w:rPr>
          <w:rFonts w:ascii="Amiri" w:hAnsi="Amiri" w:eastAsia="Amiri" w:cs="Amiri"/>
          <w:color w:val="111111"/>
          <w:sz w:val="28"/>
          <w:sz w:val="28"/>
          <w:szCs w:val="28"/>
          <w:rtl w:val="true"/>
          <w:lang w:bidi="ar-SA"/>
        </w:rPr>
        <w:t>عليهم أقرَبَ مِن البيانِ و الحالُ حالُ بيانٍ‌؛ فلا بُدَّ مِن حَملِه علىٰ ما ذَكرناه، 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عَرَفوا قَصْدَه عليه السلامُ في ذلكَ ؛ لأنّهم لَو لَم يَعرِفوا مُرادَه في إثباتِ الإمامةِ بما يَقولُ </w:t>
      </w:r>
      <w:r>
        <w:rPr>
          <w:rStyle w:val="FootnoteAnchor"/>
          <w:rtl w:val="true"/>
        </w:rPr>
        <w:footnoteReference w:id="1014"/>
      </w:r>
      <w:r>
        <w:rPr>
          <w:rFonts w:ascii="Amiri" w:hAnsi="Amiri" w:eastAsia="Amiri" w:cs="Amiri"/>
          <w:color w:val="111111"/>
          <w:sz w:val="28"/>
          <w:sz w:val="28"/>
          <w:szCs w:val="28"/>
          <w:rtl w:val="true"/>
          <w:lang w:bidi="ar-SA"/>
        </w:rPr>
        <w:t xml:space="preserve">لَكانَ قولُه هذا خارجاً عن طريقةِ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أنّ الذي له قالَه</w:t>
      </w:r>
      <w:r>
        <w:rPr>
          <w:rStyle w:val="FootnoteAnchor"/>
          <w:rtl w:val="true"/>
        </w:rPr>
        <w:footnoteReference w:id="1015"/>
      </w:r>
      <w:r>
        <w:rPr>
          <w:rFonts w:ascii="Amiri" w:hAnsi="Amiri" w:eastAsia="Amiri" w:cs="Amiri"/>
          <w:color w:val="111111"/>
          <w:sz w:val="28"/>
          <w:sz w:val="28"/>
          <w:szCs w:val="28"/>
          <w:rtl w:val="true"/>
          <w:lang w:bidi="ar-SA"/>
        </w:rPr>
        <w:t xml:space="preserve">معروفٌ بالتواتُرِ، و إنّما كَتَمَه بعضُهم و عَدَلَ عنه بُغضاً و مُعاداةً </w:t>
      </w:r>
      <w:r>
        <w:rPr>
          <w:rFonts w:eastAsia="Amiri" w:cs="Amiri" w:ascii="Amiri" w:hAnsi="Amiri"/>
          <w:color w:val="111111"/>
          <w:sz w:val="28"/>
          <w:szCs w:val="28"/>
          <w:rtl w:val="true"/>
          <w:lang w:bidi="ar-SA"/>
        </w:rPr>
        <w:t>.</w:t>
      </w:r>
      <w:r>
        <w:rPr>
          <w:rStyle w:val="FootnoteAnchor"/>
          <w:rtl w:val="true"/>
        </w:rPr>
        <w:footnoteReference w:id="1016"/>
      </w:r>
    </w:p>
    <w:p>
      <w:pPr>
        <w:pStyle w:val="Heading5"/>
        <w:numPr>
          <w:ilvl w:val="4"/>
          <w:numId w:val="1"/>
        </w:numPr>
        <w:rPr/>
      </w:pPr>
      <w:bookmarkStart w:id="233" w:name="__RefHeading___Toc964157_2320776876"/>
      <w:bookmarkStart w:id="234" w:name="_Toc82"/>
      <w:bookmarkEnd w:id="233"/>
      <w:r>
        <w:rPr>
          <w:rtl w:val="true"/>
        </w:rPr>
        <w:t>مقدّمة في بيان تقريرات الاستدلال بحديث الغدير على الإمامة</w:t>
      </w:r>
      <w:bookmarkEnd w:id="234"/>
    </w:p>
    <w:p>
      <w:pPr>
        <w:pStyle w:val="Heading6"/>
        <w:numPr>
          <w:ilvl w:val="5"/>
          <w:numId w:val="1"/>
        </w:numPr>
        <w:rPr/>
      </w:pPr>
      <w:bookmarkStart w:id="235" w:name="__RefHeading___Toc964159_2320776876"/>
      <w:bookmarkStart w:id="236" w:name="_Toc83"/>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مقدّمة في بيان تقريرات الاستدلال بحديث الغدير على الإمامة</w:t>
      </w:r>
      <w:r>
        <w:rPr>
          <w:rStyle w:val="FootnoteAnchor"/>
          <w:rtl w:val="true"/>
        </w:rPr>
        <w:footnoteReference w:id="1017"/>
      </w:r>
    </w:p>
    <w:p>
      <w:pPr>
        <w:pStyle w:val="Heading6"/>
        <w:numPr>
          <w:ilvl w:val="5"/>
          <w:numId w:val="1"/>
        </w:numPr>
        <w:rPr/>
      </w:pPr>
      <w:bookmarkStart w:id="237" w:name="__RefHeading___Toc964161_2320776876"/>
      <w:bookmarkStart w:id="238" w:name="_Toc84"/>
      <w:bookmarkEnd w:id="237"/>
      <w:r>
        <w:rPr>
          <w:rtl w:val="true"/>
        </w:rPr>
        <w:t>التقرير الأوّل</w:t>
      </w:r>
      <w:r>
        <w:rPr>
          <w:rtl w:val="true"/>
        </w:rPr>
        <w:t xml:space="preserve">: </w:t>
      </w:r>
      <w:r>
        <w:rPr>
          <w:rtl w:val="true"/>
        </w:rPr>
        <w:t>الاستدلال بمقدّمة الحديث</w:t>
      </w:r>
      <w:bookmarkEnd w:id="238"/>
    </w:p>
    <w:p>
      <w:pPr>
        <w:pStyle w:val="Heading6"/>
        <w:numPr>
          <w:ilvl w:val="5"/>
          <w:numId w:val="1"/>
        </w:numPr>
        <w:rPr/>
      </w:pPr>
      <w:bookmarkStart w:id="239" w:name="__RefHeading___Toc964163_2320776876"/>
      <w:bookmarkStart w:id="240" w:name="_Toc85"/>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w:t>
      </w:r>
      <w:r>
        <w:rPr>
          <w:rStyle w:val="FootnoteAnchor"/>
          <w:rtl w:val="true"/>
        </w:rPr>
        <w:footnoteReference w:id="1018"/>
      </w:r>
      <w:r>
        <w:rPr>
          <w:rFonts w:ascii="Amiri" w:hAnsi="Amiri" w:eastAsia="Amiri" w:cs="Amiri"/>
          <w:color w:val="111111"/>
          <w:sz w:val="28"/>
          <w:sz w:val="28"/>
          <w:szCs w:val="28"/>
          <w:rtl w:val="true"/>
          <w:lang w:bidi="ar-SA"/>
        </w:rPr>
        <w:t xml:space="preserve">المُعتَمَدُ في الاستدلالِ بخبرِ الغَديرِ علَى النصِّ هو ما نُرتِّبُه، فنَقولُ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صَلّى اللّٰهُ عليه و آلِه استَخرَجَ مِن أُمّتِه في ذلكَ المَقامِ </w:t>
      </w:r>
      <w:r>
        <w:rPr>
          <w:rStyle w:val="FootnoteAnchor"/>
          <w:rtl w:val="true"/>
        </w:rPr>
        <w:footnoteReference w:id="1019"/>
      </w:r>
      <w:r>
        <w:rPr>
          <w:rFonts w:ascii="Amiri" w:hAnsi="Amiri" w:eastAsia="Amiri" w:cs="Amiri"/>
          <w:color w:val="111111"/>
          <w:sz w:val="28"/>
          <w:sz w:val="28"/>
          <w:szCs w:val="28"/>
          <w:rtl w:val="true"/>
          <w:lang w:bidi="ar-SA"/>
        </w:rPr>
        <w:t>الإقرارَ بفَرضِ طاعتِه، و وجوبِ التصرُّفِ بَينَ أمرِه و نهيِه، بقَولِه صَلّى اللّٰهُ عليه و آلِه</w:t>
      </w:r>
      <w:r>
        <w:rPr>
          <w:rStyle w:val="FootnoteAnchor"/>
          <w:rtl w:val="true"/>
        </w:rPr>
        <w:footnoteReference w:id="10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أَولىٰ بِكم منكم بأنفُسِكم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القولُ و إن كانَ مَخرَجُه مَخرَجَ </w:t>
      </w:r>
    </w:p>
    <w:p>
      <w:pPr>
        <w:pStyle w:val="BookText"/>
        <w:rPr/>
      </w:pPr>
      <w:r>
        <w:rPr>
          <w:rFonts w:ascii="Amiri" w:hAnsi="Amiri" w:eastAsia="Amiri" w:cs="Amiri"/>
          <w:color w:val="111111"/>
          <w:sz w:val="28"/>
          <w:sz w:val="28"/>
          <w:szCs w:val="28"/>
          <w:rtl w:val="true"/>
          <w:lang w:bidi="ar-SA"/>
        </w:rPr>
        <w:t>الاستفهامِ فالمُرادُ به التقريرُ، و هو جارٍ مَجرىٰ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ص، ط،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الطاعة له</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فلمّا أجابوه بالاعترافِ و الإقرارِ رَفَعَ بيَدِ أميرِ المؤمنينَ عليه السلامُ و قالَ عاطفاً علىٰ 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رواياتٍ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والِ مَن والاه، و عادِ مَن عاداه، و انصُرْ مَن نَصَرَه، و اخذُلْ‌</w:t>
      </w:r>
    </w:p>
    <w:p>
      <w:pPr>
        <w:pStyle w:val="BookText"/>
        <w:rPr/>
      </w:pPr>
      <w:r>
        <w:rPr>
          <w:rFonts w:ascii="Amiri" w:hAnsi="Amiri" w:eastAsia="Amiri" w:cs="Amiri"/>
          <w:color w:val="111111"/>
          <w:sz w:val="28"/>
          <w:sz w:val="28"/>
          <w:szCs w:val="28"/>
          <w:rtl w:val="true"/>
          <w:lang w:bidi="ar-SA"/>
        </w:rPr>
        <w:t>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عليه السلامُ بجُملةٍ يَحتَمِلُ‌</w:t>
      </w:r>
      <w:r>
        <w:rPr>
          <w:rStyle w:val="FootnoteAnchor"/>
          <w:rtl w:val="true"/>
        </w:rPr>
        <w:footnoteReference w:id="1023"/>
      </w:r>
      <w:r>
        <w:rPr>
          <w:rFonts w:ascii="Amiri" w:hAnsi="Amiri" w:eastAsia="Amiri" w:cs="Amiri"/>
          <w:color w:val="111111"/>
          <w:sz w:val="28"/>
          <w:sz w:val="28"/>
          <w:szCs w:val="28"/>
          <w:rtl w:val="true"/>
          <w:lang w:bidi="ar-SA"/>
        </w:rPr>
        <w:t>لفظُها معنَى الجُملةِ الأُولَى التي قَدَّمَها و إن كانَ مُحتَمِلاً لغَيرِه؛ فوَجَبَ‌</w:t>
      </w:r>
      <w:r>
        <w:rPr>
          <w:rStyle w:val="FootnoteAnchor"/>
          <w:rtl w:val="true"/>
        </w:rPr>
        <w:footnoteReference w:id="1024"/>
      </w:r>
      <w:r>
        <w:rPr>
          <w:rFonts w:ascii="Amiri" w:hAnsi="Amiri" w:eastAsia="Amiri" w:cs="Amiri"/>
          <w:color w:val="111111"/>
          <w:sz w:val="28"/>
          <w:sz w:val="28"/>
          <w:szCs w:val="28"/>
          <w:rtl w:val="true"/>
          <w:lang w:bidi="ar-SA"/>
        </w:rPr>
        <w:t xml:space="preserve">أن يُريدَ بها المعنَى المُتقدِّمَ الذي قَرَّرَهم به، علىٰ مُقتَضَى استعمالِ </w:t>
      </w:r>
      <w:r>
        <w:rPr>
          <w:rStyle w:val="FootnoteAnchor"/>
          <w:rtl w:val="true"/>
        </w:rPr>
        <w:footnoteReference w:id="1025"/>
      </w:r>
      <w:r>
        <w:rPr>
          <w:rFonts w:ascii="Amiri" w:hAnsi="Amiri" w:eastAsia="Amiri" w:cs="Amiri"/>
          <w:color w:val="111111"/>
          <w:sz w:val="28"/>
          <w:sz w:val="28"/>
          <w:szCs w:val="28"/>
          <w:rtl w:val="true"/>
          <w:lang w:bidi="ar-SA"/>
        </w:rPr>
        <w:t>أهلِ اللُّغةِ و عُرفِهم في خِطابِهم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ثَبَتَ أنّه صَلّى اللّٰهُ عليه و آلِه أرادَ ما ذَكرناه مِن إيجابِه كَونَ أميرِ المؤمنينَ عليه السلامُ أَولىٰ بالأُمّةِ </w:t>
      </w:r>
      <w:r>
        <w:rPr>
          <w:rStyle w:val="FootnoteAnchor"/>
          <w:rtl w:val="true"/>
        </w:rPr>
        <w:footnoteReference w:id="1026"/>
      </w:r>
      <w:r>
        <w:rPr>
          <w:rFonts w:ascii="Amiri" w:hAnsi="Amiri" w:eastAsia="Amiri" w:cs="Amiri"/>
          <w:color w:val="111111"/>
          <w:sz w:val="28"/>
          <w:sz w:val="28"/>
          <w:szCs w:val="28"/>
          <w:rtl w:val="true"/>
          <w:lang w:bidi="ar-SA"/>
        </w:rPr>
        <w:t xml:space="preserve">مِن أنفُسِهم، فقَد أوجَبَ له الإمامةَ </w:t>
      </w:r>
      <w:r>
        <w:rPr>
          <w:rStyle w:val="FootnoteAnchor"/>
          <w:rtl w:val="true"/>
        </w:rPr>
        <w:footnoteReference w:id="1027"/>
      </w:r>
      <w:r>
        <w:rPr>
          <w:rFonts w:ascii="Amiri" w:hAnsi="Amiri" w:eastAsia="Amiri" w:cs="Amiri"/>
          <w:color w:val="111111"/>
          <w:sz w:val="28"/>
          <w:sz w:val="28"/>
          <w:szCs w:val="28"/>
          <w:rtl w:val="true"/>
          <w:lang w:bidi="ar-SA"/>
        </w:rPr>
        <w:t>لأنّه لا يَكونُ أَولىٰ بهم مِن أنفُسِهم إلّافيما يَقتَضي فَرضَ طاعتِه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 نُفوذَ أمرِه و نَهيِه فيهم، و لَن يَكونَ </w:t>
      </w:r>
      <w:r>
        <w:rPr>
          <w:rStyle w:val="FootnoteAnchor"/>
          <w:rtl w:val="true"/>
        </w:rPr>
        <w:footnoteReference w:id="1028"/>
      </w:r>
      <w:r>
        <w:rPr>
          <w:rFonts w:ascii="Amiri" w:hAnsi="Amiri" w:eastAsia="Amiri" w:cs="Amiri"/>
          <w:color w:val="111111"/>
          <w:sz w:val="28"/>
          <w:sz w:val="28"/>
          <w:szCs w:val="28"/>
          <w:rtl w:val="true"/>
          <w:lang w:bidi="ar-SA"/>
        </w:rPr>
        <w:t>كذلكَ إلّامَن كانَ إماماً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دُلّوا علىٰ صحّةِ الخبرِ، ثُمَّ علىٰ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أحَدُ أقسامِ ما يَحتَمِلُه، ثُمَّ علىٰ أنّ المُرادَ بهذه اللفظةِ في الخبرِ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سائرِ الأقسامِ ، ثُمَّ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معنَى الإمامةِ </w:t>
      </w:r>
      <w:r>
        <w:rPr>
          <w:rFonts w:eastAsia="Amiri" w:cs="Amiri" w:ascii="Amiri" w:hAnsi="Amiri"/>
          <w:color w:val="111111"/>
          <w:sz w:val="28"/>
          <w:szCs w:val="28"/>
          <w:rtl w:val="true"/>
          <w:lang w:bidi="ar-SA"/>
        </w:rPr>
        <w:t>.</w:t>
      </w:r>
      <w:r>
        <w:rPr>
          <w:rStyle w:val="FootnoteAnchor"/>
          <w:rtl w:val="true"/>
        </w:rPr>
        <w:footnoteReference w:id="1029"/>
      </w:r>
      <w:bookmarkStart w:id="241" w:name="pg20017_202474"/>
    </w:p>
    <w:p>
      <w:pPr>
        <w:pStyle w:val="Heading6"/>
        <w:numPr>
          <w:ilvl w:val="5"/>
          <w:numId w:val="1"/>
        </w:numPr>
        <w:rPr/>
      </w:pPr>
      <w:bookmarkStart w:id="242" w:name="__RefHeading___Toc964165_2320776876"/>
      <w:bookmarkStart w:id="243" w:name="_Toc86"/>
      <w:bookmarkEnd w:id="241"/>
      <w:bookmarkEnd w:id="242"/>
      <w:r>
        <w:rPr>
          <w:rtl w:val="true"/>
        </w:rPr>
        <w:t>البحث الأوّل</w:t>
      </w:r>
      <w:r>
        <w:rPr>
          <w:rtl w:val="true"/>
        </w:rPr>
        <w:t xml:space="preserve">: </w:t>
      </w:r>
      <w:r>
        <w:rPr>
          <w:rtl w:val="true"/>
        </w:rPr>
        <w:t>بيان صحّة حديث الغدير و تواتره</w:t>
      </w:r>
      <w:bookmarkEnd w:id="243"/>
    </w:p>
    <w:p>
      <w:pPr>
        <w:pStyle w:val="Heading6"/>
        <w:numPr>
          <w:ilvl w:val="5"/>
          <w:numId w:val="1"/>
        </w:numPr>
        <w:rPr/>
      </w:pPr>
      <w:bookmarkStart w:id="244" w:name="__RefHeading___Toc964167_2320776876"/>
      <w:bookmarkStart w:id="245" w:name="_Toc87"/>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الدَّلالةُ علىٰ صحّةِ هذا</w:t>
      </w:r>
      <w:r>
        <w:rPr>
          <w:rStyle w:val="FootnoteAnchor"/>
          <w:rtl w:val="true"/>
        </w:rPr>
        <w:footnoteReference w:id="1030"/>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يُطالِبُ بها إلّامُتعنِّتٌ‌</w:t>
      </w:r>
      <w:r>
        <w:rPr>
          <w:rStyle w:val="FootnoteAnchor"/>
          <w:rtl w:val="true"/>
        </w:rPr>
        <w:footnoteReference w:id="1031"/>
      </w:r>
      <w:r>
        <w:rPr>
          <w:rFonts w:ascii="Amiri" w:hAnsi="Amiri" w:eastAsia="Amiri" w:cs="Amiri"/>
          <w:color w:val="111111"/>
          <w:sz w:val="28"/>
          <w:sz w:val="28"/>
          <w:szCs w:val="28"/>
          <w:rtl w:val="true"/>
          <w:lang w:bidi="ar-SA"/>
        </w:rPr>
        <w:t xml:space="preserve">لظُهورِه و انتشارِه، و حصولِ العِلمِ لكُلِّ مَن سَمِعَ </w:t>
      </w:r>
      <w:r>
        <w:rPr>
          <w:rStyle w:val="FootnoteAnchor"/>
          <w:rtl w:val="true"/>
        </w:rPr>
        <w:footnoteReference w:id="1032"/>
      </w:r>
      <w:r>
        <w:rPr>
          <w:rFonts w:ascii="Amiri" w:hAnsi="Amiri" w:eastAsia="Amiri" w:cs="Amiri"/>
          <w:color w:val="111111"/>
          <w:sz w:val="28"/>
          <w:sz w:val="28"/>
          <w:szCs w:val="28"/>
          <w:rtl w:val="true"/>
          <w:lang w:bidi="ar-SA"/>
        </w:rPr>
        <w:t>الأخبارَ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المُطالِبُ بتصحيحِ خبرِ الغَديرِ و الدَّلالةِ عليه إلّاكالمُطالِبِ بتصحيحِ غَزَواتِ الرسولِ صلّى اللّٰه عليه و آله الظاهرةِ المشهورةِ </w:t>
      </w:r>
      <w:r>
        <w:rPr>
          <w:rStyle w:val="FootnoteAnchor"/>
          <w:rtl w:val="true"/>
        </w:rPr>
        <w:footnoteReference w:id="1033"/>
      </w:r>
      <w:r>
        <w:rPr>
          <w:rFonts w:ascii="Amiri" w:hAnsi="Amiri" w:eastAsia="Amiri" w:cs="Amiri"/>
          <w:color w:val="111111"/>
          <w:sz w:val="28"/>
          <w:sz w:val="28"/>
          <w:szCs w:val="28"/>
          <w:rtl w:val="true"/>
          <w:lang w:bidi="ar-SA"/>
        </w:rPr>
        <w:t xml:space="preserve">، و أحوالِه المعروفةِ ، و حجّةِ الوَداعِ نفسِها؛ لأنّ ظهورَ الجميعِ و عمومَ العِلمِ به بمَنزِلةٍ واحدةٍ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 الشيعةَ قاطبةً تَنقُلُه و تَتَواتَرُ به، و أكثَرُ رُواةِ أصحابِ الحَديثِ يَروونَه</w:t>
      </w:r>
      <w:r>
        <w:rPr>
          <w:rStyle w:val="FootnoteAnchor"/>
          <w:rtl w:val="true"/>
        </w:rPr>
        <w:footnoteReference w:id="1034"/>
      </w:r>
      <w:r>
        <w:rPr>
          <w:rFonts w:ascii="Amiri" w:hAnsi="Amiri" w:eastAsia="Amiri" w:cs="Amiri"/>
          <w:color w:val="111111"/>
          <w:sz w:val="28"/>
          <w:sz w:val="28"/>
          <w:szCs w:val="28"/>
          <w:rtl w:val="true"/>
          <w:lang w:bidi="ar-SA"/>
        </w:rPr>
        <w:t>بالأسانيدِ المُتَّصِلةِ ، و جميعُ أصحابِ السِّيَرِ يَنقُلونَه و يَتلقَّونَه</w:t>
      </w:r>
      <w:r>
        <w:rPr>
          <w:rStyle w:val="FootnoteAnchor"/>
          <w:rtl w:val="true"/>
        </w:rPr>
        <w:footnoteReference w:id="1035"/>
      </w:r>
      <w:r>
        <w:rPr>
          <w:rFonts w:ascii="Amiri" w:hAnsi="Amiri" w:eastAsia="Amiri" w:cs="Amiri"/>
          <w:color w:val="111111"/>
          <w:sz w:val="28"/>
          <w:sz w:val="28"/>
          <w:szCs w:val="28"/>
          <w:rtl w:val="true"/>
          <w:lang w:bidi="ar-SA"/>
        </w:rPr>
        <w:t xml:space="preserve">عن أسلافِهم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عن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بغَيرِ إسنادٍ مخصوصٍ ، كما نَقَلوا الوقائعَ و الحوادِثَ الظاهرةَ ، و قد أورَدَه مُصَنِّفو الحَديثِ في جُملةِ الصحيحِ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w:t>
      </w:r>
      <w:r>
        <w:rPr>
          <w:rStyle w:val="FootnoteAnchor"/>
          <w:rtl w:val="true"/>
        </w:rPr>
        <w:footnoteReference w:id="1037"/>
      </w:r>
      <w:r>
        <w:rPr>
          <w:rFonts w:ascii="Amiri" w:hAnsi="Amiri" w:eastAsia="Amiri" w:cs="Amiri"/>
          <w:color w:val="111111"/>
          <w:sz w:val="28"/>
          <w:sz w:val="28"/>
          <w:szCs w:val="28"/>
          <w:rtl w:val="true"/>
          <w:lang w:bidi="ar-SA"/>
        </w:rPr>
        <w:t>استَبَدَّ هذا الخبرُ بما لا يَشرَكُه</w:t>
      </w:r>
      <w:r>
        <w:rPr>
          <w:rStyle w:val="FootnoteAnchor"/>
          <w:rtl w:val="true"/>
        </w:rPr>
        <w:footnoteReference w:id="1038"/>
      </w:r>
      <w:r>
        <w:rPr>
          <w:rFonts w:ascii="Amiri" w:hAnsi="Amiri" w:eastAsia="Amiri" w:cs="Amiri"/>
          <w:color w:val="111111"/>
          <w:sz w:val="28"/>
          <w:sz w:val="28"/>
          <w:szCs w:val="28"/>
          <w:rtl w:val="true"/>
          <w:lang w:bidi="ar-SA"/>
        </w:rPr>
        <w:t>فيه سائرُ الأخبارِ؛ لأنّ الأخبارَ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w:t>
      </w:r>
      <w:r>
        <w:rPr>
          <w:rStyle w:val="FootnoteAnchor"/>
          <w:rtl w:val="true"/>
        </w:rPr>
        <w:footnoteReference w:id="1039"/>
      </w:r>
      <w:r>
        <w:rPr>
          <w:rFonts w:ascii="Amiri" w:hAnsi="Amiri" w:eastAsia="Amiri" w:cs="Amiri"/>
          <w:color w:val="111111"/>
          <w:sz w:val="28"/>
          <w:sz w:val="28"/>
          <w:szCs w:val="28"/>
          <w:rtl w:val="true"/>
          <w:lang w:bidi="ar-SA"/>
        </w:rPr>
        <w:t>في نَقلِه الأسانيدُ المُتَّصِلةُ‌، كالخبرِ عن وَقعةِ بَدرٍ و حُنَينٍ‌</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و الجَمَلِ و صِفّينَ‌، و ما جَرىٰ مَجرىٰ ذلكَ مِن الأُمورِ الظاهرةِ التي نَقَلَها</w:t>
      </w:r>
      <w:r>
        <w:rPr>
          <w:rStyle w:val="FootnoteAnchor"/>
          <w:rtl w:val="true"/>
        </w:rPr>
        <w:footnoteReference w:id="1041"/>
      </w:r>
      <w:r>
        <w:rPr>
          <w:rFonts w:ascii="Amiri" w:hAnsi="Amiri" w:eastAsia="Amiri" w:cs="Amiri"/>
          <w:color w:val="111111"/>
          <w:sz w:val="28"/>
          <w:sz w:val="28"/>
          <w:szCs w:val="28"/>
          <w:rtl w:val="true"/>
          <w:lang w:bidi="ar-SA"/>
        </w:rPr>
        <w:t>الناسُ قَرناً بَعدَ قَرنٍ بغَيرِ</w:t>
      </w:r>
      <w:r>
        <w:rPr>
          <w:rStyle w:val="FootnoteAnchor"/>
          <w:rtl w:val="true"/>
        </w:rPr>
        <w:footnoteReference w:id="1042"/>
      </w:r>
      <w:r>
        <w:rPr>
          <w:rFonts w:ascii="Amiri" w:hAnsi="Amiri" w:eastAsia="Amiri" w:cs="Amiri"/>
          <w:color w:val="111111"/>
          <w:sz w:val="28"/>
          <w:sz w:val="28"/>
          <w:szCs w:val="28"/>
          <w:rtl w:val="true"/>
          <w:lang w:bidi="ar-SA"/>
        </w:rPr>
        <w:t>إسنادٍ مُعيَّنٍ‌</w:t>
      </w:r>
      <w:r>
        <w:rPr>
          <w:rStyle w:val="FootnoteAnchor"/>
          <w:rtl w:val="true"/>
        </w:rPr>
        <w:footnoteReference w:id="1043"/>
      </w:r>
      <w:r>
        <w:rPr>
          <w:rFonts w:ascii="Amiri" w:hAnsi="Amiri" w:eastAsia="Amiri" w:cs="Amiri"/>
          <w:color w:val="111111"/>
          <w:sz w:val="28"/>
          <w:sz w:val="28"/>
          <w:szCs w:val="28"/>
          <w:rtl w:val="true"/>
          <w:lang w:bidi="ar-SA"/>
        </w:rPr>
        <w:t xml:space="preserve">و طريقٍ مخصوصٍ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 اتّصالُ الأسانيدِ، كأكثَرِ أخبارِ</w:t>
      </w:r>
      <w:r>
        <w:rPr>
          <w:rStyle w:val="FootnoteAnchor"/>
          <w:rtl w:val="true"/>
        </w:rPr>
        <w:footnoteReference w:id="1044"/>
      </w: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اجتَمَعَ في خبرِ الغَديرِ الطريقانِ معاً مع تَفرُّقِهما في غيرِه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اعتُبِرَ في نَقلِه مِن</w:t>
      </w:r>
      <w:r>
        <w:rPr>
          <w:rStyle w:val="FootnoteAnchor"/>
          <w:rtl w:val="true"/>
        </w:rPr>
        <w:footnoteReference w:id="1045"/>
      </w:r>
      <w:r>
        <w:rPr>
          <w:rFonts w:ascii="Amiri" w:hAnsi="Amiri" w:eastAsia="Amiri" w:cs="Amiri"/>
          <w:color w:val="111111"/>
          <w:sz w:val="28"/>
          <w:sz w:val="28"/>
          <w:szCs w:val="28"/>
          <w:rtl w:val="true"/>
          <w:lang w:bidi="ar-SA"/>
        </w:rPr>
        <w:t>أخبارِ الشريعةِ اتّصالُ الأسانيدِ لَو فَتَّشتَ عن</w:t>
      </w:r>
      <w:r>
        <w:rPr>
          <w:rStyle w:val="FootnoteAnchor"/>
          <w:rtl w:val="true"/>
        </w:rPr>
        <w:footnoteReference w:id="1046"/>
      </w:r>
      <w:r>
        <w:rPr>
          <w:rFonts w:ascii="Amiri" w:hAnsi="Amiri" w:eastAsia="Amiri" w:cs="Amiri"/>
          <w:color w:val="111111"/>
          <w:sz w:val="28"/>
          <w:sz w:val="28"/>
          <w:szCs w:val="28"/>
          <w:rtl w:val="true"/>
          <w:lang w:bidi="ar-SA"/>
        </w:rPr>
        <w:t>جميعِه لَم تَجِدْ رُواتَه</w:t>
      </w:r>
      <w:r>
        <w:rPr>
          <w:rStyle w:val="FootnoteAnchor"/>
          <w:rtl w:val="true"/>
        </w:rPr>
        <w:footnoteReference w:id="1047"/>
      </w:r>
      <w:r>
        <w:rPr>
          <w:rFonts w:ascii="Amiri" w:hAnsi="Amiri" w:eastAsia="Amiri" w:cs="Amiri"/>
          <w:color w:val="111111"/>
          <w:sz w:val="28"/>
          <w:sz w:val="28"/>
          <w:szCs w:val="28"/>
          <w:rtl w:val="true"/>
          <w:lang w:bidi="ar-SA"/>
        </w:rPr>
        <w:t xml:space="preserve">إلّاالآحادَ، و خبرُ الغَديرِ قد رَواه بالأسانيدِ الكثيرةِ المُتَّصِلةِ الجَمعُ الكَثيرُ، فمَزِيَّتُه 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صحّةِ الخبرِ إطباقُ عُلَماءِ الأُمّةِ علىٰ قبولِه، و لا شُبهةَ فيما ادَّعَيناه مِن الإطباقِ ؛ لأنّ الشيعةَ جَعَلَته الحُجّةَ في النصِّ علىٰ أميرِ المؤمنينَ عليه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 صحّاف فيه روايات خبر غدير خمّ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المجلّدة الثامنة و العشرون من طرق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يتلوه المجلّدة التاسعة و العشرون</w:t>
      </w:r>
      <w:r>
        <w:rPr>
          <w:rFonts w:eastAsia="Amiri" w:cs="Amiri" w:ascii="Amiri" w:hAnsi="Amiri"/>
          <w:color w:val="111111"/>
          <w:sz w:val="28"/>
          <w:szCs w:val="28"/>
          <w:rtl w:val="true"/>
          <w:lang w:bidi="ar-SA"/>
        </w:rPr>
        <w:t xml:space="preserve">». </w:t>
      </w:r>
      <w:bookmarkStart w:id="246" w:name="pg20017_202476"/>
    </w:p>
    <w:p>
      <w:pPr>
        <w:pStyle w:val="BookText"/>
        <w:rPr/>
      </w:pPr>
      <w:bookmarkEnd w:id="246"/>
      <w:r>
        <w:rPr>
          <w:rFonts w:ascii="Amiri" w:hAnsi="Amiri" w:eastAsia="Amiri" w:cs="Amiri"/>
          <w:color w:val="111111"/>
          <w:sz w:val="28"/>
          <w:sz w:val="28"/>
          <w:szCs w:val="28"/>
          <w:rtl w:val="true"/>
          <w:lang w:bidi="ar-SA"/>
        </w:rPr>
        <w:t>السلامُ بالإمامةِ‌، و مخالِفو الشيعةِ تأوَّلوه علىٰ خِلافِ الإمامةِ علَى اختلافِ تأويلاتِهم؛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يَقتَضي كَونَه عليه السلامُ الأفضَلَ‌،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يَقتَضي مُوالاتَه علَى الظاهرِ و الباطنِ‌، و آخَرونَ يَذهَبونَ فيه إلىٰ وَلاءِ العِتقِ‌، و يَجعَلونَ سببَه ما وَقَعَ مِن</w:t>
      </w:r>
      <w:r>
        <w:rPr>
          <w:rStyle w:val="FootnoteAnchor"/>
          <w:rtl w:val="true"/>
        </w:rPr>
        <w:footnoteReference w:id="1048"/>
      </w:r>
      <w:r>
        <w:rPr>
          <w:rFonts w:ascii="Amiri" w:hAnsi="Amiri" w:eastAsia="Amiri" w:cs="Amiri"/>
          <w:color w:val="111111"/>
          <w:sz w:val="28"/>
          <w:sz w:val="28"/>
          <w:szCs w:val="28"/>
          <w:rtl w:val="true"/>
          <w:lang w:bidi="ar-SA"/>
        </w:rPr>
        <w:t>زَيدِ بنِ حارثةَ أو ابنِه</w:t>
      </w:r>
      <w:r>
        <w:rPr>
          <w:rStyle w:val="FootnoteAnchor"/>
          <w:rtl w:val="true"/>
        </w:rPr>
        <w:footnoteReference w:id="1049"/>
      </w:r>
      <w:r>
        <w:rPr>
          <w:rFonts w:ascii="Amiri" w:hAnsi="Amiri" w:eastAsia="Amiri" w:cs="Amiri"/>
          <w:color w:val="111111"/>
          <w:sz w:val="28"/>
          <w:sz w:val="28"/>
          <w:szCs w:val="28"/>
          <w:rtl w:val="true"/>
          <w:lang w:bidi="ar-SA"/>
        </w:rPr>
        <w:t>أُسامةَ‌</w:t>
      </w:r>
      <w:r>
        <w:rPr>
          <w:rStyle w:val="FootnoteAnchor"/>
          <w:rtl w:val="true"/>
        </w:rPr>
        <w:footnoteReference w:id="1050"/>
      </w:r>
      <w:r>
        <w:rPr>
          <w:rFonts w:ascii="Amiri" w:hAnsi="Amiri" w:eastAsia="Amiri" w:cs="Amiri"/>
          <w:color w:val="111111"/>
          <w:sz w:val="28"/>
          <w:sz w:val="28"/>
          <w:szCs w:val="28"/>
          <w:rtl w:val="true"/>
          <w:lang w:bidi="ar-SA"/>
        </w:rPr>
        <w:t>مِن المُشاجَرةِ‌،</w:t>
      </w:r>
      <w:r>
        <w:rPr>
          <w:rStyle w:val="FootnoteAnchor"/>
          <w:rtl w:val="true"/>
        </w:rPr>
        <w:footnoteReference w:id="1051"/>
      </w:r>
      <w:r>
        <w:rPr>
          <w:rFonts w:ascii="Amiri" w:hAnsi="Amiri" w:eastAsia="Amiri" w:cs="Amiri"/>
          <w:color w:val="111111"/>
          <w:sz w:val="28"/>
          <w:sz w:val="28"/>
          <w:szCs w:val="28"/>
          <w:rtl w:val="true"/>
          <w:lang w:bidi="ar-SA"/>
        </w:rPr>
        <w:t xml:space="preserve">إلىٰ غيرِ ما ذَكرناه مِن ضُروبِ التأويلاتِ و الاعتقاداتِ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نَعلَمُ </w:t>
      </w:r>
      <w:r>
        <w:rPr>
          <w:rStyle w:val="FootnoteAnchor"/>
          <w:rtl w:val="true"/>
        </w:rPr>
        <w:footnoteReference w:id="1052"/>
      </w:r>
      <w:r>
        <w:rPr>
          <w:rFonts w:ascii="Amiri" w:hAnsi="Amiri" w:eastAsia="Amiri" w:cs="Amiri"/>
          <w:color w:val="111111"/>
          <w:sz w:val="28"/>
          <w:sz w:val="28"/>
          <w:szCs w:val="28"/>
          <w:rtl w:val="true"/>
          <w:lang w:bidi="ar-SA"/>
        </w:rPr>
        <w:t>أنّ فِرقةً مِن فِرَقِ الأُمّةِ رَدَّت هذا الخبرَ، و</w:t>
      </w:r>
      <w:r>
        <w:rPr>
          <w:rStyle w:val="FootnoteAnchor"/>
          <w:rtl w:val="true"/>
        </w:rPr>
        <w:footnoteReference w:id="1053"/>
      </w:r>
      <w:r>
        <w:rPr>
          <w:rFonts w:ascii="Amiri" w:hAnsi="Amiri" w:eastAsia="Amiri" w:cs="Amiri"/>
          <w:color w:val="111111"/>
          <w:sz w:val="28"/>
          <w:sz w:val="28"/>
          <w:szCs w:val="28"/>
          <w:rtl w:val="true"/>
          <w:lang w:bidi="ar-SA"/>
        </w:rPr>
        <w:t xml:space="preserve">اعتَقَدَت بُطلانَه، و امتَنَعَت مِن قبولِه، و ما تُجمِعُ </w:t>
      </w:r>
      <w:r>
        <w:rPr>
          <w:rStyle w:val="FootnoteAnchor"/>
          <w:rtl w:val="true"/>
        </w:rPr>
        <w:footnoteReference w:id="1054"/>
      </w:r>
      <w:r>
        <w:rPr>
          <w:rFonts w:ascii="Amiri" w:hAnsi="Amiri" w:eastAsia="Amiri" w:cs="Amiri"/>
          <w:color w:val="111111"/>
          <w:sz w:val="28"/>
          <w:sz w:val="28"/>
          <w:szCs w:val="28"/>
          <w:rtl w:val="true"/>
          <w:lang w:bidi="ar-SA"/>
        </w:rPr>
        <w:t xml:space="preserve">الأُمّةُ عليه لا يَكونُ إلّاحقّاً عندَنا و عندَ مُخالِفينا و إنِ اختَلَفنا في العِلّةِ و الاستدلالِ </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964169_2320776876"/>
      <w:bookmarkStart w:id="248" w:name="_Toc88"/>
      <w:bookmarkEnd w:id="247"/>
      <w:r>
        <w:rPr>
          <w:rtl w:val="true"/>
        </w:rPr>
        <w:t>نفي أن يكون أحدٌ شكّ في صحّة حديث الغدير أو اعتقد بطلانه</w:t>
      </w:r>
      <w:bookmarkEnd w:id="24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r>
        <w:rPr>
          <w:rStyle w:val="FootnoteAnchor"/>
          <w:rtl w:val="true"/>
        </w:rPr>
        <w:footnoteReference w:id="1055"/>
      </w:r>
      <w:r>
        <w:rPr>
          <w:rFonts w:ascii="Amiri" w:hAnsi="Amiri" w:eastAsia="Amiri" w:cs="Amiri"/>
          <w:color w:val="111111"/>
          <w:sz w:val="28"/>
          <w:sz w:val="28"/>
          <w:szCs w:val="28"/>
          <w:rtl w:val="true"/>
          <w:lang w:bidi="ar-SA"/>
        </w:rPr>
        <w:t>في تأويلِ مُخالِفيكم للخبرِ ممّا</w:t>
      </w:r>
      <w:r>
        <w:rPr>
          <w:rStyle w:val="FootnoteAnchor"/>
          <w:rtl w:val="true"/>
        </w:rPr>
        <w:footnoteReference w:id="1056"/>
      </w:r>
      <w:r>
        <w:rPr>
          <w:rFonts w:ascii="Amiri" w:hAnsi="Amiri" w:eastAsia="Amiri" w:cs="Amiri"/>
          <w:color w:val="111111"/>
          <w:sz w:val="28"/>
          <w:sz w:val="28"/>
          <w:szCs w:val="28"/>
          <w:rtl w:val="true"/>
          <w:lang w:bidi="ar-SA"/>
        </w:rPr>
        <w:t>يَدُلُّ علىٰ تَقبُّلِهم</w:t>
      </w:r>
      <w:r>
        <w:rPr>
          <w:rStyle w:val="FootnoteAnchor"/>
          <w:rtl w:val="true"/>
        </w:rPr>
        <w:footnoteReference w:id="1057"/>
      </w:r>
      <w:r>
        <w:rPr>
          <w:rFonts w:ascii="Amiri" w:hAnsi="Amiri" w:eastAsia="Amiri" w:cs="Amiri"/>
          <w:color w:val="111111"/>
          <w:sz w:val="28"/>
          <w:sz w:val="28"/>
          <w:szCs w:val="28"/>
          <w:rtl w:val="true"/>
          <w:lang w:bidi="ar-SA"/>
        </w:rPr>
        <w:t xml:space="preserve">له‌؟ أوَ لَيسَ </w:t>
      </w:r>
    </w:p>
    <w:p>
      <w:pPr>
        <w:pStyle w:val="BookText"/>
        <w:rPr/>
      </w:pPr>
      <w:r>
        <w:rPr>
          <w:rFonts w:ascii="Amiri" w:hAnsi="Amiri" w:eastAsia="Amiri" w:cs="Amiri"/>
          <w:color w:val="111111"/>
          <w:sz w:val="28"/>
          <w:sz w:val="28"/>
          <w:szCs w:val="28"/>
          <w:rtl w:val="true"/>
          <w:lang w:bidi="ar-SA"/>
        </w:rPr>
        <w:t xml:space="preserve">قد يَتأوَّلُ </w:t>
      </w:r>
      <w:r>
        <w:rPr>
          <w:rStyle w:val="FootnoteAnchor"/>
          <w:rtl w:val="true"/>
        </w:rPr>
        <w:footnoteReference w:id="1058"/>
      </w:r>
      <w:r>
        <w:rPr>
          <w:rFonts w:ascii="Amiri" w:hAnsi="Amiri" w:eastAsia="Amiri" w:cs="Amiri"/>
          <w:color w:val="111111"/>
          <w:sz w:val="28"/>
          <w:sz w:val="28"/>
          <w:szCs w:val="28"/>
          <w:rtl w:val="true"/>
          <w:lang w:bidi="ar-SA"/>
        </w:rPr>
        <w:t>المُتكلِّمونَ كَثيراً ممّا لا يَقبَلونَه كأخبارِ المُشبِّهةِ و أصحابِ الرؤيةِ؟ فما</w:t>
      </w:r>
      <w:r>
        <w:rPr>
          <w:rStyle w:val="FootnoteAnchor"/>
          <w:rtl w:val="true"/>
        </w:rPr>
        <w:footnoteReference w:id="1059"/>
      </w:r>
      <w:r>
        <w:rPr>
          <w:rFonts w:ascii="Amiri" w:hAnsi="Amiri" w:eastAsia="Amiri" w:cs="Amiri"/>
          <w:color w:val="111111"/>
          <w:sz w:val="28"/>
          <w:sz w:val="28"/>
          <w:szCs w:val="28"/>
          <w:rtl w:val="true"/>
          <w:lang w:bidi="ar-SA"/>
        </w:rPr>
        <w:t>المانعُ مِن أن يَكونَ في الأُمّةِ مَن يَعتَقِدُ بُطلانَه، أو يَشُكُّ في صحّتهِ؟</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يَجوزُ أن يَتأوَّلَ‌</w:t>
      </w:r>
      <w:r>
        <w:rPr>
          <w:rStyle w:val="FootnoteAnchor"/>
          <w:rtl w:val="true"/>
        </w:rPr>
        <w:footnoteReference w:id="1060"/>
      </w:r>
      <w:r>
        <w:rPr>
          <w:rFonts w:ascii="Amiri" w:hAnsi="Amiri" w:eastAsia="Amiri" w:cs="Amiri"/>
          <w:color w:val="111111"/>
          <w:sz w:val="28"/>
          <w:sz w:val="28"/>
          <w:szCs w:val="28"/>
          <w:rtl w:val="true"/>
          <w:lang w:bidi="ar-SA"/>
        </w:rPr>
        <w:t>أحَدٌ مِن المُتكلِّمينَ خبراً يَعتَقِدُ بُطلانَه أو يَشُكُّ في صحّتِه إلّابَعدَ أن يَبينَ ذلكَ مِن حالِه، و يَدُلَّ علىٰ بُطلانِ الخبرِ أو علىٰ فَقْدِ ما يَقتَضي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نَجِدْ مُخالِفي الشيعةِ في ماضٍ و لا مُستَقبَلٍ يَستَعمِلونَ في تأويلِ خبرِ الغَديرِ إلّاما يَستَعمِلُه المُتقبِّلُ‌؛ لأنّا لا نَعلَمُ </w:t>
      </w:r>
      <w:r>
        <w:rPr>
          <w:rStyle w:val="FootnoteAnchor"/>
          <w:rtl w:val="true"/>
        </w:rPr>
        <w:footnoteReference w:id="1061"/>
      </w:r>
      <w:r>
        <w:rPr>
          <w:rFonts w:ascii="Amiri" w:hAnsi="Amiri" w:eastAsia="Amiri" w:cs="Amiri"/>
          <w:color w:val="111111"/>
          <w:sz w:val="28"/>
          <w:sz w:val="28"/>
          <w:szCs w:val="28"/>
          <w:rtl w:val="true"/>
          <w:lang w:bidi="ar-SA"/>
        </w:rPr>
        <w:t>أحَداً منهم يُعتَدُّ بمِثلِه</w:t>
      </w:r>
      <w:r>
        <w:rPr>
          <w:rStyle w:val="FootnoteAnchor"/>
          <w:rtl w:val="true"/>
        </w:rPr>
        <w:footnoteReference w:id="1062"/>
      </w:r>
      <w:r>
        <w:rPr>
          <w:rFonts w:ascii="Amiri" w:hAnsi="Amiri" w:eastAsia="Amiri" w:cs="Amiri"/>
          <w:color w:val="111111"/>
          <w:sz w:val="28"/>
          <w:sz w:val="28"/>
          <w:szCs w:val="28"/>
          <w:rtl w:val="true"/>
          <w:lang w:bidi="ar-SA"/>
        </w:rPr>
        <w:t>قَدَّمَ الكلامَ في إبطالِه و الدفعِ له أمامَ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r>
        <w:rPr>
          <w:rStyle w:val="FootnoteAnchor"/>
          <w:rtl w:val="true"/>
        </w:rPr>
        <w:footnoteReference w:id="1063"/>
      </w:r>
      <w:r>
        <w:rPr>
          <w:rFonts w:ascii="Amiri" w:hAnsi="Amiri" w:eastAsia="Amiri" w:cs="Amiri"/>
          <w:color w:val="111111"/>
          <w:sz w:val="28"/>
          <w:sz w:val="28"/>
          <w:szCs w:val="28"/>
          <w:rtl w:val="true"/>
          <w:lang w:bidi="ar-SA"/>
        </w:rPr>
        <w:t xml:space="preserve">كانوا أو بعضُهم يَعتَقِدونَ بُطلانَه أو يَشُكّونَ في صحّتِه لَوَجَبَ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نَعلَمُه مِن تَوفُّرِ دَواعيهِم إلىٰ رَدِّ احتجاجِ الشيعةِ به، و حِرصِهم علىٰ دَفعِ ما يَجعَلونه الذريعةَ إلىٰ تثبيتِه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 عنهم دَفعُه سالِفاً و آنِفاً، و يَشيعَ </w:t>
      </w:r>
      <w:r>
        <w:rPr>
          <w:rStyle w:val="FootnoteAnchor"/>
          <w:rtl w:val="true"/>
        </w:rPr>
        <w:footnoteReference w:id="1064"/>
      </w:r>
      <w:r>
        <w:rPr>
          <w:rFonts w:ascii="Amiri" w:hAnsi="Amiri" w:eastAsia="Amiri" w:cs="Amiri"/>
          <w:color w:val="111111"/>
          <w:sz w:val="28"/>
          <w:sz w:val="28"/>
          <w:szCs w:val="28"/>
          <w:rtl w:val="true"/>
          <w:lang w:bidi="ar-SA"/>
        </w:rPr>
        <w:t xml:space="preserve">الكلامُ منهم في دَفعِ </w:t>
      </w:r>
      <w:r>
        <w:rPr>
          <w:rStyle w:val="FootnoteAnchor"/>
          <w:rtl w:val="true"/>
        </w:rPr>
        <w:footnoteReference w:id="1065"/>
      </w:r>
      <w:r>
        <w:rPr>
          <w:rFonts w:ascii="Amiri" w:hAnsi="Amiri" w:eastAsia="Amiri" w:cs="Amiri"/>
          <w:color w:val="111111"/>
          <w:sz w:val="28"/>
          <w:sz w:val="28"/>
          <w:szCs w:val="28"/>
          <w:rtl w:val="true"/>
          <w:lang w:bidi="ar-SA"/>
        </w:rPr>
        <w:t xml:space="preserve">الخبرِ كما شاعَ كلامُهم في تأويلِه؛ لأنّ دفعَه أسهَلُ مِن تأويلِه، و أقوىٰ في إبطالِ التعلُّقِ به، و أنفىٰ للشُّبهةِ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حُكيَ عن ابنِ أبي داودَ السِّجِستانيِّ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دفعُ </w:t>
      </w:r>
      <w:r>
        <w:rPr>
          <w:rStyle w:val="FootnoteAnchor"/>
          <w:rtl w:val="true"/>
        </w:rPr>
        <w:footnoteReference w:id="1067"/>
      </w:r>
      <w:r>
        <w:rPr>
          <w:rFonts w:ascii="Amiri" w:hAnsi="Amiri" w:eastAsia="Amiri" w:cs="Amiri"/>
          <w:color w:val="111111"/>
          <w:sz w:val="28"/>
          <w:sz w:val="28"/>
          <w:szCs w:val="28"/>
          <w:rtl w:val="true"/>
          <w:lang w:bidi="ar-SA"/>
        </w:rPr>
        <w:t xml:space="preserve">الخبرِ، و حُكيَ مِثلُه عن الخوارجِ </w:t>
      </w:r>
      <w:r>
        <w:rPr>
          <w:rStyle w:val="FootnoteAnchor"/>
          <w:rtl w:val="true"/>
        </w:rPr>
        <w:footnoteReference w:id="1068"/>
      </w:r>
      <w:r>
        <w:rPr>
          <w:rFonts w:ascii="Amiri" w:hAnsi="Amiri" w:eastAsia="Amiri" w:cs="Amiri"/>
          <w:color w:val="111111"/>
          <w:sz w:val="28"/>
          <w:sz w:val="28"/>
          <w:szCs w:val="28"/>
          <w:rtl w:val="true"/>
          <w:lang w:bidi="ar-SA"/>
        </w:rPr>
        <w:t xml:space="preserve">، و طَعَنَ الجاحظُ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العُثمانيّةِ </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فيه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نَقولُه أنّه</w:t>
      </w:r>
      <w:r>
        <w:rPr>
          <w:rStyle w:val="FootnoteAnchor"/>
          <w:rtl w:val="true"/>
        </w:rPr>
        <w:footnoteReference w:id="1070"/>
      </w:r>
      <w:r>
        <w:rPr>
          <w:rFonts w:ascii="Amiri" w:hAnsi="Amiri" w:eastAsia="Amiri" w:cs="Amiri"/>
          <w:color w:val="111111"/>
          <w:sz w:val="28"/>
          <w:sz w:val="28"/>
          <w:szCs w:val="28"/>
          <w:rtl w:val="true"/>
          <w:lang w:bidi="ar-SA"/>
        </w:rPr>
        <w:t>لا مُعتَبَرَ</w:t>
      </w:r>
      <w:r>
        <w:rPr>
          <w:rStyle w:val="FootnoteAnchor"/>
          <w:rtl w:val="true"/>
        </w:rPr>
        <w:footnoteReference w:id="1071"/>
      </w:r>
      <w:r>
        <w:rPr>
          <w:rFonts w:ascii="Amiri" w:hAnsi="Amiri" w:eastAsia="Amiri" w:cs="Amiri"/>
          <w:color w:val="111111"/>
          <w:sz w:val="28"/>
          <w:sz w:val="28"/>
          <w:szCs w:val="28"/>
          <w:rtl w:val="true"/>
          <w:lang w:bidi="ar-SA"/>
        </w:rPr>
        <w:t>في بابِ الإجماعِ بشُذوذِ كُلِّ شاذٍّ عنه؛ بَل الواجبُ أن يُعلَمَ أنّ الذي خَرَجَ عنه ممّن يُعتَبَرُ قولُ مِثلِه</w:t>
      </w:r>
      <w:r>
        <w:rPr>
          <w:rStyle w:val="FootnoteAnchor"/>
          <w:rtl w:val="true"/>
        </w:rPr>
        <w:footnoteReference w:id="1072"/>
      </w:r>
      <w:r>
        <w:rPr>
          <w:rFonts w:ascii="Amiri" w:hAnsi="Amiri" w:eastAsia="Amiri" w:cs="Amiri"/>
          <w:color w:val="111111"/>
          <w:sz w:val="28"/>
          <w:sz w:val="28"/>
          <w:szCs w:val="28"/>
          <w:rtl w:val="true"/>
          <w:lang w:bidi="ar-SA"/>
        </w:rPr>
        <w:t>في الإجماعِ ، ثُمَّ يُعلَمَ أنّ الإجماعَ لَم يَتَقَدَّمْ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w:t>
      </w:r>
      <w:r>
        <w:rPr>
          <w:rStyle w:val="FootnoteAnchor"/>
          <w:rtl w:val="true"/>
        </w:rPr>
        <w:footnoteReference w:id="1073"/>
      </w:r>
      <w:r>
        <w:rPr>
          <w:rFonts w:ascii="Amiri" w:hAnsi="Amiri" w:eastAsia="Amiri" w:cs="Amiri"/>
          <w:color w:val="111111"/>
          <w:sz w:val="28"/>
          <w:sz w:val="28"/>
          <w:szCs w:val="28"/>
          <w:rtl w:val="true"/>
          <w:lang w:bidi="ar-SA"/>
        </w:rPr>
        <w:t>أبي داودَ و الجاحظُ لَو صَرَّحا بالخِلافِ لَسَقَطَ</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عليه السلام و الميل عليه، فأراد أن يدفع عن نفسه هذه الشبهة، فجعل يقرأ على الناس فضائل أمير المؤمنين عليه السلام إلى درجة أنّ ابن جرير الطبري استغرب ذلك لمّا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كان بيني و بينه شيء أو ذكرني بشيء فهو في حلّ إلّامن رماني ببغض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5095</w:t>
      </w:r>
      <w:r>
        <w:rPr>
          <w:rFonts w:ascii="Amiri" w:hAnsi="Amiri" w:eastAsia="Amiri" w:cs="Amiri"/>
          <w:color w:val="111111"/>
          <w:sz w:val="28"/>
          <w:sz w:val="28"/>
          <w:szCs w:val="28"/>
          <w:rtl w:val="true"/>
          <w:lang w:bidi="ar-SA"/>
        </w:rPr>
        <w:t xml:space="preserve">؛ تاريخ مدينة دمشق، ج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3327</w:t>
      </w:r>
      <w:r>
        <w:rPr>
          <w:rFonts w:ascii="Amiri" w:hAnsi="Amiri" w:eastAsia="Amiri" w:cs="Amiri"/>
          <w:color w:val="111111"/>
          <w:sz w:val="28"/>
          <w:sz w:val="28"/>
          <w:szCs w:val="28"/>
          <w:rtl w:val="true"/>
          <w:lang w:bidi="ar-SA"/>
        </w:rPr>
        <w:t xml:space="preserve">؛ غاية النهاية في طبقات القراء،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خِلافُهما بما ذَكرناه</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بالذي لا شُبهةَ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الإجماعِ و فَقدِ الخِلافِ منهما</w:t>
      </w:r>
      <w:r>
        <w:rPr>
          <w:rStyle w:val="FootnoteAnchor"/>
          <w:rtl w:val="true"/>
        </w:rPr>
        <w:footnoteReference w:id="1075"/>
      </w:r>
      <w:r>
        <w:rPr>
          <w:rFonts w:ascii="Amiri" w:hAnsi="Amiri" w:eastAsia="Amiri" w:cs="Amiri"/>
          <w:color w:val="111111"/>
          <w:sz w:val="28"/>
          <w:sz w:val="28"/>
          <w:szCs w:val="28"/>
          <w:rtl w:val="true"/>
          <w:lang w:bidi="ar-SA"/>
        </w:rPr>
        <w:t>ثُمَّ تأخُّرِه</w:t>
      </w:r>
      <w:r>
        <w:rPr>
          <w:rStyle w:val="FootnoteAnchor"/>
          <w:rtl w:val="true"/>
        </w:rPr>
        <w:footnoteReference w:id="1076"/>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داودَ لَم يُنكِرِ الخبرَ، و إنّما أنكَرَ كَونَ المسجدِ الذي بغَديرِ خُمٍّ مُتقدِّماً، و قد حُكيَ عنه التنصُّلُ </w:t>
      </w:r>
      <w:r>
        <w:rPr>
          <w:rStyle w:val="FootnoteAnchor"/>
          <w:rtl w:val="true"/>
        </w:rPr>
        <w:footnoteReference w:id="1077"/>
      </w:r>
      <w:r>
        <w:rPr>
          <w:rFonts w:ascii="Amiri" w:hAnsi="Amiri" w:eastAsia="Amiri" w:cs="Amiri"/>
          <w:color w:val="111111"/>
          <w:sz w:val="28"/>
          <w:sz w:val="28"/>
          <w:szCs w:val="28"/>
          <w:rtl w:val="true"/>
          <w:lang w:bidi="ar-SA"/>
        </w:rPr>
        <w:t>مِن القَدحِ في الخبرِ، و التبرّي ممّا قَذَفَه</w:t>
      </w:r>
      <w:r>
        <w:rPr>
          <w:rStyle w:val="FootnoteAnchor"/>
          <w:rtl w:val="true"/>
        </w:rPr>
        <w:footnoteReference w:id="1078"/>
      </w:r>
      <w:r>
        <w:rPr>
          <w:rFonts w:ascii="Amiri" w:hAnsi="Amiri" w:eastAsia="Amiri" w:cs="Amiri"/>
          <w:color w:val="111111"/>
          <w:sz w:val="28"/>
          <w:sz w:val="28"/>
          <w:szCs w:val="28"/>
          <w:rtl w:val="true"/>
          <w:lang w:bidi="ar-SA"/>
        </w:rPr>
        <w:t xml:space="preserve">به محمّدُ بنُ جَريرٍ الطبَريُّ </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الجاحظُ أيضاً لَم يَتجاسَرْ</w:t>
      </w:r>
      <w:r>
        <w:rPr>
          <w:rStyle w:val="FootnoteAnchor"/>
          <w:rtl w:val="true"/>
        </w:rPr>
        <w:footnoteReference w:id="1080"/>
      </w:r>
      <w:r>
        <w:rPr>
          <w:rFonts w:ascii="Amiri" w:hAnsi="Amiri" w:eastAsia="Amiri" w:cs="Amiri"/>
          <w:color w:val="111111"/>
          <w:sz w:val="28"/>
          <w:sz w:val="28"/>
          <w:szCs w:val="28"/>
          <w:rtl w:val="true"/>
          <w:lang w:bidi="ar-SA"/>
        </w:rPr>
        <w:t>علَى التصريحِ بدفعِ الخبرِ، و إنّما طَعَنَ في</w:t>
      </w:r>
      <w:r>
        <w:rPr>
          <w:rStyle w:val="FootnoteAnchor"/>
          <w:rtl w:val="true"/>
        </w:rPr>
        <w:footnoteReference w:id="1081"/>
      </w:r>
      <w:r>
        <w:rPr>
          <w:rFonts w:ascii="Amiri" w:hAnsi="Amiri" w:eastAsia="Amiri" w:cs="Amiri"/>
          <w:color w:val="111111"/>
          <w:sz w:val="28"/>
          <w:sz w:val="28"/>
          <w:szCs w:val="28"/>
          <w:rtl w:val="true"/>
          <w:lang w:bidi="ar-SA"/>
        </w:rPr>
        <w:t>بعضِ رُواتِه، و ادَّعَى اختلافَ ما نُقِلَ مِن لفظِه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صَرَّحا</w:t>
      </w:r>
      <w:r>
        <w:rPr>
          <w:rStyle w:val="FootnoteAnchor"/>
          <w:rtl w:val="true"/>
        </w:rPr>
        <w:footnoteReference w:id="1082"/>
      </w:r>
      <w:r>
        <w:rPr>
          <w:rFonts w:ascii="Amiri" w:hAnsi="Amiri" w:eastAsia="Amiri" w:cs="Amiri"/>
          <w:color w:val="111111"/>
          <w:sz w:val="28"/>
          <w:sz w:val="28"/>
          <w:szCs w:val="28"/>
          <w:rtl w:val="true"/>
          <w:lang w:bidi="ar-SA"/>
        </w:rPr>
        <w:t>و أمثالُهما بالخِلافِ لَم يَكُن</w:t>
      </w:r>
      <w:r>
        <w:rPr>
          <w:rStyle w:val="FootnoteAnchor"/>
          <w:rtl w:val="true"/>
        </w:rPr>
        <w:footnoteReference w:id="1083"/>
      </w:r>
      <w:r>
        <w:rPr>
          <w:rFonts w:ascii="Amiri" w:hAnsi="Amiri" w:eastAsia="Amiri" w:cs="Amiri"/>
          <w:color w:val="111111"/>
          <w:sz w:val="28"/>
          <w:sz w:val="28"/>
          <w:szCs w:val="28"/>
          <w:rtl w:val="true"/>
          <w:lang w:bidi="ar-SA"/>
        </w:rPr>
        <w:t>قادحاً؛ لِما قَدَّمناه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1084"/>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يَقدِرُ أحَدٌ علىٰ أن يَحكيَ عنهم دفعاً لهذا الخبرِ أو</w:t>
      </w:r>
      <w:r>
        <w:rPr>
          <w:rStyle w:val="FootnoteAnchor"/>
          <w:rtl w:val="true"/>
        </w:rPr>
        <w:footnoteReference w:id="1085"/>
      </w:r>
      <w:r>
        <w:rPr>
          <w:rFonts w:ascii="Amiri" w:hAnsi="Amiri" w:eastAsia="Amiri" w:cs="Amiri"/>
          <w:color w:val="111111"/>
          <w:sz w:val="28"/>
          <w:sz w:val="28"/>
          <w:szCs w:val="28"/>
          <w:rtl w:val="true"/>
          <w:lang w:bidi="ar-SA"/>
        </w:rPr>
        <w:t>امتناعاً مِن قبولِه، و هذه كُتُبُهم و مقالاتُهم موجودةٌ معروفةٌ‌، و هي خاليةٌ ممّا ادُّعيَ‌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أمرِهم</w:t>
      </w:r>
      <w:r>
        <w:rPr>
          <w:rStyle w:val="FootnoteAnchor"/>
          <w:rtl w:val="true"/>
        </w:rPr>
        <w:footnoteReference w:id="1086"/>
      </w:r>
      <w:r>
        <w:rPr>
          <w:rFonts w:ascii="Amiri" w:hAnsi="Amiri" w:eastAsia="Amiri" w:cs="Amiri"/>
          <w:color w:val="111111"/>
          <w:sz w:val="28"/>
          <w:sz w:val="28"/>
          <w:szCs w:val="28"/>
          <w:rtl w:val="true"/>
          <w:lang w:bidi="ar-SA"/>
        </w:rPr>
        <w:t>حَملُهم الخبرَ علَى التفضيلِ‌، أو</w:t>
      </w:r>
      <w:r>
        <w:rPr>
          <w:rStyle w:val="FootnoteAnchor"/>
          <w:rtl w:val="true"/>
        </w:rPr>
        <w:footnoteReference w:id="1087"/>
      </w:r>
      <w:r>
        <w:rPr>
          <w:rFonts w:ascii="Amiri" w:hAnsi="Amiri" w:eastAsia="Amiri" w:cs="Amiri"/>
          <w:color w:val="111111"/>
          <w:sz w:val="28"/>
          <w:sz w:val="28"/>
          <w:szCs w:val="28"/>
          <w:rtl w:val="true"/>
          <w:lang w:bidi="ar-SA"/>
        </w:rPr>
        <w:t>ما جَرى مَجراه مِن ضُروبِ‌</w:t>
      </w:r>
      <w:r>
        <w:rPr>
          <w:rStyle w:val="FootnoteAnchor"/>
          <w:rtl w:val="true"/>
        </w:rPr>
        <w:footnoteReference w:id="1088"/>
      </w:r>
      <w:r>
        <w:rPr>
          <w:rFonts w:ascii="Amiri" w:hAnsi="Amiri" w:eastAsia="Amiri" w:cs="Amiri"/>
          <w:color w:val="111111"/>
          <w:sz w:val="28"/>
          <w:sz w:val="28"/>
          <w:szCs w:val="28"/>
          <w:rtl w:val="true"/>
          <w:lang w:bidi="ar-SA"/>
        </w:rPr>
        <w:t>تأويلِ مُخالِفي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آنَسَ‌</w:t>
      </w:r>
      <w:r>
        <w:rPr>
          <w:rStyle w:val="FootnoteAnchor"/>
          <w:rtl w:val="true"/>
        </w:rPr>
        <w:footnoteReference w:id="1089"/>
      </w:r>
      <w:r>
        <w:rPr>
          <w:rFonts w:ascii="Amiri" w:hAnsi="Amiri" w:eastAsia="Amiri" w:cs="Amiri"/>
          <w:color w:val="111111"/>
          <w:sz w:val="28"/>
          <w:sz w:val="28"/>
          <w:szCs w:val="28"/>
          <w:rtl w:val="true"/>
          <w:lang w:bidi="ar-SA"/>
        </w:rPr>
        <w:t>بعضَ الجَهَلةِ بهذه الدعوىٰ علَى الخوارجِ ما ظَهَرَ منهم</w:t>
      </w:r>
      <w:r>
        <w:rPr>
          <w:rStyle w:val="FootnoteAnchor"/>
          <w:rtl w:val="true"/>
        </w:rPr>
        <w:footnoteReference w:id="1090"/>
      </w:r>
      <w:r>
        <w:rPr>
          <w:rFonts w:ascii="Amiri" w:hAnsi="Amiri" w:eastAsia="Amiri" w:cs="Amiri"/>
          <w:color w:val="111111"/>
          <w:sz w:val="28"/>
          <w:sz w:val="28"/>
          <w:szCs w:val="28"/>
          <w:rtl w:val="true"/>
          <w:lang w:bidi="ar-SA"/>
        </w:rPr>
        <w:t>فيما بَعدُ مِن القولِ الخَبيثِ في أميرِ المؤمنينَ عليه السلامُ‌، فظَنَّ‌</w:t>
      </w:r>
      <w:r>
        <w:rPr>
          <w:rStyle w:val="FootnoteAnchor"/>
          <w:rtl w:val="true"/>
        </w:rPr>
        <w:footnoteReference w:id="1091"/>
      </w:r>
      <w:r>
        <w:rPr>
          <w:rFonts w:ascii="Amiri" w:hAnsi="Amiri" w:eastAsia="Amiri" w:cs="Amiri"/>
          <w:color w:val="111111"/>
          <w:sz w:val="28"/>
          <w:sz w:val="28"/>
          <w:szCs w:val="28"/>
          <w:rtl w:val="true"/>
          <w:lang w:bidi="ar-SA"/>
        </w:rPr>
        <w:t>أنّ خِلافَهم و رُجوعَهم</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عن وِلايتِه يَقتَضي أن يَكونوا جاحدينَ لفَضائلِه</w:t>
      </w:r>
      <w:r>
        <w:rPr>
          <w:rStyle w:val="FootnoteAnchor"/>
          <w:rtl w:val="true"/>
        </w:rPr>
        <w:footnoteReference w:id="1093"/>
      </w:r>
      <w:r>
        <w:rPr>
          <w:rFonts w:ascii="Amiri" w:hAnsi="Amiri" w:eastAsia="Amiri" w:cs="Amiri"/>
          <w:color w:val="111111"/>
          <w:sz w:val="28"/>
          <w:sz w:val="28"/>
          <w:szCs w:val="28"/>
          <w:rtl w:val="true"/>
          <w:lang w:bidi="ar-SA"/>
        </w:rPr>
        <w:t>و مَناقبِه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أبعَدَ هذا المُدَّعي غايةَ البُعدِ؛ لأنّ انحرافَ الخوارجِ إنّما كانَ بَعدَ التحكيمِ‌؛ للسببِ المعروفِ‌، و إلّافاعتقادُهم لإمامةِ أميرِ المؤمنينَ‌</w:t>
      </w:r>
      <w:r>
        <w:rPr>
          <w:rStyle w:val="FootnoteAnchor"/>
          <w:rtl w:val="true"/>
        </w:rPr>
        <w:footnoteReference w:id="1094"/>
      </w:r>
      <w:r>
        <w:rPr>
          <w:rFonts w:ascii="Amiri" w:hAnsi="Amiri" w:eastAsia="Amiri" w:cs="Amiri"/>
          <w:color w:val="111111"/>
          <w:sz w:val="28"/>
          <w:sz w:val="28"/>
          <w:szCs w:val="28"/>
          <w:rtl w:val="true"/>
          <w:lang w:bidi="ar-SA"/>
        </w:rPr>
        <w:t xml:space="preserve">عليه السلامُ و فضلِه و تَقدُّمِه قد كانَ ظاهراً،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أنصارِه و أعوانِه، و ممّن</w:t>
      </w:r>
      <w:r>
        <w:rPr>
          <w:rStyle w:val="FootnoteAnchor"/>
          <w:rtl w:val="true"/>
        </w:rPr>
        <w:footnoteReference w:id="1095"/>
      </w:r>
      <w:r>
        <w:rPr>
          <w:rFonts w:ascii="Amiri" w:hAnsi="Amiri" w:eastAsia="Amiri" w:cs="Amiri"/>
          <w:color w:val="111111"/>
          <w:sz w:val="28"/>
          <w:sz w:val="28"/>
          <w:szCs w:val="28"/>
          <w:rtl w:val="true"/>
          <w:lang w:bidi="ar-SA"/>
        </w:rPr>
        <w:t xml:space="preserve">جاهَدَ معه الأعداءَ و كانَ </w:t>
      </w:r>
      <w:r>
        <w:rPr>
          <w:rStyle w:val="FootnoteAnchor"/>
          <w:rtl w:val="true"/>
        </w:rPr>
        <w:footnoteReference w:id="1096"/>
      </w:r>
      <w:r>
        <w:rPr>
          <w:rFonts w:ascii="Amiri" w:hAnsi="Amiri" w:eastAsia="Amiri" w:cs="Amiri"/>
          <w:color w:val="111111"/>
          <w:sz w:val="28"/>
          <w:sz w:val="28"/>
          <w:szCs w:val="28"/>
          <w:rtl w:val="true"/>
          <w:lang w:bidi="ar-SA"/>
        </w:rPr>
        <w:t xml:space="preserve">في عِدادِ الأولياءِ ، إلىٰ أن كانَ مِن أمرِهم ما كانَ </w:t>
      </w:r>
      <w:r>
        <w:rPr>
          <w:rFonts w:eastAsia="Amiri" w:cs="Amiri" w:ascii="Amiri" w:hAnsi="Amiri"/>
          <w:color w:val="111111"/>
          <w:sz w:val="28"/>
          <w:szCs w:val="28"/>
          <w:rtl w:val="true"/>
          <w:lang w:bidi="ar-SA"/>
        </w:rPr>
        <w:t xml:space="preserve">. </w:t>
      </w:r>
      <w:bookmarkStart w:id="249" w:name="pg20017_202481"/>
    </w:p>
    <w:p>
      <w:pPr>
        <w:pStyle w:val="Heading6"/>
        <w:numPr>
          <w:ilvl w:val="5"/>
          <w:numId w:val="1"/>
        </w:numPr>
        <w:rPr/>
      </w:pPr>
      <w:bookmarkStart w:id="250" w:name="__RefHeading___Toc964171_2320776876"/>
      <w:bookmarkStart w:id="251" w:name="_Toc89"/>
      <w:bookmarkEnd w:id="249"/>
      <w:bookmarkEnd w:id="250"/>
      <w:r>
        <w:rPr>
          <w:rtl w:val="true"/>
        </w:rPr>
        <w:t>الاستدلال علىٰ صحّة حديث الغدير بالاحتجاج به في الشورىٰ</w:t>
      </w:r>
      <w:bookmarkEnd w:id="251"/>
    </w:p>
    <w:p>
      <w:pPr>
        <w:pStyle w:val="BookText"/>
        <w:rPr/>
      </w:pPr>
      <w:r>
        <w:rPr>
          <w:rFonts w:ascii="Amiri" w:hAnsi="Amiri" w:eastAsia="Amiri" w:cs="Amiri"/>
          <w:color w:val="111111"/>
          <w:sz w:val="28"/>
          <w:sz w:val="28"/>
          <w:szCs w:val="28"/>
          <w:rtl w:val="true"/>
          <w:lang w:bidi="ar-SA"/>
        </w:rPr>
        <w:t>و قد استُدِلَّ‌</w:t>
      </w:r>
      <w:r>
        <w:rPr>
          <w:rStyle w:val="FootnoteAnchor"/>
          <w:rtl w:val="true"/>
        </w:rPr>
        <w:footnoteReference w:id="1097"/>
      </w:r>
      <w:r>
        <w:rPr>
          <w:rFonts w:ascii="Amiri" w:hAnsi="Amiri" w:eastAsia="Amiri" w:cs="Amiri"/>
          <w:color w:val="111111"/>
          <w:sz w:val="28"/>
          <w:sz w:val="28"/>
          <w:szCs w:val="28"/>
          <w:rtl w:val="true"/>
          <w:lang w:bidi="ar-SA"/>
        </w:rPr>
        <w:t>علىٰ صحّةِ الخبرِ بما تَظاهَرَت به الروايةُ‌</w:t>
      </w:r>
      <w:r>
        <w:rPr>
          <w:rStyle w:val="FootnoteAnchor"/>
          <w:rtl w:val="true"/>
        </w:rPr>
        <w:footnoteReference w:id="1098"/>
      </w:r>
      <w:r>
        <w:rPr>
          <w:rFonts w:ascii="Amiri" w:hAnsi="Amiri" w:eastAsia="Amiri" w:cs="Amiri"/>
          <w:color w:val="111111"/>
          <w:sz w:val="28"/>
          <w:sz w:val="28"/>
          <w:szCs w:val="28"/>
          <w:rtl w:val="true"/>
          <w:lang w:bidi="ar-SA"/>
        </w:rPr>
        <w:t>مِن احتجاجِ أميرِ المؤمنينَ عليه السلامُ به في الشورىٰ علَى الحاضرينَ‌</w:t>
      </w:r>
      <w:r>
        <w:rPr>
          <w:rStyle w:val="FootnoteAnchor"/>
          <w:rtl w:val="true"/>
        </w:rPr>
        <w:footnoteReference w:id="1099"/>
      </w:r>
      <w:r>
        <w:rPr>
          <w:rFonts w:ascii="Amiri" w:hAnsi="Amiri" w:eastAsia="Amiri" w:cs="Amiri"/>
          <w:color w:val="111111"/>
          <w:sz w:val="28"/>
          <w:sz w:val="28"/>
          <w:szCs w:val="28"/>
          <w:rtl w:val="true"/>
          <w:lang w:bidi="ar-SA"/>
        </w:rPr>
        <w:t>في جُملةِ ما عَدَّدَه مِن فضائلِه و مَناقبِه، و ما خَصَّه اللّٰهُ تَعالىٰ به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هَل فيكم أحَدٌ أخَذَ رسولُ اللّٰهِ صَلّى اللّٰهُ عليه و آلِه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w:t>
      </w:r>
      <w:r>
        <w:rPr>
          <w:rStyle w:val="FootnoteAnchor"/>
          <w:rtl w:val="true"/>
        </w:rPr>
        <w:footnoteReference w:id="1100"/>
      </w:r>
      <w:r>
        <w:rPr>
          <w:rFonts w:ascii="Amiri" w:hAnsi="Amiri" w:eastAsia="Amiri" w:cs="Amiri"/>
          <w:color w:val="111111"/>
          <w:sz w:val="28"/>
          <w:sz w:val="28"/>
          <w:szCs w:val="28"/>
          <w:rtl w:val="true"/>
          <w:lang w:bidi="ar-SA"/>
        </w:rPr>
        <w:t>مولاه، اللّٰهُمَّ والِ مَن والاه و عادِ مَن عاداه،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Style w:val="FootnoteAnchor"/>
          <w:rtl w:val="true"/>
        </w:rPr>
        <w:footnoteReference w:id="110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اعتَرَفَ به مَن حَضَرَ الشورىٰ مِن الوجوهِ‌، و اتَّصَلَ أيضاً بغَيرِهم مِن الصحابةِ ممّن لَم يَحضُرِ المَوضِعَ كما اتَّصَلَ به</w:t>
      </w:r>
      <w:r>
        <w:rPr>
          <w:rStyle w:val="FootnoteAnchor"/>
          <w:rtl w:val="true"/>
        </w:rPr>
        <w:footnoteReference w:id="1103"/>
      </w:r>
      <w:r>
        <w:rPr>
          <w:rFonts w:ascii="Amiri" w:hAnsi="Amiri" w:eastAsia="Amiri" w:cs="Amiri"/>
          <w:color w:val="111111"/>
          <w:sz w:val="28"/>
          <w:sz w:val="28"/>
          <w:szCs w:val="28"/>
          <w:rtl w:val="true"/>
          <w:lang w:bidi="ar-SA"/>
        </w:rPr>
        <w:t>سائرُ ما جَرىٰ‌، و لَم يَكُن مِن أحَدٍ نَكيرٌ له</w:t>
      </w:r>
      <w:r>
        <w:rPr>
          <w:rStyle w:val="FootnoteAnchor"/>
          <w:rtl w:val="true"/>
        </w:rPr>
        <w:footnoteReference w:id="1104"/>
      </w:r>
      <w:r>
        <w:rPr>
          <w:rFonts w:ascii="Amiri" w:hAnsi="Amiri" w:eastAsia="Amiri" w:cs="Amiri"/>
          <w:color w:val="111111"/>
          <w:sz w:val="28"/>
          <w:sz w:val="28"/>
          <w:szCs w:val="28"/>
          <w:rtl w:val="true"/>
          <w:lang w:bidi="ar-SA"/>
        </w:rPr>
        <w:t>و لا إظهارُ شَكٍّ‌</w:t>
      </w:r>
      <w:r>
        <w:rPr>
          <w:rStyle w:val="FootnoteAnchor"/>
          <w:rtl w:val="true"/>
        </w:rPr>
        <w:footnoteReference w:id="1105"/>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عِلمِنا بتَوفُّرِ الدواعي إلىٰ إظهارِ ذلكَ لَو كانَ الخبرُ بخِلافِ ما حَكَمنا به مِن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 القَطعُ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أنّ الخبرَ لَو لَم يَكُن في الوضوحِ كالشَّمسِ لَما جازَ أن يَدَّعيَه أميرُ المؤمنينَ عليه </w:t>
      </w:r>
    </w:p>
    <w:p>
      <w:pPr>
        <w:pStyle w:val="BookText"/>
        <w:rPr/>
      </w:pPr>
      <w:r>
        <w:rPr>
          <w:rFonts w:ascii="Amiri" w:hAnsi="Amiri" w:eastAsia="Amiri" w:cs="Amiri"/>
          <w:color w:val="111111"/>
          <w:sz w:val="28"/>
          <w:sz w:val="28"/>
          <w:szCs w:val="28"/>
          <w:rtl w:val="true"/>
          <w:lang w:bidi="ar-SA"/>
        </w:rPr>
        <w:t>السلامُ علَى النبيِّ صَلّى اللّٰهُ عليه و آلِه</w:t>
      </w:r>
      <w:r>
        <w:rPr>
          <w:rStyle w:val="FootnoteAnchor"/>
          <w:rtl w:val="true"/>
        </w:rPr>
        <w:footnoteReference w:id="1106"/>
      </w:r>
      <w:r>
        <w:rPr>
          <w:rFonts w:ascii="Amiri" w:hAnsi="Amiri" w:eastAsia="Amiri" w:cs="Amiri"/>
          <w:color w:val="111111"/>
          <w:sz w:val="28"/>
          <w:sz w:val="28"/>
          <w:szCs w:val="28"/>
          <w:rtl w:val="true"/>
          <w:lang w:bidi="ar-SA"/>
        </w:rPr>
        <w:t>، سِيَّما</w:t>
      </w:r>
      <w:r>
        <w:rPr>
          <w:rStyle w:val="FootnoteAnchor"/>
          <w:rtl w:val="true"/>
        </w:rPr>
        <w:footnoteReference w:id="1107"/>
      </w:r>
      <w:r>
        <w:rPr>
          <w:rFonts w:ascii="Amiri" w:hAnsi="Amiri" w:eastAsia="Amiri" w:cs="Amiri"/>
          <w:color w:val="111111"/>
          <w:sz w:val="28"/>
          <w:sz w:val="28"/>
          <w:szCs w:val="28"/>
          <w:rtl w:val="true"/>
          <w:lang w:bidi="ar-SA"/>
        </w:rPr>
        <w:t xml:space="preserve">في مِثلِ </w:t>
      </w:r>
      <w:r>
        <w:rPr>
          <w:rStyle w:val="FootnoteAnchor"/>
          <w:rtl w:val="true"/>
        </w:rPr>
        <w:footnoteReference w:id="1108"/>
      </w:r>
      <w:r>
        <w:rPr>
          <w:rFonts w:ascii="Amiri" w:hAnsi="Amiri" w:eastAsia="Amiri" w:cs="Amiri"/>
          <w:color w:val="111111"/>
          <w:sz w:val="28"/>
          <w:sz w:val="28"/>
          <w:szCs w:val="28"/>
          <w:rtl w:val="true"/>
          <w:lang w:bidi="ar-SA"/>
        </w:rPr>
        <w:t xml:space="preserve">المَقامِ الذي ذَكرناه؛ لأنّه عليه السلامُ كانَ أنزَهَ و أجَلَّ قَدراً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 هذه الطريقةِ يَحتَجُّ خصومُنا في تصحيحِ ما ذَكَرَه أبو بَكرٍ يَومَ السقيفةِ و أسنَدَه إلَى الرسولِ صَلّى اللّٰهُ عليه و آلِه مِن قولِه</w:t>
      </w:r>
      <w:r>
        <w:rPr>
          <w:rStyle w:val="FootnoteAnchor"/>
          <w:rtl w:val="true"/>
        </w:rPr>
        <w:footnoteReference w:id="11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w:t>
      </w:r>
      <w:r>
        <w:rPr>
          <w:rStyle w:val="FootnoteAnchor"/>
          <w:rtl w:val="true"/>
        </w:rPr>
        <w:footnoteReference w:id="1110"/>
      </w:r>
      <w:r>
        <w:rPr>
          <w:rFonts w:ascii="Amiri" w:hAnsi="Amiri" w:eastAsia="Amiri" w:cs="Amiri"/>
          <w:color w:val="111111"/>
          <w:sz w:val="28"/>
          <w:sz w:val="28"/>
          <w:szCs w:val="28"/>
          <w:rtl w:val="true"/>
          <w:lang w:bidi="ar-SA"/>
        </w:rPr>
        <w:t>جَرىٰ مَجراه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احتجاجُكم بهذه الطريقةِ؟ و غايةُ ما فيها أن يَكونَ الحاضرونَ للشورىٰ صَدَّقوا بخبرِ الغَديرِ</w:t>
      </w:r>
      <w:r>
        <w:rPr>
          <w:rStyle w:val="FootnoteAnchor"/>
          <w:rtl w:val="true"/>
        </w:rPr>
        <w:footnoteReference w:id="1111"/>
      </w:r>
      <w:r>
        <w:rPr>
          <w:rFonts w:ascii="Amiri" w:hAnsi="Amiri" w:eastAsia="Amiri" w:cs="Amiri"/>
          <w:color w:val="111111"/>
          <w:sz w:val="28"/>
          <w:sz w:val="28"/>
          <w:szCs w:val="28"/>
          <w:rtl w:val="true"/>
          <w:lang w:bidi="ar-SA"/>
        </w:rPr>
        <w:t>و شَهِدوا بصحّتِه، و أن يَكونَ مَن عَداهم مِن الصحابةِ الذينَ لَم يَحضُروا و بَلَغَهم ما جَرىٰ أمسَكوا عن رَدِّه و إظهارِ الشكِّ فيه علىٰ سَبيلِ التصديقِ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جميعِ ذلكَ حُجّةٌ عندَكم؛ لأنّكم قد رَدَدتم فيما مضىٰ مِن الكتابِ علىٰ مَن جَعَلَ تصديقَ الصحابةِ بخبرِ الإجماعِ و</w:t>
      </w:r>
      <w:r>
        <w:rPr>
          <w:rStyle w:val="FootnoteAnchor"/>
          <w:rtl w:val="true"/>
        </w:rPr>
        <w:footnoteReference w:id="1112"/>
      </w:r>
      <w:r>
        <w:rPr>
          <w:rFonts w:ascii="Amiri" w:hAnsi="Amiri" w:eastAsia="Amiri" w:cs="Amiri"/>
          <w:color w:val="111111"/>
          <w:sz w:val="28"/>
          <w:sz w:val="28"/>
          <w:szCs w:val="28"/>
          <w:rtl w:val="true"/>
          <w:lang w:bidi="ar-SA"/>
        </w:rPr>
        <w:t>إمساكَهم عن رَدِّه حُجّةً في صحّتِه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رَدَدنا علىٰ مَن ذَكَرتَ مِن حَيثُ لَم يَصِحَّ عندَنا أوّلاً إطباقُ الصحابةِ علَى الخبرِ</w:t>
      </w:r>
      <w:r>
        <w:rPr>
          <w:rStyle w:val="FootnoteAnchor"/>
          <w:rtl w:val="true"/>
        </w:rPr>
        <w:footnoteReference w:id="1113"/>
      </w:r>
      <w:r>
        <w:rPr>
          <w:rFonts w:ascii="Amiri" w:hAnsi="Amiri" w:eastAsia="Amiri" w:cs="Amiri"/>
          <w:color w:val="111111"/>
          <w:sz w:val="28"/>
          <w:sz w:val="28"/>
          <w:szCs w:val="28"/>
          <w:rtl w:val="true"/>
          <w:lang w:bidi="ar-SA"/>
        </w:rPr>
        <w:t xml:space="preserve">المُدَّعىٰ في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سَلَّمنا للخصومِ ما يَدَّعونَه مِن إطباقِ </w:t>
      </w:r>
      <w:bookmarkStart w:id="252" w:name="pg20017_202483"/>
    </w:p>
    <w:p>
      <w:pPr>
        <w:pStyle w:val="BookText"/>
        <w:rPr/>
      </w:pPr>
      <w:bookmarkEnd w:id="252"/>
      <w:r>
        <w:rPr>
          <w:rFonts w:ascii="Amiri" w:hAnsi="Amiri" w:eastAsia="Amiri" w:cs="Amiri"/>
          <w:color w:val="111111"/>
          <w:sz w:val="28"/>
          <w:sz w:val="28"/>
          <w:szCs w:val="28"/>
          <w:rtl w:val="true"/>
          <w:lang w:bidi="ar-SA"/>
        </w:rPr>
        <w:t>الصحابةِ أرَيناهم أنّه لا حُجّةَ فيه علىٰ مَذاهبِهم و أُصولِهم؛ لأنّهم يُجيزونَ علىٰ كُلِّ واحدٍ منهم عقلاً الغَلَطَ</w:t>
      </w:r>
      <w:r>
        <w:rPr>
          <w:rStyle w:val="FootnoteAnchor"/>
          <w:rtl w:val="true"/>
        </w:rPr>
        <w:footnoteReference w:id="1114"/>
      </w:r>
      <w:r>
        <w:rPr>
          <w:rFonts w:ascii="Amiri" w:hAnsi="Amiri" w:eastAsia="Amiri" w:cs="Amiri"/>
          <w:color w:val="111111"/>
          <w:sz w:val="28"/>
          <w:sz w:val="28"/>
          <w:szCs w:val="28"/>
          <w:rtl w:val="true"/>
          <w:lang w:bidi="ar-SA"/>
        </w:rPr>
        <w:t>و اعتقادَ الباطلِ بالشُّبهةِ‌، فلا أمانَ قَبلَ صحّةِ ما يَدَّعونَه مِن السمعِ‌</w:t>
      </w:r>
      <w:r>
        <w:rPr>
          <w:rStyle w:val="FootnoteAnchor"/>
          <w:rtl w:val="true"/>
        </w:rPr>
        <w:footnoteReference w:id="1115"/>
      </w:r>
      <w:r>
        <w:rPr>
          <w:rFonts w:ascii="Amiri" w:hAnsi="Amiri" w:eastAsia="Amiri" w:cs="Amiri"/>
          <w:color w:val="111111"/>
          <w:sz w:val="28"/>
          <w:sz w:val="28"/>
          <w:szCs w:val="28"/>
          <w:rtl w:val="true"/>
          <w:lang w:bidi="ar-SA"/>
        </w:rPr>
        <w:t>مِن وقوعِ ما جازَ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أبطَلنا ما يَتعلَّقونَ به مِن عادةِ الصحابةِ في قبولِ الصحيحِ مِن الأخبارِ و رَدِّ السقيمِ‌، و بيّنّا أنّهم لَم يُعَوِّلوا</w:t>
      </w:r>
      <w:r>
        <w:rPr>
          <w:rStyle w:val="FootnoteAnchor"/>
          <w:rtl w:val="true"/>
        </w:rPr>
        <w:footnoteReference w:id="1116"/>
      </w:r>
      <w:r>
        <w:rPr>
          <w:rFonts w:ascii="Amiri" w:hAnsi="Amiri" w:eastAsia="Amiri" w:cs="Amiri"/>
          <w:color w:val="111111"/>
          <w:sz w:val="28"/>
          <w:sz w:val="28"/>
          <w:szCs w:val="28"/>
          <w:rtl w:val="true"/>
          <w:lang w:bidi="ar-SA"/>
        </w:rPr>
        <w:t>في ذلكَ ّ‌إلا علىٰ دَعوىً لا يَعضُدُها بُرهانٌ‌، و أنّهم رَجَعوا في أنّ الخطأَ لا يَجوزُ عليهم إلىٰ قولِهم أو ما يَجري مَجرىٰ قولِهم</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و هذا لا يَمنَعُنا مِن القَطعِ علىٰ صحّةِ ما يُجمِعُ عليه الأُمّةُ علىٰ مَذاهبِنا؛ لأنّا لا نُجيزُ علىٰ كُلِّ واحدٍ منهم الخطأَ و الضَّلالَ كما أجازوه</w:t>
      </w:r>
      <w:r>
        <w:rPr>
          <w:rStyle w:val="FootnoteAnchor"/>
          <w:rtl w:val="true"/>
        </w:rPr>
        <w:footnoteReference w:id="1118"/>
      </w:r>
      <w:r>
        <w:rPr>
          <w:rFonts w:ascii="Amiri" w:hAnsi="Amiri" w:eastAsia="Amiri" w:cs="Amiri"/>
          <w:color w:val="111111"/>
          <w:sz w:val="28"/>
          <w:sz w:val="28"/>
          <w:szCs w:val="28"/>
          <w:rtl w:val="true"/>
          <w:lang w:bidi="ar-SA"/>
        </w:rPr>
        <w:t>مِن طريقِ العقلِ‌</w:t>
      </w:r>
      <w:r>
        <w:rPr>
          <w:rStyle w:val="FootnoteAnchor"/>
          <w:rtl w:val="true"/>
        </w:rPr>
        <w:footnoteReference w:id="1119"/>
      </w:r>
      <w:r>
        <w:rPr>
          <w:rFonts w:ascii="Amiri" w:hAnsi="Amiri" w:eastAsia="Amiri" w:cs="Amiri"/>
          <w:color w:val="111111"/>
          <w:sz w:val="28"/>
          <w:sz w:val="28"/>
          <w:szCs w:val="28"/>
          <w:rtl w:val="true"/>
          <w:lang w:bidi="ar-SA"/>
        </w:rPr>
        <w:t>، و إنّما نُجيزُهما علىٰ مَن عَدا الإمامَ‌؛ لأنّ العقلَ قد دَلَّنا علىٰ وجودِ المعصومِ في كُلِّ زمانٍ ،</w:t>
      </w:r>
    </w:p>
    <w:p>
      <w:pPr>
        <w:pStyle w:val="BookText"/>
        <w:rPr/>
      </w:pPr>
      <w:r>
        <w:rPr>
          <w:rFonts w:ascii="Amiri" w:hAnsi="Amiri" w:eastAsia="Amiri" w:cs="Amiri"/>
          <w:color w:val="111111"/>
          <w:sz w:val="28"/>
          <w:sz w:val="28"/>
          <w:szCs w:val="28"/>
          <w:rtl w:val="true"/>
          <w:lang w:bidi="ar-SA"/>
        </w:rPr>
        <w:t xml:space="preserve">و مَنعُنا مِن اجتماعِ </w:t>
      </w:r>
      <w:r>
        <w:rPr>
          <w:rStyle w:val="FootnoteAnchor"/>
          <w:rtl w:val="true"/>
        </w:rPr>
        <w:footnoteReference w:id="1120"/>
      </w:r>
      <w:r>
        <w:rPr>
          <w:rFonts w:ascii="Amiri" w:hAnsi="Amiri" w:eastAsia="Amiri" w:cs="Amiri"/>
          <w:color w:val="111111"/>
          <w:sz w:val="28"/>
          <w:sz w:val="28"/>
          <w:szCs w:val="28"/>
          <w:rtl w:val="true"/>
          <w:lang w:bidi="ar-SA"/>
        </w:rPr>
        <w:t xml:space="preserve">الأُمّةِ علَى الباطلِ </w:t>
      </w:r>
      <w:r>
        <w:rPr>
          <w:rStyle w:val="FootnoteAnchor"/>
          <w:rtl w:val="true"/>
        </w:rPr>
        <w:footnoteReference w:id="1121"/>
      </w:r>
      <w:r>
        <w:rPr>
          <w:rFonts w:ascii="Amiri" w:hAnsi="Amiri" w:eastAsia="Amiri" w:cs="Amiri"/>
          <w:color w:val="111111"/>
          <w:sz w:val="28"/>
          <w:sz w:val="28"/>
          <w:szCs w:val="28"/>
          <w:rtl w:val="true"/>
          <w:lang w:bidi="ar-SA"/>
        </w:rPr>
        <w:t xml:space="preserve">إنّما هو لأجلِه؛ فمَن لَم يَسلُكْ </w:t>
      </w:r>
      <w:r>
        <w:rPr>
          <w:rStyle w:val="FootnoteAnchor"/>
          <w:rtl w:val="true"/>
        </w:rPr>
        <w:footnoteReference w:id="1122"/>
      </w:r>
      <w:r>
        <w:rPr>
          <w:rFonts w:ascii="Amiri" w:hAnsi="Amiri" w:eastAsia="Amiri" w:cs="Amiri"/>
          <w:color w:val="111111"/>
          <w:sz w:val="28"/>
          <w:sz w:val="28"/>
          <w:szCs w:val="28"/>
          <w:rtl w:val="true"/>
          <w:lang w:bidi="ar-SA"/>
        </w:rPr>
        <w:t>طريقتَنا يَجِبُ أن نَمنَعَه مِن الثقةِ بالإجماعِ و تَمسُّكِه به</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964173_2320776876"/>
      <w:bookmarkStart w:id="254" w:name="_Toc90"/>
      <w:bookmarkEnd w:id="253"/>
      <w:r>
        <w:rPr>
          <w:rtl w:val="true"/>
        </w:rPr>
        <w:t>بيان صحّة مقدّمة حديث الغدير</w:t>
      </w:r>
      <w:bookmarkEnd w:id="25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ذَكرتموه إنّما يَصِحُّ في متنِ الخبرِ الذي</w:t>
      </w:r>
      <w:r>
        <w:rPr>
          <w:rStyle w:val="FootnoteAnchor"/>
          <w:rtl w:val="true"/>
        </w:rPr>
        <w:footnoteReference w:id="1123"/>
      </w:r>
      <w:r>
        <w:rPr>
          <w:rFonts w:ascii="Amiri" w:hAnsi="Amiri" w:eastAsia="Amiri" w:cs="Amiri"/>
          <w:color w:val="111111"/>
          <w:sz w:val="28"/>
          <w:sz w:val="28"/>
          <w:szCs w:val="28"/>
          <w:rtl w:val="true"/>
          <w:lang w:bidi="ar-SA"/>
        </w:rPr>
        <w:t xml:space="preserve">هو قولُه 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المُقدِّمةِ </w:t>
      </w:r>
      <w:r>
        <w:rPr>
          <w:rStyle w:val="FootnoteAnchor"/>
          <w:rtl w:val="true"/>
        </w:rPr>
        <w:footnoteReference w:id="1124"/>
      </w:r>
      <w:r>
        <w:rPr>
          <w:rFonts w:ascii="Amiri" w:hAnsi="Amiri" w:eastAsia="Amiri" w:cs="Amiri"/>
          <w:color w:val="111111"/>
          <w:sz w:val="28"/>
          <w:sz w:val="28"/>
          <w:szCs w:val="28"/>
          <w:rtl w:val="true"/>
          <w:lang w:bidi="ar-SA"/>
        </w:rPr>
        <w:t>المُتضمِّنةِ للتقريرِ؛ لأنّ أكثَرَ مَن رَوَى الخبرَ لَم يَروِها، و الإطباقُ مِن العُلَماءِ علَى القبولِ و استعمالِ التأويلِ غيرُ موجودٍ فيها؛ لأنّكم تَعلَمونَ خِلافَ خُصومِكم فيها، و إنشادُ أميرِ المؤمنينَ عليه السلامُ أهلَ الشورىٰ لَم يَتضمَّنْها في شَيءٍ مِن الرواياتِ ، و دليلُكم علىٰ إيجابِ الإمامةِ مِن الخبرِ مُتعلِّقٌ بها</w:t>
      </w:r>
      <w:r>
        <w:rPr>
          <w:rStyle w:val="FootnoteAnchor"/>
          <w:rtl w:val="true"/>
        </w:rPr>
        <w:footnoteReference w:id="1125"/>
      </w:r>
      <w:r>
        <w:rPr>
          <w:rFonts w:ascii="Amiri" w:hAnsi="Amiri" w:eastAsia="Amiri" w:cs="Amiri"/>
          <w:color w:val="111111"/>
          <w:sz w:val="28"/>
          <w:sz w:val="28"/>
          <w:szCs w:val="28"/>
          <w:rtl w:val="true"/>
          <w:lang w:bidi="ar-SA"/>
        </w:rPr>
        <w:t>، فدُلّوا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يُنكَرُ</w:t>
      </w:r>
      <w:r>
        <w:rPr>
          <w:rStyle w:val="FootnoteAnchor"/>
          <w:rtl w:val="true"/>
        </w:rPr>
        <w:footnoteReference w:id="1126"/>
      </w:r>
      <w:r>
        <w:rPr>
          <w:rFonts w:ascii="Amiri" w:hAnsi="Amiri" w:eastAsia="Amiri" w:cs="Amiri"/>
          <w:color w:val="111111"/>
          <w:sz w:val="28"/>
          <w:sz w:val="28"/>
          <w:szCs w:val="28"/>
          <w:rtl w:val="true"/>
          <w:lang w:bidi="ar-SA"/>
        </w:rPr>
        <w:t>أن يَكونَ بعضُ مَن روىٰ خبرَ الغَديرِ لَم يَذكُرِ المُقدِّمةَ‌، إلّاأنّ مَن أغفَلَها لَيسَ بأكثَرَ ممّن ذَكَرَها و لا يُقارِبُه</w:t>
      </w:r>
      <w:r>
        <w:rPr>
          <w:rStyle w:val="FootnoteAnchor"/>
          <w:rtl w:val="true"/>
        </w:rPr>
        <w:footnoteReference w:id="1127"/>
      </w:r>
      <w:r>
        <w:rPr>
          <w:rFonts w:ascii="Amiri" w:hAnsi="Amiri" w:eastAsia="Amiri" w:cs="Amiri"/>
          <w:color w:val="111111"/>
          <w:sz w:val="28"/>
          <w:sz w:val="28"/>
          <w:szCs w:val="28"/>
          <w:rtl w:val="true"/>
          <w:lang w:bidi="ar-SA"/>
        </w:rPr>
        <w:t>، و إنّما حَصَلَ الإخلالُ بها مِن آحادٍ مِن الرُّواةِ‌، و نَقَلةُ‌</w:t>
      </w:r>
      <w:r>
        <w:rPr>
          <w:rStyle w:val="FootnoteAnchor"/>
          <w:rtl w:val="true"/>
        </w:rPr>
        <w:footnoteReference w:id="1128"/>
      </w:r>
      <w:r>
        <w:rPr>
          <w:rFonts w:ascii="Amiri" w:hAnsi="Amiri" w:eastAsia="Amiri" w:cs="Amiri"/>
          <w:color w:val="111111"/>
          <w:sz w:val="28"/>
          <w:sz w:val="28"/>
          <w:szCs w:val="28"/>
          <w:rtl w:val="true"/>
          <w:lang w:bidi="ar-SA"/>
        </w:rPr>
        <w:t>الشيعةِ كُلُّهم يَنقُلونَ الخبرَ بمُقدِّمتِه، و أكثَرُ مَن شارَكَهم مِن رُواةِ أصحابِ الحديثِ أيضاً يَنقُلونَ المُقدِّمةَ‌، و مَن تأمَّلَ نَقْلَ‌</w:t>
      </w:r>
      <w:r>
        <w:rPr>
          <w:rStyle w:val="FootnoteAnchor"/>
          <w:rtl w:val="true"/>
        </w:rPr>
        <w:footnoteReference w:id="1129"/>
      </w:r>
      <w:r>
        <w:rPr>
          <w:rFonts w:ascii="Amiri" w:hAnsi="Amiri" w:eastAsia="Amiri" w:cs="Amiri"/>
          <w:color w:val="111111"/>
          <w:sz w:val="28"/>
          <w:sz w:val="28"/>
          <w:szCs w:val="28"/>
          <w:rtl w:val="true"/>
          <w:lang w:bidi="ar-SA"/>
        </w:rPr>
        <w:t>الخبرِ و تَصفَّحَه عَلِمَ صحّةَ ما ذَكرناه، و إذا صَحَّ فلا نَكيرَ في إغفالِ مَن أغفَلَ المُقدِّمةَ ؛ لأنّ الحُجّةَ تَقومُ بنَقلِ مَن نَقَلَها، بل ببعضِهم</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إنشادُ أميرِ المؤمنينَ عليه السلامُ أهلَ الشورىٰ و خُلوُّه مِن ذِكرِ المُقدِّمةِ ، فلا يَدُلُّ علىٰ نفيِها أو الشكِّ في صحّتِها؛ لأنّه عليه السلامُ قَرَّرَهم مِن الخبرِ</w:t>
      </w:r>
      <w:r>
        <w:rPr>
          <w:rStyle w:val="FootnoteAnchor"/>
          <w:rtl w:val="true"/>
        </w:rPr>
        <w:footnoteReference w:id="1131"/>
      </w:r>
      <w:r>
        <w:rPr>
          <w:rFonts w:ascii="Amiri" w:hAnsi="Amiri" w:eastAsia="Amiri" w:cs="Amiri"/>
          <w:color w:val="111111"/>
          <w:sz w:val="28"/>
          <w:sz w:val="28"/>
          <w:szCs w:val="28"/>
          <w:rtl w:val="true"/>
          <w:lang w:bidi="ar-SA"/>
        </w:rPr>
        <w:t xml:space="preserve">بما يَقتَضي الإقرارَ بجميعِه علىٰ سَبيلِ الاختصارِ، و لا حاجةَ به إلىٰ أن يَذكُرَ القِصّةَ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مِن أوّلِها إلىٰ آخِرِها و جميعَ ما جَرىٰ فيها؛ لظُهورِها، و لأنّ‌</w:t>
      </w:r>
      <w:r>
        <w:rPr>
          <w:rStyle w:val="FootnoteAnchor"/>
          <w:rtl w:val="true"/>
        </w:rPr>
        <w:footnoteReference w:id="1133"/>
      </w:r>
      <w:r>
        <w:rPr>
          <w:rFonts w:ascii="Amiri" w:hAnsi="Amiri" w:eastAsia="Amiri" w:cs="Amiri"/>
          <w:color w:val="111111"/>
          <w:sz w:val="28"/>
          <w:sz w:val="28"/>
          <w:szCs w:val="28"/>
          <w:rtl w:val="true"/>
          <w:lang w:bidi="ar-SA"/>
        </w:rPr>
        <w:t>الاعترافَ بما اعتُرِفَ‌</w:t>
      </w:r>
    </w:p>
    <w:p>
      <w:pPr>
        <w:pStyle w:val="BookText"/>
        <w:rPr/>
      </w:pPr>
      <w:r>
        <w:rPr>
          <w:rFonts w:ascii="Amiri" w:hAnsi="Amiri" w:eastAsia="Amiri" w:cs="Amiri"/>
          <w:color w:val="111111"/>
          <w:sz w:val="28"/>
          <w:sz w:val="28"/>
          <w:szCs w:val="28"/>
          <w:rtl w:val="true"/>
          <w:lang w:bidi="ar-SA"/>
        </w:rPr>
        <w:t>به منها هو اعترافٌ بالكُلِّ‌، و هذه عادةُ الناسِ فيما يُقرِّرونَ به</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تَرىٰ أنّ أميرَ المؤمنينَ عليه السلامُ لمّا أن قَرَّرَهم</w:t>
      </w:r>
      <w:r>
        <w:rPr>
          <w:rStyle w:val="FootnoteAnchor"/>
          <w:rtl w:val="true"/>
        </w:rPr>
        <w:footnoteReference w:id="1135"/>
      </w:r>
      <w:r>
        <w:rPr>
          <w:rFonts w:ascii="Amiri" w:hAnsi="Amiri" w:eastAsia="Amiri" w:cs="Amiri"/>
          <w:color w:val="111111"/>
          <w:sz w:val="28"/>
          <w:sz w:val="28"/>
          <w:szCs w:val="28"/>
          <w:rtl w:val="true"/>
          <w:lang w:bidi="ar-SA"/>
        </w:rPr>
        <w:t>في ذلكَ المَقامِ بخبرِ الطائرِ في جُملةِ‌</w:t>
      </w:r>
      <w:r>
        <w:rPr>
          <w:rStyle w:val="FootnoteAnchor"/>
          <w:rtl w:val="true"/>
        </w:rPr>
        <w:footnoteReference w:id="1136"/>
      </w:r>
      <w:r>
        <w:rPr>
          <w:rFonts w:ascii="Amiri" w:hAnsi="Amiri" w:eastAsia="Amiri" w:cs="Amiri"/>
          <w:color w:val="111111"/>
          <w:sz w:val="28"/>
          <w:sz w:val="28"/>
          <w:szCs w:val="28"/>
          <w:rtl w:val="true"/>
          <w:lang w:bidi="ar-SA"/>
        </w:rPr>
        <w:t>الفضائلِ و المَناقبِ‌، اقتَصَرَ علىٰ أن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فيكم رجُلٌ قالَ له رسولُ اللّٰهِ‌</w:t>
      </w:r>
      <w:r>
        <w:rPr>
          <w:rStyle w:val="FootnoteAnchor"/>
          <w:rtl w:val="true"/>
        </w:rPr>
        <w:footnoteReference w:id="1137"/>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 إليَّ‌</w:t>
      </w:r>
      <w:r>
        <w:rPr>
          <w:rStyle w:val="FootnoteAnchor"/>
          <w:rtl w:val="true"/>
        </w:rPr>
        <w:footnoteReference w:id="1138"/>
      </w:r>
      <w:r>
        <w:rPr>
          <w:rFonts w:ascii="Amiri" w:hAnsi="Amiri" w:eastAsia="Amiri" w:cs="Amiri"/>
          <w:color w:val="111111"/>
          <w:sz w:val="28"/>
          <w:sz w:val="28"/>
          <w:szCs w:val="28"/>
          <w:rtl w:val="true"/>
          <w:lang w:bidi="ar-SA"/>
        </w:rPr>
        <w:t>بأَحَبِّ خَلقِكَ يأكُلْ معي،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إهداءَ‌</w:t>
      </w:r>
      <w:r>
        <w:rPr>
          <w:rStyle w:val="FootnoteAnchor"/>
          <w:rtl w:val="true"/>
        </w:rPr>
        <w:footnoteReference w:id="1139"/>
      </w:r>
      <w:r>
        <w:rPr>
          <w:rFonts w:ascii="Amiri" w:hAnsi="Amiri" w:eastAsia="Amiri" w:cs="Amiri"/>
          <w:color w:val="111111"/>
          <w:sz w:val="28"/>
          <w:sz w:val="28"/>
          <w:szCs w:val="28"/>
          <w:rtl w:val="true"/>
          <w:lang w:bidi="ar-SA"/>
        </w:rPr>
        <w:t>الطائرِ و ما تأخَّرَ عن هذا القولِ مِن كلامِ الرسولِ صلّى اللّٰه عليه و آله</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و كذلكَ لمّا أن قَرَّرَهم عليه السلامُ بقَولِ الرسولِ صَلّى اللّٰهُ عليه و آلِه فيه لمّا نَدَبَه لفَتحِ خَيبَرَ ذَكَرَ بعضَ الكلامِ دونَ بعضٍ ، و لَم يَشرَحِ القِصّةَ و جميعَ ما جَرىٰ فيها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اقتَصَرَ عليه السلامُ علَى القَدرِ المذكورِ اتّكالاً علىٰ شُهرةِ الأمرِ، و أنّ في </w:t>
      </w:r>
      <w:bookmarkStart w:id="255" w:name="pg20017_202486"/>
    </w:p>
    <w:p>
      <w:pPr>
        <w:pStyle w:val="BookText"/>
        <w:rPr/>
      </w:pPr>
      <w:bookmarkEnd w:id="255"/>
      <w:r>
        <w:rPr>
          <w:rFonts w:ascii="Amiri" w:hAnsi="Amiri" w:eastAsia="Amiri" w:cs="Amiri"/>
          <w:color w:val="111111"/>
          <w:sz w:val="28"/>
          <w:sz w:val="28"/>
          <w:szCs w:val="28"/>
          <w:rtl w:val="true"/>
          <w:lang w:bidi="ar-SA"/>
        </w:rPr>
        <w:t>الاعترافِ ببعضِه اعترافاً بكُلِّه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r>
        <w:rPr>
          <w:rStyle w:val="FootnoteAnchor"/>
          <w:rtl w:val="true"/>
        </w:rPr>
        <w:footnoteReference w:id="1141"/>
      </w:r>
      <w:r>
        <w:rPr>
          <w:rFonts w:ascii="Amiri" w:hAnsi="Amiri" w:eastAsia="Amiri" w:cs="Amiri"/>
          <w:color w:val="111111"/>
          <w:sz w:val="28"/>
          <w:sz w:val="28"/>
          <w:szCs w:val="28"/>
          <w:rtl w:val="true"/>
          <w:lang w:bidi="ar-SA"/>
        </w:rPr>
        <w:t>يُنكَرُ أن تَكونَ هذه</w:t>
      </w:r>
      <w:r>
        <w:rPr>
          <w:rStyle w:val="FootnoteAnchor"/>
          <w:rtl w:val="true"/>
        </w:rPr>
        <w:footnoteReference w:id="1142"/>
      </w:r>
      <w:r>
        <w:rPr>
          <w:rFonts w:ascii="Amiri" w:hAnsi="Amiri" w:eastAsia="Amiri" w:cs="Amiri"/>
          <w:color w:val="111111"/>
          <w:sz w:val="28"/>
          <w:sz w:val="28"/>
          <w:szCs w:val="28"/>
          <w:rtl w:val="true"/>
          <w:lang w:bidi="ar-SA"/>
        </w:rPr>
        <w:t>عِلّةَ مَن أغفَلَ روايةَ المُقدِّمةِ مِن الرُّواةِ‌؛ فإنّ أصحابَ الحَديثِ كَثيراً 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يَروي عن الرسولِ صَلّى اللّٰهُ عليه و آلِه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فيَذكُرونَ بعضَ لفظِ الخبرِ و المشهورَ منه، علىٰ سَبيلِ الاختصارِ</w:t>
      </w:r>
      <w:r>
        <w:rPr>
          <w:rStyle w:val="FootnoteAnchor"/>
          <w:rtl w:val="true"/>
        </w:rPr>
        <w:footnoteReference w:id="1143"/>
      </w:r>
      <w:r>
        <w:rPr>
          <w:rFonts w:ascii="Amiri" w:hAnsi="Amiri" w:eastAsia="Amiri" w:cs="Amiri"/>
          <w:color w:val="111111"/>
          <w:sz w:val="28"/>
          <w:sz w:val="28"/>
          <w:szCs w:val="28"/>
          <w:rtl w:val="true"/>
          <w:lang w:bidi="ar-SA"/>
        </w:rPr>
        <w:t>و التعويلِ علَى الظهورِ في الباقي</w:t>
      </w:r>
      <w:r>
        <w:rPr>
          <w:rStyle w:val="FootnoteAnchor"/>
          <w:rtl w:val="true"/>
        </w:rPr>
        <w:footnoteReference w:id="1144"/>
      </w:r>
      <w:r>
        <w:rPr>
          <w:rFonts w:ascii="Amiri" w:hAnsi="Amiri" w:eastAsia="Amiri" w:cs="Amiri"/>
          <w:color w:val="111111"/>
          <w:sz w:val="28"/>
          <w:sz w:val="28"/>
          <w:szCs w:val="28"/>
          <w:rtl w:val="true"/>
          <w:lang w:bidi="ar-SA"/>
        </w:rPr>
        <w:t xml:space="preserve">و أنّ </w:t>
      </w:r>
      <w:r>
        <w:rPr>
          <w:rStyle w:val="FootnoteAnchor"/>
          <w:rtl w:val="true"/>
        </w:rPr>
        <w:footnoteReference w:id="1145"/>
      </w:r>
      <w:r>
        <w:rPr>
          <w:rFonts w:ascii="Amiri" w:hAnsi="Amiri" w:eastAsia="Amiri" w:cs="Amiri"/>
          <w:color w:val="111111"/>
          <w:sz w:val="28"/>
          <w:sz w:val="28"/>
          <w:szCs w:val="28"/>
          <w:rtl w:val="true"/>
          <w:lang w:bidi="ar-SA"/>
        </w:rPr>
        <w:t>الجميعَ يَجري مَجرىً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سنُبيِّنُ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الأدِلّةِ علىٰ إيجابِ </w:t>
      </w:r>
      <w:r>
        <w:rPr>
          <w:rStyle w:val="FootnoteAnchor"/>
          <w:rtl w:val="true"/>
        </w:rPr>
        <w:footnoteReference w:id="1146"/>
      </w:r>
      <w:r>
        <w:rPr>
          <w:rFonts w:ascii="Amiri" w:hAnsi="Amiri" w:eastAsia="Amiri" w:cs="Amiri"/>
          <w:color w:val="111111"/>
          <w:sz w:val="28"/>
          <w:sz w:val="28"/>
          <w:szCs w:val="28"/>
          <w:rtl w:val="true"/>
          <w:lang w:bidi="ar-SA"/>
        </w:rPr>
        <w:t>الإمامةِ مِن خبرِ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المُقدِّمةِ و ما لا يَفتَقِرُ إليها</w:t>
      </w:r>
      <w:r>
        <w:rPr>
          <w:rStyle w:val="FootnoteAnchor"/>
          <w:rtl w:val="true"/>
        </w:rPr>
        <w:footnoteReference w:id="1147"/>
      </w:r>
      <w:r>
        <w:rPr>
          <w:rFonts w:ascii="Amiri" w:hAnsi="Amiri" w:eastAsia="Amiri" w:cs="Amiri"/>
          <w:color w:val="111111"/>
          <w:sz w:val="28"/>
          <w:sz w:val="28"/>
          <w:szCs w:val="28"/>
          <w:rtl w:val="true"/>
          <w:lang w:bidi="ar-SA"/>
        </w:rPr>
        <w:t xml:space="preserve">، إن شاءَ اللّٰهُ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6" w:name="__RefHeading___Toc964175_2320776876"/>
      <w:bookmarkStart w:id="257" w:name="_Toc91"/>
      <w:bookmarkEnd w:id="256"/>
      <w:r>
        <w:rPr>
          <w:rtl w:val="true"/>
        </w:rPr>
        <w:t>البحث الثاني</w:t>
      </w:r>
      <w:r>
        <w:rPr>
          <w:rtl w:val="true"/>
        </w:rPr>
        <w:t xml:space="preserve">: </w:t>
      </w:r>
      <w:r>
        <w:rPr>
          <w:rtl w:val="true"/>
        </w:rPr>
        <w:t xml:space="preserve">دلالة لفظة </w:t>
      </w:r>
      <w:r>
        <w:rPr>
          <w:rtl w:val="true"/>
        </w:rPr>
        <w:t>«</w:t>
      </w:r>
      <w:r>
        <w:rPr>
          <w:rtl w:val="true"/>
        </w:rPr>
        <w:t xml:space="preserve">مولىٰ </w:t>
      </w:r>
      <w:r>
        <w:rPr>
          <w:rtl w:val="true"/>
        </w:rPr>
        <w:t xml:space="preserve">» </w:t>
      </w:r>
      <w:r>
        <w:rPr>
          <w:rtl w:val="true"/>
        </w:rPr>
        <w:t xml:space="preserve">علىٰ معنىٰ </w:t>
      </w:r>
      <w:r>
        <w:rPr>
          <w:rtl w:val="true"/>
        </w:rPr>
        <w:t>«</w:t>
      </w:r>
      <w:r>
        <w:rPr>
          <w:rtl w:val="true"/>
        </w:rPr>
        <w:t xml:space="preserve">أولىٰ </w:t>
      </w:r>
      <w:r>
        <w:rPr>
          <w:rtl w:val="true"/>
        </w:rPr>
        <w:t>»</w:t>
      </w:r>
      <w:bookmarkEnd w:id="257"/>
    </w:p>
    <w:p>
      <w:pPr>
        <w:pStyle w:val="BookText"/>
        <w:rPr/>
      </w:pPr>
      <w:r>
        <w:rPr>
          <w:rFonts w:ascii="Amiri" w:hAnsi="Amiri" w:eastAsia="Amiri" w:cs="Amiri"/>
          <w:color w:val="111111"/>
          <w:sz w:val="28"/>
          <w:sz w:val="28"/>
          <w:szCs w:val="28"/>
          <w:rtl w:val="true"/>
          <w:lang w:bidi="ar-SA"/>
        </w:rPr>
        <w:t>و أمّا الدليلُ‌</w:t>
      </w:r>
      <w:r>
        <w:rPr>
          <w:rStyle w:val="FootnoteAnchor"/>
          <w:rtl w:val="true"/>
        </w:rPr>
        <w:footnoteReference w:id="1149"/>
      </w:r>
      <w:r>
        <w:rPr>
          <w:rFonts w:ascii="Amiri" w:hAnsi="Amiri" w:eastAsia="Amiri" w:cs="Amiri"/>
          <w:color w:val="111111"/>
          <w:sz w:val="28"/>
          <w:sz w:val="28"/>
          <w:szCs w:val="28"/>
          <w:rtl w:val="true"/>
          <w:lang w:bidi="ar-SA"/>
        </w:rPr>
        <w:t>علىٰ أنّ لفظةَ‌</w:t>
      </w:r>
      <w:r>
        <w:rPr>
          <w:rStyle w:val="FootnoteAnchor"/>
          <w:rtl w:val="true"/>
        </w:rPr>
        <w:footnoteReference w:id="1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لأنّ مَن كانَ له أدنَى اختلاطٍ باللُّغةِ و أهلِها يَعرِفُ أنّهم يَضَعونَ هذه اللفظةَ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أنّهم يَستَعمِلونَها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المُنكِرُ لاستعمالِها</w:t>
      </w:r>
      <w:r>
        <w:rPr>
          <w:rStyle w:val="FootnoteAnchor"/>
          <w:rtl w:val="true"/>
        </w:rPr>
        <w:footnoteReference w:id="115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إلّاكالمُنكِرِ لاستعمالِها في غيرِه مِن 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أنّهم لا يَمتَنِعونَ مِن أن يَقولوا في كُلِّ </w:t>
      </w:r>
    </w:p>
    <w:p>
      <w:pPr>
        <w:pStyle w:val="BookText"/>
        <w:rPr/>
      </w:pPr>
      <w:r>
        <w:rPr>
          <w:rFonts w:ascii="Amiri" w:hAnsi="Amiri" w:eastAsia="Amiri" w:cs="Amiri"/>
          <w:color w:val="111111"/>
          <w:sz w:val="28"/>
          <w:sz w:val="28"/>
          <w:szCs w:val="28"/>
          <w:rtl w:val="true"/>
          <w:lang w:bidi="ar-SA"/>
        </w:rPr>
        <w:t>مَن</w:t>
      </w:r>
      <w:r>
        <w:rPr>
          <w:rStyle w:val="FootnoteAnchor"/>
          <w:rtl w:val="true"/>
        </w:rPr>
        <w:footnoteReference w:id="1152"/>
      </w:r>
      <w:r>
        <w:rPr>
          <w:rFonts w:ascii="Amiri" w:hAnsi="Amiri" w:eastAsia="Amiri" w:cs="Amiri"/>
          <w:color w:val="111111"/>
          <w:sz w:val="28"/>
          <w:sz w:val="28"/>
          <w:szCs w:val="28"/>
          <w:rtl w:val="true"/>
          <w:lang w:bidi="ar-SA"/>
        </w:rPr>
        <w:t>كانَ أَولىٰ بالشيءِ‌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فمتىٰ‌</w:t>
      </w:r>
      <w:r>
        <w:rPr>
          <w:rStyle w:val="FootnoteAnchor"/>
          <w:rtl w:val="true"/>
        </w:rPr>
        <w:footnoteReference w:id="1153"/>
      </w:r>
      <w:r>
        <w:rPr>
          <w:rFonts w:ascii="Amiri" w:hAnsi="Amiri" w:eastAsia="Amiri" w:cs="Amiri"/>
          <w:color w:val="111111"/>
          <w:sz w:val="28"/>
          <w:sz w:val="28"/>
          <w:szCs w:val="28"/>
          <w:rtl w:val="true"/>
          <w:lang w:bidi="ar-SA"/>
        </w:rPr>
        <w:t>شئتَ أن تُفحِمَ‌</w:t>
      </w:r>
      <w:r>
        <w:rPr>
          <w:rStyle w:val="FootnoteAnchor"/>
          <w:rtl w:val="true"/>
        </w:rPr>
        <w:footnoteReference w:id="1154"/>
      </w:r>
      <w:r>
        <w:rPr>
          <w:rFonts w:ascii="Amiri" w:hAnsi="Amiri" w:eastAsia="Amiri" w:cs="Amiri"/>
          <w:color w:val="111111"/>
          <w:sz w:val="28"/>
          <w:sz w:val="28"/>
          <w:szCs w:val="28"/>
          <w:rtl w:val="true"/>
          <w:lang w:bidi="ar-SA"/>
        </w:rPr>
        <w:t>المُطالِبَ بهذه المُطالَبةِ فاعكِسْها عليه و</w:t>
      </w:r>
      <w:r>
        <w:rPr>
          <w:rStyle w:val="FootnoteAnchor"/>
          <w:rtl w:val="true"/>
        </w:rPr>
        <w:footnoteReference w:id="1155"/>
      </w:r>
      <w:r>
        <w:rPr>
          <w:rFonts w:ascii="Amiri" w:hAnsi="Amiri" w:eastAsia="Amiri" w:cs="Amiri"/>
          <w:color w:val="111111"/>
          <w:sz w:val="28"/>
          <w:sz w:val="28"/>
          <w:szCs w:val="28"/>
          <w:rtl w:val="true"/>
          <w:lang w:bidi="ar-SA"/>
        </w:rPr>
        <w:t xml:space="preserve">طالِبْه بأن يَدُلَّ علىٰ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في اللُّغةِ‌</w:t>
      </w:r>
      <w:r>
        <w:rPr>
          <w:rStyle w:val="FootnoteAnchor"/>
          <w:rtl w:val="true"/>
        </w:rPr>
        <w:footnoteReference w:id="1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Style w:val="FootnoteAnchor"/>
          <w:rtl w:val="true"/>
        </w:rPr>
        <w:footnoteReference w:id="1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غيرَهما مِن الأقسامِ‌، فإنّه لا يَتمكَّنُ إلّامِن إيرادِ</w:t>
      </w:r>
      <w:r>
        <w:rPr>
          <w:rStyle w:val="FootnoteAnchor"/>
          <w:rtl w:val="true"/>
        </w:rPr>
        <w:footnoteReference w:id="1158"/>
      </w:r>
      <w:r>
        <w:rPr>
          <w:rFonts w:ascii="Amiri" w:hAnsi="Amiri" w:eastAsia="Amiri" w:cs="Amiri"/>
          <w:color w:val="111111"/>
          <w:sz w:val="28"/>
          <w:sz w:val="28"/>
          <w:szCs w:val="28"/>
          <w:rtl w:val="true"/>
          <w:lang w:bidi="ar-SA"/>
        </w:rPr>
        <w:t>بَيتِ شِعرٍ أو مُقاضاةٍ‌</w:t>
      </w:r>
      <w:r>
        <w:rPr>
          <w:rStyle w:val="FootnoteAnchor"/>
          <w:rtl w:val="true"/>
        </w:rPr>
        <w:footnoteReference w:id="1159"/>
      </w:r>
      <w:r>
        <w:rPr>
          <w:rFonts w:ascii="Amiri" w:hAnsi="Amiri" w:eastAsia="Amiri" w:cs="Amiri"/>
          <w:color w:val="111111"/>
          <w:sz w:val="28"/>
          <w:sz w:val="28"/>
          <w:szCs w:val="28"/>
          <w:rtl w:val="true"/>
          <w:lang w:bidi="ar-SA"/>
        </w:rPr>
        <w:t xml:space="preserve">إلىٰ كتابٍ أو عُرفٍ لأهلِ اللُّغةِ ، و كُلُّ ذلكَ موجودٌ مُمكِنٌ لِمَن ذَهَبَ إلىٰ أنّها تُفيدُ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أنّا نَتبرَّعُ بإيرادِ جُملةٍ تَدُلُّ علىٰ ما ذَهَبنا إليه،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w:t>
      </w:r>
      <w:r>
        <w:rPr>
          <w:rStyle w:val="FootnoteAnchor"/>
          <w:rtl w:val="true"/>
        </w:rPr>
        <w:footnoteReference w:id="1160"/>
      </w:r>
      <w:r>
        <w:rPr>
          <w:rFonts w:ascii="Amiri" w:hAnsi="Amiri" w:eastAsia="Amiri" w:cs="Amiri"/>
          <w:color w:val="111111"/>
          <w:sz w:val="28"/>
          <w:sz w:val="28"/>
          <w:szCs w:val="28"/>
          <w:rtl w:val="true"/>
          <w:lang w:bidi="ar-SA"/>
        </w:rPr>
        <w:t xml:space="preserve">أبو عُبَيدةَ مَعمَرُ بنُ المُثنّىٰ </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مَنزِلتُه في اللُّغةِ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في القُرآنِ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لمّا انتَهىٰ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مَأْوٰاكُمُ النّٰارُ هِيَ مَوْلاٰكُمْ </w:t>
      </w:r>
      <w:r>
        <w:rPr>
          <w:rFonts w:eastAsia="Amiri" w:cs="Amiri" w:ascii="Amiri" w:hAnsi="Amiri"/>
          <w:color w:val="111111"/>
          <w:sz w:val="28"/>
          <w:szCs w:val="28"/>
          <w:rtl w:val="true"/>
          <w:lang w:bidi="ar-SA"/>
        </w:rPr>
        <w:t>)</w:t>
      </w:r>
      <w:r>
        <w:rPr>
          <w:rStyle w:val="FootnoteAnchor"/>
          <w:rtl w:val="true"/>
        </w:rPr>
        <w:footnoteReference w:id="11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مَوْلاٰكُمْ </w:t>
      </w:r>
      <w:r>
        <w:rPr>
          <w:rFonts w:eastAsia="Amiri" w:cs="Amiri" w:ascii="Amiri" w:hAnsi="Amiri"/>
          <w:color w:val="111111"/>
          <w:sz w:val="28"/>
          <w:szCs w:val="28"/>
          <w:rtl w:val="true"/>
          <w:lang w:bidi="ar-SA"/>
        </w:rPr>
        <w:t>)</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أنشَدَ بَيتَ لَبيدٍ شاهداً لتأويلِه</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فغَدَتْ كِلا الفَرْجَينِ 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المَخافَةِ ؛ خَلْفُها و أمامُها</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و لَيسَ أبو عُبَيدةَ ممّن يَغلَطُ في اللُّغةِ‌، و لَو غَلِطَ فيها أو وَهِمَ لَما جازَ أن يُمسِكَ عن النَّكيرِ عليه و الردِّ لتأويلِه غيرُه مِن أهلِ اللُّغةِ ممّن أصابَ ما غَلِطَ فيه</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عادتِهم المعروفةِ في تَتبُّعِ بعضِهم لبعضٍ‌، و رَدِّ بعضِهم</w:t>
      </w:r>
      <w:r>
        <w:rPr>
          <w:rStyle w:val="FootnoteAnchor"/>
          <w:rtl w:val="true"/>
        </w:rPr>
        <w:footnoteReference w:id="1168"/>
      </w:r>
      <w:r>
        <w:rPr>
          <w:rFonts w:ascii="Amiri" w:hAnsi="Amiri" w:eastAsia="Amiri" w:cs="Amiri"/>
          <w:color w:val="111111"/>
          <w:sz w:val="28"/>
          <w:sz w:val="28"/>
          <w:szCs w:val="28"/>
          <w:rtl w:val="true"/>
          <w:lang w:bidi="ar-SA"/>
        </w:rPr>
        <w:t xml:space="preserve">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 قولُ أبي عُبَيدةَ الذي حَكَيناه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يَظهَرْ مِن أحَدٍ مِن أهلِ اللُّغةِ رَدٌّ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قولٌ للجميعِ‌</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خِلافَ بَينَ المُفسِّرينَ في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جَعَلْنٰا مَوٰالِيَ مِمّٰا تَرَكَ الْوٰالِدٰانِ وَ الْأَقْرَبُونَ وَ الَّذِينَ عَقَدَتْ أَيْمٰانُكُمْ فَآتُوهُمْ نَصِيبَهُمْ إِنَّ اللّٰهَ كٰانَ عَلىٰ كُلِّ شَيْ ءٍ شَهِيداً</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أنّ المُرادَ بالمَوالي</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أملَكَ بالميراثِ و أَولىٰ بحِيازتِه و أحَقَّ به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الأخطَلُ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فأصبَحتَ مَولاها مِن الناسِ بَعدَهُ </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أَحرىٰ قُرَيشٍ أن تُهابَ و تُحمَدا</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ديوان الأخطل،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يُخاطِبُ </w:t>
      </w:r>
      <w:r>
        <w:rPr>
          <w:rStyle w:val="FootnoteAnchor"/>
          <w:rtl w:val="true"/>
        </w:rPr>
        <w:footnoteReference w:id="1175"/>
      </w:r>
      <w:r>
        <w:rPr>
          <w:rFonts w:ascii="Amiri" w:hAnsi="Amiri" w:eastAsia="Amiri" w:cs="Amiri"/>
          <w:color w:val="111111"/>
          <w:sz w:val="28"/>
          <w:sz w:val="28"/>
          <w:szCs w:val="28"/>
          <w:rtl w:val="true"/>
          <w:lang w:bidi="ar-SA"/>
        </w:rPr>
        <w:t xml:space="preserve">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أعطاكُمُ اللّٰهُ جَدّاً تُنصَرونَ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جَدَّ إلّاصَغيرٌ بَعدُ مُحتَقَرُ</w:t>
      </w:r>
    </w:p>
    <w:p>
      <w:pPr>
        <w:pStyle w:val="BookText"/>
        <w:rPr/>
      </w:pPr>
      <w:r>
        <w:rPr>
          <w:rFonts w:ascii="Amiri" w:hAnsi="Amiri" w:eastAsia="Amiri" w:cs="Amiri"/>
          <w:color w:val="111111"/>
          <w:sz w:val="28"/>
          <w:sz w:val="28"/>
          <w:szCs w:val="28"/>
          <w:rtl w:val="true"/>
          <w:lang w:bidi="ar-SA"/>
        </w:rPr>
        <w:t>لَم تَأشَروا فيه إذ كُنتم</w:t>
      </w:r>
      <w:r>
        <w:rPr>
          <w:rStyle w:val="FootnoteAnchor"/>
          <w:rtl w:val="true"/>
        </w:rPr>
        <w:footnoteReference w:id="1176"/>
      </w:r>
      <w:r>
        <w:rPr>
          <w:rFonts w:ascii="Amiri" w:hAnsi="Amiri" w:eastAsia="Amiri" w:cs="Amiri"/>
          <w:color w:val="111111"/>
          <w:sz w:val="28"/>
          <w:sz w:val="28"/>
          <w:szCs w:val="28"/>
          <w:rtl w:val="true"/>
          <w:lang w:bidi="ar-SA"/>
        </w:rPr>
        <w:t xml:space="preserve">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يَكونُ لقَومٍ غيرِكم</w:t>
      </w:r>
      <w:r>
        <w:rPr>
          <w:rStyle w:val="FootnoteAnchor"/>
          <w:rtl w:val="true"/>
        </w:rPr>
        <w:footnoteReference w:id="1177"/>
      </w:r>
      <w:r>
        <w:rPr>
          <w:rFonts w:ascii="Amiri" w:hAnsi="Amiri" w:eastAsia="Amiri" w:cs="Amiri"/>
          <w:color w:val="111111"/>
          <w:sz w:val="28"/>
          <w:sz w:val="28"/>
          <w:szCs w:val="28"/>
          <w:rtl w:val="true"/>
          <w:lang w:bidi="ar-SA"/>
        </w:rPr>
        <w:t>أَشِروا</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ديوان الأخطل،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يَمَدحُ </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مَواليَ حَقٍّ يَطلُبونَ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فأدرَكوهُ ، و ما</w:t>
      </w:r>
      <w:r>
        <w:rPr>
          <w:rStyle w:val="FootnoteAnchor"/>
          <w:rtl w:val="true"/>
        </w:rPr>
        <w:footnoteReference w:id="1180"/>
      </w:r>
      <w:r>
        <w:rPr>
          <w:rFonts w:ascii="Amiri" w:hAnsi="Amiri" w:eastAsia="Amiri" w:cs="Amiri"/>
          <w:color w:val="111111"/>
          <w:sz w:val="28"/>
          <w:sz w:val="28"/>
          <w:szCs w:val="28"/>
          <w:rtl w:val="true"/>
          <w:lang w:bidi="ar-SA"/>
        </w:rPr>
        <w:t>مَلّوا، و لا</w:t>
      </w:r>
      <w:r>
        <w:rPr>
          <w:rStyle w:val="FootnoteAnchor"/>
          <w:rtl w:val="true"/>
        </w:rPr>
        <w:footnoteReference w:id="1181"/>
      </w:r>
      <w:r>
        <w:rPr>
          <w:rFonts w:ascii="Amiri" w:hAnsi="Amiri" w:eastAsia="Amiri" w:cs="Amiri"/>
          <w:color w:val="111111"/>
          <w:sz w:val="28"/>
          <w:sz w:val="28"/>
          <w:szCs w:val="28"/>
          <w:rtl w:val="true"/>
          <w:lang w:bidi="ar-SA"/>
        </w:rPr>
        <w:t>لَغَبوا</w:t>
      </w:r>
      <w:r>
        <w:rPr>
          <w:rStyle w:val="FootnoteAnchor"/>
          <w:rtl w:val="true"/>
        </w:rPr>
        <w:footnoteReference w:id="118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الأخطل يشبّه من شعراء الجاهليّة بالنابغة الذبياني، و كان أحد الشعراء الثلاثة المتّفق على أنّهم أشعر أهل زمانهم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و الفرزدق و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يمدح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معاوية و يزيد و من بعدهم من خلفاء بني مروان حتّى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سبب تلقيبه بالأخطل،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هجا رجلاً من قومه، فقال له المهجوّ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سفيه،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لبذاءة لسانه في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بذي الصليب، و كان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 الشعراء،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الأغاني،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تاريخ مدينة دمشق، ج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5561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العَجّاجُ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أعطَى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 الحَقِّ إنِ المَوْلىٰ شَكَرْ</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و رُويَ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تَزوَّجَت بغَيرِ إذنِ مَولاها فنِكاحُها باطلٌ‌</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186"/>
      </w:r>
      <w:r>
        <w:rPr>
          <w:rFonts w:ascii="Amiri" w:hAnsi="Amiri" w:eastAsia="Amiri" w:cs="Amiri"/>
          <w:color w:val="111111"/>
          <w:sz w:val="28"/>
          <w:sz w:val="28"/>
          <w:szCs w:val="28"/>
          <w:rtl w:val="true"/>
          <w:lang w:bidi="ar-SA"/>
        </w:rPr>
        <w:t xml:space="preserve">كُلُّ ما استَشهَدنا به لَم يُرَدْ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إلّامعنىٰ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و قد تَقدَّمَت حِكايتُنا عن المُبرَّدِ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أصلَ تأويلِ الوليِّ الذي هو أَولىٰ‌، أي أحَقُّ‌؛ و مِثلُه المَولىٰ‌</w:t>
      </w:r>
      <w:r>
        <w:rPr>
          <w:rFonts w:eastAsia="Amiri" w:cs="Amiri" w:ascii="Amiri" w:hAnsi="Amiri"/>
          <w:color w:val="111111"/>
          <w:sz w:val="28"/>
          <w:szCs w:val="28"/>
          <w:rtl w:val="true"/>
          <w:lang w:bidi="ar-SA"/>
        </w:rPr>
        <w:t>»</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هذا المَوضعِ بَعدَ أن ذَكَرَ تأويلَ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مَوْلَى الَّذِينَ آمَنُوا</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الوليُّ و المَولىٰ معناهما سَواءٌ ، و هو الحقيقُ بخَلقِه المُتَوَلّي لأُمورِهم</w:t>
      </w:r>
      <w:r>
        <w:rPr>
          <w:rFonts w:eastAsia="Amiri" w:cs="Amiri" w:ascii="Amiri" w:hAnsi="Amiri"/>
          <w:color w:val="111111"/>
          <w:sz w:val="28"/>
          <w:szCs w:val="28"/>
          <w:rtl w:val="true"/>
          <w:lang w:bidi="ar-SA"/>
        </w:rPr>
        <w:t>».</w:t>
      </w:r>
      <w:r>
        <w:rPr>
          <w:rStyle w:val="FootnoteAnchor"/>
          <w:rtl w:val="true"/>
        </w:rPr>
        <w:footnoteReference w:id="118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الفَرّاءُ </w:t>
      </w:r>
      <w:r>
        <w:rPr>
          <w:rStyle w:val="FootnoteAnchor"/>
          <w:rtl w:val="true"/>
        </w:rPr>
        <w:footnoteReference w:id="1190"/>
      </w:r>
      <w:r>
        <w:rPr>
          <w:rFonts w:ascii="Amiri" w:hAnsi="Amiri" w:eastAsia="Amiri" w:cs="Amiri"/>
          <w:color w:val="111111"/>
          <w:sz w:val="28"/>
          <w:sz w:val="28"/>
          <w:szCs w:val="28"/>
          <w:rtl w:val="true"/>
          <w:lang w:bidi="ar-SA"/>
        </w:rPr>
        <w:t xml:space="preserve">في كتابِ مَعاني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و المَولىٰ في كلامِ العَرَبِ واحدٌ، </w:t>
      </w:r>
    </w:p>
    <w:p>
      <w:pPr>
        <w:pStyle w:val="BookText"/>
        <w:rPr/>
      </w:pPr>
      <w:r>
        <w:rPr>
          <w:rFonts w:ascii="Amiri" w:hAnsi="Amiri" w:eastAsia="Amiri" w:cs="Amiri"/>
          <w:color w:val="111111"/>
          <w:sz w:val="28"/>
          <w:sz w:val="28"/>
          <w:szCs w:val="28"/>
          <w:rtl w:val="true"/>
          <w:lang w:bidi="ar-SA"/>
        </w:rPr>
        <w:t>و في قِراءةِ عبدِ اللّٰه 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مَولاكُم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و قالَ أبو بكرٍ محمّدُ بنُ القاسمِ الأنباريُّ‌</w:t>
      </w:r>
      <w:r>
        <w:rPr>
          <w:rStyle w:val="FootnoteAnchor"/>
          <w:rtl w:val="true"/>
        </w:rPr>
        <w:footnoteReference w:id="1192"/>
      </w:r>
      <w:r>
        <w:rPr>
          <w:rFonts w:ascii="Amiri" w:hAnsi="Amiri" w:eastAsia="Amiri" w:cs="Amiri"/>
          <w:color w:val="111111"/>
          <w:sz w:val="28"/>
          <w:sz w:val="28"/>
          <w:szCs w:val="28"/>
          <w:rtl w:val="true"/>
          <w:lang w:bidi="ar-SA"/>
        </w:rPr>
        <w:t xml:space="preserve">في كتابِه في القُرآنِ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المَولىٰ في اللُّغةِ يَنقَسِمُ علىٰ ثَمانيةِ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المُنعِمُ المُعتِقُ‌، ثُمَّ المُنعَمُ عليه المُعتَقُ‌، و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و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بالشيءِ‌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ذَكَرَ شاهداً عليه الآيةَ التي قَدَّمنا ذِكرَها و بَيتَ لَبيدٍ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العَمِّ‌، و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الصِّهرُ، و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الحَليفُ </w:t>
      </w:r>
      <w:r>
        <w:rPr>
          <w:rFonts w:eastAsia="Amiri" w:cs="Amiri" w:ascii="Amiri" w:hAnsi="Amiri"/>
          <w:color w:val="111111"/>
          <w:sz w:val="28"/>
          <w:szCs w:val="28"/>
          <w:rtl w:val="true"/>
          <w:lang w:bidi="ar-SA"/>
        </w:rPr>
        <w:t>»</w:t>
      </w:r>
      <w:r>
        <w:rPr>
          <w:rStyle w:val="FootnoteAnchor"/>
          <w:rtl w:val="true"/>
        </w:rPr>
        <w:footnoteReference w:id="1193"/>
      </w:r>
      <w:r>
        <w:rPr>
          <w:rFonts w:ascii="Amiri" w:hAnsi="Amiri" w:eastAsia="Amiri" w:cs="Amiri"/>
          <w:color w:val="111111"/>
          <w:sz w:val="28"/>
          <w:sz w:val="28"/>
          <w:szCs w:val="28"/>
          <w:rtl w:val="true"/>
          <w:lang w:bidi="ar-SA"/>
        </w:rPr>
        <w:t xml:space="preserve">و استَشهَدَ علىٰ كُلِّ قِسمٍ مِن أقسامِ المَولىٰ </w:t>
      </w:r>
      <w:r>
        <w:rPr>
          <w:rStyle w:val="FootnoteAnchor"/>
          <w:rtl w:val="true"/>
        </w:rPr>
        <w:footnoteReference w:id="1194"/>
      </w:r>
      <w:r>
        <w:rPr>
          <w:rFonts w:ascii="Amiri" w:hAnsi="Amiri" w:eastAsia="Amiri" w:cs="Amiri"/>
          <w:color w:val="111111"/>
          <w:sz w:val="28"/>
          <w:sz w:val="28"/>
          <w:szCs w:val="28"/>
          <w:rtl w:val="true"/>
          <w:lang w:bidi="ar-SA"/>
        </w:rPr>
        <w:t>بشَيءٍ مِن الشِّعرِ لَم نَذكُرْه؛ لأنّ غرضَنا سِواه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الكسائي في النحو و اللغة و الأدب، و نبغ نبوغاً خارقاً حتّى أصبح إمام الكوفيّين في العلوم العربيّة و اللغة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ثعلب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الفرّاء ما كانت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بالكوفة و نزل بغداد و أملى بها كتبه في معاني القرآن و 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إليه المأمون في تعليم ولديه النحو، و اقترح عليه أن يجمع أُصول النحو و ما سمع من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بطريق مكّة سنة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القرآن ألّفه لعمر بن بكير، و كتاب البهي، و كتاب اللغات، و المصادر في القرآن، و الجمع و التثنية في القرآن، و المقصور و الممدود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لابن النديم،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7467</w:t>
      </w:r>
      <w:r>
        <w:rPr>
          <w:rFonts w:ascii="Amiri" w:hAnsi="Amiri" w:eastAsia="Amiri" w:cs="Amiri"/>
          <w:color w:val="111111"/>
          <w:sz w:val="28"/>
          <w:sz w:val="28"/>
          <w:szCs w:val="28"/>
          <w:rtl w:val="true"/>
          <w:lang w:bidi="ar-SA"/>
        </w:rPr>
        <w:t xml:space="preserve">؛ إنباه الرواة،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عَمرٍو</w:t>
      </w:r>
      <w:r>
        <w:rPr>
          <w:rStyle w:val="FootnoteAnchor"/>
          <w:rtl w:val="true"/>
        </w:rPr>
        <w:footnoteReference w:id="1195"/>
      </w:r>
      <w:r>
        <w:rPr>
          <w:rFonts w:ascii="Amiri" w:hAnsi="Amiri" w:eastAsia="Amiri" w:cs="Amiri"/>
          <w:color w:val="111111"/>
          <w:sz w:val="28"/>
          <w:sz w:val="28"/>
          <w:szCs w:val="28"/>
          <w:rtl w:val="true"/>
          <w:lang w:bidi="ar-SA"/>
        </w:rPr>
        <w:t xml:space="preserve">غُلامُ ثَعلَبٍ </w:t>
      </w:r>
      <w:r>
        <w:rPr>
          <w:rStyle w:val="FootnoteAnchor"/>
          <w:rtl w:val="true"/>
        </w:rPr>
        <w:footnoteReference w:id="1196"/>
      </w:r>
      <w:r>
        <w:rPr>
          <w:rFonts w:ascii="Amiri" w:hAnsi="Amiri" w:eastAsia="Amiri" w:cs="Amiri"/>
          <w:color w:val="111111"/>
          <w:sz w:val="28"/>
          <w:sz w:val="28"/>
          <w:szCs w:val="28"/>
          <w:rtl w:val="true"/>
          <w:lang w:bidi="ar-SA"/>
        </w:rPr>
        <w:t xml:space="preserve">في تفسيرِ بَيتِ الحارِثِ بنِ حِلِّزةَ </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زَعَموا أنّ كُلَّ مَن ضَرَبَ </w:t>
      </w:r>
      <w:r>
        <w:rPr>
          <w:rStyle w:val="FootnoteAnchor"/>
          <w:rtl w:val="true"/>
        </w:rPr>
        <w:footnoteReference w:id="1198"/>
      </w:r>
      <w:r>
        <w:rPr>
          <w:rFonts w:ascii="Amiri" w:hAnsi="Amiri" w:eastAsia="Amiri" w:cs="Amiri"/>
          <w:color w:val="111111"/>
          <w:sz w:val="28"/>
          <w:sz w:val="28"/>
          <w:szCs w:val="28"/>
          <w:rtl w:val="true"/>
          <w:lang w:bidi="ar-SA"/>
        </w:rPr>
        <w:t xml:space="preserve">العَيْ‍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 مُوالٍ لنا، و أنّا الوَلاءُ </w:t>
      </w:r>
      <w:r>
        <w:rPr>
          <w:rStyle w:val="FootnoteAnchor"/>
          <w:rtl w:val="true"/>
        </w:rPr>
        <w:footnoteReference w:id="1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المَولىٰ‌، و ذَكَرَ في جُملةِ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السيِّدُ و إن لَم يَكُن مالكاً، و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ذَكَرَ جماعةٌ ممّن يُرجَعُ إلىٰ مِثلِه</w:t>
      </w:r>
      <w:r>
        <w:rPr>
          <w:rStyle w:val="FootnoteAnchor"/>
          <w:rtl w:val="true"/>
        </w:rPr>
        <w:footnoteReference w:id="1200"/>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أقسامِ المَولَى</w:t>
      </w:r>
      <w:r>
        <w:rPr>
          <w:rStyle w:val="FootnoteAnchor"/>
          <w:rtl w:val="true"/>
        </w:rPr>
        <w:footnoteReference w:id="1201"/>
      </w:r>
      <w:r>
        <w:rPr>
          <w:rFonts w:ascii="Amiri" w:hAnsi="Amiri" w:eastAsia="Amiri" w:cs="Amiri"/>
          <w:color w:val="111111"/>
          <w:sz w:val="28"/>
          <w:sz w:val="28"/>
          <w:szCs w:val="28"/>
          <w:rtl w:val="true"/>
          <w:lang w:bidi="ar-SA"/>
        </w:rPr>
        <w:t xml:space="preserve">السيِّدَ الذي لَيسَ </w:t>
      </w:r>
      <w:r>
        <w:rPr>
          <w:rStyle w:val="FootnoteAnchor"/>
          <w:rtl w:val="true"/>
        </w:rPr>
        <w:footnoteReference w:id="1202"/>
      </w:r>
      <w:r>
        <w:rPr>
          <w:rFonts w:ascii="Amiri" w:hAnsi="Amiri" w:eastAsia="Amiri" w:cs="Amiri"/>
          <w:color w:val="111111"/>
          <w:sz w:val="28"/>
          <w:sz w:val="28"/>
          <w:szCs w:val="28"/>
          <w:rtl w:val="true"/>
          <w:lang w:bidi="ar-SA"/>
        </w:rPr>
        <w:t xml:space="preserve">بمالكٍ و لا مُعتِقٍ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ذَهَبنا إلىٰ ذِكرِ جميعِ ما يُمكِنُ أن يَكونَ شاهداً فيما قَصَدناه لَأكثَرنا، و فيما أورَدناه كفايةٌ و مَقنَعٌ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ابنُ الأنباريِّ قد أورَدَ أبياتَ الأخطَلِ التي استَشهَدتم بها و شِعرَ العَجّاجِ و الحَديثَ الذي رَوَيتموه، و تأوَّلَ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ذلك</w:t>
      </w:r>
      <w:r>
        <w:rPr>
          <w:rStyle w:val="FootnoteAnchor"/>
          <w:rtl w:val="true"/>
        </w:rPr>
        <w:footnoteReference w:id="1204"/>
      </w:r>
      <w:r>
        <w:rPr>
          <w:rFonts w:ascii="Amiri" w:hAnsi="Amiri" w:eastAsia="Amiri" w:cs="Amiri"/>
          <w:color w:val="111111"/>
          <w:sz w:val="28"/>
          <w:sz w:val="28"/>
          <w:szCs w:val="28"/>
          <w:rtl w:val="true"/>
          <w:lang w:bidi="ar-SA"/>
        </w:rPr>
        <w:t xml:space="preserve">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w:t>
      </w:r>
      <w:r>
        <w:rPr>
          <w:rStyle w:val="FootnoteAnchor"/>
          <w:rtl w:val="true"/>
        </w:rPr>
        <w:footnoteReference w:id="1205"/>
      </w:r>
      <w:r>
        <w:rPr>
          <w:rFonts w:ascii="Amiri" w:hAnsi="Amiri" w:eastAsia="Amiri" w:cs="Amiri"/>
          <w:color w:val="111111"/>
          <w:sz w:val="28"/>
          <w:sz w:val="28"/>
          <w:szCs w:val="28"/>
          <w:rtl w:val="true"/>
          <w:lang w:bidi="ar-SA"/>
        </w:rPr>
        <w:t xml:space="preserve">ذَكرتم أنّ المُرادَ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Style w:val="FootnoteAnchor"/>
          <w:rtl w:val="true"/>
        </w:rPr>
        <w:footnoteReference w:id="1206"/>
      </w:r>
      <w:r>
        <w:rPr>
          <w:rFonts w:ascii="Amiri" w:hAnsi="Amiri" w:eastAsia="Amiri" w:cs="Amiri"/>
          <w:color w:val="111111"/>
          <w:sz w:val="28"/>
          <w:sz w:val="28"/>
          <w:szCs w:val="28"/>
          <w:rtl w:val="true"/>
          <w:lang w:bidi="ar-SA"/>
        </w:rPr>
        <w:t>علىٰ ما حَكَيتَه</w:t>
      </w:r>
      <w:r>
        <w:rPr>
          <w:rStyle w:val="FootnoteAnchor"/>
          <w:rtl w:val="true"/>
        </w:rPr>
        <w:footnoteReference w:id="1207"/>
      </w:r>
      <w:r>
        <w:rPr>
          <w:rFonts w:ascii="Amiri" w:hAnsi="Amiri" w:eastAsia="Amiri" w:cs="Amiri"/>
          <w:color w:val="111111"/>
          <w:sz w:val="28"/>
          <w:sz w:val="28"/>
          <w:szCs w:val="28"/>
          <w:rtl w:val="true"/>
          <w:lang w:bidi="ar-SA"/>
        </w:rPr>
        <w:t>عن ابنِ الأنباريِّ‌، غيرَ أنّه</w:t>
      </w:r>
      <w:r>
        <w:rPr>
          <w:rStyle w:val="FootnoteAnchor"/>
          <w:rtl w:val="true"/>
        </w:rPr>
        <w:footnoteReference w:id="1208"/>
      </w:r>
      <w:r>
        <w:rPr>
          <w:rFonts w:ascii="Amiri" w:hAnsi="Amiri" w:eastAsia="Amiri" w:cs="Amiri"/>
          <w:color w:val="111111"/>
          <w:sz w:val="28"/>
          <w:sz w:val="28"/>
          <w:szCs w:val="28"/>
          <w:rtl w:val="true"/>
          <w:lang w:bidi="ar-SA"/>
        </w:rPr>
        <w:t xml:space="preserve">معلومٌ في اللُّغةِ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دَلَّلنا علىٰ ذلكَ فيما تَقدَّمَ مِن الكلامِ‌</w:t>
      </w:r>
      <w:r>
        <w:rPr>
          <w:rStyle w:val="FootnoteAnchor"/>
          <w:rtl w:val="true"/>
        </w:rPr>
        <w:footnoteReference w:id="1209"/>
      </w:r>
      <w:r>
        <w:rPr>
          <w:rFonts w:ascii="Amiri" w:hAnsi="Amiri" w:eastAsia="Amiri" w:cs="Amiri"/>
          <w:color w:val="111111"/>
          <w:sz w:val="28"/>
          <w:sz w:val="28"/>
          <w:szCs w:val="28"/>
          <w:rtl w:val="true"/>
          <w:lang w:bidi="ar-SA"/>
        </w:rPr>
        <w:t>في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ما استَشهَدنا به مِن الشعرِ و الخبرِ لا يَجوزُ أن يَكونَ المُرادُ بمَولىٰ فيه إلّاالأَولىٰ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مُختَصّاً بالتدبيرِ و مُتَوَليّاً للقيامِ بأمرٍ مّا</w:t>
      </w:r>
      <w:r>
        <w:rPr>
          <w:rStyle w:val="FootnoteAnchor"/>
          <w:rtl w:val="true"/>
        </w:rPr>
        <w:footnoteReference w:id="1211"/>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مَولاه</w:t>
      </w:r>
      <w:r>
        <w:rPr>
          <w:rStyle w:val="FootnoteAnchor"/>
          <w:rtl w:val="true"/>
        </w:rPr>
        <w:footnoteReference w:id="1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متىٰ لَم يُحمَلْ علىٰ ما قُلناه لَم يُفِدْ؛ و كَيفَ </w:t>
      </w:r>
      <w:r>
        <w:rPr>
          <w:rStyle w:val="FootnoteAnchor"/>
          <w:rtl w:val="true"/>
        </w:rPr>
        <w:footnoteReference w:id="1213"/>
      </w:r>
      <w:r>
        <w:rPr>
          <w:rFonts w:ascii="Amiri" w:hAnsi="Amiri" w:eastAsia="Amiri" w:cs="Amiri"/>
          <w:color w:val="111111"/>
          <w:sz w:val="28"/>
          <w:sz w:val="28"/>
          <w:szCs w:val="28"/>
          <w:rtl w:val="true"/>
          <w:lang w:bidi="ar-SA"/>
        </w:rPr>
        <w:t>يَصِحُّ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إذنِ مَولاها</w:t>
      </w:r>
      <w:r>
        <w:rPr>
          <w:rFonts w:eastAsia="Amiri" w:cs="Amiri" w:ascii="Amiri" w:hAnsi="Amiri"/>
          <w:color w:val="111111"/>
          <w:sz w:val="28"/>
          <w:szCs w:val="28"/>
          <w:rtl w:val="true"/>
          <w:lang w:bidi="ar-SA"/>
        </w:rPr>
        <w:t>»</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مَن يَملِكُ تدبيرَها</w:t>
      </w:r>
      <w:r>
        <w:rPr>
          <w:rStyle w:val="FootnoteAnchor"/>
          <w:rtl w:val="true"/>
        </w:rPr>
        <w:footnoteReference w:id="1215"/>
      </w:r>
      <w:r>
        <w:rPr>
          <w:rFonts w:ascii="Amiri" w:hAnsi="Amiri" w:eastAsia="Amiri" w:cs="Amiri"/>
          <w:color w:val="111111"/>
          <w:sz w:val="28"/>
          <w:sz w:val="28"/>
          <w:szCs w:val="28"/>
          <w:rtl w:val="true"/>
          <w:lang w:bidi="ar-SA"/>
        </w:rPr>
        <w:t>و إليه العقدُ عليها؟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دَلَّلتم علَى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الدليلُ علىٰ أنّ استعمالَهم جَرىٰ علىٰ سَبيلِ الحقيقةِ لا المَجازِ، و المَجازُ</w:t>
      </w:r>
      <w:r>
        <w:rPr>
          <w:rStyle w:val="FootnoteAnchor"/>
          <w:rtl w:val="true"/>
        </w:rPr>
        <w:footnoteReference w:id="1217"/>
      </w:r>
      <w:r>
        <w:rPr>
          <w:rFonts w:ascii="Amiri" w:hAnsi="Amiri" w:eastAsia="Amiri" w:cs="Amiri"/>
          <w:color w:val="111111"/>
          <w:sz w:val="28"/>
          <w:sz w:val="28"/>
          <w:szCs w:val="28"/>
          <w:rtl w:val="true"/>
          <w:lang w:bidi="ar-SA"/>
        </w:rPr>
        <w:t xml:space="preserve">قد يَدخُلُ في الاستعمالِ كما تَدخُلُ </w:t>
      </w:r>
      <w:r>
        <w:rPr>
          <w:rStyle w:val="FootnoteAnchor"/>
          <w:rtl w:val="true"/>
        </w:rPr>
        <w:footnoteReference w:id="1218"/>
      </w:r>
      <w:r>
        <w:rPr>
          <w:rFonts w:ascii="Amiri" w:hAnsi="Amiri" w:eastAsia="Amiri" w:cs="Amiri"/>
          <w:color w:val="111111"/>
          <w:sz w:val="28"/>
          <w:sz w:val="28"/>
          <w:szCs w:val="28"/>
          <w:rtl w:val="true"/>
          <w:lang w:bidi="ar-SA"/>
        </w:rPr>
        <w:t xml:space="preserve">الحقيقةُ؟ </w:t>
      </w:r>
      <w:bookmarkStart w:id="258" w:name="pg20017_202494"/>
    </w:p>
    <w:p>
      <w:pPr>
        <w:pStyle w:val="BookText"/>
        <w:rPr/>
      </w:pPr>
      <w:bookmarkEnd w:id="258"/>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يُحكَمُ في اللفظِ</w:t>
      </w:r>
      <w:r>
        <w:rPr>
          <w:rStyle w:val="FootnoteAnchor"/>
          <w:rtl w:val="true"/>
        </w:rPr>
        <w:footnoteReference w:id="1219"/>
      </w:r>
      <w:r>
        <w:rPr>
          <w:rFonts w:ascii="Amiri" w:hAnsi="Amiri" w:eastAsia="Amiri" w:cs="Amiri"/>
          <w:color w:val="111111"/>
          <w:sz w:val="28"/>
          <w:sz w:val="28"/>
          <w:szCs w:val="28"/>
          <w:rtl w:val="true"/>
          <w:lang w:bidi="ar-SA"/>
        </w:rPr>
        <w:t>بأنّه مُستَعمَلٌ‌</w:t>
      </w:r>
      <w:r>
        <w:rPr>
          <w:rStyle w:val="FootnoteAnchor"/>
          <w:rtl w:val="true"/>
        </w:rPr>
        <w:footnoteReference w:id="1220"/>
      </w:r>
      <w:r>
        <w:rPr>
          <w:rFonts w:ascii="Amiri" w:hAnsi="Amiri" w:eastAsia="Amiri" w:cs="Amiri"/>
          <w:color w:val="111111"/>
          <w:sz w:val="28"/>
          <w:sz w:val="28"/>
          <w:szCs w:val="28"/>
          <w:rtl w:val="true"/>
          <w:lang w:bidi="ar-SA"/>
        </w:rPr>
        <w:t xml:space="preserve">في اللُّغةِ علىٰ وجهِ الحقيقةِ بأن يَظهَرَ استعمالُه فيها مِن غيرِ أن يَثبُتَ ما يَقتَضي كَونَه مَجازاً، مِن توقيفِ </w:t>
      </w:r>
      <w:r>
        <w:rPr>
          <w:rStyle w:val="FootnoteAnchor"/>
          <w:rtl w:val="true"/>
        </w:rPr>
        <w:footnoteReference w:id="1221"/>
      </w:r>
      <w:r>
        <w:rPr>
          <w:rFonts w:ascii="Amiri" w:hAnsi="Amiri" w:eastAsia="Amiri" w:cs="Amiri"/>
          <w:color w:val="111111"/>
          <w:sz w:val="28"/>
          <w:sz w:val="28"/>
          <w:szCs w:val="28"/>
          <w:rtl w:val="true"/>
          <w:lang w:bidi="ar-SA"/>
        </w:rPr>
        <w:t xml:space="preserve">أهلِ اللُّغةِ أو ما يَجري مَجرَى التوقيفِ ؛ فأصلُ الاستعمالِ يَقتَضي الحقيقةَ </w:t>
      </w:r>
      <w:r>
        <w:rPr>
          <w:rStyle w:val="FootnoteAnchor"/>
          <w:rtl w:val="true"/>
        </w:rPr>
        <w:footnoteReference w:id="1222"/>
      </w:r>
      <w:r>
        <w:rPr>
          <w:rFonts w:ascii="Amiri" w:hAnsi="Amiri" w:eastAsia="Amiri" w:cs="Amiri"/>
          <w:color w:val="111111"/>
          <w:sz w:val="28"/>
          <w:sz w:val="28"/>
          <w:szCs w:val="28"/>
          <w:rtl w:val="true"/>
          <w:lang w:bidi="ar-SA"/>
        </w:rPr>
        <w:t xml:space="preserve">، و إنّما يُحكَمُ في بعضِ الألفاظِ المُستَعمَلةِ بالمَجازِ لأمرٍ يوجِبُ علينا الانتقالَ عن الأصلِ </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964177_2320776876"/>
      <w:bookmarkStart w:id="260" w:name="_Toc92"/>
      <w:bookmarkEnd w:id="259"/>
      <w:r>
        <w:rPr>
          <w:rtl w:val="true"/>
        </w:rPr>
        <w:t>البحث الثالث</w:t>
      </w:r>
      <w:r>
        <w:rPr>
          <w:rtl w:val="true"/>
        </w:rPr>
        <w:t xml:space="preserve">: </w:t>
      </w:r>
      <w:r>
        <w:rPr>
          <w:rtl w:val="true"/>
        </w:rPr>
        <w:t xml:space="preserve">دلالة لفظة </w:t>
      </w:r>
      <w:r>
        <w:rPr>
          <w:rtl w:val="true"/>
        </w:rPr>
        <w:t>«</w:t>
      </w:r>
      <w:r>
        <w:rPr>
          <w:rtl w:val="true"/>
        </w:rPr>
        <w:t xml:space="preserve">مولىٰ </w:t>
      </w:r>
      <w:r>
        <w:rPr>
          <w:rtl w:val="true"/>
        </w:rPr>
        <w:t xml:space="preserve">» </w:t>
      </w:r>
      <w:r>
        <w:rPr>
          <w:rtl w:val="true"/>
        </w:rPr>
        <w:t xml:space="preserve">في حديث الغدير علىٰ معنىٰ </w:t>
      </w:r>
      <w:r>
        <w:rPr>
          <w:rtl w:val="true"/>
        </w:rPr>
        <w:t>«</w:t>
      </w:r>
      <w:r>
        <w:rPr>
          <w:rtl w:val="true"/>
        </w:rPr>
        <w:t xml:space="preserve">أولىٰ </w:t>
      </w:r>
      <w:r>
        <w:rPr>
          <w:rtl w:val="true"/>
        </w:rPr>
        <w:t>»</w:t>
      </w:r>
      <w:bookmarkEnd w:id="260"/>
    </w:p>
    <w:p>
      <w:pPr>
        <w:pStyle w:val="BookText"/>
        <w:rPr/>
      </w:pPr>
      <w:r>
        <w:rPr>
          <w:rFonts w:ascii="Amiri" w:hAnsi="Amiri" w:eastAsia="Amiri" w:cs="Amiri"/>
          <w:color w:val="111111"/>
          <w:sz w:val="28"/>
          <w:sz w:val="28"/>
          <w:szCs w:val="28"/>
          <w:rtl w:val="true"/>
          <w:lang w:bidi="ar-SA"/>
        </w:rPr>
        <w:t>و أمّا الذي يَدُلُّ‌</w:t>
      </w:r>
      <w:r>
        <w:rPr>
          <w:rStyle w:val="FootnoteAnchor"/>
          <w:rtl w:val="true"/>
        </w:rPr>
        <w:footnoteReference w:id="1223"/>
      </w:r>
      <w:r>
        <w:rPr>
          <w:rFonts w:ascii="Amiri" w:hAnsi="Amiri" w:eastAsia="Amiri" w:cs="Amiri"/>
          <w:color w:val="111111"/>
          <w:sz w:val="28"/>
          <w:sz w:val="28"/>
          <w:szCs w:val="28"/>
          <w:rtl w:val="true"/>
          <w:lang w:bidi="ar-SA"/>
        </w:rPr>
        <w:t xml:space="preserve">علىٰ أنّ المُرادَ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مِن عادةِ أهلِ اللسانِ في خِطابِهم إذا أورَدوا جُملةً مُصرَّحةً‌، و عَطَفوا عليها بكلامٍ مُحتَمِلٍ لِما تَقدَّمَ التصريحُ به و لغَيرِه</w:t>
      </w:r>
      <w:r>
        <w:rPr>
          <w:rStyle w:val="FootnoteAnchor"/>
          <w:rtl w:val="true"/>
        </w:rPr>
        <w:footnoteReference w:id="1224"/>
      </w:r>
      <w:r>
        <w:rPr>
          <w:rFonts w:ascii="Amiri" w:hAnsi="Amiri" w:eastAsia="Amiri" w:cs="Amiri"/>
          <w:color w:val="111111"/>
          <w:sz w:val="28"/>
          <w:sz w:val="28"/>
          <w:szCs w:val="28"/>
          <w:rtl w:val="true"/>
          <w:lang w:bidi="ar-SA"/>
        </w:rPr>
        <w:t xml:space="preserve">، لَم يَجُز أن يُريدوا بالمُحتَمِلِ إلّاالمعنَى الأوّلَ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 صحّةَ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أحَدَهم إذاَ قال مُقبِلاً علىٰ جماعةٍ و</w:t>
      </w:r>
      <w:r>
        <w:rPr>
          <w:rStyle w:val="FootnoteAnchor"/>
          <w:rtl w:val="true"/>
        </w:rPr>
        <w:footnoteReference w:id="1225"/>
      </w:r>
      <w:r>
        <w:rPr>
          <w:rFonts w:ascii="Amiri" w:hAnsi="Amiri" w:eastAsia="Amiri" w:cs="Amiri"/>
          <w:color w:val="111111"/>
          <w:sz w:val="28"/>
          <w:sz w:val="28"/>
          <w:szCs w:val="28"/>
          <w:rtl w:val="true"/>
          <w:lang w:bidi="ar-SA"/>
        </w:rPr>
        <w:t>مُفهِماً لهم و له عِدّةُ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لَستم عارفينَ بعَبدي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عاطفاً علىٰ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فاشهَدوا أنّ عَبدي حُرٌّ لوَجهِ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أن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قَدَّمَ ما قَدَّمَه إلّا العَبدَ الذي سَمّاه في أوّلِ كلامِه، دونَ غيرِه مِن سائرِ عَبيدِه، و متىٰ أرادَ سِواه كانَ عندَهم مُلغِزاً خارجاً عن طريقةِ </w:t>
      </w:r>
      <w:r>
        <w:rPr>
          <w:rStyle w:val="FootnoteAnchor"/>
          <w:rtl w:val="true"/>
        </w:rPr>
        <w:footnoteReference w:id="1226"/>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فاشهَدوا أنّ عَبدي 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جميعِ أهلِ اللسانِ مَجرىٰ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فاشهَدوا أنّ عَبدي فُلاناً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كَرَّرَ</w:t>
      </w:r>
      <w:r>
        <w:rPr>
          <w:rStyle w:val="FootnoteAnchor"/>
          <w:rtl w:val="true"/>
        </w:rPr>
        <w:footnoteReference w:id="1227"/>
      </w:r>
      <w:r>
        <w:rPr>
          <w:rFonts w:ascii="Amiri" w:hAnsi="Amiri" w:eastAsia="Amiri" w:cs="Amiri"/>
          <w:color w:val="111111"/>
          <w:sz w:val="28"/>
          <w:sz w:val="28"/>
          <w:szCs w:val="28"/>
          <w:rtl w:val="true"/>
          <w:lang w:bidi="ar-SA"/>
        </w:rPr>
        <w:t>تسميَتَه و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حالُ </w:t>
      </w:r>
      <w:r>
        <w:rPr>
          <w:rStyle w:val="FootnoteAnchor"/>
          <w:rtl w:val="true"/>
        </w:rPr>
        <w:footnoteReference w:id="1228"/>
      </w:r>
      <w:r>
        <w:rPr>
          <w:rFonts w:ascii="Amiri" w:hAnsi="Amiri" w:eastAsia="Amiri" w:cs="Amiri"/>
          <w:color w:val="111111"/>
          <w:sz w:val="28"/>
          <w:sz w:val="28"/>
          <w:szCs w:val="28"/>
          <w:rtl w:val="true"/>
          <w:lang w:bidi="ar-SA"/>
        </w:rPr>
        <w:t>كُلِّ لفظٍ مُحتَمِلٍ عُطِفَ علىٰ لفظٍ مُفسَّرٍ علَى الوجهِ الذي صَوَّرناه؛ فلا حاجةَ بنا إلىٰ تكثيرِ</w:t>
      </w:r>
      <w:r>
        <w:rPr>
          <w:rStyle w:val="FootnoteAnchor"/>
          <w:rtl w:val="true"/>
        </w:rPr>
        <w:footnoteReference w:id="1229"/>
      </w:r>
      <w:r>
        <w:rPr>
          <w:rFonts w:ascii="Amiri" w:hAnsi="Amiri" w:eastAsia="Amiri" w:cs="Amiri"/>
          <w:color w:val="111111"/>
          <w:sz w:val="28"/>
          <w:sz w:val="28"/>
          <w:szCs w:val="28"/>
          <w:rtl w:val="true"/>
          <w:lang w:bidi="ar-SA"/>
        </w:rPr>
        <w:t>الأمثلةِ فيه</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w:t>
      </w:r>
      <w:r>
        <w:rPr>
          <w:rStyle w:val="FootnoteAnchor"/>
          <w:rtl w:val="true"/>
        </w:rPr>
        <w:footnoteReference w:id="1231"/>
      </w:r>
      <w:r>
        <w:rPr>
          <w:rFonts w:ascii="Amiri" w:hAnsi="Amiri" w:eastAsia="Amiri" w:cs="Amiri"/>
          <w:color w:val="111111"/>
          <w:sz w:val="28"/>
          <w:sz w:val="28"/>
          <w:szCs w:val="28"/>
          <w:rtl w:val="true"/>
          <w:lang w:bidi="ar-SA"/>
        </w:rPr>
        <w:t>يُشبِهُ‌</w:t>
      </w:r>
      <w:r>
        <w:rPr>
          <w:rStyle w:val="FootnoteAnchor"/>
          <w:rtl w:val="true"/>
        </w:rPr>
        <w:footnoteReference w:id="1232"/>
      </w:r>
      <w:r>
        <w:rPr>
          <w:rFonts w:ascii="Amiri" w:hAnsi="Amiri" w:eastAsia="Amiri" w:cs="Amiri"/>
          <w:color w:val="111111"/>
          <w:sz w:val="28"/>
          <w:sz w:val="28"/>
          <w:szCs w:val="28"/>
          <w:rtl w:val="true"/>
          <w:lang w:bidi="ar-SA"/>
        </w:rPr>
        <w:t>المثالُ الذي أَورَدتموه</w:t>
      </w:r>
      <w:r>
        <w:rPr>
          <w:rStyle w:val="FootnoteAnchor"/>
          <w:rtl w:val="true"/>
        </w:rPr>
        <w:footnoteReference w:id="1233"/>
      </w:r>
      <w:r>
        <w:rPr>
          <w:rFonts w:ascii="Amiri" w:hAnsi="Amiri" w:eastAsia="Amiri" w:cs="Amiri"/>
          <w:color w:val="111111"/>
          <w:sz w:val="28"/>
          <w:sz w:val="28"/>
          <w:szCs w:val="28"/>
          <w:rtl w:val="true"/>
          <w:lang w:bidi="ar-SA"/>
        </w:rPr>
        <w:t xml:space="preserve">خبرَ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تَكَرَّرَت فيه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موصوفةٍ علىٰ سَبيلِ الاختصارِ بَعدَ أن تَقدَّمَت موصوفةً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الغَديرِ لَم تَتكرَّرْ</w:t>
      </w:r>
      <w:r>
        <w:rPr>
          <w:rStyle w:val="FootnoteAnchor"/>
          <w:rtl w:val="true"/>
        </w:rPr>
        <w:footnoteReference w:id="1234"/>
      </w:r>
      <w:r>
        <w:rPr>
          <w:rFonts w:ascii="Amiri" w:hAnsi="Amiri" w:eastAsia="Amiri" w:cs="Amiri"/>
          <w:color w:val="111111"/>
          <w:sz w:val="28"/>
          <w:sz w:val="28"/>
          <w:szCs w:val="28"/>
          <w:rtl w:val="true"/>
          <w:lang w:bidi="ar-SA"/>
        </w:rPr>
        <w:t xml:space="preserve">فيه لفظةٌ واحدةٌ ، و إنّما 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فادَّعَيتم أنّها تَقومُ مَقامَ لفظِ</w:t>
      </w:r>
      <w:r>
        <w:rPr>
          <w:rStyle w:val="FootnoteAnchor"/>
          <w:rtl w:val="true"/>
        </w:rPr>
        <w:footnoteReference w:id="1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تَفهَمْ مَوقِعَ‌</w:t>
      </w:r>
      <w:r>
        <w:rPr>
          <w:rStyle w:val="FootnoteAnchor"/>
          <w:rtl w:val="true"/>
        </w:rPr>
        <w:footnoteReference w:id="1237"/>
      </w:r>
      <w:r>
        <w:rPr>
          <w:rFonts w:ascii="Amiri" w:hAnsi="Amiri" w:eastAsia="Amiri" w:cs="Amiri"/>
          <w:color w:val="111111"/>
          <w:sz w:val="28"/>
          <w:sz w:val="28"/>
          <w:szCs w:val="28"/>
          <w:rtl w:val="true"/>
          <w:lang w:bidi="ar-SA"/>
        </w:rPr>
        <w:t>التشبيهِ بَينَ المثالِ و خبرِ الغَديرِ و كيفيّةَ‌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الاستشهادِ به؛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مُتكرِّرةً فيه، فإنّها لمّا وَرَدَت أوّلاً موصولةً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جَرَت مَجرَى المُفسَّرِ</w:t>
      </w:r>
      <w:r>
        <w:rPr>
          <w:rStyle w:val="FootnoteAnchor"/>
          <w:rtl w:val="true"/>
        </w:rPr>
        <w:footnoteReference w:id="1238"/>
      </w:r>
      <w:r>
        <w:rPr>
          <w:rFonts w:ascii="Amiri" w:hAnsi="Amiri" w:eastAsia="Amiri" w:cs="Amiri"/>
          <w:color w:val="111111"/>
          <w:sz w:val="28"/>
          <w:sz w:val="28"/>
          <w:szCs w:val="28"/>
          <w:rtl w:val="true"/>
          <w:lang w:bidi="ar-SA"/>
        </w:rPr>
        <w:t xml:space="preserve">المُصرَّحِ الذي هو ما تَضمَّنَته المُقدِّمةُ في خبرِ الغَديرِ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لمّا وَرَدَت مِن بَعدُ غيرَ موصولةٍ </w:t>
      </w:r>
      <w:r>
        <w:rPr>
          <w:rStyle w:val="FootnoteAnchor"/>
          <w:rtl w:val="true"/>
        </w:rPr>
        <w:footnoteReference w:id="1239"/>
      </w:r>
      <w:r>
        <w:rPr>
          <w:rFonts w:ascii="Amiri" w:hAnsi="Amiri" w:eastAsia="Amiri" w:cs="Amiri"/>
          <w:color w:val="111111"/>
          <w:sz w:val="28"/>
          <w:sz w:val="28"/>
          <w:szCs w:val="28"/>
          <w:rtl w:val="true"/>
          <w:lang w:bidi="ar-SA"/>
        </w:rPr>
        <w:t xml:space="preserve">حَصَلَ </w:t>
      </w:r>
    </w:p>
    <w:p>
      <w:pPr>
        <w:pStyle w:val="BookText"/>
        <w:rPr/>
      </w:pPr>
      <w:r>
        <w:rPr>
          <w:rFonts w:ascii="Amiri" w:hAnsi="Amiri" w:eastAsia="Amiri" w:cs="Amiri"/>
          <w:color w:val="111111"/>
          <w:sz w:val="28"/>
          <w:sz w:val="28"/>
          <w:szCs w:val="28"/>
          <w:rtl w:val="true"/>
          <w:lang w:bidi="ar-SA"/>
        </w:rPr>
        <w:t>فيها</w:t>
      </w:r>
      <w:r>
        <w:rPr>
          <w:rStyle w:val="FootnoteAnchor"/>
          <w:rtl w:val="true"/>
        </w:rPr>
        <w:footnoteReference w:id="1240"/>
      </w:r>
      <w:r>
        <w:rPr>
          <w:rFonts w:ascii="Amiri" w:hAnsi="Amiri" w:eastAsia="Amiri" w:cs="Amiri"/>
          <w:color w:val="111111"/>
          <w:sz w:val="28"/>
          <w:sz w:val="28"/>
          <w:szCs w:val="28"/>
          <w:rtl w:val="true"/>
          <w:lang w:bidi="ar-SA"/>
        </w:rPr>
        <w:t xml:space="preserve">احتمالٌ و اشتباهٌ لَم يَكُن في الأوّلِ </w:t>
      </w:r>
      <w:r>
        <w:rPr>
          <w:rStyle w:val="FootnoteAnchor"/>
          <w:rtl w:val="true"/>
        </w:rPr>
        <w:footnoteReference w:id="1241"/>
      </w:r>
      <w:r>
        <w:rPr>
          <w:rFonts w:ascii="Amiri" w:hAnsi="Amiri" w:eastAsia="Amiri" w:cs="Amiri"/>
          <w:color w:val="111111"/>
          <w:sz w:val="28"/>
          <w:sz w:val="28"/>
          <w:szCs w:val="28"/>
          <w:rtl w:val="true"/>
          <w:lang w:bidi="ar-SA"/>
        </w:rPr>
        <w:t>، فصارَت كأنّها لفظةٌ أُخرىٰ تَحتَمِلُ ما تَقدَّمَ و تَحتَمِلُ غيرَه</w:t>
      </w:r>
      <w:r>
        <w:rPr>
          <w:rStyle w:val="FootnoteAnchor"/>
          <w:rtl w:val="true"/>
        </w:rPr>
        <w:footnoteReference w:id="1242"/>
      </w:r>
      <w:r>
        <w:rPr>
          <w:rFonts w:ascii="Amiri" w:hAnsi="Amiri" w:eastAsia="Amiri" w:cs="Amiri"/>
          <w:color w:val="111111"/>
          <w:sz w:val="28"/>
          <w:sz w:val="28"/>
          <w:szCs w:val="28"/>
          <w:rtl w:val="true"/>
          <w:lang w:bidi="ar-SA"/>
        </w:rPr>
        <w:t xml:space="preserve">، و جَرَت مَجرىٰ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الغَديرِ في احتِمالها لِما تَقدَّمَ 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لَو جَعَلنا 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فاشهَدوا أنّ عَبدي 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اشهَدوا أنّ غُلامي أو مملوكي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لَزالَت</w:t>
      </w:r>
      <w:r>
        <w:rPr>
          <w:rStyle w:val="FootnoteAnchor"/>
          <w:rtl w:val="true"/>
        </w:rPr>
        <w:footnoteReference w:id="1243"/>
      </w:r>
      <w:r>
        <w:rPr>
          <w:rFonts w:ascii="Amiri" w:hAnsi="Amiri" w:eastAsia="Amiri" w:cs="Amiri"/>
          <w:color w:val="111111"/>
          <w:sz w:val="28"/>
          <w:sz w:val="28"/>
          <w:szCs w:val="28"/>
          <w:rtl w:val="true"/>
          <w:lang w:bidi="ar-SA"/>
        </w:rPr>
        <w:t xml:space="preserve">الشُّبهةُ في مُطابَقَةِ المثالِ للخبرِ، و إن كانَ لا فَرقَ في الحقيقةِ بَينَ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تَكرَّرَت، و بَينَ ما يَقومُ مَقامَها مِن الألفاظِ في</w:t>
      </w:r>
      <w:r>
        <w:rPr>
          <w:rStyle w:val="FootnoteAnchor"/>
          <w:rtl w:val="true"/>
        </w:rPr>
        <w:footnoteReference w:id="1244"/>
      </w:r>
      <w:r>
        <w:rPr>
          <w:rFonts w:ascii="Amiri" w:hAnsi="Amiri" w:eastAsia="Amiri" w:cs="Amiri"/>
          <w:color w:val="111111"/>
          <w:sz w:val="28"/>
          <w:sz w:val="28"/>
          <w:szCs w:val="28"/>
          <w:rtl w:val="true"/>
          <w:lang w:bidi="ar-SA"/>
        </w:rPr>
        <w:t>المعنَى الذي قَصَدناه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تُنكِرونَ مِن</w:t>
      </w:r>
      <w:r>
        <w:rPr>
          <w:rStyle w:val="FootnoteAnchor"/>
          <w:rtl w:val="true"/>
        </w:rPr>
        <w:footnoteReference w:id="1245"/>
      </w:r>
      <w:r>
        <w:rPr>
          <w:rFonts w:ascii="Amiri" w:hAnsi="Amiri" w:eastAsia="Amiri" w:cs="Amiri"/>
          <w:color w:val="111111"/>
          <w:sz w:val="28"/>
          <w:sz w:val="28"/>
          <w:szCs w:val="28"/>
          <w:rtl w:val="true"/>
          <w:lang w:bidi="ar-SA"/>
        </w:rPr>
        <w:t xml:space="preserve">أن يَكونَ إنّما 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يُريدَ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حَكَيتم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و التي تَقومُ مَقامَها مَن عَدا المذكورَ الأوّلَ الذي قَرَّرَهم</w:t>
      </w:r>
      <w:r>
        <w:rPr>
          <w:rStyle w:val="FootnoteAnchor"/>
          <w:rtl w:val="true"/>
        </w:rPr>
        <w:footnoteReference w:id="1246"/>
      </w:r>
      <w:r>
        <w:rPr>
          <w:rFonts w:ascii="Amiri" w:hAnsi="Amiri" w:eastAsia="Amiri" w:cs="Amiri"/>
          <w:color w:val="111111"/>
          <w:sz w:val="28"/>
          <w:sz w:val="28"/>
          <w:szCs w:val="28"/>
          <w:rtl w:val="true"/>
          <w:lang w:bidi="ar-SA"/>
        </w:rPr>
        <w:t>بمعرفتِه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تَكونُ‌</w:t>
      </w:r>
      <w:r>
        <w:rPr>
          <w:rStyle w:val="FootnoteAnchor"/>
          <w:rtl w:val="true"/>
        </w:rPr>
        <w:footnoteReference w:id="1247"/>
      </w:r>
      <w:r>
        <w:rPr>
          <w:rFonts w:ascii="Amiri" w:hAnsi="Amiri" w:eastAsia="Amiri" w:cs="Amiri"/>
          <w:color w:val="111111"/>
          <w:sz w:val="28"/>
          <w:sz w:val="28"/>
          <w:szCs w:val="28"/>
          <w:rtl w:val="true"/>
          <w:lang w:bidi="ar-SA"/>
        </w:rPr>
        <w:t>المُقدِّمةُ إذا أرادَ ذلكَ لا معنىٰ لها و لا فائدةَ فيها، و لأنّه أيضاً لا تَعلُّقَ لها بما عُطِفَ عليها بالفاءِ التي تَقتَضي</w:t>
      </w:r>
      <w:r>
        <w:rPr>
          <w:rStyle w:val="FootnoteAnchor"/>
          <w:rtl w:val="true"/>
        </w:rPr>
        <w:footnoteReference w:id="1248"/>
      </w:r>
      <w:r>
        <w:rPr>
          <w:rFonts w:ascii="Amiri" w:hAnsi="Amiri" w:eastAsia="Amiri" w:cs="Amiri"/>
          <w:color w:val="111111"/>
          <w:sz w:val="28"/>
          <w:sz w:val="28"/>
          <w:szCs w:val="28"/>
          <w:rtl w:val="true"/>
          <w:lang w:bidi="ar-SA"/>
        </w:rPr>
        <w:t>التعَلُّقَ بَينَ الكلامَينِ‌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هذا في خبرِ الغَديرِ؛ لأنّه إذا لَم يُرِدْ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 و أرادَ أحَدَ ما يَحتَمِلُه مِن الأقسامِ ، لَم تَخرُجِ </w:t>
      </w:r>
      <w:r>
        <w:rPr>
          <w:rStyle w:val="FootnoteAnchor"/>
          <w:rtl w:val="true"/>
        </w:rPr>
        <w:footnoteReference w:id="1249"/>
      </w:r>
      <w:r>
        <w:rPr>
          <w:rFonts w:ascii="Amiri" w:hAnsi="Amiri" w:eastAsia="Amiri" w:cs="Amiri"/>
          <w:color w:val="111111"/>
          <w:sz w:val="28"/>
          <w:sz w:val="28"/>
          <w:szCs w:val="28"/>
          <w:rtl w:val="true"/>
          <w:lang w:bidi="ar-SA"/>
        </w:rPr>
        <w:t xml:space="preserve">المُقدِّمةُ مِن أن تَكونَ مُفيدةً </w:t>
      </w:r>
      <w:r>
        <w:rPr>
          <w:rStyle w:val="FootnoteAnchor"/>
          <w:rtl w:val="true"/>
        </w:rPr>
        <w:footnoteReference w:id="1250"/>
      </w:r>
      <w:r>
        <w:rPr>
          <w:rFonts w:ascii="Amiri" w:hAnsi="Amiri" w:eastAsia="Amiri" w:cs="Amiri"/>
          <w:color w:val="111111"/>
          <w:sz w:val="28"/>
          <w:sz w:val="28"/>
          <w:szCs w:val="28"/>
          <w:rtl w:val="true"/>
          <w:lang w:bidi="ar-SA"/>
        </w:rPr>
        <w:t xml:space="preserve">و مُتعلِّقةً بالكلامِ الثاني؛ </w:t>
      </w:r>
    </w:p>
    <w:p>
      <w:pPr>
        <w:pStyle w:val="BookText"/>
        <w:rPr/>
      </w:pPr>
      <w:r>
        <w:rPr>
          <w:rFonts w:ascii="Amiri" w:hAnsi="Amiri" w:eastAsia="Amiri" w:cs="Amiri"/>
          <w:color w:val="111111"/>
          <w:sz w:val="28"/>
          <w:sz w:val="28"/>
          <w:szCs w:val="28"/>
          <w:rtl w:val="true"/>
          <w:lang w:bidi="ar-SA"/>
        </w:rPr>
        <w:t>لأنّها تُفيدُ التذكيرَ بوجوبِ الطاعةِ و أخذَ الإقرارِ بها؛ ليَتأكَّدَ لزومُ ما يوجِبُه</w:t>
      </w:r>
      <w:r>
        <w:rPr>
          <w:rStyle w:val="FootnoteAnchor"/>
          <w:rtl w:val="true"/>
        </w:rPr>
        <w:footnoteReference w:id="1251"/>
      </w:r>
      <w:r>
        <w:rPr>
          <w:rFonts w:ascii="Amiri" w:hAnsi="Amiri" w:eastAsia="Amiri" w:cs="Amiri"/>
          <w:color w:val="111111"/>
          <w:sz w:val="28"/>
          <w:sz w:val="28"/>
          <w:szCs w:val="28"/>
          <w:rtl w:val="true"/>
          <w:lang w:bidi="ar-SA"/>
        </w:rPr>
        <w:t xml:space="preserve">في الكلامِ الثاني لهم، و يَصيرُ معنَى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أَولىٰ بِكم، و كانَت طاعتي واجبةً عليكم، فافعَلوا كَذا و كَذا؛ فإنّه مِن جُملةِ ما آمُرُكم بطاعتي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عادةُ الحُكَماءِ فيما يُلزِمونَه</w:t>
      </w:r>
      <w:r>
        <w:rPr>
          <w:rStyle w:val="FootnoteAnchor"/>
          <w:rtl w:val="true"/>
        </w:rPr>
        <w:footnoteReference w:id="1252"/>
      </w:r>
      <w:r>
        <w:rPr>
          <w:rFonts w:ascii="Amiri" w:hAnsi="Amiri" w:eastAsia="Amiri" w:cs="Amiri"/>
          <w:color w:val="111111"/>
          <w:sz w:val="28"/>
          <w:sz w:val="28"/>
          <w:szCs w:val="28"/>
          <w:rtl w:val="true"/>
          <w:lang w:bidi="ar-SA"/>
        </w:rPr>
        <w:t xml:space="preserve">مَن يَجِبُ </w:t>
      </w:r>
      <w:r>
        <w:rPr>
          <w:rStyle w:val="FootnoteAnchor"/>
          <w:rtl w:val="true"/>
        </w:rPr>
        <w:footnoteReference w:id="1253"/>
      </w:r>
      <w:r>
        <w:rPr>
          <w:rFonts w:ascii="Amiri" w:hAnsi="Amiri" w:eastAsia="Amiri" w:cs="Amiri"/>
          <w:color w:val="111111"/>
          <w:sz w:val="28"/>
          <w:sz w:val="28"/>
          <w:szCs w:val="28"/>
          <w:rtl w:val="true"/>
          <w:lang w:bidi="ar-SA"/>
        </w:rPr>
        <w:t>عليه طاعتُهم؛ فافتَرَقَ الأمرانِ ، و بَطَلَ أن يُجعَلَ حُكمُهما</w:t>
      </w:r>
      <w:r>
        <w:rPr>
          <w:rStyle w:val="FootnoteAnchor"/>
          <w:rtl w:val="true"/>
        </w:rPr>
        <w:footnoteReference w:id="1254"/>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علىٰ ما ذَكَرتَ لَوَجَبَ أن يَكونَ متىٰ حَصَلَ </w:t>
      </w:r>
      <w:r>
        <w:rPr>
          <w:rStyle w:val="FootnoteAnchor"/>
          <w:rtl w:val="true"/>
        </w:rPr>
        <w:footnoteReference w:id="1255"/>
      </w:r>
      <w:r>
        <w:rPr>
          <w:rFonts w:ascii="Amiri" w:hAnsi="Amiri" w:eastAsia="Amiri" w:cs="Amiri"/>
          <w:color w:val="111111"/>
          <w:sz w:val="28"/>
          <w:sz w:val="28"/>
          <w:szCs w:val="28"/>
          <w:rtl w:val="true"/>
          <w:lang w:bidi="ar-SA"/>
        </w:rPr>
        <w:t xml:space="preserve">في المثالِ الذي أورَدناه فائدةٌ لمُقدِّمتِه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 بَينَ المعطوفِ و المعطوفِ عليه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يَحسُنَ ما ذَكرناه و حَكَمنا بقُبحِه</w:t>
      </w:r>
      <w:r>
        <w:rPr>
          <w:rStyle w:val="FootnoteAnchor"/>
          <w:rtl w:val="true"/>
        </w:rPr>
        <w:footnoteReference w:id="1256"/>
      </w:r>
      <w:r>
        <w:rPr>
          <w:rFonts w:ascii="Amiri" w:hAnsi="Amiri" w:eastAsia="Amiri" w:cs="Amiri"/>
          <w:color w:val="111111"/>
          <w:sz w:val="28"/>
          <w:sz w:val="28"/>
          <w:szCs w:val="28"/>
          <w:rtl w:val="true"/>
          <w:lang w:bidi="ar-SA"/>
        </w:rPr>
        <w:t>و وافَقتَنا</w:t>
      </w:r>
      <w:r>
        <w:rPr>
          <w:rStyle w:val="FootnoteAnchor"/>
          <w:rtl w:val="true"/>
        </w:rPr>
        <w:footnoteReference w:id="1257"/>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نَعلَمُ أنّ القائلَ إذا أقبَلَ علىٰ جماعةٍ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لَستم تَعرِفونَ صَديقي زيداً الذي كنتُ ابتَعتُ منه عَبدي فُلاناً الذي مِن</w:t>
      </w:r>
      <w:r>
        <w:rPr>
          <w:rStyle w:val="FootnoteAnchor"/>
          <w:rtl w:val="true"/>
        </w:rPr>
        <w:footnoteReference w:id="1258"/>
      </w:r>
      <w:r>
        <w:rPr>
          <w:rFonts w:ascii="Amiri" w:hAnsi="Amiri" w:eastAsia="Amiri" w:cs="Amiri"/>
          <w:color w:val="111111"/>
          <w:sz w:val="28"/>
          <w:sz w:val="28"/>
          <w:szCs w:val="28"/>
          <w:rtl w:val="true"/>
          <w:lang w:bidi="ar-SA"/>
        </w:rPr>
        <w:t>صفتِه كَذا، و أشهَدناكم علىٰ أنفُسِنا بالمُبايَعةِ؟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عَقيبَ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فاشهَدوا أنّني</w:t>
      </w:r>
      <w:r>
        <w:rPr>
          <w:rStyle w:val="FootnoteAnchor"/>
          <w:rtl w:val="true"/>
        </w:rPr>
        <w:footnoteReference w:id="1259"/>
      </w:r>
      <w:r>
        <w:rPr>
          <w:rFonts w:ascii="Amiri" w:hAnsi="Amiri" w:eastAsia="Amiri" w:cs="Amiri"/>
          <w:color w:val="111111"/>
          <w:sz w:val="28"/>
          <w:sz w:val="28"/>
          <w:szCs w:val="28"/>
          <w:rtl w:val="true"/>
          <w:lang w:bidi="ar-SA"/>
        </w:rPr>
        <w:t>قد وَهَبتُ له عَبدي، أو رَدَدتُ عليه</w:t>
      </w:r>
      <w:r>
        <w:rPr>
          <w:rStyle w:val="FootnoteAnchor"/>
          <w:rtl w:val="true"/>
        </w:rPr>
        <w:footnoteReference w:id="1260"/>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أن يُريدَ بالكلامِ الثاني إلّاالعَبدَ الذي سَمّاه و عَيَّنَه في صَدرِ</w:t>
      </w:r>
      <w:r>
        <w:rPr>
          <w:rStyle w:val="FootnoteAnchor"/>
          <w:rtl w:val="true"/>
        </w:rPr>
        <w:footnoteReference w:id="1261"/>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bookmarkStart w:id="261" w:name="pg20017_202498"/>
    </w:p>
    <w:p>
      <w:pPr>
        <w:pStyle w:val="BookText"/>
        <w:rPr/>
      </w:pPr>
      <w:bookmarkEnd w:id="261"/>
      <w:r>
        <w:rPr>
          <w:rFonts w:ascii="Amiri" w:hAnsi="Amiri" w:eastAsia="Amiri" w:cs="Amiri"/>
          <w:color w:val="111111"/>
          <w:sz w:val="28"/>
          <w:sz w:val="28"/>
          <w:szCs w:val="28"/>
          <w:rtl w:val="true"/>
          <w:lang w:bidi="ar-SA"/>
        </w:rPr>
        <w:t>و إن كانَ متىٰ لَم يُرِدْ ذلكَ يَصِحُّ أن يَحصُلَ‌</w:t>
      </w:r>
      <w:r>
        <w:rPr>
          <w:rStyle w:val="FootnoteAnchor"/>
          <w:rtl w:val="true"/>
        </w:rPr>
        <w:footnoteReference w:id="1262"/>
      </w:r>
      <w:r>
        <w:rPr>
          <w:rFonts w:ascii="Amiri" w:hAnsi="Amiri" w:eastAsia="Amiri" w:cs="Amiri"/>
          <w:color w:val="111111"/>
          <w:sz w:val="28"/>
          <w:sz w:val="28"/>
          <w:szCs w:val="28"/>
          <w:rtl w:val="true"/>
          <w:lang w:bidi="ar-SA"/>
        </w:rPr>
        <w:t>فيما قَدَّمَه فائدةٌ‌، و لبعضِ كلامِه تَعلُّقٌ ببعضٍ‌؛ لأنّه لا يَمتَنِعُ‌</w:t>
      </w:r>
      <w:r>
        <w:rPr>
          <w:rStyle w:val="FootnoteAnchor"/>
          <w:rtl w:val="true"/>
        </w:rPr>
        <w:footnoteReference w:id="1263"/>
      </w:r>
      <w:r>
        <w:rPr>
          <w:rFonts w:ascii="Amiri" w:hAnsi="Amiri" w:eastAsia="Amiri" w:cs="Amiri"/>
          <w:color w:val="111111"/>
          <w:sz w:val="28"/>
          <w:sz w:val="28"/>
          <w:szCs w:val="28"/>
          <w:rtl w:val="true"/>
          <w:lang w:bidi="ar-SA"/>
        </w:rPr>
        <w:t>أن يُريدَ بما قَدَّمَه مِن ذِكرِ العَبدِ تعريفَ‌</w:t>
      </w:r>
      <w:r>
        <w:rPr>
          <w:rStyle w:val="FootnoteAnchor"/>
          <w:rtl w:val="true"/>
        </w:rPr>
        <w:footnoteReference w:id="1264"/>
      </w:r>
      <w:r>
        <w:rPr>
          <w:rFonts w:ascii="Amiri" w:hAnsi="Amiri" w:eastAsia="Amiri" w:cs="Amiri"/>
          <w:color w:val="111111"/>
          <w:sz w:val="28"/>
          <w:sz w:val="28"/>
          <w:szCs w:val="28"/>
          <w:rtl w:val="true"/>
          <w:lang w:bidi="ar-SA"/>
        </w:rPr>
        <w:t>الصديقِ‌، و يَكونَ وجهُ التعلُّقِ بَينَ الكلامَينِ‌</w:t>
      </w:r>
      <w:r>
        <w:rPr>
          <w:rStyle w:val="FootnoteAnchor"/>
          <w:rtl w:val="true"/>
        </w:rPr>
        <w:footnoteReference w:id="12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أنّكم إذا كنتم قد شَهِدتم بكَذا و عَرَفتموه، فاشهَدوا أيضاً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لَو صَرَّحَ بما قَدَّمناه</w:t>
      </w:r>
      <w:r>
        <w:rPr>
          <w:rStyle w:val="FootnoteAnchor"/>
          <w:rtl w:val="true"/>
        </w:rPr>
        <w:footnoteReference w:id="1266"/>
      </w:r>
      <w:r>
        <w:rPr>
          <w:rFonts w:ascii="Amiri" w:hAnsi="Amiri" w:eastAsia="Amiri" w:cs="Amiri"/>
          <w:color w:val="111111"/>
          <w:sz w:val="28"/>
          <w:sz w:val="28"/>
          <w:szCs w:val="28"/>
          <w:rtl w:val="true"/>
          <w:lang w:bidi="ar-SA"/>
        </w:rPr>
        <w:t xml:space="preserve">حتّىٰ يَقولَ بَعدَ المُقدِّمةِ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فاشهَدوا أنّني</w:t>
      </w:r>
      <w:r>
        <w:rPr>
          <w:rStyle w:val="FootnoteAnchor"/>
          <w:rtl w:val="true"/>
        </w:rPr>
        <w:footnoteReference w:id="1267"/>
      </w:r>
      <w:r>
        <w:rPr>
          <w:rFonts w:ascii="Amiri" w:hAnsi="Amiri" w:eastAsia="Amiri" w:cs="Amiri"/>
          <w:color w:val="111111"/>
          <w:sz w:val="28"/>
          <w:sz w:val="28"/>
          <w:szCs w:val="28"/>
          <w:rtl w:val="true"/>
          <w:lang w:bidi="ar-SA"/>
        </w:rPr>
        <w:t>قد وَهَبتُ له، أو رَدَدتُ إليه عَبدي فُلاناً الذي كنتُ مَلَكتُه منه</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مِن عبيدِه غيرَ مَن تَقَدَّمَ ذِكرُه لَحَسُنَ ، و كانَ وجهُ حُسنِه ما ذَكرناه؛ فثَبَتَ أنّ الوجهَ في قُبحِ حَملِ الكلامِ الثاني علىٰ غيرِ معنَى الأوّلِ </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ادَّعاه السائلُ ، و أنّه الذي ذَهَبنا إليه</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964179_2320776876"/>
      <w:bookmarkStart w:id="263" w:name="_Toc93"/>
      <w:bookmarkEnd w:id="262"/>
      <w:r>
        <w:rPr>
          <w:rtl w:val="true"/>
        </w:rPr>
        <w:t>البحث الرابع</w:t>
      </w:r>
      <w:r>
        <w:rPr>
          <w:rtl w:val="true"/>
        </w:rPr>
        <w:t xml:space="preserve">: </w:t>
      </w:r>
      <w:r>
        <w:rPr>
          <w:rtl w:val="true"/>
        </w:rPr>
        <w:t xml:space="preserve">دلالة لفظة </w:t>
      </w:r>
      <w:r>
        <w:rPr>
          <w:rtl w:val="true"/>
        </w:rPr>
        <w:t>«</w:t>
      </w:r>
      <w:r>
        <w:rPr>
          <w:rtl w:val="true"/>
        </w:rPr>
        <w:t xml:space="preserve">أولىٰ </w:t>
      </w:r>
      <w:r>
        <w:rPr>
          <w:rtl w:val="true"/>
        </w:rPr>
        <w:t xml:space="preserve">» </w:t>
      </w:r>
      <w:r>
        <w:rPr>
          <w:rtl w:val="true"/>
        </w:rPr>
        <w:t>علىٰ معنى الإمامة</w:t>
      </w:r>
      <w:bookmarkEnd w:id="263"/>
    </w:p>
    <w:p>
      <w:pPr>
        <w:pStyle w:val="Heading6"/>
        <w:numPr>
          <w:ilvl w:val="5"/>
          <w:numId w:val="1"/>
        </w:numPr>
        <w:rPr/>
      </w:pPr>
      <w:bookmarkStart w:id="264" w:name="__RefHeading___Toc964181_2320776876"/>
      <w:bookmarkStart w:id="265" w:name="_Toc94"/>
      <w:bookmarkEnd w:id="264"/>
      <w:r>
        <w:rPr>
          <w:rtl w:val="true"/>
        </w:rPr>
        <w:t>اشارة</w:t>
      </w:r>
      <w:bookmarkEnd w:id="26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الدليلُ علىٰ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معنَى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أنّا نَجِدُ أهلَ اللُّغةِ لا يَضَعونَ هذا اللفظَ إلّافيمن كانَ يَملِكُ تدبيرَ</w:t>
      </w:r>
      <w:r>
        <w:rPr>
          <w:rStyle w:val="FootnoteAnchor"/>
          <w:rtl w:val="true"/>
        </w:rPr>
        <w:footnoteReference w:id="1270"/>
      </w:r>
      <w:r>
        <w:rPr>
          <w:rFonts w:ascii="Amiri" w:hAnsi="Amiri" w:eastAsia="Amiri" w:cs="Amiri"/>
          <w:color w:val="111111"/>
          <w:sz w:val="28"/>
          <w:sz w:val="28"/>
          <w:szCs w:val="28"/>
          <w:rtl w:val="true"/>
          <w:lang w:bidi="ar-SA"/>
        </w:rPr>
        <w:t>ما وُصِفَ بأنه أَولىٰ به</w:t>
      </w:r>
      <w:r>
        <w:rPr>
          <w:rStyle w:val="FootnoteAnchor"/>
          <w:rtl w:val="true"/>
        </w:rPr>
        <w:footnoteReference w:id="1271"/>
      </w:r>
      <w:r>
        <w:rPr>
          <w:rFonts w:ascii="Amiri" w:hAnsi="Amiri" w:eastAsia="Amiri" w:cs="Amiri"/>
          <w:color w:val="111111"/>
          <w:sz w:val="28"/>
          <w:sz w:val="28"/>
          <w:szCs w:val="28"/>
          <w:rtl w:val="true"/>
          <w:lang w:bidi="ar-SA"/>
        </w:rPr>
        <w:t xml:space="preserve">و تصريفَه و يَنفُذُ فيه أمرُه و نهيُه؛ ألا تَراهم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السُّلطانُ أَولىٰ بإقامةِ الحُدودِ مِن </w:t>
      </w:r>
    </w:p>
    <w:p>
      <w:pPr>
        <w:pStyle w:val="BookText"/>
        <w:rPr/>
      </w:pP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الميِّتِ أَولىٰ بميراثِه مِن كَثيرٍ مِن أقارِبِه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أَولىٰ‌</w:t>
      </w:r>
      <w:r>
        <w:rPr>
          <w:rStyle w:val="FootnoteAnchor"/>
          <w:rtl w:val="true"/>
        </w:rPr>
        <w:footnoteReference w:id="1272"/>
      </w:r>
      <w:r>
        <w:rPr>
          <w:rFonts w:ascii="Amiri" w:hAnsi="Amiri" w:eastAsia="Amiri" w:cs="Amiri"/>
          <w:color w:val="111111"/>
          <w:sz w:val="28"/>
          <w:sz w:val="28"/>
          <w:szCs w:val="28"/>
          <w:rtl w:val="true"/>
          <w:lang w:bidi="ar-SA"/>
        </w:rPr>
        <w:t>بامرأتِه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أَولىٰ‌</w:t>
      </w:r>
      <w:r>
        <w:rPr>
          <w:rStyle w:val="FootnoteAnchor"/>
          <w:rtl w:val="true"/>
        </w:rPr>
        <w:footnoteReference w:id="1273"/>
      </w:r>
      <w:r>
        <w:rPr>
          <w:rFonts w:ascii="Amiri" w:hAnsi="Amiri" w:eastAsia="Amiri" w:cs="Amiri"/>
          <w:color w:val="111111"/>
          <w:sz w:val="28"/>
          <w:sz w:val="28"/>
          <w:szCs w:val="28"/>
          <w:rtl w:val="true"/>
          <w:lang w:bidi="ar-SA"/>
        </w:rPr>
        <w:t>بعَبدِه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مُرادُهم في جميعِ ذلكَ ما ذَكرناه ؟</w:t>
      </w:r>
    </w:p>
    <w:p>
      <w:pPr>
        <w:pStyle w:val="BookText"/>
        <w:rPr/>
      </w:pPr>
      <w:r>
        <w:rPr>
          <w:rFonts w:ascii="Amiri" w:hAnsi="Amiri" w:eastAsia="Amiri" w:cs="Amiri"/>
          <w:color w:val="111111"/>
          <w:sz w:val="28"/>
          <w:sz w:val="28"/>
          <w:szCs w:val="28"/>
          <w:rtl w:val="true"/>
          <w:lang w:bidi="ar-SA"/>
        </w:rPr>
        <w:t xml:space="preserve">و لا خِلافَ بَينَ المُفسِّرينَ في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 xml:space="preserve">المُرادُ به أنّه أَولىٰ </w:t>
      </w:r>
      <w:r>
        <w:rPr>
          <w:rStyle w:val="FootnoteAnchor"/>
          <w:rtl w:val="true"/>
        </w:rPr>
        <w:footnoteReference w:id="1275"/>
      </w:r>
      <w:r>
        <w:rPr>
          <w:rFonts w:ascii="Amiri" w:hAnsi="Amiri" w:eastAsia="Amiri" w:cs="Amiri"/>
          <w:color w:val="111111"/>
          <w:sz w:val="28"/>
          <w:sz w:val="28"/>
          <w:szCs w:val="28"/>
          <w:rtl w:val="true"/>
          <w:lang w:bidi="ar-SA"/>
        </w:rPr>
        <w:t>بتدبيرِهم و القيامِ بأُمورِهم</w:t>
      </w:r>
      <w:r>
        <w:rPr>
          <w:rStyle w:val="FootnoteAnchor"/>
          <w:rtl w:val="true"/>
        </w:rPr>
        <w:footnoteReference w:id="1276"/>
      </w:r>
      <w:r>
        <w:rPr>
          <w:rFonts w:ascii="Amiri" w:hAnsi="Amiri" w:eastAsia="Amiri" w:cs="Amiri"/>
          <w:color w:val="111111"/>
          <w:sz w:val="28"/>
          <w:sz w:val="28"/>
          <w:szCs w:val="28"/>
          <w:rtl w:val="true"/>
          <w:lang w:bidi="ar-SA"/>
        </w:rPr>
        <w:t>مِن</w:t>
      </w:r>
      <w:r>
        <w:rPr>
          <w:rStyle w:val="FootnoteAnchor"/>
          <w:rtl w:val="true"/>
        </w:rPr>
        <w:footnoteReference w:id="1277"/>
      </w:r>
      <w:r>
        <w:rPr>
          <w:rFonts w:ascii="Amiri" w:hAnsi="Amiri" w:eastAsia="Amiri" w:cs="Amiri"/>
          <w:color w:val="111111"/>
          <w:sz w:val="28"/>
          <w:sz w:val="28"/>
          <w:szCs w:val="28"/>
          <w:rtl w:val="true"/>
          <w:lang w:bidi="ar-SA"/>
        </w:rPr>
        <w:t>حَيثُ وَجَبَت طاعتُه عليهم، و نَحنُ نَعلَمُ أنّه لا يَكونُ أَولىٰ بتدبيرِ الخَلقِ و أمرِهم و نهيِهم مِن كُلِّ أحَدٍ منهم</w:t>
      </w:r>
      <w:r>
        <w:rPr>
          <w:rStyle w:val="FootnoteAnchor"/>
          <w:rtl w:val="true"/>
        </w:rPr>
        <w:footnoteReference w:id="1278"/>
      </w:r>
      <w:r>
        <w:rPr>
          <w:rFonts w:ascii="Amiri" w:hAnsi="Amiri" w:eastAsia="Amiri" w:cs="Amiri"/>
          <w:color w:val="111111"/>
          <w:sz w:val="28"/>
          <w:sz w:val="28"/>
          <w:szCs w:val="28"/>
          <w:rtl w:val="true"/>
          <w:lang w:bidi="ar-SA"/>
        </w:rPr>
        <w:t>إلّامَن كانَ إماماً لهم، مُفتَرَضَ الطاعةِ عليهم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w:t>
      </w:r>
      <w:r>
        <w:rPr>
          <w:rStyle w:val="FootnoteAnchor"/>
          <w:rtl w:val="true"/>
        </w:rPr>
        <w:footnoteReference w:id="1280"/>
      </w:r>
      <w:r>
        <w:rPr>
          <w:rFonts w:ascii="Amiri" w:hAnsi="Amiri" w:eastAsia="Amiri" w:cs="Amiri"/>
          <w:color w:val="111111"/>
          <w:sz w:val="28"/>
          <w:sz w:val="28"/>
          <w:szCs w:val="28"/>
          <w:rtl w:val="true"/>
          <w:lang w:bidi="ar-SA"/>
        </w:rPr>
        <w:t xml:space="preserve">علىٰ أنّ المُرادَ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ما تَقدَّمَ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w:t>
      </w:r>
      <w:r>
        <w:rPr>
          <w:rStyle w:val="FootnoteAnchor"/>
          <w:rtl w:val="true"/>
        </w:rPr>
        <w:footnoteReference w:id="1281"/>
      </w:r>
      <w:r>
        <w:rPr>
          <w:rFonts w:ascii="Amiri" w:hAnsi="Amiri" w:eastAsia="Amiri" w:cs="Amiri"/>
          <w:color w:val="111111"/>
          <w:sz w:val="28"/>
          <w:sz w:val="28"/>
          <w:szCs w:val="28"/>
          <w:rtl w:val="true"/>
          <w:lang w:bidi="ar-SA"/>
        </w:rPr>
        <w:t>مِن أينَ لكم أنّه أرادَ كَونَه أَولىٰ بهم في تدبيرِهم و أمرِهم و نهيِهم، دونَ أن يَكونَ أرادَ أنّه</w:t>
      </w:r>
      <w:r>
        <w:rPr>
          <w:rStyle w:val="FootnoteAnchor"/>
          <w:rtl w:val="true"/>
        </w:rPr>
        <w:footnoteReference w:id="1282"/>
      </w:r>
      <w:r>
        <w:rPr>
          <w:rFonts w:ascii="Amiri" w:hAnsi="Amiri" w:eastAsia="Amiri" w:cs="Amiri"/>
          <w:color w:val="111111"/>
          <w:sz w:val="28"/>
          <w:sz w:val="28"/>
          <w:szCs w:val="28"/>
          <w:rtl w:val="true"/>
          <w:lang w:bidi="ar-SA"/>
        </w:rPr>
        <w:t>أَولىٰ بأن يُوالوه و يُحِبّوه</w:t>
      </w:r>
      <w:r>
        <w:rPr>
          <w:rStyle w:val="FootnoteAnchor"/>
          <w:rtl w:val="true"/>
        </w:rPr>
        <w:footnoteReference w:id="1283"/>
      </w:r>
      <w:r>
        <w:rPr>
          <w:rFonts w:ascii="Amiri" w:hAnsi="Amiri" w:eastAsia="Amiri" w:cs="Amiri"/>
          <w:color w:val="111111"/>
          <w:sz w:val="28"/>
          <w:sz w:val="28"/>
          <w:szCs w:val="28"/>
          <w:rtl w:val="true"/>
          <w:lang w:bidi="ar-SA"/>
        </w:rPr>
        <w:t>، أو يُعظِّموه</w:t>
      </w:r>
      <w:r>
        <w:rPr>
          <w:rStyle w:val="FootnoteAnchor"/>
          <w:rtl w:val="true"/>
        </w:rPr>
        <w:footnoteReference w:id="1284"/>
      </w:r>
      <w:r>
        <w:rPr>
          <w:rFonts w:ascii="Amiri" w:hAnsi="Amiri" w:eastAsia="Amiri" w:cs="Amiri"/>
          <w:color w:val="111111"/>
          <w:sz w:val="28"/>
          <w:sz w:val="28"/>
          <w:szCs w:val="28"/>
          <w:rtl w:val="true"/>
          <w:lang w:bidi="ar-SA"/>
        </w:rPr>
        <w:t>و يُفضِّلوه ؟ لأنّه لَيسَ يَكونُ أَولىٰ بذَواتِهم، بَل بحالٍ لهم و أمرٍ يَرجِعُ إليهم؛ فأيُّ فَرقٍ في ظاهرِ اللفظِ أو معناه بَينَ أن يُريدَ بما يَرجِعُ إليهم</w:t>
      </w:r>
      <w:r>
        <w:rPr>
          <w:rStyle w:val="FootnoteAnchor"/>
          <w:rtl w:val="true"/>
        </w:rPr>
        <w:footnoteReference w:id="1285"/>
      </w:r>
      <w:r>
        <w:rPr>
          <w:rFonts w:ascii="Amiri" w:hAnsi="Amiri" w:eastAsia="Amiri" w:cs="Amiri"/>
          <w:color w:val="111111"/>
          <w:sz w:val="28"/>
          <w:sz w:val="28"/>
          <w:szCs w:val="28"/>
          <w:rtl w:val="true"/>
          <w:lang w:bidi="ar-SA"/>
        </w:rPr>
        <w:t xml:space="preserve">تدبيرَهم و تصريفَهم، و بَينَ أن يُريدَ أحَدَ ما ذَكرناه ؟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 يَبطُلُ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أَولىٰ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أَولىٰ بتدبيرِه و أحَقُّ بأن يأمُرَه و يَنهاه؛</w:t>
      </w:r>
      <w:r>
        <w:rPr>
          <w:rStyle w:val="FootnoteAnchor"/>
          <w:rtl w:val="true"/>
        </w:rPr>
        <w:footnoteReference w:id="1286"/>
      </w:r>
      <w:r>
        <w:rPr>
          <w:rFonts w:ascii="Amiri" w:hAnsi="Amiri" w:eastAsia="Amiri" w:cs="Amiri"/>
          <w:color w:val="111111"/>
          <w:sz w:val="28"/>
          <w:sz w:val="28"/>
          <w:szCs w:val="28"/>
          <w:rtl w:val="true"/>
          <w:lang w:bidi="ar-SA"/>
        </w:rPr>
        <w:t>فإذا انضافَ إلىٰ‌</w:t>
      </w:r>
      <w:r>
        <w:rPr>
          <w:rStyle w:val="FootnoteAnchor"/>
          <w:rtl w:val="true"/>
        </w:rPr>
        <w:footnoteReference w:id="1287"/>
      </w:r>
      <w:r>
        <w:rPr>
          <w:rFonts w:ascii="Amiri" w:hAnsi="Amiri" w:eastAsia="Amiri" w:cs="Amiri"/>
          <w:color w:val="111111"/>
          <w:sz w:val="28"/>
          <w:sz w:val="28"/>
          <w:szCs w:val="28"/>
          <w:rtl w:val="true"/>
          <w:lang w:bidi="ar-SA"/>
        </w:rPr>
        <w:t>ذلكَ القولُ بأنّه</w:t>
      </w:r>
      <w:r>
        <w:rPr>
          <w:rStyle w:val="FootnoteAnchor"/>
          <w:rtl w:val="true"/>
        </w:rPr>
        <w:footnoteReference w:id="1288"/>
      </w:r>
      <w:r>
        <w:rPr>
          <w:rFonts w:ascii="Amiri" w:hAnsi="Amiri" w:eastAsia="Amiri" w:cs="Amiri"/>
          <w:color w:val="111111"/>
          <w:sz w:val="28"/>
          <w:sz w:val="28"/>
          <w:szCs w:val="28"/>
          <w:rtl w:val="true"/>
          <w:lang w:bidi="ar-SA"/>
        </w:rPr>
        <w:t>أَولىٰ به مِن نفسِه، زالَت الشُّبهةُ في أنّ المُرادَ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تَراهم يَستَعمِلونَ هذه اللفظةَ مُطلَقةً في كُلِّ مَوضِعٍ حَصَلَ فيه تَحَقُّقٌ بالتدبيرِ و اختصاصٌ بالأمرِ و النهيِ‌، كاستعمالِهم لها في السُّلطانِ و رَعيّتِه، و الوالِدِ و وَلَدِه، و السيِّدِ و عَبدِه‌؟ و إن جازَ أن يَستَعمِلوها مُقيَّدةً في غيرِ هذا المعنىٰ‌</w:t>
      </w:r>
      <w:r>
        <w:rPr>
          <w:rStyle w:val="FootnoteAnchor"/>
          <w:rtl w:val="true"/>
        </w:rPr>
        <w:footnoteReference w:id="1289"/>
      </w:r>
      <w:r>
        <w:rPr>
          <w:rFonts w:ascii="IRNazanin" w:hAnsi="IRNazanin" w:eastAsia="IRNazanin"/>
          <w:color w:val="111111"/>
          <w:sz w:val="28"/>
          <w:sz w:val="28"/>
          <w:szCs w:val="28"/>
          <w:rtl w:val="true"/>
          <w:lang w:bidi="fa-IR"/>
        </w:rPr>
        <w:t>إذا 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أَولىٰ بمَحبّةِ فُلانٍ أو بنُصرتِه أو بكَذا و كَذا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مع الإطلاقِ لا يُعقَلُ عنهم إلّاالمعنَى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Style w:val="FootnoteAnchor"/>
          <w:rtl w:val="true"/>
        </w:rPr>
        <w:footnoteReference w:id="1290"/>
      </w:r>
      <w:r>
        <w:rPr>
          <w:rFonts w:ascii="Amiri" w:hAnsi="Amiri" w:eastAsia="Amiri" w:cs="Amiri"/>
          <w:color w:val="111111"/>
          <w:sz w:val="28"/>
          <w:sz w:val="28"/>
          <w:szCs w:val="28"/>
          <w:rtl w:val="true"/>
          <w:lang w:bidi="ar-SA"/>
        </w:rPr>
        <w:t xml:space="preserve">نَجِدُهم يَمتَنِعونَ مِن أن يَقولوا في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بعضَهم أَولىٰ ببعضٍ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w:t>
      </w:r>
      <w:r>
        <w:rPr>
          <w:rStyle w:val="FootnoteAnchor"/>
          <w:rtl w:val="true"/>
        </w:rPr>
        <w:footnoteReference w:id="1291"/>
      </w:r>
      <w:r>
        <w:rPr>
          <w:rFonts w:ascii="Amiri" w:hAnsi="Amiri" w:eastAsia="Amiri" w:cs="Amiri"/>
          <w:color w:val="111111"/>
          <w:sz w:val="28"/>
          <w:sz w:val="28"/>
          <w:szCs w:val="28"/>
          <w:rtl w:val="true"/>
          <w:lang w:bidi="ar-SA"/>
        </w:rPr>
        <w:t>يَرجِعُ إلَى المَحبّةِ و النُّصرةِ و ما أشبَهَهما، و لا يَمتَنِعونَ مِن القولِ بأنّ النبيَّ أو الإمامَ أو مَن اعتَقَدوا</w:t>
      </w:r>
      <w:r>
        <w:rPr>
          <w:rStyle w:val="FootnoteAnchor"/>
          <w:rtl w:val="true"/>
        </w:rPr>
        <w:footnoteReference w:id="1292"/>
      </w:r>
      <w:r>
        <w:rPr>
          <w:rFonts w:ascii="Amiri" w:hAnsi="Amiri" w:eastAsia="Amiri" w:cs="Amiri"/>
          <w:color w:val="111111"/>
          <w:sz w:val="28"/>
          <w:sz w:val="28"/>
          <w:szCs w:val="28"/>
          <w:rtl w:val="true"/>
          <w:lang w:bidi="ar-SA"/>
        </w:rPr>
        <w:t xml:space="preserve">أنّ له فَرْضَ طاعةٍ </w:t>
      </w:r>
      <w:r>
        <w:rPr>
          <w:rStyle w:val="FootnoteAnchor"/>
          <w:rtl w:val="true"/>
        </w:rPr>
        <w:footnoteReference w:id="1293"/>
      </w:r>
      <w:r>
        <w:rPr>
          <w:rFonts w:ascii="Amiri" w:hAnsi="Amiri" w:eastAsia="Amiri" w:cs="Amiri"/>
          <w:color w:val="111111"/>
          <w:sz w:val="28"/>
          <w:sz w:val="28"/>
          <w:szCs w:val="28"/>
          <w:rtl w:val="true"/>
          <w:lang w:bidi="ar-SA"/>
        </w:rPr>
        <w:t>عليهم</w:t>
      </w:r>
    </w:p>
    <w:p>
      <w:pPr>
        <w:pStyle w:val="BookText"/>
        <w:rPr/>
      </w:pPr>
      <w:r>
        <w:rPr>
          <w:rFonts w:ascii="Amiri" w:hAnsi="Amiri" w:eastAsia="Amiri" w:cs="Amiri"/>
          <w:color w:val="111111"/>
          <w:sz w:val="28"/>
          <w:sz w:val="28"/>
          <w:szCs w:val="28"/>
          <w:rtl w:val="true"/>
          <w:lang w:bidi="ar-SA"/>
        </w:rPr>
        <w:t>أَولىٰ بهم مِن أنفُسِهم، و يُريدونَ أنّه أحَقُّ بتدبيرِهم و أمرِهم و نهيِهم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ثَبَتَ أنّ النبيَّ صَلّى اللّٰهُ عليه و آلِه أرادَ بما قَدَّمَه مِن كَونِه أَولىٰ بالخَلقِ مِن نُفوسِهم أنّه أَولىٰ بتدبيرِهم و تصريفِهم، مِن حَيثُ وَجَبَت طاعتُه </w:t>
      </w:r>
      <w:bookmarkStart w:id="266" w:name="pg20017_202501"/>
    </w:p>
    <w:p>
      <w:pPr>
        <w:pStyle w:val="BookText"/>
        <w:rPr/>
      </w:pPr>
      <w:bookmarkEnd w:id="266"/>
      <w:r>
        <w:rPr>
          <w:rFonts w:ascii="Amiri" w:hAnsi="Amiri" w:eastAsia="Amiri" w:cs="Amiri"/>
          <w:color w:val="111111"/>
          <w:sz w:val="28"/>
          <w:sz w:val="28"/>
          <w:szCs w:val="28"/>
          <w:rtl w:val="true"/>
          <w:lang w:bidi="ar-SA"/>
        </w:rPr>
        <w:t>عليهم بلا خِلافٍ‌، وَجَبَ أن يَكونَ ما أَوجَبَه لأميرِ المؤمنينَ عليه السلامُ في الكلامِ الثاني جارياً ذلكَ المَجرىٰ‌؛ لأنّه صَلّى اللّٰهُ عليه و آلِه</w:t>
      </w:r>
      <w:r>
        <w:rPr>
          <w:rStyle w:val="FootnoteAnchor"/>
          <w:rtl w:val="true"/>
        </w:rPr>
        <w:footnoteReference w:id="1294"/>
      </w:r>
      <w:r>
        <w:rPr>
          <w:rFonts w:ascii="Amiri" w:hAnsi="Amiri" w:eastAsia="Amiri" w:cs="Amiri"/>
          <w:color w:val="111111"/>
          <w:sz w:val="28"/>
          <w:sz w:val="28"/>
          <w:szCs w:val="28"/>
          <w:rtl w:val="true"/>
          <w:lang w:bidi="ar-SA"/>
        </w:rPr>
        <w:t>بتقديمِ ما قَدَّمَه يَستَغني عن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أَولىٰ به في كَذا و كَذا فعَليٌّ أَولىٰ به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بتقديمِ ما قَدَّمَه استَغنىٰ عن أن يُصرِّحَ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أقامَ </w:t>
      </w:r>
      <w:r>
        <w:rPr>
          <w:rStyle w:val="FootnoteAnchor"/>
          <w:rtl w:val="true"/>
        </w:rPr>
        <w:footnoteReference w:id="1295"/>
      </w:r>
      <w:r>
        <w:rPr>
          <w:rFonts w:ascii="Amiri" w:hAnsi="Amiri" w:eastAsia="Amiri" w:cs="Amiri"/>
          <w:color w:val="111111"/>
          <w:sz w:val="28"/>
          <w:sz w:val="28"/>
          <w:szCs w:val="28"/>
          <w:rtl w:val="true"/>
          <w:lang w:bidi="ar-SA"/>
        </w:rPr>
        <w:t xml:space="preserve">مَقامَها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w:t>
      </w:r>
      <w:r>
        <w:rPr>
          <w:rStyle w:val="FootnoteAnchor"/>
          <w:rtl w:val="true"/>
        </w:rPr>
        <w:footnoteReference w:id="1296"/>
      </w:r>
      <w:r>
        <w:rPr>
          <w:rFonts w:ascii="Amiri" w:hAnsi="Amiri" w:eastAsia="Amiri" w:cs="Amiri"/>
          <w:color w:val="111111"/>
          <w:sz w:val="28"/>
          <w:sz w:val="28"/>
          <w:szCs w:val="28"/>
          <w:rtl w:val="true"/>
          <w:lang w:bidi="ar-SA"/>
        </w:rPr>
        <w:t>يَشهَدُ بصحّةِ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مِن أهلِ اللسانِ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فُلانٌ 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شُرَكائي في المَتاعِ الذي مِن صفتِه كَذا و كَذا</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 ثُمَّ قالَ عاطفاً علىٰ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w:t>
      </w:r>
      <w:r>
        <w:rPr>
          <w:rStyle w:val="FootnoteAnchor"/>
          <w:rtl w:val="true"/>
        </w:rPr>
        <w:footnoteReference w:id="1298"/>
      </w:r>
      <w:r>
        <w:rPr>
          <w:rFonts w:ascii="Amiri" w:hAnsi="Amiri" w:eastAsia="Amiri" w:cs="Amiri"/>
          <w:color w:val="111111"/>
          <w:sz w:val="28"/>
          <w:sz w:val="28"/>
          <w:szCs w:val="28"/>
          <w:rtl w:val="true"/>
          <w:lang w:bidi="ar-SA"/>
        </w:rPr>
        <w:t>كنتُ شَريكَه فعَبدُ اللّٰهِ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اقتَضىٰ ظاهرُ لفظِه أنّ عَبدَ اللّٰهِ شَريكُه في المَتاعِ الذي قَدَّمَ </w:t>
      </w:r>
      <w:r>
        <w:rPr>
          <w:rStyle w:val="FootnoteAnchor"/>
          <w:rtl w:val="true"/>
        </w:rPr>
        <w:footnoteReference w:id="1299"/>
      </w:r>
      <w:r>
        <w:rPr>
          <w:rFonts w:ascii="Amiri" w:hAnsi="Amiri" w:eastAsia="Amiri" w:cs="Amiri"/>
          <w:color w:val="111111"/>
          <w:sz w:val="28"/>
          <w:sz w:val="28"/>
          <w:szCs w:val="28"/>
          <w:rtl w:val="true"/>
          <w:lang w:bidi="ar-SA"/>
        </w:rPr>
        <w:t>ذِكرَه و أخبَرَ أنّ الجماعةَ شُرَكاؤه فيه، و متىٰ أرادَ أنّ عَبدَ اللّٰهِ شَريكُه في غيرِ الأمرِ الأوّلِ كانَ سَفيهاً عابِثاً مُلغِزاً</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964183_2320776876"/>
      <w:bookmarkStart w:id="268" w:name="_Toc95"/>
      <w:bookmarkEnd w:id="267"/>
      <w:r>
        <w:rPr>
          <w:rtl w:val="true"/>
        </w:rPr>
        <w:t>بيان عموم إمامة أمير المؤمنين عليه السلام لكلّ ما يقوم به الأئمّة</w:t>
      </w:r>
      <w:bookmarkEnd w:id="26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لكم أنّه عليه السلامُ أَولىٰ بهم بمعنَى التدبيرِ و وجوبِ الطاعةِ ، مِن أينَ لكم عمومُ وجوبِ فرضِ طاعتِه</w:t>
      </w:r>
      <w:r>
        <w:rPr>
          <w:rStyle w:val="FootnoteAnchor"/>
          <w:rtl w:val="true"/>
        </w:rPr>
        <w:footnoteReference w:id="1301"/>
      </w:r>
      <w:r>
        <w:rPr>
          <w:rFonts w:ascii="Amiri" w:hAnsi="Amiri" w:eastAsia="Amiri" w:cs="Amiri"/>
          <w:color w:val="111111"/>
          <w:sz w:val="28"/>
          <w:sz w:val="28"/>
          <w:szCs w:val="28"/>
          <w:rtl w:val="true"/>
          <w:lang w:bidi="ar-SA"/>
        </w:rPr>
        <w:t xml:space="preserve">في جميعِ الأُمورِ التي تَقومُ </w:t>
      </w:r>
      <w:r>
        <w:rPr>
          <w:rStyle w:val="FootnoteAnchor"/>
          <w:rtl w:val="true"/>
        </w:rPr>
        <w:footnoteReference w:id="1302"/>
      </w:r>
      <w:r>
        <w:rPr>
          <w:rFonts w:ascii="Amiri" w:hAnsi="Amiri" w:eastAsia="Amiri" w:cs="Amiri"/>
          <w:color w:val="111111"/>
          <w:sz w:val="28"/>
          <w:sz w:val="28"/>
          <w:szCs w:val="28"/>
          <w:rtl w:val="true"/>
          <w:lang w:bidi="ar-SA"/>
        </w:rPr>
        <w:t>بها الأئمّةُ؟ و لَعلَّه أرادَ أنّه</w:t>
      </w:r>
      <w:r>
        <w:rPr>
          <w:rStyle w:val="FootnoteAnchor"/>
          <w:rtl w:val="true"/>
        </w:rPr>
        <w:footnoteReference w:id="1303"/>
      </w:r>
      <w:r>
        <w:rPr>
          <w:rFonts w:ascii="Amiri" w:hAnsi="Amiri" w:eastAsia="Amiri" w:cs="Amiri"/>
          <w:color w:val="111111"/>
          <w:sz w:val="28"/>
          <w:sz w:val="28"/>
          <w:szCs w:val="28"/>
          <w:rtl w:val="true"/>
          <w:lang w:bidi="ar-SA"/>
        </w:rPr>
        <w:t xml:space="preserve">أَولىٰ بأن يُطيعوه في بعضِ الأشياءَ دونَ بعضٍ </w:t>
      </w:r>
      <w:r>
        <w:rPr>
          <w:rFonts w:eastAsia="Amiri" w:cs="Amiri" w:ascii="Amiri" w:hAnsi="Amiri"/>
          <w:color w:val="111111"/>
          <w:sz w:val="28"/>
          <w:szCs w:val="28"/>
          <w:rtl w:val="true"/>
          <w:lang w:bidi="ar-SA"/>
        </w:rPr>
        <w:t xml:space="preserve">. </w:t>
      </w:r>
      <w:bookmarkStart w:id="269" w:name="pg20017_202502"/>
    </w:p>
    <w:p>
      <w:pPr>
        <w:pStyle w:val="BookText"/>
        <w:rPr/>
      </w:pPr>
      <w:bookmarkEnd w:id="269"/>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 الذي ذَكرناه في جوابِ سؤالِكَ المُتقدِّمِ يُسقِطُ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يُبطِلُه أيضاً أنّه إذا ثَبَتَ‌</w:t>
      </w:r>
      <w:r>
        <w:rPr>
          <w:rStyle w:val="FootnoteAnchor"/>
          <w:rtl w:val="true"/>
        </w:rPr>
        <w:footnoteReference w:id="1304"/>
      </w:r>
      <w:r>
        <w:rPr>
          <w:rFonts w:ascii="Amiri" w:hAnsi="Amiri" w:eastAsia="Amiri" w:cs="Amiri"/>
          <w:color w:val="111111"/>
          <w:sz w:val="28"/>
          <w:sz w:val="28"/>
          <w:szCs w:val="28"/>
          <w:rtl w:val="true"/>
          <w:lang w:bidi="ar-SA"/>
        </w:rPr>
        <w:t>له عليه السلامُ فرضُ طاعتِه</w:t>
      </w:r>
      <w:r>
        <w:rPr>
          <w:rStyle w:val="FootnoteAnchor"/>
          <w:rtl w:val="true"/>
        </w:rPr>
        <w:footnoteReference w:id="1305"/>
      </w:r>
      <w:r>
        <w:rPr>
          <w:rFonts w:ascii="Amiri" w:hAnsi="Amiri" w:eastAsia="Amiri" w:cs="Amiri"/>
          <w:color w:val="111111"/>
          <w:sz w:val="28"/>
          <w:sz w:val="28"/>
          <w:szCs w:val="28"/>
          <w:rtl w:val="true"/>
          <w:lang w:bidi="ar-SA"/>
        </w:rPr>
        <w:t>علىٰ جميعِ الخَلقِ في بعضِ الأُمورِ دونَ بعضٍ‌</w:t>
      </w:r>
      <w:r>
        <w:rPr>
          <w:rStyle w:val="FootnoteAnchor"/>
          <w:rtl w:val="true"/>
        </w:rPr>
        <w:footnoteReference w:id="1306"/>
      </w:r>
      <w:r>
        <w:rPr>
          <w:rFonts w:ascii="Amiri" w:hAnsi="Amiri" w:eastAsia="Amiri" w:cs="Amiri"/>
          <w:color w:val="111111"/>
          <w:sz w:val="28"/>
          <w:sz w:val="28"/>
          <w:szCs w:val="28"/>
          <w:rtl w:val="true"/>
          <w:lang w:bidi="ar-SA"/>
        </w:rPr>
        <w:t>، وَجَبَت إمامتُه و عمومُ فرضِ طاعتِه؛ لأنّه معلومٌ أنّ مَن وَجَبَت علىٰ جميعِ الناسِ طاعتُه و امتثالُ تدبيرِه، لا يَكونُ إلّاالإمامَ‌، و</w:t>
      </w:r>
      <w:r>
        <w:rPr>
          <w:rStyle w:val="FootnoteAnchor"/>
          <w:rtl w:val="true"/>
        </w:rPr>
        <w:footnoteReference w:id="1307"/>
      </w:r>
      <w:r>
        <w:rPr>
          <w:rFonts w:ascii="Amiri" w:hAnsi="Amiri" w:eastAsia="Amiri" w:cs="Amiri"/>
          <w:color w:val="111111"/>
          <w:sz w:val="28"/>
          <w:sz w:val="28"/>
          <w:szCs w:val="28"/>
          <w:rtl w:val="true"/>
          <w:lang w:bidi="ar-SA"/>
        </w:rPr>
        <w:t>لأنّ</w:t>
      </w:r>
    </w:p>
    <w:p>
      <w:pPr>
        <w:pStyle w:val="BookText"/>
        <w:rPr/>
      </w:pPr>
      <w:r>
        <w:rPr>
          <w:rFonts w:ascii="Amiri" w:hAnsi="Amiri" w:eastAsia="Amiri" w:cs="Amiri"/>
          <w:color w:val="111111"/>
          <w:sz w:val="28"/>
          <w:sz w:val="28"/>
          <w:szCs w:val="28"/>
          <w:rtl w:val="true"/>
          <w:lang w:bidi="ar-SA"/>
        </w:rPr>
        <w:t xml:space="preserve">الأُمّةَ مُجمِعةٌ علىٰ أنّ مَن هذه صفتُه هو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كُلَّ مَن أوجَبَ لأميرِ المؤمنينَ عليه السلامُ مِن خبرِ الغَديرِ فَرضَ الطاعةِ علَى الخَلقِ أوجَبَها عامّةً في الأُمورِ كُلِّها علَى الوجهِ الذي يَجِبُ للأئمّةِ </w:t>
      </w:r>
      <w:r>
        <w:rPr>
          <w:rStyle w:val="FootnoteAnchor"/>
          <w:rtl w:val="true"/>
        </w:rPr>
        <w:footnoteReference w:id="1308"/>
      </w:r>
      <w:r>
        <w:rPr>
          <w:rFonts w:ascii="Amiri" w:hAnsi="Amiri" w:eastAsia="Amiri" w:cs="Amiri"/>
          <w:color w:val="111111"/>
          <w:sz w:val="28"/>
          <w:sz w:val="28"/>
          <w:szCs w:val="28"/>
          <w:rtl w:val="true"/>
          <w:lang w:bidi="ar-SA"/>
        </w:rPr>
        <w:t xml:space="preserve">، و لَم يَخُصَّ شَيئاً دونَ شَيءٍ </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964185_2320776876"/>
      <w:bookmarkStart w:id="271" w:name="_Toc96"/>
      <w:bookmarkEnd w:id="270"/>
      <w:r>
        <w:rPr>
          <w:rtl w:val="true"/>
        </w:rPr>
        <w:t>بيان عموم إمامة أمير المؤمنين عليه السلام لجميع الخَلق</w:t>
      </w:r>
      <w:bookmarkEnd w:id="271"/>
    </w:p>
    <w:p>
      <w:pPr>
        <w:pStyle w:val="BookText"/>
        <w:rPr/>
      </w:pPr>
      <w:r>
        <w:rPr>
          <w:rFonts w:ascii="Amiri" w:hAnsi="Amiri" w:eastAsia="Amiri" w:cs="Amiri"/>
          <w:color w:val="111111"/>
          <w:sz w:val="28"/>
          <w:sz w:val="28"/>
          <w:szCs w:val="28"/>
          <w:rtl w:val="true"/>
          <w:lang w:bidi="ar-SA"/>
        </w:rPr>
        <w:t xml:space="preserve">و بمِثلِ هذه الوجوهِ نُجيبُ مَن سَألَ فقالَ </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عَلِمتم عمومَ القولِ لجميعِ </w:t>
      </w:r>
      <w:r>
        <w:rPr>
          <w:rStyle w:val="FootnoteAnchor"/>
          <w:rtl w:val="true"/>
        </w:rPr>
        <w:footnoteReference w:id="1310"/>
      </w:r>
      <w:r>
        <w:rPr>
          <w:rFonts w:ascii="Amiri" w:hAnsi="Amiri" w:eastAsia="Amiri" w:cs="Amiri"/>
          <w:color w:val="111111"/>
          <w:sz w:val="28"/>
          <w:sz w:val="28"/>
          <w:szCs w:val="28"/>
          <w:rtl w:val="true"/>
          <w:lang w:bidi="ar-SA"/>
        </w:rPr>
        <w:t xml:space="preserve">الخَلقِ مُضافاً إلىٰ عمومِ إيجابِ الطاعةِ لسائرِ الأُمورِ، و لَستم ممّن يُثبِتُ للعمومِ صيغةً في اللُّغةِ </w:t>
      </w:r>
      <w:r>
        <w:rPr>
          <w:rStyle w:val="FootnoteAnchor"/>
          <w:rtl w:val="true"/>
        </w:rPr>
        <w:footnoteReference w:id="1311"/>
      </w:r>
      <w:r>
        <w:rPr>
          <w:rFonts w:ascii="Amiri" w:hAnsi="Amiri" w:eastAsia="Amiri" w:cs="Amiri"/>
          <w:color w:val="111111"/>
          <w:sz w:val="28"/>
          <w:sz w:val="28"/>
          <w:szCs w:val="28"/>
          <w:rtl w:val="true"/>
          <w:lang w:bidi="ar-SA"/>
        </w:rPr>
        <w:t xml:space="preserve">فتَتعلَّقونَ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عمومِها؟ و ما الذي يَمنَعُ علىٰ أُصولِكم مِن أن يَكونَ أوجَبَ طاعتَه علىٰ واحدٍ مِن الناسِ ، أو جماعةٍ مِن الأُمّةِ قليلةِ العَدَدِ؟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لا خِلافَ في عمومِ تقريرِ النبيِّ صَلّى اللّٰهُ عليه و آلِه للأُمّةِ ، و عمومِ قولِه </w:t>
      </w:r>
      <w:bookmarkStart w:id="272" w:name="pg20017_202503"/>
    </w:p>
    <w:p>
      <w:pPr>
        <w:pStyle w:val="BookText"/>
        <w:rPr/>
      </w:pPr>
      <w:bookmarkEnd w:id="272"/>
      <w:r>
        <w:rPr>
          <w:rFonts w:ascii="Amiri" w:hAnsi="Amiri" w:eastAsia="Amiri" w:cs="Amiri"/>
          <w:color w:val="111111"/>
          <w:sz w:val="28"/>
          <w:sz w:val="28"/>
          <w:szCs w:val="28"/>
          <w:rtl w:val="true"/>
          <w:lang w:bidi="ar-SA"/>
        </w:rPr>
        <w:t>صَلّى اللّٰهُ عليه و آلِه مِن</w:t>
      </w:r>
      <w:r>
        <w:rPr>
          <w:rStyle w:val="FootnoteAnchor"/>
          <w:rtl w:val="true"/>
        </w:rPr>
        <w:footnoteReference w:id="1312"/>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للعمومِ صيغةٌ‌</w:t>
      </w:r>
      <w:r>
        <w:rPr>
          <w:rStyle w:val="FootnoteAnchor"/>
          <w:rtl w:val="true"/>
        </w:rPr>
        <w:footnoteReference w:id="1313"/>
      </w:r>
      <w:r>
        <w:rPr>
          <w:rFonts w:ascii="Amiri" w:hAnsi="Amiri" w:eastAsia="Amiri" w:cs="Amiri"/>
          <w:color w:val="111111"/>
          <w:sz w:val="28"/>
          <w:sz w:val="28"/>
          <w:szCs w:val="28"/>
          <w:rtl w:val="true"/>
          <w:lang w:bidi="ar-SA"/>
        </w:rPr>
        <w:t>، و قد بيّنّا أنّ الذي أوجَبَه ثانياً يَجِبُ مُطابَقتُه لِما قَدَّمَه في وجهِه و عمومِه في</w:t>
      </w:r>
      <w:r>
        <w:rPr>
          <w:rStyle w:val="FootnoteAnchor"/>
          <w:rtl w:val="true"/>
        </w:rPr>
        <w:footnoteReference w:id="1314"/>
      </w:r>
      <w:r>
        <w:rPr>
          <w:rFonts w:ascii="Amiri" w:hAnsi="Amiri" w:eastAsia="Amiri" w:cs="Amiri"/>
          <w:color w:val="111111"/>
          <w:sz w:val="28"/>
          <w:sz w:val="28"/>
          <w:szCs w:val="28"/>
          <w:rtl w:val="true"/>
          <w:lang w:bidi="ar-SA"/>
        </w:rPr>
        <w:t xml:space="preserve">الأُمورِ، فكذلكَ </w:t>
      </w:r>
      <w:r>
        <w:rPr>
          <w:rStyle w:val="FootnoteAnchor"/>
          <w:rtl w:val="true"/>
        </w:rPr>
        <w:footnoteReference w:id="1315"/>
      </w:r>
      <w:r>
        <w:rPr>
          <w:rFonts w:ascii="Amiri" w:hAnsi="Amiri" w:eastAsia="Amiri" w:cs="Amiri"/>
          <w:color w:val="111111"/>
          <w:sz w:val="28"/>
          <w:sz w:val="28"/>
          <w:szCs w:val="28"/>
          <w:rtl w:val="true"/>
          <w:lang w:bidi="ar-SA"/>
        </w:rPr>
        <w:t xml:space="preserve">يَجِبُ عمومُه في المُخاطَبينَ بمِثلِ تلكَ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1316"/>
      </w:r>
      <w:r>
        <w:rPr>
          <w:rFonts w:ascii="Amiri" w:hAnsi="Amiri" w:eastAsia="Amiri" w:cs="Amiri"/>
          <w:color w:val="111111"/>
          <w:sz w:val="28"/>
          <w:sz w:val="28"/>
          <w:szCs w:val="28"/>
          <w:rtl w:val="true"/>
          <w:lang w:bidi="ar-SA"/>
        </w:rPr>
        <w:t>لأنّ كُلَّ مَن أوجَبَ مِن الخبرِ فرضَ الطاعةِ و ما يَرجِعُ إلىٰ معنَى الإمامةِ ذَهَبَ إلىٰ عمومِه لجميعِ المُكلَّفينَ ، كما ذَهَبَ إلىٰ عمومِه في</w:t>
      </w:r>
      <w:r>
        <w:rPr>
          <w:rStyle w:val="FootnoteAnchor"/>
          <w:rtl w:val="true"/>
        </w:rPr>
        <w:footnoteReference w:id="1317"/>
      </w:r>
      <w:r>
        <w:rPr>
          <w:rFonts w:ascii="Amiri" w:hAnsi="Amiri" w:eastAsia="Amiri" w:cs="Amiri"/>
          <w:color w:val="111111"/>
          <w:sz w:val="28"/>
          <w:sz w:val="28"/>
          <w:szCs w:val="28"/>
          <w:rtl w:val="true"/>
          <w:lang w:bidi="ar-SA"/>
        </w:rPr>
        <w:t xml:space="preserve">الأفعالِ </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964187_2320776876"/>
      <w:bookmarkStart w:id="274" w:name="_Toc97"/>
      <w:bookmarkEnd w:id="273"/>
      <w:r>
        <w:rPr>
          <w:rtl w:val="true"/>
        </w:rPr>
        <w:t>التقرير الثاني</w:t>
      </w:r>
      <w:r>
        <w:rPr>
          <w:rtl w:val="true"/>
        </w:rPr>
        <w:t xml:space="preserve">: </w:t>
      </w:r>
      <w:r>
        <w:rPr>
          <w:rtl w:val="true"/>
        </w:rPr>
        <w:t>طريقة التقسيم</w:t>
      </w:r>
      <w:bookmarkEnd w:id="274"/>
    </w:p>
    <w:p>
      <w:pPr>
        <w:pStyle w:val="BookText"/>
        <w:rPr/>
      </w:pPr>
      <w:r>
        <w:rPr>
          <w:rFonts w:ascii="Amiri" w:hAnsi="Amiri" w:eastAsia="Amiri" w:cs="Amiri"/>
          <w:color w:val="111111"/>
          <w:sz w:val="28"/>
          <w:sz w:val="28"/>
          <w:szCs w:val="28"/>
          <w:rtl w:val="true"/>
          <w:lang w:bidi="ar-SA"/>
        </w:rPr>
        <w:t>طريقةٌ أُخرىٰ في الاستدلالِ بخبرِ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علىٰ إيجابِ الإمامةِ مِن الخبرِ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النبيَّ صَلّى اللّٰهُ عليه و آلِه أوجَبَ لأميرِ المؤمنينَ عليه السلامُ أمراً كانَ واجباً له لا مَحالةَ‌، فيَجِبُ أن يُعْتَبَرَ ما تَحتَمِلُه</w:t>
      </w:r>
      <w:r>
        <w:rPr>
          <w:rStyle w:val="FootnoteAnchor"/>
          <w:rtl w:val="true"/>
        </w:rPr>
        <w:footnoteReference w:id="1318"/>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الأقسامِ‌، و ما يَصِحُّ منها كَونُ النبيِّ صلّى اللّٰه عليه و آله مُختَصّاً به و ما لا يَصِحُّ‌، و ما يَجوزُ</w:t>
      </w:r>
      <w:r>
        <w:rPr>
          <w:rStyle w:val="FootnoteAnchor"/>
          <w:rtl w:val="true"/>
        </w:rPr>
        <w:footnoteReference w:id="1319"/>
      </w:r>
      <w:r>
        <w:rPr>
          <w:rFonts w:ascii="Amiri" w:hAnsi="Amiri" w:eastAsia="Amiri" w:cs="Amiri"/>
          <w:color w:val="111111"/>
          <w:sz w:val="28"/>
          <w:sz w:val="28"/>
          <w:szCs w:val="28"/>
          <w:rtl w:val="true"/>
          <w:lang w:bidi="ar-SA"/>
        </w:rPr>
        <w:t>أن يوجِبَه لغَيرِه في تلكَ الحالِ و ما لا يَجوزُ</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تَحتَمِلُه</w:t>
      </w:r>
      <w:r>
        <w:rPr>
          <w:rStyle w:val="FootnoteAnchor"/>
          <w:rtl w:val="true"/>
        </w:rPr>
        <w:footnoteReference w:id="1320"/>
      </w:r>
      <w:r>
        <w:rPr>
          <w:rFonts w:ascii="Amiri" w:hAnsi="Amiri" w:eastAsia="Amiri" w:cs="Amiri"/>
          <w:color w:val="111111"/>
          <w:sz w:val="28"/>
          <w:sz w:val="28"/>
          <w:szCs w:val="28"/>
          <w:rtl w:val="true"/>
          <w:lang w:bidi="ar-SA"/>
        </w:rPr>
        <w:t xml:space="preserve">لفظةُ </w:t>
      </w:r>
      <w:r>
        <w:rPr>
          <w:rStyle w:val="FootnoteAnchor"/>
          <w:rtl w:val="true"/>
        </w:rPr>
        <w:footnoteReference w:id="1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إلىٰ أقسامٍ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عليه، و معلومٌ لكُلِّ أحَدٍ أنّه عليه السلامُ لَم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عليه، و معلومٌ بالدليلِ أنّه لَم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حاصلاً له صَلّى اللّٰهُ عليه و آلِه و يَجِبُ أن يُريدَه؛ لبُطلانِ سائرِ الأقسامِ ، و استحالةِ خُلوِّ كلامِه مِن مَعنىً و 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المُعتَقُ و الحَليفُ ؛ لأنّ الحَليفَ هو الذي يَنضَمُّ إلىٰ قَبيلةٍ أو عَشيرةٍ ، فيُحالِفُها علىٰ نُصرتِه و الدفاعِ عنه، فيَكونُ مُنتَسِباً إليها مُتعزِّزاً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النبيُّ صَلّى اللّٰهُ عليه و آلِه حَليفاً لأحَدٍ علىٰ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w:t>
      </w:r>
      <w:r>
        <w:rPr>
          <w:rStyle w:val="FootnoteAnchor"/>
          <w:rtl w:val="true"/>
        </w:rPr>
        <w:footnoteReference w:id="1322"/>
      </w:r>
      <w:r>
        <w:rPr>
          <w:rFonts w:ascii="Amiri" w:hAnsi="Amiri" w:eastAsia="Amiri" w:cs="Amiri"/>
          <w:color w:val="111111"/>
          <w:sz w:val="28"/>
          <w:sz w:val="28"/>
          <w:szCs w:val="28"/>
          <w:rtl w:val="true"/>
          <w:lang w:bidi="ar-SA"/>
        </w:rPr>
        <w:t>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معلومٌ أنّه لَم يُرِدْه؛ لبُطلانِه في نفسِه، كالمُعتِقِ‌، و المالِكِ ، و الجارِ، و الصِّهرِ، و الخَلْفِ </w:t>
      </w:r>
      <w:r>
        <w:rPr>
          <w:rStyle w:val="FootnoteAnchor"/>
          <w:rtl w:val="true"/>
        </w:rPr>
        <w:footnoteReference w:id="1323"/>
      </w:r>
      <w:r>
        <w:rPr>
          <w:rFonts w:ascii="Amiri" w:hAnsi="Amiri" w:eastAsia="Amiri" w:cs="Amiri"/>
          <w:color w:val="111111"/>
          <w:sz w:val="28"/>
          <w:sz w:val="28"/>
          <w:szCs w:val="28"/>
          <w:rtl w:val="true"/>
          <w:lang w:bidi="ar-SA"/>
        </w:rPr>
        <w:t xml:space="preserve">، و الأمامِ إذا عُدَّ مِن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معلومٌ أنّه عليه السلامُ لَم يُرِدْه؛ مِن</w:t>
      </w:r>
      <w:r>
        <w:rPr>
          <w:rStyle w:val="FootnoteAnchor"/>
          <w:rtl w:val="true"/>
        </w:rPr>
        <w:footnoteReference w:id="1324"/>
      </w:r>
      <w:r>
        <w:rPr>
          <w:rFonts w:ascii="Amiri" w:hAnsi="Amiri" w:eastAsia="Amiri" w:cs="Amiri"/>
          <w:color w:val="111111"/>
          <w:sz w:val="28"/>
          <w:sz w:val="28"/>
          <w:szCs w:val="28"/>
          <w:rtl w:val="true"/>
          <w:lang w:bidi="ar-SA"/>
        </w:rPr>
        <w:t>حَيثُ لَم يَكُن فيه فائدةٌ و كانَ ظاهراً شائعاً</w:t>
      </w:r>
      <w:r>
        <w:rPr>
          <w:rStyle w:val="FootnoteAnchor"/>
          <w:rtl w:val="true"/>
        </w:rPr>
        <w:footnoteReference w:id="1325"/>
      </w:r>
      <w:r>
        <w:rPr>
          <w:rFonts w:ascii="Amiri" w:hAnsi="Amiri" w:eastAsia="Amiri" w:cs="Amiri"/>
          <w:color w:val="111111"/>
          <w:sz w:val="28"/>
          <w:sz w:val="28"/>
          <w:szCs w:val="28"/>
          <w:rtl w:val="true"/>
          <w:lang w:bidi="ar-SA"/>
        </w:rPr>
        <w:t xml:space="preserve">، و هو ابنُ العَمِّ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الثالثُ </w:t>
      </w:r>
      <w:r>
        <w:rPr>
          <w:rStyle w:val="FootnoteAnchor"/>
          <w:rtl w:val="true"/>
        </w:rPr>
        <w:footnoteReference w:id="1326"/>
      </w:r>
      <w:r>
        <w:rPr>
          <w:rFonts w:ascii="Amiri" w:hAnsi="Amiri" w:eastAsia="Amiri" w:cs="Amiri"/>
          <w:color w:val="111111"/>
          <w:sz w:val="28"/>
          <w:sz w:val="28"/>
          <w:szCs w:val="28"/>
          <w:rtl w:val="true"/>
          <w:lang w:bidi="ar-SA"/>
        </w:rPr>
        <w:t>الذي يُعلَمُ بالدليلِ أنّه لَم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وَلايةُ الدِّينِ ، و النُّصرةُ فيه، و المَحبّةُ ، أو وَلاءُ المُعتِقِ </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أنّه صَلّى اللّٰهُ عليه و آلِه لَم يُرِدْ ذلكَ أنّ كُلَّ أحَدٍ يَعلَمُ مِن دينِه صَلّى اللّٰهُ عليه و آلِه وجوبَ تَوَلّي المؤمنينَ و نُصرتِهم، </w:t>
      </w:r>
    </w:p>
    <w:p>
      <w:pPr>
        <w:pStyle w:val="BookText"/>
        <w:rPr/>
      </w:pPr>
      <w:r>
        <w:rPr>
          <w:rFonts w:ascii="Amiri" w:hAnsi="Amiri" w:eastAsia="Amiri" w:cs="Amiri"/>
          <w:color w:val="111111"/>
          <w:sz w:val="28"/>
          <w:sz w:val="28"/>
          <w:szCs w:val="28"/>
          <w:rtl w:val="true"/>
          <w:lang w:bidi="ar-SA"/>
        </w:rPr>
        <w:t>و قد نَطَقَ الكتابُ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يَحسُنُ أن يَجمَعَهم علَى الصورةِ التي حُكيَت في تلكَ الحالِ‌، و يُعلِمَهم ما هم مُضطَرّونَ إليه مِن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هُم يَعلَمون أنّ وَلاءَ العِتقِ لبَني العَمِّ قَبلَ الشريعةِ 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عُمَرَ بنِ الخَطّابِ في الحالِ علىٰ ما تَظاهَرَت به الروايةُ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مَولايَ و مَولىٰ كُلِّ‌</w:t>
      </w:r>
    </w:p>
    <w:p>
      <w:pPr>
        <w:pStyle w:val="BookText"/>
        <w:rPr/>
      </w:pPr>
      <w:r>
        <w:rPr>
          <w:rFonts w:ascii="Amiri" w:hAnsi="Amiri" w:eastAsia="Amiri" w:cs="Amiri"/>
          <w:color w:val="111111"/>
          <w:sz w:val="28"/>
          <w:sz w:val="28"/>
          <w:szCs w:val="28"/>
          <w:rtl w:val="true"/>
          <w:lang w:bidi="ar-SA"/>
        </w:rPr>
        <w:t>مؤمنٍ و مؤمنةٍ‌</w:t>
      </w:r>
      <w:r>
        <w:rPr>
          <w:rFonts w:eastAsia="Amiri" w:cs="Amiri" w:ascii="Amiri" w:hAnsi="Amiri"/>
          <w:color w:val="111111"/>
          <w:sz w:val="28"/>
          <w:szCs w:val="28"/>
          <w:rtl w:val="true"/>
          <w:lang w:bidi="ar-SA"/>
        </w:rPr>
        <w:t>»</w:t>
      </w:r>
      <w:r>
        <w:rPr>
          <w:rStyle w:val="FootnoteAnchor"/>
          <w:rtl w:val="true"/>
        </w:rPr>
        <w:footnoteReference w:id="1328"/>
      </w:r>
      <w:r>
        <w:rPr>
          <w:rFonts w:ascii="Amiri" w:hAnsi="Amiri" w:eastAsia="Amiri" w:cs="Amiri"/>
          <w:color w:val="111111"/>
          <w:sz w:val="28"/>
          <w:sz w:val="28"/>
          <w:szCs w:val="28"/>
          <w:rtl w:val="true"/>
          <w:lang w:bidi="ar-SA"/>
        </w:rPr>
        <w:t>يُبطِلُ أن يَكونَ المُرادُ بالخبرِ</w:t>
      </w:r>
      <w:r>
        <w:rPr>
          <w:rStyle w:val="FootnoteAnchor"/>
          <w:rtl w:val="true"/>
        </w:rPr>
        <w:footnoteReference w:id="1329"/>
      </w:r>
      <w:r>
        <w:rPr>
          <w:rFonts w:ascii="Amiri" w:hAnsi="Amiri" w:eastAsia="Amiri" w:cs="Amiri"/>
          <w:color w:val="111111"/>
          <w:sz w:val="28"/>
          <w:sz w:val="28"/>
          <w:szCs w:val="28"/>
          <w:rtl w:val="true"/>
          <w:lang w:bidi="ar-SA"/>
        </w:rPr>
        <w:t>وَلاءَ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w:t>
      </w:r>
      <w:r>
        <w:rPr>
          <w:rStyle w:val="FootnoteAnchor"/>
          <w:rtl w:val="true"/>
        </w:rPr>
        <w:footnoteReference w:id="1330"/>
      </w:r>
      <w:r>
        <w:rPr>
          <w:rFonts w:ascii="Amiri" w:hAnsi="Amiri" w:eastAsia="Amiri" w:cs="Amiri"/>
          <w:color w:val="111111"/>
          <w:sz w:val="28"/>
          <w:sz w:val="28"/>
          <w:szCs w:val="28"/>
          <w:rtl w:val="true"/>
          <w:lang w:bidi="ar-SA"/>
        </w:rPr>
        <w:t xml:space="preserve">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إبطالِ أن يَكونَ المُرادُ بالخبرِ وَلاءَ العِتقِ أو إيجابَ النُّصرةِ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استُبعِدَ أن يُريدَ صَلّى اللّٰهُ عليه و آلِه قِسمَ ابنِ العَمِّ‌؛ لأنّ خُلوَّ الكلامِ مِن فائدةٍ متىٰ حُمِلَ علىٰ أحَدِ الأمرَينِ كخُلوِّه منها إذا حُمِلَ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القِسمُ الرابعُ الذي كانَ حاصلاً له عليه السلامُ و يَجِبُ أن يُريدَه؛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بتدبيرِ الأُمّةِ و أمرِهم و نهيِهم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دَلَّلنا علىٰ أنّ مَن كانَ بهذه الصفةِ فهو الإمامُ المُفتَرَضُ الطاعةِ </w:t>
      </w:r>
      <w:r>
        <w:rPr>
          <w:rStyle w:val="FootnoteAnchor"/>
          <w:rtl w:val="true"/>
        </w:rPr>
        <w:footnoteReference w:id="1331"/>
      </w:r>
      <w:r>
        <w:rPr>
          <w:rFonts w:ascii="Amiri" w:hAnsi="Amiri" w:eastAsia="Amiri" w:cs="Amiri"/>
          <w:color w:val="111111"/>
          <w:sz w:val="28"/>
          <w:sz w:val="28"/>
          <w:szCs w:val="28"/>
          <w:rtl w:val="true"/>
          <w:lang w:bidi="ar-SA"/>
        </w:rPr>
        <w:t xml:space="preserve">، و دَلَّلنا أيضاً فيما تَقدَّمَ علىٰ أنّ مِن جُملةِ أقسامِ مَولىٰ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Style w:val="FootnoteAnchor"/>
          <w:rtl w:val="true"/>
        </w:rPr>
        <w:footnoteReference w:id="133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لأحَدٍ أن يَعتَرِضَ بذلكَ ، و لَيسَ له أيضاً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ادَّعَيتم في صَدرِ الاستدلالِ أن النبيَّ صَلّى اللّٰهُ عليه و آلِه أوجَبَ أمراً كانَ له، و لَيسَ يَجِبُ ما ادَّعَيتموه، بَل لا يَمتَنِعُ أن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وجوبِ الطاعةِ ، و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آخَرَ لَم يَكُن عليه، و لا يَتعلَّقُ بما تَقدَّمَ </w:t>
      </w:r>
      <w:r>
        <w:rPr>
          <w:rFonts w:eastAsia="Amiri" w:cs="Amiri" w:ascii="Amiri" w:hAnsi="Amiri"/>
          <w:color w:val="111111"/>
          <w:sz w:val="28"/>
          <w:szCs w:val="28"/>
          <w:rtl w:val="true"/>
          <w:lang w:bidi="ar-SA"/>
        </w:rPr>
        <w:t xml:space="preserve">. </w:t>
      </w:r>
      <w:bookmarkStart w:id="275" w:name="pg20017_202506"/>
    </w:p>
    <w:p>
      <w:pPr>
        <w:pStyle w:val="BookText"/>
        <w:rPr/>
      </w:pPr>
      <w:bookmarkEnd w:id="275"/>
      <w:r>
        <w:rPr>
          <w:rFonts w:ascii="Amiri" w:hAnsi="Amiri" w:eastAsia="Amiri" w:cs="Amiri"/>
          <w:color w:val="111111"/>
          <w:sz w:val="28"/>
          <w:sz w:val="28"/>
          <w:szCs w:val="28"/>
          <w:rtl w:val="true"/>
          <w:lang w:bidi="ar-SA"/>
        </w:rPr>
        <w:t>لأنّا لا نَفتَقِرُ في هذه الطريقةِ إلىٰ أن نُثبِتَ أنّ النبيَّ صَلّى اللّٰهُ عليه و آلِه أوجَبَ ما كانَ حاصلاً له؛ لأنّه صَلّى اللّٰهُ عليه و آلِه</w:t>
      </w:r>
      <w:r>
        <w:rPr>
          <w:rStyle w:val="FootnoteAnchor"/>
          <w:rtl w:val="true"/>
        </w:rPr>
        <w:footnoteReference w:id="1333"/>
      </w:r>
      <w:r>
        <w:rPr>
          <w:rFonts w:ascii="Amiri" w:hAnsi="Amiri" w:eastAsia="Amiri" w:cs="Amiri"/>
          <w:color w:val="111111"/>
          <w:sz w:val="28"/>
          <w:sz w:val="28"/>
          <w:szCs w:val="28"/>
          <w:rtl w:val="true"/>
          <w:lang w:bidi="ar-SA"/>
        </w:rPr>
        <w:t xml:space="preserve">لا بُدَّ أن يوجِبَ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أحَدَ ما يَحتَمِلُه في اللُّغةِ‌</w:t>
      </w:r>
      <w:r>
        <w:rPr>
          <w:rStyle w:val="FootnoteAnchor"/>
          <w:rtl w:val="true"/>
        </w:rPr>
        <w:footnoteReference w:id="1334"/>
      </w:r>
      <w:r>
        <w:rPr>
          <w:rFonts w:ascii="Amiri" w:hAnsi="Amiri" w:eastAsia="Amiri" w:cs="Amiri"/>
          <w:color w:val="111111"/>
          <w:sz w:val="28"/>
          <w:sz w:val="28"/>
          <w:szCs w:val="28"/>
          <w:rtl w:val="true"/>
          <w:lang w:bidi="ar-SA"/>
        </w:rPr>
        <w:t>مِن الأقسامِ‌، و قد عَلِمنا بُطلانَ إيجابِه لِما عَدا الإمامةَ مِن سائرِ الأقسامِ بما تَقدَّمَ‌</w:t>
      </w:r>
      <w:r>
        <w:rPr>
          <w:rStyle w:val="FootnoteAnchor"/>
          <w:rtl w:val="true"/>
        </w:rPr>
        <w:footnoteReference w:id="1335"/>
      </w:r>
      <w:r>
        <w:rPr>
          <w:rFonts w:ascii="Amiri" w:hAnsi="Amiri" w:eastAsia="Amiri" w:cs="Amiri"/>
          <w:color w:val="111111"/>
          <w:sz w:val="28"/>
          <w:sz w:val="28"/>
          <w:szCs w:val="28"/>
          <w:rtl w:val="true"/>
          <w:lang w:bidi="ar-SA"/>
        </w:rPr>
        <w:t xml:space="preserve">ذِكرُه؛ فوَجَبَ أن يَكونَ المُرادُ هو الإمامةَ ، و إلّا فلا فائدةَ في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هو إثباتُ المُوالاةِ ظاهراً و باطناً؛ لأنّ إبطالَ هذا الوجهِ يأتي عندَ الكلامِ علىٰ صاحبِ الكتابِ مُستَقصىً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7"/>
      </w:r>
    </w:p>
    <w:p>
      <w:pPr>
        <w:pStyle w:val="Heading6"/>
        <w:numPr>
          <w:ilvl w:val="5"/>
          <w:numId w:val="1"/>
        </w:numPr>
        <w:rPr/>
      </w:pPr>
      <w:bookmarkStart w:id="276" w:name="__RefHeading___Toc964189_2320776876"/>
      <w:bookmarkStart w:id="277" w:name="_Toc98"/>
      <w:bookmarkEnd w:id="276"/>
      <w:r>
        <w:rPr>
          <w:rtl w:val="true"/>
        </w:rPr>
        <w:t>التقرير الثالث</w:t>
      </w:r>
      <w:r>
        <w:rPr>
          <w:rtl w:val="true"/>
        </w:rPr>
        <w:t xml:space="preserve">: </w:t>
      </w:r>
      <w:r>
        <w:rPr>
          <w:rtl w:val="true"/>
        </w:rPr>
        <w:t>طريقة الإطلاق</w:t>
      </w:r>
      <w:bookmarkEnd w:id="277"/>
    </w:p>
    <w:p>
      <w:pPr>
        <w:pStyle w:val="Heading6"/>
        <w:numPr>
          <w:ilvl w:val="5"/>
          <w:numId w:val="1"/>
        </w:numPr>
        <w:rPr/>
      </w:pPr>
      <w:bookmarkStart w:id="278" w:name="__RefHeading___Toc964191_2320776876"/>
      <w:bookmarkStart w:id="279" w:name="_Toc99"/>
      <w:bookmarkEnd w:id="278"/>
      <w:r>
        <w:rPr>
          <w:rtl w:val="true"/>
        </w:rPr>
        <w:t>اشارة</w:t>
      </w:r>
      <w:bookmarkEnd w:id="27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r>
        <w:rPr>
          <w:rStyle w:val="FootnoteAnchor"/>
          <w:rtl w:val="true"/>
        </w:rPr>
        <w:footnoteReference w:id="1338"/>
      </w:r>
      <w:r>
        <w:rPr>
          <w:rFonts w:ascii="Amiri" w:hAnsi="Amiri" w:eastAsia="Amiri" w:cs="Amiri"/>
          <w:color w:val="111111"/>
          <w:sz w:val="28"/>
          <w:sz w:val="28"/>
          <w:szCs w:val="28"/>
          <w:rtl w:val="true"/>
          <w:lang w:bidi="ar-SA"/>
        </w:rPr>
        <w:t xml:space="preserve">يُمكِنُ أن يَستَدِلَّ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إلىٰ أنّ اللفظَ المُحتَمِلَ لأُمورٍ كَثيرةٍ إذا أُطلِقَ يَجِبُ حَملُه علىٰ سائرِ مُحتَمَلاتِه إلّاما مَنَعَ منه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إيجابِ الإمامةِ مِن الخبرِ بهذه الطريقةِ‌، بَعدَ أن يُبيِّنَ أنّ مِن أقسامِ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معنَى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فيما تَقدَّمَ فَسادَ الاستدلالِ بطريقةِ الاحتمالِ ، و أنّ الأصلَ الذي هي مَبنيّةٌ عليه لا يُثبِتُ صحّتَه</w:t>
      </w:r>
      <w:r>
        <w:rPr>
          <w:rFonts w:eastAsia="Amiri" w:cs="Amiri" w:ascii="Amiri" w:hAnsi="Amiri"/>
          <w:color w:val="111111"/>
          <w:sz w:val="28"/>
          <w:szCs w:val="28"/>
          <w:rtl w:val="true"/>
          <w:lang w:bidi="ar-SA"/>
        </w:rPr>
        <w:t>.</w:t>
      </w:r>
      <w:r>
        <w:rPr>
          <w:rStyle w:val="FootnoteAnchor"/>
          <w:rtl w:val="true"/>
        </w:rPr>
        <w:footnoteReference w:id="1339"/>
      </w:r>
      <w:bookmarkStart w:id="280" w:name="pg20017_202507"/>
    </w:p>
    <w:p>
      <w:pPr>
        <w:pStyle w:val="Heading6"/>
        <w:numPr>
          <w:ilvl w:val="5"/>
          <w:numId w:val="1"/>
        </w:numPr>
        <w:rPr/>
      </w:pPr>
      <w:bookmarkStart w:id="281" w:name="__RefHeading___Toc964193_2320776876"/>
      <w:bookmarkStart w:id="282" w:name="_Toc100"/>
      <w:bookmarkEnd w:id="280"/>
      <w:bookmarkEnd w:id="281"/>
      <w:r>
        <w:rPr>
          <w:rtl w:val="true"/>
        </w:rPr>
        <w:t>مناقشة ما أورده القاضي علىٰ تقريرات الاستدلال بحديث الغدير</w:t>
      </w:r>
      <w:bookmarkEnd w:id="282"/>
    </w:p>
    <w:p>
      <w:pPr>
        <w:pStyle w:val="BookText"/>
        <w:rPr/>
      </w:pPr>
      <w:r>
        <w:rPr>
          <w:rFonts w:ascii="IRNazanin" w:hAnsi="IRNazanin" w:eastAsia="IRNazanin"/>
          <w:color w:val="111111"/>
          <w:sz w:val="28"/>
          <w:sz w:val="28"/>
          <w:szCs w:val="28"/>
          <w:rtl w:val="true"/>
          <w:lang w:bidi="fa-IR"/>
        </w:rPr>
        <w:t>و إذ</w:t>
      </w:r>
      <w:r>
        <w:rPr>
          <w:rStyle w:val="FootnoteAnchor"/>
          <w:rtl w:val="true"/>
        </w:rPr>
        <w:footnoteReference w:id="1340"/>
      </w:r>
      <w:r>
        <w:rPr>
          <w:rFonts w:ascii="Amiri" w:hAnsi="Amiri" w:eastAsia="Amiri" w:cs="Amiri"/>
          <w:color w:val="111111"/>
          <w:sz w:val="28"/>
          <w:sz w:val="28"/>
          <w:szCs w:val="28"/>
          <w:rtl w:val="true"/>
          <w:lang w:bidi="ar-SA"/>
        </w:rPr>
        <w:t>قد فَرَغنا ممّا أرَدنا تقديمَه أمامَ مُناقَضَتِه، فنَحنُ نَرجِعُ إلىٰ كلامِه،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الدَّلالةُ الأُولىٰ فقَد رَتَّبناها</w:t>
      </w:r>
      <w:r>
        <w:rPr>
          <w:rStyle w:val="FootnoteAnchor"/>
          <w:rtl w:val="true"/>
        </w:rPr>
        <w:footnoteReference w:id="1341"/>
      </w:r>
      <w:r>
        <w:rPr>
          <w:rFonts w:ascii="Amiri" w:hAnsi="Amiri" w:eastAsia="Amiri" w:cs="Amiri"/>
          <w:color w:val="111111"/>
          <w:sz w:val="28"/>
          <w:sz w:val="28"/>
          <w:szCs w:val="28"/>
          <w:rtl w:val="true"/>
          <w:lang w:bidi="ar-SA"/>
        </w:rPr>
        <w:t>و شَرَحناها</w:t>
      </w:r>
      <w:r>
        <w:rPr>
          <w:rStyle w:val="FootnoteAnchor"/>
          <w:rtl w:val="true"/>
        </w:rPr>
        <w:footnoteReference w:id="1342"/>
      </w:r>
      <w:r>
        <w:rPr>
          <w:rFonts w:ascii="Amiri" w:hAnsi="Amiri" w:eastAsia="Amiri" w:cs="Amiri"/>
          <w:color w:val="111111"/>
          <w:sz w:val="28"/>
          <w:sz w:val="28"/>
          <w:szCs w:val="28"/>
          <w:rtl w:val="true"/>
          <w:lang w:bidi="ar-SA"/>
        </w:rPr>
        <w:t>، و هي علىٰ خِلافِ ما حَكاه؛ لأنّا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يُطابِقِ‌</w:t>
      </w:r>
      <w:r>
        <w:rPr>
          <w:rStyle w:val="FootnoteAnchor"/>
          <w:rtl w:val="true"/>
        </w:rPr>
        <w:footnoteReference w:id="1343"/>
      </w:r>
      <w:r>
        <w:rPr>
          <w:rFonts w:ascii="Amiri" w:hAnsi="Amiri" w:eastAsia="Amiri" w:cs="Amiri"/>
          <w:color w:val="111111"/>
          <w:sz w:val="28"/>
          <w:sz w:val="28"/>
          <w:szCs w:val="28"/>
          <w:rtl w:val="true"/>
          <w:lang w:bidi="ar-SA"/>
        </w:rPr>
        <w:t>المُقدِّمةَ لَم يَكُن</w:t>
      </w:r>
      <w:r>
        <w:rPr>
          <w:rStyle w:val="FootnoteAnchor"/>
          <w:rtl w:val="true"/>
        </w:rPr>
        <w:footnoteReference w:id="1344"/>
      </w:r>
      <w:r>
        <w:rPr>
          <w:rFonts w:ascii="Amiri" w:hAnsi="Amiri" w:eastAsia="Amiri" w:cs="Amiri"/>
          <w:color w:val="111111"/>
          <w:sz w:val="28"/>
          <w:sz w:val="28"/>
          <w:szCs w:val="28"/>
          <w:rtl w:val="true"/>
          <w:lang w:bidi="ar-SA"/>
        </w:rPr>
        <w:t>للمُقدِّمةِ فائدةٌ‌، بَل الدَّلالةُ علىٰ وجوبِ مُطابَقتِها للمُقدِّمةِ قد بيّنّاها</w:t>
      </w:r>
      <w:r>
        <w:rPr>
          <w:rStyle w:val="FootnoteAnchor"/>
          <w:rtl w:val="true"/>
        </w:rPr>
        <w:footnoteReference w:id="1345"/>
      </w:r>
      <w:r>
        <w:rPr>
          <w:rFonts w:ascii="Amiri" w:hAnsi="Amiri" w:eastAsia="Amiri" w:cs="Amiri"/>
          <w:color w:val="111111"/>
          <w:sz w:val="28"/>
          <w:sz w:val="28"/>
          <w:szCs w:val="28"/>
          <w:rtl w:val="true"/>
          <w:lang w:bidi="ar-SA"/>
        </w:rPr>
        <w:t>في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1346"/>
      </w:r>
      <w:r>
        <w:rPr>
          <w:rFonts w:ascii="Amiri" w:hAnsi="Amiri" w:eastAsia="Amiri" w:cs="Amiri"/>
          <w:color w:val="111111"/>
          <w:sz w:val="28"/>
          <w:sz w:val="28"/>
          <w:szCs w:val="28"/>
          <w:rtl w:val="true"/>
          <w:lang w:bidi="ar-SA"/>
        </w:rPr>
        <w:t>الدَّلالةُ الثانيةُ التي حَكاها</w:t>
      </w:r>
      <w:r>
        <w:rPr>
          <w:rStyle w:val="FootnoteAnchor"/>
          <w:rtl w:val="true"/>
        </w:rPr>
        <w:footnoteReference w:id="1347"/>
      </w:r>
      <w:r>
        <w:rPr>
          <w:rFonts w:ascii="Amiri" w:hAnsi="Amiri" w:eastAsia="Amiri" w:cs="Amiri"/>
          <w:color w:val="111111"/>
          <w:sz w:val="28"/>
          <w:sz w:val="28"/>
          <w:szCs w:val="28"/>
          <w:rtl w:val="true"/>
          <w:lang w:bidi="ar-SA"/>
        </w:rPr>
        <w:t>فلَيسَت دَلالةً تَقومُ بنفسِها؛ لأنّه لَو قيلَ للمُستَدِلِّ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زَعَمتَ أنّه لا بُدَّ أن يُبيِّنَ في تلكَ الحالِ أمراً عظيماً؟ ثُمَّ لِمَ زَعَمتَ أنّه لَيسَ في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Style w:val="FootnoteAnchor"/>
          <w:rtl w:val="true"/>
        </w:rPr>
        <w:footnoteReference w:id="1348"/>
      </w:r>
      <w:r>
        <w:rPr>
          <w:rFonts w:ascii="Amiri" w:hAnsi="Amiri" w:eastAsia="Amiri" w:cs="Amiri"/>
          <w:color w:val="111111"/>
          <w:sz w:val="28"/>
          <w:sz w:val="28"/>
          <w:szCs w:val="28"/>
          <w:rtl w:val="true"/>
          <w:lang w:bidi="ar-SA"/>
        </w:rPr>
        <w:t>أمرٌ عظيمٌ يَستَحِقُّ أن يُبيَّنَ‌، و أنّ سائرَ ما يُذكَرُ لا يَصِحُّ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بُدٌّ مِن الرجوعِ إلىٰ طريقةِ التقسيمِ التي</w:t>
      </w:r>
      <w:r>
        <w:rPr>
          <w:rStyle w:val="FootnoteAnchor"/>
          <w:rtl w:val="true"/>
        </w:rPr>
        <w:footnoteReference w:id="13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تقدّمت في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الدَّلالةُ الثالثةُ‌، و هي دَلالةُ التقسيمِ ، و قد مَضَت مُرتَّبةً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Style w:val="FootnoteAnchor"/>
          <w:rtl w:val="true"/>
        </w:rPr>
        <w:footnoteReference w:id="1350"/>
      </w:r>
      <w:r>
        <w:rPr>
          <w:rFonts w:ascii="Amiri" w:hAnsi="Amiri" w:eastAsia="Amiri" w:cs="Amiri"/>
          <w:color w:val="111111"/>
          <w:sz w:val="28"/>
          <w:sz w:val="28"/>
          <w:szCs w:val="28"/>
          <w:rtl w:val="true"/>
          <w:lang w:bidi="ar-SA"/>
        </w:rPr>
        <w:t xml:space="preserve">الرابعةُ </w:t>
      </w:r>
      <w:r>
        <w:rPr>
          <w:rStyle w:val="FootnoteAnchor"/>
          <w:rtl w:val="true"/>
        </w:rPr>
        <w:footnoteReference w:id="1351"/>
      </w:r>
      <w:r>
        <w:rPr>
          <w:rFonts w:ascii="Amiri" w:hAnsi="Amiri" w:eastAsia="Amiri" w:cs="Amiri"/>
          <w:color w:val="111111"/>
          <w:sz w:val="28"/>
          <w:sz w:val="28"/>
          <w:szCs w:val="28"/>
          <w:rtl w:val="true"/>
          <w:lang w:bidi="ar-SA"/>
        </w:rPr>
        <w:t>، فتَجري مَجرَى الثالثةِ في أنّها متىٰ لَم تَستَنِدْ</w:t>
      </w:r>
      <w:r>
        <w:rPr>
          <w:rStyle w:val="FootnoteAnchor"/>
          <w:rtl w:val="true"/>
        </w:rPr>
        <w:footnoteReference w:id="1352"/>
      </w:r>
      <w:r>
        <w:rPr>
          <w:rFonts w:ascii="Amiri" w:hAnsi="Amiri" w:eastAsia="Amiri" w:cs="Amiri"/>
          <w:color w:val="111111"/>
          <w:sz w:val="28"/>
          <w:sz w:val="28"/>
          <w:szCs w:val="28"/>
          <w:rtl w:val="true"/>
          <w:lang w:bidi="ar-SA"/>
        </w:rPr>
        <w:t xml:space="preserve">إلىٰ دَلالةٍ </w:t>
      </w:r>
    </w:p>
    <w:p>
      <w:pPr>
        <w:pStyle w:val="BookText"/>
        <w:rPr/>
      </w:pPr>
      <w:r>
        <w:rPr>
          <w:rFonts w:ascii="Amiri" w:hAnsi="Amiri" w:eastAsia="Amiri" w:cs="Amiri"/>
          <w:color w:val="111111"/>
          <w:sz w:val="28"/>
          <w:sz w:val="28"/>
          <w:szCs w:val="28"/>
          <w:rtl w:val="true"/>
          <w:lang w:bidi="ar-SA"/>
        </w:rPr>
        <w:t>كانَت دَعوىً‌؛ لأنّ أصحابَنا إنّما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يُرِدِ النبيُّ صَلّى اللّٰهُ عليه و آلِه ما ذَهَبنا إليه لَوَجَبَ أن يَكونَ مُلبِّساً مُحيِّراً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Style w:val="FootnoteAnchor"/>
          <w:rtl w:val="true"/>
        </w:rPr>
        <w:footnoteReference w:id="1353"/>
      </w:r>
      <w:r>
        <w:rPr>
          <w:rFonts w:ascii="Amiri" w:hAnsi="Amiri" w:eastAsia="Amiri" w:cs="Amiri"/>
          <w:color w:val="111111"/>
          <w:sz w:val="28"/>
          <w:sz w:val="28"/>
          <w:szCs w:val="28"/>
          <w:rtl w:val="true"/>
          <w:lang w:bidi="ar-SA"/>
        </w:rPr>
        <w:t>بَيَّنوا</w:t>
      </w:r>
      <w:r>
        <w:rPr>
          <w:rStyle w:val="FootnoteAnchor"/>
          <w:rtl w:val="true"/>
        </w:rPr>
        <w:footnoteReference w:id="1354"/>
      </w:r>
      <w:r>
        <w:rPr>
          <w:rFonts w:ascii="Amiri" w:hAnsi="Amiri" w:eastAsia="Amiri" w:cs="Amiri"/>
          <w:color w:val="111111"/>
          <w:sz w:val="28"/>
          <w:sz w:val="28"/>
          <w:szCs w:val="28"/>
          <w:rtl w:val="true"/>
          <w:lang w:bidi="ar-SA"/>
        </w:rPr>
        <w:t>وجهَ دَلالةِ القولِ علَى الإمامةِ‌، فلا بُدَّ إذَن مِن بيانِ إيجابِ القولِ للإمامةِ بالطريقةِ المُتقدِّمةِ‌؛ ليَستَقيمَ أن نَقولَ‌</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لَو لَم يُرِدِ الإمامةَ‌</w:t>
      </w:r>
      <w:r>
        <w:rPr>
          <w:rStyle w:val="FootnoteAnchor"/>
          <w:rtl w:val="true"/>
        </w:rPr>
        <w:footnoteReference w:id="1356"/>
      </w:r>
      <w:r>
        <w:rPr>
          <w:rFonts w:ascii="Amiri" w:hAnsi="Amiri" w:eastAsia="Amiri" w:cs="Amiri"/>
          <w:color w:val="111111"/>
          <w:sz w:val="28"/>
          <w:sz w:val="28"/>
          <w:szCs w:val="28"/>
          <w:rtl w:val="true"/>
          <w:lang w:bidi="ar-SA"/>
        </w:rPr>
        <w:t>لَكانَ مُحيِّراً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1357"/>
      </w:r>
      <w:r>
        <w:rPr>
          <w:rFonts w:ascii="Amiri" w:hAnsi="Amiri" w:eastAsia="Amiri" w:cs="Amiri"/>
          <w:color w:val="111111"/>
          <w:sz w:val="28"/>
          <w:sz w:val="28"/>
          <w:szCs w:val="28"/>
          <w:rtl w:val="true"/>
          <w:lang w:bidi="ar-SA"/>
        </w:rPr>
        <w:t>المعرفةُ بقَصدِه عليه السلامُ ضَرورةً‌، فلَيسَ ممّا يَعتَمِدُه أصحابُنا في هذا الخبرِ و أمثالِه، و لا يَمتَنِعُ عندَنا أن يَكونَ المُرادُ معلوماً بضَربٍ مِن الاستدلالِ ،</w:t>
      </w:r>
    </w:p>
    <w:p>
      <w:pPr>
        <w:pStyle w:val="BookText"/>
        <w:rPr/>
      </w:pPr>
      <w:r>
        <w:rPr>
          <w:rFonts w:ascii="Amiri" w:hAnsi="Amiri" w:eastAsia="Amiri" w:cs="Amiri"/>
          <w:color w:val="111111"/>
          <w:sz w:val="28"/>
          <w:sz w:val="28"/>
          <w:szCs w:val="28"/>
          <w:rtl w:val="true"/>
          <w:lang w:bidi="ar-SA"/>
        </w:rPr>
        <w:t>و لا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نَعرِفِ القَصدَ مِن الكلامِ باضطرارٍ لَم يَكُن بياناً؛ بَل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يُرِدِ الإمامةَ مع إيجابِ خِطابِه</w:t>
      </w:r>
      <w:r>
        <w:rPr>
          <w:rStyle w:val="FootnoteAnchor"/>
          <w:rtl w:val="true"/>
        </w:rPr>
        <w:footnoteReference w:id="1358"/>
      </w:r>
      <w:r>
        <w:rPr>
          <w:rFonts w:ascii="Amiri" w:hAnsi="Amiri" w:eastAsia="Amiri" w:cs="Amiri"/>
          <w:color w:val="111111"/>
          <w:sz w:val="28"/>
          <w:sz w:val="28"/>
          <w:szCs w:val="28"/>
          <w:rtl w:val="true"/>
          <w:lang w:bidi="ar-SA"/>
        </w:rPr>
        <w:t xml:space="preserve">لها لَكانَ مُلغِزاً عادلاً عن طريقِ البيانِ ، بل عن طريقِ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المُرادَ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ذَهَبَ إليه شَيخانا</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الإبانةُ عن فَضلٍ مقطوعٍ به لا يَتَغَيَّرُ علَى الأوقاتِ ؛ لأنّ وجوبَ المُوالاةِ علَى القَطعِ يَدُلُّ علىٰ أنّ مَن وَجَبَ ذلكَ له</w:t>
      </w:r>
      <w:r>
        <w:rPr>
          <w:rStyle w:val="FootnoteAnchor"/>
          <w:rtl w:val="true"/>
        </w:rPr>
        <w:footnoteReference w:id="1360"/>
      </w:r>
      <w:r>
        <w:rPr>
          <w:rFonts w:ascii="Amiri" w:hAnsi="Amiri" w:eastAsia="Amiri" w:cs="Amiri"/>
          <w:color w:val="111111"/>
          <w:sz w:val="28"/>
          <w:sz w:val="28"/>
          <w:szCs w:val="28"/>
          <w:rtl w:val="true"/>
          <w:lang w:bidi="ar-SA"/>
        </w:rPr>
        <w:t>باطنُه كظاهرِه، و إذا</w:t>
      </w:r>
      <w:r>
        <w:rPr>
          <w:rStyle w:val="FootnoteAnchor"/>
          <w:rtl w:val="true"/>
        </w:rPr>
        <w:footnoteReference w:id="1361"/>
      </w:r>
      <w:r>
        <w:rPr>
          <w:rFonts w:ascii="Amiri" w:hAnsi="Amiri" w:eastAsia="Amiri" w:cs="Amiri"/>
          <w:color w:val="111111"/>
          <w:sz w:val="28"/>
          <w:sz w:val="28"/>
          <w:szCs w:val="28"/>
          <w:rtl w:val="true"/>
          <w:lang w:bidi="ar-SA"/>
        </w:rPr>
        <w:t xml:space="preserve">أوجَبَ النبيُّ صَلّى </w:t>
      </w:r>
    </w:p>
    <w:p>
      <w:pPr>
        <w:pStyle w:val="BookText"/>
        <w:rPr/>
      </w:pPr>
      <w:r>
        <w:rPr>
          <w:rFonts w:ascii="Amiri" w:hAnsi="Amiri" w:eastAsia="Amiri" w:cs="Amiri"/>
          <w:color w:val="111111"/>
          <w:sz w:val="28"/>
          <w:sz w:val="28"/>
          <w:szCs w:val="28"/>
          <w:rtl w:val="true"/>
          <w:lang w:bidi="ar-SA"/>
        </w:rPr>
        <w:t>اللّٰهُ عليه و آلِه مُوالاتَه عليه السلامُ و لَم يُقيِّدْه بوقتٍ‌، فيَجِبُ أن يَكونَ هذه حالَه في</w:t>
      </w:r>
      <w:r>
        <w:rPr>
          <w:rStyle w:val="FootnoteAnchor"/>
          <w:rtl w:val="true"/>
        </w:rPr>
        <w:footnoteReference w:id="1362"/>
      </w:r>
      <w:r>
        <w:rPr>
          <w:rFonts w:ascii="Amiri" w:hAnsi="Amiri" w:eastAsia="Amiri" w:cs="Amiri"/>
          <w:color w:val="111111"/>
          <w:sz w:val="28"/>
          <w:sz w:val="28"/>
          <w:szCs w:val="28"/>
          <w:rtl w:val="true"/>
          <w:lang w:bidi="ar-SA"/>
        </w:rPr>
        <w:t>سائرِ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هذا هو المُرادَ لَوَجَبَ أن لا يَلزَمَ سائرَ مَن غابَ عن المَوضِعِ‌</w:t>
      </w:r>
      <w:r>
        <w:rPr>
          <w:rStyle w:val="FootnoteAnchor"/>
          <w:rtl w:val="true"/>
        </w:rPr>
        <w:footnoteReference w:id="1363"/>
      </w:r>
      <w:r>
        <w:rPr>
          <w:rFonts w:ascii="Amiri" w:hAnsi="Amiri" w:eastAsia="Amiri" w:cs="Amiri"/>
          <w:color w:val="111111"/>
          <w:sz w:val="28"/>
          <w:sz w:val="28"/>
          <w:szCs w:val="28"/>
          <w:rtl w:val="true"/>
          <w:lang w:bidi="ar-SA"/>
        </w:rPr>
        <w:t>مُوالاتُه، و لَما وَجَبَ بَعدَ ذلكَ الوقتِ عليهم مُوالاتُه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بُطلانُ ذلكَ يُبيِّنُ أنّه يَقتَضي الفَضلَ الذي لا يَتغيَّرُ، و هذه مَنزِلةٌ عظيمةٌ تَفوقُ مَنزِلةَ الإمامةِ‌، و يَختَصُّ هو بها دونَ غيرِه؛ لأنّه عليه السلامُ‌</w:t>
      </w:r>
      <w:r>
        <w:rPr>
          <w:rStyle w:val="FootnoteAnchor"/>
          <w:rtl w:val="true"/>
        </w:rPr>
        <w:footnoteReference w:id="1364"/>
      </w:r>
      <w:r>
        <w:rPr>
          <w:rFonts w:ascii="Amiri" w:hAnsi="Amiri" w:eastAsia="Amiri" w:cs="Amiri"/>
          <w:color w:val="111111"/>
          <w:sz w:val="28"/>
          <w:sz w:val="28"/>
          <w:szCs w:val="28"/>
          <w:rtl w:val="true"/>
          <w:lang w:bidi="ar-SA"/>
        </w:rPr>
        <w:t>لَم يُبيِّنْ في غيرِه هذه الحالةَ كما بَيَّنَ فيه، و لأنّ الإمامةَ إنّما تَعظُمُ مِن حَيثُ كانَت وُصلةً إلىٰ هذه الحالةِ‌؛ فلَو لَم تَكُن</w:t>
      </w:r>
      <w:r>
        <w:rPr>
          <w:rStyle w:val="FootnoteAnchor"/>
          <w:rtl w:val="true"/>
        </w:rPr>
        <w:footnoteReference w:id="1365"/>
      </w:r>
      <w:r>
        <w:rPr>
          <w:rFonts w:ascii="Amiri" w:hAnsi="Amiri" w:eastAsia="Amiri" w:cs="Amiri"/>
          <w:color w:val="111111"/>
          <w:sz w:val="28"/>
          <w:sz w:val="28"/>
          <w:szCs w:val="28"/>
          <w:rtl w:val="true"/>
          <w:lang w:bidi="ar-SA"/>
        </w:rPr>
        <w:t>هذه مِن أشرَفِ الأحوالِ لَم تَكُنِ‌</w:t>
      </w:r>
      <w:r>
        <w:rPr>
          <w:rStyle w:val="FootnoteAnchor"/>
          <w:rtl w:val="true"/>
        </w:rPr>
        <w:footnoteReference w:id="1366"/>
      </w:r>
      <w:r>
        <w:rPr>
          <w:rFonts w:ascii="Amiri" w:hAnsi="Amiri" w:eastAsia="Amiri" w:cs="Amiri"/>
          <w:color w:val="111111"/>
          <w:sz w:val="28"/>
          <w:sz w:val="28"/>
          <w:szCs w:val="28"/>
          <w:rtl w:val="true"/>
          <w:lang w:bidi="ar-SA"/>
        </w:rPr>
        <w:t>الإمامةُ شريفةً‌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دَلّوا علىٰ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w:t>
      </w:r>
      <w:r>
        <w:rPr>
          <w:rStyle w:val="FootnoteAnchor"/>
          <w:rtl w:val="true"/>
        </w:rPr>
        <w:footnoteReference w:id="1367"/>
      </w:r>
      <w:r>
        <w:rPr>
          <w:rFonts w:ascii="Amiri" w:hAnsi="Amiri" w:eastAsia="Amiri" w:cs="Amiri"/>
          <w:color w:val="111111"/>
          <w:sz w:val="28"/>
          <w:sz w:val="28"/>
          <w:szCs w:val="28"/>
          <w:rtl w:val="true"/>
          <w:lang w:bidi="ar-SA"/>
        </w:rPr>
        <w:t>بِأَنَّ اللّٰهَ مَوْلَى الَّذِينَ آمَنُوا</w:t>
      </w:r>
      <w:r>
        <w:rPr>
          <w:rFonts w:eastAsia="Amiri" w:cs="Amiri" w:ascii="Amiri" w:hAnsi="Amiri"/>
          <w:color w:val="111111"/>
          <w:sz w:val="28"/>
          <w:szCs w:val="28"/>
          <w:rtl w:val="true"/>
          <w:lang w:bidi="ar-SA"/>
        </w:rPr>
        <w:t>)</w:t>
      </w:r>
      <w:r>
        <w:rPr>
          <w:rStyle w:val="FootnoteAnchor"/>
          <w:rtl w:val="true"/>
        </w:rPr>
        <w:footnoteReference w:id="1368"/>
      </w:r>
      <w:r>
        <w:rPr>
          <w:rFonts w:ascii="Amiri" w:hAnsi="Amiri" w:eastAsia="Amiri" w:cs="Amiri"/>
          <w:color w:val="111111"/>
          <w:sz w:val="28"/>
          <w:sz w:val="28"/>
          <w:szCs w:val="28"/>
          <w:rtl w:val="true"/>
          <w:lang w:bidi="ar-SA"/>
        </w:rPr>
        <w:t xml:space="preserve">، و أنّ المُرادَ بذلكَ مُوالاةُ الدِّينِ و النُّصرةُ فيه، و بقَولِه عزّ و جلّ </w:t>
      </w:r>
      <w:r>
        <w:rPr>
          <w:rStyle w:val="FootnoteAnchor"/>
          <w:rtl w:val="true"/>
        </w:rPr>
        <w:footnoteReference w:id="13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اللّٰهَ هُوَ مَوْلاٰهُ وَ جِبْرِيلُ وَ صٰالِحُ الْمُؤْمِنِينَ </w:t>
      </w:r>
      <w:r>
        <w:rPr>
          <w:rFonts w:eastAsia="Amiri" w:cs="Amiri" w:ascii="Amiri" w:hAnsi="Amiri"/>
          <w:color w:val="111111"/>
          <w:sz w:val="28"/>
          <w:szCs w:val="28"/>
          <w:rtl w:val="true"/>
          <w:lang w:bidi="ar-SA"/>
        </w:rPr>
        <w:t>)</w:t>
      </w:r>
      <w:r>
        <w:rPr>
          <w:rStyle w:val="FootnoteAnchor"/>
          <w:rtl w:val="true"/>
        </w:rPr>
        <w:footnoteReference w:id="1370"/>
      </w:r>
      <w:r>
        <w:rPr>
          <w:rFonts w:ascii="Amiri" w:hAnsi="Amiri" w:eastAsia="Amiri" w:cs="Amiri"/>
          <w:color w:val="111111"/>
          <w:sz w:val="28"/>
          <w:sz w:val="28"/>
          <w:szCs w:val="28"/>
          <w:rtl w:val="true"/>
          <w:lang w:bidi="ar-SA"/>
        </w:rPr>
        <w:t xml:space="preserve">و أنّ المُرادَ بذلكَ النُّصرةُ في الدِّينِ </w:t>
      </w:r>
      <w:r>
        <w:rPr>
          <w:rFonts w:eastAsia="Amiri" w:cs="Amiri" w:ascii="Amiri" w:hAnsi="Amiri"/>
          <w:color w:val="111111"/>
          <w:sz w:val="28"/>
          <w:szCs w:val="28"/>
          <w:rtl w:val="true"/>
          <w:lang w:bidi="ar-SA"/>
        </w:rPr>
        <w:t xml:space="preserve">. </w:t>
      </w:r>
      <w:bookmarkStart w:id="283" w:name="pg20017_202510"/>
    </w:p>
    <w:p>
      <w:pPr>
        <w:pStyle w:val="BookText"/>
        <w:rPr/>
      </w:pPr>
      <w:bookmarkEnd w:id="283"/>
      <w:r>
        <w:rPr>
          <w:rFonts w:ascii="Amiri" w:hAnsi="Amiri" w:eastAsia="Amiri" w:cs="Amiri"/>
          <w:color w:val="111111"/>
          <w:sz w:val="28"/>
          <w:sz w:val="28"/>
          <w:szCs w:val="28"/>
          <w:rtl w:val="true"/>
          <w:lang w:bidi="ar-SA"/>
        </w:rPr>
        <w:t xml:space="preserve">و بَيَّنوا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و إن كانَت مُشتَرَكةً فقَد غَلَبَ‌</w:t>
      </w:r>
      <w:r>
        <w:rPr>
          <w:rStyle w:val="FootnoteAnchor"/>
          <w:rtl w:val="true"/>
        </w:rPr>
        <w:footnoteReference w:id="1371"/>
      </w:r>
      <w:r>
        <w:rPr>
          <w:rFonts w:ascii="Amiri" w:hAnsi="Amiri" w:eastAsia="Amiri" w:cs="Amiri"/>
          <w:color w:val="111111"/>
          <w:sz w:val="28"/>
          <w:sz w:val="28"/>
          <w:szCs w:val="28"/>
          <w:rtl w:val="true"/>
          <w:lang w:bidi="ar-SA"/>
        </w:rPr>
        <w:t>عُرفُ</w:t>
      </w:r>
    </w:p>
    <w:p>
      <w:pPr>
        <w:pStyle w:val="BookText"/>
        <w:rPr/>
      </w:pPr>
      <w:r>
        <w:rPr>
          <w:rFonts w:ascii="Amiri" w:hAnsi="Amiri" w:eastAsia="Amiri" w:cs="Amiri"/>
          <w:color w:val="111111"/>
          <w:sz w:val="28"/>
          <w:sz w:val="28"/>
          <w:szCs w:val="28"/>
          <w:rtl w:val="true"/>
          <w:lang w:bidi="ar-SA"/>
        </w:rPr>
        <w:t xml:space="preserve">الشرعِ في استعمالِها في هذا الوجهِ ، و علىٰ هذا الوجهِ </w:t>
      </w:r>
      <w:r>
        <w:rPr>
          <w:rStyle w:val="FootnoteAnchor"/>
          <w:rtl w:val="true"/>
        </w:rPr>
        <w:footnoteReference w:id="1372"/>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الْمُؤْمِنُونَ وَ الْمُؤْمِنٰاتُ بَعْضُهُمْ أَوْلِيٰاءُ بَعْضٍ </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أنّ هذا هو المُرادُ</w:t>
      </w:r>
      <w:r>
        <w:rPr>
          <w:rStyle w:val="FootnoteAnchor"/>
          <w:rtl w:val="true"/>
        </w:rPr>
        <w:footnoteReference w:id="1374"/>
      </w:r>
      <w:r>
        <w:rPr>
          <w:rFonts w:ascii="Amiri" w:hAnsi="Amiri" w:eastAsia="Amiri" w:cs="Amiri"/>
          <w:color w:val="111111"/>
          <w:sz w:val="28"/>
          <w:sz w:val="28"/>
          <w:szCs w:val="28"/>
          <w:rtl w:val="true"/>
          <w:lang w:bidi="ar-SA"/>
        </w:rPr>
        <w:t xml:space="preserve">قولُه عليه السلامُ </w:t>
      </w:r>
      <w:r>
        <w:rPr>
          <w:rStyle w:val="FootnoteAnchor"/>
          <w:rtl w:val="true"/>
        </w:rPr>
        <w:footnoteReference w:id="13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لَم يَكُنِ المُرادُ بما تَقدَّمَ ما ذَكرناه لَم يَكُن هذا القولُ لائقاً به، و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أصبَحتَ مَولايَ و مَولىٰ كُلِّ مؤمنٍ و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هذا هو المُرادُ؛ لأنّه ما أرادَ إلّاهذا الوجهَ </w:t>
      </w:r>
      <w:r>
        <w:rPr>
          <w:rFonts w:eastAsia="Amiri" w:cs="Amiri" w:ascii="Amiri" w:hAnsi="Amiri"/>
          <w:color w:val="111111"/>
          <w:sz w:val="28"/>
          <w:szCs w:val="28"/>
          <w:rtl w:val="true"/>
          <w:lang w:bidi="ar-SA"/>
        </w:rPr>
        <w:t>.</w:t>
      </w:r>
      <w:r>
        <w:rPr>
          <w:rStyle w:val="FootnoteAnchor"/>
          <w:rtl w:val="true"/>
        </w:rPr>
        <w:footnoteReference w:id="1376"/>
      </w:r>
    </w:p>
    <w:p>
      <w:pPr>
        <w:pStyle w:val="Heading6"/>
        <w:numPr>
          <w:ilvl w:val="5"/>
          <w:numId w:val="1"/>
        </w:numPr>
        <w:rPr/>
      </w:pPr>
      <w:bookmarkStart w:id="284" w:name="__RefHeading___Toc964195_2320776876"/>
      <w:bookmarkStart w:id="285" w:name="_Toc101"/>
      <w:bookmarkEnd w:id="284"/>
      <w:r>
        <w:rPr>
          <w:rtl w:val="true"/>
        </w:rPr>
        <w:t xml:space="preserve">نفي دلالة </w:t>
      </w:r>
      <w:r>
        <w:rPr>
          <w:rtl w:val="true"/>
        </w:rPr>
        <w:t>«</w:t>
      </w:r>
      <w:r>
        <w:rPr>
          <w:rtl w:val="true"/>
        </w:rPr>
        <w:t xml:space="preserve">مولىٰ </w:t>
      </w:r>
      <w:r>
        <w:rPr>
          <w:rtl w:val="true"/>
        </w:rPr>
        <w:t xml:space="preserve">» </w:t>
      </w:r>
      <w:r>
        <w:rPr>
          <w:rtl w:val="true"/>
        </w:rPr>
        <w:t>علىٰ إيجاب الموالاة، مع القطع على الباطن، و في جميع الأوقات</w:t>
      </w:r>
      <w:bookmarkEnd w:id="28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الدَّلالةُ الأُولىٰ التي رَتَّبناها و بيّنّا كيفيّةَ الاستدلالِ بها</w:t>
      </w:r>
      <w:r>
        <w:rPr>
          <w:rStyle w:val="FootnoteAnchor"/>
          <w:rtl w:val="true"/>
        </w:rPr>
        <w:footnoteReference w:id="1377"/>
      </w:r>
      <w:r>
        <w:rPr>
          <w:rFonts w:ascii="Amiri" w:hAnsi="Amiri" w:eastAsia="Amiri" w:cs="Amiri"/>
          <w:color w:val="111111"/>
          <w:sz w:val="28"/>
          <w:sz w:val="28"/>
          <w:szCs w:val="28"/>
          <w:rtl w:val="true"/>
          <w:lang w:bidi="ar-SA"/>
        </w:rPr>
        <w:t xml:space="preserve">، فهي مُسقِطةٌ لكلامِك في هذا الفَصلِ‌، و مُزيلةٌ للاعتراضِ به؛ لأنّا قد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يُتمكَّنُ مِن دَفعِه</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مُوافِقاً للمُقدِّمةِ‌، و أنّه لا يَسوغُ حَملُه إلّاعلىٰ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r>
        <w:rPr>
          <w:rStyle w:val="FootnoteAnchor"/>
          <w:rtl w:val="true"/>
        </w:rPr>
        <w:footnoteReference w:id="1379"/>
      </w:r>
      <w:r>
        <w:rPr>
          <w:rFonts w:ascii="Amiri" w:hAnsi="Amiri" w:eastAsia="Amiri" w:cs="Amiri"/>
          <w:color w:val="111111"/>
          <w:sz w:val="28"/>
          <w:sz w:val="28"/>
          <w:szCs w:val="28"/>
          <w:rtl w:val="true"/>
          <w:lang w:bidi="ar-SA"/>
        </w:rPr>
        <w:t xml:space="preserve">صَحَّ أن يُرادَ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حَكَيتَه عن</w:t>
      </w:r>
      <w:r>
        <w:rPr>
          <w:rStyle w:val="FootnoteAnchor"/>
          <w:rtl w:val="true"/>
        </w:rPr>
        <w:footnoteReference w:id="1380"/>
      </w:r>
      <w:r>
        <w:rPr>
          <w:rFonts w:ascii="Amiri" w:hAnsi="Amiri" w:eastAsia="Amiri" w:cs="Amiri"/>
          <w:color w:val="111111"/>
          <w:sz w:val="28"/>
          <w:sz w:val="28"/>
          <w:szCs w:val="28"/>
          <w:rtl w:val="true"/>
          <w:lang w:bidi="ar-SA"/>
        </w:rPr>
        <w:t xml:space="preserve">شَيخَيكَ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 ذلكَ مِن بعضِ أقسامِها في اللُّغةِ‌، و لَيسَ بصحيحٍ في</w:t>
      </w:r>
      <w:r>
        <w:rPr>
          <w:rStyle w:val="FootnoteAnchor"/>
          <w:rtl w:val="true"/>
        </w:rPr>
        <w:footnoteReference w:id="1382"/>
      </w:r>
      <w:r>
        <w:rPr>
          <w:rFonts w:ascii="Amiri" w:hAnsi="Amiri" w:eastAsia="Amiri" w:cs="Amiri"/>
          <w:color w:val="111111"/>
          <w:sz w:val="28"/>
          <w:sz w:val="28"/>
          <w:szCs w:val="28"/>
          <w:rtl w:val="true"/>
          <w:lang w:bidi="ar-SA"/>
        </w:rPr>
        <w:t xml:space="preserve">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حُكمُ هذا المعنىٰ حُكمَ سائرِ المَعاني التي تَحتَمِلُها اللفظةُ‌، في وجوبِ صَرفِ المُرادِ عنها، و حَملِه</w:t>
      </w:r>
      <w:r>
        <w:rPr>
          <w:rStyle w:val="FootnoteAnchor"/>
          <w:rtl w:val="true"/>
        </w:rPr>
        <w:footnoteReference w:id="1383"/>
      </w:r>
      <w:r>
        <w:rPr>
          <w:rFonts w:ascii="Amiri" w:hAnsi="Amiri" w:eastAsia="Amiri" w:cs="Amiri"/>
          <w:color w:val="111111"/>
          <w:sz w:val="28"/>
          <w:sz w:val="28"/>
          <w:szCs w:val="28"/>
          <w:rtl w:val="true"/>
          <w:lang w:bidi="ar-SA"/>
        </w:rPr>
        <w:t>علىٰ ما تَضمَّنَته المُقدِّمةُ‌، علىٰ ما دَلَّلنا عليه؛ فلَم يَبقَ إلّاأن يُبيَّنَ أنّه</w:t>
      </w:r>
      <w:r>
        <w:rPr>
          <w:rStyle w:val="FootnoteAnchor"/>
          <w:rtl w:val="true"/>
        </w:rPr>
        <w:footnoteReference w:id="1384"/>
      </w:r>
      <w:r>
        <w:rPr>
          <w:rFonts w:ascii="Amiri" w:hAnsi="Amiri" w:eastAsia="Amiri" w:cs="Amiri"/>
          <w:color w:val="111111"/>
          <w:sz w:val="28"/>
          <w:sz w:val="28"/>
          <w:szCs w:val="28"/>
          <w:rtl w:val="true"/>
          <w:lang w:bidi="ar-SA"/>
        </w:rPr>
        <w:t>غيرُ قادحٍ أيضاً في دَلالةِ التقسيمِ‌</w:t>
      </w:r>
      <w:r>
        <w:rPr>
          <w:rFonts w:eastAsia="Amiri" w:cs="Amiri" w:ascii="Amiri" w:hAnsi="Amiri"/>
          <w:color w:val="111111"/>
          <w:sz w:val="28"/>
          <w:szCs w:val="28"/>
          <w:rtl w:val="true"/>
          <w:lang w:bidi="ar-SA"/>
        </w:rPr>
        <w:t>.</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و الذي يُبيِّنُه</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لا تَخلو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ادَّعَيتَه مِن</w:t>
      </w:r>
      <w:r>
        <w:rPr>
          <w:rStyle w:val="FootnoteAnchor"/>
          <w:rtl w:val="true"/>
        </w:rPr>
        <w:footnoteReference w:id="1387"/>
      </w:r>
      <w:r>
        <w:rPr>
          <w:rFonts w:ascii="Amiri" w:hAnsi="Amiri" w:eastAsia="Amiri" w:cs="Amiri"/>
          <w:color w:val="111111"/>
          <w:sz w:val="28"/>
          <w:sz w:val="28"/>
          <w:szCs w:val="28"/>
          <w:rtl w:val="true"/>
          <w:lang w:bidi="ar-SA"/>
        </w:rPr>
        <w:t xml:space="preserve">حَملِ الكلامِ علىٰ إيجابِ المُوالاةِ مع القَطعِ علَى الباطنِ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تُسنِدَه</w:t>
      </w:r>
      <w:r>
        <w:rPr>
          <w:rStyle w:val="FootnoteAnchor"/>
          <w:rtl w:val="true"/>
        </w:rPr>
        <w:footnoteReference w:id="1388"/>
      </w:r>
      <w:r>
        <w:rPr>
          <w:rFonts w:ascii="Amiri" w:hAnsi="Amiri" w:eastAsia="Amiri" w:cs="Amiri"/>
          <w:color w:val="111111"/>
          <w:sz w:val="28"/>
          <w:sz w:val="28"/>
          <w:szCs w:val="28"/>
          <w:rtl w:val="true"/>
          <w:lang w:bidi="ar-SA"/>
        </w:rPr>
        <w:t xml:space="preserve">إلىٰ ما تَقتَضيهِ </w:t>
      </w:r>
      <w:r>
        <w:rPr>
          <w:rStyle w:val="FootnoteAnchor"/>
          <w:rtl w:val="true"/>
        </w:rPr>
        <w:footnoteReference w:id="1389"/>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وضعُها في اللُّغةِ أو في عُرفِ الشريعةِ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إطلاقِ الكلامِ مِن غيرِ تقييدٍ بوقتٍ و تخصيصٍ بحالٍ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أنّ ما أوجَبَه عليه السلامُ يَجِبُ أن يَكونَ مِثلَ ما وَجَبَ له، و إذا كان الواجبُ له هو المُوالاةَ علىٰ هذا الوجهِ وَجَبَ مِثلُه فيما أوجَبَه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أرَدتَ الأوّلَ‌، فهو ظاهرُ</w:t>
      </w:r>
      <w:r>
        <w:rPr>
          <w:rStyle w:val="FootnoteAnchor"/>
          <w:rtl w:val="true"/>
        </w:rPr>
        <w:footnoteReference w:id="1390"/>
      </w:r>
      <w:r>
        <w:rPr>
          <w:rFonts w:ascii="Amiri" w:hAnsi="Amiri" w:eastAsia="Amiri" w:cs="Amiri"/>
          <w:color w:val="111111"/>
          <w:sz w:val="28"/>
          <w:sz w:val="28"/>
          <w:szCs w:val="28"/>
          <w:rtl w:val="true"/>
          <w:lang w:bidi="ar-SA"/>
        </w:rPr>
        <w:t xml:space="preserve">الفَسادِ؛ لأنّ مِن المعلومِ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تُفيدُ ذلكَ في اللُّغةِ و لا في الشريعةِ‌، و أنّها إنّما تُفيدُ في جُملةِ ما يَحتَمِلُه مِن الأقسامِ تَوَلّيَ النُّصرةِ و المَحبّةِ ، مِن غيرِ تَعلُّقٍ بالقَطعِ علَى الباطنِ ، أو عمومِ سائرِ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فائدتُها ما ادَّعَيتَه لَوَجَبَ أن لا يَكونَ في العالَمِ </w:t>
      </w:r>
      <w:r>
        <w:rPr>
          <w:rStyle w:val="FootnoteAnchor"/>
          <w:rtl w:val="true"/>
        </w:rPr>
        <w:footnoteReference w:id="1391"/>
      </w:r>
      <w:r>
        <w:rPr>
          <w:rFonts w:ascii="Amiri" w:hAnsi="Amiri" w:eastAsia="Amiri" w:cs="Amiri"/>
          <w:color w:val="111111"/>
          <w:sz w:val="28"/>
          <w:sz w:val="28"/>
          <w:szCs w:val="28"/>
          <w:rtl w:val="true"/>
          <w:lang w:bidi="ar-SA"/>
        </w:rPr>
        <w:t xml:space="preserve">أحَدٌ مُوالياً لغَيرِه </w:t>
      </w:r>
    </w:p>
    <w:p>
      <w:pPr>
        <w:pStyle w:val="BookText"/>
        <w:rPr/>
      </w:pPr>
      <w:r>
        <w:rPr>
          <w:rFonts w:ascii="Amiri" w:hAnsi="Amiri" w:eastAsia="Amiri" w:cs="Amiri"/>
          <w:color w:val="111111"/>
          <w:sz w:val="28"/>
          <w:sz w:val="28"/>
          <w:szCs w:val="28"/>
          <w:rtl w:val="true"/>
          <w:lang w:bidi="ar-SA"/>
        </w:rPr>
        <w:t>علَى الحقيقةِ إلّاأن يَكونَ ذلكَ الغَيرُ نبيّاً أو إماماً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عِلمِنا بإجراءِ هذه اللفظةِ حقيقةً في المؤمنِ و كُلِّ مَن تَوَلّىٰ نُصرةَ غيرِه و إن لَم يَكُن قاطعاً علىٰ باطنِه دَليلٌ علىٰ أنّ فائدتَها ما ذَكرناه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الثانيَ‌، فغَيرُ واجبٍ أن يُقطَعَ علىٰ عمومِ القولِ بجميعِ الأوقاتِ مِن حَيثُ لَم يُقيَّدْ بوقتٍ‌؛ لأنّه كما لَم يَكُن في اللفظِ تخصيصٌ بوقتٍ‌</w:t>
      </w:r>
      <w:r>
        <w:rPr>
          <w:rStyle w:val="FootnoteAnchor"/>
          <w:rtl w:val="true"/>
        </w:rPr>
        <w:footnoteReference w:id="1392"/>
      </w:r>
      <w:r>
        <w:rPr>
          <w:rFonts w:ascii="Amiri" w:hAnsi="Amiri" w:eastAsia="Amiri" w:cs="Amiri"/>
          <w:color w:val="111111"/>
          <w:sz w:val="28"/>
          <w:sz w:val="28"/>
          <w:szCs w:val="28"/>
          <w:rtl w:val="true"/>
          <w:lang w:bidi="ar-SA"/>
        </w:rPr>
        <w:t>بعَينِه، فكذلكَ لَيسَ فيه ذِكرٌ قد استَوعَبَ‌</w:t>
      </w:r>
      <w:r>
        <w:rPr>
          <w:rStyle w:val="FootnoteAnchor"/>
          <w:rtl w:val="true"/>
        </w:rPr>
        <w:footnoteReference w:id="1393"/>
      </w:r>
      <w:r>
        <w:rPr>
          <w:rFonts w:ascii="Amiri" w:hAnsi="Amiri" w:eastAsia="Amiri" w:cs="Amiri"/>
          <w:color w:val="111111"/>
          <w:sz w:val="28"/>
          <w:sz w:val="28"/>
          <w:szCs w:val="28"/>
          <w:rtl w:val="true"/>
          <w:lang w:bidi="ar-SA"/>
        </w:rPr>
        <w:t>الأوقاتَ‌؛ فادّعاءُ‌</w:t>
      </w:r>
      <w:r>
        <w:rPr>
          <w:rStyle w:val="FootnoteAnchor"/>
          <w:rtl w:val="true"/>
        </w:rPr>
        <w:footnoteReference w:id="1394"/>
      </w:r>
      <w:r>
        <w:rPr>
          <w:rFonts w:ascii="Amiri" w:hAnsi="Amiri" w:eastAsia="Amiri" w:cs="Amiri"/>
          <w:color w:val="111111"/>
          <w:sz w:val="28"/>
          <w:sz w:val="28"/>
          <w:szCs w:val="28"/>
          <w:rtl w:val="true"/>
          <w:lang w:bidi="ar-SA"/>
        </w:rPr>
        <w:t>أحَدِ الأمرَينِ لفَقدِ خِلافِه مِن اللفظِ كادّعاءِ الآخَرِ لمِثلِ‌</w:t>
      </w:r>
      <w:r>
        <w:rPr>
          <w:rStyle w:val="FootnoteAnchor"/>
          <w:rtl w:val="true"/>
        </w:rPr>
        <w:footnoteReference w:id="1395"/>
      </w:r>
      <w:r>
        <w:rPr>
          <w:rFonts w:ascii="Amiri" w:hAnsi="Amiri" w:eastAsia="Amiri" w:cs="Amiri"/>
          <w:color w:val="111111"/>
          <w:sz w:val="28"/>
          <w:sz w:val="28"/>
          <w:szCs w:val="28"/>
          <w:rtl w:val="true"/>
          <w:lang w:bidi="ar-SA"/>
        </w:rPr>
        <w:t>هذه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فيما مضىٰ مِن الكتابِ أنّ حَملَ الكلامِ علىٰ سائرِ الأوقاتِ و الحَملَ‌</w:t>
      </w:r>
      <w:r>
        <w:rPr>
          <w:rStyle w:val="FootnoteAnchor"/>
          <w:rtl w:val="true"/>
        </w:rPr>
        <w:footnoteReference w:id="1396"/>
      </w:r>
      <w:r>
        <w:rPr>
          <w:rFonts w:ascii="Amiri" w:hAnsi="Amiri" w:eastAsia="Amiri" w:cs="Amiri"/>
          <w:color w:val="111111"/>
          <w:sz w:val="28"/>
          <w:sz w:val="28"/>
          <w:szCs w:val="28"/>
          <w:rtl w:val="true"/>
          <w:lang w:bidi="ar-SA"/>
        </w:rPr>
        <w:t>علىٰ سائرِ مُحتَمَلاتِه لفَقدِ ما يَقتَضي التخصيصَ غيرُ صحيحٍ‌</w:t>
      </w:r>
      <w:r>
        <w:rPr>
          <w:rFonts w:eastAsia="Amiri" w:cs="Amiri" w:ascii="Amiri" w:hAnsi="Amiri"/>
          <w:color w:val="111111"/>
          <w:sz w:val="28"/>
          <w:szCs w:val="28"/>
          <w:rtl w:val="true"/>
          <w:lang w:bidi="ar-SA"/>
        </w:rPr>
        <w:t>.</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يُخصِّصْ بعضاً دونَ بعضٍ مِن الأوقاتِ‌</w:t>
      </w:r>
      <w:r>
        <w:rPr>
          <w:rStyle w:val="FootnoteAnchor"/>
          <w:rtl w:val="true"/>
        </w:rPr>
        <w:footnoteReference w:id="1398"/>
      </w:r>
      <w:r>
        <w:rPr>
          <w:rFonts w:ascii="Amiri" w:hAnsi="Amiri" w:eastAsia="Amiri" w:cs="Amiri"/>
          <w:color w:val="111111"/>
          <w:sz w:val="28"/>
          <w:sz w:val="28"/>
          <w:szCs w:val="28"/>
          <w:rtl w:val="true"/>
          <w:lang w:bidi="ar-SA"/>
        </w:rPr>
        <w:t>، كما لا تخصيصَ في ظاهرِ خبرِ الغَديرِ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يَقُلْ أحَدٌ أنّه تَعالىٰ أوجَبَ بالآيةِ مُوالاةَ المؤمنينَ علَى الباطنِ و الظاهرِ و في كُلِّ حالٍ ، بَل الذي قالَه جميعُ المُسلِمينَ أنّه تَعالىٰ أوجَبَ بالآيةِ مُوالاةَ المؤمنينَ </w:t>
      </w:r>
      <w:r>
        <w:rPr>
          <w:rStyle w:val="FootnoteAnchor"/>
          <w:rtl w:val="true"/>
        </w:rPr>
        <w:footnoteReference w:id="1399"/>
      </w:r>
      <w:r>
        <w:rPr>
          <w:rFonts w:ascii="Amiri" w:hAnsi="Amiri" w:eastAsia="Amiri" w:cs="Amiri"/>
          <w:color w:val="111111"/>
          <w:sz w:val="28"/>
          <w:sz w:val="28"/>
          <w:szCs w:val="28"/>
          <w:rtl w:val="true"/>
          <w:lang w:bidi="ar-SA"/>
        </w:rPr>
        <w:t xml:space="preserve">علَى الظاهرِ دونَ الباطنِ ، و في الأحوالِ التي يَظهَرُ منهم فيها الإيمانُ ، </w:t>
      </w:r>
    </w:p>
    <w:p>
      <w:pPr>
        <w:pStyle w:val="BookText"/>
        <w:rPr/>
      </w:pPr>
      <w:r>
        <w:rPr>
          <w:rFonts w:ascii="Amiri" w:hAnsi="Amiri" w:eastAsia="Amiri" w:cs="Amiri"/>
          <w:color w:val="111111"/>
          <w:sz w:val="28"/>
          <w:sz w:val="28"/>
          <w:szCs w:val="28"/>
          <w:rtl w:val="true"/>
          <w:lang w:bidi="ar-SA"/>
        </w:rPr>
        <w:t xml:space="preserve">و ما يَقتَضي المُوالاةَ ؛ فلا يُنكَرُ أن يَكونَ ما أوجَبَ مِن الموالاةِ في خبرِ الغَديرِ جارياً هذا المَجرىٰ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حَمَلنا ما أوجَبَ مِن الموالاةِ في الخبرِ علَى الظاهرِ دونَ الباطنِ لَم نَجعَلْه مُفيداً</w:t>
      </w:r>
      <w:r>
        <w:rPr>
          <w:rStyle w:val="FootnoteAnchor"/>
          <w:rtl w:val="true"/>
        </w:rPr>
        <w:footnoteReference w:id="1400"/>
      </w:r>
      <w:r>
        <w:rPr>
          <w:rFonts w:ascii="Amiri" w:hAnsi="Amiri" w:eastAsia="Amiri" w:cs="Amiri"/>
          <w:color w:val="111111"/>
          <w:sz w:val="28"/>
          <w:sz w:val="28"/>
          <w:szCs w:val="28"/>
          <w:rtl w:val="true"/>
          <w:lang w:bidi="ar-SA"/>
        </w:rPr>
        <w:t xml:space="preserve">لأنّ وجوبَ هذه الموالاةِ لجميعِ المؤمنينَ معلومٌ قَبلَ الخبرِ، فيَجِبُ أن يَكونَ المُرادُ ما ذَكرناه مِن الموالاةِ المخصوصةِ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ذَكره يوجِبُ العُدولَ عن حَملِه علَى الموالاةِ جُملةً‌؛ لأنّه 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يَقتَرِحَ إضافتَه إلَى الموالاةِ المُطلَقةِ التي يَحتَمِلُها</w:t>
      </w:r>
      <w:r>
        <w:rPr>
          <w:rStyle w:val="FootnoteAnchor"/>
          <w:rtl w:val="true"/>
        </w:rPr>
        <w:footnoteReference w:id="1401"/>
      </w:r>
      <w:r>
        <w:rPr>
          <w:rFonts w:ascii="Amiri" w:hAnsi="Amiri" w:eastAsia="Amiri" w:cs="Amiri"/>
          <w:color w:val="111111"/>
          <w:sz w:val="28"/>
          <w:sz w:val="28"/>
          <w:szCs w:val="28"/>
          <w:rtl w:val="true"/>
          <w:lang w:bidi="ar-SA"/>
        </w:rPr>
        <w:t>اللفظُ و زيادةٍ فيها ليَجعَلَ‌</w:t>
      </w:r>
      <w:r>
        <w:rPr>
          <w:rStyle w:val="FootnoteAnchor"/>
          <w:rtl w:val="true"/>
        </w:rPr>
        <w:footnoteReference w:id="1402"/>
      </w:r>
      <w:r>
        <w:rPr>
          <w:rFonts w:ascii="Amiri" w:hAnsi="Amiri" w:eastAsia="Amiri" w:cs="Amiri"/>
          <w:color w:val="111111"/>
          <w:sz w:val="28"/>
          <w:sz w:val="28"/>
          <w:szCs w:val="28"/>
          <w:rtl w:val="true"/>
          <w:lang w:bidi="ar-SA"/>
        </w:rPr>
        <w:t xml:space="preserve">للخبرِ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ممّن أضافَ إلَى الموالاةِ‌</w:t>
      </w:r>
      <w:r>
        <w:rPr>
          <w:rStyle w:val="FootnoteAnchor"/>
          <w:rtl w:val="true"/>
        </w:rPr>
        <w:footnoteReference w:id="1403"/>
      </w:r>
      <w:r>
        <w:rPr>
          <w:rFonts w:ascii="Amiri" w:hAnsi="Amiri" w:eastAsia="Amiri" w:cs="Amiri"/>
          <w:color w:val="111111"/>
          <w:sz w:val="28"/>
          <w:sz w:val="28"/>
          <w:szCs w:val="28"/>
          <w:rtl w:val="true"/>
          <w:lang w:bidi="ar-SA"/>
        </w:rPr>
        <w:t>ما نَذهَبُ‌</w:t>
      </w:r>
      <w:r>
        <w:rPr>
          <w:rStyle w:val="FootnoteAnchor"/>
          <w:rtl w:val="true"/>
        </w:rPr>
        <w:footnoteReference w:id="1404"/>
      </w:r>
      <w:r>
        <w:rPr>
          <w:rFonts w:ascii="Amiri" w:hAnsi="Amiri" w:eastAsia="Amiri" w:cs="Amiri"/>
          <w:color w:val="111111"/>
          <w:sz w:val="28"/>
          <w:sz w:val="28"/>
          <w:szCs w:val="28"/>
          <w:rtl w:val="true"/>
          <w:lang w:bidi="ar-SA"/>
        </w:rPr>
        <w:t>إليه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إيجابِ فرضِ الطاعةِ‌،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إنّما أرادَ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يُواليني مُوالاةَ مَن تَجِبُ‌</w:t>
      </w:r>
      <w:r>
        <w:rPr>
          <w:rStyle w:val="FootnoteAnchor"/>
          <w:rtl w:val="true"/>
        </w:rPr>
        <w:footnoteReference w:id="1405"/>
      </w:r>
      <w:r>
        <w:rPr>
          <w:rFonts w:ascii="Amiri" w:hAnsi="Amiri" w:eastAsia="Amiri" w:cs="Amiri"/>
          <w:color w:val="111111"/>
          <w:sz w:val="28"/>
          <w:sz w:val="28"/>
          <w:szCs w:val="28"/>
          <w:rtl w:val="true"/>
          <w:lang w:bidi="ar-SA"/>
        </w:rPr>
        <w:t xml:space="preserve">طاعتُه و التدبُّرُ بتدبيرِه فليُوالِ عليّاً علىٰ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اعتَلَّ في تَمحُّلِه</w:t>
      </w:r>
      <w:r>
        <w:rPr>
          <w:rStyle w:val="FootnoteAnchor"/>
          <w:rtl w:val="true"/>
        </w:rPr>
        <w:footnoteReference w:id="1406"/>
      </w:r>
      <w:r>
        <w:rPr>
          <w:rFonts w:ascii="Amiri" w:hAnsi="Amiri" w:eastAsia="Amiri" w:cs="Amiri"/>
          <w:color w:val="111111"/>
          <w:sz w:val="28"/>
          <w:sz w:val="28"/>
          <w:szCs w:val="28"/>
          <w:rtl w:val="true"/>
          <w:lang w:bidi="ar-SA"/>
        </w:rPr>
        <w:t>مِن</w:t>
      </w:r>
      <w:r>
        <w:rPr>
          <w:rStyle w:val="FootnoteAnchor"/>
          <w:rtl w:val="true"/>
        </w:rPr>
        <w:footnoteReference w:id="1407"/>
      </w:r>
      <w:r>
        <w:rPr>
          <w:rFonts w:ascii="Amiri" w:hAnsi="Amiri" w:eastAsia="Amiri" w:cs="Amiri"/>
          <w:color w:val="111111"/>
          <w:sz w:val="28"/>
          <w:sz w:val="28"/>
          <w:szCs w:val="28"/>
          <w:rtl w:val="true"/>
          <w:lang w:bidi="ar-SA"/>
        </w:rPr>
        <w:t xml:space="preserve">الزيادةِ أيضاً طَلَبَ </w:t>
      </w:r>
      <w:r>
        <w:rPr>
          <w:rStyle w:val="FootnoteAnchor"/>
          <w:rtl w:val="true"/>
        </w:rPr>
        <w:footnoteReference w:id="1408"/>
      </w:r>
      <w:r>
        <w:rPr>
          <w:rFonts w:ascii="Amiri" w:hAnsi="Amiri" w:eastAsia="Amiri" w:cs="Amiri"/>
          <w:color w:val="111111"/>
          <w:sz w:val="28"/>
          <w:sz w:val="28"/>
          <w:szCs w:val="28"/>
          <w:rtl w:val="true"/>
          <w:lang w:bidi="ar-SA"/>
        </w:rPr>
        <w:t xml:space="preserve">الفائدةِ للخبرِ، و إذا عادَلَ </w:t>
      </w:r>
      <w:r>
        <w:rPr>
          <w:rStyle w:val="FootnoteAnchor"/>
          <w:rtl w:val="true"/>
        </w:rPr>
        <w:footnoteReference w:id="1409"/>
      </w:r>
      <w:r>
        <w:rPr>
          <w:rFonts w:ascii="Amiri" w:hAnsi="Amiri" w:eastAsia="Amiri" w:cs="Amiri"/>
          <w:color w:val="111111"/>
          <w:sz w:val="28"/>
          <w:sz w:val="28"/>
          <w:szCs w:val="28"/>
          <w:rtl w:val="true"/>
          <w:lang w:bidi="ar-SA"/>
        </w:rPr>
        <w:t>دعوىٰ مَن ادَّعَى الموالاةَ المخصوصةَ غيرَها وَجَبَ اطِّراحُها و الرجوعُ إلىٰ ما يَقتَضيه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عَلِمنا أنّ حَملَه علَى الموالاةِ المُطلَقةِ الحاصلةِ بَينَ جميعِ المؤمنينَ </w:t>
      </w:r>
    </w:p>
    <w:p>
      <w:pPr>
        <w:pStyle w:val="BookText"/>
        <w:rPr/>
      </w:pPr>
      <w:r>
        <w:rPr>
          <w:rFonts w:ascii="Amiri" w:hAnsi="Amiri" w:eastAsia="Amiri" w:cs="Amiri"/>
          <w:color w:val="111111"/>
          <w:sz w:val="28"/>
          <w:sz w:val="28"/>
          <w:szCs w:val="28"/>
          <w:rtl w:val="true"/>
          <w:lang w:bidi="ar-SA"/>
        </w:rPr>
        <w:t>يُسقِطُ الفائدةَ ، وَجَبَ أن يَكونَ المُرادُ ما ذَهَبنا إليه مِن كَونِه أَولىٰ بتدبيرِهم و أمرِهم و نهيِهم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القِسمَ الثالثَ‌، قُلنا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 أنّه عليه السلامُ إذا كانَ ممّن يَجِبُ‌</w:t>
      </w:r>
      <w:r>
        <w:rPr>
          <w:rStyle w:val="FootnoteAnchor"/>
          <w:rtl w:val="true"/>
        </w:rPr>
        <w:footnoteReference w:id="1410"/>
      </w:r>
      <w:r>
        <w:rPr>
          <w:rFonts w:ascii="Amiri" w:hAnsi="Amiri" w:eastAsia="Amiri" w:cs="Amiri"/>
          <w:color w:val="111111"/>
          <w:sz w:val="28"/>
          <w:sz w:val="28"/>
          <w:szCs w:val="28"/>
          <w:rtl w:val="true"/>
          <w:lang w:bidi="ar-SA"/>
        </w:rPr>
        <w:t>له الموالاةُ علَى الظاهرِ و الباطنِ و في كُلِّ حالٍ‌، فلا بُدَّ</w:t>
      </w:r>
      <w:r>
        <w:rPr>
          <w:rStyle w:val="FootnoteAnchor"/>
          <w:rtl w:val="true"/>
        </w:rPr>
        <w:footnoteReference w:id="1411"/>
      </w:r>
      <w:r>
        <w:rPr>
          <w:rFonts w:ascii="Amiri" w:hAnsi="Amiri" w:eastAsia="Amiri" w:cs="Amiri"/>
          <w:color w:val="111111"/>
          <w:sz w:val="28"/>
          <w:sz w:val="28"/>
          <w:szCs w:val="28"/>
          <w:rtl w:val="true"/>
          <w:lang w:bidi="ar-SA"/>
        </w:rPr>
        <w:t>أن يَكونَ ما أوجَبَه في الخبرِ مُماثِلاً للواجبِ له‌؟ أَ وَ لَستم تَمنَعونَنا</w:t>
      </w:r>
      <w:r>
        <w:rPr>
          <w:rStyle w:val="FootnoteAnchor"/>
          <w:rtl w:val="true"/>
        </w:rPr>
        <w:footnoteReference w:id="1412"/>
      </w:r>
      <w:r>
        <w:rPr>
          <w:rFonts w:ascii="Amiri" w:hAnsi="Amiri" w:eastAsia="Amiri" w:cs="Amiri"/>
          <w:color w:val="111111"/>
          <w:sz w:val="28"/>
          <w:sz w:val="28"/>
          <w:szCs w:val="28"/>
          <w:rtl w:val="true"/>
          <w:lang w:bidi="ar-SA"/>
        </w:rPr>
        <w:t xml:space="preserve">ممّا هو آكَدُ مِن استدلالِكم هذا إذا أوجَبنا حَملَ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تَقتَضيهِ‌</w:t>
      </w:r>
      <w:r>
        <w:rPr>
          <w:rStyle w:val="FootnoteAnchor"/>
          <w:rtl w:val="true"/>
        </w:rPr>
        <w:footnoteReference w:id="1413"/>
      </w:r>
      <w:r>
        <w:rPr>
          <w:rFonts w:ascii="Amiri" w:hAnsi="Amiri" w:eastAsia="Amiri" w:cs="Amiri"/>
          <w:color w:val="111111"/>
          <w:sz w:val="28"/>
          <w:sz w:val="28"/>
          <w:szCs w:val="28"/>
          <w:rtl w:val="true"/>
          <w:lang w:bidi="ar-SA"/>
        </w:rPr>
        <w:t>المُقدِّمَةُ‌، و أحَلنا أن يُعدَلَ‌</w:t>
      </w:r>
      <w:r>
        <w:rPr>
          <w:rStyle w:val="FootnoteAnchor"/>
          <w:rtl w:val="true"/>
        </w:rPr>
        <w:footnoteReference w:id="1414"/>
      </w:r>
      <w:r>
        <w:rPr>
          <w:rFonts w:ascii="Amiri" w:hAnsi="Amiri" w:eastAsia="Amiri" w:cs="Amiri"/>
          <w:color w:val="111111"/>
          <w:sz w:val="28"/>
          <w:sz w:val="28"/>
          <w:szCs w:val="28"/>
          <w:rtl w:val="true"/>
          <w:lang w:bidi="ar-SA"/>
        </w:rPr>
        <w:t>بها عن المعنَى الأوّلِ‌، و تَدَّعونَ أنّ الذي أوجَبناه غيرُ واجبٍ‌، و أنّ النبيَّ صَلّى اللّٰهُ عليه و آلِه لَو صَرَّحَ بخِلافِه حتّىٰ يَقولَ بَعدَ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وَجَبَت</w:t>
      </w:r>
      <w:r>
        <w:rPr>
          <w:rStyle w:val="FootnoteAnchor"/>
          <w:rtl w:val="true"/>
        </w:rPr>
        <w:footnoteReference w:id="1415"/>
      </w:r>
      <w:r>
        <w:rPr>
          <w:rFonts w:ascii="Amiri" w:hAnsi="Amiri" w:eastAsia="Amiri" w:cs="Amiri"/>
          <w:color w:val="111111"/>
          <w:sz w:val="28"/>
          <w:sz w:val="28"/>
          <w:szCs w:val="28"/>
          <w:rtl w:val="true"/>
          <w:lang w:bidi="ar-SA"/>
        </w:rPr>
        <w:t>عليه مُوالاتي فليُوالِ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أَولىٰ به مِن نفسِه فليَفعَلْ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يَرجِعُ إلَى</w:t>
      </w:r>
      <w:r>
        <w:rPr>
          <w:rStyle w:val="FootnoteAnchor"/>
          <w:rtl w:val="true"/>
        </w:rPr>
        <w:footnoteReference w:id="1416"/>
      </w:r>
      <w:r>
        <w:rPr>
          <w:rFonts w:ascii="Amiri" w:hAnsi="Amiri" w:eastAsia="Amiri" w:cs="Amiri"/>
          <w:color w:val="111111"/>
          <w:sz w:val="28"/>
          <w:sz w:val="28"/>
          <w:szCs w:val="28"/>
          <w:rtl w:val="true"/>
          <w:lang w:bidi="ar-SA"/>
        </w:rPr>
        <w:t>المُقدِّمةِ لَحَسُنَ و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فألّا التَزَمتم مِثلَ ذلكَ في تأويلِكم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نَعلَمُ أنّه عليه السلامُ </w:t>
      </w:r>
      <w:r>
        <w:rPr>
          <w:rStyle w:val="FootnoteAnchor"/>
          <w:rtl w:val="true"/>
        </w:rPr>
        <w:footnoteReference w:id="1417"/>
      </w:r>
      <w:r>
        <w:rPr>
          <w:rFonts w:ascii="Amiri" w:hAnsi="Amiri" w:eastAsia="Amiri" w:cs="Amiri"/>
          <w:color w:val="111111"/>
          <w:sz w:val="28"/>
          <w:sz w:val="28"/>
          <w:szCs w:val="28"/>
          <w:rtl w:val="true"/>
          <w:lang w:bidi="ar-SA"/>
        </w:rPr>
        <w:t xml:space="preserve">لَو صَرَّحَ بخِلافِ ما ذَكرتموه حتّىٰ يَقولَ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لَزِمَته</w:t>
      </w:r>
      <w:r>
        <w:rPr>
          <w:rStyle w:val="FootnoteAnchor"/>
          <w:rtl w:val="true"/>
        </w:rPr>
        <w:footnoteReference w:id="1418"/>
      </w:r>
      <w:r>
        <w:rPr>
          <w:rFonts w:ascii="Amiri" w:hAnsi="Amiri" w:eastAsia="Amiri" w:cs="Amiri"/>
          <w:color w:val="111111"/>
          <w:sz w:val="28"/>
          <w:sz w:val="28"/>
          <w:szCs w:val="28"/>
          <w:rtl w:val="true"/>
          <w:lang w:bidi="ar-SA"/>
        </w:rPr>
        <w:t>مُوالاتي علَى الباطنِ و الظاهرِ فليُوالِ عليّاً في حَياتي، أو ما دامَ مُتمسِّكاً بما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جائزاً حَسَناً بَطَلَ أن يَكونَ الخبرُ </w:t>
      </w:r>
    </w:p>
    <w:p>
      <w:pPr>
        <w:pStyle w:val="BookText"/>
        <w:rPr/>
      </w:pPr>
      <w:r>
        <w:rPr>
          <w:rFonts w:ascii="Amiri" w:hAnsi="Amiri" w:eastAsia="Amiri" w:cs="Amiri"/>
          <w:color w:val="111111"/>
          <w:sz w:val="28"/>
          <w:sz w:val="28"/>
          <w:szCs w:val="28"/>
          <w:rtl w:val="true"/>
          <w:lang w:bidi="ar-SA"/>
        </w:rPr>
        <w:t>مُقتَضياً لمُماثَلةِ ما أوجَبَه مِن الموالاةِ لِما</w:t>
      </w:r>
      <w:r>
        <w:rPr>
          <w:rStyle w:val="FootnoteAnchor"/>
          <w:rtl w:val="true"/>
        </w:rPr>
        <w:footnoteReference w:id="1419"/>
      </w:r>
      <w:r>
        <w:rPr>
          <w:rFonts w:ascii="Amiri" w:hAnsi="Amiri" w:eastAsia="Amiri" w:cs="Amiri"/>
          <w:color w:val="111111"/>
          <w:sz w:val="28"/>
          <w:sz w:val="28"/>
          <w:szCs w:val="28"/>
          <w:rtl w:val="true"/>
          <w:lang w:bidi="ar-SA"/>
        </w:rPr>
        <w:t>وَجَبَ له منها</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أن تَجمَعوا</w:t>
      </w:r>
      <w:r>
        <w:rPr>
          <w:rStyle w:val="FootnoteAnchor"/>
          <w:rtl w:val="true"/>
        </w:rPr>
        <w:footnoteReference w:id="1421"/>
      </w:r>
      <w:r>
        <w:rPr>
          <w:rFonts w:ascii="Amiri" w:hAnsi="Amiri" w:eastAsia="Amiri" w:cs="Amiri"/>
          <w:color w:val="111111"/>
          <w:sz w:val="28"/>
          <w:sz w:val="28"/>
          <w:szCs w:val="28"/>
          <w:rtl w:val="true"/>
          <w:lang w:bidi="ar-SA"/>
        </w:rPr>
        <w:t xml:space="preserve">بَينَ الطعنِ علىٰ ما ادَّعَيناه مِن إيجابِ النبيِّ صَلّى اللّٰهُ عليه و آلِه في الخبرِ مِن الموالاةِ مِثلَ ما وَجَبَ له، و بَينَ القَطعِ علىٰ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Style w:val="FootnoteAnchor"/>
          <w:rtl w:val="true"/>
        </w:rPr>
        <w:footnoteReference w:id="1422"/>
      </w:r>
      <w:r>
        <w:rPr>
          <w:rFonts w:ascii="Amiri" w:hAnsi="Amiri" w:eastAsia="Amiri" w:cs="Amiri"/>
          <w:color w:val="111111"/>
          <w:sz w:val="28"/>
          <w:sz w:val="28"/>
          <w:szCs w:val="28"/>
          <w:rtl w:val="true"/>
          <w:lang w:bidi="ar-SA"/>
        </w:rPr>
        <w:t>مُطابَقتُها لِما قَرَّرَه</w:t>
      </w:r>
      <w:r>
        <w:rPr>
          <w:rStyle w:val="FootnoteAnchor"/>
          <w:rtl w:val="true"/>
        </w:rPr>
        <w:footnoteReference w:id="1423"/>
      </w:r>
      <w:r>
        <w:rPr>
          <w:rFonts w:ascii="Amiri" w:hAnsi="Amiri" w:eastAsia="Amiri" w:cs="Amiri"/>
          <w:color w:val="111111"/>
          <w:sz w:val="28"/>
          <w:sz w:val="28"/>
          <w:szCs w:val="28"/>
          <w:rtl w:val="true"/>
          <w:lang w:bidi="ar-SA"/>
        </w:rPr>
        <w:t>الرسولُ صَلّى اللّٰهُ عليه و آلِه لنفسِه في المُقدِّمةِ ، مِن وجوبِ الطاعةِ و عمومِها في سائرِ الأُمورِ و جميعِ الخَلقِ ، و الطريقُ إلىٰ تصحيحِ أحَدِ الأمرَينِ طريقٌ إلىٰ تصحيحِ الآخَرِ؟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نوجِبْ مُطابَقةَ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لمعنَى المُقدِّمةِ في الوجوهِ المذكورةِ مِن حَيثُ يَجِبُ أن يَكونَ ما أوجَبَه عليه السلامُ‌</w:t>
      </w:r>
      <w:r>
        <w:rPr>
          <w:rStyle w:val="FootnoteAnchor"/>
          <w:rtl w:val="true"/>
        </w:rPr>
        <w:footnoteReference w:id="1424"/>
      </w:r>
      <w:r>
        <w:rPr>
          <w:rFonts w:ascii="Amiri" w:hAnsi="Amiri" w:eastAsia="Amiri" w:cs="Amiri"/>
          <w:color w:val="111111"/>
          <w:sz w:val="28"/>
          <w:sz w:val="28"/>
          <w:szCs w:val="28"/>
          <w:rtl w:val="true"/>
          <w:lang w:bidi="ar-SA"/>
        </w:rPr>
        <w:t>مُطابِقاً لِما أوجِبَ‌</w:t>
      </w:r>
      <w:r>
        <w:rPr>
          <w:rStyle w:val="FootnoteAnchor"/>
          <w:rtl w:val="true"/>
        </w:rPr>
        <w:footnoteReference w:id="1425"/>
      </w:r>
      <w:r>
        <w:rPr>
          <w:rFonts w:ascii="Amiri" w:hAnsi="Amiri" w:eastAsia="Amiri" w:cs="Amiri"/>
          <w:color w:val="111111"/>
          <w:sz w:val="28"/>
          <w:sz w:val="28"/>
          <w:szCs w:val="28"/>
          <w:rtl w:val="true"/>
          <w:lang w:bidi="ar-SA"/>
        </w:rPr>
        <w:t>له، علىٰ ما ظَنَّه مُخالِفونا و تَعلَّقوا به في تأويلِ الخبرِ علَى الموالاةِ باطناً و ظاهراً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أوجَبنا ذلكَ مِن حَيثُ صَرَّحَ النبيُّ صَلّى اللّٰهُ عليه و آلِه في المُقدِّمة بتقريرِهم بما يَجِبُ له مِن فرضِ الطاعةِ بِلا خِلافٍ ، ثُمَّ عَطَفَ علَى الكلامِ بلفظٍ مُحتَمِلٍ له، فجرىٰ </w:t>
      </w:r>
      <w:r>
        <w:rPr>
          <w:rStyle w:val="FootnoteAnchor"/>
          <w:rtl w:val="true"/>
        </w:rPr>
        <w:footnoteReference w:id="1426"/>
      </w:r>
      <w:r>
        <w:rPr>
          <w:rFonts w:ascii="Amiri" w:hAnsi="Amiri" w:eastAsia="Amiri" w:cs="Amiri"/>
          <w:color w:val="111111"/>
          <w:sz w:val="28"/>
          <w:sz w:val="28"/>
          <w:szCs w:val="28"/>
          <w:rtl w:val="true"/>
          <w:lang w:bidi="ar-SA"/>
        </w:rPr>
        <w:t xml:space="preserve">مَجرَى المثالِ الذي أورَدناه في الشِّركةِ </w:t>
      </w:r>
      <w:r>
        <w:rPr>
          <w:rStyle w:val="FootnoteAnchor"/>
          <w:rtl w:val="true"/>
        </w:rPr>
        <w:footnoteReference w:id="1427"/>
      </w:r>
      <w:r>
        <w:rPr>
          <w:rFonts w:ascii="Amiri" w:hAnsi="Amiri" w:eastAsia="Amiri" w:cs="Amiri"/>
          <w:color w:val="111111"/>
          <w:sz w:val="28"/>
          <w:sz w:val="28"/>
          <w:szCs w:val="28"/>
          <w:rtl w:val="true"/>
          <w:lang w:bidi="ar-SA"/>
        </w:rPr>
        <w:t xml:space="preserve">، و أنّ مَن قَدَّمَ ذِكرَ شِركةٍ </w:t>
      </w:r>
    </w:p>
    <w:p>
      <w:pPr>
        <w:pStyle w:val="BookText"/>
        <w:rPr/>
      </w:pPr>
      <w:r>
        <w:rPr>
          <w:rFonts w:ascii="Amiri" w:hAnsi="Amiri" w:eastAsia="Amiri" w:cs="Amiri"/>
          <w:color w:val="111111"/>
          <w:sz w:val="28"/>
          <w:sz w:val="28"/>
          <w:szCs w:val="28"/>
          <w:rtl w:val="true"/>
          <w:lang w:bidi="ar-SA"/>
        </w:rPr>
        <w:t>مخصوصةٍ‌، و عَطَفَ عليها بمُحتَمِلٍ‌</w:t>
      </w:r>
      <w:r>
        <w:rPr>
          <w:rStyle w:val="FootnoteAnchor"/>
          <w:rtl w:val="true"/>
        </w:rPr>
        <w:footnoteReference w:id="1428"/>
      </w:r>
      <w:r>
        <w:rPr>
          <w:rFonts w:ascii="Amiri" w:hAnsi="Amiri" w:eastAsia="Amiri" w:cs="Amiri"/>
          <w:color w:val="111111"/>
          <w:sz w:val="28"/>
          <w:sz w:val="28"/>
          <w:szCs w:val="28"/>
          <w:rtl w:val="true"/>
          <w:lang w:bidi="ar-SA"/>
        </w:rPr>
        <w:t>لها، كانَ ظاهرُ كلامِه</w:t>
      </w:r>
      <w:r>
        <w:rPr>
          <w:rStyle w:val="FootnoteAnchor"/>
          <w:rtl w:val="true"/>
        </w:rPr>
        <w:footnoteReference w:id="1429"/>
      </w:r>
      <w:r>
        <w:rPr>
          <w:rFonts w:ascii="Amiri" w:hAnsi="Amiri" w:eastAsia="Amiri" w:cs="Amiri"/>
          <w:color w:val="111111"/>
          <w:sz w:val="28"/>
          <w:sz w:val="28"/>
          <w:szCs w:val="28"/>
          <w:rtl w:val="true"/>
          <w:lang w:bidi="ar-SA"/>
        </w:rPr>
        <w:t>يُفيدُ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جَرىٰ ما يُؤوِّلُه مُخالِفونا مَجرىٰ أن يَقولَ القائلُ مِن غيرِ تَقدُّمِ‌</w:t>
      </w:r>
      <w:r>
        <w:rPr>
          <w:rStyle w:val="FootnoteAnchor"/>
          <w:rtl w:val="true"/>
        </w:rPr>
        <w:footnoteReference w:id="1430"/>
      </w:r>
      <w:r>
        <w:rPr>
          <w:rFonts w:ascii="Amiri" w:hAnsi="Amiri" w:eastAsia="Amiri" w:cs="Amiri"/>
          <w:color w:val="111111"/>
          <w:sz w:val="28"/>
          <w:sz w:val="28"/>
          <w:szCs w:val="28"/>
          <w:rtl w:val="true"/>
          <w:lang w:bidi="ar-SA"/>
        </w:rPr>
        <w:t>مُقدِّمةٍ تَتضمَّنُ ذِكرَ شِركةٍ مخصوصةٍ‌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شَريكَه ففُلانٌ شَريكُه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أنّ ظاهرَ هذا القولِ لا يُفيدُ إيجابَه شِركةَ فُلانٍ في كُلِّ ما كانَ شَريكاً فيه لغَيرِه</w:t>
      </w:r>
      <w:r>
        <w:rPr>
          <w:rStyle w:val="FootnoteAnchor"/>
          <w:rtl w:val="true"/>
        </w:rPr>
        <w:footnoteReference w:id="1431"/>
      </w:r>
      <w:r>
        <w:rPr>
          <w:rFonts w:ascii="Amiri" w:hAnsi="Amiri" w:eastAsia="Amiri" w:cs="Amiri"/>
          <w:color w:val="111111"/>
          <w:sz w:val="28"/>
          <w:sz w:val="28"/>
          <w:szCs w:val="28"/>
          <w:rtl w:val="true"/>
          <w:lang w:bidi="ar-SA"/>
        </w:rPr>
        <w:t>و علىٰ وجهِه، و لَم يَمنَعْ‌</w:t>
      </w:r>
      <w:r>
        <w:rPr>
          <w:rStyle w:val="FootnoteAnchor"/>
          <w:rtl w:val="true"/>
        </w:rPr>
        <w:footnoteReference w:id="1432"/>
      </w:r>
      <w:r>
        <w:rPr>
          <w:rFonts w:ascii="Amiri" w:hAnsi="Amiri" w:eastAsia="Amiri" w:cs="Amiri"/>
          <w:color w:val="111111"/>
          <w:sz w:val="28"/>
          <w:sz w:val="28"/>
          <w:szCs w:val="28"/>
          <w:rtl w:val="true"/>
          <w:lang w:bidi="ar-SA"/>
        </w:rPr>
        <w:t>أن يُريدَ إيجابَ شِركتِه في بعضِ الشِّركِ الذي</w:t>
      </w:r>
      <w:r>
        <w:rPr>
          <w:rStyle w:val="FootnoteAnchor"/>
          <w:rtl w:val="true"/>
        </w:rPr>
        <w:footnoteReference w:id="1433"/>
      </w:r>
      <w:r>
        <w:rPr>
          <w:rFonts w:ascii="Amiri" w:hAnsi="Amiri" w:eastAsia="Amiri" w:cs="Amiri"/>
          <w:color w:val="111111"/>
          <w:sz w:val="28"/>
          <w:sz w:val="28"/>
          <w:szCs w:val="28"/>
          <w:rtl w:val="true"/>
          <w:lang w:bidi="ar-SA"/>
        </w:rPr>
        <w:t>بَينَه و بَينَ غيرِه و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يَجرِ هذا القولُ عندَ أحَدٍ مِن أهلِ اللسانِ في وجوبِ حَملِ المعنَى الثاني علَى الأوّلِ مَجرىٰ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شَريكَه ففُلانٌ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يَذكُرَ جميعَ شُرَكائه</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شُرَكائي</w:t>
      </w:r>
      <w:r>
        <w:rPr>
          <w:rStyle w:val="FootnoteAnchor"/>
          <w:rtl w:val="true"/>
        </w:rPr>
        <w:footnoteReference w:id="1435"/>
      </w:r>
      <w:r>
        <w:rPr>
          <w:rFonts w:ascii="Amiri" w:hAnsi="Amiri" w:eastAsia="Amiri" w:cs="Amiri"/>
          <w:color w:val="111111"/>
          <w:sz w:val="28"/>
          <w:sz w:val="28"/>
          <w:szCs w:val="28"/>
          <w:rtl w:val="true"/>
          <w:lang w:bidi="ar-SA"/>
        </w:rPr>
        <w:t>في كَذا و كَذا، و علىٰ وجهِ كَذا</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 مَتاعاً مخصوصاً و شِركةً مخصوصةً ، و لا مَجرىٰ </w:t>
      </w:r>
      <w:r>
        <w:rPr>
          <w:rStyle w:val="FootnoteAnchor"/>
          <w:rtl w:val="true"/>
        </w:rPr>
        <w:footnoteReference w:id="1437"/>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شَريكَه في كَذا علىٰ وجهِ كَذا ففُلانٌ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Style w:val="FootnoteAnchor"/>
          <w:rtl w:val="true"/>
        </w:rPr>
        <w:footnoteReference w:id="1438"/>
      </w:r>
      <w:r>
        <w:rPr>
          <w:rFonts w:ascii="Amiri" w:hAnsi="Amiri" w:eastAsia="Amiri" w:cs="Amiri"/>
          <w:color w:val="111111"/>
          <w:sz w:val="28"/>
          <w:sz w:val="28"/>
          <w:szCs w:val="28"/>
          <w:rtl w:val="true"/>
          <w:lang w:bidi="ar-SA"/>
        </w:rPr>
        <w:t>ما ذَكروه لا وجهَ فيه</w:t>
      </w:r>
      <w:r>
        <w:rPr>
          <w:rStyle w:val="FootnoteAnchor"/>
          <w:rtl w:val="true"/>
        </w:rPr>
        <w:footnoteReference w:id="1439"/>
      </w:r>
      <w:r>
        <w:rPr>
          <w:rFonts w:ascii="Amiri" w:hAnsi="Amiri" w:eastAsia="Amiri" w:cs="Amiri"/>
          <w:color w:val="111111"/>
          <w:sz w:val="28"/>
          <w:sz w:val="28"/>
          <w:szCs w:val="28"/>
          <w:rtl w:val="true"/>
          <w:lang w:bidi="ar-SA"/>
        </w:rPr>
        <w:t>لإيجابِ مِثلِ ما كانَ للرسولِ صَلّى اللّٰهُ عليه و آلِه</w:t>
      </w:r>
      <w:r>
        <w:rPr>
          <w:rStyle w:val="FootnoteAnchor"/>
          <w:rtl w:val="true"/>
        </w:rPr>
        <w:footnoteReference w:id="1440"/>
      </w:r>
      <w:r>
        <w:rPr>
          <w:rFonts w:ascii="Amiri" w:hAnsi="Amiri" w:eastAsia="Amiri" w:cs="Amiri"/>
          <w:color w:val="111111"/>
          <w:sz w:val="28"/>
          <w:sz w:val="28"/>
          <w:szCs w:val="28"/>
          <w:rtl w:val="true"/>
          <w:lang w:bidi="ar-SA"/>
        </w:rPr>
        <w:t xml:space="preserve">مِن الموالاةِ المخصوصةِ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ذَكرتموه إنّما يُبطِلُ القَطعَ علىٰ أنّ الرسولَ صَلّى اللّٰهُ عليه و آلِه أوجَبَ مِن الموالاةِ مِثلَ ما كانَ له، و لا شَكَّ في أنّه مُفسِدٌ للمَذهَبِ الذي حَكاه صاحبُ الكتابِ عن أبي عليٍّ و أبي هاشمٍ و شَرَعَ في نُصرتِه و تقويتِه، فبأيِّ شيءٍ تُنكِرونَ‌</w:t>
      </w:r>
      <w:r>
        <w:rPr>
          <w:rStyle w:val="FootnoteAnchor"/>
          <w:rtl w:val="true"/>
        </w:rPr>
        <w:footnoteReference w:id="1441"/>
      </w:r>
      <w:r>
        <w:rPr>
          <w:rFonts w:ascii="Amiri" w:hAnsi="Amiri" w:eastAsia="Amiri" w:cs="Amiri"/>
          <w:color w:val="111111"/>
          <w:sz w:val="28"/>
          <w:sz w:val="28"/>
          <w:szCs w:val="28"/>
          <w:rtl w:val="true"/>
          <w:lang w:bidi="ar-SA"/>
        </w:rPr>
        <w:t>علىٰ مَن جَوَّزَ أن يُريدَ عليه السلامُ‌</w:t>
      </w:r>
      <w:r>
        <w:rPr>
          <w:rStyle w:val="FootnoteAnchor"/>
          <w:rtl w:val="true"/>
        </w:rPr>
        <w:footnoteReference w:id="1442"/>
      </w:r>
      <w:r>
        <w:rPr>
          <w:rFonts w:ascii="Amiri" w:hAnsi="Amiri" w:eastAsia="Amiri" w:cs="Amiri"/>
          <w:color w:val="111111"/>
          <w:sz w:val="28"/>
          <w:sz w:val="28"/>
          <w:szCs w:val="28"/>
          <w:rtl w:val="true"/>
          <w:lang w:bidi="ar-SA"/>
        </w:rPr>
        <w:t>ذلكَ‌، و لَم يَقطَعْ علىٰ عدمِ جوازِ غيرِه</w:t>
      </w:r>
      <w:r>
        <w:rPr>
          <w:rStyle w:val="FootnoteAnchor"/>
          <w:rtl w:val="true"/>
        </w:rPr>
        <w:footnoteReference w:id="1443"/>
      </w:r>
      <w:r>
        <w:rPr>
          <w:rFonts w:ascii="Amiri" w:hAnsi="Amiri" w:eastAsia="Amiri" w:cs="Amiri"/>
          <w:color w:val="111111"/>
          <w:sz w:val="28"/>
          <w:sz w:val="28"/>
          <w:szCs w:val="28"/>
          <w:rtl w:val="true"/>
          <w:lang w:bidi="ar-SA"/>
        </w:rPr>
        <w:t>، و سَوّىٰ في بابِ الجوازِ بَينَ هذه المَنزِلةِ و بَينَ المَنزِلةِ‌</w:t>
      </w:r>
      <w:r>
        <w:rPr>
          <w:rStyle w:val="FootnoteAnchor"/>
          <w:rtl w:val="true"/>
        </w:rPr>
        <w:footnoteReference w:id="1444"/>
      </w:r>
      <w:r>
        <w:rPr>
          <w:rFonts w:ascii="Amiri" w:hAnsi="Amiri" w:eastAsia="Amiri" w:cs="Amiri"/>
          <w:color w:val="111111"/>
          <w:sz w:val="28"/>
          <w:sz w:val="28"/>
          <w:szCs w:val="28"/>
          <w:rtl w:val="true"/>
          <w:lang w:bidi="ar-SA"/>
        </w:rPr>
        <w:t>التي تَعودُ إلىٰ معنَى الإمامةِ‌</w:t>
      </w:r>
      <w:r>
        <w:rPr>
          <w:rStyle w:val="FootnoteAnchor"/>
          <w:rtl w:val="true"/>
        </w:rPr>
        <w:footnoteReference w:id="1445"/>
      </w:r>
      <w:r>
        <w:rPr>
          <w:rFonts w:ascii="Amiri" w:hAnsi="Amiri" w:eastAsia="Amiri" w:cs="Amiri"/>
          <w:color w:val="111111"/>
          <w:sz w:val="28"/>
          <w:sz w:val="28"/>
          <w:szCs w:val="28"/>
          <w:rtl w:val="true"/>
          <w:lang w:bidi="ar-SA"/>
        </w:rPr>
        <w:t>لأنّه لا مانعَ في جميعِ ما ذَكرتموه مِن التجويزِ، و دَلالةُ التقسيمِ لا تَتِمُّ‌</w:t>
      </w:r>
      <w:r>
        <w:rPr>
          <w:rStyle w:val="FootnoteAnchor"/>
          <w:rtl w:val="true"/>
        </w:rPr>
        <w:footnoteReference w:id="1446"/>
      </w:r>
      <w:r>
        <w:rPr>
          <w:rFonts w:ascii="Amiri" w:hAnsi="Amiri" w:eastAsia="Amiri" w:cs="Amiri"/>
          <w:color w:val="111111"/>
          <w:sz w:val="28"/>
          <w:sz w:val="28"/>
          <w:szCs w:val="28"/>
          <w:rtl w:val="true"/>
          <w:lang w:bidi="ar-SA"/>
        </w:rPr>
        <w:t xml:space="preserve">لكم دونَ أن تُبيِّنوا أنّ شَيئاً مِن الأقسامِ التي يَجوزُ أن يُرادَ باللفظةِ </w:t>
      </w:r>
      <w:r>
        <w:rPr>
          <w:rStyle w:val="FootnoteAnchor"/>
          <w:rtl w:val="true"/>
        </w:rPr>
        <w:footnoteReference w:id="1447"/>
      </w:r>
      <w:r>
        <w:rPr>
          <w:rFonts w:ascii="Amiri" w:hAnsi="Amiri" w:eastAsia="Amiri" w:cs="Amiri"/>
          <w:color w:val="111111"/>
          <w:sz w:val="28"/>
          <w:sz w:val="28"/>
          <w:szCs w:val="28"/>
          <w:rtl w:val="true"/>
          <w:lang w:bidi="ar-SA"/>
        </w:rPr>
        <w:t>لا يَصِحُّ أن يَكونَ المُرادَ مِن الخبرِ</w:t>
      </w:r>
      <w:r>
        <w:rPr>
          <w:rStyle w:val="FootnoteAnchor"/>
          <w:rtl w:val="true"/>
        </w:rPr>
        <w:footnoteReference w:id="1448"/>
      </w:r>
      <w:r>
        <w:rPr>
          <w:rFonts w:ascii="Amiri" w:hAnsi="Amiri" w:eastAsia="Amiri" w:cs="Amiri"/>
          <w:color w:val="111111"/>
          <w:sz w:val="28"/>
          <w:sz w:val="28"/>
          <w:szCs w:val="28"/>
          <w:rtl w:val="true"/>
          <w:lang w:bidi="ar-SA"/>
        </w:rPr>
        <w:t xml:space="preserve">سِوَى القِسمِ المُقتَضي لمعنَى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آكَدُ ما</w:t>
      </w:r>
      <w:r>
        <w:rPr>
          <w:rStyle w:val="FootnoteAnchor"/>
          <w:rtl w:val="true"/>
        </w:rPr>
        <w:footnoteReference w:id="1449"/>
      </w:r>
      <w:r>
        <w:rPr>
          <w:rFonts w:ascii="Amiri" w:hAnsi="Amiri" w:eastAsia="Amiri" w:cs="Amiri"/>
          <w:color w:val="111111"/>
          <w:sz w:val="28"/>
          <w:sz w:val="28"/>
          <w:szCs w:val="28"/>
          <w:rtl w:val="true"/>
          <w:lang w:bidi="ar-SA"/>
        </w:rPr>
        <w:t xml:space="preserve">يُسألُ </w:t>
      </w:r>
      <w:r>
        <w:rPr>
          <w:rStyle w:val="FootnoteAnchor"/>
          <w:rtl w:val="true"/>
        </w:rPr>
        <w:footnoteReference w:id="1450"/>
      </w:r>
      <w:r>
        <w:rPr>
          <w:rFonts w:ascii="Amiri" w:hAnsi="Amiri" w:eastAsia="Amiri" w:cs="Amiri"/>
          <w:color w:val="111111"/>
          <w:sz w:val="28"/>
          <w:sz w:val="28"/>
          <w:szCs w:val="28"/>
          <w:rtl w:val="true"/>
          <w:lang w:bidi="ar-SA"/>
        </w:rPr>
        <w:t xml:space="preserve">عنه علىٰ هذه الطريقةِ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Style w:val="FootnoteAnchor"/>
          <w:rtl w:val="true"/>
        </w:rPr>
        <w:footnoteReference w:id="1451"/>
      </w:r>
      <w:r>
        <w:rPr>
          <w:rFonts w:ascii="Amiri" w:hAnsi="Amiri" w:eastAsia="Amiri" w:cs="Amiri"/>
          <w:color w:val="111111"/>
          <w:sz w:val="28"/>
          <w:sz w:val="28"/>
          <w:szCs w:val="28"/>
          <w:rtl w:val="true"/>
          <w:lang w:bidi="ar-SA"/>
        </w:rPr>
        <w:t xml:space="preserve">إذا ثَبَتَ أنّ القِسمَ المُقتَضي للإمامةِ جائزٌ أن يَكونَ مُراداً، و وَجَدنا كُلَّ مَن جَوَّزَ كَونَ الإمامةِ مُرادةً في الخبرِ يَقطَعُ علىٰ إيجابِها و حصولِها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خالَفَ القائلينَ بالنصِّ لا يُجوِّزُ أن تَكونَ </w:t>
      </w:r>
      <w:r>
        <w:rPr>
          <w:rStyle w:val="FootnoteAnchor"/>
          <w:rtl w:val="true"/>
        </w:rPr>
        <w:footnoteReference w:id="1452"/>
      </w:r>
      <w:r>
        <w:rPr>
          <w:rFonts w:ascii="Amiri" w:hAnsi="Amiri" w:eastAsia="Amiri" w:cs="Amiri"/>
          <w:color w:val="111111"/>
          <w:sz w:val="28"/>
          <w:sz w:val="28"/>
          <w:szCs w:val="28"/>
          <w:rtl w:val="true"/>
          <w:lang w:bidi="ar-SA"/>
        </w:rPr>
        <w:t xml:space="preserve">الإمامةُ و لا معناها </w:t>
      </w:r>
      <w:bookmarkStart w:id="286" w:name="pg20017_202518"/>
    </w:p>
    <w:p>
      <w:pPr>
        <w:pStyle w:val="BookText"/>
        <w:rPr/>
      </w:pPr>
      <w:bookmarkEnd w:id="286"/>
      <w:r>
        <w:rPr>
          <w:rFonts w:ascii="Amiri" w:hAnsi="Amiri" w:eastAsia="Amiri" w:cs="Amiri"/>
          <w:color w:val="111111"/>
          <w:sz w:val="28"/>
          <w:sz w:val="28"/>
          <w:szCs w:val="28"/>
          <w:rtl w:val="true"/>
          <w:lang w:bidi="ar-SA"/>
        </w:rPr>
        <w:t>مُرادةً مِن الخبرِ</w:t>
      </w:r>
      <w:r>
        <w:rPr>
          <w:rStyle w:val="FootnoteAnchor"/>
          <w:rtl w:val="true"/>
        </w:rPr>
        <w:footnoteReference w:id="1453"/>
      </w:r>
      <w:r>
        <w:rPr>
          <w:rFonts w:ascii="Amiri" w:hAnsi="Amiri" w:eastAsia="Amiri" w:cs="Amiri"/>
          <w:color w:val="111111"/>
          <w:sz w:val="28"/>
          <w:sz w:val="28"/>
          <w:szCs w:val="28"/>
          <w:rtl w:val="true"/>
          <w:lang w:bidi="ar-SA"/>
        </w:rPr>
        <w:t>، و مَن جَوَّزَ أن تَكونَ‌</w:t>
      </w:r>
      <w:r>
        <w:rPr>
          <w:rStyle w:val="FootnoteAnchor"/>
          <w:rtl w:val="true"/>
        </w:rPr>
        <w:footnoteReference w:id="1454"/>
      </w:r>
      <w:r>
        <w:rPr>
          <w:rFonts w:ascii="Amiri" w:hAnsi="Amiri" w:eastAsia="Amiri" w:cs="Amiri"/>
          <w:color w:val="111111"/>
          <w:sz w:val="28"/>
          <w:sz w:val="28"/>
          <w:szCs w:val="28"/>
          <w:rtl w:val="true"/>
          <w:lang w:bidi="ar-SA"/>
        </w:rPr>
        <w:t xml:space="preserve">مُرادةً من القائلينَ </w:t>
      </w:r>
      <w:r>
        <w:rPr>
          <w:rStyle w:val="FootnoteAnchor"/>
          <w:rtl w:val="true"/>
        </w:rPr>
        <w:footnoteReference w:id="1455"/>
      </w:r>
      <w:r>
        <w:rPr>
          <w:rFonts w:ascii="Amiri" w:hAnsi="Amiri" w:eastAsia="Amiri" w:cs="Amiri"/>
          <w:color w:val="111111"/>
          <w:sz w:val="28"/>
          <w:sz w:val="28"/>
          <w:szCs w:val="28"/>
          <w:rtl w:val="true"/>
          <w:lang w:bidi="ar-SA"/>
        </w:rPr>
        <w:t xml:space="preserve">بالنصِّ قَطَعَ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w:t>
      </w:r>
      <w:r>
        <w:rPr>
          <w:rStyle w:val="FootnoteAnchor"/>
          <w:rtl w:val="true"/>
        </w:rPr>
        <w:footnoteReference w:id="1456"/>
      </w:r>
      <w:r>
        <w:rPr>
          <w:rFonts w:ascii="Amiri" w:hAnsi="Amiri" w:eastAsia="Amiri" w:cs="Amiri"/>
          <w:color w:val="111111"/>
          <w:sz w:val="28"/>
          <w:sz w:val="28"/>
          <w:szCs w:val="28"/>
          <w:rtl w:val="true"/>
          <w:lang w:bidi="ar-SA"/>
        </w:rPr>
        <w:t>أن يَكونَ ما ذَهَبنا إليه هو المقطوعَ به مِن هذه الجهةِ ؛</w:t>
      </w:r>
      <w:r>
        <w:rPr>
          <w:rStyle w:val="FootnoteAnchor"/>
          <w:rtl w:val="true"/>
        </w:rPr>
        <w:footnoteReference w:id="1457"/>
      </w:r>
      <w:r>
        <w:rPr>
          <w:rFonts w:ascii="Amiri" w:hAnsi="Amiri" w:eastAsia="Amiri" w:cs="Amiri"/>
          <w:color w:val="111111"/>
          <w:sz w:val="28"/>
          <w:sz w:val="28"/>
          <w:szCs w:val="28"/>
          <w:rtl w:val="true"/>
          <w:lang w:bidi="ar-SA"/>
        </w:rPr>
        <w:t xml:space="preserve">لأنّ ما عَدا ما ذَكرناه مِن القولَينِ خارجٌ عن الإجماعِ </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964197_2320776876"/>
      <w:bookmarkStart w:id="288" w:name="_Toc102"/>
      <w:bookmarkEnd w:id="287"/>
      <w:r>
        <w:rPr>
          <w:rtl w:val="true"/>
        </w:rPr>
        <w:t>بيان عموم الإمامة لكلّ الخلق و الأوقات، بناء علىٰ تفسير الولاية في الحديث بالإمامة</w:t>
      </w:r>
      <w:bookmarkEnd w:id="288"/>
    </w:p>
    <w:p>
      <w:pPr>
        <w:pStyle w:val="BookText"/>
        <w:rPr/>
      </w:pPr>
      <w:r>
        <w:rPr>
          <w:rFonts w:ascii="Amiri" w:hAnsi="Amiri" w:eastAsia="Amiri" w:cs="Amiri"/>
          <w:color w:val="111111"/>
          <w:sz w:val="28"/>
          <w:sz w:val="28"/>
          <w:szCs w:val="28"/>
          <w:rtl w:val="true"/>
          <w:lang w:bidi="ar-SA"/>
        </w:rPr>
        <w:t xml:space="preserve">فأمّا قولُ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حَكَيناه مِن كلامِه في هذا الفَصلِ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لَو لَم يَكُن ما ذَكره لَوَجَبَ أن لا يَلزَمَ مَن غابَ عن المَوضِعِ مُوالاتُه، و لَما وَجَبَت عليهم الموالاةُ بَعدَ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لازمٍ‌؛ لأنّ الصحيحَ عندَنا أنّ مُوالاتَه عليه السلامُ إنّما وَجَبَت في الحالِ و بَعدَها علىٰ مَن حَضَرَ و غابَ‌؛ لأنّ الرسولَ صَلّى</w:t>
      </w:r>
    </w:p>
    <w:p>
      <w:pPr>
        <w:pStyle w:val="BookText"/>
        <w:rPr/>
      </w:pPr>
      <w:r>
        <w:rPr>
          <w:rFonts w:ascii="Amiri" w:hAnsi="Amiri" w:eastAsia="Amiri" w:cs="Amiri"/>
          <w:color w:val="111111"/>
          <w:sz w:val="28"/>
          <w:sz w:val="28"/>
          <w:szCs w:val="28"/>
          <w:rtl w:val="true"/>
          <w:lang w:bidi="ar-SA"/>
        </w:rPr>
        <w:t>اللّٰهُ عليه و آلِه أوجَبَ له الإمامةَ بالقولِ‌، و الإمامُ تَجِبُ‌</w:t>
      </w:r>
      <w:r>
        <w:rPr>
          <w:rStyle w:val="FootnoteAnchor"/>
          <w:rtl w:val="true"/>
        </w:rPr>
        <w:footnoteReference w:id="1458"/>
      </w:r>
      <w:r>
        <w:rPr>
          <w:rFonts w:ascii="Amiri" w:hAnsi="Amiri" w:eastAsia="Amiri" w:cs="Amiri"/>
          <w:color w:val="111111"/>
          <w:sz w:val="28"/>
          <w:sz w:val="28"/>
          <w:szCs w:val="28"/>
          <w:rtl w:val="true"/>
          <w:lang w:bidi="ar-SA"/>
        </w:rPr>
        <w:t>مُوالاتُه علىٰ سائرِ الوجوهِ‌؛ فلَيسَ في وجوبِ الموالاةِ علىٰ ما ذُكِرَ دَلالةٌ علىٰ صحّةِ تأويلِه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مَن خالَفَ طريقةَ صاحبِ الكتابِ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يَمتَنِعُ أن يَكونَ ما أوجَبَه مِن الموالاةِ يَلزَمُ مَن غابَ و فيما بَعدَ الحالِ‌</w:t>
      </w:r>
      <w:r>
        <w:rPr>
          <w:rStyle w:val="FootnoteAnchor"/>
          <w:rtl w:val="true"/>
        </w:rPr>
        <w:footnoteReference w:id="1459"/>
      </w:r>
      <w:r>
        <w:rPr>
          <w:rFonts w:ascii="Amiri" w:hAnsi="Amiri" w:eastAsia="Amiri" w:cs="Amiri"/>
          <w:color w:val="111111"/>
          <w:sz w:val="28"/>
          <w:sz w:val="28"/>
          <w:szCs w:val="28"/>
          <w:rtl w:val="true"/>
          <w:lang w:bidi="ar-SA"/>
        </w:rPr>
        <w:t xml:space="preserve">، علَى الحَدِّ الذي يَلزَمُ لجماعةِ المؤمنينَ </w:t>
      </w:r>
      <w:r>
        <w:rPr>
          <w:rStyle w:val="FootnoteAnchor"/>
          <w:rtl w:val="true"/>
        </w:rPr>
        <w:footnoteReference w:id="1460"/>
      </w:r>
      <w:r>
        <w:rPr>
          <w:rFonts w:ascii="Amiri" w:hAnsi="Amiri" w:eastAsia="Amiri" w:cs="Amiri"/>
          <w:color w:val="111111"/>
          <w:sz w:val="28"/>
          <w:sz w:val="28"/>
          <w:szCs w:val="28"/>
          <w:rtl w:val="true"/>
          <w:lang w:bidi="ar-SA"/>
        </w:rPr>
        <w:t xml:space="preserve">ما داموا مُتمسِّكينَ بالإيمانِ و ما يَقتَضي التبجيلَ و التعظيمَ ، و لا يَكونَ في ذلكَ دَلالةٌ علَى الموالاةِ المخصوصةِ التي ادَّعَيتَ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يُمكِنْه دفعُ كلامِه، اللّٰهُمَّ </w:t>
      </w:r>
      <w:bookmarkStart w:id="289" w:name="pg20017_202519"/>
    </w:p>
    <w:p>
      <w:pPr>
        <w:pStyle w:val="BookText"/>
        <w:rPr/>
      </w:pPr>
      <w:bookmarkEnd w:id="289"/>
      <w:r>
        <w:rPr>
          <w:rFonts w:ascii="Amiri" w:hAnsi="Amiri" w:eastAsia="Amiri" w:cs="Amiri"/>
          <w:color w:val="111111"/>
          <w:sz w:val="28"/>
          <w:sz w:val="28"/>
          <w:szCs w:val="28"/>
          <w:rtl w:val="true"/>
          <w:lang w:bidi="ar-SA"/>
        </w:rPr>
        <w:t>إلّا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عَنَيتُ أنّ مُوالاتَه تَلزَمُ مَن غابَ علىٰ كُلِّ حالٍ و بغَيرِ شرطٍ</w:t>
      </w:r>
      <w:r>
        <w:rPr>
          <w:rStyle w:val="FootnoteAnchor"/>
          <w:rtl w:val="true"/>
        </w:rPr>
        <w:footnoteReference w:id="1461"/>
      </w:r>
      <w:r>
        <w:rPr>
          <w:rFonts w:ascii="Amiri" w:hAnsi="Amiri" w:eastAsia="Amiri" w:cs="Amiri"/>
          <w:color w:val="111111"/>
          <w:sz w:val="28"/>
          <w:sz w:val="28"/>
          <w:szCs w:val="28"/>
          <w:rtl w:val="true"/>
          <w:lang w:bidi="ar-SA"/>
        </w:rPr>
        <w:t>، و كذلكَ في المُستَقبَلِ مِن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إذا ادَّعاه غيرُ مُسلَّمٍ له</w:t>
      </w:r>
      <w:r>
        <w:rPr>
          <w:rStyle w:val="FootnoteAnchor"/>
          <w:rtl w:val="true"/>
        </w:rPr>
        <w:footnoteReference w:id="1462"/>
      </w:r>
      <w:r>
        <w:rPr>
          <w:rFonts w:ascii="Amiri" w:hAnsi="Amiri" w:eastAsia="Amiri" w:cs="Amiri"/>
          <w:color w:val="111111"/>
          <w:sz w:val="28"/>
          <w:sz w:val="28"/>
          <w:szCs w:val="28"/>
          <w:rtl w:val="true"/>
          <w:lang w:bidi="ar-SA"/>
        </w:rPr>
        <w:t xml:space="preserve">، و هو مدفوعٌ عنه أشَدَّ الدفاعِ ، و لا سَبيلَ عندَنا إلىٰ تثبيتِ </w:t>
      </w:r>
      <w:r>
        <w:rPr>
          <w:rStyle w:val="FootnoteAnchor"/>
          <w:rtl w:val="true"/>
        </w:rPr>
        <w:footnoteReference w:id="1463"/>
      </w:r>
      <w:r>
        <w:rPr>
          <w:rFonts w:ascii="Amiri" w:hAnsi="Amiri" w:eastAsia="Amiri" w:cs="Amiri"/>
          <w:color w:val="111111"/>
          <w:sz w:val="28"/>
          <w:sz w:val="28"/>
          <w:szCs w:val="28"/>
          <w:rtl w:val="true"/>
          <w:lang w:bidi="ar-SA"/>
        </w:rPr>
        <w:t xml:space="preserve">هذه المَنزِلةِ بالخبرِ إلّابَعدَ أن يَثبُتَ </w:t>
      </w:r>
      <w:r>
        <w:rPr>
          <w:rStyle w:val="FootnoteAnchor"/>
          <w:rtl w:val="true"/>
        </w:rPr>
        <w:footnoteReference w:id="1464"/>
      </w:r>
      <w:r>
        <w:rPr>
          <w:rFonts w:ascii="Amiri" w:hAnsi="Amiri" w:eastAsia="Amiri" w:cs="Amiri"/>
          <w:color w:val="111111"/>
          <w:sz w:val="28"/>
          <w:sz w:val="28"/>
          <w:szCs w:val="28"/>
          <w:rtl w:val="true"/>
          <w:lang w:bidi="ar-SA"/>
        </w:rPr>
        <w:t xml:space="preserve">ما نَذهَبُ إليه مِن إيجابِه إمامتَه عليه السلامُ </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964199_2320776876"/>
      <w:bookmarkStart w:id="291" w:name="_Toc103"/>
      <w:bookmarkEnd w:id="290"/>
      <w:r>
        <w:rPr>
          <w:rtl w:val="true"/>
        </w:rPr>
        <w:t>تقدُّم منزلة الإمامة علىٰ منزلة الموالاة المخصوصة</w:t>
      </w:r>
      <w:bookmarkEnd w:id="29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مَنزِلةٌ عظيمةٌ تَفوقُ مَنزِلةَ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فغَلَطٌ منه؛ لأنّ الإمامةَ لا تَحصُلُ إلّالِمَن حَصَلَت له هذه المَنزِلةُ‌، و قد تَحصُلُ هذه المَنزِلةُ لِمَن لَيسَ بإمامٍ‌؛ فكَيفَ تَفوقُ مَنزِلةَ الإمامةِ و هي مُشتَمِلةٌ عليها مع اشتمالِها علىٰ غيرِها مِن المَنازِلِ العاليةِ‌</w:t>
      </w:r>
      <w:r>
        <w:rPr>
          <w:rStyle w:val="FootnoteAnchor"/>
          <w:rtl w:val="true"/>
        </w:rPr>
        <w:footnoteReference w:id="1465"/>
      </w:r>
      <w:r>
        <w:rPr>
          <w:rFonts w:ascii="Amiri" w:hAnsi="Amiri" w:eastAsia="Amiri" w:cs="Amiri"/>
          <w:color w:val="111111"/>
          <w:sz w:val="28"/>
          <w:sz w:val="28"/>
          <w:szCs w:val="28"/>
          <w:rtl w:val="true"/>
          <w:lang w:bidi="ar-SA"/>
        </w:rPr>
        <w:t>و الرُّتَبِ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نُنكِرُ أن يَكونَ‌</w:t>
      </w:r>
      <w:r>
        <w:rPr>
          <w:rStyle w:val="FootnoteAnchor"/>
          <w:rtl w:val="true"/>
        </w:rPr>
        <w:footnoteReference w:id="1466"/>
      </w:r>
      <w:r>
        <w:rPr>
          <w:rFonts w:ascii="Amiri" w:hAnsi="Amiri" w:eastAsia="Amiri" w:cs="Amiri"/>
          <w:color w:val="111111"/>
          <w:sz w:val="28"/>
          <w:sz w:val="28"/>
          <w:szCs w:val="28"/>
          <w:rtl w:val="true"/>
          <w:lang w:bidi="ar-SA"/>
        </w:rPr>
        <w:t>المَنزِلةُ التي ادَّعاها مِن أشرَفِ المَنازِلِ‌، غيرَ أنّها لا تَفوقُ مَنزِلةَ الإمامةِ و لا تُساويها؛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دَلَّلنا فيما سَلَفَ مِن الكتابِ علىٰ أنّ الإمامَ لا يَكونُ إلّامعصوماً مأمونَ الباطنِ </w:t>
      </w:r>
      <w:r>
        <w:rPr>
          <w:rStyle w:val="FootnoteAnchor"/>
          <w:rtl w:val="true"/>
        </w:rPr>
        <w:footnoteReference w:id="1467"/>
      </w:r>
      <w:r>
        <w:rPr>
          <w:rFonts w:ascii="Amiri" w:hAnsi="Amiri" w:eastAsia="Amiri" w:cs="Amiri"/>
          <w:color w:val="111111"/>
          <w:sz w:val="28"/>
          <w:sz w:val="28"/>
          <w:szCs w:val="28"/>
          <w:rtl w:val="true"/>
          <w:lang w:bidi="ar-SA"/>
        </w:rPr>
        <w:t xml:space="preserve">، فلَيسَ </w:t>
      </w:r>
      <w:r>
        <w:rPr>
          <w:rStyle w:val="FootnoteAnchor"/>
          <w:rtl w:val="true"/>
        </w:rPr>
        <w:footnoteReference w:id="1468"/>
      </w:r>
      <w:r>
        <w:rPr>
          <w:rFonts w:ascii="Amiri" w:hAnsi="Amiri" w:eastAsia="Amiri" w:cs="Amiri"/>
          <w:color w:val="111111"/>
          <w:sz w:val="28"/>
          <w:sz w:val="28"/>
          <w:szCs w:val="28"/>
          <w:rtl w:val="true"/>
          <w:lang w:bidi="ar-SA"/>
        </w:rPr>
        <w:t xml:space="preserve">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عَوَّلتم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حصولِ الموالاةِ علَى الباطنِ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دَعوىً </w:t>
      </w:r>
      <w:r>
        <w:rPr>
          <w:rFonts w:eastAsia="Amiri" w:cs="Amiri" w:ascii="Amiri" w:hAnsi="Amiri"/>
          <w:color w:val="111111"/>
          <w:sz w:val="28"/>
          <w:szCs w:val="28"/>
          <w:rtl w:val="true"/>
          <w:lang w:bidi="ar-SA"/>
        </w:rPr>
        <w:t xml:space="preserve">. </w:t>
      </w:r>
      <w:bookmarkStart w:id="292" w:name="pg20017_202520"/>
    </w:p>
    <w:p>
      <w:pPr>
        <w:pStyle w:val="Heading6"/>
        <w:numPr>
          <w:ilvl w:val="5"/>
          <w:numId w:val="1"/>
        </w:numPr>
        <w:rPr/>
      </w:pPr>
      <w:bookmarkStart w:id="293" w:name="__RefHeading___Toc964201_2320776876"/>
      <w:bookmarkStart w:id="294" w:name="_Toc104"/>
      <w:bookmarkEnd w:id="292"/>
      <w:bookmarkEnd w:id="293"/>
      <w:r>
        <w:rPr>
          <w:rtl w:val="true"/>
        </w:rPr>
        <w:t xml:space="preserve">نفي دلالة </w:t>
      </w:r>
      <w:r>
        <w:rPr>
          <w:rtl w:val="true"/>
        </w:rPr>
        <w:t>«</w:t>
      </w:r>
      <w:r>
        <w:rPr>
          <w:rtl w:val="true"/>
        </w:rPr>
        <w:t xml:space="preserve">مولىٰ </w:t>
      </w:r>
      <w:r>
        <w:rPr>
          <w:rtl w:val="true"/>
        </w:rPr>
        <w:t xml:space="preserve">» </w:t>
      </w:r>
      <w:r>
        <w:rPr>
          <w:rtl w:val="true"/>
        </w:rPr>
        <w:t xml:space="preserve">في حديث الغدير على </w:t>
      </w:r>
      <w:r>
        <w:rPr>
          <w:rtl w:val="true"/>
        </w:rPr>
        <w:t>«</w:t>
      </w:r>
      <w:r>
        <w:rPr>
          <w:rtl w:val="true"/>
        </w:rPr>
        <w:t>الموالاة</w:t>
      </w:r>
      <w:r>
        <w:rPr>
          <w:rtl w:val="true"/>
        </w:rPr>
        <w:t>»</w:t>
      </w:r>
      <w:bookmarkEnd w:id="294"/>
    </w:p>
    <w:p>
      <w:pPr>
        <w:pStyle w:val="BookText"/>
        <w:rPr/>
      </w:pPr>
      <w:r>
        <w:rPr>
          <w:rFonts w:ascii="Amiri" w:hAnsi="Amiri" w:eastAsia="Amiri" w:cs="Amiri"/>
          <w:color w:val="111111"/>
          <w:sz w:val="28"/>
          <w:sz w:val="28"/>
          <w:szCs w:val="28"/>
          <w:rtl w:val="true"/>
          <w:lang w:bidi="ar-SA"/>
        </w:rPr>
        <w:t xml:space="preserve">فأمّا ما ذَكره مِن الآياتِ‌ مُستَشهِداً به علىٰ أنّ المُرادَ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في الدِّينِ ، فإنّما يَكونُ طاعناً علىٰ مَن أنكَرَ احتمالَ اللفظةِ لهذا الوجهِ في جُملةِ مُحتَمَلاتِها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أقَرَّ بذلكَ و ذَهَبَ إلىٰ أنّ المُرادَ في خبرِ الغَديرِ خِلافُه، فلَيسَ</w:t>
      </w:r>
    </w:p>
    <w:p>
      <w:pPr>
        <w:pStyle w:val="BookText"/>
        <w:rPr/>
      </w:pPr>
      <w:r>
        <w:rPr>
          <w:rFonts w:ascii="Amiri" w:hAnsi="Amiri" w:eastAsia="Amiri" w:cs="Amiri"/>
          <w:color w:val="111111"/>
          <w:sz w:val="28"/>
          <w:sz w:val="28"/>
          <w:szCs w:val="28"/>
          <w:rtl w:val="true"/>
          <w:lang w:bidi="ar-SA"/>
        </w:rPr>
        <w:t xml:space="preserve">يَكونُ ما ذَكره صاحبُ الكتابِ مُفسِداً لمَذهَبِه، و كَيفَ يَكونُ كذلكَ و أكثَرُ ما استَشهَدَ به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بها معنَى الموالاةِ فيما تَلاه مِن القرآنِ؟ و ذلكَ لا يَحظُرُ أن يُرادَ بها خِلافُ الموالاةِ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الموالاةَ في اللُّغةِ و إن كانَت مُشتَرَكةً فقَد غَلَبَ عُرفُ الشرعِ في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الذي ذَكره مُغالَطةٌ‌؛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r>
        <w:rPr>
          <w:rStyle w:val="FootnoteAnchor"/>
          <w:rtl w:val="true"/>
        </w:rPr>
        <w:footnoteReference w:id="1469"/>
      </w:r>
      <w:r>
        <w:rPr>
          <w:rFonts w:ascii="Amiri" w:hAnsi="Amiri" w:eastAsia="Amiri" w:cs="Amiri"/>
          <w:color w:val="111111"/>
          <w:sz w:val="28"/>
          <w:sz w:val="28"/>
          <w:szCs w:val="28"/>
          <w:rtl w:val="true"/>
          <w:lang w:bidi="ar-SA"/>
        </w:rPr>
        <w:t>أصلُها في اللُّغةِ المُتابَعةَ‌، فإنّ العُرفَ قد خَصَّصها بموالاةِ الدِّينِ‌</w:t>
      </w:r>
      <w:r>
        <w:rPr>
          <w:rStyle w:val="FootnoteAnchor"/>
          <w:rtl w:val="true"/>
        </w:rPr>
        <w:footnoteReference w:id="1470"/>
      </w:r>
      <w:r>
        <w:rPr>
          <w:rFonts w:ascii="Amiri" w:hAnsi="Amiri" w:eastAsia="Amiri" w:cs="Amiri"/>
          <w:color w:val="111111"/>
          <w:sz w:val="28"/>
          <w:sz w:val="28"/>
          <w:szCs w:val="28"/>
          <w:rtl w:val="true"/>
          <w:lang w:bidi="ar-SA"/>
        </w:rPr>
        <w:t>و مُتابَعةِ النُّصرةِ فيه، و لفظةُ‌</w:t>
      </w:r>
      <w:r>
        <w:rPr>
          <w:rStyle w:val="FootnoteAnchor"/>
          <w:rtl w:val="true"/>
        </w:rPr>
        <w:footnoteReference w:id="1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عن هذا البابِ‌، و كلامُنا إنّما هو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النبيُّ صَلّى اللّٰهُ عليه و آلِه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يُواليني فليُوالِ عليّاً، بَل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استدلالُه علىٰ ما ادَّعاه بقَولِه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واجبٍ أن يَكونَ ما تَقدَّمَ مِن</w:t>
      </w:r>
      <w:r>
        <w:rPr>
          <w:rStyle w:val="FootnoteAnchor"/>
          <w:rtl w:val="true"/>
        </w:rPr>
        <w:footnoteReference w:id="1472"/>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محمولاً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آخِرَ الخبرِ تَضمَّنَها؛ لأنّه صلّى اللّٰه عليه و آله لَو صَرَّحَ بما ذَهَبنا إليه حتّىٰ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أَولىٰ به مِن نفسِه فعَليٌّ أَولىٰ به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كانَت طاعتي عليه </w:t>
      </w:r>
    </w:p>
    <w:p>
      <w:pPr>
        <w:pStyle w:val="BookText"/>
        <w:rPr/>
      </w:pPr>
      <w:r>
        <w:rPr>
          <w:rFonts w:ascii="Amiri" w:hAnsi="Amiri" w:eastAsia="Amiri" w:cs="Amiri"/>
          <w:color w:val="111111"/>
          <w:sz w:val="28"/>
          <w:sz w:val="28"/>
          <w:szCs w:val="28"/>
          <w:rtl w:val="true"/>
          <w:lang w:bidi="ar-SA"/>
        </w:rPr>
        <w:t>مُفْتَرَضَةً فطاعةُ عليٍّ عليه مُفتَرَضَةٌ ، 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كلاماً صحيحاً يَليقُ بعضُه ببعضٍ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نَعلَمُ مِن أينَ ظَنَّ أنّ المُرادَ بالكلامِ الأوّلِ لَو كانَ إيجابَ فرضِ الطاعةِ لَم يَلِقْ بما تأخَّرَ عنه</w:t>
      </w:r>
      <w:r>
        <w:rPr>
          <w:rStyle w:val="FootnoteAnchor"/>
          <w:rtl w:val="true"/>
        </w:rPr>
        <w:footnoteReference w:id="1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الظنِّ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ادّعاؤه أنّ عُمَرَ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مَولايَ و مَولىٰ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حتّىٰ جَعَلَ قولَه دليلاً علىٰ صحّةِ تأويلِه، طريفٌ ؛ لأنّ عُمَرَ لَم يُصَرِّحْ بشَيءٍ يَدُلُّ علىٰ ما يُخالِفُ مَذهَبَنا و يُوافِقُ مَذهَبَه، و إنّما شَهِدَ لأميرِ المؤمنينَ عليه</w:t>
      </w:r>
    </w:p>
    <w:p>
      <w:pPr>
        <w:pStyle w:val="BookText"/>
        <w:rPr/>
      </w:pPr>
      <w:r>
        <w:rPr>
          <w:rFonts w:ascii="Amiri" w:hAnsi="Amiri" w:eastAsia="Amiri" w:cs="Amiri"/>
          <w:color w:val="111111"/>
          <w:sz w:val="28"/>
          <w:sz w:val="28"/>
          <w:szCs w:val="28"/>
          <w:rtl w:val="true"/>
          <w:lang w:bidi="ar-SA"/>
        </w:rPr>
        <w:t>السلامُ بمِثلِ ما تَضمَّنَه لفظُ الرسولِ صلّى اللّٰه عليه و آله؛ فأيُّ حُجّةٍ له في قولِه ؟ و خصومُه يَقولونَ في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عُمَرَ لَم يُرِدْ بكلامِه إلّاما ذَهَبنا إليه مِن وجوبِ فرضِ الطاعةِ و الرئاسةِ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يَكونونَ في ظاهرِ الحالِ مُنتَصِفينَ منه؛ هذا إذا لَم يَدُلّوا علىٰ صحّةِ قولِهم في اقتضاءِ الخبرِ للإمامةِ و فرضِ الطاعةِ ببعضِ ما تَقدَّمَ ، فيَكونوا أسعَدَ حالاً مِن صاحبِ الكتابِ و أظهَرَ حُجّةً علىٰ ذلكَ منه</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w:t>
      </w:r>
      <w:r>
        <w:rPr>
          <w:rStyle w:val="FootnoteAnchor"/>
          <w:rtl w:val="true"/>
        </w:rPr>
        <w:footnoteReference w:id="1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أثبَتَ له هذا الحُكمَ في الوقتِ‌؛ لأنّه في حالِ ما أثبَتَ نفسَه مَولىً لهم أثبَتَه مَولىً مِن غيرِ تَراخٍ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يَصِحُّ أن يُحمَلَ ذلكَ علَى الإمامةِ ؛ لأنّ المُتَعالَمَ مِن حالِه أنّه في حالِ حياةِ الرسولِ عليه السلامُ لا يَكونُ مُشارِكاً للرسولِ في الأُمورِ التي يَقومُ </w:t>
      </w:r>
      <w:bookmarkStart w:id="295" w:name="pg20017_202522"/>
    </w:p>
    <w:p>
      <w:pPr>
        <w:pStyle w:val="BookText"/>
        <w:rPr/>
      </w:pPr>
      <w:bookmarkEnd w:id="295"/>
      <w:r>
        <w:rPr>
          <w:rFonts w:ascii="Amiri" w:hAnsi="Amiri" w:eastAsia="Amiri" w:cs="Amiri"/>
          <w:color w:val="111111"/>
          <w:sz w:val="28"/>
          <w:sz w:val="28"/>
          <w:szCs w:val="28"/>
          <w:rtl w:val="true"/>
          <w:lang w:bidi="ar-SA"/>
        </w:rPr>
        <w:t>بها الإمامُ كما هو مُشارِكٌ له في وجوبِ الموالاةِ باطناً و ظاهراً</w:t>
      </w:r>
      <w:r>
        <w:rPr>
          <w:rStyle w:val="FootnoteAnchor"/>
          <w:rtl w:val="true"/>
        </w:rPr>
        <w:footnoteReference w:id="1476"/>
      </w:r>
      <w:r>
        <w:rPr>
          <w:rFonts w:ascii="Amiri" w:hAnsi="Amiri" w:eastAsia="Amiri" w:cs="Amiri"/>
          <w:color w:val="111111"/>
          <w:sz w:val="28"/>
          <w:sz w:val="28"/>
          <w:szCs w:val="28"/>
          <w:rtl w:val="true"/>
          <w:lang w:bidi="ar-SA"/>
        </w:rPr>
        <w:t>، فحَملُه علىٰ هذا الوجهِ هو الذي يَقتَضيه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 في الوقتِ مع</w:t>
      </w:r>
      <w:r>
        <w:rPr>
          <w:rStyle w:val="FootnoteAnchor"/>
          <w:rtl w:val="true"/>
        </w:rPr>
        <w:footnoteReference w:id="1477"/>
      </w:r>
      <w:r>
        <w:rPr>
          <w:rFonts w:ascii="Amiri" w:hAnsi="Amiri" w:eastAsia="Amiri" w:cs="Amiri"/>
          <w:color w:val="111111"/>
          <w:sz w:val="28"/>
          <w:sz w:val="28"/>
          <w:szCs w:val="28"/>
          <w:rtl w:val="true"/>
          <w:lang w:bidi="ar-SA"/>
        </w:rPr>
        <w:t>سَلبِهم إيّاه معنَى الإمامةِ و التصرُّفِ في الحالِ لا وجهَ له، و يَعودُ الكلامُ فيه إلىٰ غَباوةٍ‌</w:t>
      </w:r>
      <w:r>
        <w:rPr>
          <w:rFonts w:eastAsia="Amiri" w:cs="Amiri" w:ascii="Amiri" w:hAnsi="Amiri"/>
          <w:color w:val="111111"/>
          <w:sz w:val="28"/>
          <w:szCs w:val="28"/>
          <w:rtl w:val="true"/>
          <w:lang w:bidi="ar-SA"/>
        </w:rPr>
        <w:t>.</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و كذلكَ 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 صامتٌ ثُمَّ يَصيرُ ناطقاً؛ لأنّ ظاهرَ الخبرِ يَقتَضي له مِثلَ ما يَقتَضي للرسولِ‌؛ فإن أُريدَ بذلكَ الإمامةُ‌</w:t>
      </w:r>
      <w:r>
        <w:rPr>
          <w:rStyle w:val="FootnoteAnchor"/>
          <w:rtl w:val="true"/>
        </w:rPr>
        <w:footnoteReference w:id="1479"/>
      </w:r>
      <w:r>
        <w:rPr>
          <w:rFonts w:ascii="Amiri" w:hAnsi="Amiri" w:eastAsia="Amiri" w:cs="Amiri"/>
          <w:color w:val="111111"/>
          <w:sz w:val="28"/>
          <w:sz w:val="28"/>
          <w:szCs w:val="28"/>
          <w:rtl w:val="true"/>
          <w:lang w:bidi="ar-SA"/>
        </w:rPr>
        <w:t xml:space="preserve">وَجَبَ أن يَكونَ له أن يَتصرَّفَ فيما إلَى الإمامِ برأيِه و اجتهادِه مِن دونِ مُراجَعةِ الرسولِ ، و لَيسَ ذلكَ بقَولٍ </w:t>
      </w:r>
      <w:r>
        <w:rPr>
          <w:rStyle w:val="FootnoteAnchor"/>
          <w:rtl w:val="true"/>
        </w:rPr>
        <w:footnoteReference w:id="1480"/>
      </w:r>
      <w:r>
        <w:rPr>
          <w:rFonts w:ascii="Amiri" w:hAnsi="Amiri" w:eastAsia="Amiri" w:cs="Amiri"/>
          <w:color w:val="111111"/>
          <w:sz w:val="28"/>
          <w:sz w:val="28"/>
          <w:szCs w:val="28"/>
          <w:rtl w:val="true"/>
          <w:lang w:bidi="ar-SA"/>
        </w:rPr>
        <w:t>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 بالمُراجَعةِ ، فلَيسَ له في ذلكَ مِن الاختصاصِ إلّاما</w:t>
      </w:r>
      <w:r>
        <w:rPr>
          <w:rStyle w:val="FootnoteAnchor"/>
          <w:rtl w:val="true"/>
        </w:rPr>
        <w:footnoteReference w:id="1481"/>
      </w:r>
      <w:r>
        <w:rPr>
          <w:rFonts w:ascii="Amiri" w:hAnsi="Amiri" w:eastAsia="Amiri" w:cs="Amiri"/>
          <w:color w:val="111111"/>
          <w:sz w:val="28"/>
          <w:sz w:val="28"/>
          <w:szCs w:val="28"/>
          <w:rtl w:val="true"/>
          <w:lang w:bidi="ar-SA"/>
        </w:rPr>
        <w:t xml:space="preserve">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مِن وجوبِ حَملِه علىٰ ما ذَكرناه ممّا هو أعلىٰ مَنزِلةً مِن الإمامةِ </w:t>
      </w:r>
      <w:r>
        <w:rPr>
          <w:rFonts w:eastAsia="Amiri" w:cs="Amiri" w:ascii="Amiri" w:hAnsi="Amiri"/>
          <w:color w:val="111111"/>
          <w:sz w:val="28"/>
          <w:szCs w:val="28"/>
          <w:rtl w:val="true"/>
          <w:lang w:bidi="ar-SA"/>
        </w:rPr>
        <w:t>].</w:t>
      </w:r>
      <w:r>
        <w:rPr>
          <w:rStyle w:val="FootnoteAnchor"/>
          <w:rtl w:val="true"/>
        </w:rPr>
        <w:footnoteReference w:id="1482"/>
      </w:r>
    </w:p>
    <w:p>
      <w:pPr>
        <w:pStyle w:val="Heading6"/>
        <w:numPr>
          <w:ilvl w:val="5"/>
          <w:numId w:val="1"/>
        </w:numPr>
        <w:rPr/>
      </w:pPr>
      <w:bookmarkStart w:id="296" w:name="__RefHeading___Toc964203_2320776876"/>
      <w:bookmarkStart w:id="297" w:name="_Toc105"/>
      <w:bookmarkEnd w:id="296"/>
      <w:r>
        <w:rPr>
          <w:rtl w:val="true"/>
        </w:rPr>
        <w:t>نفي شمول فرض طاعة أمير المؤمنين عليه السلام لحال حياة الرسول صلى الله عليه و آله</w:t>
      </w:r>
      <w:bookmarkEnd w:id="297"/>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أنّ الذي أوجَبَه الرسولُ صَلّى اللّٰهُ عليه و آلِه في خبرِ الغَديرِ يَجِبُ أن يَكونَ ثابتاً في الحالِ؟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w:t>
      </w:r>
      <w:r>
        <w:rPr>
          <w:rStyle w:val="FootnoteAnchor"/>
          <w:rtl w:val="true"/>
        </w:rPr>
        <w:footnoteReference w:id="1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أُوجِبْ </w:t>
      </w:r>
      <w:r>
        <w:rPr>
          <w:rStyle w:val="FootnoteAnchor"/>
          <w:rtl w:val="true"/>
        </w:rPr>
        <w:footnoteReference w:id="1484"/>
      </w:r>
      <w:r>
        <w:rPr>
          <w:rFonts w:ascii="Amiri" w:hAnsi="Amiri" w:eastAsia="Amiri" w:cs="Amiri"/>
          <w:color w:val="111111"/>
          <w:sz w:val="28"/>
          <w:sz w:val="28"/>
          <w:szCs w:val="28"/>
          <w:rtl w:val="true"/>
          <w:lang w:bidi="ar-SA"/>
        </w:rPr>
        <w:t xml:space="preserve">ذلكَ إلّامِن حَيثُ أراكم توجِبونَ عمومَ فرضِ الطاعةِ </w:t>
      </w:r>
    </w:p>
    <w:p>
      <w:pPr>
        <w:pStyle w:val="BookText"/>
        <w:rPr/>
      </w:pPr>
      <w:r>
        <w:rPr>
          <w:rFonts w:ascii="Amiri" w:hAnsi="Amiri" w:eastAsia="Amiri" w:cs="Amiri"/>
          <w:color w:val="111111"/>
          <w:sz w:val="28"/>
          <w:sz w:val="28"/>
          <w:szCs w:val="28"/>
          <w:rtl w:val="true"/>
          <w:lang w:bidi="ar-SA"/>
        </w:rPr>
        <w:t xml:space="preserve">لسائرِ الخَلقِ و في سائرِ الأُمورِ، و تَتعلَّقونَ بالمُقدِّمةِ‌؛ و أنّ النبيَّ صَلّى اللّٰهُ عليه و آلِه لمّا قَرَّرَ الأُمّةَ بفرضِ طاعتِه عليهم في كُلِّ أمرٍ، وَجَبَ </w:t>
      </w:r>
      <w:r>
        <w:rPr>
          <w:rStyle w:val="FootnoteAnchor"/>
          <w:rtl w:val="true"/>
        </w:rPr>
        <w:footnoteReference w:id="1485"/>
      </w:r>
      <w:r>
        <w:rPr>
          <w:rFonts w:ascii="Amiri" w:hAnsi="Amiri" w:eastAsia="Amiri" w:cs="Amiri"/>
          <w:color w:val="111111"/>
          <w:sz w:val="28"/>
          <w:sz w:val="28"/>
          <w:szCs w:val="28"/>
          <w:rtl w:val="true"/>
          <w:lang w:bidi="ar-SA"/>
        </w:rPr>
        <w:t xml:space="preserve">مِثلُه لِمَن أوجَبَ له مِثلَ ما كانَ واجباً لنفسِه، و مِن المعلومِ أنّ فرضَ طاعةِ النبيِّ صَلّى اللّٰهُ عليه و آلِه علَى الخَلقِ لَم يَكُن مُختَصّاً بحالٍ دونَ حالٍ ، بَل كانَ عامّاً في سائرِ الأحوالِ التي مِن جُملتِها حالُ الخِطابِ بخبرِ الغَديرِ، فساوىٰ </w:t>
      </w:r>
      <w:r>
        <w:rPr>
          <w:rStyle w:val="FootnoteAnchor"/>
          <w:rtl w:val="true"/>
        </w:rPr>
        <w:footnoteReference w:id="1486"/>
      </w:r>
      <w:r>
        <w:rPr>
          <w:rFonts w:ascii="Amiri" w:hAnsi="Amiri" w:eastAsia="Amiri" w:cs="Amiri"/>
          <w:color w:val="111111"/>
          <w:sz w:val="28"/>
          <w:sz w:val="28"/>
          <w:szCs w:val="28"/>
          <w:rtl w:val="true"/>
          <w:lang w:bidi="ar-SA"/>
        </w:rPr>
        <w:t>ما ذَكرتموه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صِرتَ إلىٰ هذا الوجهِ و أوجَبتَ ما ادَّعَيتَه مِن هذه الجهةِ‌، فأكثَرُ ما فيه أن يَكونَ ظاهرُ الخِطابِ يَقتَضيه، و ما يَقتَضيه ظاهرُ الخِطابِ قد</w:t>
      </w:r>
      <w:r>
        <w:rPr>
          <w:rStyle w:val="FootnoteAnchor"/>
          <w:rtl w:val="true"/>
        </w:rPr>
        <w:footnoteReference w:id="1487"/>
      </w:r>
      <w:r>
        <w:rPr>
          <w:rFonts w:ascii="Amiri" w:hAnsi="Amiri" w:eastAsia="Amiri" w:cs="Amiri"/>
          <w:color w:val="111111"/>
          <w:sz w:val="28"/>
          <w:sz w:val="28"/>
          <w:szCs w:val="28"/>
          <w:rtl w:val="true"/>
          <w:lang w:bidi="ar-SA"/>
        </w:rPr>
        <w:t>يَجوزُ الانصرافُ عنه بالدلائلِ‌، 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w:t>
      </w:r>
      <w:r>
        <w:rPr>
          <w:rStyle w:val="FootnoteAnchor"/>
          <w:rtl w:val="true"/>
        </w:rPr>
        <w:footnoteReference w:id="1488"/>
      </w:r>
      <w:r>
        <w:rPr>
          <w:rFonts w:ascii="Amiri" w:hAnsi="Amiri" w:eastAsia="Amiri" w:cs="Amiri"/>
          <w:color w:val="111111"/>
          <w:sz w:val="28"/>
          <w:sz w:val="28"/>
          <w:szCs w:val="28"/>
          <w:rtl w:val="true"/>
          <w:lang w:bidi="ar-SA"/>
        </w:rPr>
        <w:t>لَو خُلّينا و الظاهرَ لَأوجَبنا عمومَ فرضِ الطاعةِ لسائرِ الأحوالِ‌، و إذا مَنَعَ مِن ثُبوتِ ما وَجَبَ بالخبرِ في حالِ حياةِ الرسولِ‌</w:t>
      </w:r>
      <w:r>
        <w:rPr>
          <w:rStyle w:val="FootnoteAnchor"/>
          <w:rtl w:val="true"/>
        </w:rPr>
        <w:footnoteReference w:id="1489"/>
      </w:r>
      <w:r>
        <w:rPr>
          <w:rFonts w:ascii="Amiri" w:hAnsi="Amiri" w:eastAsia="Amiri" w:cs="Amiri"/>
          <w:color w:val="111111"/>
          <w:sz w:val="28"/>
          <w:sz w:val="28"/>
          <w:szCs w:val="28"/>
          <w:rtl w:val="true"/>
          <w:lang w:bidi="ar-SA"/>
        </w:rPr>
        <w:t>صَلّى اللّٰهُ عليه و آلِه مانعٌ‌</w:t>
      </w:r>
      <w:r>
        <w:rPr>
          <w:rStyle w:val="FootnoteAnchor"/>
          <w:rtl w:val="true"/>
        </w:rPr>
        <w:footnoteReference w:id="1490"/>
      </w:r>
      <w:r>
        <w:rPr>
          <w:rFonts w:ascii="Amiri" w:hAnsi="Amiri" w:eastAsia="Amiri" w:cs="Amiri"/>
          <w:color w:val="111111"/>
          <w:sz w:val="28"/>
          <w:sz w:val="28"/>
          <w:szCs w:val="28"/>
          <w:rtl w:val="true"/>
          <w:lang w:bidi="ar-SA"/>
        </w:rPr>
        <w:t>امتَنَعنا له، و أَوجَبنا الحُكمَ فيما يَلي هذه الأحوالَ بالخبرِ؛ لأنّه لا مانعَ من ثُبوتِ الإمامةِ و فرضِ الطاعةِ فيها لغَيرِ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اللفظُ يَقتَضي سائرَ الأحوالِ ، فخَرَجَ بعضُها بدَلالةٍ ، بَقيَ </w:t>
      </w:r>
      <w:r>
        <w:rPr>
          <w:rStyle w:val="FootnoteAnchor"/>
          <w:rtl w:val="true"/>
        </w:rPr>
        <w:footnoteReference w:id="1491"/>
      </w:r>
      <w:r>
        <w:rPr>
          <w:rFonts w:ascii="Amiri" w:hAnsi="Amiri" w:eastAsia="Amiri" w:cs="Amiri"/>
          <w:color w:val="111111"/>
          <w:sz w:val="28"/>
          <w:sz w:val="28"/>
          <w:szCs w:val="28"/>
          <w:rtl w:val="true"/>
          <w:lang w:bidi="ar-SA"/>
        </w:rPr>
        <w:t xml:space="preserve">البعضُ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نُجيبُ به أيضاً عن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ثَبَتَ كَونُ النبيِّ صَلّى اللّٰهُ عليه و آلِه مُستَخلِفاً لأميرِ المؤمنينَ عليه السلامُ بخبرِ الغَديرِ، و العادةُ جاريةٌ </w:t>
      </w:r>
    </w:p>
    <w:p>
      <w:pPr>
        <w:pStyle w:val="BookText"/>
        <w:rPr/>
      </w:pPr>
      <w:r>
        <w:rPr>
          <w:rFonts w:ascii="Amiri" w:hAnsi="Amiri" w:eastAsia="Amiri" w:cs="Amiri"/>
          <w:color w:val="111111"/>
          <w:sz w:val="28"/>
          <w:sz w:val="28"/>
          <w:szCs w:val="28"/>
          <w:rtl w:val="true"/>
          <w:lang w:bidi="ar-SA"/>
        </w:rPr>
        <w:t>فيمن</w:t>
      </w:r>
      <w:r>
        <w:rPr>
          <w:rStyle w:val="FootnoteAnchor"/>
          <w:rtl w:val="true"/>
        </w:rPr>
        <w:footnoteReference w:id="1492"/>
      </w:r>
      <w:r>
        <w:rPr>
          <w:rFonts w:ascii="Amiri" w:hAnsi="Amiri" w:eastAsia="Amiri" w:cs="Amiri"/>
          <w:color w:val="111111"/>
          <w:sz w:val="28"/>
          <w:sz w:val="28"/>
          <w:szCs w:val="28"/>
          <w:rtl w:val="true"/>
          <w:lang w:bidi="ar-SA"/>
        </w:rPr>
        <w:t>يُستَخلَفُ أن يَحصُلَ له الاستحقاقُ في الحالِ و وجوبُ التصرُّفِ بَعدَ الحالِ‌؛ ألا تَرىٰ أنّ الإمامَ إذا نَصَّ علىٰ خَليفةٍ له</w:t>
      </w:r>
      <w:r>
        <w:rPr>
          <w:rStyle w:val="FootnoteAnchor"/>
          <w:rtl w:val="true"/>
        </w:rPr>
        <w:footnoteReference w:id="1493"/>
      </w:r>
      <w:r>
        <w:rPr>
          <w:rFonts w:ascii="Amiri" w:hAnsi="Amiri" w:eastAsia="Amiri" w:cs="Amiri"/>
          <w:color w:val="111111"/>
          <w:sz w:val="28"/>
          <w:sz w:val="28"/>
          <w:szCs w:val="28"/>
          <w:rtl w:val="true"/>
          <w:lang w:bidi="ar-SA"/>
        </w:rPr>
        <w:t>يَقومُ بالأمرِ بَعدَه</w:t>
      </w:r>
      <w:r>
        <w:rPr>
          <w:rStyle w:val="FootnoteAnchor"/>
          <w:rtl w:val="true"/>
        </w:rPr>
        <w:footnoteReference w:id="1494"/>
      </w:r>
      <w:r>
        <w:rPr>
          <w:rFonts w:ascii="Amiri" w:hAnsi="Amiri" w:eastAsia="Amiri" w:cs="Amiri"/>
          <w:color w:val="111111"/>
          <w:sz w:val="28"/>
          <w:sz w:val="28"/>
          <w:szCs w:val="28"/>
          <w:rtl w:val="true"/>
          <w:lang w:bidi="ar-SA"/>
        </w:rPr>
        <w:t>، اقتَضىٰ ظاهرُ استخلافِه الاستحقاقَ في الحالِ و التصرُّفَ بَعدَها، بالعادةِ الجاريةِ في أمثالِ هذا الاستخلافِ‌</w:t>
      </w:r>
      <w:r>
        <w:rPr>
          <w:rStyle w:val="FootnoteAnchor"/>
          <w:rtl w:val="true"/>
        </w:rPr>
        <w:footnoteReference w:id="1495"/>
      </w:r>
      <w:r>
        <w:rPr>
          <w:rFonts w:ascii="Amiri" w:hAnsi="Amiri" w:eastAsia="Amiri" w:cs="Amiri"/>
          <w:color w:val="111111"/>
          <w:sz w:val="28"/>
          <w:sz w:val="28"/>
          <w:szCs w:val="28"/>
          <w:rtl w:val="true"/>
          <w:lang w:bidi="ar-SA"/>
        </w:rPr>
        <w:t>؟ فيَجِبُ بما ذَكرناه أن يَكونَ أميرُ المؤمنينَ عليه السلامُ مُستَحِقّاً في</w:t>
      </w:r>
    </w:p>
    <w:p>
      <w:pPr>
        <w:pStyle w:val="BookText"/>
        <w:rPr/>
      </w:pPr>
      <w:r>
        <w:rPr>
          <w:rFonts w:ascii="Amiri" w:hAnsi="Amiri" w:eastAsia="Amiri" w:cs="Amiri"/>
          <w:color w:val="111111"/>
          <w:sz w:val="28"/>
          <w:sz w:val="28"/>
          <w:szCs w:val="28"/>
          <w:rtl w:val="true"/>
          <w:lang w:bidi="ar-SA"/>
        </w:rPr>
        <w:t>تلكَ الحالِ و ما وَلِيَها مِن أحوالِ حياةِ الرسولِ صلّى اللّٰه عليه و آله للإمامةِ‌، و التصرُّفُ في الأُمّةِ‌</w:t>
      </w:r>
      <w:r>
        <w:rPr>
          <w:rStyle w:val="FootnoteAnchor"/>
          <w:rtl w:val="true"/>
        </w:rPr>
        <w:footnoteReference w:id="1496"/>
      </w:r>
      <w:r>
        <w:rPr>
          <w:rFonts w:ascii="Amiri" w:hAnsi="Amiri" w:eastAsia="Amiri" w:cs="Amiri"/>
          <w:color w:val="111111"/>
          <w:sz w:val="28"/>
          <w:sz w:val="28"/>
          <w:szCs w:val="28"/>
          <w:rtl w:val="true"/>
          <w:lang w:bidi="ar-SA"/>
        </w:rPr>
        <w:t>بالأمرِ و النهيِ بَعدَ وفاتِه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أحْسَنّا الظنَّ بمَن قالَ في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إمامٌ صامتٌ‌</w:t>
      </w:r>
      <w:r>
        <w:rPr>
          <w:rStyle w:val="FootnoteAnchor"/>
          <w:rtl w:val="true"/>
        </w:rPr>
        <w:footnoteReference w:id="1497"/>
      </w:r>
      <w:r>
        <w:rPr>
          <w:rFonts w:ascii="Amiri" w:hAnsi="Amiri" w:eastAsia="Amiri" w:cs="Amiri"/>
          <w:color w:val="111111"/>
          <w:sz w:val="28"/>
          <w:sz w:val="28"/>
          <w:szCs w:val="28"/>
          <w:rtl w:val="true"/>
          <w:lang w:bidi="ar-SA"/>
        </w:rPr>
        <w:t>في حالِ حياةِ الرسولِ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حَمَلنا قولَه مِن طريقِ المعنىٰ علىٰ هذا الوجهِ و إن كانَ غالِطاً في إطلاقِه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Style w:val="FootnoteAnchor"/>
          <w:rtl w:val="true"/>
        </w:rPr>
        <w:footnoteReference w:id="1498"/>
      </w:r>
      <w:r>
        <w:rPr>
          <w:rFonts w:ascii="Amiri" w:hAnsi="Amiri" w:eastAsia="Amiri" w:cs="Amiri"/>
          <w:color w:val="111111"/>
          <w:sz w:val="28"/>
          <w:sz w:val="28"/>
          <w:szCs w:val="28"/>
          <w:rtl w:val="true"/>
          <w:lang w:bidi="ar-SA"/>
        </w:rPr>
        <w:t xml:space="preserve">لأنّه لمّا رأىٰ أنّ </w:t>
      </w:r>
      <w:r>
        <w:rPr>
          <w:rStyle w:val="FootnoteAnchor"/>
          <w:rtl w:val="true"/>
        </w:rPr>
        <w:footnoteReference w:id="1499"/>
      </w:r>
      <w:r>
        <w:rPr>
          <w:rFonts w:ascii="Amiri" w:hAnsi="Amiri" w:eastAsia="Amiri" w:cs="Amiri"/>
          <w:color w:val="111111"/>
          <w:sz w:val="28"/>
          <w:sz w:val="28"/>
          <w:szCs w:val="28"/>
          <w:rtl w:val="true"/>
          <w:lang w:bidi="ar-SA"/>
        </w:rPr>
        <w:t xml:space="preserve">الخبرَ يَقتَضي لأميرِ المؤمنينَ عليه السلامُ استحقاقَ الأمرِ و الاختصاصَ به في الحالِ مِن غيرِ تصرُّفٍ فيه ذَهَبَ إلىٰ أنّه الإمامُ ، و جَعَلَ صُموتَه عن الدعاءِ و القيامِ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رأىٰ أنّ التصرُّفَ لا يَجِبُ له في الحالِ ، و أنّه متأخِّرٌ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صَمتاً</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غَلِطَ في الوصفِ بالإمامةِ مِن حَيثُ كانَ الوصفُ بها يَقتَضي ثُبوتَ التصرُّفِ في الحالِ ؛ فمَن لَم يَكُن له التصرُّفُ في حالٍ مِن الأحوالِ لا يَكونُ إماماً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قومٌ مِن أصحابِنا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يوجِبُ لأميرِ المؤمنينَ عليه السلامُ فرضَ الطاعةِ في الحالِ علىٰ جميعِ الأُمّةِ‌، حتّىٰ يَكونَ له عليه السلامُ أن يَتصرَّفَ فيهم بالأمرِ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Style w:val="FootnoteAnchor"/>
          <w:rtl w:val="true"/>
        </w:rPr>
        <w:footnoteReference w:id="1501"/>
      </w:r>
      <w:r>
        <w:rPr>
          <w:rFonts w:ascii="Amiri" w:hAnsi="Amiri" w:eastAsia="Amiri" w:cs="Amiri"/>
          <w:color w:val="111111"/>
          <w:sz w:val="28"/>
          <w:sz w:val="28"/>
          <w:szCs w:val="28"/>
          <w:rtl w:val="true"/>
          <w:lang w:bidi="ar-SA"/>
        </w:rPr>
        <w:t>مَن خَصَّصَ وجوبَ فرضِ طاعتِه</w:t>
      </w:r>
      <w:r>
        <w:rPr>
          <w:rStyle w:val="FootnoteAnchor"/>
          <w:rtl w:val="true"/>
        </w:rPr>
        <w:footnoteReference w:id="150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الكلامَ أوجَبَ‌</w:t>
      </w:r>
      <w:r>
        <w:rPr>
          <w:rStyle w:val="FootnoteAnchor"/>
          <w:rtl w:val="true"/>
        </w:rPr>
        <w:footnoteReference w:id="1503"/>
      </w:r>
      <w:r>
        <w:rPr>
          <w:rFonts w:ascii="Amiri" w:hAnsi="Amiri" w:eastAsia="Amiri" w:cs="Amiri"/>
          <w:color w:val="111111"/>
          <w:sz w:val="28"/>
          <w:sz w:val="28"/>
          <w:szCs w:val="28"/>
          <w:rtl w:val="true"/>
          <w:lang w:bidi="ar-SA"/>
        </w:rPr>
        <w:t>طاعتَه علىٰ سَبيلِ الاستخلافِ‌؛ فلَيسَ له أن يَتصرَّفَ بالأمرِ و النهيِ و الرسولُ حاضرٌ، و إنّما له أن يَتصرَّفَ في حالِ غَيبتِه أو حالِ وفاتِه؛ و امتَنَعَ‌</w:t>
      </w:r>
      <w:r>
        <w:rPr>
          <w:rStyle w:val="FootnoteAnchor"/>
          <w:rtl w:val="true"/>
        </w:rPr>
        <w:footnoteReference w:id="1504"/>
      </w:r>
      <w:r>
        <w:rPr>
          <w:rFonts w:ascii="Amiri" w:hAnsi="Amiri" w:eastAsia="Amiri" w:cs="Amiri"/>
          <w:color w:val="111111"/>
          <w:sz w:val="28"/>
          <w:sz w:val="28"/>
          <w:szCs w:val="28"/>
          <w:rtl w:val="true"/>
          <w:lang w:bidi="ar-SA"/>
        </w:rPr>
        <w:t xml:space="preserve">الكُلُّ مِن إجراءِ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Style w:val="FootnoteAnchor"/>
          <w:rtl w:val="true"/>
        </w:rPr>
        <w:footnoteReference w:id="1505"/>
      </w:r>
      <w:r>
        <w:rPr>
          <w:rFonts w:ascii="Amiri" w:hAnsi="Amiri" w:eastAsia="Amiri" w:cs="Amiri"/>
          <w:color w:val="111111"/>
          <w:sz w:val="28"/>
          <w:sz w:val="28"/>
          <w:szCs w:val="28"/>
          <w:rtl w:val="true"/>
          <w:lang w:bidi="ar-SA"/>
        </w:rPr>
        <w:t>عليه و إن كانَ مُفتَرَضَ الطاعةِ علَى الوجهِ الذي ذَكرناه،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يَجري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اختَصَّ بفَرضِ الطاعةِ مع أنّه لا يَدَ فَوقَ يَدِه؛ فأمّا</w:t>
      </w:r>
      <w:r>
        <w:rPr>
          <w:rStyle w:val="FootnoteAnchor"/>
          <w:rtl w:val="true"/>
        </w:rPr>
        <w:footnoteReference w:id="1506"/>
      </w:r>
      <w:r>
        <w:rPr>
          <w:rFonts w:ascii="Amiri" w:hAnsi="Amiri" w:eastAsia="Amiri" w:cs="Amiri"/>
          <w:color w:val="111111"/>
          <w:sz w:val="28"/>
          <w:sz w:val="28"/>
          <w:szCs w:val="28"/>
          <w:rtl w:val="true"/>
          <w:lang w:bidi="ar-SA"/>
        </w:rPr>
        <w:t xml:space="preserve">مَن كانَ مُطاعاً و علىٰ يَدِه يَدٌ، فإنّه لا يَكونُ إماماً، و لا يَستَحِقُّ هذه التسميةَ‌، كما لا يَستَحِقُّها جميعُ أُمَراءِ النبيِّ صَلّى اللّٰهُ عليه و آلِه و خُلَفائه في الأمصارِ و إن كانوا مُطاعينَ‌، 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التسميةَ بالإمامةِ و إن امتُنِعَ منها</w:t>
      </w:r>
      <w:r>
        <w:rPr>
          <w:rStyle w:val="FootnoteAnchor"/>
          <w:rtl w:val="true"/>
        </w:rPr>
        <w:footnoteReference w:id="1507"/>
      </w:r>
      <w:r>
        <w:rPr>
          <w:rFonts w:ascii="Amiri" w:hAnsi="Amiri" w:eastAsia="Amiri" w:cs="Amiri"/>
          <w:color w:val="111111"/>
          <w:sz w:val="28"/>
          <w:sz w:val="28"/>
          <w:szCs w:val="28"/>
          <w:rtl w:val="true"/>
          <w:lang w:bidi="ar-SA"/>
        </w:rPr>
        <w:t>في الحالِ ، فواجبٌ إجراؤها بَعدَ الوفاةِ ؛ لزَوالِ العِلّةِ المانِعةِ مِن إجرائها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الأوّلُ أقوَى الثلاثةِ ، و هو الذي نَختارُه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أن يَكونَ ما اقتَضاه الخبرُ غيرَ ثابتٍ في الحالِ مع ما يُروىٰ مِن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أصبَحتَ مَولايَ و مَولىٰ كُلِّ مؤمنٍ و 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حصولَ الأمرِ في الحالِ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حصولَ الإمامةِ في الحالِ‌، و إنّما يَقتَضي ثُبوتَ استحقاقِها في حالِ التهنئةِ و إن كانَ التصرُّفُ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يَمتَنِعُ أن يُهنَّأَ الإنسانُ بما ثَبَتَ‌</w:t>
      </w:r>
      <w:r>
        <w:rPr>
          <w:rStyle w:val="FootnoteAnchor"/>
          <w:rtl w:val="true"/>
        </w:rPr>
        <w:footnoteReference w:id="1508"/>
      </w:r>
      <w:r>
        <w:rPr>
          <w:rFonts w:ascii="Amiri" w:hAnsi="Amiri" w:eastAsia="Amiri" w:cs="Amiri"/>
          <w:color w:val="111111"/>
          <w:sz w:val="28"/>
          <w:sz w:val="28"/>
          <w:szCs w:val="28"/>
          <w:rtl w:val="true"/>
          <w:lang w:bidi="ar-SA"/>
        </w:rPr>
        <w:t>له استحقاقُه في الحالِ و إن كانَ التصرُّفُ فيه يَتأخَّرُ عنها؛ لأنّ أحَدَ المُلوكِ أو</w:t>
      </w:r>
      <w:r>
        <w:rPr>
          <w:rStyle w:val="FootnoteAnchor"/>
          <w:rtl w:val="true"/>
        </w:rPr>
        <w:footnoteReference w:id="1509"/>
      </w:r>
      <w:r>
        <w:rPr>
          <w:rFonts w:ascii="Amiri" w:hAnsi="Amiri" w:eastAsia="Amiri" w:cs="Amiri"/>
          <w:color w:val="111111"/>
          <w:sz w:val="28"/>
          <w:sz w:val="28"/>
          <w:szCs w:val="28"/>
          <w:rtl w:val="true"/>
          <w:lang w:bidi="ar-SA"/>
        </w:rPr>
        <w:t>الأئمّةِ لَو استَخلَفَ علىٰ رَعيّتِه مَن يَقومُ بأمرِهم إذا غابَ‌</w:t>
      </w:r>
      <w:r>
        <w:rPr>
          <w:rStyle w:val="FootnoteAnchor"/>
          <w:rtl w:val="true"/>
        </w:rPr>
        <w:footnoteReference w:id="1510"/>
      </w:r>
      <w:r>
        <w:rPr>
          <w:rFonts w:ascii="Amiri" w:hAnsi="Amiri" w:eastAsia="Amiri" w:cs="Amiri"/>
          <w:color w:val="111111"/>
          <w:sz w:val="28"/>
          <w:sz w:val="28"/>
          <w:szCs w:val="28"/>
          <w:rtl w:val="true"/>
          <w:lang w:bidi="ar-SA"/>
        </w:rPr>
        <w:t xml:space="preserve">عنهم أو تُوُفّيَ ، لَجازَ مِن رَعيّتِه أن يُهنِّئوا ذلكَ المُستَخلَفَ بما ثَبَتَ له مِن الاستحقاقِ </w:t>
      </w:r>
      <w:r>
        <w:rPr>
          <w:rStyle w:val="FootnoteAnchor"/>
          <w:rtl w:val="true"/>
        </w:rPr>
        <w:footnoteReference w:id="1511"/>
      </w:r>
      <w:r>
        <w:rPr>
          <w:rFonts w:ascii="Amiri" w:hAnsi="Amiri" w:eastAsia="Amiri" w:cs="Amiri"/>
          <w:color w:val="111111"/>
          <w:sz w:val="28"/>
          <w:sz w:val="28"/>
          <w:szCs w:val="28"/>
          <w:rtl w:val="true"/>
          <w:lang w:bidi="ar-SA"/>
        </w:rPr>
        <w:t xml:space="preserve">و إن لَم يَغِبِ المَلِكُ و لا تُوُفّيَ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الجُملةُ تأتي علىٰ كلامِه في 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سؤالٍ أورَدَه و أجابَ عنه لا يُسألُ </w:t>
      </w:r>
      <w:r>
        <w:rPr>
          <w:rStyle w:val="FootnoteAnchor"/>
          <w:rtl w:val="true"/>
        </w:rPr>
        <w:footnoteReference w:id="1512"/>
      </w:r>
      <w:r>
        <w:rPr>
          <w:rFonts w:ascii="Amiri" w:hAnsi="Amiri" w:eastAsia="Amiri" w:cs="Amiri"/>
          <w:color w:val="111111"/>
          <w:sz w:val="28"/>
          <w:sz w:val="28"/>
          <w:szCs w:val="28"/>
          <w:rtl w:val="true"/>
          <w:lang w:bidi="ar-SA"/>
        </w:rPr>
        <w:t xml:space="preserve">عن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يُريدَ عليه السلامُ </w:t>
      </w:r>
      <w:r>
        <w:rPr>
          <w:rStyle w:val="FootnoteAnchor"/>
          <w:rtl w:val="true"/>
        </w:rPr>
        <w:footnoteReference w:id="1513"/>
      </w:r>
      <w:r>
        <w:rPr>
          <w:rFonts w:ascii="Amiri" w:hAnsi="Amiri" w:eastAsia="Amiri" w:cs="Amiri"/>
          <w:color w:val="111111"/>
          <w:sz w:val="28"/>
          <w:sz w:val="28"/>
          <w:szCs w:val="28"/>
          <w:rtl w:val="true"/>
          <w:lang w:bidi="ar-SA"/>
        </w:rPr>
        <w:t xml:space="preserve">ذلكَ </w:t>
      </w:r>
      <w:r>
        <w:rPr>
          <w:rStyle w:val="FootnoteAnchor"/>
          <w:rtl w:val="true"/>
        </w:rPr>
        <w:footnoteReference w:id="1514"/>
      </w:r>
      <w:r>
        <w:rPr>
          <w:rFonts w:ascii="Amiri" w:hAnsi="Amiri" w:eastAsia="Amiri" w:cs="Amiri"/>
          <w:color w:val="111111"/>
          <w:sz w:val="28"/>
          <w:sz w:val="28"/>
          <w:szCs w:val="28"/>
          <w:rtl w:val="true"/>
          <w:lang w:bidi="ar-SA"/>
        </w:rPr>
        <w:t xml:space="preserve">و قد تَبيَّنَ </w:t>
      </w:r>
      <w:r>
        <w:rPr>
          <w:rStyle w:val="FootnoteAnchor"/>
          <w:rtl w:val="true"/>
        </w:rPr>
        <w:footnoteReference w:id="1515"/>
      </w:r>
      <w:r>
        <w:rPr>
          <w:rFonts w:ascii="Amiri" w:hAnsi="Amiri" w:eastAsia="Amiri" w:cs="Amiri"/>
          <w:color w:val="111111"/>
          <w:sz w:val="28"/>
          <w:sz w:val="28"/>
          <w:szCs w:val="28"/>
          <w:rtl w:val="true"/>
          <w:lang w:bidi="ar-SA"/>
        </w:rPr>
        <w:t xml:space="preserve">مِن حالِه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حالِ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الموالاةَ؟ و كَيفَ يَجمَعُ الناسَ لمِثلِ ذلكَ و الحالُ ما قُلناه</w:t>
      </w:r>
      <w:r>
        <w:rPr>
          <w:rStyle w:val="FootnoteAnchor"/>
          <w:rtl w:val="true"/>
        </w:rPr>
        <w:footnoteReference w:id="15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هذه المَرتَبةَ تَفوقُ مَرتَبةَ الإمامةِ </w:t>
      </w:r>
      <w:r>
        <w:rPr>
          <w:rStyle w:val="FootnoteAnchor"/>
          <w:rtl w:val="true"/>
        </w:rPr>
        <w:footnoteReference w:id="1517"/>
      </w:r>
      <w:r>
        <w:rPr>
          <w:rFonts w:ascii="Amiri" w:hAnsi="Amiri" w:eastAsia="Amiri" w:cs="Amiri"/>
          <w:color w:val="111111"/>
          <w:sz w:val="28"/>
          <w:sz w:val="28"/>
          <w:szCs w:val="28"/>
          <w:rtl w:val="true"/>
          <w:lang w:bidi="ar-SA"/>
        </w:rPr>
        <w:t xml:space="preserve">، و أنّ الإمامةَ إنّما </w:t>
      </w:r>
    </w:p>
    <w:p>
      <w:pPr>
        <w:pStyle w:val="BookText"/>
        <w:rPr/>
      </w:pPr>
      <w:r>
        <w:rPr>
          <w:rFonts w:ascii="Amiri" w:hAnsi="Amiri" w:eastAsia="Amiri" w:cs="Amiri"/>
          <w:color w:val="111111"/>
          <w:sz w:val="28"/>
          <w:sz w:val="28"/>
          <w:szCs w:val="28"/>
          <w:rtl w:val="true"/>
          <w:lang w:bidi="ar-SA"/>
        </w:rPr>
        <w:t>تُشَرَّفُ‌</w:t>
      </w:r>
      <w:r>
        <w:rPr>
          <w:rStyle w:val="FootnoteAnchor"/>
          <w:rtl w:val="true"/>
        </w:rPr>
        <w:footnoteReference w:id="1518"/>
      </w:r>
      <w:r>
        <w:rPr>
          <w:rFonts w:ascii="Amiri" w:hAnsi="Amiri" w:eastAsia="Amiri" w:cs="Amiri"/>
          <w:color w:val="111111"/>
          <w:sz w:val="28"/>
          <w:sz w:val="28"/>
          <w:szCs w:val="28"/>
          <w:rtl w:val="true"/>
          <w:lang w:bidi="ar-SA"/>
        </w:rPr>
        <w:t>للوصولِ‌</w:t>
      </w:r>
      <w:r>
        <w:rPr>
          <w:rStyle w:val="FootnoteAnchor"/>
          <w:rtl w:val="true"/>
        </w:rPr>
        <w:footnoteReference w:id="1519"/>
      </w:r>
      <w:r>
        <w:rPr>
          <w:rFonts w:ascii="Amiri" w:hAnsi="Amiri" w:eastAsia="Amiri" w:cs="Amiri"/>
          <w:color w:val="111111"/>
          <w:sz w:val="28"/>
          <w:sz w:val="28"/>
          <w:szCs w:val="28"/>
          <w:rtl w:val="true"/>
          <w:lang w:bidi="ar-SA"/>
        </w:rPr>
        <w:t>بها إلىٰ هذه المَنزِلةِ‌، فلا يَمتَنِعُ أن يَجمَعَ‌</w:t>
      </w:r>
      <w:r>
        <w:rPr>
          <w:rStyle w:val="FootnoteAnchor"/>
          <w:rtl w:val="true"/>
        </w:rPr>
        <w:footnoteReference w:id="1520"/>
      </w:r>
      <w:r>
        <w:rPr>
          <w:rFonts w:ascii="Amiri" w:hAnsi="Amiri" w:eastAsia="Amiri" w:cs="Amiri"/>
          <w:color w:val="111111"/>
          <w:sz w:val="28"/>
          <w:sz w:val="28"/>
          <w:szCs w:val="28"/>
          <w:rtl w:val="true"/>
          <w:lang w:bidi="ar-SA"/>
        </w:rPr>
        <w:t>عليه السلامُ‌</w:t>
      </w:r>
      <w:r>
        <w:rPr>
          <w:rStyle w:val="FootnoteAnchor"/>
          <w:rtl w:val="true"/>
        </w:rPr>
        <w:footnoteReference w:id="1521"/>
      </w:r>
      <w:r>
        <w:rPr>
          <w:rFonts w:ascii="Amiri" w:hAnsi="Amiri" w:eastAsia="Amiri" w:cs="Amiri"/>
          <w:color w:val="111111"/>
          <w:sz w:val="28"/>
          <w:sz w:val="28"/>
          <w:szCs w:val="28"/>
          <w:rtl w:val="true"/>
          <w:lang w:bidi="ar-SA"/>
        </w:rPr>
        <w:t>لذلكَ الناسَ و يُظهِرَ</w:t>
      </w:r>
      <w:r>
        <w:rPr>
          <w:rStyle w:val="FootnoteAnchor"/>
          <w:rtl w:val="true"/>
        </w:rPr>
        <w:footnoteReference w:id="1522"/>
      </w:r>
      <w:r>
        <w:rPr>
          <w:rFonts w:ascii="Amiri" w:hAnsi="Amiri" w:eastAsia="Amiri" w:cs="Amiri"/>
          <w:color w:val="111111"/>
          <w:sz w:val="28"/>
          <w:sz w:val="28"/>
          <w:szCs w:val="28"/>
          <w:rtl w:val="true"/>
          <w:lang w:bidi="ar-SA"/>
        </w:rPr>
        <w:t>هذه المَنزِلةَ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جَمعَه عليه السلامُ الناسَ‌</w:t>
      </w:r>
      <w:r>
        <w:rPr>
          <w:rStyle w:val="FootnoteAnchor"/>
          <w:rtl w:val="true"/>
        </w:rPr>
        <w:footnoteReference w:id="1523"/>
      </w:r>
      <w:r>
        <w:rPr>
          <w:rFonts w:ascii="Amiri" w:hAnsi="Amiri" w:eastAsia="Amiri" w:cs="Amiri"/>
          <w:color w:val="111111"/>
          <w:sz w:val="28"/>
          <w:sz w:val="28"/>
          <w:szCs w:val="28"/>
          <w:rtl w:val="true"/>
          <w:lang w:bidi="ar-SA"/>
        </w:rPr>
        <w:t>عندَ هذا الخبرِ يَدُلُّ علىٰ ما قُلناه لأنّه مِن أشرَفِ المَنازِلِ‌، لَكانَ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أنّ في الخبرِ مِن إبانةِ فَضلِه ما لَم يَظهَرْ لغَيرِه، و هو القَطعُ علىٰ أنّ باطنَه كظاهرِه فيما يوجِبُ الموالاةَ‌، و أنّه لا يَتَغَيَّرُ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 يَثبُتْ لغَيرِه، و لا يَثبُتُ‌</w:t>
      </w:r>
      <w:r>
        <w:rPr>
          <w:rStyle w:val="FootnoteAnchor"/>
          <w:rtl w:val="true"/>
        </w:rPr>
        <w:footnoteReference w:id="1524"/>
      </w:r>
      <w:r>
        <w:rPr>
          <w:rFonts w:ascii="Amiri" w:hAnsi="Amiri" w:eastAsia="Amiri" w:cs="Amiri"/>
          <w:color w:val="111111"/>
          <w:sz w:val="28"/>
          <w:sz w:val="28"/>
          <w:szCs w:val="28"/>
          <w:rtl w:val="true"/>
          <w:lang w:bidi="ar-SA"/>
        </w:rPr>
        <w:t>بسائرِ</w:t>
      </w:r>
      <w:r>
        <w:rPr>
          <w:rStyle w:val="FootnoteAnchor"/>
          <w:rtl w:val="true"/>
        </w:rPr>
        <w:footnoteReference w:id="1525"/>
      </w:r>
      <w:r>
        <w:rPr>
          <w:rFonts w:ascii="Amiri" w:hAnsi="Amiri" w:eastAsia="Amiri" w:cs="Amiri"/>
          <w:color w:val="111111"/>
          <w:sz w:val="28"/>
          <w:sz w:val="28"/>
          <w:szCs w:val="28"/>
          <w:rtl w:val="true"/>
          <w:lang w:bidi="ar-SA"/>
        </w:rPr>
        <w:t>الأخبارِ له</w:t>
      </w:r>
      <w:r>
        <w:rPr>
          <w:rStyle w:val="FootnoteAnchor"/>
          <w:rtl w:val="true"/>
        </w:rPr>
        <w:footnoteReference w:id="1526"/>
      </w:r>
      <w:r>
        <w:rPr>
          <w:rFonts w:ascii="Amiri" w:hAnsi="Amiri" w:eastAsia="Amiri" w:cs="Amiri"/>
          <w:color w:val="111111"/>
          <w:sz w:val="28"/>
          <w:sz w:val="28"/>
          <w:szCs w:val="28"/>
          <w:rtl w:val="true"/>
          <w:lang w:bidi="ar-SA"/>
        </w:rPr>
        <w:t>لأنّ المَرويَّ في هذا البابِ مِن الأخبارِ لا يَخلو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w:t>
      </w:r>
    </w:p>
    <w:p>
      <w:pPr>
        <w:pStyle w:val="BookText"/>
        <w:rPr/>
      </w:pPr>
      <w:r>
        <w:rPr>
          <w:rFonts w:ascii="Amiri" w:hAnsi="Amiri" w:eastAsia="Amiri" w:cs="Amiri"/>
          <w:color w:val="111111"/>
          <w:sz w:val="28"/>
          <w:sz w:val="28"/>
          <w:szCs w:val="28"/>
          <w:rtl w:val="true"/>
          <w:lang w:bidi="ar-SA"/>
        </w:rPr>
        <w:t xml:space="preserve">يَقتَضيَ الفضلَ </w:t>
      </w:r>
      <w:r>
        <w:rPr>
          <w:rStyle w:val="FootnoteAnchor"/>
          <w:rtl w:val="true"/>
        </w:rPr>
        <w:footnoteReference w:id="1527"/>
      </w:r>
      <w:r>
        <w:rPr>
          <w:rFonts w:ascii="Amiri" w:hAnsi="Amiri" w:eastAsia="Amiri" w:cs="Amiri"/>
          <w:color w:val="111111"/>
          <w:sz w:val="28"/>
          <w:sz w:val="28"/>
          <w:szCs w:val="28"/>
          <w:rtl w:val="true"/>
          <w:lang w:bidi="ar-SA"/>
        </w:rPr>
        <w:t xml:space="preserve">في الحالِ ، و إمّا أن يَقتَضي سَلامةَ </w:t>
      </w:r>
      <w:r>
        <w:rPr>
          <w:rStyle w:val="FootnoteAnchor"/>
          <w:rtl w:val="true"/>
        </w:rPr>
        <w:footnoteReference w:id="1528"/>
      </w:r>
      <w:r>
        <w:rPr>
          <w:rFonts w:ascii="Amiri" w:hAnsi="Amiri" w:eastAsia="Amiri" w:cs="Amiri"/>
          <w:color w:val="111111"/>
          <w:sz w:val="28"/>
          <w:sz w:val="28"/>
          <w:szCs w:val="28"/>
          <w:rtl w:val="true"/>
          <w:lang w:bidi="ar-SA"/>
        </w:rPr>
        <w:t xml:space="preserve">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w:t>
      </w:r>
      <w:r>
        <w:rPr>
          <w:rStyle w:val="FootnoteAnchor"/>
          <w:rtl w:val="true"/>
        </w:rPr>
        <w:footnoteReference w:id="1529"/>
      </w:r>
      <w:r>
        <w:rPr>
          <w:rFonts w:ascii="Amiri" w:hAnsi="Amiri" w:eastAsia="Amiri" w:cs="Amiri"/>
          <w:color w:val="111111"/>
          <w:sz w:val="28"/>
          <w:sz w:val="28"/>
          <w:szCs w:val="28"/>
          <w:rtl w:val="true"/>
          <w:lang w:bidi="ar-SA"/>
        </w:rPr>
        <w:t>أن يَقتَضيَ ما ذَكرناه فغَيرُ حاصلٍ إلّافي هذا الخبرِ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لَو كانَ حاصلاً في غيرِه، كانَ لا يَمتَنِعُ أن يَجمَعَ الناسَ له ليؤكِّدَ هذا الأمرَ</w:t>
      </w:r>
      <w:r>
        <w:rPr>
          <w:rStyle w:val="FootnoteAnchor"/>
          <w:rtl w:val="true"/>
        </w:rPr>
        <w:footnoteReference w:id="1530"/>
      </w:r>
      <w:r>
        <w:rPr>
          <w:rFonts w:ascii="Amiri" w:hAnsi="Amiri" w:eastAsia="Amiri" w:cs="Amiri"/>
          <w:color w:val="111111"/>
          <w:sz w:val="28"/>
          <w:sz w:val="28"/>
          <w:szCs w:val="28"/>
          <w:rtl w:val="true"/>
          <w:lang w:bidi="ar-SA"/>
        </w:rPr>
        <w:t>و يُبَيِّنَ الحالَ فيه بياناً شافياً</w:t>
      </w:r>
      <w:r>
        <w:rPr>
          <w:rStyle w:val="FootnoteAnchor"/>
          <w:rtl w:val="true"/>
        </w:rPr>
        <w:footnoteReference w:id="1531"/>
      </w:r>
      <w:r>
        <w:rPr>
          <w:rFonts w:ascii="Amiri" w:hAnsi="Amiri" w:eastAsia="Amiri" w:cs="Amiri"/>
          <w:color w:val="111111"/>
          <w:sz w:val="28"/>
          <w:sz w:val="28"/>
          <w:szCs w:val="28"/>
          <w:rtl w:val="true"/>
          <w:lang w:bidi="ar-SA"/>
        </w:rPr>
        <w:t xml:space="preserve">ظاهراً، كما أنّ مَن </w:t>
      </w:r>
      <w:bookmarkStart w:id="298" w:name="pg20017_202528"/>
    </w:p>
    <w:p>
      <w:pPr>
        <w:pStyle w:val="BookText"/>
        <w:rPr/>
      </w:pPr>
      <w:bookmarkEnd w:id="298"/>
      <w:r>
        <w:rPr>
          <w:rFonts w:ascii="Amiri" w:hAnsi="Amiri" w:eastAsia="Amiri" w:cs="Amiri"/>
          <w:color w:val="111111"/>
          <w:sz w:val="28"/>
          <w:sz w:val="28"/>
          <w:szCs w:val="28"/>
          <w:rtl w:val="true"/>
          <w:lang w:bidi="ar-SA"/>
        </w:rPr>
        <w:t xml:space="preserve">خالَفَنا في الإمامةِ </w:t>
      </w:r>
      <w:r>
        <w:rPr>
          <w:rStyle w:val="FootnoteAnchor"/>
          <w:rtl w:val="true"/>
        </w:rPr>
        <w:footnoteReference w:id="1532"/>
      </w:r>
      <w:r>
        <w:rPr>
          <w:rFonts w:ascii="Amiri" w:hAnsi="Amiri" w:eastAsia="Amiri" w:cs="Amiri"/>
          <w:color w:val="111111"/>
          <w:sz w:val="28"/>
          <w:sz w:val="28"/>
          <w:szCs w:val="28"/>
          <w:rtl w:val="true"/>
          <w:lang w:bidi="ar-SA"/>
        </w:rPr>
        <w:t xml:space="preserve">يَزعُمونَ أنّه يَدُلُّ علَى الإمامةِ و إن كانَ غيرُه مِن الأخبارِ قد دَلَّ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الذي يَروونَ مِن جَمعِ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المُقدِّماتِ الكثيرةِ التي يَذكُرونها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بمُتَواتِرٍ</w:t>
      </w:r>
      <w:r>
        <w:rPr>
          <w:rStyle w:val="FootnoteAnchor"/>
          <w:rtl w:val="true"/>
        </w:rPr>
        <w:footnoteReference w:id="1533"/>
      </w:r>
      <w:r>
        <w:rPr>
          <w:rFonts w:ascii="Amiri" w:hAnsi="Amiri" w:eastAsia="Amiri" w:cs="Amiri"/>
          <w:color w:val="111111"/>
          <w:sz w:val="28"/>
          <w:sz w:val="28"/>
          <w:szCs w:val="28"/>
          <w:rtl w:val="true"/>
          <w:lang w:bidi="ar-SA"/>
        </w:rPr>
        <w:t>، و إنّما يُرجَعُ فيه</w:t>
      </w:r>
      <w:r>
        <w:rPr>
          <w:rStyle w:val="FootnoteAnchor"/>
          <w:rtl w:val="true"/>
        </w:rPr>
        <w:footnoteReference w:id="1534"/>
      </w:r>
      <w:r>
        <w:rPr>
          <w:rFonts w:ascii="Amiri" w:hAnsi="Amiri" w:eastAsia="Amiri" w:cs="Amiri"/>
          <w:color w:val="111111"/>
          <w:sz w:val="28"/>
          <w:sz w:val="28"/>
          <w:szCs w:val="28"/>
          <w:rtl w:val="true"/>
          <w:lang w:bidi="ar-SA"/>
        </w:rPr>
        <w:t>إلَى الآحادِ، فكَيفَ يَصِحُّ الاعتمادُ عليه فيما طَريقُه العِلمُ؟</w:t>
      </w:r>
      <w:r>
        <w:rPr>
          <w:rStyle w:val="FootnoteAnchor"/>
          <w:rtl w:val="true"/>
        </w:rPr>
        <w:footnoteReference w:id="1535"/>
      </w:r>
    </w:p>
    <w:p>
      <w:pPr>
        <w:pStyle w:val="Heading6"/>
        <w:numPr>
          <w:ilvl w:val="5"/>
          <w:numId w:val="1"/>
        </w:numPr>
        <w:rPr/>
      </w:pPr>
      <w:bookmarkStart w:id="299" w:name="__RefHeading___Toc964205_2320776876"/>
      <w:bookmarkStart w:id="300" w:name="_Toc106"/>
      <w:bookmarkEnd w:id="299"/>
      <w:r>
        <w:rPr>
          <w:rtl w:val="true"/>
        </w:rPr>
        <w:t>عدم صحّة إرادة الموالاة المطلقة أو المخصوصة من حديث الغدير</w:t>
      </w:r>
      <w:bookmarkEnd w:id="30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لا يَسألُكَ عن السؤالِ الذي أورَدتَه علىٰ نفسِكَ في هذا الفَصلِ‌، علىٰ أنّ الموالاةَ الواجبةَ بالخبرِ هي الموالاةُ المخصوصةُ التي ادَّعَيتها، بَل علىٰ أن تَكونَ‌</w:t>
      </w:r>
      <w:r>
        <w:rPr>
          <w:rStyle w:val="FootnoteAnchor"/>
          <w:rtl w:val="true"/>
        </w:rPr>
        <w:footnoteReference w:id="1536"/>
      </w:r>
      <w:r>
        <w:rPr>
          <w:rFonts w:ascii="Amiri" w:hAnsi="Amiri" w:eastAsia="Amiri" w:cs="Amiri"/>
          <w:color w:val="111111"/>
          <w:sz w:val="28"/>
          <w:sz w:val="28"/>
          <w:szCs w:val="28"/>
          <w:rtl w:val="true"/>
          <w:lang w:bidi="ar-SA"/>
        </w:rPr>
        <w:t>الموالاةَ المُطلقةَ التي تَجِبُ لجماعةِ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r>
        <w:rPr>
          <w:rStyle w:val="FootnoteAnchor"/>
          <w:rtl w:val="true"/>
        </w:rPr>
        <w:footnoteReference w:id="1537"/>
      </w:r>
      <w:r>
        <w:rPr>
          <w:rFonts w:ascii="Amiri" w:hAnsi="Amiri" w:eastAsia="Amiri" w:cs="Amiri"/>
          <w:color w:val="111111"/>
          <w:sz w:val="28"/>
          <w:sz w:val="28"/>
          <w:szCs w:val="28"/>
          <w:rtl w:val="true"/>
          <w:lang w:bidi="ar-SA"/>
        </w:rPr>
        <w:t>سألتَ عن ذلكَ فلَيسَ يُقالُ 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الموالاةَ لا يَجوزُ أن يَكونَ المُرادَ؛ لأجلِ أنّ إيجابَها قد تَقدَّمَ بيانُه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يَجوزُ أن يَكونَ المُرادَ في خبرِ الغَديرِ؛ مِن قِبَل أنّ وجوبَ </w:t>
      </w:r>
      <w:r>
        <w:rPr>
          <w:rStyle w:val="FootnoteAnchor"/>
          <w:rtl w:val="true"/>
        </w:rPr>
        <w:footnoteReference w:id="1538"/>
      </w:r>
      <w:r>
        <w:rPr>
          <w:rFonts w:ascii="Amiri" w:hAnsi="Amiri" w:eastAsia="Amiri" w:cs="Amiri"/>
          <w:color w:val="111111"/>
          <w:sz w:val="28"/>
          <w:sz w:val="28"/>
          <w:szCs w:val="28"/>
          <w:rtl w:val="true"/>
          <w:lang w:bidi="ar-SA"/>
        </w:rPr>
        <w:t>موالاةِ المؤمنينَ بعضِهم لبعضٍ في الدِّينِ قد كانَ معلوماً لكُلِّ أحَدٍ مِن دينِه عليه السلامُ ، و لَيسَ يَصِحُّ أن يَدخُلَ في مِثلِه شُبهةٌ ؛ فلَو جازَ مع ما ذَكرناه أن يُكرِّرَ عليه السلامُ بيانَه</w:t>
      </w:r>
      <w:r>
        <w:rPr>
          <w:rStyle w:val="FootnoteAnchor"/>
          <w:rtl w:val="true"/>
        </w:rPr>
        <w:footnoteReference w:id="1539"/>
      </w:r>
      <w:r>
        <w:rPr>
          <w:rFonts w:ascii="Amiri" w:hAnsi="Amiri" w:eastAsia="Amiri" w:cs="Amiri"/>
          <w:color w:val="111111"/>
          <w:sz w:val="28"/>
          <w:sz w:val="28"/>
          <w:szCs w:val="28"/>
          <w:rtl w:val="true"/>
          <w:lang w:bidi="ar-SA"/>
        </w:rPr>
        <w:t xml:space="preserve">و إيجابَه لَم يَمتَنِعْ قولُ مَن حَمَلَ الخبرَ علىٰ أنّ </w:t>
      </w:r>
      <w:bookmarkStart w:id="301" w:name="pg20017_202529"/>
    </w:p>
    <w:p>
      <w:pPr>
        <w:pStyle w:val="BookText"/>
        <w:rPr/>
      </w:pPr>
      <w:bookmarkEnd w:id="301"/>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ابنَ عمِّه فعَليٌّ ابنُ عمِّه، و إن كانَ ما يُفيدُه هذا القولُ معلوماً لا يَدخُلُ في مِثلِه 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صَحَّ أن يَكونَ المُرادُ ما تَوهَّمَه مِن الموالاةِ المخصوصةِ لَحَسُنَ أن يَجمَعَ صَلّى اللّٰهُ عليه و آلِه الناسَ ؛ لأنّ فيه فائدةً معقولةً ، غيرَ أنّا قد بيّنّا أنّ الخِطابَ لا يَقتَضيه، و ادّعاءَه لا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Style w:val="FootnoteAnchor"/>
          <w:rtl w:val="true"/>
        </w:rPr>
        <w:footnoteReference w:id="15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أنّه لَو كانَ حاصلاً في غيرِه لَم يَمتَنِعْ أن يَجمَعَ الناسَ له ليؤكِّدَ</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المُطلَقةَ العامّةَ‌، فإنّ تأكيدَها لا يَحسُنُ‌؛ لِما ذَكرناه، كما لا يَحسُنُ أن يُريدَ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الإمامةُ و إن كانَ 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بيانَ إيجابِها مُتقدِّمٌ ليَومِ الغَديرِ، فلَيسَ يَجري مَجرىٰ ما هو معلومٌ مِن دينِه عليه السلامُ مِن وجوبِ الموالاةِ بَينَ المؤمنينَ ؛ فلهذا</w:t>
      </w:r>
      <w:r>
        <w:rPr>
          <w:rStyle w:val="FootnoteAnchor"/>
          <w:rtl w:val="true"/>
        </w:rPr>
        <w:footnoteReference w:id="1542"/>
      </w:r>
      <w:r>
        <w:rPr>
          <w:rFonts w:ascii="Amiri" w:hAnsi="Amiri" w:eastAsia="Amiri" w:cs="Amiri"/>
          <w:color w:val="111111"/>
          <w:sz w:val="28"/>
          <w:sz w:val="28"/>
          <w:szCs w:val="28"/>
          <w:rtl w:val="true"/>
          <w:lang w:bidi="ar-SA"/>
        </w:rPr>
        <w:t xml:space="preserve">حَسُنَ تأكيدُها و تكريرُ بيانِها، و إن لَم يَحسُنْ في غيرِها مِن المعلومِ الظاهرِ الذي لا يَعتَرِضُ </w:t>
      </w:r>
      <w:r>
        <w:rPr>
          <w:rStyle w:val="FootnoteAnchor"/>
          <w:rtl w:val="true"/>
        </w:rPr>
        <w:footnoteReference w:id="1543"/>
      </w:r>
      <w:r>
        <w:rPr>
          <w:rFonts w:ascii="Amiri" w:hAnsi="Amiri" w:eastAsia="Amiri" w:cs="Amiri"/>
          <w:color w:val="111111"/>
          <w:sz w:val="28"/>
          <w:sz w:val="28"/>
          <w:szCs w:val="28"/>
          <w:rtl w:val="true"/>
          <w:lang w:bidi="ar-SA"/>
        </w:rPr>
        <w:t>الشُّبهةُ فيه</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964207_2320776876"/>
      <w:bookmarkStart w:id="303" w:name="_Toc107"/>
      <w:bookmarkEnd w:id="302"/>
      <w:r>
        <w:rPr>
          <w:rtl w:val="true"/>
        </w:rPr>
        <w:t>بيان تواتر مقدّمة حديث الغدير</w:t>
      </w:r>
      <w:bookmarkEnd w:id="30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المُقدِّمةُ المُتضمِّنةُ للتقريرِ فقَد بيّنّا أنّ الخبرَ مُتَواتِرٌ بها، و أنّ أكثَرَ مَن رَوَى الخبرَ رَواها، و ذَكرنا ما يُمكِنُ أن يَكونَ وجهاً في إغفالِ مَن أغفَلَها</w:t>
      </w:r>
      <w:r>
        <w:rPr>
          <w:rFonts w:eastAsia="Amiri" w:cs="Amiri" w:ascii="Amiri" w:hAnsi="Amiri"/>
          <w:color w:val="111111"/>
          <w:sz w:val="28"/>
          <w:szCs w:val="28"/>
          <w:rtl w:val="true"/>
          <w:lang w:bidi="ar-SA"/>
        </w:rPr>
        <w:t>.</w:t>
      </w:r>
      <w:r>
        <w:rPr>
          <w:rStyle w:val="FootnoteAnchor"/>
          <w:rtl w:val="true"/>
        </w:rPr>
        <w:footnoteReference w:id="1544"/>
      </w:r>
      <w:r>
        <w:rPr>
          <w:rFonts w:ascii="Amiri" w:hAnsi="Amiri" w:eastAsia="Amiri" w:cs="Amiri"/>
          <w:color w:val="111111"/>
          <w:sz w:val="28"/>
          <w:sz w:val="28"/>
          <w:szCs w:val="28"/>
          <w:rtl w:val="true"/>
          <w:lang w:bidi="ar-SA"/>
        </w:rPr>
        <w:t xml:space="preserve">و كذلكَ القولُ في جَمعِ الناسِ ، فإنّه أيضاً ظاهرٌ منقولٌ </w:t>
      </w:r>
      <w:r>
        <w:rPr>
          <w:rFonts w:eastAsia="Amiri" w:cs="Amiri" w:ascii="Amiri" w:hAnsi="Amiri"/>
          <w:color w:val="111111"/>
          <w:sz w:val="28"/>
          <w:szCs w:val="28"/>
          <w:rtl w:val="true"/>
          <w:lang w:bidi="ar-SA"/>
        </w:rPr>
        <w:t xml:space="preserve">. </w:t>
      </w:r>
      <w:bookmarkStart w:id="304" w:name="pg20017_202530"/>
    </w:p>
    <w:p>
      <w:pPr>
        <w:pStyle w:val="BookText"/>
        <w:rPr/>
      </w:pPr>
      <w:bookmarkEnd w:id="304"/>
      <w:r>
        <w:rPr>
          <w:rFonts w:ascii="Amiri" w:hAnsi="Amiri" w:eastAsia="Amiri" w:cs="Amiri"/>
          <w:color w:val="111111"/>
          <w:sz w:val="28"/>
          <w:sz w:val="28"/>
          <w:szCs w:val="28"/>
          <w:rtl w:val="true"/>
          <w:lang w:bidi="ar-SA"/>
        </w:rPr>
        <w:t>فأمّا الكلامُ الزائدُ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أَولىٰ بِكم منكم بأنفُسِكم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الروايةِ ، فما يُنكَرُ</w:t>
      </w:r>
      <w:r>
        <w:rPr>
          <w:rStyle w:val="FootnoteAnchor"/>
          <w:rtl w:val="true"/>
        </w:rPr>
        <w:footnoteReference w:id="1545"/>
      </w:r>
      <w:r>
        <w:rPr>
          <w:rFonts w:ascii="Amiri" w:hAnsi="Amiri" w:eastAsia="Amiri" w:cs="Amiri"/>
          <w:color w:val="111111"/>
          <w:sz w:val="28"/>
          <w:sz w:val="28"/>
          <w:szCs w:val="28"/>
          <w:rtl w:val="true"/>
          <w:lang w:bidi="ar-SA"/>
        </w:rPr>
        <w:t>أن يَكونَ أكثَرُ الرواياتِ خاليةً منه</w:t>
      </w:r>
      <w:r>
        <w:rPr>
          <w:rStyle w:val="FootnoteAnchor"/>
          <w:rtl w:val="true"/>
        </w:rPr>
        <w:footnoteReference w:id="1546"/>
      </w:r>
      <w:r>
        <w:rPr>
          <w:rFonts w:ascii="Amiri" w:hAnsi="Amiri" w:eastAsia="Amiri" w:cs="Amiri"/>
          <w:color w:val="111111"/>
          <w:sz w:val="28"/>
          <w:sz w:val="28"/>
          <w:szCs w:val="28"/>
          <w:rtl w:val="true"/>
          <w:lang w:bidi="ar-SA"/>
        </w:rPr>
        <w:t>، و اعتمادُنا في خبرِ الغَديرِ غيرُ مُفتَقِرٍ إليه</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964209_2320776876"/>
      <w:bookmarkStart w:id="306" w:name="_Toc108"/>
      <w:bookmarkEnd w:id="305"/>
      <w:r>
        <w:rPr>
          <w:rtl w:val="true"/>
        </w:rPr>
        <w:t>افتقار التقرير الأوّل لحديث الغدير إلى المقدّمة، خلافاً للثاني</w:t>
      </w:r>
      <w:bookmarkEnd w:id="306"/>
    </w:p>
    <w:p>
      <w:pPr>
        <w:pStyle w:val="BookText"/>
        <w:rPr/>
      </w:pPr>
      <w:r>
        <w:rPr>
          <w:rFonts w:ascii="Amiri" w:hAnsi="Amiri" w:eastAsia="Amiri" w:cs="Amiri"/>
          <w:color w:val="111111"/>
          <w:sz w:val="28"/>
          <w:sz w:val="28"/>
          <w:szCs w:val="28"/>
          <w:rtl w:val="true"/>
          <w:lang w:bidi="ar-SA"/>
        </w:rPr>
        <w:t>علىٰ أنّ مَن تَعلَّقَ بعدمِ الفائدةِ‌، و أبطَلَ أن يَكونَ المُرادُ الموالاةَ في الدِّينِ‌، إنّما يَنصُرُ</w:t>
      </w:r>
      <w:r>
        <w:rPr>
          <w:rStyle w:val="FootnoteAnchor"/>
          <w:rtl w:val="true"/>
        </w:rPr>
        <w:footnoteReference w:id="1547"/>
      </w:r>
      <w:r>
        <w:rPr>
          <w:rFonts w:ascii="Amiri" w:hAnsi="Amiri" w:eastAsia="Amiri" w:cs="Amiri"/>
          <w:color w:val="111111"/>
          <w:sz w:val="28"/>
          <w:sz w:val="28"/>
          <w:szCs w:val="28"/>
          <w:rtl w:val="true"/>
          <w:lang w:bidi="ar-SA"/>
        </w:rPr>
        <w:t>بذلكَ طريقةَ‌</w:t>
      </w:r>
      <w:r>
        <w:rPr>
          <w:rStyle w:val="FootnoteAnchor"/>
          <w:rtl w:val="true"/>
        </w:rPr>
        <w:footnoteReference w:id="1548"/>
      </w:r>
      <w:r>
        <w:rPr>
          <w:rFonts w:ascii="Amiri" w:hAnsi="Amiri" w:eastAsia="Amiri" w:cs="Amiri"/>
          <w:color w:val="111111"/>
          <w:sz w:val="28"/>
          <w:sz w:val="28"/>
          <w:szCs w:val="28"/>
          <w:rtl w:val="true"/>
          <w:lang w:bidi="ar-SA"/>
        </w:rPr>
        <w:t>التقسيمِ‌</w:t>
      </w:r>
      <w:r>
        <w:rPr>
          <w:rStyle w:val="FootnoteAnchor"/>
          <w:rtl w:val="true"/>
        </w:rPr>
        <w:footnoteReference w:id="1549"/>
      </w:r>
      <w:r>
        <w:rPr>
          <w:rFonts w:ascii="Amiri" w:hAnsi="Amiri" w:eastAsia="Amiri" w:cs="Amiri"/>
          <w:color w:val="111111"/>
          <w:sz w:val="28"/>
          <w:sz w:val="28"/>
          <w:szCs w:val="28"/>
          <w:rtl w:val="true"/>
          <w:lang w:bidi="ar-SA"/>
        </w:rPr>
        <w:t>لأنّ الطريقةَ الأُولىٰ‌</w:t>
      </w:r>
      <w:r>
        <w:rPr>
          <w:rStyle w:val="FootnoteAnchor"/>
          <w:rtl w:val="true"/>
        </w:rPr>
        <w:footnoteReference w:id="1550"/>
      </w:r>
      <w:r>
        <w:rPr>
          <w:rFonts w:ascii="Amiri" w:hAnsi="Amiri" w:eastAsia="Amiri" w:cs="Amiri"/>
          <w:color w:val="111111"/>
          <w:sz w:val="28"/>
          <w:sz w:val="28"/>
          <w:szCs w:val="28"/>
          <w:rtl w:val="true"/>
          <w:lang w:bidi="ar-SA"/>
        </w:rPr>
        <w:t>لا تَحتاجُ‌</w:t>
      </w:r>
      <w:r>
        <w:rPr>
          <w:rStyle w:val="FootnoteAnchor"/>
          <w:rtl w:val="true"/>
        </w:rPr>
        <w:footnoteReference w:id="1551"/>
      </w:r>
      <w:r>
        <w:rPr>
          <w:rFonts w:ascii="Amiri" w:hAnsi="Amiri" w:eastAsia="Amiri" w:cs="Amiri"/>
          <w:color w:val="111111"/>
          <w:sz w:val="28"/>
          <w:sz w:val="28"/>
          <w:szCs w:val="28"/>
          <w:rtl w:val="true"/>
          <w:lang w:bidi="ar-SA"/>
        </w:rPr>
        <w:t>في إبطالِ قولِ مَن ادَّعىٰ إثباتَ الموالاةِ في الدِّينِ بالخبرِ إلىٰ ذِكرِ الفائدةِ ، بَل يَسقُطُ</w:t>
      </w:r>
      <w:r>
        <w:rPr>
          <w:rStyle w:val="FootnoteAnchor"/>
          <w:rtl w:val="true"/>
        </w:rPr>
        <w:footnoteReference w:id="1552"/>
      </w:r>
      <w:r>
        <w:rPr>
          <w:rFonts w:ascii="Amiri" w:hAnsi="Amiri" w:eastAsia="Amiri" w:cs="Amiri"/>
          <w:color w:val="111111"/>
          <w:sz w:val="28"/>
          <w:sz w:val="28"/>
          <w:szCs w:val="28"/>
          <w:rtl w:val="true"/>
          <w:lang w:bidi="ar-SA"/>
        </w:rPr>
        <w:t>قولُه بما يوجِبُه</w:t>
      </w:r>
      <w:r>
        <w:rPr>
          <w:rStyle w:val="FootnoteAnchor"/>
          <w:rtl w:val="true"/>
        </w:rPr>
        <w:footnoteReference w:id="1553"/>
      </w:r>
      <w:r>
        <w:rPr>
          <w:rFonts w:ascii="Amiri" w:hAnsi="Amiri" w:eastAsia="Amiri" w:cs="Amiri"/>
          <w:color w:val="111111"/>
          <w:sz w:val="28"/>
          <w:sz w:val="28"/>
          <w:szCs w:val="28"/>
          <w:rtl w:val="true"/>
          <w:lang w:bidi="ar-SA"/>
        </w:rPr>
        <w:t xml:space="preserve">الكلامُ مِن حَملِ المعنىٰ علىٰ ما طابَقَ المُقدِّمةَ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طريقةُ التقسيمِ غيرُ مُفتَقِرةٍ إلىٰ شَيءٍ مِن المُقدِّماتِ و جَمعِ الناسِ ؛ فلَو صَحَّ أنّه صَلّى اللّٰهُ عليه و آلِه لَم يَجمَعْ أحَداً و لا قَدَّمَ كلاماً، لَقَطَعنا علىٰ أنّه لَم يُرِدِ الموالاةَ في الدِّينِ التي تَجِبُ لسائرِ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لَأَوجَبنا أن يَكونَ المُرادُ ما ذَهَبنا إليه إذا بَطَلَت</w:t>
      </w:r>
      <w:r>
        <w:rPr>
          <w:rStyle w:val="FootnoteAnchor"/>
          <w:rtl w:val="true"/>
        </w:rPr>
        <w:footnoteReference w:id="1554"/>
      </w:r>
      <w:r>
        <w:rPr>
          <w:rFonts w:ascii="Amiri" w:hAnsi="Amiri" w:eastAsia="Amiri" w:cs="Amiri"/>
          <w:color w:val="111111"/>
          <w:sz w:val="28"/>
          <w:sz w:val="28"/>
          <w:szCs w:val="28"/>
          <w:rtl w:val="true"/>
          <w:lang w:bidi="ar-SA"/>
        </w:rPr>
        <w:t xml:space="preserve">سائرُ الأقسامِ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Style w:val="FootnoteAnchor"/>
          <w:rtl w:val="true"/>
        </w:rPr>
        <w:footnoteReference w:id="1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يَكونَ المُرادُ ما ذَكرتموه‌؟</w:t>
      </w:r>
      <w:r>
        <w:rPr>
          <w:rStyle w:val="FootnoteAnchor"/>
          <w:rtl w:val="true"/>
        </w:rPr>
        <w:footnoteReference w:id="1556"/>
      </w:r>
      <w:r>
        <w:rPr>
          <w:rFonts w:ascii="Amiri" w:hAnsi="Amiri" w:eastAsia="Amiri" w:cs="Amiri"/>
          <w:color w:val="111111"/>
          <w:sz w:val="28"/>
          <w:sz w:val="28"/>
          <w:szCs w:val="28"/>
          <w:rtl w:val="true"/>
          <w:lang w:bidi="ar-SA"/>
        </w:rPr>
        <w:t xml:space="preserve">مع تقديمِه عليه السلامُ </w:t>
      </w:r>
      <w:r>
        <w:rPr>
          <w:rStyle w:val="FootnoteAnchor"/>
          <w:rtl w:val="true"/>
        </w:rPr>
        <w:footnoteReference w:id="15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أَولىٰ بِكم منكم بأنفسكم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عَلِمتم أنّ الجُملةَ التابعةَ للمُقدِّمةِ لا بُدَّ مِن أن يُرادَ بها ما أُريدَ بالمُقدِّمةِ ، و إلّاكانَت في حُكمِ اللَّغوِ؛ فإذا</w:t>
      </w:r>
      <w:r>
        <w:rPr>
          <w:rStyle w:val="FootnoteAnchor"/>
          <w:rtl w:val="true"/>
        </w:rPr>
        <w:footnoteReference w:id="1558"/>
      </w:r>
      <w:r>
        <w:rPr>
          <w:rFonts w:ascii="Amiri" w:hAnsi="Amiri" w:eastAsia="Amiri" w:cs="Amiri"/>
          <w:color w:val="111111"/>
          <w:sz w:val="28"/>
          <w:sz w:val="28"/>
          <w:szCs w:val="28"/>
          <w:rtl w:val="true"/>
          <w:lang w:bidi="ar-SA"/>
        </w:rPr>
        <w:t>كانَ مُرادُه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أَولىٰ بِكم منكم</w:t>
      </w:r>
    </w:p>
    <w:p>
      <w:pPr>
        <w:pStyle w:val="BookText"/>
        <w:rPr/>
      </w:pPr>
      <w:r>
        <w:rPr>
          <w:rFonts w:ascii="Amiri" w:hAnsi="Amiri" w:eastAsia="Amiri" w:cs="Amiri"/>
          <w:color w:val="111111"/>
          <w:sz w:val="28"/>
          <w:sz w:val="28"/>
          <w:szCs w:val="28"/>
          <w:rtl w:val="true"/>
          <w:lang w:bidi="ar-SA"/>
        </w:rPr>
        <w:t>بأنفسِكم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الطاعةِ و الانقيادِ، فما عَطَفَ عليه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فكأنّه</w:t>
      </w:r>
      <w:r>
        <w:rPr>
          <w:rStyle w:val="FootnoteAnchor"/>
          <w:rtl w:val="true"/>
        </w:rPr>
        <w:footnoteReference w:id="15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أَولىٰ به فعَليٌّ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تصريحٌ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المُرادَ بالمُقدِّمةِ معنَى الإمامةِ‌، بَل المُرادُ بها معنَى النُّبوّةِ‌، أو المُرادُ</w:t>
      </w:r>
      <w:r>
        <w:rPr>
          <w:rStyle w:val="FootnoteAnchor"/>
          <w:rtl w:val="true"/>
        </w:rPr>
        <w:footnoteReference w:id="1560"/>
      </w:r>
      <w:r>
        <w:rPr>
          <w:rFonts w:ascii="Amiri" w:hAnsi="Amiri" w:eastAsia="Amiri" w:cs="Amiri"/>
          <w:color w:val="111111"/>
          <w:sz w:val="28"/>
          <w:sz w:val="28"/>
          <w:szCs w:val="28"/>
          <w:rtl w:val="true"/>
          <w:lang w:bidi="ar-SA"/>
        </w:rPr>
        <w:t>بها معنَى الإشفاقِ و الرحمةِ و حُسنِ النظَرِ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اللفظِ يَقتَضي أنّه عليه السلامُ أَولىٰ بهم في أمرٍ يُشارِكونَه فيه، و ذلكَ لا يَليقُ بالإمامةِ‌، و يَليقُ بمُقتَضَى النُّبوّةِ‌؛ لأنّه عليه السلامُ بَيَّنَ لهم الشرعَ الذي بقيامِهم به يَصِلونَ إلىٰ درجةِ الثوابِ ، فيَكونُ البيانُ مِن قِبَلِه، و القيامُ به مِن قِبَلِهم؛ لكنّه لمّا لَم يَتِمَّ </w:t>
      </w:r>
      <w:r>
        <w:rPr>
          <w:rStyle w:val="FootnoteAnchor"/>
          <w:rtl w:val="true"/>
        </w:rPr>
        <w:footnoteReference w:id="1561"/>
      </w:r>
      <w:r>
        <w:rPr>
          <w:rFonts w:ascii="Amiri" w:hAnsi="Amiri" w:eastAsia="Amiri" w:cs="Amiri"/>
          <w:color w:val="111111"/>
          <w:sz w:val="28"/>
          <w:sz w:val="28"/>
          <w:szCs w:val="28"/>
          <w:rtl w:val="true"/>
          <w:lang w:bidi="ar-SA"/>
        </w:rPr>
        <w:t xml:space="preserve">إلّاببيانِه صلواتُ اللّٰهِ عليه كانَت مَنزِلتُه في ذلكَ أبلَغَ ، فصَلَحَ أن يَكونَ أَولىٰ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كذلكَ متىٰ أُريدَ بذلكَ الرأفةُ و الرحمةُ </w:t>
      </w:r>
      <w:r>
        <w:rPr>
          <w:rStyle w:val="FootnoteAnchor"/>
          <w:rtl w:val="true"/>
        </w:rPr>
        <w:footnoteReference w:id="1562"/>
      </w:r>
      <w:r>
        <w:rPr>
          <w:rFonts w:ascii="Amiri" w:hAnsi="Amiri" w:eastAsia="Amiri" w:cs="Amiri"/>
          <w:color w:val="111111"/>
          <w:sz w:val="28"/>
          <w:sz w:val="28"/>
          <w:szCs w:val="28"/>
          <w:rtl w:val="true"/>
          <w:lang w:bidi="ar-SA"/>
        </w:rPr>
        <w:t>و الإشفاقُ و حُسنُ النظَرِ؛ لأنّه فيما يَرجِعُ إلَى الدِّينِ هو أحسَنُ نَظَراً لأُمّتِه منهم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w:t>
      </w:r>
      <w:r>
        <w:rPr>
          <w:rStyle w:val="FootnoteAnchor"/>
          <w:rtl w:val="true"/>
        </w:rPr>
        <w:footnoteReference w:id="1563"/>
      </w:r>
      <w:r>
        <w:rPr>
          <w:rFonts w:ascii="Amiri" w:hAnsi="Amiri" w:eastAsia="Amiri" w:cs="Amiri"/>
          <w:color w:val="111111"/>
          <w:sz w:val="28"/>
          <w:sz w:val="28"/>
          <w:szCs w:val="28"/>
          <w:rtl w:val="true"/>
          <w:lang w:bidi="ar-SA"/>
        </w:rPr>
        <w:t>حُمِلَ الأمرُ علىٰ ما قالوه خالَفَ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قالوا</w:t>
      </w: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فيما ذَكرتموه وجوبُ الطاعةِ ، و ذلكَ يُصحِّحُ ما قُلناه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كانَ كذلكَ فلَيسَ هو المقصودَ و إن كانَ تابعاً له، و إنّما قَدَحنا</w:t>
      </w:r>
      <w:r>
        <w:rPr>
          <w:rStyle w:val="FootnoteAnchor"/>
          <w:rtl w:val="true"/>
        </w:rPr>
        <w:footnoteReference w:id="1565"/>
      </w:r>
      <w:r>
        <w:rPr>
          <w:rFonts w:ascii="Amiri" w:hAnsi="Amiri" w:eastAsia="Amiri" w:cs="Amiri"/>
          <w:color w:val="111111"/>
          <w:sz w:val="28"/>
          <w:sz w:val="28"/>
          <w:szCs w:val="28"/>
          <w:rtl w:val="true"/>
          <w:lang w:bidi="ar-SA"/>
        </w:rPr>
        <w:t>بما ذَكرناه في قولِكم لأنّكم جَعَلتموه المقصودَ، و علىٰ هذا الوجهِ لا يُطلَقُ‌</w:t>
      </w:r>
      <w:r>
        <w:rPr>
          <w:rStyle w:val="FootnoteAnchor"/>
          <w:rtl w:val="true"/>
        </w:rPr>
        <w:footnoteReference w:id="1566"/>
      </w:r>
      <w:r>
        <w:rPr>
          <w:rFonts w:ascii="Amiri" w:hAnsi="Amiri" w:eastAsia="Amiri" w:cs="Amiri"/>
          <w:color w:val="111111"/>
          <w:sz w:val="28"/>
          <w:sz w:val="28"/>
          <w:szCs w:val="28"/>
          <w:rtl w:val="true"/>
          <w:lang w:bidi="ar-SA"/>
        </w:rPr>
        <w:t>في الرسولِ عليه السلامُ أنّه إمامٌ‌، علىٰ ما نَقولُه</w:t>
      </w:r>
      <w:r>
        <w:rPr>
          <w:rStyle w:val="FootnoteAnchor"/>
          <w:rtl w:val="true"/>
        </w:rPr>
        <w:footnoteReference w:id="1567"/>
      </w:r>
      <w:r>
        <w:rPr>
          <w:rFonts w:ascii="Amiri" w:hAnsi="Amiri" w:eastAsia="Amiri" w:cs="Amiri"/>
          <w:color w:val="111111"/>
          <w:sz w:val="28"/>
          <w:sz w:val="28"/>
          <w:szCs w:val="28"/>
          <w:rtl w:val="true"/>
          <w:lang w:bidi="ar-SA"/>
        </w:rPr>
        <w:t xml:space="preserve">في إمامِ الزمانِ‌، و إنّما يُطلَقُ ذلكَ بمعنَى الاتّباعِ </w:t>
      </w:r>
      <w:r>
        <w:rPr>
          <w:rStyle w:val="FootnoteAnchor"/>
          <w:rtl w:val="true"/>
        </w:rPr>
        <w:footnoteReference w:id="1568"/>
      </w:r>
      <w:r>
        <w:rPr>
          <w:rFonts w:ascii="Amiri" w:hAnsi="Amiri" w:eastAsia="Amiri" w:cs="Amiri"/>
          <w:color w:val="111111"/>
          <w:sz w:val="28"/>
          <w:sz w:val="28"/>
          <w:szCs w:val="28"/>
          <w:rtl w:val="true"/>
          <w:lang w:bidi="ar-SA"/>
        </w:rPr>
        <w:t xml:space="preserve">لأنّ الإمامةَ عبارةٌ عن أُمورٍ مخصوصةٍ لا زيادةَ فيها و لا نُقصانَ ، فلا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النبيُّ عليه السلامُ يَقومُ بما</w:t>
      </w:r>
      <w:r>
        <w:rPr>
          <w:rStyle w:val="FootnoteAnchor"/>
          <w:rtl w:val="true"/>
        </w:rPr>
        <w:footnoteReference w:id="1569"/>
      </w:r>
      <w:r>
        <w:rPr>
          <w:rFonts w:ascii="Amiri" w:hAnsi="Amiri" w:eastAsia="Amiri" w:cs="Amiri"/>
          <w:color w:val="111111"/>
          <w:sz w:val="28"/>
          <w:sz w:val="28"/>
          <w:szCs w:val="28"/>
          <w:rtl w:val="true"/>
          <w:lang w:bidi="ar-SA"/>
        </w:rPr>
        <w:t xml:space="preserve">يَقومُ به الإمامُ </w:t>
      </w:r>
      <w:r>
        <w:rPr>
          <w:rStyle w:val="FootnoteAnchor"/>
          <w:rtl w:val="true"/>
        </w:rPr>
        <w:footnoteReference w:id="1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يوصَفَ بذلكَ علَى الوجهِ الذي ذَكرناه، كما</w:t>
      </w:r>
      <w:r>
        <w:rPr>
          <w:rStyle w:val="FootnoteAnchor"/>
          <w:rtl w:val="true"/>
        </w:rPr>
        <w:footnoteReference w:id="1571"/>
      </w:r>
      <w:r>
        <w:rPr>
          <w:rFonts w:ascii="Amiri" w:hAnsi="Amiri" w:eastAsia="Amiri" w:cs="Amiri"/>
          <w:color w:val="111111"/>
          <w:sz w:val="28"/>
          <w:sz w:val="28"/>
          <w:szCs w:val="28"/>
          <w:rtl w:val="true"/>
          <w:lang w:bidi="ar-SA"/>
        </w:rPr>
        <w:t xml:space="preserve">لا يوصَفُ بأنّه أميرٌ و ساعٍ </w:t>
      </w:r>
      <w:r>
        <w:rPr>
          <w:rStyle w:val="FootnoteAnchor"/>
          <w:rtl w:val="true"/>
        </w:rPr>
        <w:footnoteReference w:id="1572"/>
      </w:r>
      <w:r>
        <w:rPr>
          <w:rFonts w:ascii="Amiri" w:hAnsi="Amiri" w:eastAsia="Amiri" w:cs="Amiri"/>
          <w:color w:val="111111"/>
          <w:sz w:val="28"/>
          <w:sz w:val="28"/>
          <w:szCs w:val="28"/>
          <w:rtl w:val="true"/>
          <w:lang w:bidi="ar-SA"/>
        </w:rPr>
        <w:t>و حاكمٌ و إن كانَ يَقومُ بما يَقومُ به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يَمتَنِعُ في اللفظِ أن يُفيدَ معنىً مِن </w:t>
      </w:r>
      <w:bookmarkStart w:id="307" w:name="pg20017_202533"/>
    </w:p>
    <w:p>
      <w:pPr>
        <w:pStyle w:val="BookText"/>
        <w:rPr/>
      </w:pPr>
      <w:bookmarkEnd w:id="307"/>
      <w:r>
        <w:rPr>
          <w:rFonts w:ascii="Amiri" w:hAnsi="Amiri" w:eastAsia="Amiri" w:cs="Amiri"/>
          <w:color w:val="111111"/>
          <w:sz w:val="28"/>
          <w:sz w:val="28"/>
          <w:szCs w:val="28"/>
          <w:rtl w:val="true"/>
          <w:lang w:bidi="ar-SA"/>
        </w:rPr>
        <w:t>المَعاني إذا انفَرَدَ، فإذا</w:t>
      </w:r>
      <w:r>
        <w:rPr>
          <w:rStyle w:val="FootnoteAnchor"/>
          <w:rtl w:val="true"/>
        </w:rPr>
        <w:footnoteReference w:id="1573"/>
      </w:r>
      <w:r>
        <w:rPr>
          <w:rFonts w:ascii="Amiri" w:hAnsi="Amiri" w:eastAsia="Amiri" w:cs="Amiri"/>
          <w:color w:val="111111"/>
          <w:sz w:val="28"/>
          <w:sz w:val="28"/>
          <w:szCs w:val="28"/>
          <w:rtl w:val="true"/>
          <w:lang w:bidi="ar-SA"/>
        </w:rPr>
        <w:t>كانَ داخلاً في غيرِه لَم يَقَعِ الاسمُ عليه، و هذا كَثيرٌ في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يَصِحَّ أن يُرادَ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أَولىٰ بِكم منكم بأنفسِكم‌؟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الإمامةِ ، فقَد بَطَلَ ما ادَّعَوه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كَثيراً</w:t>
      </w:r>
      <w:r>
        <w:rPr>
          <w:rStyle w:val="FootnoteAnchor"/>
          <w:rtl w:val="true"/>
        </w:rPr>
        <w:footnoteReference w:id="1574"/>
      </w:r>
      <w:r>
        <w:rPr>
          <w:rFonts w:ascii="Amiri" w:hAnsi="Amiri" w:eastAsia="Amiri" w:cs="Amiri"/>
          <w:color w:val="111111"/>
          <w:sz w:val="28"/>
          <w:sz w:val="28"/>
          <w:szCs w:val="28"/>
          <w:rtl w:val="true"/>
          <w:lang w:bidi="ar-SA"/>
        </w:rPr>
        <w:t xml:space="preserve">مِن شُيوخِنا يُنكِرُ أن تَكونَ </w:t>
      </w:r>
      <w:r>
        <w:rPr>
          <w:rStyle w:val="FootnoteAnchor"/>
          <w:rtl w:val="true"/>
        </w:rPr>
        <w:footnoteReference w:id="1575"/>
      </w:r>
      <w:r>
        <w:rPr>
          <w:rFonts w:ascii="Amiri" w:hAnsi="Amiri" w:eastAsia="Amiri" w:cs="Amiri"/>
          <w:color w:val="111111"/>
          <w:sz w:val="28"/>
          <w:sz w:val="28"/>
          <w:szCs w:val="28"/>
          <w:rtl w:val="true"/>
          <w:lang w:bidi="ar-SA"/>
        </w:rPr>
        <w:t xml:space="preserve">هذه المقدِّمةُ ثابتةً بالتواتُرِ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بابِ الآحادِ، و الثابتُ هو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 و هو الذي كَرَّرَه</w:t>
      </w:r>
      <w:r>
        <w:rPr>
          <w:rStyle w:val="FootnoteAnchor"/>
          <w:rtl w:val="true"/>
        </w:rPr>
        <w:footnoteReference w:id="1576"/>
      </w:r>
      <w:r>
        <w:rPr>
          <w:rFonts w:ascii="Amiri" w:hAnsi="Amiri" w:eastAsia="Amiri" w:cs="Amiri"/>
          <w:color w:val="111111"/>
          <w:sz w:val="28"/>
          <w:sz w:val="28"/>
          <w:szCs w:val="28"/>
          <w:rtl w:val="true"/>
          <w:lang w:bidi="ar-SA"/>
        </w:rPr>
        <w:t>أميرُ المؤمنينَ عليه السلامُ في مَجالِسَ عِدّةٍ عند ذِكرِ مَناقِبِه</w:t>
      </w:r>
      <w:r>
        <w:rPr>
          <w:rFonts w:eastAsia="Amiri" w:cs="Amiri" w:ascii="Amiri" w:hAnsi="Amiri"/>
          <w:color w:val="111111"/>
          <w:sz w:val="28"/>
          <w:szCs w:val="28"/>
          <w:rtl w:val="true"/>
          <w:lang w:bidi="ar-SA"/>
        </w:rPr>
        <w:t>.</w:t>
      </w:r>
      <w:r>
        <w:rPr>
          <w:rStyle w:val="FootnoteAnchor"/>
          <w:rtl w:val="true"/>
        </w:rPr>
        <w:footnoteReference w:id="1577"/>
      </w:r>
    </w:p>
    <w:p>
      <w:pPr>
        <w:pStyle w:val="Heading6"/>
        <w:numPr>
          <w:ilvl w:val="5"/>
          <w:numId w:val="1"/>
        </w:numPr>
        <w:rPr/>
      </w:pPr>
      <w:bookmarkStart w:id="308" w:name="__RefHeading___Toc964211_2320776876"/>
      <w:bookmarkStart w:id="309" w:name="_Toc109"/>
      <w:bookmarkEnd w:id="308"/>
      <w:r>
        <w:rPr>
          <w:rtl w:val="true"/>
        </w:rPr>
        <w:t>دلالة مقدّمة حديث الغدير علىٰ معنىٰ فرض الطاعة</w:t>
      </w:r>
      <w:bookmarkEnd w:id="30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نَقولُه</w:t>
      </w:r>
      <w:r>
        <w:rPr>
          <w:rStyle w:val="FootnoteAnchor"/>
          <w:rtl w:val="true"/>
        </w:rPr>
        <w:footnoteReference w:id="1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نَعلَمُ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أو تَأخَّرَ، ممّن تَكلَّمَ </w:t>
      </w:r>
      <w:r>
        <w:rPr>
          <w:rStyle w:val="FootnoteAnchor"/>
          <w:rtl w:val="true"/>
        </w:rPr>
        <w:footnoteReference w:id="1579"/>
      </w:r>
      <w:r>
        <w:rPr>
          <w:rFonts w:ascii="Amiri" w:hAnsi="Amiri" w:eastAsia="Amiri" w:cs="Amiri"/>
          <w:color w:val="111111"/>
          <w:sz w:val="28"/>
          <w:sz w:val="28"/>
          <w:szCs w:val="28"/>
          <w:rtl w:val="true"/>
          <w:lang w:bidi="ar-SA"/>
        </w:rPr>
        <w:t xml:space="preserve">في تأويلِ خبرِ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في أنّ مُرادَ النبيِّ صَلّى اللّٰهُ عليه و آلِه بالمُقدِّمةِ هو التقريرُ لوجوبِ فرضِ طاعتِه</w:t>
      </w:r>
      <w:r>
        <w:rPr>
          <w:rStyle w:val="FootnoteAnchor"/>
          <w:rtl w:val="true"/>
        </w:rPr>
        <w:footnoteReference w:id="1580"/>
      </w:r>
      <w:r>
        <w:rPr>
          <w:rFonts w:ascii="Amiri" w:hAnsi="Amiri" w:eastAsia="Amiri" w:cs="Amiri"/>
          <w:color w:val="111111"/>
          <w:sz w:val="28"/>
          <w:sz w:val="28"/>
          <w:szCs w:val="28"/>
          <w:rtl w:val="true"/>
          <w:lang w:bidi="ar-SA"/>
        </w:rPr>
        <w:t xml:space="preserve">علَى الأُمّةِ في سائرِ الأُمورِ مِن غيرِ تخصيصٍ لبَيانِ شرعٍ مِن غيرِه، كما لَم يُخالِفْ أحَدٌ في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w:t>
      </w:r>
      <w:r>
        <w:rPr>
          <w:rStyle w:val="FootnoteAnchor"/>
          <w:rtl w:val="true"/>
        </w:rPr>
        <w:footnoteReference w:id="1581"/>
      </w:r>
      <w:bookmarkStart w:id="310" w:name="pg20017_202534"/>
    </w:p>
    <w:p>
      <w:pPr>
        <w:pStyle w:val="BookText"/>
        <w:rPr/>
      </w:pPr>
      <w:bookmarkEnd w:id="310"/>
      <w:r>
        <w:rPr>
          <w:rFonts w:ascii="Amiri" w:hAnsi="Amiri" w:eastAsia="Amiri" w:cs="Amiri"/>
          <w:color w:val="111111"/>
          <w:sz w:val="28"/>
          <w:sz w:val="28"/>
          <w:szCs w:val="28"/>
          <w:rtl w:val="true"/>
          <w:lang w:bidi="ar-SA"/>
        </w:rPr>
        <w:t>المُرادُ به أنّه</w:t>
      </w:r>
      <w:r>
        <w:rPr>
          <w:rStyle w:val="FootnoteAnchor"/>
          <w:rtl w:val="true"/>
        </w:rPr>
        <w:footnoteReference w:id="1582"/>
      </w:r>
      <w:r>
        <w:rPr>
          <w:rFonts w:ascii="Amiri" w:hAnsi="Amiri" w:eastAsia="Amiri" w:cs="Amiri"/>
          <w:color w:val="111111"/>
          <w:sz w:val="28"/>
          <w:sz w:val="28"/>
          <w:szCs w:val="28"/>
          <w:rtl w:val="true"/>
          <w:lang w:bidi="ar-SA"/>
        </w:rPr>
        <w:t>أَولىٰ بتدبيرِهم و بأن يُطيعوه و يَنقادوا لأوامرِه، و معلومٌ أنّ التقريرَ الواقعَ بالمُقدِّمةِ في خبرِ الغَديرِ مُطابِقٌ لِما أوجَبَه اللّٰهُ تَعالىٰ للرسولِ صَلّى اللّٰهُ عليه و آلِه في الآيةِ و مُوافِقٌ لمَعناها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فقَد أجابَ صاحبُ الكتابِ عن غيرِ ما سَألَ عنه؛ لأنّه ألزَمَ نفسَه في السؤالِ أن يَكونَ المُرادُ فرضَ الطاعةِ مِن غيرِ إضافةٍ إلىٰ إمامةٍ أو غيرِها، و فرضُ الطاعةِ لا يَختَلِفُ في الإمامِ و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نُسلِّمُ أنّ المُرادَ بالمُقدِّمةِ معنَى الإمامةِ‌، بل معنَى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عُدولٌ ظاهرٌ عمّا سَألَ نفسَه عنه</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أنّه قد فَسَّرَ ما ذَهَبَ إليه، و ادَّعىٰ أنّ المُرادَ بعضُ </w:t>
      </w:r>
      <w:r>
        <w:rPr>
          <w:rStyle w:val="FootnoteAnchor"/>
          <w:rtl w:val="true"/>
        </w:rPr>
        <w:footnoteReference w:id="1584"/>
      </w:r>
      <w:r>
        <w:rPr>
          <w:rFonts w:ascii="Amiri" w:hAnsi="Amiri" w:eastAsia="Amiri" w:cs="Amiri"/>
          <w:color w:val="111111"/>
          <w:sz w:val="28"/>
          <w:sz w:val="28"/>
          <w:szCs w:val="28"/>
          <w:rtl w:val="true"/>
          <w:lang w:bidi="ar-SA"/>
        </w:rPr>
        <w:t>ما يَشتَمِلُ عليه وجوبُ الطاعةِ ؛ لأنّ بيانَ الشرعِ أحَدُ ما يُطاعُ فيه النبيُّ صَلّى اللّٰهُ عليه و آلِه، و لا خِلافَ في</w:t>
      </w:r>
    </w:p>
    <w:p>
      <w:pPr>
        <w:pStyle w:val="BookText"/>
        <w:rPr/>
      </w:pPr>
      <w:r>
        <w:rPr>
          <w:rFonts w:ascii="Amiri" w:hAnsi="Amiri" w:eastAsia="Amiri" w:cs="Amiri"/>
          <w:color w:val="111111"/>
          <w:sz w:val="28"/>
          <w:sz w:val="28"/>
          <w:szCs w:val="28"/>
          <w:rtl w:val="true"/>
          <w:lang w:bidi="ar-SA"/>
        </w:rPr>
        <w:t>أنّ طاعتَه واجبةٌ في كُلِّ ما يأمُرُ به و يَنهىٰ عنه؛ سَواءٌ كانَ بيانَ شرعٍ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وَجَبَ أن يُطيعوه في بيانِ الشرعِ </w:t>
      </w:r>
      <w:r>
        <w:rPr>
          <w:rStyle w:val="FootnoteAnchor"/>
          <w:rtl w:val="true"/>
        </w:rPr>
        <w:footnoteReference w:id="1585"/>
      </w:r>
      <w:r>
        <w:rPr>
          <w:rFonts w:ascii="Amiri" w:hAnsi="Amiri" w:eastAsia="Amiri" w:cs="Amiri"/>
          <w:color w:val="111111"/>
          <w:sz w:val="28"/>
          <w:sz w:val="28"/>
          <w:szCs w:val="28"/>
          <w:rtl w:val="true"/>
          <w:lang w:bidi="ar-SA"/>
        </w:rPr>
        <w:t xml:space="preserve">مِن حَيثُ كانَت طاعتُه واجبةً عليهم في كُلِّ أمرٍ علَى العمومِ </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964213_2320776876"/>
      <w:bookmarkStart w:id="312" w:name="_Toc110"/>
      <w:bookmarkEnd w:id="311"/>
      <w:r>
        <w:rPr>
          <w:rtl w:val="true"/>
        </w:rPr>
        <w:t>مشاركة الأُمّة للنبيّ و الإمام بمعنىً خاصّ من المشاركة</w:t>
      </w:r>
      <w:bookmarkEnd w:id="31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 صاحبَ الكتابِ ادَّعىٰ أنّ ظاهرَ اللفظِ يَقتَضي أنّه أَولىٰ بهم في أمرٍ يُشارِكونَه فيه، و فَسَّرَ ذلك بما لا اشتراكَ فيه؛ لأنّ النبيَّ صَلّى اللّٰهُ عليه و آلِه و إن </w:t>
      </w:r>
    </w:p>
    <w:p>
      <w:pPr>
        <w:pStyle w:val="BookText"/>
        <w:rPr/>
      </w:pPr>
      <w:r>
        <w:rPr>
          <w:rFonts w:ascii="Amiri" w:hAnsi="Amiri" w:eastAsia="Amiri" w:cs="Amiri"/>
          <w:color w:val="111111"/>
          <w:sz w:val="28"/>
          <w:sz w:val="28"/>
          <w:szCs w:val="28"/>
          <w:rtl w:val="true"/>
          <w:lang w:bidi="ar-SA"/>
        </w:rPr>
        <w:t>كانَ مُبيِّناً للشرعِ و الأُمّةُ‌</w:t>
      </w:r>
      <w:r>
        <w:rPr>
          <w:rStyle w:val="FootnoteAnchor"/>
          <w:rtl w:val="true"/>
        </w:rPr>
        <w:footnoteReference w:id="1586"/>
      </w:r>
      <w:r>
        <w:rPr>
          <w:rFonts w:ascii="Amiri" w:hAnsi="Amiri" w:eastAsia="Amiri" w:cs="Amiri"/>
          <w:color w:val="111111"/>
          <w:sz w:val="28"/>
          <w:sz w:val="28"/>
          <w:szCs w:val="28"/>
          <w:rtl w:val="true"/>
          <w:lang w:bidi="ar-SA"/>
        </w:rPr>
        <w:t>قائمةً بما بَيَّنَه</w:t>
      </w:r>
      <w:r>
        <w:rPr>
          <w:rStyle w:val="FootnoteAnchor"/>
          <w:rtl w:val="true"/>
        </w:rPr>
        <w:footnoteReference w:id="1587"/>
      </w:r>
      <w:r>
        <w:rPr>
          <w:rFonts w:ascii="Amiri" w:hAnsi="Amiri" w:eastAsia="Amiri" w:cs="Amiri"/>
          <w:color w:val="111111"/>
          <w:sz w:val="28"/>
          <w:sz w:val="28"/>
          <w:szCs w:val="28"/>
          <w:rtl w:val="true"/>
          <w:lang w:bidi="ar-SA"/>
        </w:rPr>
        <w:t>لهم، فلَم تُشارِكْه</w:t>
      </w:r>
      <w:r>
        <w:rPr>
          <w:rStyle w:val="FootnoteAnchor"/>
          <w:rtl w:val="true"/>
        </w:rPr>
        <w:footnoteReference w:id="1588"/>
      </w:r>
      <w:r>
        <w:rPr>
          <w:rFonts w:ascii="Amiri" w:hAnsi="Amiri" w:eastAsia="Amiri" w:cs="Amiri"/>
          <w:color w:val="111111"/>
          <w:sz w:val="28"/>
          <w:sz w:val="28"/>
          <w:szCs w:val="28"/>
          <w:rtl w:val="true"/>
          <w:lang w:bidi="ar-SA"/>
        </w:rPr>
        <w:t>الأُمّةُ في صفةٍ واحدةٍ‌؛ لأنّ البيانَ الذي يَختَصُّ هو عليه السلامُ به لا يُشارِكُه فيه الأُمّةُ‌، و لَيسَ يَكونُ قيامُهم بالشرعِ مُشارَكةً له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قَنَعَ صاحبُ الكتابِ لنفسِه بما ذَكَرَه</w:t>
      </w:r>
      <w:r>
        <w:rPr>
          <w:rStyle w:val="FootnoteAnchor"/>
          <w:rtl w:val="true"/>
        </w:rPr>
        <w:footnoteReference w:id="1589"/>
      </w:r>
      <w:r>
        <w:rPr>
          <w:rFonts w:ascii="Amiri" w:hAnsi="Amiri" w:eastAsia="Amiri" w:cs="Amiri"/>
          <w:color w:val="111111"/>
          <w:sz w:val="28"/>
          <w:sz w:val="28"/>
          <w:szCs w:val="28"/>
          <w:rtl w:val="true"/>
          <w:lang w:bidi="ar-SA"/>
        </w:rPr>
        <w:t>فمِثلُه في مُقتَضَى الإمامةِ‌</w:t>
      </w:r>
      <w:r>
        <w:rPr>
          <w:rStyle w:val="FootnoteAnchor"/>
          <w:rtl w:val="true"/>
        </w:rPr>
        <w:footnoteReference w:id="1590"/>
      </w:r>
      <w:r>
        <w:rPr>
          <w:rFonts w:ascii="Amiri" w:hAnsi="Amiri" w:eastAsia="Amiri" w:cs="Amiri"/>
          <w:color w:val="111111"/>
          <w:sz w:val="28"/>
          <w:sz w:val="28"/>
          <w:szCs w:val="28"/>
          <w:rtl w:val="true"/>
          <w:lang w:bidi="ar-SA"/>
        </w:rPr>
        <w:t>لأنّ الإمامَ مِن حَيثُ وَجَبَت طاعتُه يُقيمُ في الأُمّةِ الأحكامَ و يأمُرُهم و يَنهاهم، فيَكونُ الأوامرُ مِن جهتِه و الامتثالُ مِن جهتِهم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دَلَّلنا فيما تَقدَّمَ‌</w:t>
      </w:r>
      <w:r>
        <w:rPr>
          <w:rStyle w:val="FootnoteAnchor"/>
          <w:rtl w:val="true"/>
        </w:rPr>
        <w:footnoteReference w:id="1591"/>
      </w:r>
      <w:r>
        <w:rPr>
          <w:rFonts w:ascii="Amiri" w:hAnsi="Amiri" w:eastAsia="Amiri" w:cs="Amiri"/>
          <w:color w:val="111111"/>
          <w:sz w:val="28"/>
          <w:sz w:val="28"/>
          <w:szCs w:val="28"/>
          <w:rtl w:val="true"/>
          <w:lang w:bidi="ar-SA"/>
        </w:rPr>
        <w:t>علىٰ أنّ تَصرُّفَ الإمامِ لُطفٌ في فِعلِ الواجباتِ و الامتناعِ مِن المُقبَّحاتِ‌</w:t>
      </w:r>
      <w:r>
        <w:rPr>
          <w:rStyle w:val="FootnoteAnchor"/>
          <w:rtl w:val="true"/>
        </w:rPr>
        <w:footnoteReference w:id="1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ما ذَكره مِن الاشتراكِ‌؛ لأنّ الامتناعَ مِن القَبيحِ و فِعلَ الواجبِ مِن جهةِ المُكلَّفينَ‌، و ما هو لُطفٌ فيهما مِن جهتِه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دَلَّلنا أيضاً علىٰ أنّ الإمامَ حُجّةٌ في بيانِ الشَّرعِ‌، و إن كانَ يُخالِفُ النبيَّ صلّى اللّٰه عليه و آله مِن حَيثُ كانَ النبيُّ مُبيِّناً للشَّرعِ و مُبتَدِئاً بغَيرِ واسطةٍ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نَظُنُّ صاحبَ الكتابِ يَحمِلُ‌</w:t>
      </w:r>
      <w:r>
        <w:rPr>
          <w:rStyle w:val="FootnoteAnchor"/>
          <w:rtl w:val="true"/>
        </w:rPr>
        <w:footnoteReference w:id="1593"/>
      </w:r>
      <w:r>
        <w:rPr>
          <w:rFonts w:ascii="Amiri" w:hAnsi="Amiri" w:eastAsia="Amiri" w:cs="Amiri"/>
          <w:color w:val="111111"/>
          <w:sz w:val="28"/>
          <w:sz w:val="28"/>
          <w:szCs w:val="28"/>
          <w:rtl w:val="true"/>
          <w:lang w:bidi="ar-SA"/>
        </w:rPr>
        <w:t>نفسَه علَى القولِ بأنّ التقريرَ</w:t>
      </w:r>
      <w:r>
        <w:rPr>
          <w:rStyle w:val="FootnoteAnchor"/>
          <w:rtl w:val="true"/>
        </w:rPr>
        <w:footnoteReference w:id="1594"/>
      </w:r>
      <w:r>
        <w:rPr>
          <w:rFonts w:ascii="Amiri" w:hAnsi="Amiri" w:eastAsia="Amiri" w:cs="Amiri"/>
          <w:color w:val="111111"/>
          <w:sz w:val="28"/>
          <w:sz w:val="28"/>
          <w:szCs w:val="28"/>
          <w:rtl w:val="true"/>
          <w:lang w:bidi="ar-SA"/>
        </w:rPr>
        <w:t xml:space="preserve">اختَصَّ ببَيانِ الشَّرعِ مع هذه المَزيّةِ المخصوصةِ </w:t>
      </w:r>
      <w:r>
        <w:rPr>
          <w:rStyle w:val="FootnoteAnchor"/>
          <w:rtl w:val="true"/>
        </w:rPr>
        <w:footnoteReference w:id="1595"/>
      </w:r>
      <w:r>
        <w:rPr>
          <w:rFonts w:ascii="Amiri" w:hAnsi="Amiri" w:eastAsia="Amiri" w:cs="Amiri"/>
          <w:color w:val="111111"/>
          <w:sz w:val="28"/>
          <w:sz w:val="28"/>
          <w:szCs w:val="28"/>
          <w:rtl w:val="true"/>
          <w:lang w:bidi="ar-SA"/>
        </w:rPr>
        <w:t xml:space="preserve">لأنّ شُبهتَه في ذلكَ الاشتراكُ في الصفةِ ، </w:t>
      </w:r>
      <w:bookmarkStart w:id="313" w:name="pg20017_202536"/>
    </w:p>
    <w:p>
      <w:pPr>
        <w:pStyle w:val="BookText"/>
        <w:rPr/>
      </w:pPr>
      <w:bookmarkEnd w:id="313"/>
      <w:r>
        <w:rPr>
          <w:rFonts w:ascii="Amiri" w:hAnsi="Amiri" w:eastAsia="Amiri" w:cs="Amiri"/>
          <w:color w:val="111111"/>
          <w:sz w:val="28"/>
          <w:sz w:val="28"/>
          <w:szCs w:val="28"/>
          <w:rtl w:val="true"/>
          <w:lang w:bidi="ar-SA"/>
        </w:rPr>
        <w:t xml:space="preserve">و قد بيّنّا أنّها تَدخُلُ في مُقتَضَى الإمامةِ مِن الوجوهِ الثلاثةِ </w:t>
      </w:r>
      <w:r>
        <w:rPr>
          <w:rStyle w:val="FootnoteAnchor"/>
          <w:rtl w:val="true"/>
        </w:rPr>
        <w:footnoteReference w:id="1596"/>
      </w:r>
      <w:r>
        <w:rPr>
          <w:rFonts w:ascii="Amiri" w:hAnsi="Amiri" w:eastAsia="Amiri" w:cs="Amiri"/>
          <w:color w:val="111111"/>
          <w:sz w:val="28"/>
          <w:sz w:val="28"/>
          <w:szCs w:val="28"/>
          <w:rtl w:val="true"/>
          <w:lang w:bidi="ar-SA"/>
        </w:rPr>
        <w:t xml:space="preserve">التي لَو لَم يَثبُتْ منها إلّا ما لا خِلافَ فيه مِن وجوبِ طاعةِ الإمامِ ، و لُزومِ الدخولِ تَحتَ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يَقتَضي الاشتراكَ علَى الوجهِ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فيه كفايةٌ في دَفعِ </w:t>
      </w:r>
      <w:r>
        <w:rPr>
          <w:rStyle w:val="FootnoteAnchor"/>
          <w:rtl w:val="true"/>
        </w:rPr>
        <w:footnoteReference w:id="1597"/>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964215_2320776876"/>
      <w:bookmarkStart w:id="315" w:name="_Toc111"/>
      <w:bookmarkEnd w:id="314"/>
      <w:r>
        <w:rPr>
          <w:rtl w:val="true"/>
        </w:rPr>
        <w:t>إرجاع معنى الإشفاق و الرحمة إلىٰ معنىٰ فرض الطاعة</w:t>
      </w:r>
      <w:bookmarkEnd w:id="31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الإشفاقُ و الرحمةُ‌، فلَيسَ يَجوزُ أن يَكونَ عليه السلامُ أشفَقَ علينا و أرحَمَ بنا بالإطلاقِ و في كُلِّ أمرٍ و حالٍ‌، بَل لا بُدَّ مِن أن يُقَيَّدَ ذلكَ بما يَرجِعُ إلَى الدِّينِ‌؛ فإذا قُيِّدَ به فقَد عادَ الأمرُ إلىٰ فرضِ الطاعةِ‌؛ لأنّه لا يَكونُ بهذه الصفةِ إلّامَن وَجَبَت طاعتُه و لُزومُ الانقيادِ لأمرِه و نهيِه</w:t>
      </w:r>
      <w:r>
        <w:rPr>
          <w:rStyle w:val="FootnoteAnchor"/>
          <w:rtl w:val="true"/>
        </w:rPr>
        <w:footnoteReference w:id="1598"/>
      </w:r>
      <w:r>
        <w:rPr>
          <w:rFonts w:ascii="Amiri" w:hAnsi="Amiri" w:eastAsia="Amiri" w:cs="Amiri"/>
          <w:color w:val="111111"/>
          <w:sz w:val="28"/>
          <w:sz w:val="28"/>
          <w:szCs w:val="28"/>
          <w:rtl w:val="true"/>
          <w:lang w:bidi="ar-SA"/>
        </w:rPr>
        <w:t>، و كَيفَ لا تَجِبُ‌</w:t>
      </w:r>
      <w:r>
        <w:rPr>
          <w:rStyle w:val="FootnoteAnchor"/>
          <w:rtl w:val="true"/>
        </w:rPr>
        <w:footnoteReference w:id="1599"/>
      </w:r>
      <w:r>
        <w:rPr>
          <w:rFonts w:ascii="Amiri" w:hAnsi="Amiri" w:eastAsia="Amiri" w:cs="Amiri"/>
          <w:color w:val="111111"/>
          <w:sz w:val="28"/>
          <w:sz w:val="28"/>
          <w:szCs w:val="28"/>
          <w:rtl w:val="true"/>
          <w:lang w:bidi="ar-SA"/>
        </w:rPr>
        <w:t>طاعةُ مَن يُقطَعُ علىٰ أنّه لا يَختارُ لنا و يَدعونا إلّاإلىٰ ما هو أصلَحُ لنا في دينِنا، و أعوَدُ علينا، و أدخَلُ في حُسنِ النظَرِ لمَعادِنا؟ و كأنّ‌</w:t>
      </w:r>
      <w:r>
        <w:rPr>
          <w:rStyle w:val="FootnoteAnchor"/>
          <w:rtl w:val="true"/>
        </w:rPr>
        <w:footnoteReference w:id="1600"/>
      </w:r>
      <w:r>
        <w:rPr>
          <w:rFonts w:ascii="Amiri" w:hAnsi="Amiri" w:eastAsia="Amiri" w:cs="Amiri"/>
          <w:color w:val="111111"/>
          <w:sz w:val="28"/>
          <w:sz w:val="28"/>
          <w:szCs w:val="28"/>
          <w:rtl w:val="true"/>
          <w:lang w:bidi="ar-SA"/>
        </w:rPr>
        <w:t>صاحبَ الكتابِ عَبَّرَ عن التقريرِ بفرضِ‌</w:t>
      </w:r>
      <w:r>
        <w:rPr>
          <w:rStyle w:val="FootnoteAnchor"/>
          <w:rtl w:val="true"/>
        </w:rPr>
        <w:footnoteReference w:id="1601"/>
      </w:r>
      <w:r>
        <w:rPr>
          <w:rFonts w:ascii="Amiri" w:hAnsi="Amiri" w:eastAsia="Amiri" w:cs="Amiri"/>
          <w:color w:val="111111"/>
          <w:sz w:val="28"/>
          <w:sz w:val="28"/>
          <w:szCs w:val="28"/>
          <w:rtl w:val="true"/>
          <w:lang w:bidi="ar-SA"/>
        </w:rPr>
        <w:t xml:space="preserve">الطاعةِ بلفظٍ آخَرَ يَقومُ مَقامَه؛ لأنّه لا فَرقَ بَينَ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أَولىٰ بأن نُطيعَه و نَنقادَ له</w:t>
      </w:r>
      <w:r>
        <w:rPr>
          <w:rStyle w:val="FootnoteAnchor"/>
          <w:rtl w:val="true"/>
        </w:rPr>
        <w:footnoteReference w:id="1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أَولىٰ بالإشفاقِ علينا و حُسنِ النظَرِ فيما يَرجِعُ إلىٰ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الوصفَ الذي لا يَثبُتُ إلّالمُفتَرَضِ الطاعةِ كالوصفِ بفرضِ الطاعةِ ، و هذه الصفةُ </w:t>
      </w:r>
      <w:r>
        <w:rPr>
          <w:rFonts w:eastAsia="Amiri" w:cs="Amiri" w:ascii="Amiri" w:hAnsi="Amiri"/>
          <w:color w:val="111111"/>
          <w:sz w:val="28"/>
          <w:szCs w:val="28"/>
          <w:rtl w:val="true"/>
          <w:lang w:bidi="ar-SA"/>
        </w:rPr>
        <w:t xml:space="preserve">- </w:t>
      </w:r>
      <w:bookmarkStart w:id="316" w:name="pg20017_202537"/>
    </w:p>
    <w:p>
      <w:pPr>
        <w:pStyle w:val="BookText"/>
        <w:rPr/>
      </w:pPr>
      <w:bookmarkEnd w:id="316"/>
      <w:r>
        <w:rPr>
          <w:rFonts w:ascii="Amiri" w:hAnsi="Amiri" w:eastAsia="Amiri" w:cs="Amiri"/>
          <w:color w:val="111111"/>
          <w:sz w:val="28"/>
          <w:sz w:val="28"/>
          <w:szCs w:val="28"/>
          <w:rtl w:val="true"/>
          <w:lang w:bidi="ar-SA"/>
        </w:rPr>
        <w:t xml:space="preserve">يَعني الإشفاقَ و حُسنَ النظَرِ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حاصلةٌ للإمامِ عندَنا؛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لا يَليقُ بالإمامةِ ، و يَليقُ بمُقتَضَى النُّبوّةِ؟</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964217_2320776876"/>
      <w:bookmarkStart w:id="318" w:name="_Toc112"/>
      <w:bookmarkEnd w:id="317"/>
      <w:r>
        <w:rPr>
          <w:rtl w:val="true"/>
        </w:rPr>
        <w:t>نفي أن يكون فرض الطاعة غيرَ مقصود في مقدّمة حديث الغدير</w:t>
      </w:r>
      <w:bookmarkEnd w:id="318"/>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يُغني شَيئاً؛ لأنّا قد ذَكرنا أنّ أحَداً لَم يَجعَلْه غيرَ مقصودٍ، و أبطَلنا شُبهةَ مَن حَمَلَه علىٰ خِلافِ التقريرِ بفرضِ الطاعةِ‌، و بيّنّا أنّ الذي ذَكَرَه مِن الوجهَينِ‌</w:t>
      </w:r>
      <w:r>
        <w:rPr>
          <w:rStyle w:val="FootnoteAnchor"/>
          <w:rtl w:val="true"/>
        </w:rPr>
        <w:footnoteReference w:id="1603"/>
      </w:r>
      <w:r>
        <w:rPr>
          <w:rFonts w:ascii="Amiri" w:hAnsi="Amiri" w:eastAsia="Amiri" w:cs="Amiri"/>
          <w:color w:val="111111"/>
          <w:sz w:val="28"/>
          <w:sz w:val="28"/>
          <w:szCs w:val="28"/>
          <w:rtl w:val="true"/>
          <w:lang w:bidi="ar-SA"/>
        </w:rPr>
        <w:t>إمّا أن يَكونَ بعضَ ما وَجَبَت له</w:t>
      </w:r>
      <w:r>
        <w:rPr>
          <w:rStyle w:val="FootnoteAnchor"/>
          <w:rtl w:val="true"/>
        </w:rPr>
        <w:footnoteReference w:id="1604"/>
      </w:r>
      <w:r>
        <w:rPr>
          <w:rFonts w:ascii="Amiri" w:hAnsi="Amiri" w:eastAsia="Amiri" w:cs="Amiri"/>
          <w:color w:val="111111"/>
          <w:sz w:val="28"/>
          <w:sz w:val="28"/>
          <w:szCs w:val="28"/>
          <w:rtl w:val="true"/>
          <w:lang w:bidi="ar-SA"/>
        </w:rPr>
        <w:t>فيه الطاعةُ و الانقيادُ، أو إثباتَ صفةٍ لا تَحصُلُ إلّالِمَن تَجِبُ‌</w:t>
      </w:r>
      <w:r>
        <w:rPr>
          <w:rStyle w:val="FootnoteAnchor"/>
          <w:rtl w:val="true"/>
        </w:rPr>
        <w:footnoteReference w:id="1605"/>
      </w:r>
      <w:r>
        <w:rPr>
          <w:rFonts w:ascii="Amiri" w:hAnsi="Amiri" w:eastAsia="Amiri" w:cs="Amiri"/>
          <w:color w:val="111111"/>
          <w:sz w:val="28"/>
          <w:sz w:val="28"/>
          <w:szCs w:val="28"/>
          <w:rtl w:val="true"/>
          <w:lang w:bidi="ar-SA"/>
        </w:rPr>
        <w:t xml:space="preserve">طاعتُه؛ فكأنّ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صِرنا إلىٰ ما ذَكره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قَرَّرَهم في المُقدِّمةِ بإحدَى الصفتَينِ </w:t>
      </w:r>
      <w:r>
        <w:rPr>
          <w:rStyle w:val="FootnoteAnchor"/>
          <w:rtl w:val="true"/>
        </w:rPr>
        <w:footnoteReference w:id="1606"/>
      </w:r>
      <w:r>
        <w:rPr>
          <w:rFonts w:ascii="Amiri" w:hAnsi="Amiri" w:eastAsia="Amiri" w:cs="Amiri"/>
          <w:color w:val="111111"/>
          <w:sz w:val="28"/>
          <w:sz w:val="28"/>
          <w:szCs w:val="28"/>
          <w:rtl w:val="true"/>
          <w:lang w:bidi="ar-SA"/>
        </w:rPr>
        <w:t xml:space="preserve">اللتَينِ قد بيّنّا أنّهما لا تَحصُلانِ إلّالِمُفتَرَضِ الطاعةِ </w:t>
      </w:r>
      <w:r>
        <w:rPr>
          <w:rStyle w:val="FootnoteAnchor"/>
          <w:rtl w:val="true"/>
        </w:rPr>
        <w:footnoteReference w:id="1607"/>
      </w:r>
      <w:r>
        <w:rPr>
          <w:rFonts w:ascii="Amiri" w:hAnsi="Amiri" w:eastAsia="Amiri" w:cs="Amiri"/>
          <w:color w:val="111111"/>
          <w:sz w:val="28"/>
          <w:sz w:val="28"/>
          <w:szCs w:val="28"/>
          <w:rtl w:val="true"/>
          <w:lang w:bidi="ar-SA"/>
        </w:rPr>
        <w:t>، و إذا أوجَبَ لغَيرِه في الكلامِ مِثلَ ما وَجَبَ له في المُقدِّمةِ فقَد حَصَلَت به</w:t>
      </w:r>
      <w:r>
        <w:rPr>
          <w:rStyle w:val="FootnoteAnchor"/>
          <w:rtl w:val="true"/>
        </w:rPr>
        <w:footnoteReference w:id="1608"/>
      </w:r>
      <w:r>
        <w:rPr>
          <w:rFonts w:ascii="Amiri" w:hAnsi="Amiri" w:eastAsia="Amiri" w:cs="Amiri"/>
          <w:color w:val="111111"/>
          <w:sz w:val="28"/>
          <w:sz w:val="28"/>
          <w:szCs w:val="28"/>
          <w:rtl w:val="true"/>
          <w:lang w:bidi="ar-SA"/>
        </w:rPr>
        <w:t xml:space="preserve">البُغيةُ ؛ لأنّ مَن يَجِبُ </w:t>
      </w:r>
      <w:r>
        <w:rPr>
          <w:rStyle w:val="FootnoteAnchor"/>
          <w:rtl w:val="true"/>
        </w:rPr>
        <w:footnoteReference w:id="1609"/>
      </w:r>
      <w:r>
        <w:rPr>
          <w:rFonts w:ascii="Amiri" w:hAnsi="Amiri" w:eastAsia="Amiri" w:cs="Amiri"/>
          <w:color w:val="111111"/>
          <w:sz w:val="28"/>
          <w:sz w:val="28"/>
          <w:szCs w:val="28"/>
          <w:rtl w:val="true"/>
          <w:lang w:bidi="ar-SA"/>
        </w:rPr>
        <w:t>طاعتُه علَى الخَلقِ في سائرِ أُمورِ الدِّينِ لا يَكونُ إلّاالإمامَ إذا لَم يَكُن نَبيّاً</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964219_2320776876"/>
      <w:bookmarkStart w:id="320" w:name="_Toc113"/>
      <w:bookmarkEnd w:id="319"/>
      <w:r>
        <w:rPr>
          <w:rtl w:val="true"/>
        </w:rPr>
        <w:t>نفي لزوم تفسير مقدّمة الحديث بالإمامة</w:t>
      </w:r>
      <w:bookmarkEnd w:id="32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يُطلَقُ في النبيِّ عليه السلامُ أنّه إمامٌ كما لا يُطلَقُ أنّه</w:t>
      </w:r>
      <w:r>
        <w:rPr>
          <w:rStyle w:val="FootnoteAnchor"/>
          <w:rtl w:val="true"/>
        </w:rPr>
        <w:footnoteReference w:id="1610"/>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نَحتاجُ </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 xml:space="preserve">إلىٰ مُضايَقتِه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غيرَ مُمتَنِعٍ إطلاقُ كَونِ الرسولِ صَلّى اللّٰهُ عليه و آلِه إماماً لنا، بمعنىٰ أنّه يَجِبُ علينا الاقتداءُ به و الامتثالُ لأوامِرِه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لأنّا لَم نَسُمْه</w:t>
      </w:r>
      <w:r>
        <w:rPr>
          <w:rStyle w:val="FootnoteAnchor"/>
          <w:rtl w:val="true"/>
        </w:rPr>
        <w:footnoteReference w:id="1612"/>
      </w:r>
      <w:r>
        <w:rPr>
          <w:rFonts w:ascii="Amiri" w:hAnsi="Amiri" w:eastAsia="Amiri" w:cs="Amiri"/>
          <w:color w:val="111111"/>
          <w:sz w:val="28"/>
          <w:sz w:val="28"/>
          <w:szCs w:val="28"/>
          <w:rtl w:val="true"/>
          <w:lang w:bidi="ar-SA"/>
        </w:rPr>
        <w:t xml:space="preserve">القولَ بأنّ الرسولَ صلّى اللّٰه عليه و آله قَرَّرَهم في المُقدِّمةِ بكَونِه إماماً، و إنّما ذَهَبنا إلىٰ أنّ التقريرَ وَقَعَ بفرضِ </w:t>
      </w:r>
      <w:r>
        <w:rPr>
          <w:rStyle w:val="FootnoteAnchor"/>
          <w:rtl w:val="true"/>
        </w:rPr>
        <w:footnoteReference w:id="1613"/>
      </w:r>
      <w:r>
        <w:rPr>
          <w:rFonts w:ascii="Amiri" w:hAnsi="Amiri" w:eastAsia="Amiri" w:cs="Amiri"/>
          <w:color w:val="111111"/>
          <w:sz w:val="28"/>
          <w:sz w:val="28"/>
          <w:szCs w:val="28"/>
          <w:rtl w:val="true"/>
          <w:lang w:bidi="ar-SA"/>
        </w:rPr>
        <w:t xml:space="preserve">الطاعةِ التي تَجِبُ للرسولِ و الإمامِ و لا يَختَلِفُ فيهما، و لا خِلافَ بَينَنا و بَينَه في أنّ الرسولَ صَلّى اللّٰهُ عليه و آلِه تَجِبُ </w:t>
      </w:r>
      <w:r>
        <w:rPr>
          <w:rStyle w:val="FootnoteAnchor"/>
          <w:rtl w:val="true"/>
        </w:rPr>
        <w:footnoteReference w:id="1614"/>
      </w:r>
      <w:r>
        <w:rPr>
          <w:rFonts w:ascii="Amiri" w:hAnsi="Amiri" w:eastAsia="Amiri" w:cs="Amiri"/>
          <w:color w:val="111111"/>
          <w:sz w:val="28"/>
          <w:sz w:val="28"/>
          <w:szCs w:val="28"/>
          <w:rtl w:val="true"/>
          <w:lang w:bidi="ar-SA"/>
        </w:rPr>
        <w:t xml:space="preserve">طاعتُه، و يَصِحُّ أن يُقرِّرَ بوجوبِها أُمّتَه؛ فامتناعُ </w:t>
      </w:r>
      <w:r>
        <w:rPr>
          <w:rStyle w:val="FootnoteAnchor"/>
          <w:rtl w:val="true"/>
        </w:rPr>
        <w:footnoteReference w:id="1615"/>
      </w:r>
      <w:r>
        <w:rPr>
          <w:rFonts w:ascii="Amiri" w:hAnsi="Amiri" w:eastAsia="Amiri" w:cs="Amiri"/>
          <w:color w:val="111111"/>
          <w:sz w:val="28"/>
          <w:sz w:val="28"/>
          <w:szCs w:val="28"/>
          <w:rtl w:val="true"/>
          <w:lang w:bidi="ar-SA"/>
        </w:rPr>
        <w:t>إطلاقِ لفظِ الإمامةِ عليه</w:t>
      </w:r>
      <w:r>
        <w:rPr>
          <w:rStyle w:val="FootnoteAnchor"/>
          <w:rtl w:val="true"/>
        </w:rPr>
        <w:footnoteReference w:id="1616"/>
      </w:r>
      <w:r>
        <w:rPr>
          <w:rFonts w:ascii="Amiri" w:hAnsi="Amiri" w:eastAsia="Amiri" w:cs="Amiri"/>
          <w:color w:val="111111"/>
          <w:sz w:val="28"/>
          <w:sz w:val="28"/>
          <w:szCs w:val="28"/>
          <w:rtl w:val="true"/>
          <w:lang w:bidi="ar-SA"/>
        </w:rPr>
        <w:t>لا يَضُرُّنا، و لا يؤثِّرُ فيما قَصَدناه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يَصِحَّ أن يُرادَ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أَولىٰ بِكم منكم بأنفُسِكم‌؟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الإمامةِ فقَد بَطَلَ ما ادَّعَوه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رَأَيناه أبطَلَ معنَى الإمامةِ بشَيءٍ أكثَرَ ممّا ذَكَرَه</w:t>
      </w:r>
      <w:r>
        <w:rPr>
          <w:rStyle w:val="FootnoteAnchor"/>
          <w:rtl w:val="true"/>
        </w:rPr>
        <w:footnoteReference w:id="1617"/>
      </w:r>
      <w:r>
        <w:rPr>
          <w:rFonts w:ascii="Amiri" w:hAnsi="Amiri" w:eastAsia="Amiri" w:cs="Amiri"/>
          <w:color w:val="111111"/>
          <w:sz w:val="28"/>
          <w:sz w:val="28"/>
          <w:szCs w:val="28"/>
          <w:rtl w:val="true"/>
          <w:lang w:bidi="ar-SA"/>
        </w:rPr>
        <w:t xml:space="preserve">مِن معنَى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أنّه يَدخُلُ في معنَى الإمامةِ‌</w:t>
      </w:r>
      <w:r>
        <w:rPr>
          <w:rStyle w:val="FootnoteAnchor"/>
          <w:rtl w:val="true"/>
        </w:rPr>
        <w:footnoteReference w:id="1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w:t>
      </w:r>
      <w:r>
        <w:rPr>
          <w:rStyle w:val="FootnoteAnchor"/>
          <w:rtl w:val="true"/>
        </w:rPr>
        <w:footnoteReference w:id="1619"/>
      </w:r>
      <w:r>
        <w:rPr>
          <w:rFonts w:ascii="Amiri" w:hAnsi="Amiri" w:eastAsia="Amiri" w:cs="Amiri"/>
          <w:color w:val="111111"/>
          <w:sz w:val="28"/>
          <w:sz w:val="28"/>
          <w:szCs w:val="28"/>
          <w:rtl w:val="true"/>
          <w:lang w:bidi="ar-SA"/>
        </w:rPr>
        <w:t>ذَكره مِن امتناعِ إطلاقِ لفظِ الإمامِ علَى الرسولِ‌، و ذلكَ غيرُ مُبطِلٍ لحصولِ‌</w:t>
      </w:r>
      <w:r>
        <w:rPr>
          <w:rStyle w:val="FootnoteAnchor"/>
          <w:rtl w:val="true"/>
        </w:rPr>
        <w:footnoteReference w:id="1620"/>
      </w:r>
      <w:r>
        <w:rPr>
          <w:rFonts w:ascii="Amiri" w:hAnsi="Amiri" w:eastAsia="Amiri" w:cs="Amiri"/>
          <w:color w:val="111111"/>
          <w:sz w:val="28"/>
          <w:sz w:val="28"/>
          <w:szCs w:val="28"/>
          <w:rtl w:val="true"/>
          <w:lang w:bidi="ar-SA"/>
        </w:rPr>
        <w:t xml:space="preserve">معنَى الإمامةِ في التقريرِ؛ لأنّه اعتَمَدَ أنّ الرسولَ و إن كانَ يَقومُ بما يَقومُ به الإمامُ‌، فإنّ الوصفَ بالإمامةِ لا يُطلَقُ عليه </w:t>
      </w:r>
    </w:p>
    <w:p>
      <w:pPr>
        <w:pStyle w:val="BookText"/>
        <w:rPr/>
      </w:pPr>
      <w:r>
        <w:rPr>
          <w:rFonts w:ascii="Amiri" w:hAnsi="Amiri" w:eastAsia="Amiri" w:cs="Amiri"/>
          <w:color w:val="111111"/>
          <w:sz w:val="28"/>
          <w:sz w:val="28"/>
          <w:szCs w:val="28"/>
          <w:rtl w:val="true"/>
          <w:lang w:bidi="ar-SA"/>
        </w:rPr>
        <w:t>و المعنىٰ حاصلٌ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w:t>
      </w:r>
      <w:r>
        <w:rPr>
          <w:rStyle w:val="FootnoteAnchor"/>
          <w:rtl w:val="true"/>
        </w:rPr>
        <w:footnoteReference w:id="1621"/>
      </w:r>
      <w:r>
        <w:rPr>
          <w:rFonts w:ascii="IRNazanin" w:hAnsi="IRNazanin" w:eastAsia="IRNazanin"/>
          <w:color w:val="111111"/>
          <w:sz w:val="28"/>
          <w:sz w:val="28"/>
          <w:szCs w:val="28"/>
          <w:rtl w:val="true"/>
          <w:lang w:bidi="fa-IR"/>
        </w:rPr>
        <w:t xml:space="preserve">هذا فما المانعُ </w:t>
      </w:r>
      <w:r>
        <w:rPr>
          <w:rStyle w:val="FootnoteAnchor"/>
          <w:rtl w:val="true"/>
        </w:rPr>
        <w:footnoteReference w:id="1622"/>
      </w:r>
      <w:r>
        <w:rPr>
          <w:rFonts w:ascii="Amiri" w:hAnsi="Amiri" w:eastAsia="Amiri" w:cs="Amiri"/>
          <w:color w:val="111111"/>
          <w:sz w:val="28"/>
          <w:sz w:val="28"/>
          <w:szCs w:val="28"/>
          <w:rtl w:val="true"/>
          <w:lang w:bidi="ar-SA"/>
        </w:rPr>
        <w:t>مِن أن يَكونَ التقريرُ وَقَعَ بفرضِ الطاعةِ ، و هو معنَى الإمامةِ؟ لأنّ المُرادَ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الصفةَ لا تَحصُلُ بَعدَ النبيِّ صَلّى اللّٰهُ عليه و آلِه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إماماً قائماً بما يَقومُ به الأئمّةُ ، و إن كانَ إطلاقُ الاسمِ يَمتَنِعُ </w:t>
      </w:r>
      <w:r>
        <w:rPr>
          <w:rStyle w:val="FootnoteAnchor"/>
          <w:rtl w:val="true"/>
        </w:rPr>
        <w:footnoteReference w:id="1623"/>
      </w:r>
      <w:r>
        <w:rPr>
          <w:rFonts w:ascii="Amiri" w:hAnsi="Amiri" w:eastAsia="Amiri" w:cs="Amiri"/>
          <w:color w:val="111111"/>
          <w:sz w:val="28"/>
          <w:sz w:val="28"/>
          <w:szCs w:val="28"/>
          <w:rtl w:val="true"/>
          <w:lang w:bidi="ar-SA"/>
        </w:rPr>
        <w:t>لِما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حِكايتُه عن كَثيرٍ مِن شُيوخِه دفعَ التواتُرِ بالمُقدِّمةِ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بحُجّةٍ ، و قد دَلَّلنا فيما مضىٰ </w:t>
      </w:r>
      <w:r>
        <w:rPr>
          <w:rStyle w:val="FootnoteAnchor"/>
          <w:rtl w:val="true"/>
        </w:rPr>
        <w:footnoteReference w:id="1624"/>
      </w:r>
      <w:r>
        <w:rPr>
          <w:rFonts w:ascii="Amiri" w:hAnsi="Amiri" w:eastAsia="Amiri" w:cs="Amiri"/>
          <w:color w:val="111111"/>
          <w:sz w:val="28"/>
          <w:sz w:val="28"/>
          <w:szCs w:val="28"/>
          <w:rtl w:val="true"/>
          <w:lang w:bidi="ar-SA"/>
        </w:rPr>
        <w:t xml:space="preserve">علىٰ أنّ الشيعةَ تَتواتَرُ بالخبرِ بمُقدِّمةِ الحَديثِ </w:t>
      </w:r>
      <w:r>
        <w:rPr>
          <w:rStyle w:val="FootnoteAnchor"/>
          <w:rtl w:val="true"/>
        </w:rPr>
        <w:footnoteReference w:id="1625"/>
      </w:r>
      <w:r>
        <w:rPr>
          <w:rFonts w:ascii="Amiri" w:hAnsi="Amiri" w:eastAsia="Amiri" w:cs="Amiri"/>
          <w:color w:val="111111"/>
          <w:sz w:val="28"/>
          <w:sz w:val="28"/>
          <w:szCs w:val="28"/>
          <w:rtl w:val="true"/>
          <w:lang w:bidi="ar-SA"/>
        </w:rPr>
        <w:t>، و أكثَرُ مَن رَواه مِن العامّةِ رَوَى المُقدِّمةَ أيضاً</w:t>
      </w:r>
      <w:r>
        <w:rPr>
          <w:rStyle w:val="FootnoteAnchor"/>
          <w:rtl w:val="true"/>
        </w:rPr>
        <w:footnoteReference w:id="1626"/>
      </w:r>
      <w:r>
        <w:rPr>
          <w:rFonts w:ascii="Amiri" w:hAnsi="Amiri" w:eastAsia="Amiri" w:cs="Amiri"/>
          <w:color w:val="111111"/>
          <w:sz w:val="28"/>
          <w:sz w:val="28"/>
          <w:szCs w:val="28"/>
          <w:rtl w:val="true"/>
          <w:lang w:bidi="ar-SA"/>
        </w:rPr>
        <w:t>و إنّما أغفَلَها مِن الرُّواةِ قَليلٌ مِن كَثيرٍ، و بيّنّا ما يَصِحُّ أن يَكونَ عُذراً في تَركِ مَن تَرَكَ روايتَها</w:t>
      </w:r>
      <w:r>
        <w:rPr>
          <w:rFonts w:eastAsia="Amiri" w:cs="Amiri" w:ascii="Amiri" w:hAnsi="Amiri"/>
          <w:color w:val="111111"/>
          <w:sz w:val="28"/>
          <w:szCs w:val="28"/>
          <w:rtl w:val="true"/>
          <w:lang w:bidi="ar-SA"/>
        </w:rPr>
        <w:t>.</w:t>
      </w:r>
      <w:r>
        <w:rPr>
          <w:rStyle w:val="FootnoteAnchor"/>
          <w:rtl w:val="true"/>
        </w:rPr>
        <w:footnoteReference w:id="1627"/>
      </w:r>
      <w:r>
        <w:rPr>
          <w:rFonts w:ascii="Amiri" w:hAnsi="Amiri" w:eastAsia="Amiri" w:cs="Amiri"/>
          <w:color w:val="111111"/>
          <w:sz w:val="28"/>
          <w:sz w:val="28"/>
          <w:szCs w:val="28"/>
          <w:rtl w:val="true"/>
          <w:lang w:bidi="ar-SA"/>
        </w:rPr>
        <w:t>و لَيسَ يَجوزُ أن يُجعَلَ إغفالُ مَن أغفَلَها حُجّةً في دَفعِ رِوايةِ مَن رَواها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Style w:val="FootnoteAnchor"/>
          <w:rtl w:val="true"/>
        </w:rPr>
        <w:footnoteReference w:id="1628"/>
      </w:r>
      <w:r>
        <w:rPr>
          <w:rFonts w:ascii="Amiri" w:hAnsi="Amiri" w:eastAsia="Amiri" w:cs="Amiri"/>
          <w:color w:val="111111"/>
          <w:sz w:val="28"/>
          <w:sz w:val="28"/>
          <w:szCs w:val="28"/>
          <w:rtl w:val="true"/>
          <w:lang w:bidi="ar-SA"/>
        </w:rPr>
        <w:t>اقتصارُ أميرِ المؤمنينَ عليه السلام في الاحتجاجِ علىٰ ذِكرِ ما عَدا المُقدِّمةَ مِن الخبرِ</w:t>
      </w:r>
      <w:r>
        <w:rPr>
          <w:rStyle w:val="FootnoteAnchor"/>
          <w:rtl w:val="true"/>
        </w:rPr>
        <w:footnoteReference w:id="1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يَدُلُّ أيضاً علىٰ بُطلانِها؛ لأنّه عليه السلامُ احتَجَّ مِن الخبرِ بما </w:t>
      </w:r>
      <w:bookmarkStart w:id="321" w:name="pg20017_202540"/>
    </w:p>
    <w:p>
      <w:pPr>
        <w:pStyle w:val="BookText"/>
        <w:rPr/>
      </w:pPr>
      <w:bookmarkEnd w:id="321"/>
      <w:r>
        <w:rPr>
          <w:rFonts w:ascii="Amiri" w:hAnsi="Amiri" w:eastAsia="Amiri" w:cs="Amiri"/>
          <w:color w:val="111111"/>
          <w:sz w:val="28"/>
          <w:sz w:val="28"/>
          <w:szCs w:val="28"/>
          <w:rtl w:val="true"/>
          <w:lang w:bidi="ar-SA"/>
        </w:rPr>
        <w:t xml:space="preserve">يَكونُ الاعترافُ به اعترافاً بالجميعِ ، علىٰ عادةِ الناسِ في أمثالِ هذه الاحتجاجاتِ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الكلامُ في هذا</w:t>
      </w:r>
      <w:r>
        <w:rPr>
          <w:rFonts w:eastAsia="Amiri" w:cs="Amiri" w:ascii="Amiri" w:hAnsi="Amiri"/>
          <w:color w:val="111111"/>
          <w:sz w:val="28"/>
          <w:szCs w:val="28"/>
          <w:rtl w:val="true"/>
          <w:lang w:bidi="ar-SA"/>
        </w:rPr>
        <w:t>.</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 xml:space="preserve">و ذَكرنا أيضاً أنّ طريقةَ التقسيمِ </w:t>
      </w:r>
      <w:r>
        <w:rPr>
          <w:rStyle w:val="FootnoteAnchor"/>
          <w:rtl w:val="true"/>
        </w:rPr>
        <w:footnoteReference w:id="1631"/>
      </w:r>
      <w:r>
        <w:rPr>
          <w:rFonts w:ascii="Amiri" w:hAnsi="Amiri" w:eastAsia="Amiri" w:cs="Amiri"/>
          <w:color w:val="111111"/>
          <w:sz w:val="28"/>
          <w:sz w:val="28"/>
          <w:szCs w:val="28"/>
          <w:rtl w:val="true"/>
          <w:lang w:bidi="ar-SA"/>
        </w:rPr>
        <w:t>غيرُ مُفتَقِرةٍ إلَى المُقدِّمةِ ، و إنّما يُحتاجُ إليها في الطريقةِ الأُولَى</w:t>
      </w:r>
      <w:r>
        <w:rPr>
          <w:rStyle w:val="FootnoteAnchor"/>
          <w:rtl w:val="true"/>
        </w:rPr>
        <w:footnoteReference w:id="1632"/>
      </w:r>
      <w:r>
        <w:rPr>
          <w:rFonts w:ascii="Amiri" w:hAnsi="Amiri" w:eastAsia="Amiri" w:cs="Amiri"/>
          <w:color w:val="111111"/>
          <w:sz w:val="28"/>
          <w:sz w:val="28"/>
          <w:szCs w:val="28"/>
          <w:rtl w:val="true"/>
          <w:lang w:bidi="ar-SA"/>
        </w:rPr>
        <w:t>التي اعتَمَدناها</w:t>
      </w:r>
      <w:r>
        <w:rPr>
          <w:rStyle w:val="FootnoteAnchor"/>
          <w:rtl w:val="true"/>
        </w:rPr>
        <w:footnoteReference w:id="1633"/>
      </w:r>
      <w:r>
        <w:rPr>
          <w:rFonts w:ascii="Amiri" w:hAnsi="Amiri" w:eastAsia="Amiri" w:cs="Amiri"/>
          <w:color w:val="111111"/>
          <w:sz w:val="28"/>
          <w:sz w:val="28"/>
          <w:szCs w:val="28"/>
          <w:rtl w:val="true"/>
          <w:lang w:bidi="ar-SA"/>
        </w:rPr>
        <w:t>، و طريقُ إثباتِها واضحٌ بما أَورَدناه</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964221_2320776876"/>
      <w:bookmarkStart w:id="323" w:name="_Toc114"/>
      <w:bookmarkEnd w:id="322"/>
      <w:r>
        <w:rPr>
          <w:rtl w:val="true"/>
        </w:rPr>
        <w:t>التقرير الرابع</w:t>
      </w:r>
      <w:r>
        <w:rPr>
          <w:rtl w:val="true"/>
        </w:rPr>
        <w:t xml:space="preserve">: </w:t>
      </w:r>
      <w:r>
        <w:rPr>
          <w:rtl w:val="true"/>
        </w:rPr>
        <w:t>طريقة الإجماع</w:t>
      </w:r>
      <w:bookmarkEnd w:id="323"/>
    </w:p>
    <w:p>
      <w:pPr>
        <w:pStyle w:val="Heading6"/>
        <w:numPr>
          <w:ilvl w:val="5"/>
          <w:numId w:val="1"/>
        </w:numPr>
        <w:rPr/>
      </w:pPr>
      <w:bookmarkStart w:id="324" w:name="__RefHeading___Toc964223_2320776876"/>
      <w:bookmarkStart w:id="325" w:name="_Toc115"/>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و يُمكِنُ أن يُستَدَلَّ علَى الإمامةِ بالخبرِ مِن وجهٍ آخَرَ لا يَفتَقِرُ إلَى المُقدِّمةِ‌؛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أنّ مِن جُملةِ ما يَحتَمِلُه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الأقسامِ معنَى الإمامةِ </w:t>
      </w:r>
      <w:r>
        <w:rPr>
          <w:rStyle w:val="FootnoteAnchor"/>
          <w:rtl w:val="true"/>
        </w:rPr>
        <w:footnoteReference w:id="1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دَلَّلنا عليه مِن قَبلُ </w:t>
      </w:r>
      <w:r>
        <w:rPr>
          <w:rStyle w:val="FootnoteAnchor"/>
          <w:rtl w:val="true"/>
        </w:rPr>
        <w:footnoteReference w:id="1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وَجَدنا كُلَّ مَن ذَهَبَ إلىٰ أنّ لفظَ خبرِ الغَديرِ يَحتَمِلُ معنَى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يَقتَضيها في جُملةِ 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إلىٰ أنّ الإمامةَ هي المُرادةُ </w:t>
      </w:r>
      <w:r>
        <w:rPr>
          <w:rStyle w:val="FootnoteAnchor"/>
          <w:rtl w:val="true"/>
        </w:rPr>
        <w:footnoteReference w:id="1636"/>
      </w:r>
      <w:r>
        <w:rPr>
          <w:rFonts w:ascii="Amiri" w:hAnsi="Amiri" w:eastAsia="Amiri" w:cs="Amiri"/>
          <w:color w:val="111111"/>
          <w:sz w:val="28"/>
          <w:sz w:val="28"/>
          <w:szCs w:val="28"/>
          <w:rtl w:val="true"/>
          <w:lang w:bidi="ar-SA"/>
        </w:rPr>
        <w:t>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طريقةٌ قَويّةٌ يُمكِنُ أن تُعتَمَدَ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لَو صَحَّ و ثَبَتَ أنّ المُرادَ به ما قالوه، لَم يَجِبْ فيما تَعقُبُه</w:t>
      </w:r>
      <w:r>
        <w:rPr>
          <w:rStyle w:val="FootnoteAnchor"/>
          <w:rtl w:val="true"/>
        </w:rPr>
        <w:footnoteReference w:id="163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الجُملةِ أن يُرادَ به ذلكَ ؛ بَل يَجِبُ أن يُحمَلَ علىٰ ما يَقتَضيه لفظُه، </w:t>
      </w:r>
    </w:p>
    <w:p>
      <w:pPr>
        <w:pStyle w:val="BookText"/>
        <w:rPr/>
      </w:pPr>
      <w:r>
        <w:rPr>
          <w:rFonts w:ascii="Amiri" w:hAnsi="Amiri" w:eastAsia="Amiri" w:cs="Amiri"/>
          <w:color w:val="111111"/>
          <w:sz w:val="28"/>
          <w:sz w:val="28"/>
          <w:szCs w:val="28"/>
          <w:rtl w:val="true"/>
          <w:lang w:bidi="ar-SA"/>
        </w:rPr>
        <w:t>فإن كانَ لفظُه يَقتَضي ما ذَكروه فلا وجهَ لِتَعلُّقِهم بالمُقدِّمةِ‌، و إن كانَ لا يَقتَضي ذلكَ لَم يَصِرْ مُقتَضياً له لأجلِ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قَدَّمَ عليه السلامُ‌</w:t>
      </w:r>
      <w:r>
        <w:rPr>
          <w:rStyle w:val="FootnoteAnchor"/>
          <w:rtl w:val="true"/>
        </w:rPr>
        <w:footnoteReference w:id="1638"/>
      </w:r>
      <w:r>
        <w:rPr>
          <w:rFonts w:ascii="Amiri" w:hAnsi="Amiri" w:eastAsia="Amiri" w:cs="Amiri"/>
          <w:color w:val="111111"/>
          <w:sz w:val="28"/>
          <w:sz w:val="28"/>
          <w:szCs w:val="28"/>
          <w:rtl w:val="true"/>
          <w:lang w:bidi="ar-SA"/>
        </w:rPr>
        <w:t>ذلكَ ليؤكِّدَ ما يُريدُ أن يُبيِّنَ لهم مِن وجوبِ مُوالاتِه عليه السلامُ و مُوالاةِ أميرِ المؤمنينَ عليه السلامُ‌</w:t>
      </w:r>
      <w:r>
        <w:rPr>
          <w:rStyle w:val="FootnoteAnchor"/>
          <w:rtl w:val="true"/>
        </w:rPr>
        <w:footnoteReference w:id="1639"/>
      </w:r>
      <w:r>
        <w:rPr>
          <w:rFonts w:ascii="Amiri" w:hAnsi="Amiri" w:eastAsia="Amiri" w:cs="Amiri"/>
          <w:color w:val="111111"/>
          <w:sz w:val="28"/>
          <w:sz w:val="28"/>
          <w:szCs w:val="28"/>
          <w:rtl w:val="true"/>
          <w:lang w:bidi="ar-SA"/>
        </w:rPr>
        <w:t>لأنّ العادةَ جاريةٌ فيمَن يُريدُ أن يُلزِمَ غيرَه أمراً عظيماً في نفسِه أن يُقدِّمَ مِثلَ‌</w:t>
      </w:r>
      <w:r>
        <w:rPr>
          <w:rStyle w:val="FootnoteAnchor"/>
          <w:rtl w:val="true"/>
        </w:rPr>
        <w:footnoteReference w:id="1640"/>
      </w:r>
      <w:r>
        <w:rPr>
          <w:rFonts w:ascii="Amiri" w:hAnsi="Amiri" w:eastAsia="Amiri" w:cs="Amiri"/>
          <w:color w:val="111111"/>
          <w:sz w:val="28"/>
          <w:sz w:val="28"/>
          <w:szCs w:val="28"/>
          <w:rtl w:val="true"/>
          <w:lang w:bidi="ar-SA"/>
        </w:rPr>
        <w:t>هذه المُقدِّماتِ‌؛ تأكيداً لحَقِّ الرجُلِ الرئيسِ السيِّدِ</w:t>
      </w:r>
      <w:r>
        <w:rPr>
          <w:rStyle w:val="FootnoteAnchor"/>
          <w:rtl w:val="true"/>
        </w:rPr>
        <w:footnoteReference w:id="1641"/>
      </w:r>
      <w:r>
        <w:rPr>
          <w:rFonts w:ascii="Amiri" w:hAnsi="Amiri" w:eastAsia="Amiri" w:cs="Amiri"/>
          <w:color w:val="111111"/>
          <w:sz w:val="28"/>
          <w:sz w:val="28"/>
          <w:szCs w:val="28"/>
          <w:rtl w:val="true"/>
          <w:lang w:bidi="ar-SA"/>
        </w:rPr>
        <w:t>الذي يُريدُ إلزامَ قومِه أمراً، فيَقولَ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القائمَ بأُمورِكم، و الذابَّ عنكم</w:t>
      </w:r>
      <w:r>
        <w:rPr>
          <w:rStyle w:val="FootnoteAnchor"/>
          <w:rtl w:val="true"/>
        </w:rPr>
        <w:footnoteReference w:id="1642"/>
      </w:r>
      <w:r>
        <w:rPr>
          <w:rFonts w:ascii="Amiri" w:hAnsi="Amiri" w:eastAsia="Amiri" w:cs="Amiri"/>
          <w:color w:val="111111"/>
          <w:sz w:val="28"/>
          <w:sz w:val="28"/>
          <w:szCs w:val="28"/>
          <w:rtl w:val="true"/>
          <w:lang w:bidi="ar-SA"/>
        </w:rPr>
        <w:t>، و الناصرَ لكم، و المُنعِمَ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Style w:val="FootnoteAnchor"/>
          <w:rtl w:val="true"/>
        </w:rPr>
        <w:footnoteReference w:id="1643"/>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فافعَلوا 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 أمَرَهم به</w:t>
      </w:r>
      <w:r>
        <w:rPr>
          <w:rStyle w:val="FootnoteAnchor"/>
          <w:rtl w:val="true"/>
        </w:rPr>
        <w:footnoteReference w:id="1644"/>
      </w:r>
      <w:r>
        <w:rPr>
          <w:rFonts w:ascii="Amiri" w:hAnsi="Amiri" w:eastAsia="Amiri" w:cs="Amiri"/>
          <w:color w:val="111111"/>
          <w:sz w:val="28"/>
          <w:sz w:val="28"/>
          <w:szCs w:val="28"/>
          <w:rtl w:val="true"/>
          <w:lang w:bidi="ar-SA"/>
        </w:rPr>
        <w:t xml:space="preserve">ثانياً لا يَتَّصِلُ بما أمَرَهم أوّلاً، و يَكونُ </w:t>
      </w:r>
      <w:r>
        <w:rPr>
          <w:rStyle w:val="FootnoteAnchor"/>
          <w:rtl w:val="true"/>
        </w:rPr>
        <w:footnoteReference w:id="1645"/>
      </w:r>
      <w:r>
        <w:rPr>
          <w:rFonts w:ascii="Amiri" w:hAnsi="Amiri" w:eastAsia="Amiri" w:cs="Amiri"/>
          <w:color w:val="111111"/>
          <w:sz w:val="28"/>
          <w:sz w:val="28"/>
          <w:szCs w:val="28"/>
          <w:rtl w:val="true"/>
          <w:lang w:bidi="ar-SA"/>
        </w:rPr>
        <w:t xml:space="preserve">لتقديمِ </w:t>
      </w:r>
      <w:r>
        <w:rPr>
          <w:rStyle w:val="FootnoteAnchor"/>
          <w:rtl w:val="true"/>
        </w:rPr>
        <w:footnoteReference w:id="1646"/>
      </w:r>
      <w:r>
        <w:rPr>
          <w:rFonts w:ascii="Amiri" w:hAnsi="Amiri" w:eastAsia="Amiri" w:cs="Amiri"/>
          <w:color w:val="111111"/>
          <w:sz w:val="28"/>
          <w:sz w:val="28"/>
          <w:szCs w:val="28"/>
          <w:rtl w:val="true"/>
          <w:lang w:bidi="ar-SA"/>
        </w:rPr>
        <w:t xml:space="preserve">ذلكَ حِكمةٌ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الوجهِ قالَ النبيُّ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لكم مِثلُ الوالِدِ، فإذا ذَهَبَ أحَدُكم إلَى الغائطِ فلا يَستَقبِلِ القِبلةَ و لا يَستَدبِرْها بغائطٍ</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و لا بَولٍ‌</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0"/>
      </w:r>
      <w:r>
        <w:rPr>
          <w:rFonts w:ascii="Amiri" w:hAnsi="Amiri" w:eastAsia="Amiri" w:cs="Amiri"/>
          <w:color w:val="111111"/>
          <w:sz w:val="28"/>
          <w:sz w:val="28"/>
          <w:szCs w:val="28"/>
          <w:rtl w:val="true"/>
          <w:lang w:bidi="ar-SA"/>
        </w:rPr>
        <w:t>فقَدَّمَ عليه السلامُ عندَ إرادتِه بَيانَ ما يَختَصُّ بحالِ الخَلوةِ ما يَدُلُّ علىٰ إشفاقٍ و حُسنِ نَظَرٍ؛ فكذلكَ‌</w:t>
      </w:r>
      <w:r>
        <w:rPr>
          <w:rStyle w:val="FootnoteAnchor"/>
          <w:rtl w:val="true"/>
        </w:rPr>
        <w:footnoteReference w:id="1651"/>
      </w:r>
      <w:r>
        <w:rPr>
          <w:rFonts w:ascii="Amiri" w:hAnsi="Amiri" w:eastAsia="Amiri" w:cs="Amiri"/>
          <w:color w:val="111111"/>
          <w:sz w:val="28"/>
          <w:sz w:val="28"/>
          <w:szCs w:val="28"/>
          <w:rtl w:val="true"/>
          <w:lang w:bidi="ar-SA"/>
        </w:rPr>
        <w:t>القولُ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الذي ذَكرناه صَرَّحَ به عليه السلامُ ليَسلَمَ مِن العَيبِ‌</w:t>
      </w:r>
      <w:r>
        <w:rPr>
          <w:rStyle w:val="FootnoteAnchor"/>
          <w:rtl w:val="true"/>
        </w:rPr>
        <w:footnoteReference w:id="1652"/>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بِكم في بَيانِ الشرعِ لكم</w:t>
      </w:r>
      <w:r>
        <w:rPr>
          <w:rStyle w:val="FootnoteAnchor"/>
          <w:rtl w:val="true"/>
        </w:rPr>
        <w:footnoteReference w:id="1653"/>
      </w:r>
      <w:r>
        <w:rPr>
          <w:rFonts w:ascii="Amiri" w:hAnsi="Amiri" w:eastAsia="Amiri" w:cs="Amiri"/>
          <w:color w:val="111111"/>
          <w:sz w:val="28"/>
          <w:sz w:val="28"/>
          <w:szCs w:val="28"/>
          <w:rtl w:val="true"/>
          <w:lang w:bidi="ar-SA"/>
        </w:rPr>
        <w:t>، و ما يَجِبُ عليكم، و ما يَحِلُّ‌</w:t>
      </w:r>
      <w:r>
        <w:rPr>
          <w:rStyle w:val="FootnoteAnchor"/>
          <w:rtl w:val="true"/>
        </w:rPr>
        <w:footnoteReference w:id="1654"/>
      </w:r>
      <w:r>
        <w:rPr>
          <w:rFonts w:ascii="IRNazanin" w:hAnsi="IRNazanin" w:eastAsia="IRNazanin"/>
          <w:color w:val="111111"/>
          <w:sz w:val="28"/>
          <w:sz w:val="28"/>
          <w:szCs w:val="28"/>
          <w:rtl w:val="true"/>
          <w:lang w:bidi="fa-IR"/>
        </w:rPr>
        <w:t>و ما</w:t>
      </w:r>
      <w:r>
        <w:rPr>
          <w:rStyle w:val="FootnoteAnchor"/>
          <w:rtl w:val="true"/>
        </w:rPr>
        <w:footnoteReference w:id="1655"/>
      </w:r>
      <w:r>
        <w:rPr>
          <w:rFonts w:ascii="Amiri" w:hAnsi="Amiri" w:eastAsia="Amiri" w:cs="Amiri"/>
          <w:color w:val="111111"/>
          <w:sz w:val="28"/>
          <w:sz w:val="28"/>
          <w:szCs w:val="28"/>
          <w:rtl w:val="true"/>
          <w:lang w:bidi="ar-SA"/>
        </w:rPr>
        <w:t>يَحرُمُ؟ فإذا كنتُ كذلكَ في بابِ الدِّينِ‌، فمَن يَلزَمُه مُوالاتي باطناً و ظاهراً</w:t>
      </w:r>
      <w:r>
        <w:rPr>
          <w:rStyle w:val="FootnoteAnchor"/>
          <w:rtl w:val="true"/>
        </w:rPr>
        <w:footnoteReference w:id="1656"/>
      </w:r>
      <w:r>
        <w:rPr>
          <w:rFonts w:ascii="Amiri" w:hAnsi="Amiri" w:eastAsia="Amiri" w:cs="Amiri"/>
          <w:color w:val="111111"/>
          <w:sz w:val="28"/>
          <w:sz w:val="28"/>
          <w:szCs w:val="28"/>
          <w:rtl w:val="true"/>
          <w:lang w:bidi="ar-SA"/>
        </w:rPr>
        <w:t>بالإعظامِ و المَدحِ و النُّصرةِ‌، فليُوالِ عليّاً علىٰ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w:t>
      </w:r>
      <w:r>
        <w:rPr>
          <w:rStyle w:val="FootnoteAnchor"/>
          <w:rtl w:val="true"/>
        </w:rPr>
        <w:footnoteReference w:id="1657"/>
      </w:r>
      <w:r>
        <w:rPr>
          <w:rFonts w:ascii="Amiri" w:hAnsi="Amiri" w:eastAsia="Amiri" w:cs="Amiri"/>
          <w:color w:val="111111"/>
          <w:sz w:val="28"/>
          <w:sz w:val="28"/>
          <w:szCs w:val="28"/>
          <w:rtl w:val="true"/>
          <w:lang w:bidi="ar-SA"/>
        </w:rPr>
        <w:t xml:space="preserve">الكلامُ حَسَناً مُستَقيماً يَليقُ بعضُه ببعضٍ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 يَجِبُ ما ذَكروه لَو كانَ متىٰ حُمِلَت الجُملةُ الثانيةُ علىٰ ما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قُلناه نَبَتْ </w:t>
      </w:r>
      <w:r>
        <w:rPr>
          <w:rStyle w:val="FootnoteAnchor"/>
          <w:rtl w:val="true"/>
        </w:rPr>
        <w:footnoteReference w:id="1658"/>
      </w:r>
      <w:r>
        <w:rPr>
          <w:rFonts w:ascii="Amiri" w:hAnsi="Amiri" w:eastAsia="Amiri" w:cs="Amiri"/>
          <w:color w:val="111111"/>
          <w:sz w:val="28"/>
          <w:sz w:val="28"/>
          <w:szCs w:val="28"/>
          <w:rtl w:val="true"/>
          <w:lang w:bidi="ar-SA"/>
        </w:rPr>
        <w:t xml:space="preserve">عن الجُملةِ الأُولىٰ و نافَرَتها، فأمّا إذا كانَت الحالُ ما </w:t>
      </w:r>
      <w:bookmarkStart w:id="326" w:name="pg20017_202543"/>
    </w:p>
    <w:p>
      <w:pPr>
        <w:pStyle w:val="BookText"/>
        <w:rPr/>
      </w:pPr>
      <w:bookmarkEnd w:id="326"/>
      <w:r>
        <w:rPr>
          <w:rFonts w:ascii="Amiri" w:hAnsi="Amiri" w:eastAsia="Amiri" w:cs="Amiri"/>
          <w:color w:val="111111"/>
          <w:sz w:val="28"/>
          <w:sz w:val="28"/>
          <w:szCs w:val="28"/>
          <w:rtl w:val="true"/>
          <w:lang w:bidi="ar-SA"/>
        </w:rPr>
        <w:t xml:space="preserve">ذَكرناه فهو مُستَقيمٌ لا خَلَلَ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لِما ذَكروه</w:t>
      </w:r>
      <w:r>
        <w:rPr>
          <w:rFonts w:eastAsia="Amiri" w:cs="Amiri" w:ascii="Amiri" w:hAnsi="Amiri"/>
          <w:color w:val="111111"/>
          <w:sz w:val="28"/>
          <w:szCs w:val="28"/>
          <w:rtl w:val="true"/>
          <w:lang w:bidi="ar-SA"/>
        </w:rPr>
        <w:t>].</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في جُملةِ ما قَدَّمناه مِن الكلامِ </w:t>
      </w:r>
      <w:r>
        <w:rPr>
          <w:rStyle w:val="FootnoteAnchor"/>
          <w:rtl w:val="true"/>
        </w:rPr>
        <w:footnoteReference w:id="1660"/>
      </w:r>
      <w:r>
        <w:rPr>
          <w:rFonts w:ascii="Amiri" w:hAnsi="Amiri" w:eastAsia="Amiri" w:cs="Amiri"/>
          <w:color w:val="111111"/>
          <w:sz w:val="28"/>
          <w:sz w:val="28"/>
          <w:szCs w:val="28"/>
          <w:rtl w:val="true"/>
          <w:lang w:bidi="ar-SA"/>
        </w:rPr>
        <w:t xml:space="preserve">ما يُبطِلُ مَعانيَ </w:t>
      </w:r>
      <w:r>
        <w:rPr>
          <w:rStyle w:val="FootnoteAnchor"/>
          <w:rtl w:val="true"/>
        </w:rPr>
        <w:footnoteReference w:id="1661"/>
      </w:r>
      <w:r>
        <w:rPr>
          <w:rFonts w:ascii="Amiri" w:hAnsi="Amiri" w:eastAsia="Amiri" w:cs="Amiri"/>
          <w:color w:val="111111"/>
          <w:sz w:val="28"/>
          <w:sz w:val="28"/>
          <w:szCs w:val="28"/>
          <w:rtl w:val="true"/>
          <w:lang w:bidi="ar-SA"/>
        </w:rPr>
        <w:t>فَصلِك هذا</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964225_2320776876"/>
      <w:bookmarkStart w:id="328" w:name="_Toc116"/>
      <w:bookmarkEnd w:id="327"/>
      <w:r>
        <w:rPr>
          <w:rtl w:val="true"/>
        </w:rPr>
        <w:t>بيان الحاجة إلىٰ مقدّمة الحديث لأجل إثبات الإمامة</w:t>
      </w:r>
      <w:bookmarkEnd w:id="328"/>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1662"/>
      </w:r>
      <w:r>
        <w:rPr>
          <w:rFonts w:ascii="Amiri" w:hAnsi="Amiri" w:eastAsia="Amiri" w:cs="Amiri"/>
          <w:color w:val="111111"/>
          <w:sz w:val="28"/>
          <w:sz w:val="28"/>
          <w:szCs w:val="28"/>
          <w:rtl w:val="true"/>
          <w:lang w:bidi="ar-SA"/>
        </w:rPr>
        <w:t>نَفيُكَ لِأَنْ يَكونَ الكلامُ مُقتَضياً لِما ذَكرناه لأجلِ المُقدِّمةِ‌، و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يُحمَلَ‌</w:t>
      </w:r>
      <w:r>
        <w:rPr>
          <w:rStyle w:val="FootnoteAnchor"/>
          <w:rtl w:val="true"/>
        </w:rPr>
        <w:footnoteReference w:id="1663"/>
      </w:r>
      <w:r>
        <w:rPr>
          <w:rFonts w:ascii="Amiri" w:hAnsi="Amiri" w:eastAsia="Amiri" w:cs="Amiri"/>
          <w:color w:val="111111"/>
          <w:sz w:val="28"/>
          <w:sz w:val="28"/>
          <w:szCs w:val="28"/>
          <w:rtl w:val="true"/>
          <w:lang w:bidi="ar-SA"/>
        </w:rPr>
        <w:t>علىٰ ما يَقتَضيه لفظُه، مِن غيرِ مُراعاةٍ للمُقدِّمةِ‌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صَحيحٍ‌؛ لأنّكَ إن أرَدتَ بذلكَ الاقتضاءَ علىٰ سَبيلِ الاحتمالِ لا علَى</w:t>
      </w:r>
      <w:r>
        <w:rPr>
          <w:rStyle w:val="FootnoteAnchor"/>
          <w:rtl w:val="true"/>
        </w:rPr>
        <w:footnoteReference w:id="1664"/>
      </w:r>
      <w:r>
        <w:rPr>
          <w:rFonts w:ascii="Amiri" w:hAnsi="Amiri" w:eastAsia="Amiri" w:cs="Amiri"/>
          <w:color w:val="111111"/>
          <w:sz w:val="28"/>
          <w:sz w:val="28"/>
          <w:szCs w:val="28"/>
          <w:rtl w:val="true"/>
          <w:lang w:bidi="ar-SA"/>
        </w:rPr>
        <w:t>الإيجابِ‌، فاللفظُ لَيسَ يَصيرُ لأجلِ المُقدِّمةِ مُقتَضياً لغَيرِ</w:t>
      </w:r>
      <w:r>
        <w:rPr>
          <w:rStyle w:val="FootnoteAnchor"/>
          <w:rtl w:val="true"/>
        </w:rPr>
        <w:footnoteReference w:id="1665"/>
      </w:r>
      <w:r>
        <w:rPr>
          <w:rFonts w:ascii="Amiri" w:hAnsi="Amiri" w:eastAsia="Amiri" w:cs="Amiri"/>
          <w:color w:val="111111"/>
          <w:sz w:val="28"/>
          <w:sz w:val="28"/>
          <w:szCs w:val="28"/>
          <w:rtl w:val="true"/>
          <w:lang w:bidi="ar-SA"/>
        </w:rPr>
        <w:t>ما كان مُقتَضياً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 بالاقتضاءِ الإيجابَ ، فقَد بيّنّا أنّ بوُرودِ المُقدِّمةِ لا بُدَّ مِن تخصيصِ اللفظِ الوارِدِ مِن بَعدِها بمَعناها، و ضَرَبنا له الأمثالَ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يُبيِّنُ صحّةَ ما ذَكرناه أنّ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عَبيدٌ كَثيرٌ</w:t>
      </w:r>
      <w:r>
        <w:rPr>
          <w:rStyle w:val="FootnoteAnchor"/>
          <w:rtl w:val="true"/>
        </w:rPr>
        <w:footnoteReference w:id="1666"/>
      </w:r>
      <w:r>
        <w:rPr>
          <w:rFonts w:ascii="Amiri" w:hAnsi="Amiri" w:eastAsia="Amiri" w:cs="Amiri"/>
          <w:color w:val="111111"/>
          <w:sz w:val="28"/>
          <w:sz w:val="28"/>
          <w:szCs w:val="28"/>
          <w:rtl w:val="true"/>
          <w:lang w:bidi="ar-SA"/>
        </w:rPr>
        <w:t>، لفظُه مُحتَمِلٌ مُشتَرِكٌ بَينَ سائرِ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بَعدَ أن يُقرِّرَ بمَعرِفةِ بعضِ عَبيدِه ممّن يُسَمّيهِ و يُعَيِّنُه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فعَبدي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كلامُه الثاني محمولاً علىٰ سَبيلِ الوجوبِ علَى العَبدِ الذي قَدَّمَ تعيينَه و تعريفَه، و صارَ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فعَبدي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بَعدَ المُقدِّمةِ </w:t>
      </w:r>
    </w:p>
    <w:p>
      <w:pPr>
        <w:pStyle w:val="BookText"/>
        <w:rPr/>
      </w:pPr>
      <w:r>
        <w:rPr>
          <w:rFonts w:ascii="Amiri" w:hAnsi="Amiri" w:eastAsia="Amiri" w:cs="Amiri"/>
          <w:color w:val="111111"/>
          <w:sz w:val="28"/>
          <w:sz w:val="28"/>
          <w:szCs w:val="28"/>
          <w:rtl w:val="true"/>
          <w:lang w:bidi="ar-SA"/>
        </w:rPr>
        <w:t>مُقتَضياً علىٰ سَبيلِ الإيجابِ لِما</w:t>
      </w:r>
      <w:r>
        <w:rPr>
          <w:rStyle w:val="FootnoteAnchor"/>
          <w:rtl w:val="true"/>
        </w:rPr>
        <w:footnoteReference w:id="1667"/>
      </w:r>
      <w:r>
        <w:rPr>
          <w:rFonts w:ascii="Amiri" w:hAnsi="Amiri" w:eastAsia="Amiri" w:cs="Amiri"/>
          <w:color w:val="111111"/>
          <w:sz w:val="28"/>
          <w:sz w:val="28"/>
          <w:szCs w:val="28"/>
          <w:rtl w:val="true"/>
          <w:lang w:bidi="ar-SA"/>
        </w:rPr>
        <w:t xml:space="preserve">لَو لَم يَحصُلِ المُقدِّمةُ </w:t>
      </w:r>
      <w:r>
        <w:rPr>
          <w:rStyle w:val="FootnoteAnchor"/>
          <w:rtl w:val="true"/>
        </w:rPr>
        <w:footnoteReference w:id="1668"/>
      </w:r>
      <w:r>
        <w:rPr>
          <w:rFonts w:ascii="Amiri" w:hAnsi="Amiri" w:eastAsia="Amiri" w:cs="Amiri"/>
          <w:color w:val="111111"/>
          <w:sz w:val="28"/>
          <w:sz w:val="28"/>
          <w:szCs w:val="28"/>
          <w:rtl w:val="true"/>
          <w:lang w:bidi="ar-SA"/>
        </w:rPr>
        <w:t xml:space="preserve">لَم يَكُن مُقتَضياً له علىٰ هذا الوجهِ ، و إن كانَ يَقتَضيهِ علىٰ طريقِ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1669"/>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لكم مِثلُ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 فغَيرُ مُعتَرِضٍ علىٰ كلامِنا؛ لأنّه صَلّى اللّٰهُ عليه و آلِه لَم يورِدْ في الكلامِ الثاني لفظاً يَحتَمِلُ‌</w:t>
      </w:r>
      <w:r>
        <w:rPr>
          <w:rStyle w:val="FootnoteAnchor"/>
          <w:rtl w:val="true"/>
        </w:rPr>
        <w:footnoteReference w:id="1670"/>
      </w:r>
      <w:r>
        <w:rPr>
          <w:rFonts w:ascii="Amiri" w:hAnsi="Amiri" w:eastAsia="Amiri" w:cs="Amiri"/>
          <w:color w:val="111111"/>
          <w:sz w:val="28"/>
          <w:sz w:val="28"/>
          <w:szCs w:val="28"/>
          <w:rtl w:val="true"/>
          <w:lang w:bidi="ar-SA"/>
        </w:rPr>
        <w:t>معنَى الكلامِ المُتقدِّمِ‌، و أرادَ به خِلافَ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أنكَرناه في خبرِ الغَديرِ غيرُ هذا؛ لأنّه صلّى اللّٰه عليه و آله لَو لَم يُرِدْ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قد أورَدَ لفظاً مُحتَمِلاً لِما تَقدَّمَ‌، مِن غيرِ أن يُريدَ به المعنَى</w:t>
      </w:r>
      <w:r>
        <w:rPr>
          <w:rStyle w:val="FootnoteAnchor"/>
          <w:rtl w:val="true"/>
        </w:rPr>
        <w:footnoteReference w:id="1671"/>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فَسادُ ذلكَ ظاهرٌ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يُنكَرُ</w:t>
      </w:r>
      <w:r>
        <w:rPr>
          <w:rStyle w:val="FootnoteAnchor"/>
          <w:rtl w:val="true"/>
        </w:rPr>
        <w:footnoteReference w:id="1672"/>
      </w:r>
      <w:r>
        <w:rPr>
          <w:rFonts w:ascii="Amiri" w:hAnsi="Amiri" w:eastAsia="Amiri" w:cs="Amiri"/>
          <w:color w:val="111111"/>
          <w:sz w:val="28"/>
          <w:sz w:val="28"/>
          <w:szCs w:val="28"/>
          <w:rtl w:val="true"/>
          <w:lang w:bidi="ar-SA"/>
        </w:rPr>
        <w:t>أن يَكونَ صَلّى اللّٰهُ عليه و آلِه لَو</w:t>
      </w:r>
      <w:r>
        <w:rPr>
          <w:rStyle w:val="FootnoteAnchor"/>
          <w:rtl w:val="true"/>
        </w:rPr>
        <w:footnoteReference w:id="1673"/>
      </w:r>
      <w:r>
        <w:rPr>
          <w:rFonts w:ascii="Amiri" w:hAnsi="Amiri" w:eastAsia="Amiri" w:cs="Amiri"/>
          <w:color w:val="111111"/>
          <w:sz w:val="28"/>
          <w:sz w:val="28"/>
          <w:szCs w:val="28"/>
          <w:rtl w:val="true"/>
          <w:lang w:bidi="ar-SA"/>
        </w:rPr>
        <w:t xml:space="preserve">صَرَّحَ بما ذَكَرَه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التقديرِ </w:t>
      </w:r>
      <w:r>
        <w:rPr>
          <w:rFonts w:eastAsia="Amiri" w:cs="Amiri" w:ascii="Amiri" w:hAnsi="Amiri"/>
          <w:color w:val="111111"/>
          <w:sz w:val="28"/>
          <w:szCs w:val="28"/>
          <w:rtl w:val="true"/>
          <w:lang w:bidi="ar-SA"/>
        </w:rPr>
        <w:t>-</w:t>
      </w:r>
      <w:r>
        <w:rPr>
          <w:rStyle w:val="FootnoteAnchor"/>
          <w:rtl w:val="true"/>
        </w:rPr>
        <w:footnoteReference w:id="1674"/>
      </w:r>
      <w:r>
        <w:rPr>
          <w:rFonts w:ascii="Amiri" w:hAnsi="Amiri" w:eastAsia="Amiri" w:cs="Amiri"/>
          <w:color w:val="111111"/>
          <w:sz w:val="28"/>
          <w:sz w:val="28"/>
          <w:szCs w:val="28"/>
          <w:rtl w:val="true"/>
          <w:lang w:bidi="ar-SA"/>
        </w:rPr>
        <w:t>مُفيداً بكلامِه</w:t>
      </w:r>
      <w:r>
        <w:rPr>
          <w:rStyle w:val="FootnoteAnchor"/>
          <w:rtl w:val="true"/>
        </w:rPr>
        <w:footnoteReference w:id="1675"/>
      </w:r>
      <w:r>
        <w:rPr>
          <w:rFonts w:ascii="Amiri" w:hAnsi="Amiri" w:eastAsia="Amiri" w:cs="Amiri"/>
          <w:color w:val="111111"/>
          <w:sz w:val="28"/>
          <w:sz w:val="28"/>
          <w:szCs w:val="28"/>
          <w:rtl w:val="true"/>
          <w:lang w:bidi="ar-SA"/>
        </w:rPr>
        <w:t>خارجاً</w:t>
      </w:r>
      <w:r>
        <w:rPr>
          <w:rStyle w:val="FootnoteAnchor"/>
          <w:rtl w:val="true"/>
        </w:rPr>
        <w:footnoteReference w:id="1676"/>
      </w:r>
      <w:r>
        <w:rPr>
          <w:rFonts w:ascii="Amiri" w:hAnsi="Amiri" w:eastAsia="Amiri" w:cs="Amiri"/>
          <w:color w:val="111111"/>
          <w:sz w:val="28"/>
          <w:sz w:val="28"/>
          <w:szCs w:val="28"/>
          <w:rtl w:val="true"/>
          <w:lang w:bidi="ar-SA"/>
        </w:rPr>
        <w:t>عن العَبَثِ‌، إلّاأنّه</w:t>
      </w:r>
      <w:r>
        <w:rPr>
          <w:rStyle w:val="FootnoteAnchor"/>
          <w:rtl w:val="true"/>
        </w:rPr>
        <w:footnoteReference w:id="1677"/>
      </w:r>
      <w:r>
        <w:rPr>
          <w:rFonts w:ascii="Amiri" w:hAnsi="Amiri" w:eastAsia="Amiri" w:cs="Amiri"/>
          <w:color w:val="111111"/>
          <w:sz w:val="28"/>
          <w:sz w:val="28"/>
          <w:szCs w:val="28"/>
          <w:rtl w:val="true"/>
          <w:lang w:bidi="ar-SA"/>
        </w:rPr>
        <w:t xml:space="preserve">متىٰ لَم يُصرِّحْ بذلكَ </w:t>
      </w:r>
      <w:r>
        <w:rPr>
          <w:rStyle w:val="FootnoteAnchor"/>
          <w:rtl w:val="true"/>
        </w:rPr>
        <w:footnoteReference w:id="1678"/>
      </w:r>
      <w:r>
        <w:rPr>
          <w:rFonts w:ascii="Amiri" w:hAnsi="Amiri" w:eastAsia="Amiri" w:cs="Amiri"/>
          <w:color w:val="111111"/>
          <w:sz w:val="28"/>
          <w:sz w:val="28"/>
          <w:szCs w:val="28"/>
          <w:rtl w:val="true"/>
          <w:lang w:bidi="ar-SA"/>
        </w:rPr>
        <w:t xml:space="preserve">و أورَدَ اللفظَ المُحتَمِلَ ، فلا بُدَّ مِن أن يَكونَ مُرادُه ما ذَكرناه، كما أنّ القائلَ إذا أقبَلَ علىٰ جماعةٍ فقالَ </w:t>
      </w:r>
      <w:r>
        <w:rPr>
          <w:rStyle w:val="FootnoteAnchor"/>
          <w:rtl w:val="true"/>
        </w:rPr>
        <w:footnoteReference w:id="1679"/>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لَستم تَعرِفونَ ضَيعَتيَ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فاشهَدوا أنّ ضَيعَتي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يُفهَمَ مِن لفظِه الثاني إذا كانَ حَكيماً إلّا وَقْفَه للضَّيعةِ التي قَدَّمَ ذِكرَها</w:t>
      </w:r>
      <w:r>
        <w:rPr>
          <w:rStyle w:val="FootnoteAnchor"/>
          <w:rtl w:val="true"/>
        </w:rPr>
        <w:footnoteReference w:id="1680"/>
      </w:r>
      <w:r>
        <w:rPr>
          <w:rFonts w:ascii="Amiri" w:hAnsi="Amiri" w:eastAsia="Amiri" w:cs="Amiri"/>
          <w:color w:val="111111"/>
          <w:sz w:val="28"/>
          <w:sz w:val="28"/>
          <w:szCs w:val="28"/>
          <w:rtl w:val="true"/>
          <w:lang w:bidi="ar-SA"/>
        </w:rPr>
        <w:t>، و إن كانَ جائزاً</w:t>
      </w:r>
      <w:r>
        <w:rPr>
          <w:rStyle w:val="FootnoteAnchor"/>
          <w:rtl w:val="true"/>
        </w:rPr>
        <w:footnoteReference w:id="1681"/>
      </w:r>
      <w:r>
        <w:rPr>
          <w:rFonts w:ascii="Amiri" w:hAnsi="Amiri" w:eastAsia="Amiri" w:cs="Amiri"/>
          <w:color w:val="111111"/>
          <w:sz w:val="28"/>
          <w:sz w:val="28"/>
          <w:szCs w:val="28"/>
          <w:rtl w:val="true"/>
          <w:lang w:bidi="ar-SA"/>
        </w:rPr>
        <w:t xml:space="preserve">أن يُصرِّحَ بخِلافِ ذلكَ ، فيَقولَ بَعدَ تقريرِه بمعرِفةِ الضَّيعةِ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فاشهَدوا أنّ ضَيعَتي التي تُجاوِرُها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فيُصرِّحَ بوَقْفِه غيرَ الضَّيعةِ التي سَمّاها و</w:t>
      </w:r>
      <w:r>
        <w:rPr>
          <w:rStyle w:val="FootnoteAnchor"/>
          <w:rtl w:val="true"/>
        </w:rPr>
        <w:footnoteReference w:id="1682"/>
      </w:r>
      <w:r>
        <w:rPr>
          <w:rFonts w:ascii="Amiri" w:hAnsi="Amiri" w:eastAsia="Amiri" w:cs="Amiri"/>
          <w:color w:val="111111"/>
          <w:sz w:val="28"/>
          <w:sz w:val="28"/>
          <w:szCs w:val="28"/>
          <w:rtl w:val="true"/>
          <w:lang w:bidi="ar-SA"/>
        </w:rPr>
        <w:t>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الجُملةُ تأتي علىٰ كلامِه</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التعَلُّقَ بإمساكِ أميرِ المؤمنينَ عليه السلامُ و أصحابِه رِضوانُ اللّٰهِ عليهم أجمَعينَ‌</w:t>
      </w:r>
      <w:r>
        <w:rPr>
          <w:rStyle w:val="FootnoteAnchor"/>
          <w:rtl w:val="true"/>
        </w:rPr>
        <w:footnoteReference w:id="1684"/>
      </w:r>
      <w:r>
        <w:rPr>
          <w:rFonts w:ascii="Amiri" w:hAnsi="Amiri" w:eastAsia="Amiri" w:cs="Amiri"/>
          <w:color w:val="111111"/>
          <w:sz w:val="28"/>
          <w:sz w:val="28"/>
          <w:szCs w:val="28"/>
          <w:rtl w:val="true"/>
          <w:lang w:bidi="ar-SA"/>
        </w:rPr>
        <w:t>عن الاحتجاجِ بالنصِّ مِن خبرِ يومِ الغَديرِ في المَواقِفِ التي وَقَعَ التنازُعُ في الإمامةِ‌</w:t>
      </w:r>
      <w:r>
        <w:rPr>
          <w:rStyle w:val="FootnoteAnchor"/>
          <w:rtl w:val="true"/>
        </w:rPr>
        <w:footnoteReference w:id="1685"/>
      </w:r>
      <w:r>
        <w:rPr>
          <w:rFonts w:ascii="Amiri" w:hAnsi="Amiri" w:eastAsia="Amiri" w:cs="Amiri"/>
          <w:color w:val="111111"/>
          <w:sz w:val="28"/>
          <w:sz w:val="28"/>
          <w:szCs w:val="28"/>
          <w:rtl w:val="true"/>
          <w:lang w:bidi="ar-SA"/>
        </w:rPr>
        <w:t>فيها</w:t>
      </w:r>
      <w:r>
        <w:rPr>
          <w:rStyle w:val="FootnoteAnchor"/>
          <w:rtl w:val="true"/>
        </w:rPr>
        <w:footnoteReference w:id="1686"/>
      </w:r>
      <w:r>
        <w:rPr>
          <w:rFonts w:ascii="IRNazanin" w:hAnsi="IRNazanin" w:eastAsia="IRNazanin"/>
          <w:color w:val="111111"/>
          <w:sz w:val="28"/>
          <w:sz w:val="28"/>
          <w:szCs w:val="28"/>
          <w:rtl w:val="true"/>
          <w:lang w:bidi="fa-IR"/>
        </w:rPr>
        <w:t>، و قد</w:t>
      </w:r>
      <w:r>
        <w:rPr>
          <w:rStyle w:val="FootnoteAnchor"/>
          <w:rtl w:val="true"/>
        </w:rPr>
        <w:footnoteReference w:id="1687"/>
      </w:r>
      <w:r>
        <w:rPr>
          <w:rFonts w:ascii="Amiri" w:hAnsi="Amiri" w:eastAsia="Amiri" w:cs="Amiri"/>
          <w:color w:val="111111"/>
          <w:sz w:val="28"/>
          <w:sz w:val="28"/>
          <w:szCs w:val="28"/>
          <w:rtl w:val="true"/>
          <w:lang w:bidi="ar-SA"/>
        </w:rPr>
        <w:t>مَضَى الكلامُ عليها</w:t>
      </w:r>
      <w:r>
        <w:rPr>
          <w:rStyle w:val="FootnoteAnchor"/>
          <w:rtl w:val="true"/>
        </w:rPr>
        <w:footnoteReference w:id="1688"/>
      </w:r>
      <w:r>
        <w:rPr>
          <w:rFonts w:ascii="Amiri" w:hAnsi="Amiri" w:eastAsia="Amiri" w:cs="Amiri"/>
          <w:color w:val="111111"/>
          <w:sz w:val="28"/>
          <w:sz w:val="28"/>
          <w:szCs w:val="28"/>
          <w:rtl w:val="true"/>
          <w:lang w:bidi="ar-SA"/>
        </w:rPr>
        <w:t>مُستَوفىً‌</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شَيخُنا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الخبرِ يَقتَضي إثباتَ </w:t>
      </w:r>
      <w:r>
        <w:rPr>
          <w:rStyle w:val="FootnoteAnchor"/>
          <w:rtl w:val="true"/>
        </w:rPr>
        <w:footnoteReference w:id="1690"/>
      </w:r>
      <w:r>
        <w:rPr>
          <w:rFonts w:ascii="Amiri" w:hAnsi="Amiri" w:eastAsia="Amiri" w:cs="Amiri"/>
          <w:color w:val="111111"/>
          <w:sz w:val="28"/>
          <w:sz w:val="28"/>
          <w:szCs w:val="28"/>
          <w:rtl w:val="true"/>
          <w:lang w:bidi="ar-SA"/>
        </w:rPr>
        <w:t>ما أثبَتَه</w:t>
      </w:r>
      <w:r>
        <w:rPr>
          <w:rStyle w:val="FootnoteAnchor"/>
          <w:rtl w:val="true"/>
        </w:rPr>
        <w:footnoteReference w:id="1691"/>
      </w:r>
      <w:r>
        <w:rPr>
          <w:rFonts w:ascii="Amiri" w:hAnsi="Amiri" w:eastAsia="Amiri" w:cs="Amiri"/>
          <w:color w:val="111111"/>
          <w:sz w:val="28"/>
          <w:sz w:val="28"/>
          <w:szCs w:val="28"/>
          <w:rtl w:val="true"/>
          <w:lang w:bidi="ar-SA"/>
        </w:rPr>
        <w:t xml:space="preserve">عليه السلامُ </w:t>
      </w:r>
      <w:r>
        <w:rPr>
          <w:rStyle w:val="FootnoteAnchor"/>
          <w:rtl w:val="true"/>
        </w:rPr>
        <w:footnoteReference w:id="1692"/>
      </w:r>
      <w:r>
        <w:rPr>
          <w:rFonts w:ascii="Amiri" w:hAnsi="Amiri" w:eastAsia="Amiri" w:cs="Amiri"/>
          <w:color w:val="111111"/>
          <w:sz w:val="28"/>
          <w:sz w:val="28"/>
          <w:szCs w:val="28"/>
          <w:rtl w:val="true"/>
          <w:lang w:bidi="ar-SA"/>
        </w:rPr>
        <w:t xml:space="preserve">لأميرِ المؤمنينَ في الحالِ ، و ذلكَ لا يَتأتّىٰ في الإمامةِ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حَملُه علىٰ مَا ذكرناه</w:t>
      </w:r>
      <w:r>
        <w:rPr>
          <w:rFonts w:eastAsia="Amiri" w:cs="Amiri" w:ascii="Amiri" w:hAnsi="Amiri"/>
          <w:color w:val="111111"/>
          <w:sz w:val="28"/>
          <w:szCs w:val="28"/>
          <w:rtl w:val="true"/>
          <w:lang w:bidi="ar-SA"/>
        </w:rPr>
        <w:t>].</w:t>
      </w:r>
      <w:r>
        <w:rPr>
          <w:rStyle w:val="FootnoteAnchor"/>
          <w:rtl w:val="true"/>
        </w:rPr>
        <w:footnoteReference w:id="1693"/>
      </w:r>
      <w:r>
        <w:rPr>
          <w:rFonts w:ascii="Amiri" w:hAnsi="Amiri" w:eastAsia="Amiri" w:cs="Amiri"/>
          <w:color w:val="111111"/>
          <w:sz w:val="28"/>
          <w:sz w:val="28"/>
          <w:szCs w:val="28"/>
          <w:rtl w:val="true"/>
          <w:lang w:bidi="ar-SA"/>
        </w:rPr>
        <w:t>و متىٰ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و إنِ اقتَضَى الحالَ فإنّا نَحمِلُه علىٰ بَعدِ مَوتِ النبيِّ عليه السلامُ‌، لَم يَكونوا بذلكَ أَولىٰ ممّن حَمَلَه</w:t>
      </w:r>
      <w:r>
        <w:rPr>
          <w:rStyle w:val="FootnoteAnchor"/>
          <w:rtl w:val="true"/>
        </w:rPr>
        <w:footnoteReference w:id="1694"/>
      </w:r>
      <w:r>
        <w:rPr>
          <w:rFonts w:ascii="Amiri" w:hAnsi="Amiri" w:eastAsia="Amiri" w:cs="Amiri"/>
          <w:color w:val="111111"/>
          <w:sz w:val="28"/>
          <w:sz w:val="28"/>
          <w:szCs w:val="28"/>
          <w:rtl w:val="true"/>
          <w:lang w:bidi="ar-SA"/>
        </w:rPr>
        <w:t>علَى الوقتِ الذي بويِعَ فيه، و يَكونُ ذلكَ أَولىٰ‌؛ لِما ثَبَتَ بالدليلِ مِن صحّةِ إمامةِ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تَثبُتُ له الإمامةُ في الحالِ‌، لكنّه إمامٌ 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لا يَصيرَ ناطقاً بهذا الخبرِ؛ لأنّه إنّما دَلَّ علىٰ كَونِه إماماً صامتاً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Style w:val="FootnoteAnchor"/>
          <w:rtl w:val="true"/>
        </w:rPr>
        <w:footnoteReference w:id="1695"/>
      </w:r>
      <w:r>
        <w:rPr>
          <w:rFonts w:ascii="Amiri" w:hAnsi="Amiri" w:eastAsia="Amiri" w:cs="Amiri"/>
          <w:color w:val="111111"/>
          <w:sz w:val="28"/>
          <w:sz w:val="28"/>
          <w:szCs w:val="28"/>
          <w:rtl w:val="true"/>
          <w:lang w:bidi="ar-SA"/>
        </w:rPr>
        <w:t>يَدُلُّ علىٰ كَونِه إماماً ناطقاً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أن يَكونَ كذلكَ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أنّه لا يُمكِنُهم القولُ بأنّه إمامٌ </w:t>
      </w:r>
      <w:r>
        <w:rPr>
          <w:rStyle w:val="FootnoteAnchor"/>
          <w:rtl w:val="true"/>
        </w:rPr>
        <w:footnoteReference w:id="1696"/>
      </w:r>
      <w:r>
        <w:rPr>
          <w:rFonts w:ascii="Amiri" w:hAnsi="Amiri" w:eastAsia="Amiri" w:cs="Amiri"/>
          <w:color w:val="111111"/>
          <w:sz w:val="28"/>
          <w:sz w:val="28"/>
          <w:szCs w:val="28"/>
          <w:rtl w:val="true"/>
          <w:lang w:bidi="ar-SA"/>
        </w:rPr>
        <w:t>مع أنّه لا يَقومُ بما إلَى الأئمّةِ في حالِ حياتِه</w:t>
      </w:r>
      <w:r>
        <w:rPr>
          <w:rFonts w:eastAsia="Amiri" w:cs="Amiri" w:ascii="Amiri" w:hAnsi="Amiri"/>
          <w:color w:val="111111"/>
          <w:sz w:val="28"/>
          <w:szCs w:val="28"/>
          <w:rtl w:val="true"/>
          <w:lang w:bidi="ar-SA"/>
        </w:rPr>
        <w:t>.</w:t>
      </w:r>
      <w:r>
        <w:rPr>
          <w:rStyle w:val="FootnoteAnchor"/>
          <w:rtl w:val="true"/>
        </w:rPr>
        <w:footnoteReference w:id="169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مَن استَدَلَّ بذلكَ علَى النصِّ و بَينَ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لأبي بَكرٍ</w:t>
      </w:r>
      <w:r>
        <w:rPr>
          <w:rStyle w:val="FootnoteAnchor"/>
          <w:rtl w:val="true"/>
        </w:rPr>
        <w:footnoteReference w:id="16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اترُكوا لي</w:t>
      </w:r>
      <w:r>
        <w:rPr>
          <w:rStyle w:val="FootnoteAnchor"/>
          <w:rtl w:val="true"/>
        </w:rPr>
        <w:footnoteReference w:id="1699"/>
      </w:r>
      <w:r>
        <w:rPr>
          <w:rFonts w:ascii="Amiri" w:hAnsi="Amiri" w:eastAsia="Amiri" w:cs="Amiri"/>
          <w:color w:val="111111"/>
          <w:sz w:val="28"/>
          <w:sz w:val="28"/>
          <w:szCs w:val="28"/>
          <w:rtl w:val="true"/>
          <w:lang w:bidi="ar-SA"/>
        </w:rPr>
        <w:t xml:space="preserve">أخي و صاحِبي، صَدَّقَني حَيثُ كَذَّبَنيَ الناسُ </w:t>
      </w:r>
      <w:r>
        <w:rPr>
          <w:rFonts w:eastAsia="Amiri" w:cs="Amiri" w:ascii="Amiri" w:hAnsi="Amiri"/>
          <w:color w:val="111111"/>
          <w:sz w:val="28"/>
          <w:szCs w:val="28"/>
          <w:rtl w:val="true"/>
          <w:lang w:bidi="ar-SA"/>
        </w:rPr>
        <w:t>»</w:t>
      </w:r>
      <w:r>
        <w:rPr>
          <w:rStyle w:val="FootnoteAnchor"/>
          <w:rtl w:val="true"/>
        </w:rPr>
        <w:footnoteReference w:id="1700"/>
      </w:r>
      <w:r>
        <w:rPr>
          <w:rFonts w:ascii="IRNazanin" w:hAnsi="IRNazanin" w:eastAsia="IRNazanin"/>
          <w:color w:val="111111"/>
          <w:sz w:val="28"/>
          <w:sz w:val="28"/>
          <w:szCs w:val="28"/>
          <w:rtl w:val="true"/>
          <w:lang w:bidi="fa-IR"/>
        </w:rPr>
        <w:t>هو</w:t>
      </w:r>
      <w:r>
        <w:rPr>
          <w:rStyle w:val="FootnoteAnchor"/>
          <w:rtl w:val="true"/>
        </w:rPr>
        <w:footnoteReference w:id="1701"/>
      </w:r>
      <w:r>
        <w:rPr>
          <w:rFonts w:ascii="Amiri" w:hAnsi="Amiri" w:eastAsia="Amiri" w:cs="Amiri"/>
          <w:color w:val="111111"/>
          <w:sz w:val="28"/>
          <w:sz w:val="28"/>
          <w:szCs w:val="28"/>
          <w:rtl w:val="true"/>
          <w:lang w:bidi="ar-SA"/>
        </w:rPr>
        <w:t>نَصٌّ علىٰ إمامتِه</w:t>
      </w:r>
      <w:r>
        <w:rPr>
          <w:rStyle w:val="FootnoteAnchor"/>
          <w:rtl w:val="true"/>
        </w:rPr>
        <w:footnoteReference w:id="1702"/>
      </w:r>
      <w:r>
        <w:rPr>
          <w:rFonts w:ascii="Amiri" w:hAnsi="Amiri" w:eastAsia="Amiri" w:cs="Amiri"/>
          <w:color w:val="111111"/>
          <w:sz w:val="28"/>
          <w:sz w:val="28"/>
          <w:szCs w:val="28"/>
          <w:rtl w:val="true"/>
          <w:lang w:bidi="ar-SA"/>
        </w:rPr>
        <w:t xml:space="preserve">بَعدَ وفاتِه، إلىٰ غيرِ ذلكَ ممّا </w:t>
      </w:r>
    </w:p>
    <w:p>
      <w:pPr>
        <w:pStyle w:val="BookText"/>
        <w:rPr/>
      </w:pPr>
      <w:r>
        <w:rPr>
          <w:rFonts w:ascii="Amiri" w:hAnsi="Amiri" w:eastAsia="Amiri" w:cs="Amiri"/>
          <w:color w:val="111111"/>
          <w:sz w:val="28"/>
          <w:sz w:val="28"/>
          <w:szCs w:val="28"/>
          <w:rtl w:val="true"/>
          <w:lang w:bidi="ar-SA"/>
        </w:rPr>
        <w:t xml:space="preserve">رُويَ ، نَحوُ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مُتَّخِذاً خَليلاً لَاتَّخَذتُ أبا بَكرٍ خَليلاً</w:t>
      </w:r>
      <w:r>
        <w:rPr>
          <w:rFonts w:eastAsia="Amiri" w:cs="Amiri" w:ascii="Amiri" w:hAnsi="Amiri"/>
          <w:color w:val="111111"/>
          <w:sz w:val="28"/>
          <w:szCs w:val="28"/>
          <w:rtl w:val="true"/>
          <w:lang w:bidi="ar-SA"/>
        </w:rPr>
        <w:t>»</w:t>
      </w:r>
      <w:r>
        <w:rPr>
          <w:rStyle w:val="FootnoteAnchor"/>
          <w:rtl w:val="true"/>
        </w:rPr>
        <w:footnoteReference w:id="170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w:t>
      </w:r>
      <w:r>
        <w:rPr>
          <w:rFonts w:eastAsia="Amiri" w:cs="Amiri" w:ascii="Amiri" w:hAnsi="Amiri"/>
          <w:color w:val="111111"/>
          <w:sz w:val="28"/>
          <w:szCs w:val="28"/>
          <w:rtl w:val="true"/>
          <w:lang w:bidi="ar-SA"/>
        </w:rPr>
        <w:t>»</w:t>
      </w:r>
      <w:r>
        <w:rPr>
          <w:rStyle w:val="FootnoteAnchor"/>
          <w:rtl w:val="true"/>
        </w:rPr>
        <w:footnoteReference w:id="1704"/>
      </w:r>
      <w:r>
        <w:rPr>
          <w:rFonts w:ascii="Amiri" w:hAnsi="Amiri" w:eastAsia="Amiri" w:cs="Amiri"/>
          <w:color w:val="111111"/>
          <w:sz w:val="28"/>
          <w:sz w:val="28"/>
          <w:szCs w:val="28"/>
          <w:rtl w:val="true"/>
          <w:lang w:bidi="ar-SA"/>
        </w:rPr>
        <w:t xml:space="preserve">إلىٰ غيرِ ذلكَ ممّا اشتَهَرَت فيه الروايةُ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إلزامِنا حَملَ الخبرِ علىٰ إيجابِ الإمامةِ في الحالِ فقَد مضىٰ مُستَقصىً‌</w:t>
      </w:r>
      <w:r>
        <w:rPr>
          <w:rFonts w:eastAsia="Amiri" w:cs="Amiri" w:ascii="Amiri" w:hAnsi="Amiri"/>
          <w:color w:val="111111"/>
          <w:sz w:val="28"/>
          <w:szCs w:val="28"/>
          <w:rtl w:val="true"/>
          <w:lang w:bidi="ar-SA"/>
        </w:rPr>
        <w:t>.</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و الذي يُبطِلُ قولَ مَن ألزَمَنا وجوبَ النصِّ به بَعدَ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Style w:val="FootnoteAnchor"/>
          <w:rtl w:val="true"/>
        </w:rPr>
        <w:footnoteReference w:id="1708"/>
      </w:r>
      <w:r>
        <w:rPr>
          <w:rFonts w:ascii="Amiri" w:hAnsi="Amiri" w:eastAsia="Amiri" w:cs="Amiri"/>
          <w:color w:val="111111"/>
          <w:sz w:val="28"/>
          <w:sz w:val="28"/>
          <w:szCs w:val="28"/>
          <w:rtl w:val="true"/>
          <w:lang w:bidi="ar-SA"/>
        </w:rPr>
        <w:t xml:space="preserve">أيضاً عندَ كلامِنا في النصِّ الجَليِّ ، و هو أنّ الأُمّةَ مُجمِعةٌ علىٰ أنّ إمامةَ أميرِ المؤمنينَ عليه السلامُ </w:t>
      </w:r>
      <w:r>
        <w:rPr>
          <w:rStyle w:val="FootnoteAnchor"/>
          <w:rtl w:val="true"/>
        </w:rPr>
        <w:footnoteReference w:id="1709"/>
      </w:r>
      <w:r>
        <w:rPr>
          <w:rFonts w:ascii="Amiri" w:hAnsi="Amiri" w:eastAsia="Amiri" w:cs="Amiri"/>
          <w:color w:val="111111"/>
          <w:sz w:val="28"/>
          <w:sz w:val="28"/>
          <w:szCs w:val="28"/>
          <w:rtl w:val="true"/>
          <w:lang w:bidi="ar-SA"/>
        </w:rPr>
        <w:t>بَعدَ قَتلِ عُثمانَ لَم تَحصُلْ له بنَصٍّ مِن الرسولِ صَلّى اللّٰهُ عليه و آلِه</w:t>
      </w:r>
      <w:r>
        <w:rPr>
          <w:rStyle w:val="FootnoteAnchor"/>
          <w:rtl w:val="true"/>
        </w:rPr>
        <w:footnoteReference w:id="1710"/>
      </w:r>
      <w:r>
        <w:rPr>
          <w:rFonts w:ascii="Amiri" w:hAnsi="Amiri" w:eastAsia="Amiri" w:cs="Amiri"/>
          <w:color w:val="111111"/>
          <w:sz w:val="28"/>
          <w:sz w:val="28"/>
          <w:szCs w:val="28"/>
          <w:rtl w:val="true"/>
          <w:lang w:bidi="ar-SA"/>
        </w:rPr>
        <w:t>تَناوَلَ تلكَ الحالَ ، و اختَصَّ بها دونَ ما تَقدَّمَها</w:t>
      </w:r>
      <w:r>
        <w:rPr>
          <w:rFonts w:eastAsia="Amiri" w:cs="Amiri" w:ascii="Amiri" w:hAnsi="Amiri"/>
          <w:color w:val="111111"/>
          <w:sz w:val="28"/>
          <w:szCs w:val="28"/>
          <w:rtl w:val="true"/>
          <w:lang w:bidi="ar-SA"/>
        </w:rPr>
        <w:t>.</w:t>
      </w:r>
      <w:r>
        <w:rPr>
          <w:rStyle w:val="FootnoteAnchor"/>
          <w:rtl w:val="true"/>
        </w:rPr>
        <w:footnoteReference w:id="171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يُبطِلُه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أثبَتَ لأميرِ المؤمنينَ عليه السلامُ النصَّ علَى الإمامةِ بخبرِ الغَديرِ، أثبَتَه علَى استقبالِ وفاةِ الرسولِ صَلّى اللّٰهُ عليه و آلِه مِن غيرِ تَراخٍ عنها</w:t>
      </w:r>
      <w:r>
        <w:rPr>
          <w:rFonts w:eastAsia="Amiri" w:cs="Amiri" w:ascii="Amiri" w:hAnsi="Amiri"/>
          <w:color w:val="111111"/>
          <w:sz w:val="28"/>
          <w:szCs w:val="28"/>
          <w:rtl w:val="true"/>
          <w:lang w:bidi="ar-SA"/>
        </w:rPr>
        <w:t xml:space="preserve">. </w:t>
      </w:r>
      <w:bookmarkStart w:id="329" w:name="pg20017_202548"/>
    </w:p>
    <w:p>
      <w:pPr>
        <w:pStyle w:val="Heading6"/>
        <w:numPr>
          <w:ilvl w:val="5"/>
          <w:numId w:val="1"/>
        </w:numPr>
        <w:rPr/>
      </w:pPr>
      <w:bookmarkStart w:id="330" w:name="__RefHeading___Toc964227_2320776876"/>
      <w:bookmarkStart w:id="331" w:name="_Toc117"/>
      <w:bookmarkEnd w:id="329"/>
      <w:bookmarkEnd w:id="330"/>
      <w:r>
        <w:rPr>
          <w:rtl w:val="true"/>
        </w:rPr>
        <w:t>إبطال الأخبار التي استُدِلَّ بها علىٰ سبيل المعارضة على النصّ علىٰ أبي بكر</w:t>
      </w:r>
      <w:bookmarkEnd w:id="331"/>
    </w:p>
    <w:p>
      <w:pPr>
        <w:pStyle w:val="BookText"/>
        <w:rPr/>
      </w:pPr>
      <w:r>
        <w:rPr>
          <w:rFonts w:ascii="Amiri" w:hAnsi="Amiri" w:eastAsia="Amiri" w:cs="Amiri"/>
          <w:color w:val="111111"/>
          <w:sz w:val="28"/>
          <w:sz w:val="28"/>
          <w:szCs w:val="28"/>
          <w:rtl w:val="true"/>
          <w:lang w:bidi="ar-SA"/>
        </w:rPr>
        <w:t>فأمّا الأخبارُ التي أورَدَها علىٰ سَبيلِ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فالإضرابُ عن ذِكرِها و تَركُ تَعاطي الانتصافِ مِن المُستَدِلّينَ بخبرِ الغَديرِ بها</w:t>
      </w:r>
      <w:r>
        <w:rPr>
          <w:rStyle w:val="FootnoteAnchor"/>
          <w:rtl w:val="true"/>
        </w:rPr>
        <w:footnoteReference w:id="1712"/>
      </w:r>
      <w:r>
        <w:rPr>
          <w:rFonts w:ascii="Amiri" w:hAnsi="Amiri" w:eastAsia="Amiri" w:cs="Amiri"/>
          <w:color w:val="111111"/>
          <w:sz w:val="28"/>
          <w:sz w:val="28"/>
          <w:szCs w:val="28"/>
          <w:rtl w:val="true"/>
          <w:lang w:bidi="ar-SA"/>
        </w:rPr>
        <w:t>أستَرُ علىٰ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ما في هذه الأخبارِ أنّها لا تُساوي و لا تُداني خبرَ الغَديرِ في بابِ </w:t>
      </w:r>
      <w:r>
        <w:rPr>
          <w:rStyle w:val="FootnoteAnchor"/>
          <w:rtl w:val="true"/>
        </w:rPr>
        <w:footnoteReference w:id="1713"/>
      </w:r>
      <w:r>
        <w:rPr>
          <w:rFonts w:ascii="Amiri" w:hAnsi="Amiri" w:eastAsia="Amiri" w:cs="Amiri"/>
          <w:color w:val="111111"/>
          <w:sz w:val="28"/>
          <w:sz w:val="28"/>
          <w:szCs w:val="28"/>
          <w:rtl w:val="true"/>
          <w:lang w:bidi="ar-SA"/>
        </w:rPr>
        <w:t xml:space="preserve">الصحّةِ و الثبوتِ و وقوعِ العِلمِ ؛ لأنّا قد بيّنّا فيما تَقدَّمَ </w:t>
      </w:r>
      <w:r>
        <w:rPr>
          <w:rStyle w:val="FootnoteAnchor"/>
          <w:rtl w:val="true"/>
        </w:rPr>
        <w:footnoteReference w:id="1714"/>
      </w:r>
      <w:r>
        <w:rPr>
          <w:rFonts w:ascii="Amiri" w:hAnsi="Amiri" w:eastAsia="Amiri" w:cs="Amiri"/>
          <w:color w:val="111111"/>
          <w:sz w:val="28"/>
          <w:sz w:val="28"/>
          <w:szCs w:val="28"/>
          <w:rtl w:val="true"/>
          <w:lang w:bidi="ar-SA"/>
        </w:rPr>
        <w:t>تَواتُرَ النقلِ بخبرِ الغَديرِ</w:t>
      </w:r>
    </w:p>
    <w:p>
      <w:pPr>
        <w:pStyle w:val="BookText"/>
        <w:rPr/>
      </w:pPr>
      <w:r>
        <w:rPr>
          <w:rFonts w:ascii="Amiri" w:hAnsi="Amiri" w:eastAsia="Amiri" w:cs="Amiri"/>
          <w:color w:val="111111"/>
          <w:sz w:val="28"/>
          <w:sz w:val="28"/>
          <w:szCs w:val="28"/>
          <w:rtl w:val="true"/>
          <w:lang w:bidi="ar-SA"/>
        </w:rPr>
        <w:t xml:space="preserve">و وقوعَ العِلمِ به لكُلِّ مَن سَمِعَ </w:t>
      </w:r>
      <w:r>
        <w:rPr>
          <w:rStyle w:val="FootnoteAnchor"/>
          <w:rtl w:val="true"/>
        </w:rPr>
        <w:footnoteReference w:id="1715"/>
      </w:r>
      <w:r>
        <w:rPr>
          <w:rFonts w:ascii="Amiri" w:hAnsi="Amiri" w:eastAsia="Amiri" w:cs="Amiri"/>
          <w:color w:val="111111"/>
          <w:sz w:val="28"/>
          <w:sz w:val="28"/>
          <w:szCs w:val="28"/>
          <w:rtl w:val="true"/>
          <w:lang w:bidi="ar-SA"/>
        </w:rPr>
        <w:t>الأخبارَ، و أنّه ممّا أجمَعَت الأُمّةُ علىٰ قبولِه، و إن كانوا مُختَلِفينَ في تأويلِه، و لَيسَ شَيءٌ مِن هذا في الأخبارِ التي ذَكرها</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964229_2320776876"/>
      <w:bookmarkStart w:id="333" w:name="_Toc118"/>
      <w:bookmarkEnd w:id="332"/>
      <w:r>
        <w:rPr>
          <w:rtl w:val="true"/>
        </w:rPr>
        <w:t>بطلان حديثَي الخُلَّة و الاقتداء</w:t>
      </w:r>
      <w:bookmarkEnd w:id="33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أصحابَنا قَديماً قد تَكلَّموا</w:t>
      </w:r>
      <w:r>
        <w:rPr>
          <w:rStyle w:val="FootnoteAnchor"/>
          <w:rtl w:val="true"/>
        </w:rPr>
        <w:footnoteReference w:id="1716"/>
      </w:r>
      <w:r>
        <w:rPr>
          <w:rFonts w:ascii="Amiri" w:hAnsi="Amiri" w:eastAsia="Amiri" w:cs="Amiri"/>
          <w:color w:val="111111"/>
          <w:sz w:val="28"/>
          <w:sz w:val="28"/>
          <w:szCs w:val="28"/>
          <w:rtl w:val="true"/>
          <w:lang w:bidi="ar-SA"/>
        </w:rPr>
        <w:t>علىٰ هذه الأخبارِ، و بَيَّنوا أنّ حديثَ الخُلّةِ يَتناقَضُ‌</w:t>
      </w:r>
      <w:r>
        <w:rPr>
          <w:rStyle w:val="FootnoteAnchor"/>
          <w:rtl w:val="true"/>
        </w:rPr>
        <w:footnoteReference w:id="1717"/>
      </w:r>
      <w:r>
        <w:rPr>
          <w:rFonts w:ascii="Amiri" w:hAnsi="Amiri" w:eastAsia="Amiri" w:cs="Amiri"/>
          <w:color w:val="111111"/>
          <w:sz w:val="28"/>
          <w:sz w:val="28"/>
          <w:szCs w:val="28"/>
          <w:rtl w:val="true"/>
          <w:lang w:bidi="ar-SA"/>
        </w:rPr>
        <w:t>، و يُبطِلُ آخِرُه أوّلَه؛ لأنّهم يَروونَ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كنتُ مُتَّخِذاً خَليلاً لَاتَّخَذتُ فُلاناً خَليلاً، و لكِنْ وُدّاً و إخاءَ إيمانٍ </w:t>
      </w:r>
      <w:r>
        <w:rPr>
          <w:rFonts w:eastAsia="Amiri" w:cs="Amiri" w:ascii="Amiri" w:hAnsi="Amiri"/>
          <w:color w:val="111111"/>
          <w:sz w:val="28"/>
          <w:szCs w:val="28"/>
          <w:rtl w:val="true"/>
          <w:lang w:bidi="ar-SA"/>
        </w:rPr>
        <w:t>».</w:t>
      </w:r>
      <w:r>
        <w:rPr>
          <w:rStyle w:val="FootnoteAnchor"/>
          <w:rtl w:val="true"/>
        </w:rPr>
        <w:footnoteReference w:id="1718"/>
      </w:r>
      <w:r>
        <w:rPr>
          <w:rFonts w:ascii="Amiri" w:hAnsi="Amiri" w:eastAsia="Amiri" w:cs="Amiri"/>
          <w:color w:val="111111"/>
          <w:sz w:val="28"/>
          <w:sz w:val="28"/>
          <w:szCs w:val="28"/>
          <w:rtl w:val="true"/>
          <w:lang w:bidi="ar-SA"/>
        </w:rPr>
        <w:t xml:space="preserve">فأوّلُ الخبرِ يَقتَضي أنّ الخُلّةَ لَم تَقَعْ ، و آخِرُه يَقتَضي وقوعَها علَى الشرطِ المذكورِ الذي يَعلَمُ كُلُّ أحَدٍ أنّ الخُلّةَ منه صَلّى اللّٰهُ عليه و آلِه لا تَكونُ </w:t>
      </w:r>
      <w:r>
        <w:rPr>
          <w:rStyle w:val="FootnoteAnchor"/>
          <w:rtl w:val="true"/>
        </w:rPr>
        <w:footnoteReference w:id="1719"/>
      </w:r>
      <w:r>
        <w:rPr>
          <w:rFonts w:ascii="Amiri" w:hAnsi="Amiri" w:eastAsia="Amiri" w:cs="Amiri"/>
          <w:color w:val="111111"/>
          <w:sz w:val="28"/>
          <w:sz w:val="28"/>
          <w:szCs w:val="28"/>
          <w:rtl w:val="true"/>
          <w:lang w:bidi="ar-SA"/>
        </w:rPr>
        <w:t xml:space="preserve">إلّاعليه؛ لأنّه لا يَصِحُّ أن يُخالَّ أحَداً إلّافي الإيمانِ و ما يَقتَضيهِ الدِّينُ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يَذكرونَ أيضاً في ذلكَ ما يَروونَه مِن قولِه صَلّى اللّٰهُ عليه و آلِه قُبَيلَ‌</w:t>
      </w:r>
      <w:r>
        <w:rPr>
          <w:rStyle w:val="FootnoteAnchor"/>
          <w:rtl w:val="true"/>
        </w:rPr>
        <w:footnoteReference w:id="1720"/>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إلىٰ كُلِّ خَليلٍ مِن خُلّتِه</w:t>
      </w:r>
      <w:r>
        <w:rPr>
          <w:rStyle w:val="FootnoteAnchor"/>
          <w:rtl w:val="true"/>
        </w:rPr>
        <w:footnoteReference w:id="1721"/>
      </w:r>
      <w:r>
        <w:rPr>
          <w:rFonts w:ascii="Amiri" w:hAnsi="Amiri" w:eastAsia="Amiri" w:cs="Amiri"/>
          <w:color w:val="111111"/>
          <w:sz w:val="28"/>
          <w:sz w:val="28"/>
          <w:szCs w:val="28"/>
          <w:rtl w:val="true"/>
          <w:lang w:bidi="ar-SA"/>
        </w:rPr>
        <w:t>فإنّ اللّٰهَ عزّ و جلّ‌</w:t>
      </w:r>
      <w:r>
        <w:rPr>
          <w:rStyle w:val="FootnoteAnchor"/>
          <w:rtl w:val="true"/>
        </w:rPr>
        <w:footnoteReference w:id="1722"/>
      </w:r>
      <w:r>
        <w:rPr>
          <w:rFonts w:ascii="Amiri" w:hAnsi="Amiri" w:eastAsia="Amiri" w:cs="Amiri"/>
          <w:color w:val="111111"/>
          <w:sz w:val="28"/>
          <w:sz w:val="28"/>
          <w:szCs w:val="28"/>
          <w:rtl w:val="true"/>
          <w:lang w:bidi="ar-SA"/>
        </w:rPr>
        <w:t>قد اتَّخَذَ صاحبَكم خَليلاً</w:t>
      </w:r>
      <w:r>
        <w:rPr>
          <w:rFonts w:eastAsia="Amiri" w:cs="Amiri" w:ascii="Amiri" w:hAnsi="Amiri"/>
          <w:color w:val="111111"/>
          <w:sz w:val="28"/>
          <w:szCs w:val="28"/>
          <w:rtl w:val="true"/>
          <w:lang w:bidi="ar-SA"/>
        </w:rPr>
        <w:t>».</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أثبَتَ الخُلّةَ بَينَه و بَينَ غيرِه فيما تَقدَّمَ ، فقَد نَفاها</w:t>
      </w:r>
      <w:r>
        <w:rPr>
          <w:rStyle w:val="FootnoteAnchor"/>
          <w:rtl w:val="true"/>
        </w:rPr>
        <w:footnoteReference w:id="1724"/>
      </w:r>
      <w:r>
        <w:rPr>
          <w:rFonts w:ascii="Amiri" w:hAnsi="Amiri" w:eastAsia="Amiri" w:cs="Amiri"/>
          <w:color w:val="111111"/>
          <w:sz w:val="28"/>
          <w:sz w:val="28"/>
          <w:szCs w:val="28"/>
          <w:rtl w:val="true"/>
          <w:lang w:bidi="ar-SA"/>
        </w:rPr>
        <w:t>و بَرئَ منها قَبلَ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أفسَدوا حَديثَ الاقتداءِ بأن ذَكَروا أنّ الأمرَ بالاقتداءِ بالرجُلَينِ يَستَحيلُ ؛ لأنّهما مُختَلِفانِ في كَثيرٍ مِن أحكامِهما و أفعالِهما، و الاقتداءُ بالمُختَلِفَينِ و الاتّباعُ لهما مُتَعذِّرٌ</w:t>
      </w:r>
      <w:r>
        <w:rPr>
          <w:rStyle w:val="FootnoteAnchor"/>
          <w:rtl w:val="true"/>
        </w:rPr>
        <w:footnoteReference w:id="1725"/>
      </w:r>
      <w:r>
        <w:rPr>
          <w:rFonts w:ascii="Amiri" w:hAnsi="Amiri" w:eastAsia="Amiri" w:cs="Amiri"/>
          <w:color w:val="111111"/>
          <w:sz w:val="28"/>
          <w:sz w:val="28"/>
          <w:szCs w:val="28"/>
          <w:rtl w:val="true"/>
          <w:lang w:bidi="ar-SA"/>
        </w:rPr>
        <w:t xml:space="preserve">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 يَقتَضي عصمتَهما و المنعَ مِن جوازِ الخطإ عليهما، و لَيسَ هذا بقَولٍ </w:t>
      </w:r>
      <w:r>
        <w:rPr>
          <w:rStyle w:val="FootnoteAnchor"/>
          <w:rtl w:val="true"/>
        </w:rPr>
        <w:footnoteReference w:id="1726"/>
      </w:r>
      <w:r>
        <w:rPr>
          <w:rFonts w:ascii="Amiri" w:hAnsi="Amiri" w:eastAsia="Amiri" w:cs="Amiri"/>
          <w:color w:val="111111"/>
          <w:sz w:val="28"/>
          <w:sz w:val="28"/>
          <w:szCs w:val="28"/>
          <w:rtl w:val="true"/>
          <w:lang w:bidi="ar-SA"/>
        </w:rPr>
        <w:t>لأحَدٍ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طَعَنوا في روايةِ الخبرِ بأنّ راويَه عبدُ المَلِكِ بنِ عُمَيرٍ</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 xml:space="preserve">قال العسقلاني 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الحسن الهسنجاني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مضطرب الحديث جدّاً مع قلّة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إسحاق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أحمد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أوعية العلم، ولي قضاء الكوفة بعد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هو مِن شِيَعِ بَني</w:t>
      </w:r>
    </w:p>
    <w:p>
      <w:pPr>
        <w:pStyle w:val="BookText"/>
        <w:rPr/>
      </w:pPr>
      <w:r>
        <w:rPr>
          <w:rFonts w:ascii="Amiri" w:hAnsi="Amiri" w:eastAsia="Amiri" w:cs="Amiri"/>
          <w:color w:val="111111"/>
          <w:sz w:val="28"/>
          <w:sz w:val="28"/>
          <w:szCs w:val="28"/>
          <w:rtl w:val="true"/>
          <w:lang w:bidi="ar-SA"/>
        </w:rPr>
        <w:t>أُمَيّةَ‌، و ممّن تَوَلَّى القَضاءَ لهم، و كان شَديدَ النَّصبِ و الانحرافِ عن أهلِ البيتِ أيضاً، ظَنيناً في نفسِه و أمانتِه</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Style w:val="FootnoteAnchor"/>
          <w:rtl w:val="true"/>
        </w:rPr>
        <w:footnoteReference w:id="1729"/>
      </w:r>
      <w:r>
        <w:rPr>
          <w:rFonts w:ascii="Amiri" w:hAnsi="Amiri" w:eastAsia="Amiri" w:cs="Amiri"/>
          <w:color w:val="111111"/>
          <w:sz w:val="28"/>
          <w:sz w:val="28"/>
          <w:szCs w:val="28"/>
          <w:rtl w:val="true"/>
          <w:lang w:bidi="ar-SA"/>
        </w:rPr>
        <w:t>أنّه كانَ يَمُرُّ علىٰ أصحابِ الحُسَينِ بنِ عليٍّ عليهما السلام و هُم جَرحىٰ فيُجهِزُ عليهم، فلمّا عوتِبَ علىٰ‌</w:t>
      </w:r>
      <w:r>
        <w:rPr>
          <w:rStyle w:val="FootnoteAnchor"/>
          <w:rtl w:val="true"/>
        </w:rPr>
        <w:footnoteReference w:id="1730"/>
      </w:r>
      <w:r>
        <w:rPr>
          <w:rFonts w:ascii="Amiri" w:hAnsi="Amiri" w:eastAsia="Amiri" w:cs="Amiri"/>
          <w:color w:val="111111"/>
          <w:sz w:val="28"/>
          <w:sz w:val="28"/>
          <w:szCs w:val="28"/>
          <w:rtl w:val="true"/>
          <w:lang w:bidi="ar-SA"/>
        </w:rPr>
        <w:t xml:space="preserve">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w:t>
      </w:r>
      <w:r>
        <w:rPr>
          <w:rStyle w:val="FootnoteAnchor"/>
          <w:rtl w:val="true"/>
        </w:rPr>
        <w:footnoteReference w:id="1731"/>
      </w:r>
      <w:r>
        <w:rPr>
          <w:rFonts w:ascii="Amiri" w:hAnsi="Amiri" w:eastAsia="Amiri" w:cs="Amiri"/>
          <w:color w:val="111111"/>
          <w:sz w:val="28"/>
          <w:sz w:val="28"/>
          <w:szCs w:val="28"/>
          <w:rtl w:val="true"/>
          <w:lang w:bidi="ar-SA"/>
        </w:rPr>
        <w:t>أن أُريحَهم</w:t>
      </w:r>
      <w:r>
        <w:rPr>
          <w:rFonts w:eastAsia="Amiri" w:cs="Amiri" w:ascii="Amiri" w:hAnsi="Amiri"/>
          <w:color w:val="111111"/>
          <w:sz w:val="28"/>
          <w:szCs w:val="28"/>
          <w:rtl w:val="true"/>
          <w:lang w:bidi="ar-SA"/>
        </w:rPr>
        <w:t>.</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و فيهم</w:t>
      </w:r>
      <w:r>
        <w:rPr>
          <w:rStyle w:val="FootnoteAnchor"/>
          <w:rtl w:val="true"/>
        </w:rPr>
        <w:footnoteReference w:id="1733"/>
      </w:r>
      <w:r>
        <w:rPr>
          <w:rFonts w:ascii="Amiri" w:hAnsi="Amiri" w:eastAsia="Amiri" w:cs="Amiri"/>
          <w:color w:val="111111"/>
          <w:sz w:val="28"/>
          <w:sz w:val="28"/>
          <w:szCs w:val="28"/>
          <w:rtl w:val="true"/>
          <w:lang w:bidi="ar-SA"/>
        </w:rPr>
        <w:t xml:space="preserve">مَن حَكىٰ روايةَ الخبرِ بالنَّصبِ </w:t>
      </w:r>
      <w:r>
        <w:rPr>
          <w:rStyle w:val="FootnoteAnchor"/>
          <w:rtl w:val="true"/>
        </w:rPr>
        <w:footnoteReference w:id="1734"/>
      </w:r>
      <w:r>
        <w:rPr>
          <w:rFonts w:ascii="Amiri" w:hAnsi="Amiri" w:eastAsia="Amiri" w:cs="Amiri"/>
          <w:color w:val="111111"/>
          <w:sz w:val="28"/>
          <w:sz w:val="28"/>
          <w:szCs w:val="28"/>
          <w:rtl w:val="true"/>
          <w:lang w:bidi="ar-SA"/>
        </w:rPr>
        <w:t>، و جَعَلَ أبا بَكرٍ و عُمَرَ علىٰ هذه الروايةِ مُنادَيَينِ مأمورَينِ بالاقتداءِ بالكتابِ و العِترةِ ، و 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اللَّذَينِ مِن</w:t>
      </w:r>
    </w:p>
    <w:p>
      <w:pPr>
        <w:pStyle w:val="BookText"/>
        <w:rPr/>
      </w:pPr>
      <w:r>
        <w:rPr>
          <w:rFonts w:ascii="Amiri" w:hAnsi="Amiri" w:eastAsia="Amiri" w:cs="Amiri"/>
          <w:color w:val="111111"/>
          <w:sz w:val="28"/>
          <w:sz w:val="28"/>
          <w:szCs w:val="28"/>
          <w:rtl w:val="true"/>
          <w:lang w:bidi="ar-SA"/>
        </w:rPr>
        <w:t>الشعبي و لكنّه طال عمره و ساء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بحافظ، تغيّر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يغلط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لا يرضاه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استعرض علماء الحديث من السنّة هذا الحديث بالنقد و الردّ من شتّى طرقه؛ قال الذهبي في 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الخليل، حدّثنا إبراهيم بن محمّد الحلبي، حدّثني محمّد بن عبد السلام بن عمر بن القاسم، حدّثنا مالك، عن نافع، عن ابن عمر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أصل له من حديث مالك، بل هو معروف من حديث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هذا يحدّث عن مالك بأباطيل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صليح، عن ذي النون المصري، عن مالك، عن نافع، عن ابن عمر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غلط، و أحمد لا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2413</w:t>
      </w:r>
      <w:r>
        <w:rPr>
          <w:rFonts w:ascii="Amiri" w:hAnsi="Amiri" w:eastAsia="Amiri" w:cs="Amiri"/>
          <w:color w:val="111111"/>
          <w:sz w:val="28"/>
          <w:sz w:val="28"/>
          <w:szCs w:val="28"/>
          <w:rtl w:val="true"/>
          <w:lang w:bidi="ar-SA"/>
        </w:rPr>
        <w:t xml:space="preserve">؛ أخبار القضاة، 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وفيات الأعيان،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الكتابِ و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علىٰ صحّةِ تأويلِه بأمرِه صَلّى اللّٰهُ عليه و آلِه في غيرِ هذا الخبرِ بالتمسُّكِ بهما و الرجوعِ إليهما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 ما إن تَمسَّكتم بِهما لَن تَضِلّوا؛ كتابَ اللّٰهِ و عِترَتي أهلَ بَيتي، و 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 xml:space="preserve">و أفرد السيّد ناصر حسين في تتميم العبقات لوالده السيّد حامد حسين مجلّداً كاملاً لهذا الحديث، و ضمّ إليه حديث السفينة، فكان حصيلة بحثه أنّ من رواه من الصحابة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التابعين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طبقات العلماء من رواته من القرن الثاني إلى القرن الرابع عشر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أبطَلَ مَن سَلَكَ هذه الطريقةَ في تأويلِ الخبرِ اعتراضَ الخُصومِ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خِطابٌ للجَمعِ‌</w:t>
      </w:r>
      <w:r>
        <w:rPr>
          <w:rStyle w:val="FootnoteAnchor"/>
          <w:rtl w:val="true"/>
        </w:rPr>
        <w:footnoteReference w:id="1736"/>
      </w:r>
      <w:r>
        <w:rPr>
          <w:rFonts w:ascii="Amiri" w:hAnsi="Amiri" w:eastAsia="Amiri" w:cs="Amiri"/>
          <w:color w:val="111111"/>
          <w:sz w:val="28"/>
          <w:sz w:val="28"/>
          <w:szCs w:val="28"/>
          <w:rtl w:val="true"/>
          <w:lang w:bidi="ar-SA"/>
        </w:rPr>
        <w:t xml:space="preserve">لا يَسوغُ تَوجُّهُه إلَى الاثنَينِ‌،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يُنكَرُ</w:t>
      </w:r>
      <w:r>
        <w:rPr>
          <w:rStyle w:val="FootnoteAnchor"/>
          <w:rtl w:val="true"/>
        </w:rPr>
        <w:footnoteReference w:id="1737"/>
      </w:r>
      <w:r>
        <w:rPr>
          <w:rFonts w:ascii="Amiri" w:hAnsi="Amiri" w:eastAsia="Amiri" w:cs="Amiri"/>
          <w:color w:val="111111"/>
          <w:sz w:val="28"/>
          <w:sz w:val="28"/>
          <w:szCs w:val="28"/>
          <w:rtl w:val="true"/>
          <w:lang w:bidi="ar-SA"/>
        </w:rPr>
        <w:t>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w:t>
      </w:r>
      <w:r>
        <w:rPr>
          <w:rFonts w:eastAsia="Amiri" w:cs="Amiri" w:ascii="Amiri" w:hAnsi="Amiri"/>
          <w:color w:val="111111"/>
          <w:sz w:val="28"/>
          <w:szCs w:val="28"/>
          <w:rtl w:val="true"/>
          <w:lang w:bidi="ar-SA"/>
        </w:rPr>
        <w:t>»</w:t>
      </w:r>
      <w:r>
        <w:rPr>
          <w:rStyle w:val="FootnoteAnchor"/>
          <w:rtl w:val="true"/>
        </w:rPr>
        <w:footnoteReference w:id="1738"/>
      </w:r>
      <w:r>
        <w:rPr>
          <w:rFonts w:ascii="Amiri" w:hAnsi="Amiri" w:eastAsia="Amiri" w:cs="Amiri"/>
          <w:color w:val="111111"/>
          <w:sz w:val="28"/>
          <w:sz w:val="28"/>
          <w:szCs w:val="28"/>
          <w:rtl w:val="true"/>
          <w:lang w:bidi="ar-SA"/>
        </w:rPr>
        <w:t>مُتوَجِّهاً إلىٰ جميعِ الأُمّةِ ،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بَعدي أبا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لهما</w:t>
      </w:r>
      <w:r>
        <w:rPr>
          <w:rStyle w:val="FootnoteAnchor"/>
          <w:rtl w:val="true"/>
        </w:rPr>
        <w:footnoteReference w:id="1739"/>
      </w:r>
      <w:r>
        <w:rPr>
          <w:rFonts w:ascii="Amiri" w:hAnsi="Amiri" w:eastAsia="Amiri" w:cs="Amiri"/>
          <w:color w:val="111111"/>
          <w:sz w:val="28"/>
          <w:sz w:val="28"/>
          <w:szCs w:val="28"/>
          <w:rtl w:val="true"/>
          <w:lang w:bidi="ar-SA"/>
        </w:rPr>
        <w:t>علىٰ سبيلِ التخصيصِ لهما؛ لتأكيدِ الحُجّةِ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هذه الجُملةِ موجودٌ</w:t>
      </w:r>
      <w:r>
        <w:rPr>
          <w:rStyle w:val="FootnoteAnchor"/>
          <w:rtl w:val="true"/>
        </w:rPr>
        <w:footnoteReference w:id="1740"/>
      </w:r>
      <w:r>
        <w:rPr>
          <w:rFonts w:ascii="Amiri" w:hAnsi="Amiri" w:eastAsia="Amiri" w:cs="Amiri"/>
          <w:color w:val="111111"/>
          <w:sz w:val="28"/>
          <w:sz w:val="28"/>
          <w:szCs w:val="28"/>
          <w:rtl w:val="true"/>
          <w:lang w:bidi="ar-SA"/>
        </w:rPr>
        <w:t xml:space="preserve">في مَواضِعِه مِن الكُتُبِ ، و إن كانَ مُخالِفونا يَدفَعونَ ورودَ الروايةِ بالنَّصبِ </w:t>
      </w:r>
    </w:p>
    <w:p>
      <w:pPr>
        <w:pStyle w:val="BookText"/>
        <w:rPr/>
      </w:pPr>
      <w:r>
        <w:rPr>
          <w:rFonts w:ascii="Amiri" w:hAnsi="Amiri" w:eastAsia="Amiri" w:cs="Amiri"/>
          <w:color w:val="111111"/>
          <w:sz w:val="28"/>
          <w:sz w:val="28"/>
          <w:szCs w:val="28"/>
          <w:rtl w:val="true"/>
          <w:lang w:bidi="ar-SA"/>
        </w:rPr>
        <w:t>أشَدَّ دَفعٍ‌، و يَدَّعونَ أنّه ممّا خَرَجَ علىٰ سَبيلِ التأويلِ مِن غيرِ رجوعٍ إلىٰ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يُمكِنُ أن يُعتَمَدَ في إبطالِ خبرِ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موجِباً للنصِّ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الذي عارَضَ به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لاحتَجَّ به أبو بَكرٍ لنفسِه في السقيفةِ‌، و لَما جازَ أن يَعدِلَ عنه</w:t>
      </w:r>
      <w:r>
        <w:rPr>
          <w:rStyle w:val="FootnoteAnchor"/>
          <w:rtl w:val="true"/>
        </w:rPr>
        <w:footnoteReference w:id="1741"/>
      </w:r>
      <w:r>
        <w:rPr>
          <w:rFonts w:ascii="Amiri" w:hAnsi="Amiri" w:eastAsia="Amiri" w:cs="Amiri"/>
          <w:color w:val="111111"/>
          <w:sz w:val="28"/>
          <w:sz w:val="28"/>
          <w:szCs w:val="28"/>
          <w:rtl w:val="true"/>
          <w:lang w:bidi="ar-SA"/>
        </w:rPr>
        <w:t xml:space="preserve">إلىٰ روايتِه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Style w:val="FootnoteAnchor"/>
          <w:rtl w:val="true"/>
        </w:rPr>
        <w:footnoteReference w:id="1742"/>
      </w:r>
      <w:r>
        <w:rPr>
          <w:rFonts w:ascii="Amiri" w:hAnsi="Amiri" w:eastAsia="Amiri" w:cs="Amiri"/>
          <w:color w:val="111111"/>
          <w:sz w:val="28"/>
          <w:sz w:val="28"/>
          <w:szCs w:val="28"/>
          <w:rtl w:val="true"/>
          <w:lang w:bidi="ar-SA"/>
        </w:rPr>
        <w:t>و لا خَفاءَ علىٰ أحَدٍ في أنّ الاحتجاجَ بخبرِ الاقتداءِ أقطَعُ للشَّغبِ‌</w:t>
      </w:r>
      <w:r>
        <w:rPr>
          <w:rStyle w:val="FootnoteAnchor"/>
          <w:rtl w:val="true"/>
        </w:rPr>
        <w:footnoteReference w:id="1743"/>
      </w:r>
      <w:r>
        <w:rPr>
          <w:rFonts w:ascii="Amiri" w:hAnsi="Amiri" w:eastAsia="Amiri" w:cs="Amiri"/>
          <w:color w:val="111111"/>
          <w:sz w:val="28"/>
          <w:sz w:val="28"/>
          <w:szCs w:val="28"/>
          <w:rtl w:val="true"/>
          <w:lang w:bidi="ar-SA"/>
        </w:rPr>
        <w:t>و أخَصُّ بالحُجّةِ‌</w:t>
      </w:r>
      <w:r>
        <w:rPr>
          <w:rStyle w:val="FootnoteAnchor"/>
          <w:rtl w:val="true"/>
        </w:rPr>
        <w:footnoteReference w:id="1744"/>
      </w:r>
      <w:r>
        <w:rPr>
          <w:rFonts w:ascii="Amiri" w:hAnsi="Amiri" w:eastAsia="Amiri" w:cs="Amiri"/>
          <w:color w:val="111111"/>
          <w:sz w:val="28"/>
          <w:sz w:val="28"/>
          <w:szCs w:val="28"/>
          <w:rtl w:val="true"/>
          <w:lang w:bidi="ar-SA"/>
        </w:rPr>
        <w:t>، و أشبَهُ بالحالِ‌، سِيَّما</w:t>
      </w:r>
      <w:r>
        <w:rPr>
          <w:rStyle w:val="FootnoteAnchor"/>
          <w:rtl w:val="true"/>
        </w:rPr>
        <w:footnoteReference w:id="1745"/>
      </w:r>
      <w:r>
        <w:rPr>
          <w:rFonts w:ascii="Amiri" w:hAnsi="Amiri" w:eastAsia="Amiri" w:cs="Amiri"/>
          <w:color w:val="111111"/>
          <w:sz w:val="28"/>
          <w:sz w:val="28"/>
          <w:szCs w:val="28"/>
          <w:rtl w:val="true"/>
          <w:lang w:bidi="ar-SA"/>
        </w:rPr>
        <w:t>و التقيّةُ و الخوفُ عنه زائلانِ‌</w:t>
      </w:r>
      <w:r>
        <w:rPr>
          <w:rStyle w:val="FootnoteAnchor"/>
          <w:rtl w:val="true"/>
        </w:rPr>
        <w:footnoteReference w:id="1746"/>
      </w:r>
      <w:r>
        <w:rPr>
          <w:rFonts w:ascii="Amiri" w:hAnsi="Amiri" w:eastAsia="Amiri" w:cs="Amiri"/>
          <w:color w:val="111111"/>
          <w:sz w:val="28"/>
          <w:sz w:val="28"/>
          <w:szCs w:val="28"/>
          <w:rtl w:val="true"/>
          <w:lang w:bidi="ar-SA"/>
        </w:rPr>
        <w:t xml:space="preserve">، و وجوهُ الاحتجاجِ له مُعرِضةٌ ، و جميعُ ما يَدَّعيهِ الشيعةُ بالنصِّ الذي تَذهَبُ إليه، عن الرجُلِ مُنتَفيةٌ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لَوَجَبَ </w:t>
      </w:r>
      <w:r>
        <w:rPr>
          <w:rStyle w:val="FootnoteAnchor"/>
          <w:rtl w:val="true"/>
        </w:rPr>
        <w:footnoteReference w:id="1748"/>
      </w:r>
      <w:r>
        <w:rPr>
          <w:rFonts w:ascii="Amiri" w:hAnsi="Amiri" w:eastAsia="Amiri" w:cs="Amiri"/>
          <w:color w:val="111111"/>
          <w:sz w:val="28"/>
          <w:sz w:val="28"/>
          <w:szCs w:val="28"/>
          <w:rtl w:val="true"/>
          <w:lang w:bidi="ar-SA"/>
        </w:rPr>
        <w:t>أيضاً أن يَحتَجَّ به أبو بَكرٍ علىٰ طَلحةَ لمّا نازَعَه فيما رَآه</w:t>
      </w:r>
      <w:r>
        <w:rPr>
          <w:rStyle w:val="FootnoteAnchor"/>
          <w:rtl w:val="true"/>
        </w:rPr>
        <w:footnoteReference w:id="1749"/>
      </w:r>
      <w:r>
        <w:rPr>
          <w:rFonts w:ascii="Amiri" w:hAnsi="Amiri" w:eastAsia="Amiri" w:cs="Amiri"/>
          <w:color w:val="111111"/>
          <w:sz w:val="28"/>
          <w:sz w:val="28"/>
          <w:szCs w:val="28"/>
          <w:rtl w:val="true"/>
          <w:lang w:bidi="ar-SA"/>
        </w:rPr>
        <w:t xml:space="preserve">مِن النصِّ علىٰ عُمَرَ و أظهَرَ الإنكارَ لفِعلِه؛ فكانَ احتجاجُه في تلكَ الحالِ بالخبرِ المُقتَضي </w:t>
      </w:r>
    </w:p>
    <w:p>
      <w:pPr>
        <w:pStyle w:val="BookText"/>
        <w:rPr/>
      </w:pPr>
      <w:r>
        <w:rPr>
          <w:rFonts w:ascii="Amiri" w:hAnsi="Amiri" w:eastAsia="Amiri" w:cs="Amiri"/>
          <w:color w:val="111111"/>
          <w:sz w:val="28"/>
          <w:sz w:val="28"/>
          <w:szCs w:val="28"/>
          <w:rtl w:val="true"/>
          <w:lang w:bidi="ar-SA"/>
        </w:rPr>
        <w:t>لنصِّ رسولِ اللّٰهِ صَلّى اللّٰهُ عليه و آلِه علىٰ عُمَرَ و دُعائه</w:t>
      </w:r>
      <w:r>
        <w:rPr>
          <w:rStyle w:val="FootnoteAnchor"/>
          <w:rtl w:val="true"/>
        </w:rPr>
        <w:footnoteReference w:id="1750"/>
      </w:r>
      <w:r>
        <w:rPr>
          <w:rFonts w:ascii="Amiri" w:hAnsi="Amiri" w:eastAsia="Amiri" w:cs="Amiri"/>
          <w:color w:val="111111"/>
          <w:sz w:val="28"/>
          <w:sz w:val="28"/>
          <w:szCs w:val="28"/>
          <w:rtl w:val="true"/>
          <w:lang w:bidi="ar-SA"/>
        </w:rPr>
        <w:t>الناسَ إلَى الاقتداءِ به و الاتّباعِ له، أَولىٰ و ألزَمَ‌</w:t>
      </w:r>
      <w:r>
        <w:rPr>
          <w:rStyle w:val="FootnoteAnchor"/>
          <w:rtl w:val="true"/>
        </w:rPr>
        <w:footnoteReference w:id="1751"/>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وَلَّيتُ عليهم خَيرَ أهلِكَ‌</w:t>
      </w:r>
      <w:r>
        <w:rPr>
          <w:rFonts w:eastAsia="Amiri" w:cs="Amiri" w:ascii="Amiri" w:hAnsi="Amiri"/>
          <w:color w:val="111111"/>
          <w:sz w:val="28"/>
          <w:szCs w:val="28"/>
          <w:rtl w:val="true"/>
          <w:lang w:bidi="ar-SA"/>
        </w:rPr>
        <w:t>».</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و أيضاً لَو كانَ هذا الخبرُ صحيحاً لَكانَ حاظِراً</w:t>
      </w:r>
      <w:r>
        <w:rPr>
          <w:rStyle w:val="FootnoteAnchor"/>
          <w:rtl w:val="true"/>
        </w:rPr>
        <w:footnoteReference w:id="1753"/>
      </w:r>
      <w:r>
        <w:rPr>
          <w:rFonts w:ascii="Amiri" w:hAnsi="Amiri" w:eastAsia="Amiri" w:cs="Amiri"/>
          <w:color w:val="111111"/>
          <w:sz w:val="28"/>
          <w:sz w:val="28"/>
          <w:szCs w:val="28"/>
          <w:rtl w:val="true"/>
          <w:lang w:bidi="ar-SA"/>
        </w:rPr>
        <w:t>مُخالَفةَ الرجُلَينِ و موجِباً لمُوافَقتِهما في جميعِ أقوالِهما و أفعالِهما، و قد رأَينا كَثيراً مِن الصحابةِ قد خالَفَهما في كَثيرٍ مِن أحكامِهما و ذَهَبوا إلىٰ غيرِ ما يَذهَبانِ إليه، و قد</w:t>
      </w:r>
      <w:r>
        <w:rPr>
          <w:rStyle w:val="FootnoteAnchor"/>
          <w:rtl w:val="true"/>
        </w:rPr>
        <w:footnoteReference w:id="1754"/>
      </w:r>
      <w:r>
        <w:rPr>
          <w:rFonts w:ascii="Amiri" w:hAnsi="Amiri" w:eastAsia="Amiri" w:cs="Amiri"/>
          <w:color w:val="111111"/>
          <w:sz w:val="28"/>
          <w:sz w:val="28"/>
          <w:szCs w:val="28"/>
          <w:rtl w:val="true"/>
          <w:lang w:bidi="ar-SA"/>
        </w:rPr>
        <w:t>أظهَروا ذلكَ‌، فيَجِبُ أن يَكونوا بذلكَ عُصاةً مُخالِفينَ لنَصِّ‌</w:t>
      </w:r>
      <w:r>
        <w:rPr>
          <w:rStyle w:val="FootnoteAnchor"/>
          <w:rtl w:val="true"/>
        </w:rPr>
        <w:footnoteReference w:id="1755"/>
      </w:r>
      <w:r>
        <w:rPr>
          <w:rFonts w:ascii="Amiri" w:hAnsi="Amiri" w:eastAsia="Amiri" w:cs="Amiri"/>
          <w:color w:val="111111"/>
          <w:sz w:val="28"/>
          <w:sz w:val="28"/>
          <w:szCs w:val="28"/>
          <w:rtl w:val="true"/>
          <w:lang w:bidi="ar-SA"/>
        </w:rPr>
        <w:t>الرسولِ صَلّى اللّٰهُ عليه و آلِه</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يَجِبُ أيضاً أن يُنبِّهَ الرجُلانِ مَن خالَفَهما و أظهَرَ خِلافَهما</w:t>
      </w:r>
      <w:r>
        <w:rPr>
          <w:rStyle w:val="FootnoteAnchor"/>
          <w:rtl w:val="true"/>
        </w:rPr>
        <w:footnoteReference w:id="1757"/>
      </w:r>
      <w:r>
        <w:rPr>
          <w:rFonts w:ascii="Amiri" w:hAnsi="Amiri" w:eastAsia="Amiri" w:cs="Amiri"/>
          <w:color w:val="111111"/>
          <w:sz w:val="28"/>
          <w:sz w:val="28"/>
          <w:szCs w:val="28"/>
          <w:rtl w:val="true"/>
          <w:lang w:bidi="ar-SA"/>
        </w:rPr>
        <w:t>، علىٰ مُقتَضىٰ هذا الخبرِ، و يُذكِّراهم</w:t>
      </w:r>
      <w:r>
        <w:rPr>
          <w:rStyle w:val="FootnoteAnchor"/>
          <w:rtl w:val="true"/>
        </w:rPr>
        <w:footnoteReference w:id="1758"/>
      </w:r>
      <w:r>
        <w:rPr>
          <w:rFonts w:ascii="Amiri" w:hAnsi="Amiri" w:eastAsia="Amiri" w:cs="Amiri"/>
          <w:color w:val="111111"/>
          <w:sz w:val="28"/>
          <w:sz w:val="28"/>
          <w:szCs w:val="28"/>
          <w:rtl w:val="true"/>
          <w:lang w:bidi="ar-SA"/>
        </w:rPr>
        <w:t>بأنّ خِلافَهما محظورٌ ممنوعٌ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لَو اقتَضَى النصَّ بالإمامةِ علىٰ ما ظَنّوا لَوَجَبَ أن يَكونَ ما رَوَوه عنه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 بأيِّهِم اقتَدَيتم اهتَدَيتم</w:t>
      </w:r>
      <w:r>
        <w:rPr>
          <w:rFonts w:eastAsia="Amiri" w:cs="Amiri" w:ascii="Amiri" w:hAnsi="Amiri"/>
          <w:color w:val="111111"/>
          <w:sz w:val="28"/>
          <w:szCs w:val="28"/>
          <w:rtl w:val="true"/>
          <w:lang w:bidi="ar-SA"/>
        </w:rPr>
        <w:t>»</w:t>
      </w:r>
      <w:r>
        <w:rPr>
          <w:rStyle w:val="FootnoteAnchor"/>
          <w:rtl w:val="true"/>
        </w:rPr>
        <w:footnoteReference w:id="1759"/>
      </w:r>
      <w:r>
        <w:rPr>
          <w:rFonts w:ascii="Amiri" w:hAnsi="Amiri" w:eastAsia="Amiri" w:cs="Amiri"/>
          <w:color w:val="111111"/>
          <w:sz w:val="28"/>
          <w:sz w:val="28"/>
          <w:szCs w:val="28"/>
          <w:rtl w:val="true"/>
          <w:lang w:bidi="ar-SA"/>
        </w:rPr>
        <w:t>موجِباً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لإمامةِ الكُلِّ </w:t>
      </w:r>
      <w:r>
        <w:rPr>
          <w:rStyle w:val="FootnoteAnchor"/>
          <w:rtl w:val="true"/>
        </w:rPr>
        <w:footnoteReference w:id="1760"/>
      </w:r>
      <w:r>
        <w:rPr>
          <w:rFonts w:ascii="Amiri" w:hAnsi="Amiri" w:eastAsia="Amiri" w:cs="Amiri"/>
          <w:color w:val="111111"/>
          <w:sz w:val="28"/>
          <w:sz w:val="28"/>
          <w:szCs w:val="28"/>
          <w:rtl w:val="true"/>
          <w:lang w:bidi="ar-SA"/>
        </w:rPr>
        <w:t>، و إذا لَم يَكُن هذا الخبرُ موجِباً للإمامةِ فكذلكَ الآخَرُ</w:t>
      </w:r>
      <w:r>
        <w:rPr>
          <w:rFonts w:eastAsia="Amiri" w:cs="Amiri" w:ascii="Amiri" w:hAnsi="Amiri"/>
          <w:color w:val="111111"/>
          <w:sz w:val="28"/>
          <w:szCs w:val="28"/>
          <w:rtl w:val="true"/>
          <w:lang w:bidi="ar-SA"/>
        </w:rPr>
        <w:t xml:space="preserve">. </w:t>
      </w:r>
      <w:bookmarkStart w:id="334" w:name="pg20017_202554"/>
    </w:p>
    <w:p>
      <w:pPr>
        <w:pStyle w:val="BookText"/>
        <w:rPr/>
      </w:pPr>
      <w:bookmarkEnd w:id="334"/>
      <w:r>
        <w:rPr>
          <w:rFonts w:ascii="Amiri" w:hAnsi="Amiri" w:eastAsia="Amiri" w:cs="Amiri"/>
          <w:color w:val="111111"/>
          <w:sz w:val="28"/>
          <w:sz w:val="28"/>
          <w:szCs w:val="28"/>
          <w:rtl w:val="true"/>
          <w:lang w:bidi="ar-SA"/>
        </w:rPr>
        <w:t xml:space="preserve">و قد رَوَوا أيضاً عنه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اهتَدوا بهَدْيِ </w:t>
      </w:r>
      <w:r>
        <w:rPr>
          <w:rStyle w:val="FootnoteAnchor"/>
          <w:rtl w:val="true"/>
        </w:rPr>
        <w:footnoteReference w:id="1761"/>
      </w:r>
      <w:r>
        <w:rPr>
          <w:rFonts w:ascii="Amiri" w:hAnsi="Amiri" w:eastAsia="Amiri" w:cs="Amiri"/>
          <w:color w:val="111111"/>
          <w:sz w:val="28"/>
          <w:sz w:val="28"/>
          <w:szCs w:val="28"/>
          <w:rtl w:val="true"/>
          <w:lang w:bidi="ar-SA"/>
        </w:rPr>
        <w:t>عَمّارٍ، و تَمسَّكوا بعَهدِ ابنِ أُمِّ عَبدٍ</w:t>
      </w:r>
      <w:r>
        <w:rPr>
          <w:rFonts w:eastAsia="Amiri" w:cs="Amiri" w:ascii="Amiri" w:hAnsi="Amiri"/>
          <w:color w:val="111111"/>
          <w:sz w:val="28"/>
          <w:szCs w:val="28"/>
          <w:rtl w:val="true"/>
          <w:lang w:bidi="ar-SA"/>
        </w:rPr>
        <w:t>»</w:t>
      </w:r>
      <w:r>
        <w:rPr>
          <w:rStyle w:val="FootnoteAnchor"/>
          <w:rtl w:val="true"/>
        </w:rPr>
        <w:footnoteReference w:id="1762"/>
      </w:r>
      <w:r>
        <w:rPr>
          <w:rFonts w:ascii="Amiri" w:hAnsi="Amiri" w:eastAsia="Amiri" w:cs="Amiri"/>
          <w:color w:val="111111"/>
          <w:sz w:val="28"/>
          <w:sz w:val="28"/>
          <w:szCs w:val="28"/>
          <w:rtl w:val="true"/>
          <w:lang w:bidi="ar-SA"/>
        </w:rPr>
        <w:t>و لَم يَكُن في شَيءٍ مِن ذلكَ نَصٌّ بإمامةٍ و لا فرضِ طاعةٍ ؛ فكَيفَ يُظَنُّ هذا في خبرِ الاقتداءِ و حُكمُ الجميعِ واحدٌ في مُقتَضىٰ ظاهرِ اللفظِ؟</w:t>
      </w:r>
    </w:p>
    <w:p>
      <w:pPr>
        <w:pStyle w:val="Heading6"/>
        <w:numPr>
          <w:ilvl w:val="5"/>
          <w:numId w:val="1"/>
        </w:numPr>
        <w:rPr/>
      </w:pPr>
      <w:bookmarkStart w:id="335" w:name="__RefHeading___Toc964231_2320776876"/>
      <w:bookmarkStart w:id="336" w:name="_Toc119"/>
      <w:bookmarkEnd w:id="335"/>
      <w:r>
        <w:rPr>
          <w:rtl w:val="true"/>
        </w:rPr>
        <w:t>بطلان دلالة حديثَي الخُلّة و الاقتداء و غيرهما على النصّ</w:t>
      </w:r>
      <w:bookmarkEnd w:id="336"/>
    </w:p>
    <w:p>
      <w:pPr>
        <w:pStyle w:val="BookText"/>
        <w:rPr/>
      </w:pPr>
      <w:r>
        <w:rPr>
          <w:rFonts w:ascii="Amiri" w:hAnsi="Amiri" w:eastAsia="Amiri" w:cs="Amiri"/>
          <w:color w:val="111111"/>
          <w:sz w:val="28"/>
          <w:sz w:val="28"/>
          <w:szCs w:val="28"/>
          <w:rtl w:val="true"/>
          <w:lang w:bidi="ar-SA"/>
        </w:rPr>
        <w:t>و بَعدُ، فلَو تَجاوَزنا عن هذا كُلِّه، و سَلَّمنا روايةَ الأخبارِ و صحّتَها، لَم يَكُن في شَيءٍ منها تصريحٌ بنَصٍّ و لا تلويحٌ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خبرُ الخُلّةِ و ما يَدَّعونَه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اترُكوا لي أخي و صاحِبي</w:t>
      </w:r>
      <w:r>
        <w:rPr>
          <w:rFonts w:eastAsia="Amiri" w:cs="Amiri" w:ascii="Amiri" w:hAnsi="Amiri"/>
          <w:color w:val="111111"/>
          <w:sz w:val="28"/>
          <w:szCs w:val="28"/>
          <w:rtl w:val="true"/>
          <w:lang w:bidi="ar-SA"/>
        </w:rPr>
        <w:t>»</w:t>
      </w:r>
      <w:r>
        <w:rPr>
          <w:rStyle w:val="FootnoteAnchor"/>
          <w:rtl w:val="true"/>
        </w:rPr>
        <w:footnoteReference w:id="1763"/>
      </w:r>
      <w:r>
        <w:rPr>
          <w:rFonts w:ascii="Amiri" w:hAnsi="Amiri" w:eastAsia="Amiri" w:cs="Amiri"/>
          <w:color w:val="111111"/>
          <w:sz w:val="28"/>
          <w:sz w:val="28"/>
          <w:szCs w:val="28"/>
          <w:rtl w:val="true"/>
          <w:lang w:bidi="ar-SA"/>
        </w:rPr>
        <w:t xml:space="preserve">فلا شُبهةَ علىٰ عاقلٍ في بُعدِهما عن الدَّلالةِ علَى النصِّ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جعفر بن عبد الواحد الهاشمي القاضي، 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أحاديث لا أصل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يسرق الحديث و يأتي بالمناكير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له ابن عدي أحاديث،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بواطيل، و بعضها سرقة 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جعفر بن عبد الواحد بن جعفر بن سليمان بن عليّ حديثاً للقعنبي، فزاد عليه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عليه القعنبي، فافتضح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تكون دعوة الشيخ الصالح أدركته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بلاياه عن وهب بن جرير، عن أبيه، عن الأعمش، عن أبي صالح، عن أبي هريرة،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 من اقتدى بشيء منها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عن العسقلاني في 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سعيد بن عمرو البردعي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ذاكرت أبا زرعة بأحاديث سمعتها من جعفر بن عبد الواحد، فأنكرها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لها، و قال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باطلة موضوعة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خبرُ الاقتداءِ فهو كالمُجمَلِ‌؛ لأنّه لَم يُبيِّنْ في أيِّ شَيءٍ يُقتَدىٰ بهما، و لا علىٰ أيِّ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مُجمَلةٌ‌</w:t>
      </w:r>
      <w:r>
        <w:rPr>
          <w:rStyle w:val="FootnoteAnchor"/>
          <w:rtl w:val="true"/>
        </w:rPr>
        <w:footnoteReference w:id="1764"/>
      </w:r>
      <w:r>
        <w:rPr>
          <w:rFonts w:ascii="Amiri" w:hAnsi="Amiri" w:eastAsia="Amiri" w:cs="Amiri"/>
          <w:color w:val="111111"/>
          <w:sz w:val="28"/>
          <w:sz w:val="28"/>
          <w:szCs w:val="28"/>
          <w:rtl w:val="true"/>
          <w:lang w:bidi="ar-SA"/>
        </w:rPr>
        <w:t>لَيسَ فيها دَلالةٌ علىٰ أنّ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حالٍ أُخرىٰ مِن أحوالي</w:t>
      </w:r>
      <w:r>
        <w:rPr>
          <w:rStyle w:val="FootnoteAnchor"/>
          <w:rtl w:val="true"/>
        </w:rPr>
        <w:footnoteReference w:id="1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هذا الخبرِ أنّ النبيَّ صَلّى اللّٰهُ عليه و آلِه كانَ سالكاً بعضَ الطُّرُقِ‌</w:t>
      </w:r>
      <w:r>
        <w:rPr>
          <w:rStyle w:val="FootnoteAnchor"/>
          <w:rtl w:val="true"/>
        </w:rPr>
        <w:footnoteReference w:id="1766"/>
      </w:r>
      <w:r>
        <w:rPr>
          <w:rFonts w:ascii="Amiri" w:hAnsi="Amiri" w:eastAsia="Amiri" w:cs="Amiri"/>
          <w:color w:val="111111"/>
          <w:sz w:val="28"/>
          <w:sz w:val="28"/>
          <w:szCs w:val="28"/>
          <w:rtl w:val="true"/>
          <w:lang w:bidi="ar-SA"/>
        </w:rPr>
        <w:t>، و كان أبو بَكرٍ و عُمَرُ</w:t>
      </w:r>
    </w:p>
    <w:p>
      <w:pPr>
        <w:pStyle w:val="BookText"/>
        <w:rPr/>
      </w:pPr>
      <w:r>
        <w:rPr>
          <w:rFonts w:ascii="Amiri" w:hAnsi="Amiri" w:eastAsia="Amiri" w:cs="Amiri"/>
          <w:color w:val="111111"/>
          <w:sz w:val="28"/>
          <w:sz w:val="28"/>
          <w:szCs w:val="28"/>
          <w:rtl w:val="true"/>
          <w:lang w:bidi="ar-SA"/>
        </w:rPr>
        <w:t>مُتأخِّرَينِ عنه جائيَينِ علىٰ عَقِبِه، فقالَ النبيُّ صلّى اللّٰه عليه و آله لبعضِ مَن سَألَه عن الطريقِ الذي يَسلُكُه</w:t>
      </w:r>
      <w:r>
        <w:rPr>
          <w:rStyle w:val="FootnoteAnchor"/>
          <w:rtl w:val="true"/>
        </w:rPr>
        <w:footnoteReference w:id="1767"/>
      </w:r>
      <w:r>
        <w:rPr>
          <w:rFonts w:ascii="Amiri" w:hAnsi="Amiri" w:eastAsia="Amiri" w:cs="Amiri"/>
          <w:color w:val="111111"/>
          <w:sz w:val="28"/>
          <w:sz w:val="28"/>
          <w:szCs w:val="28"/>
          <w:rtl w:val="true"/>
          <w:lang w:bidi="ar-SA"/>
        </w:rPr>
        <w:t>في اتّباعِه و اللُّحوقِ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عَنىٰ بسُلوكِ الطريقِ‌،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و إن كانَ غيرَ مقطوعٍ به، فلفظُ الخبرِ يَحتَمِلُه</w:t>
      </w:r>
      <w:r>
        <w:rPr>
          <w:rStyle w:val="FootnoteAnchor"/>
          <w:rtl w:val="true"/>
        </w:rPr>
        <w:footnoteReference w:id="1768"/>
      </w:r>
      <w:r>
        <w:rPr>
          <w:rFonts w:ascii="Amiri" w:hAnsi="Amiri" w:eastAsia="Amiri" w:cs="Amiri"/>
          <w:color w:val="111111"/>
          <w:sz w:val="28"/>
          <w:sz w:val="28"/>
          <w:szCs w:val="28"/>
          <w:rtl w:val="true"/>
          <w:lang w:bidi="ar-SA"/>
        </w:rPr>
        <w:t>كاحتمالِه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الدَّلالةُ علَى النصِّ و التسويةُ بَينَه و بَينَ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حَيثُ ذَهَبنا في خبرِ الغَديرِ و غيرِه إلَى النصِّ لَم نَقتَصِرْ علىٰ مَحضِ الدعوىٰ ، بَل كَشَفنا عن وجهِ الدَّلالةِ ، و استَقصَينا ما يورَدُ مِن الشُّبَهِ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يَجِبُ علىٰ مَن عارَضَنا بهذه الأخبارِ و ادَّعىٰ </w:t>
      </w:r>
      <w:r>
        <w:rPr>
          <w:rStyle w:val="FootnoteAnchor"/>
          <w:rtl w:val="true"/>
        </w:rPr>
        <w:footnoteReference w:id="1769"/>
      </w:r>
      <w:r>
        <w:rPr>
          <w:rFonts w:ascii="Amiri" w:hAnsi="Amiri" w:eastAsia="Amiri" w:cs="Amiri"/>
          <w:color w:val="111111"/>
          <w:sz w:val="28"/>
          <w:sz w:val="28"/>
          <w:szCs w:val="28"/>
          <w:rtl w:val="true"/>
          <w:lang w:bidi="ar-SA"/>
        </w:rPr>
        <w:t>إيجابَها للنصِّ أن يَفعَلَ مِثلَ ما فَعَلناه أو قَريباً منه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لأحَدٍ أن يَتطرَّقَ‌</w:t>
      </w:r>
      <w:r>
        <w:rPr>
          <w:rStyle w:val="FootnoteAnchor"/>
          <w:rtl w:val="true"/>
        </w:rPr>
        <w:footnoteReference w:id="1770"/>
      </w:r>
      <w:r>
        <w:rPr>
          <w:rFonts w:ascii="Amiri" w:hAnsi="Amiri" w:eastAsia="Amiri" w:cs="Amiri"/>
          <w:color w:val="111111"/>
          <w:sz w:val="28"/>
          <w:sz w:val="28"/>
          <w:szCs w:val="28"/>
          <w:rtl w:val="true"/>
          <w:lang w:bidi="ar-SA"/>
        </w:rPr>
        <w:t xml:space="preserve">إلىٰ إبطالِ ما ذَكرناه مِن التأويلاتِ ؛ بأن يَدَّعيَ أنّ الناسَ في هذه الأخبارِ بَينَ مُنكِرٍ، و مُتقبِّلٍ ؛ فالمُنكِرُ لا تأويلَ له، و المُتقبِّلُ يَحمِلُها علَى النصِّ ، و يَدفَعُ سائرَ التأويلاتِ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هذا القولَ يَدُلُّ علىٰ غَفلةٍ شديدةٍ مِن قائلِه أو مُغالَطةٍ </w:t>
      </w:r>
      <w:r>
        <w:rPr>
          <w:rStyle w:val="FootnoteAnchor"/>
          <w:rtl w:val="true"/>
        </w:rPr>
        <w:footnoteReference w:id="1771"/>
      </w:r>
      <w:r>
        <w:rPr>
          <w:rFonts w:ascii="Amiri" w:hAnsi="Amiri" w:eastAsia="Amiri" w:cs="Amiri"/>
          <w:color w:val="111111"/>
          <w:sz w:val="28"/>
          <w:sz w:val="28"/>
          <w:szCs w:val="28"/>
          <w:rtl w:val="true"/>
          <w:lang w:bidi="ar-SA"/>
        </w:rPr>
        <w:t>و كَيفَ يَكونُ ادعّاؤه</w:t>
      </w:r>
      <w:r>
        <w:rPr>
          <w:rStyle w:val="FootnoteAnchor"/>
          <w:rtl w:val="true"/>
        </w:rPr>
        <w:footnoteReference w:id="1772"/>
      </w:r>
      <w:r>
        <w:rPr>
          <w:rFonts w:ascii="Amiri" w:hAnsi="Amiri" w:eastAsia="Amiri" w:cs="Amiri"/>
          <w:color w:val="111111"/>
          <w:sz w:val="28"/>
          <w:sz w:val="28"/>
          <w:szCs w:val="28"/>
          <w:rtl w:val="true"/>
          <w:lang w:bidi="ar-SA"/>
        </w:rPr>
        <w:t xml:space="preserve">صحيحاً و نَحنُ نَعلَمُ أنّ كُلَّ مَن أثبَتَ إمامةَ أبي بَكرٍ مِن طريقِ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أضعافُ مَن أثَبَتها مِن طريقِ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يَتَقَبَّلونَ </w:t>
      </w:r>
      <w:r>
        <w:rPr>
          <w:rStyle w:val="FootnoteAnchor"/>
          <w:rtl w:val="true"/>
        </w:rPr>
        <w:footnoteReference w:id="1773"/>
      </w:r>
      <w:r>
        <w:rPr>
          <w:rFonts w:ascii="Amiri" w:hAnsi="Amiri" w:eastAsia="Amiri" w:cs="Amiri"/>
          <w:color w:val="111111"/>
          <w:sz w:val="28"/>
          <w:sz w:val="28"/>
          <w:szCs w:val="28"/>
          <w:rtl w:val="true"/>
          <w:lang w:bidi="ar-SA"/>
        </w:rPr>
        <w:t>هذه الأخبارَ مِن غيرِ أن يَعتَقِدوا فيها دَلالةً علىٰ نصٍّ عليه ؟</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شَيخُنا أبو الهُذَيلِ </w:t>
      </w:r>
      <w:r>
        <w:rPr>
          <w:rStyle w:val="FootnoteAnchor"/>
          <w:rtl w:val="true"/>
        </w:rPr>
        <w:footnoteReference w:id="1774"/>
      </w:r>
      <w:r>
        <w:rPr>
          <w:rFonts w:ascii="Amiri" w:hAnsi="Amiri" w:eastAsia="Amiri" w:cs="Amiri"/>
          <w:color w:val="111111"/>
          <w:sz w:val="28"/>
          <w:sz w:val="28"/>
          <w:szCs w:val="28"/>
          <w:rtl w:val="true"/>
          <w:lang w:bidi="ar-SA"/>
        </w:rPr>
        <w:t>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صَحَّ لَكانَ المُرادُ به الموالاةَ في الدينِ ، و ذَكَرَ أنّ بعضَ أهلِ العِلمِ </w:t>
      </w:r>
      <w:r>
        <w:rPr>
          <w:rStyle w:val="FootnoteAnchor"/>
          <w:rtl w:val="true"/>
        </w:rPr>
        <w:footnoteReference w:id="1775"/>
      </w:r>
      <w:r>
        <w:rPr>
          <w:rFonts w:ascii="Amiri" w:hAnsi="Amiri" w:eastAsia="Amiri" w:cs="Amiri"/>
          <w:color w:val="111111"/>
          <w:sz w:val="28"/>
          <w:sz w:val="28"/>
          <w:szCs w:val="28"/>
          <w:rtl w:val="true"/>
          <w:lang w:bidi="ar-SA"/>
        </w:rPr>
        <w:t>حَمَلَه علىٰ أنّ قوماً نَقَموا علىٰ عليٍّ عليه السلامُ بعضَ أُمورِه، فظَهَرَت مُقالاتُهم له</w:t>
      </w:r>
      <w:r>
        <w:rPr>
          <w:rStyle w:val="FootnoteAnchor"/>
          <w:rtl w:val="true"/>
        </w:rPr>
        <w:footnoteReference w:id="1776"/>
      </w:r>
      <w:r>
        <w:rPr>
          <w:rFonts w:ascii="Amiri" w:hAnsi="Amiri" w:eastAsia="Amiri" w:cs="Amiri"/>
          <w:color w:val="111111"/>
          <w:sz w:val="28"/>
          <w:sz w:val="28"/>
          <w:szCs w:val="28"/>
          <w:rtl w:val="true"/>
          <w:lang w:bidi="ar-SA"/>
        </w:rPr>
        <w:t>و قولُهم فيه، فأخبَرَ عليه السلامُ بما يَدُلُّ علىٰ مَنزِلتِه و وَلايتِه؛ دافعاً لهم</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عمّا خافَ فيه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بعضُهم في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وَقَعَ بَينَ أميرِ المؤمنينَ عليه السلامُ و بَينَ أُسامةَ بنِ زَيدٍ كلامٌ‌، 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تَقولُ‌</w:t>
      </w:r>
    </w:p>
    <w:p>
      <w:pPr>
        <w:pStyle w:val="BookText"/>
        <w:rPr/>
      </w:pPr>
      <w:r>
        <w:rPr>
          <w:rFonts w:ascii="Amiri" w:hAnsi="Amiri" w:eastAsia="Amiri" w:cs="Amiri"/>
          <w:color w:val="111111"/>
          <w:sz w:val="28"/>
          <w:sz w:val="28"/>
          <w:szCs w:val="28"/>
          <w:rtl w:val="true"/>
          <w:lang w:bidi="ar-SA"/>
        </w:rPr>
        <w:t>هذا لِمَولاكَ؟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مَولايَ‌، و إنّما مَولايَ رَسولُ اللّٰهِ‌، فقالَ رسولُ اللّٰهِ صَلّى اللّٰهُ عليه</w:t>
      </w:r>
      <w:r>
        <w:rPr>
          <w:rStyle w:val="FootnoteAnchor"/>
          <w:rtl w:val="true"/>
        </w:rPr>
        <w:footnoteReference w:id="17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قَطعَ ما كانَ مِن أُسامةَ و بَيانَ‌</w:t>
      </w:r>
      <w:r>
        <w:rPr>
          <w:rStyle w:val="FootnoteAnchor"/>
          <w:rtl w:val="true"/>
        </w:rPr>
        <w:footnoteReference w:id="1779"/>
      </w:r>
      <w:r>
        <w:rPr>
          <w:rFonts w:ascii="Amiri" w:hAnsi="Amiri" w:eastAsia="Amiri" w:cs="Amiri"/>
          <w:color w:val="111111"/>
          <w:sz w:val="28"/>
          <w:sz w:val="28"/>
          <w:szCs w:val="28"/>
          <w:rtl w:val="true"/>
          <w:lang w:bidi="ar-SA"/>
        </w:rPr>
        <w:t>أنّه بمَنزِلتِه في كَونِه مَولىً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مِثلَ ذلكَ في زَيدِ بنِ حارثةَ ، و أنكَروا</w:t>
      </w:r>
      <w:r>
        <w:rPr>
          <w:rStyle w:val="FootnoteAnchor"/>
          <w:rtl w:val="true"/>
        </w:rPr>
        <w:footnoteReference w:id="1780"/>
      </w:r>
      <w:r>
        <w:rPr>
          <w:rFonts w:ascii="Amiri" w:hAnsi="Amiri" w:eastAsia="Amiri" w:cs="Amiri"/>
          <w:color w:val="111111"/>
          <w:sz w:val="28"/>
          <w:sz w:val="28"/>
          <w:szCs w:val="28"/>
          <w:rtl w:val="true"/>
          <w:lang w:bidi="ar-SA"/>
        </w:rPr>
        <w:t>أنّ خبرَ الغَديرِ بَعدَ مَوتِه</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المُعتَمَدُ في معنَى الخبرِ علىٰ </w:t>
      </w:r>
      <w:r>
        <w:rPr>
          <w:rStyle w:val="FootnoteAnchor"/>
          <w:rtl w:val="true"/>
        </w:rPr>
        <w:footnoteReference w:id="1782"/>
      </w:r>
      <w:r>
        <w:rPr>
          <w:rFonts w:ascii="Amiri" w:hAnsi="Amiri" w:eastAsia="Amiri" w:cs="Amiri"/>
          <w:color w:val="111111"/>
          <w:sz w:val="28"/>
          <w:sz w:val="28"/>
          <w:szCs w:val="28"/>
          <w:rtl w:val="true"/>
          <w:lang w:bidi="ar-SA"/>
        </w:rPr>
        <w:t xml:space="preserve">ما قَدَّمناه؛ لأنّ كُلَّ ذلكَ لَو صَحَّ و كانَ الخبرُ خارجاً، فلَم يَمنَعْ </w:t>
      </w:r>
      <w:r>
        <w:rPr>
          <w:rStyle w:val="FootnoteAnchor"/>
          <w:rtl w:val="true"/>
        </w:rPr>
        <w:footnoteReference w:id="1783"/>
      </w:r>
      <w:r>
        <w:rPr>
          <w:rFonts w:ascii="Amiri" w:hAnsi="Amiri" w:eastAsia="Amiri" w:cs="Amiri"/>
          <w:color w:val="111111"/>
          <w:sz w:val="28"/>
          <w:sz w:val="28"/>
          <w:szCs w:val="28"/>
          <w:rtl w:val="true"/>
          <w:lang w:bidi="ar-SA"/>
        </w:rPr>
        <w:t>مِن التعَلُّقِ بظاهرِه و ما يَقتَضيهِ لفظُه</w:t>
      </w:r>
      <w:r>
        <w:rPr>
          <w:rStyle w:val="FootnoteAnchor"/>
          <w:rtl w:val="true"/>
        </w:rPr>
        <w:footnoteReference w:id="1784"/>
      </w:r>
      <w:r>
        <w:rPr>
          <w:rFonts w:ascii="Amiri" w:hAnsi="Amiri" w:eastAsia="Amiri" w:cs="Amiri"/>
          <w:color w:val="111111"/>
          <w:sz w:val="28"/>
          <w:sz w:val="28"/>
          <w:szCs w:val="28"/>
          <w:rtl w:val="true"/>
          <w:lang w:bidi="ar-SA"/>
        </w:rPr>
        <w:t>فيَجِبُ أن يَكونَ الكلامُ في ذلكَ ، دونَ بيانِ السبَبِ الذي وجودُه كعَدَمِه، في أنّ وجودَ الاستدلالِ بالخبرِ لا يَتغيَّرُ</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يُبطِلُ ما حَكَيتَه عن أبي الهُذَيلِ فهو جميعُ ما تَقدَّمَ مِن كلامِنا</w:t>
      </w:r>
      <w:r>
        <w:rPr>
          <w:rFonts w:eastAsia="Amiri" w:cs="Amiri" w:ascii="Amiri" w:hAnsi="Amiri"/>
          <w:color w:val="111111"/>
          <w:sz w:val="28"/>
          <w:szCs w:val="28"/>
          <w:rtl w:val="true"/>
          <w:lang w:bidi="ar-SA"/>
        </w:rPr>
        <w:t xml:space="preserve">. </w:t>
      </w:r>
      <w:bookmarkStart w:id="337" w:name="pg20017_202558"/>
    </w:p>
    <w:p>
      <w:pPr>
        <w:pStyle w:val="Heading6"/>
        <w:numPr>
          <w:ilvl w:val="5"/>
          <w:numId w:val="1"/>
        </w:numPr>
        <w:rPr/>
      </w:pPr>
      <w:bookmarkStart w:id="338" w:name="__RefHeading___Toc964233_2320776876"/>
      <w:bookmarkStart w:id="339" w:name="_Toc120"/>
      <w:bookmarkEnd w:id="337"/>
      <w:bookmarkEnd w:id="338"/>
      <w:r>
        <w:rPr>
          <w:rtl w:val="true"/>
        </w:rPr>
        <w:t>نفي أن يكون حديث الغدير صادراً نتيجة منازعة مع زيد بن حارثة أو ابنه أُسامة</w:t>
      </w:r>
      <w:bookmarkEnd w:id="339"/>
    </w:p>
    <w:p>
      <w:pPr>
        <w:pStyle w:val="BookText"/>
        <w:rPr/>
      </w:pPr>
      <w:r>
        <w:rPr>
          <w:rFonts w:ascii="Amiri" w:hAnsi="Amiri" w:eastAsia="Amiri" w:cs="Amiri"/>
          <w:color w:val="111111"/>
          <w:sz w:val="28"/>
          <w:sz w:val="28"/>
          <w:szCs w:val="28"/>
          <w:rtl w:val="true"/>
          <w:lang w:bidi="ar-SA"/>
        </w:rPr>
        <w:t>فأمّا التعلُّقُ بذِكرِ السبَبِ و ما ادُّعيَ مِن مُلاحاةِ زَيدِ بنِ حارثةَ أو أُسامةَ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يُفسِدُه</w:t>
      </w:r>
      <w:r>
        <w:rPr>
          <w:rStyle w:val="FootnoteAnchor"/>
          <w:rtl w:val="true"/>
        </w:rPr>
        <w:footnoteReference w:id="1787"/>
      </w:r>
      <w:r>
        <w:rPr>
          <w:rFonts w:ascii="Amiri" w:hAnsi="Amiri" w:eastAsia="Amiri" w:cs="Amiri"/>
          <w:color w:val="111111"/>
          <w:sz w:val="28"/>
          <w:sz w:val="28"/>
          <w:szCs w:val="28"/>
          <w:rtl w:val="true"/>
          <w:lang w:bidi="ar-SA"/>
        </w:rPr>
        <w:t>ما قَدَّمناه أيضاً مِن اقتضاءِ الكلامِ لمعنَى الإمامةِ ، و أنّ صَرفَه عن معناها</w:t>
      </w:r>
      <w:r>
        <w:rPr>
          <w:rStyle w:val="FootnoteAnchor"/>
          <w:rtl w:val="true"/>
        </w:rPr>
        <w:footnoteReference w:id="1788"/>
      </w:r>
      <w:r>
        <w:rPr>
          <w:rFonts w:ascii="Amiri" w:hAnsi="Amiri" w:eastAsia="Amiri" w:cs="Amiri"/>
          <w:color w:val="111111"/>
          <w:sz w:val="28"/>
          <w:sz w:val="28"/>
          <w:szCs w:val="28"/>
          <w:rtl w:val="true"/>
          <w:lang w:bidi="ar-SA"/>
        </w:rPr>
        <w:t xml:space="preserve">يُخرِجُه عن حَدِّ الحِكمةِ </w:t>
      </w:r>
      <w:r>
        <w:rPr>
          <w:rFonts w:eastAsia="Amiri" w:cs="Amiri" w:ascii="Amiri" w:hAnsi="Amiri"/>
          <w:color w:val="111111"/>
          <w:sz w:val="28"/>
          <w:szCs w:val="28"/>
          <w:rtl w:val="true"/>
          <w:lang w:bidi="ar-SA"/>
        </w:rPr>
        <w:t>.</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و قد ذَكَرَ أصحابُنا في ذلكَ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حارثةَ قُتِلَ بمُؤتةَ‌</w:t>
      </w:r>
      <w:r>
        <w:rPr>
          <w:rStyle w:val="FootnoteAnchor"/>
          <w:rtl w:val="true"/>
        </w:rPr>
        <w:footnoteReference w:id="1790"/>
      </w:r>
      <w:r>
        <w:rPr>
          <w:rFonts w:ascii="Amiri" w:hAnsi="Amiri" w:eastAsia="Amiri" w:cs="Amiri"/>
          <w:color w:val="111111"/>
          <w:sz w:val="28"/>
          <w:sz w:val="28"/>
          <w:szCs w:val="28"/>
          <w:rtl w:val="true"/>
          <w:lang w:bidi="ar-SA"/>
        </w:rPr>
        <w:t>، و خبرُ الغَديرِ كانَ بَعدَ مُنصَرَفِ النبيِّ صَلّى اللّٰهُ عليه و آلِه عن حجّةِ الوَداعِ ، و بَينَ الوقتَينِ زمانٌ طويلٌ ؛ فكَيفَ يُمكِنُ أن يَكونَ سببُه ما ادَّعَوه ؟ و هذا الوجهُ أيضاً يَختَصُّ بذِكرِ زَيدِ بنِ حارثةَ ، و ما تَقَدَّمَ و تأخَّرَ مِن الوجوهِ يَعُمُّ التعَلُّقَ بزَيدٍ و أُسامةَ ابنِه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أسبابَ الأخبارِ</w:t>
      </w:r>
      <w:r>
        <w:rPr>
          <w:rStyle w:val="FootnoteAnchor"/>
          <w:rtl w:val="true"/>
        </w:rPr>
        <w:footnoteReference w:id="1791"/>
      </w:r>
      <w:r>
        <w:rPr>
          <w:rFonts w:ascii="Amiri" w:hAnsi="Amiri" w:eastAsia="Amiri" w:cs="Amiri"/>
          <w:color w:val="111111"/>
          <w:sz w:val="28"/>
          <w:sz w:val="28"/>
          <w:szCs w:val="28"/>
          <w:rtl w:val="true"/>
          <w:lang w:bidi="ar-SA"/>
        </w:rPr>
        <w:t>يَجِبُ الرجوعُ فيها إلَى النَّقلِ كالرجوعِ في نفسِ الأخبارِ، و لا يَحسُنُ أن يُقتَصَرَ</w:t>
      </w:r>
      <w:r>
        <w:rPr>
          <w:rStyle w:val="FootnoteAnchor"/>
          <w:rtl w:val="true"/>
        </w:rPr>
        <w:footnoteReference w:id="1792"/>
      </w:r>
      <w:r>
        <w:rPr>
          <w:rFonts w:ascii="Amiri" w:hAnsi="Amiri" w:eastAsia="Amiri" w:cs="Amiri"/>
          <w:color w:val="111111"/>
          <w:sz w:val="28"/>
          <w:sz w:val="28"/>
          <w:szCs w:val="28"/>
          <w:rtl w:val="true"/>
          <w:lang w:bidi="ar-SA"/>
        </w:rPr>
        <w:t xml:space="preserve">فيها علَى الدَّعاوىٰ و الظُّنونِ ، و لَيسَ يُمكِنُ أحَداً </w:t>
      </w:r>
    </w:p>
    <w:p>
      <w:pPr>
        <w:pStyle w:val="BookText"/>
        <w:rPr/>
      </w:pPr>
      <w:r>
        <w:rPr>
          <w:rFonts w:ascii="Amiri" w:hAnsi="Amiri" w:eastAsia="Amiri" w:cs="Amiri"/>
          <w:color w:val="111111"/>
          <w:sz w:val="28"/>
          <w:sz w:val="28"/>
          <w:szCs w:val="28"/>
          <w:rtl w:val="true"/>
          <w:lang w:bidi="ar-SA"/>
        </w:rPr>
        <w:t>مِن الخُصومِ‌</w:t>
      </w:r>
      <w:r>
        <w:rPr>
          <w:rStyle w:val="FootnoteAnchor"/>
          <w:rtl w:val="true"/>
        </w:rPr>
        <w:footnoteReference w:id="1793"/>
      </w:r>
      <w:r>
        <w:rPr>
          <w:rFonts w:ascii="Amiri" w:hAnsi="Amiri" w:eastAsia="Amiri" w:cs="Amiri"/>
          <w:color w:val="111111"/>
          <w:sz w:val="28"/>
          <w:sz w:val="28"/>
          <w:szCs w:val="28"/>
          <w:rtl w:val="true"/>
          <w:lang w:bidi="ar-SA"/>
        </w:rPr>
        <w:t>أن يُسنِدَ ما يَدَّعيه مِن السبَبِ إلىٰ روايةٍ معروفةٍ و نَقلٍ مشهورٍ، و المِحنةُ بَينَنا و بَينَهم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أمكَنَهم علىٰ أصعَبِ الأُمورِ أن يَذكُروا روايةً في السبَبِ ، لَم يُمكِنِ </w:t>
      </w:r>
      <w:r>
        <w:rPr>
          <w:rStyle w:val="FootnoteAnchor"/>
          <w:rtl w:val="true"/>
        </w:rPr>
        <w:footnoteReference w:id="1794"/>
      </w:r>
      <w:r>
        <w:rPr>
          <w:rFonts w:ascii="Amiri" w:hAnsi="Amiri" w:eastAsia="Amiri" w:cs="Amiri"/>
          <w:color w:val="111111"/>
          <w:sz w:val="28"/>
          <w:sz w:val="28"/>
          <w:szCs w:val="28"/>
          <w:rtl w:val="true"/>
          <w:lang w:bidi="ar-SA"/>
        </w:rPr>
        <w:t>الإشارةُ فيه إلىٰ ما يوجِبُ العِلمَ و تَتلقّاه</w:t>
      </w:r>
      <w:r>
        <w:rPr>
          <w:rStyle w:val="FootnoteAnchor"/>
          <w:rtl w:val="true"/>
        </w:rPr>
        <w:footnoteReference w:id="1795"/>
      </w:r>
      <w:r>
        <w:rPr>
          <w:rFonts w:ascii="Amiri" w:hAnsi="Amiri" w:eastAsia="Amiri" w:cs="Amiri"/>
          <w:color w:val="111111"/>
          <w:sz w:val="28"/>
          <w:sz w:val="28"/>
          <w:szCs w:val="28"/>
          <w:rtl w:val="true"/>
          <w:lang w:bidi="ar-SA"/>
        </w:rPr>
        <w:t>الأُمّةُ بالقبولِ علَى الحَدِّ الذي ذَكرناه في خبرِ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أن نَحمِلَ تأويلَ الخبرِ الذي هذه صفته</w:t>
      </w:r>
      <w:r>
        <w:rPr>
          <w:rStyle w:val="FootnoteAnchor"/>
          <w:rtl w:val="true"/>
        </w:rPr>
        <w:footnoteReference w:id="1796"/>
      </w:r>
      <w:r>
        <w:rPr>
          <w:rFonts w:ascii="Amiri" w:hAnsi="Amiri" w:eastAsia="Amiri" w:cs="Amiri"/>
          <w:color w:val="111111"/>
          <w:sz w:val="28"/>
          <w:sz w:val="28"/>
          <w:szCs w:val="28"/>
          <w:rtl w:val="true"/>
          <w:lang w:bidi="ar-SA"/>
        </w:rPr>
        <w:t xml:space="preserve">علىٰ سببٍ </w:t>
      </w:r>
      <w:r>
        <w:rPr>
          <w:rStyle w:val="FootnoteAnchor"/>
          <w:rtl w:val="true"/>
        </w:rPr>
        <w:footnoteReference w:id="1797"/>
      </w:r>
      <w:r>
        <w:rPr>
          <w:rFonts w:ascii="Amiri" w:hAnsi="Amiri" w:eastAsia="Amiri" w:cs="Amiri"/>
          <w:color w:val="111111"/>
          <w:sz w:val="28"/>
          <w:sz w:val="28"/>
          <w:szCs w:val="28"/>
          <w:rtl w:val="true"/>
          <w:lang w:bidi="ar-SA"/>
        </w:rPr>
        <w:t xml:space="preserve">أحسَنُ أحوالِه أن يَكونَ ناقِلُه واحداً، لا يوجِبُ خبرُه عِلماً و لا يُثلِجُ </w:t>
      </w:r>
      <w:r>
        <w:rPr>
          <w:rStyle w:val="FootnoteAnchor"/>
          <w:rtl w:val="true"/>
        </w:rPr>
        <w:footnoteReference w:id="1798"/>
      </w:r>
      <w:r>
        <w:rPr>
          <w:rFonts w:ascii="Amiri" w:hAnsi="Amiri" w:eastAsia="Amiri" w:cs="Amiri"/>
          <w:color w:val="111111"/>
          <w:sz w:val="28"/>
          <w:sz w:val="28"/>
          <w:szCs w:val="28"/>
          <w:rtl w:val="true"/>
          <w:lang w:bidi="ar-SA"/>
        </w:rPr>
        <w:t>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يَدَّعونَه في السبَبِ لَو كانَ حَقّاً لَما حَسُنَ مِن أميرِ المؤمنينَ عليه السلامُ أن يَحتَجَّ به في الشورىٰ علَى القومِ في جُملةِ فضائلِه و مَناقِبِه، و ما خَصَّه اللّٰهُ تَعالىٰ به؛ لأنّ الأمرَ لَو كانَ علىٰ ما ذَكروه لَم يَكُن في الخبرِ شاهدٌ علىٰ فضلٍ ، و لا دَلالةٌ علىٰ تَقدُّمٍ ، و لَوَجَبَ أن يَقولَ له القومُ في جوابِ احتجاجِه</w:t>
      </w:r>
      <w:r>
        <w:rPr>
          <w:rStyle w:val="FootnoteAnchor"/>
          <w:rtl w:val="true"/>
        </w:rPr>
        <w:footnoteReference w:id="1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فَضيلةٍ لكَ بهذا الخبرِ علينا، و إنّما كانَ سببُه كَيتَ و كَيتَ ممّا</w:t>
      </w:r>
      <w:r>
        <w:rPr>
          <w:rStyle w:val="FootnoteAnchor"/>
          <w:rtl w:val="true"/>
        </w:rPr>
        <w:footnoteReference w:id="1800"/>
      </w:r>
      <w:r>
        <w:rPr>
          <w:rFonts w:ascii="Amiri" w:hAnsi="Amiri" w:eastAsia="Amiri" w:cs="Amiri"/>
          <w:color w:val="111111"/>
          <w:sz w:val="28"/>
          <w:sz w:val="28"/>
          <w:szCs w:val="28"/>
          <w:rtl w:val="true"/>
          <w:lang w:bidi="ar-SA"/>
        </w:rPr>
        <w:t xml:space="preserve">تَعلَمُه و نَعلَمُه ؟ و في احتجاجِه عليه السلامُ به و إضرابِهم عن رَدِّ الاحتجاجِ دَلالةٌ علىٰ بُطلانِ ما يَدَّعونَه مِن السبَبِ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لَو كانَ علىٰ ما ادَّعَوه في السبَبِ لَم يَكُن لقَولِ عُمَرَ بنِ الخَطّابِ في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تَظاهَرَت به الروايةُ </w:t>
      </w:r>
      <w:r>
        <w:rPr>
          <w:rStyle w:val="FootnoteAnchor"/>
          <w:rtl w:val="true"/>
        </w:rPr>
        <w:footnoteReference w:id="1801"/>
      </w:r>
      <w:r>
        <w:rPr>
          <w:rFonts w:ascii="Amiri" w:hAnsi="Amiri" w:eastAsia="Amiri" w:cs="Amiri"/>
          <w:color w:val="111111"/>
          <w:sz w:val="28"/>
          <w:sz w:val="28"/>
          <w:szCs w:val="28"/>
          <w:rtl w:val="true"/>
          <w:lang w:bidi="ar-SA"/>
        </w:rPr>
        <w:t xml:space="preserve">الصحيحةُ </w:t>
      </w:r>
      <w:r>
        <w:rPr>
          <w:rStyle w:val="FootnoteAnchor"/>
          <w:rtl w:val="true"/>
        </w:rPr>
        <w:footnoteReference w:id="18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أصبَحتَ مَولايَ </w:t>
      </w:r>
    </w:p>
    <w:p>
      <w:pPr>
        <w:pStyle w:val="BookText"/>
        <w:rPr/>
      </w:pPr>
      <w:r>
        <w:rPr>
          <w:rFonts w:ascii="Amiri" w:hAnsi="Amiri" w:eastAsia="Amiri" w:cs="Amiri"/>
          <w:color w:val="111111"/>
          <w:sz w:val="28"/>
          <w:sz w:val="28"/>
          <w:szCs w:val="28"/>
          <w:rtl w:val="true"/>
          <w:lang w:bidi="ar-SA"/>
        </w:rPr>
        <w:t>و مَولىٰ كُلِّ مؤمنٍ و مؤمنةٍ‌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 لأنّ عُمَرَ لَم يَكُن مَولَى الرسولِ </w:t>
      </w:r>
      <w:r>
        <w:rPr>
          <w:rStyle w:val="FootnoteAnchor"/>
          <w:rtl w:val="true"/>
        </w:rPr>
        <w:footnoteReference w:id="1803"/>
      </w:r>
      <w:r>
        <w:rPr>
          <w:rFonts w:ascii="Amiri" w:hAnsi="Amiri" w:eastAsia="Amiri" w:cs="Amiri"/>
          <w:color w:val="111111"/>
          <w:sz w:val="28"/>
          <w:sz w:val="28"/>
          <w:szCs w:val="28"/>
          <w:rtl w:val="true"/>
          <w:lang w:bidi="ar-SA"/>
        </w:rPr>
        <w:t xml:space="preserve">صَلّى اللّٰهُ عليه و آلِه مِن جهةِ وَلاءِ العِتقِ ، و لا جماعةُ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أو أُسامةَ ابنَه</w:t>
      </w:r>
      <w:r>
        <w:rPr>
          <w:rStyle w:val="FootnoteAnchor"/>
          <w:rtl w:val="true"/>
        </w:rPr>
        <w:footnoteReference w:id="1804"/>
      </w:r>
      <w:r>
        <w:rPr>
          <w:rFonts w:ascii="Amiri" w:hAnsi="Amiri" w:eastAsia="Amiri" w:cs="Amiri"/>
          <w:color w:val="111111"/>
          <w:sz w:val="28"/>
          <w:sz w:val="28"/>
          <w:szCs w:val="28"/>
          <w:rtl w:val="true"/>
          <w:lang w:bidi="ar-SA"/>
        </w:rPr>
        <w:t>لَم يَكُن بالذي</w:t>
      </w:r>
      <w:r>
        <w:rPr>
          <w:rStyle w:val="FootnoteAnchor"/>
          <w:rtl w:val="true"/>
        </w:rPr>
        <w:footnoteReference w:id="1805"/>
      </w:r>
      <w:r>
        <w:rPr>
          <w:rFonts w:ascii="Amiri" w:hAnsi="Amiri" w:eastAsia="Amiri" w:cs="Amiri"/>
          <w:color w:val="111111"/>
          <w:sz w:val="28"/>
          <w:sz w:val="28"/>
          <w:szCs w:val="28"/>
          <w:rtl w:val="true"/>
          <w:lang w:bidi="ar-SA"/>
        </w:rPr>
        <w:t>يَخفىٰ عليه أنّ وَلاءَ العِتقِ يَرجِعُ إلىٰ بَني العَمِّ فيُنكِرَه، و لَيسَ‌</w:t>
      </w:r>
      <w:r>
        <w:rPr>
          <w:rStyle w:val="FootnoteAnchor"/>
          <w:rtl w:val="true"/>
        </w:rPr>
        <w:footnoteReference w:id="1806"/>
      </w:r>
      <w:r>
        <w:rPr>
          <w:rFonts w:ascii="Amiri" w:hAnsi="Amiri" w:eastAsia="Amiri" w:cs="Amiri"/>
          <w:color w:val="111111"/>
          <w:sz w:val="28"/>
          <w:sz w:val="28"/>
          <w:szCs w:val="28"/>
          <w:rtl w:val="true"/>
          <w:lang w:bidi="ar-SA"/>
        </w:rPr>
        <w:t>مَنزِلتُه مَنزِلةَ مَن يَستَحسِنُ‌</w:t>
      </w:r>
      <w:r>
        <w:rPr>
          <w:rStyle w:val="FootnoteAnchor"/>
          <w:rtl w:val="true"/>
        </w:rPr>
        <w:footnoteReference w:id="1807"/>
      </w:r>
      <w:r>
        <w:rPr>
          <w:rFonts w:ascii="Amiri" w:hAnsi="Amiri" w:eastAsia="Amiri" w:cs="Amiri"/>
          <w:color w:val="111111"/>
          <w:sz w:val="28"/>
          <w:sz w:val="28"/>
          <w:szCs w:val="28"/>
          <w:rtl w:val="true"/>
          <w:lang w:bidi="ar-SA"/>
        </w:rPr>
        <w:t xml:space="preserve">أن يُكابِرَ فيما يَجري هذا المَجرىٰ ، و لَو خَفيَ عليه لَما احتَمَلَ شَكُّه فيه ذلكَ الإنكارَ البليغَ مِن النبيِّ صَلّى اللّٰهُ عليه و آلِه الذي جَمَعَ </w:t>
      </w:r>
      <w:r>
        <w:rPr>
          <w:rStyle w:val="FootnoteAnchor"/>
          <w:rtl w:val="true"/>
        </w:rPr>
        <w:footnoteReference w:id="1808"/>
      </w:r>
      <w:r>
        <w:rPr>
          <w:rFonts w:ascii="Amiri" w:hAnsi="Amiri" w:eastAsia="Amiri" w:cs="Amiri"/>
          <w:color w:val="111111"/>
          <w:sz w:val="28"/>
          <w:sz w:val="28"/>
          <w:szCs w:val="28"/>
          <w:rtl w:val="true"/>
          <w:lang w:bidi="ar-SA"/>
        </w:rPr>
        <w:t xml:space="preserve">له الناسَ في وقتٍ ضيِّقٍ ، و قَدَّمَ فيه مِن التقريرِ و التأكيدِ ما 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لَو كانَ صحيحاً لَم يَكُن طاعناً علىٰ تأويلِنا؛ لأنّه لا يَمتَنِعُ أن يُريدَ النبيُّ صَلّى اللّٰهُ عليه و آلِه ما ذَهَبنا إليه مع ما يَقتَضيهِ السببُ مِن وَلاءِ </w:t>
      </w:r>
      <w:r>
        <w:rPr>
          <w:rStyle w:val="FootnoteAnchor"/>
          <w:rtl w:val="true"/>
        </w:rPr>
        <w:footnoteReference w:id="1809"/>
      </w:r>
      <w:r>
        <w:rPr>
          <w:rFonts w:ascii="Amiri" w:hAnsi="Amiri" w:eastAsia="Amiri" w:cs="Amiri"/>
          <w:color w:val="111111"/>
          <w:sz w:val="28"/>
          <w:sz w:val="28"/>
          <w:szCs w:val="28"/>
          <w:rtl w:val="true"/>
          <w:lang w:bidi="ar-SA"/>
        </w:rPr>
        <w:t>العِتقِ ، و إنّما يَكونُ السببُ طاعناً لَو كانَ حَملُ الخبرِ علىٰ موجَبِه</w:t>
      </w:r>
      <w:r>
        <w:rPr>
          <w:rStyle w:val="FootnoteAnchor"/>
          <w:rtl w:val="true"/>
        </w:rPr>
        <w:footnoteReference w:id="1810"/>
      </w:r>
      <w:r>
        <w:rPr>
          <w:rFonts w:ascii="Amiri" w:hAnsi="Amiri" w:eastAsia="Amiri" w:cs="Amiri"/>
          <w:color w:val="111111"/>
          <w:sz w:val="28"/>
          <w:sz w:val="28"/>
          <w:szCs w:val="28"/>
          <w:rtl w:val="true"/>
          <w:lang w:bidi="ar-SA"/>
        </w:rPr>
        <w:t>يُنافي تأويلَنا، و أكثَرُ ما تَقتَضيه</w:t>
      </w:r>
      <w:r>
        <w:rPr>
          <w:rStyle w:val="FootnoteAnchor"/>
          <w:rtl w:val="true"/>
        </w:rPr>
        <w:footnoteReference w:id="1811"/>
      </w:r>
      <w:r>
        <w:rPr>
          <w:rFonts w:ascii="Amiri" w:hAnsi="Amiri" w:eastAsia="Amiri" w:cs="Amiri"/>
          <w:color w:val="111111"/>
          <w:sz w:val="28"/>
          <w:sz w:val="28"/>
          <w:szCs w:val="28"/>
          <w:rtl w:val="true"/>
          <w:lang w:bidi="ar-SA"/>
        </w:rPr>
        <w:t xml:space="preserve">الأسبابُ أن يُجعَلَ </w:t>
      </w:r>
      <w:r>
        <w:rPr>
          <w:rStyle w:val="FootnoteAnchor"/>
          <w:rtl w:val="true"/>
        </w:rPr>
        <w:footnoteReference w:id="1812"/>
      </w:r>
      <w:r>
        <w:rPr>
          <w:rFonts w:ascii="Amiri" w:hAnsi="Amiri" w:eastAsia="Amiri" w:cs="Amiri"/>
          <w:color w:val="111111"/>
          <w:sz w:val="28"/>
          <w:sz w:val="28"/>
          <w:szCs w:val="28"/>
          <w:rtl w:val="true"/>
          <w:lang w:bidi="ar-SA"/>
        </w:rPr>
        <w:t xml:space="preserve">الكلامُ الخارجُ عليها مُطابِقاً لها، فأمّا أن لا يَتعدّاها فغَيرُ واجبٍ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النبيِّ صَلّى اللّٰهُ عليه و آلِه يَجِبُ أن يُحمَلَ علىٰ ما يَكونُ مُفيداً </w:t>
      </w:r>
    </w:p>
    <w:p>
      <w:pPr>
        <w:pStyle w:val="BookText"/>
        <w:rPr/>
      </w:pPr>
      <w:r>
        <w:rPr>
          <w:rFonts w:ascii="Amiri" w:hAnsi="Amiri" w:eastAsia="Amiri" w:cs="Amiri"/>
          <w:color w:val="111111"/>
          <w:sz w:val="28"/>
          <w:sz w:val="28"/>
          <w:szCs w:val="28"/>
          <w:rtl w:val="true"/>
          <w:lang w:bidi="ar-SA"/>
        </w:rPr>
        <w:t>عليه</w:t>
      </w:r>
      <w:r>
        <w:rPr>
          <w:rStyle w:val="FootnoteAnchor"/>
          <w:rtl w:val="true"/>
        </w:rPr>
        <w:footnoteReference w:id="1813"/>
      </w:r>
      <w:r>
        <w:rPr>
          <w:rFonts w:ascii="Amiri" w:hAnsi="Amiri" w:eastAsia="Amiri" w:cs="Amiri"/>
          <w:color w:val="111111"/>
          <w:sz w:val="28"/>
          <w:sz w:val="28"/>
          <w:szCs w:val="28"/>
          <w:rtl w:val="true"/>
          <w:lang w:bidi="ar-SA"/>
        </w:rPr>
        <w:t xml:space="preserve">، ثُمَّ علىٰ ما يَكونُ أدخَلَ في الفائدةِ ؛ لأنّه صَلّى اللّٰهُ عليه و آلِه أحكَمُ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هذا واجباً، لَم يَحسُنْ أن يُحمَلَ خبرُ الغَديرِ علىٰ ما ادَّعَوه؛ لأنّه إذا حُمِلَ عليه لَم يُفِدْ؛ مِن قِبَلِ أنّه معلومٌ لكُلِّ أحَدٍ عِلماً لا يُخالِجُ فيه الشكُّ أنّ وَلاءَ العِتقِ لبَني العَمِّ </w:t>
      </w:r>
      <w:r>
        <w:rPr>
          <w:rFonts w:eastAsia="Amiri" w:cs="Amiri" w:ascii="Amiri" w:hAnsi="Amiri"/>
          <w:color w:val="111111"/>
          <w:sz w:val="28"/>
          <w:szCs w:val="28"/>
          <w:rtl w:val="true"/>
          <w:lang w:bidi="ar-SA"/>
        </w:rPr>
        <w:t>.</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قالَ صاحبُ الكتابِ‌ بَعدَ كلامٍ قد تَقدَّمَ كلامُنا عليه</w:t>
      </w:r>
      <w:r>
        <w:rPr>
          <w:rFonts w:eastAsia="Amiri" w:cs="Amiri" w:ascii="Amiri" w:hAnsi="Amiri"/>
          <w:color w:val="111111"/>
          <w:sz w:val="28"/>
          <w:szCs w:val="28"/>
          <w:rtl w:val="true"/>
          <w:lang w:bidi="ar-SA"/>
        </w:rPr>
        <w:t>:</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و أمّا مَن استَدَلَّ‌</w:t>
      </w:r>
      <w:r>
        <w:rPr>
          <w:rStyle w:val="FootnoteAnchor"/>
          <w:rtl w:val="true"/>
        </w:rPr>
        <w:footnoteReference w:id="1816"/>
      </w:r>
      <w:r>
        <w:rPr>
          <w:rFonts w:ascii="Amiri" w:hAnsi="Amiri" w:eastAsia="Amiri" w:cs="Amiri"/>
          <w:color w:val="111111"/>
          <w:sz w:val="28"/>
          <w:sz w:val="28"/>
          <w:szCs w:val="28"/>
          <w:rtl w:val="true"/>
          <w:lang w:bidi="ar-SA"/>
        </w:rPr>
        <w:t>بأنْ ذَكَرَ القِسمةَ فيما يَحتَمِلُه</w:t>
      </w:r>
      <w:r>
        <w:rPr>
          <w:rStyle w:val="FootnoteAnchor"/>
          <w:rtl w:val="true"/>
        </w:rPr>
        <w:footnoteReference w:id="1817"/>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مِلكِ الرِّقِّ‌</w:t>
      </w:r>
      <w:r>
        <w:rPr>
          <w:rStyle w:val="FootnoteAnchor"/>
          <w:rtl w:val="true"/>
        </w:rPr>
        <w:footnoteReference w:id="1818"/>
      </w:r>
      <w:r>
        <w:rPr>
          <w:rFonts w:ascii="Amiri" w:hAnsi="Amiri" w:eastAsia="Amiri" w:cs="Amiri"/>
          <w:color w:val="111111"/>
          <w:sz w:val="28"/>
          <w:sz w:val="28"/>
          <w:szCs w:val="28"/>
          <w:rtl w:val="true"/>
          <w:lang w:bidi="ar-SA"/>
        </w:rPr>
        <w:t>، و المُعتِقِ‌، و المُعتَقِ‌</w:t>
      </w:r>
      <w:r>
        <w:rPr>
          <w:rStyle w:val="FootnoteAnchor"/>
          <w:rtl w:val="true"/>
        </w:rPr>
        <w:footnoteReference w:id="1819"/>
      </w:r>
      <w:r>
        <w:rPr>
          <w:rFonts w:ascii="Amiri" w:hAnsi="Amiri" w:eastAsia="Amiri" w:cs="Amiri"/>
          <w:color w:val="111111"/>
          <w:sz w:val="28"/>
          <w:sz w:val="28"/>
          <w:szCs w:val="28"/>
          <w:rtl w:val="true"/>
          <w:lang w:bidi="ar-SA"/>
        </w:rPr>
        <w:t xml:space="preserve">، و ابنِ العَمِّ‌، و 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أبطَلَ‌</w:t>
      </w:r>
      <w:r>
        <w:rPr>
          <w:rStyle w:val="FootnoteAnchor"/>
          <w:rtl w:val="true"/>
        </w:rPr>
        <w:footnoteReference w:id="1820"/>
      </w:r>
      <w:r>
        <w:rPr>
          <w:rFonts w:ascii="Amiri" w:hAnsi="Amiri" w:eastAsia="Amiri" w:cs="Amiri"/>
          <w:color w:val="111111"/>
          <w:sz w:val="28"/>
          <w:sz w:val="28"/>
          <w:szCs w:val="28"/>
          <w:rtl w:val="true"/>
          <w:lang w:bidi="ar-SA"/>
        </w:rPr>
        <w:t>كُلَّ ذلكَ‌، و زَعَمَ أنّه</w:t>
      </w:r>
      <w:r>
        <w:rPr>
          <w:rStyle w:val="FootnoteAnchor"/>
          <w:rtl w:val="true"/>
        </w:rPr>
        <w:footnoteReference w:id="1821"/>
      </w:r>
      <w:r>
        <w:rPr>
          <w:rFonts w:ascii="Amiri" w:hAnsi="Amiri" w:eastAsia="Amiri" w:cs="Amiri"/>
          <w:color w:val="111111"/>
          <w:sz w:val="28"/>
          <w:sz w:val="28"/>
          <w:szCs w:val="28"/>
          <w:rtl w:val="true"/>
          <w:lang w:bidi="ar-SA"/>
        </w:rPr>
        <w:t>لَيسَ بَعدَه إلّاالإمامةُ‌، فإنّه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أنّ‌</w:t>
      </w:r>
      <w:r>
        <w:rPr>
          <w:rStyle w:val="FootnoteAnchor"/>
          <w:rtl w:val="true"/>
        </w:rPr>
        <w:footnoteReference w:id="1822"/>
      </w:r>
      <w:r>
        <w:rPr>
          <w:rFonts w:ascii="IRNazanin" w:hAnsi="IRNazanin" w:eastAsia="IRNazanin"/>
          <w:color w:val="111111"/>
          <w:sz w:val="28"/>
          <w:sz w:val="28"/>
          <w:szCs w:val="28"/>
          <w:rtl w:val="true"/>
          <w:lang w:bidi="fa-IR"/>
        </w:rPr>
        <w:t>هذه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اللفظةَ تُفيدُ الإمامةَ في لُغةٍ أو شرعٍ أو تَعارُفٍ ليَتِمَّ لكَ إدخالُه في القِسمةِ؟ لأنّه إنّما يَدخُلُ في القِسمةِ ما يُفيدُه القولُ و يَحتَمِلُه،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w:t>
      </w:r>
      <w:r>
        <w:rPr>
          <w:rStyle w:val="FootnoteAnchor"/>
          <w:rtl w:val="true"/>
        </w:rPr>
        <w:footnoteReference w:id="1823"/>
      </w:r>
      <w:r>
        <w:rPr>
          <w:rFonts w:ascii="Amiri" w:hAnsi="Amiri" w:eastAsia="Amiri" w:cs="Amiri"/>
          <w:color w:val="111111"/>
          <w:sz w:val="28"/>
          <w:sz w:val="28"/>
          <w:szCs w:val="28"/>
          <w:rtl w:val="true"/>
          <w:lang w:bidi="ar-SA"/>
        </w:rPr>
        <w:t xml:space="preserve">الائتمامَ به و الاقتداءَ و وجوبَ الطاعةِ ،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w:t>
      </w:r>
      <w:r>
        <w:rPr>
          <w:rStyle w:val="FootnoteAnchor"/>
          <w:rtl w:val="true"/>
        </w:rPr>
        <w:footnoteReference w:id="1824"/>
      </w:r>
      <w:r>
        <w:rPr>
          <w:rFonts w:ascii="Amiri" w:hAnsi="Amiri" w:eastAsia="Amiri" w:cs="Amiri"/>
          <w:color w:val="111111"/>
          <w:sz w:val="28"/>
          <w:sz w:val="28"/>
          <w:szCs w:val="28"/>
          <w:rtl w:val="true"/>
          <w:lang w:bidi="ar-SA"/>
        </w:rPr>
        <w:t>علىٰ ذلكَ في التفصيلِ ، فيَجِبُ دخولُ الإمامةِ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Style w:val="FootnoteAnchor"/>
          <w:rtl w:val="true"/>
        </w:rPr>
        <w:footnoteReference w:id="1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أنّ وجوبَ الطاعةِ يُستَفادُ</w:t>
      </w:r>
      <w:r>
        <w:rPr>
          <w:rStyle w:val="FootnoteAnchor"/>
          <w:rtl w:val="true"/>
        </w:rPr>
        <w:footnoteReference w:id="1826"/>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لَستَ تَعلَمُ أنّ طاعةَ الوالدِ علَى الولدِ</w:t>
      </w:r>
      <w:r>
        <w:rPr>
          <w:rStyle w:val="FootnoteAnchor"/>
          <w:rtl w:val="true"/>
        </w:rPr>
        <w:footnoteReference w:id="1827"/>
      </w:r>
      <w:r>
        <w:rPr>
          <w:rFonts w:ascii="Amiri" w:hAnsi="Amiri" w:eastAsia="Amiri" w:cs="Amiri"/>
          <w:color w:val="111111"/>
          <w:sz w:val="28"/>
          <w:sz w:val="28"/>
          <w:szCs w:val="28"/>
          <w:rtl w:val="true"/>
          <w:lang w:bidi="ar-SA"/>
        </w:rPr>
        <w:t>واجبةٌ‌، و لا يُقالُ له</w:t>
      </w:r>
      <w:r>
        <w:rPr>
          <w:rStyle w:val="FootnoteAnchor"/>
          <w:rtl w:val="true"/>
        </w:rPr>
        <w:footnoteReference w:id="1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w:t>
      </w:r>
      <w:r>
        <w:rPr>
          <w:rStyle w:val="FootnoteAnchor"/>
          <w:rtl w:val="true"/>
        </w:rPr>
        <w:footnoteReference w:id="1829"/>
      </w:r>
      <w:r>
        <w:rPr>
          <w:rFonts w:ascii="Amiri" w:hAnsi="Amiri" w:eastAsia="Amiri" w:cs="Amiri"/>
          <w:color w:val="111111"/>
          <w:sz w:val="28"/>
          <w:sz w:val="28"/>
          <w:szCs w:val="28"/>
          <w:rtl w:val="true"/>
          <w:lang w:bidi="ar-SA"/>
        </w:rPr>
        <w:t>؟ و إذا مَلَكَ بعَقدِ الإجارةِ الأجيرَ يَلزَمُه طاعتُه</w:t>
      </w:r>
      <w:r>
        <w:rPr>
          <w:rStyle w:val="FootnoteAnchor"/>
          <w:rtl w:val="true"/>
        </w:rPr>
        <w:footnoteReference w:id="1830"/>
      </w:r>
      <w:r>
        <w:rPr>
          <w:rFonts w:ascii="Amiri" w:hAnsi="Amiri" w:eastAsia="Amiri" w:cs="Amiri"/>
          <w:color w:val="111111"/>
          <w:sz w:val="28"/>
          <w:sz w:val="28"/>
          <w:szCs w:val="28"/>
          <w:rtl w:val="true"/>
          <w:lang w:bidi="ar-SA"/>
        </w:rPr>
        <w:t>و لا يُقالُ ذلكَ فيه، و قد</w:t>
      </w:r>
      <w:r>
        <w:rPr>
          <w:rStyle w:val="FootnoteAnchor"/>
          <w:rtl w:val="true"/>
        </w:rPr>
        <w:footnoteReference w:id="1831"/>
      </w:r>
      <w:r>
        <w:rPr>
          <w:rFonts w:ascii="Amiri" w:hAnsi="Amiri" w:eastAsia="Amiri" w:cs="Amiri"/>
          <w:color w:val="111111"/>
          <w:sz w:val="28"/>
          <w:sz w:val="28"/>
          <w:szCs w:val="28"/>
          <w:rtl w:val="true"/>
          <w:lang w:bidi="ar-SA"/>
        </w:rPr>
        <w:t xml:space="preserve">استَعمَلَ أهلُ اللُّغةِ في الرئيسِ المُقدَّمِ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يَستَعمِلوا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إلّاإذا أرادوا به النُّصرةَ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أنّهم يَقولونَ في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مَولَى العَبدِ</w:t>
      </w:r>
      <w:r>
        <w:rPr>
          <w:rStyle w:val="FootnoteAnchor"/>
          <w:rtl w:val="true"/>
        </w:rPr>
        <w:footnoteReference w:id="1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مَلَكَ طاعتَه و لَزِمَه الانقيادُ له</w:t>
      </w:r>
      <w:r>
        <w:rPr>
          <w:rStyle w:val="FootnoteAnchor"/>
          <w:rtl w:val="true"/>
        </w:rPr>
        <w:footnoteReference w:id="1833"/>
      </w:r>
      <w:r>
        <w:rPr>
          <w:rFonts w:ascii="Amiri" w:hAnsi="Amiri" w:eastAsia="Amiri" w:cs="Amiri"/>
          <w:color w:val="111111"/>
          <w:sz w:val="28"/>
          <w:sz w:val="28"/>
          <w:szCs w:val="28"/>
          <w:rtl w:val="true"/>
          <w:lang w:bidi="ar-SA"/>
        </w:rPr>
        <w:t xml:space="preserve">، و ذلكَ قائمٌ في الإمامِ ، فوَجَبَ </w:t>
      </w:r>
      <w:r>
        <w:rPr>
          <w:rStyle w:val="FootnoteAnchor"/>
          <w:rtl w:val="true"/>
        </w:rPr>
        <w:footnoteReference w:id="1834"/>
      </w:r>
      <w:r>
        <w:rPr>
          <w:rFonts w:ascii="Amiri" w:hAnsi="Amiri" w:eastAsia="Amiri" w:cs="Amiri"/>
          <w:color w:val="111111"/>
          <w:sz w:val="28"/>
          <w:sz w:val="28"/>
          <w:szCs w:val="28"/>
          <w:rtl w:val="true"/>
          <w:lang w:bidi="ar-SA"/>
        </w:rPr>
        <w:t xml:space="preserve">أن يوصَفَ بذلكَ </w:t>
      </w:r>
      <w:r>
        <w:rPr>
          <w:rFonts w:eastAsia="Amiri" w:cs="Amiri" w:ascii="Amiri" w:hAnsi="Amiri"/>
          <w:color w:val="111111"/>
          <w:sz w:val="28"/>
          <w:szCs w:val="28"/>
          <w:rtl w:val="true"/>
          <w:lang w:bidi="ar-SA"/>
        </w:rPr>
        <w:t xml:space="preserve">. </w:t>
      </w:r>
      <w:bookmarkStart w:id="340" w:name="pg20017_202563"/>
    </w:p>
    <w:p>
      <w:pPr>
        <w:pStyle w:val="BookText"/>
        <w:rPr/>
      </w:pPr>
      <w:bookmarkEnd w:id="340"/>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يوصَفِ المَولىٰ بذلكَ لِما ذَكرتَه، و إنّما وُصِفَ </w:t>
      </w:r>
      <w:r>
        <w:rPr>
          <w:rStyle w:val="FootnoteAnchor"/>
          <w:rtl w:val="true"/>
        </w:rPr>
        <w:footnoteReference w:id="1835"/>
      </w:r>
      <w:r>
        <w:rPr>
          <w:rFonts w:ascii="Amiri" w:hAnsi="Amiri" w:eastAsia="Amiri" w:cs="Amiri"/>
          <w:color w:val="111111"/>
          <w:sz w:val="28"/>
          <w:sz w:val="28"/>
          <w:szCs w:val="28"/>
          <w:rtl w:val="true"/>
          <w:lang w:bidi="ar-SA"/>
        </w:rPr>
        <w:t xml:space="preserve">لأنّه يَملِكُ بَيعَه و شِراءَه، و التصرُّفَ فيه بحَسَبِ التصرُّفِ في المِلكِ ، و ذلكَ لا يَصِحُّ في الإمامِ </w:t>
      </w:r>
      <w:r>
        <w:rPr>
          <w:rFonts w:eastAsia="Amiri" w:cs="Amiri" w:ascii="Amiri" w:hAnsi="Amiri"/>
          <w:color w:val="111111"/>
          <w:sz w:val="28"/>
          <w:szCs w:val="28"/>
          <w:rtl w:val="true"/>
          <w:lang w:bidi="ar-SA"/>
        </w:rPr>
        <w:t>.</w:t>
      </w:r>
      <w:r>
        <w:rPr>
          <w:rStyle w:val="FootnoteAnchor"/>
          <w:rtl w:val="true"/>
        </w:rPr>
        <w:footnoteReference w:id="1836"/>
      </w:r>
    </w:p>
    <w:p>
      <w:pPr>
        <w:pStyle w:val="Heading6"/>
        <w:numPr>
          <w:ilvl w:val="5"/>
          <w:numId w:val="1"/>
        </w:numPr>
        <w:rPr/>
      </w:pPr>
      <w:bookmarkStart w:id="341" w:name="__RefHeading___Toc964235_2320776876"/>
      <w:bookmarkStart w:id="342" w:name="_Toc121"/>
      <w:bookmarkEnd w:id="341"/>
      <w:r>
        <w:rPr>
          <w:rtl w:val="true"/>
        </w:rPr>
        <w:t xml:space="preserve">دلالة لفظة </w:t>
      </w:r>
      <w:r>
        <w:rPr>
          <w:rtl w:val="true"/>
        </w:rPr>
        <w:t>«</w:t>
      </w:r>
      <w:r>
        <w:rPr>
          <w:rtl w:val="true"/>
        </w:rPr>
        <w:t xml:space="preserve">مولىٰ </w:t>
      </w:r>
      <w:r>
        <w:rPr>
          <w:rtl w:val="true"/>
        </w:rPr>
        <w:t xml:space="preserve">» </w:t>
      </w:r>
      <w:r>
        <w:rPr>
          <w:rtl w:val="true"/>
        </w:rPr>
        <w:t>على الأولىٰ بالتدبير، و أقسام ما تُستعمل فيه من معانٍ</w:t>
      </w:r>
      <w:bookmarkEnd w:id="342"/>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أَولىٰ بالتدبيرِ، و أحَقَّ بالشيءِ الذي قيلَ أنّه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استَشهَدنا مِن الاستعمالِ بما لا يُمكِنُ دَفعُه</w:t>
      </w:r>
      <w:r>
        <w:rPr>
          <w:rFonts w:eastAsia="Amiri" w:cs="Amiri" w:ascii="Amiri" w:hAnsi="Amiri"/>
          <w:color w:val="111111"/>
          <w:sz w:val="28"/>
          <w:szCs w:val="28"/>
          <w:rtl w:val="true"/>
          <w:lang w:bidi="ar-SA"/>
        </w:rPr>
        <w:t>.</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غيرَ أنّ ما يُستَعمَلُ‌</w:t>
      </w:r>
      <w:r>
        <w:rPr>
          <w:rStyle w:val="FootnoteAnchor"/>
          <w:rtl w:val="true"/>
        </w:rPr>
        <w:footnoteReference w:id="1838"/>
      </w:r>
      <w:r>
        <w:rPr>
          <w:rFonts w:ascii="Amiri" w:hAnsi="Amiri" w:eastAsia="Amiri" w:cs="Amiri"/>
          <w:color w:val="111111"/>
          <w:sz w:val="28"/>
          <w:sz w:val="28"/>
          <w:szCs w:val="28"/>
          <w:rtl w:val="true"/>
          <w:lang w:bidi="ar-SA"/>
        </w:rPr>
        <w:t>هذه اللفظةُ فيه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مع التَّخَصُّصِ‌</w:t>
      </w:r>
      <w:r>
        <w:rPr>
          <w:rStyle w:val="FootnoteAnchor"/>
          <w:rtl w:val="true"/>
        </w:rPr>
        <w:footnoteReference w:id="1839"/>
      </w:r>
      <w:r>
        <w:rPr>
          <w:rFonts w:ascii="Amiri" w:hAnsi="Amiri" w:eastAsia="Amiri" w:cs="Amiri"/>
          <w:color w:val="111111"/>
          <w:sz w:val="28"/>
          <w:sz w:val="28"/>
          <w:szCs w:val="28"/>
          <w:rtl w:val="true"/>
          <w:lang w:bidi="ar-SA"/>
        </w:rPr>
        <w:t>بتدبيرِه و التحقُّقِ بالتصرُّفِ فيه وصفُه بالطاعةِ ؛ كسائرِ ما يُملَكُ سِوَى العَبيدِ</w:t>
      </w:r>
      <w:r>
        <w:rPr>
          <w:rStyle w:val="FootnoteAnchor"/>
          <w:rtl w:val="true"/>
        </w:rPr>
        <w:footnoteReference w:id="1840"/>
      </w:r>
      <w:r>
        <w:rPr>
          <w:rFonts w:ascii="Amiri" w:hAnsi="Amiri" w:eastAsia="Amiri" w:cs="Amiri"/>
          <w:color w:val="111111"/>
          <w:sz w:val="28"/>
          <w:sz w:val="28"/>
          <w:szCs w:val="28"/>
          <w:rtl w:val="true"/>
          <w:lang w:bidi="ar-SA"/>
        </w:rPr>
        <w:t>، فإنّه قد يوصَفُ المالكُ للأموالِ و ما جَرىٰ مَجراها مِن المملوكاتِ بأنّه مَولىً لها، علَى الحَدِّ الذي وَصَفَ اللّٰهُ تَعالىٰ به الوَرَثةَ المُستَحِقّينَ للميراثِ و</w:t>
      </w:r>
      <w:r>
        <w:rPr>
          <w:rStyle w:val="FootnoteAnchor"/>
          <w:rtl w:val="true"/>
        </w:rPr>
        <w:footnoteReference w:id="1841"/>
      </w:r>
      <w:r>
        <w:rPr>
          <w:rFonts w:ascii="Amiri" w:hAnsi="Amiri" w:eastAsia="Amiri" w:cs="Amiri"/>
          <w:color w:val="111111"/>
          <w:sz w:val="28"/>
          <w:sz w:val="28"/>
          <w:szCs w:val="28"/>
          <w:rtl w:val="true"/>
          <w:lang w:bidi="ar-SA"/>
        </w:rPr>
        <w:t xml:space="preserve">المُختَصّينَ بالتصَرُّفِ فيه،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لِكُلٍّ جَعَلْنٰا مَوٰالِيَ مِمّٰا تَرَكَ الْوٰالِدٰانِ وَ الْأَقْرَبُونَ وَ الَّذِينَ عَقَدَتْ أَيْمٰانُكُمْ </w:t>
      </w:r>
      <w:r>
        <w:rPr>
          <w:rFonts w:eastAsia="Amiri" w:cs="Amiri" w:ascii="Amiri" w:hAnsi="Amiri"/>
          <w:color w:val="111111"/>
          <w:sz w:val="28"/>
          <w:szCs w:val="28"/>
          <w:rtl w:val="true"/>
          <w:lang w:bidi="ar-SA"/>
        </w:rPr>
        <w:t>)</w:t>
      </w:r>
      <w:r>
        <w:rPr>
          <w:rStyle w:val="FootnoteAnchor"/>
          <w:rtl w:val="true"/>
        </w:rPr>
        <w:footnoteReference w:id="1842"/>
      </w:r>
      <w:r>
        <w:rPr>
          <w:rFonts w:ascii="Amiri" w:hAnsi="Amiri" w:eastAsia="Amiri" w:cs="Amiri"/>
          <w:color w:val="111111"/>
          <w:sz w:val="28"/>
          <w:sz w:val="28"/>
          <w:szCs w:val="28"/>
          <w:rtl w:val="true"/>
          <w:lang w:bidi="ar-SA"/>
        </w:rPr>
        <w:t>و إن كانَ دخولُ لفظِ</w:t>
      </w:r>
      <w:r>
        <w:rPr>
          <w:rStyle w:val="FootnoteAnchor"/>
          <w:rtl w:val="true"/>
        </w:rPr>
        <w:footnoteReference w:id="1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وجوبِها في ذلكَ مُمتَنِعاً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مع التحقُّقِ به و التملُّكِ له وصفُه بالطاعةِ و وجوبِها؛ </w:t>
      </w:r>
      <w:bookmarkStart w:id="343" w:name="pg20017_202564"/>
    </w:p>
    <w:p>
      <w:pPr>
        <w:pStyle w:val="BookText"/>
        <w:rPr/>
      </w:pPr>
      <w:bookmarkEnd w:id="343"/>
      <w:r>
        <w:rPr>
          <w:rFonts w:ascii="Amiri" w:hAnsi="Amiri" w:eastAsia="Amiri" w:cs="Amiri"/>
          <w:color w:val="111111"/>
          <w:sz w:val="28"/>
          <w:sz w:val="28"/>
          <w:szCs w:val="28"/>
          <w:rtl w:val="true"/>
          <w:lang w:bidi="ar-SA"/>
        </w:rPr>
        <w:t>كالوصفِ للسيِّدِ بأنّه مَولَى العَبدِ</w:t>
      </w:r>
      <w:r>
        <w:rPr>
          <w:rStyle w:val="FootnoteAnchor"/>
          <w:rtl w:val="true"/>
        </w:rPr>
        <w:footnoteReference w:id="1844"/>
      </w:r>
      <w:r>
        <w:rPr>
          <w:rFonts w:ascii="Amiri" w:hAnsi="Amiri" w:eastAsia="Amiri" w:cs="Amiri"/>
          <w:color w:val="111111"/>
          <w:sz w:val="28"/>
          <w:sz w:val="28"/>
          <w:szCs w:val="28"/>
          <w:rtl w:val="true"/>
          <w:lang w:bidi="ar-SA"/>
        </w:rPr>
        <w:t xml:space="preserve">، و وَليِّ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الذي أَورَدناه مُتقدِّماً</w:t>
      </w:r>
      <w:r>
        <w:rPr>
          <w:rStyle w:val="FootnoteAnchor"/>
          <w:rtl w:val="true"/>
        </w:rPr>
        <w:footnoteReference w:id="1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رُجوعُ كِلا الوجهَينِ إلىٰ معنىً واحدٍ؛ و هو التَّحَقُّقُ بالشيءِ و التخَصُّصُ </w:t>
      </w:r>
      <w:r>
        <w:rPr>
          <w:rStyle w:val="FootnoteAnchor"/>
          <w:rtl w:val="true"/>
        </w:rPr>
        <w:footnoteReference w:id="1846"/>
      </w:r>
      <w:r>
        <w:rPr>
          <w:rFonts w:ascii="Amiri" w:hAnsi="Amiri" w:eastAsia="Amiri" w:cs="Amiri"/>
          <w:color w:val="111111"/>
          <w:sz w:val="28"/>
          <w:sz w:val="28"/>
          <w:szCs w:val="28"/>
          <w:rtl w:val="true"/>
          <w:lang w:bidi="ar-SA"/>
        </w:rPr>
        <w:t>بتدبيرِه، و لا مُعتَبَرَ بامتناعِ دخولِ لفظِ</w:t>
      </w:r>
      <w:r>
        <w:rPr>
          <w:rStyle w:val="FootnoteAnchor"/>
          <w:rtl w:val="true"/>
        </w:rPr>
        <w:footnoteReference w:id="1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أحَدِهما دونَ الآخَرِ إذا كانَت الفائدةُ واحدةً </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964237_2320776876"/>
      <w:bookmarkStart w:id="345" w:name="_Toc122"/>
      <w:bookmarkEnd w:id="344"/>
      <w:r>
        <w:rPr>
          <w:rtl w:val="true"/>
        </w:rPr>
        <w:t xml:space="preserve">صحّة إطلاق </w:t>
      </w:r>
      <w:r>
        <w:rPr>
          <w:rtl w:val="true"/>
        </w:rPr>
        <w:t>«</w:t>
      </w:r>
      <w:r>
        <w:rPr>
          <w:rtl w:val="true"/>
        </w:rPr>
        <w:t xml:space="preserve">مولىٰ </w:t>
      </w:r>
      <w:r>
        <w:rPr>
          <w:rtl w:val="true"/>
        </w:rPr>
        <w:t xml:space="preserve">» </w:t>
      </w:r>
      <w:r>
        <w:rPr>
          <w:rtl w:val="true"/>
        </w:rPr>
        <w:t>على الوالِد و المستأجِر مع التقييد</w:t>
      </w:r>
      <w:bookmarkEnd w:id="34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إلزامُه إجراءَ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الوالدِ و المُستأجِرِ للأجيرِ مِن حَيثُ وَجَبَت طاعتُهما، فغَيرُ مُمتَنِعٍ أن يُقالَ في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مَولىٰ وَلَدِه؛ بمعنىٰ أنّه أَولىٰ بتدبيرِه، كما أنّه قد يُستَعمَلُ فيه ما يَقومُ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أحَقُّ بتدبيرِ وَلَدِه</w:t>
      </w:r>
      <w:r>
        <w:rPr>
          <w:rStyle w:val="FootnoteAnchor"/>
          <w:rtl w:val="true"/>
        </w:rPr>
        <w:footnoteReference w:id="1848"/>
      </w:r>
      <w:r>
        <w:rPr>
          <w:rFonts w:ascii="Amiri" w:hAnsi="Amiri" w:eastAsia="Amiri" w:cs="Amiri"/>
          <w:color w:val="111111"/>
          <w:sz w:val="28"/>
          <w:sz w:val="28"/>
          <w:szCs w:val="28"/>
          <w:rtl w:val="true"/>
          <w:lang w:bidi="ar-SA"/>
        </w:rPr>
        <w:t>و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القولُ في المُستأجِرِ؛ لأنّه يَملِكُ تَصَرُّفَ الأجيرِ، إلّاأنّ إطلاقَ ذلكَ مِن غيرِ تقييدٍ</w:t>
      </w:r>
      <w:r>
        <w:rPr>
          <w:rStyle w:val="FootnoteAnchor"/>
          <w:rtl w:val="true"/>
        </w:rPr>
        <w:footnoteReference w:id="1849"/>
      </w:r>
      <w:r>
        <w:rPr>
          <w:rFonts w:ascii="Amiri" w:hAnsi="Amiri" w:eastAsia="Amiri" w:cs="Amiri"/>
          <w:color w:val="111111"/>
          <w:sz w:val="28"/>
          <w:sz w:val="28"/>
          <w:szCs w:val="28"/>
          <w:rtl w:val="true"/>
          <w:lang w:bidi="ar-SA"/>
        </w:rPr>
        <w:t xml:space="preserve">و ضربٍ مِن التفصيلِ رُبَّما لَم يَحسُنْ ، لَيسَ لأنّ اللُّغةَ لا تَقتَضيه، لكِنْ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كَثُرَ استعمالُها بالإطلاقِ في مالكِ العَبدِ و مَن جَرىٰ مَجراه، فصارَ تقييدُها في الوالدِ واجباً؛ إزالةً لِلَّبسِ </w:t>
      </w:r>
      <w:r>
        <w:rPr>
          <w:rStyle w:val="FootnoteAnchor"/>
          <w:rtl w:val="true"/>
        </w:rPr>
        <w:footnoteReference w:id="1850"/>
      </w:r>
      <w:r>
        <w:rPr>
          <w:rFonts w:ascii="Amiri" w:hAnsi="Amiri" w:eastAsia="Amiri" w:cs="Amiri"/>
          <w:color w:val="111111"/>
          <w:sz w:val="28"/>
          <w:sz w:val="28"/>
          <w:szCs w:val="28"/>
          <w:rtl w:val="true"/>
          <w:lang w:bidi="ar-SA"/>
        </w:rPr>
        <w:t xml:space="preserve">و الإيهامِ </w:t>
      </w:r>
      <w:r>
        <w:rPr>
          <w:rStyle w:val="FootnoteAnchor"/>
          <w:rtl w:val="true"/>
        </w:rPr>
        <w:footnoteReference w:id="1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كَثيرٌ في الألفاظِ، و لَيسَ هو</w:t>
      </w:r>
      <w:r>
        <w:rPr>
          <w:rStyle w:val="FootnoteAnchor"/>
          <w:rtl w:val="true"/>
        </w:rPr>
        <w:footnoteReference w:id="1852"/>
      </w:r>
      <w:r>
        <w:rPr>
          <w:rFonts w:ascii="Amiri" w:hAnsi="Amiri" w:eastAsia="Amiri" w:cs="Amiri"/>
          <w:color w:val="111111"/>
          <w:sz w:val="28"/>
          <w:sz w:val="28"/>
          <w:szCs w:val="28"/>
          <w:rtl w:val="true"/>
          <w:lang w:bidi="ar-SA"/>
        </w:rPr>
        <w:t>بمُخرِجٍ لها عن حقائقِها و أُصولِها</w:t>
      </w:r>
      <w:r>
        <w:rPr>
          <w:rFonts w:eastAsia="Amiri" w:cs="Amiri" w:ascii="Amiri" w:hAnsi="Amiri"/>
          <w:color w:val="111111"/>
          <w:sz w:val="28"/>
          <w:szCs w:val="28"/>
          <w:rtl w:val="true"/>
          <w:lang w:bidi="ar-SA"/>
        </w:rPr>
        <w:t xml:space="preserve">. </w:t>
      </w:r>
      <w:bookmarkStart w:id="346" w:name="pg20017_202565"/>
    </w:p>
    <w:p>
      <w:pPr>
        <w:pStyle w:val="BookText"/>
        <w:rPr/>
      </w:pPr>
      <w:bookmarkEnd w:id="346"/>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الموالاةَ في الدينِ التي يَحصُلُ‌</w:t>
      </w:r>
      <w:r>
        <w:rPr>
          <w:rStyle w:val="FootnoteAnchor"/>
          <w:rtl w:val="true"/>
        </w:rPr>
        <w:footnoteReference w:id="1853"/>
      </w:r>
      <w:r>
        <w:rPr>
          <w:rFonts w:ascii="Amiri" w:hAnsi="Amiri" w:eastAsia="Amiri" w:cs="Amiri"/>
          <w:color w:val="111111"/>
          <w:sz w:val="28"/>
          <w:sz w:val="28"/>
          <w:szCs w:val="28"/>
          <w:rtl w:val="true"/>
          <w:lang w:bidi="ar-SA"/>
        </w:rPr>
        <w:t>بَينَ المؤمنينَ‌، فهَلّا أطلَقتَ علَى الوالدِ أنّه مَولىٰ وَلَدِه، و المُستأجِرِ أنّه مَولىٰ أجيرِه إذا كانَ الجميعُ مؤمنينَ‌، و ذَهَبتَ في اللفظةِ إلىٰ معنَى</w:t>
      </w:r>
      <w:r>
        <w:rPr>
          <w:rStyle w:val="FootnoteAnchor"/>
          <w:rtl w:val="true"/>
        </w:rPr>
        <w:footnoteReference w:id="1854"/>
      </w:r>
      <w:r>
        <w:rPr>
          <w:rFonts w:ascii="Amiri" w:hAnsi="Amiri" w:eastAsia="Amiri" w:cs="Amiri"/>
          <w:color w:val="111111"/>
          <w:sz w:val="28"/>
          <w:sz w:val="28"/>
          <w:szCs w:val="28"/>
          <w:rtl w:val="true"/>
          <w:lang w:bidi="ar-SA"/>
        </w:rPr>
        <w:t>الموالاةِ؟</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أُطلِقُ ذلكَ و لا أحتَشِمُ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أيضاً نُطلِقُ ما سُمتَنا</w:t>
      </w:r>
      <w:r>
        <w:rPr>
          <w:rStyle w:val="FootnoteAnchor"/>
          <w:rtl w:val="true"/>
        </w:rPr>
        <w:footnoteReference w:id="1855"/>
      </w:r>
      <w:r>
        <w:rPr>
          <w:rFonts w:ascii="Amiri" w:hAnsi="Amiri" w:eastAsia="Amiri" w:cs="Amiri"/>
          <w:color w:val="111111"/>
          <w:sz w:val="28"/>
          <w:sz w:val="28"/>
          <w:szCs w:val="28"/>
          <w:rtl w:val="true"/>
          <w:lang w:bidi="ar-SA"/>
        </w:rPr>
        <w:t>إطلاقَه</w:t>
      </w:r>
      <w:r>
        <w:rPr>
          <w:rStyle w:val="FootnoteAnchor"/>
          <w:rtl w:val="true"/>
        </w:rPr>
        <w:footnoteReference w:id="1856"/>
      </w:r>
      <w:r>
        <w:rPr>
          <w:rFonts w:ascii="Amiri" w:hAnsi="Amiri" w:eastAsia="Amiri" w:cs="Amiri"/>
          <w:color w:val="111111"/>
          <w:sz w:val="28"/>
          <w:sz w:val="28"/>
          <w:szCs w:val="28"/>
          <w:rtl w:val="true"/>
          <w:lang w:bidi="ar-SA"/>
        </w:rPr>
        <w:t>، و نُريدُ</w:t>
      </w:r>
      <w:r>
        <w:rPr>
          <w:rStyle w:val="FootnoteAnchor"/>
          <w:rtl w:val="true"/>
        </w:rPr>
        <w:footnoteReference w:id="1857"/>
      </w:r>
      <w:r>
        <w:rPr>
          <w:rFonts w:ascii="Amiri" w:hAnsi="Amiri" w:eastAsia="Amiri" w:cs="Amiri"/>
          <w:color w:val="111111"/>
          <w:sz w:val="28"/>
          <w:sz w:val="28"/>
          <w:szCs w:val="28"/>
          <w:rtl w:val="true"/>
          <w:lang w:bidi="ar-SA"/>
        </w:rPr>
        <w:t>المعنَى الذي ذَهَبنا إليه؛ لأنّ قِلّةَ الاستعمالِ إذا لَم تَكُن مانعةً لكَ مِن إطلاقِ اللفظِ علَى المعنَى الذي</w:t>
      </w:r>
    </w:p>
    <w:p>
      <w:pPr>
        <w:pStyle w:val="BookText"/>
        <w:rPr/>
      </w:pPr>
      <w:r>
        <w:rPr>
          <w:rFonts w:ascii="Amiri" w:hAnsi="Amiri" w:eastAsia="Amiri" w:cs="Amiri"/>
          <w:color w:val="111111"/>
          <w:sz w:val="28"/>
          <w:sz w:val="28"/>
          <w:szCs w:val="28"/>
          <w:rtl w:val="true"/>
          <w:lang w:bidi="ar-SA"/>
        </w:rPr>
        <w:t xml:space="preserve">اختَرتَه لَم تَكُن مانعةً لنا، و أدِلّتُنا ثابتةٌ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أبَيْتَ </w:t>
      </w:r>
      <w:r>
        <w:rPr>
          <w:rStyle w:val="FootnoteAnchor"/>
          <w:rtl w:val="true"/>
        </w:rPr>
        <w:footnoteReference w:id="1859"/>
      </w:r>
      <w:r>
        <w:rPr>
          <w:rFonts w:ascii="Amiri" w:hAnsi="Amiri" w:eastAsia="Amiri" w:cs="Amiri"/>
          <w:color w:val="111111"/>
          <w:sz w:val="28"/>
          <w:sz w:val="28"/>
          <w:szCs w:val="28"/>
          <w:rtl w:val="true"/>
          <w:lang w:bidi="ar-SA"/>
        </w:rPr>
        <w:t>الإطلاقَ كُنتَ مُناقِضاً، إلّاأن تَعتَذِرَ بمِثلِ ما اعتَذَرنا به</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964239_2320776876"/>
      <w:bookmarkStart w:id="348" w:name="_Toc123"/>
      <w:bookmarkEnd w:id="347"/>
      <w:r>
        <w:rPr>
          <w:rtl w:val="true"/>
        </w:rPr>
        <w:t xml:space="preserve">صحّة إطلاق </w:t>
      </w:r>
      <w:r>
        <w:rPr>
          <w:rtl w:val="true"/>
        </w:rPr>
        <w:t>«</w:t>
      </w:r>
      <w:r>
        <w:rPr>
          <w:rtl w:val="true"/>
        </w:rPr>
        <w:t xml:space="preserve">مولىٰ </w:t>
      </w:r>
      <w:r>
        <w:rPr>
          <w:rtl w:val="true"/>
        </w:rPr>
        <w:t xml:space="preserve">» </w:t>
      </w:r>
      <w:r>
        <w:rPr>
          <w:rtl w:val="true"/>
        </w:rPr>
        <w:t>على الرئيس و السيّد</w:t>
      </w:r>
      <w:bookmarkEnd w:id="34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الرئيسُ و</w:t>
      </w:r>
      <w:r>
        <w:rPr>
          <w:rStyle w:val="FootnoteAnchor"/>
          <w:rtl w:val="true"/>
        </w:rPr>
        <w:footnoteReference w:id="1860"/>
      </w:r>
      <w:r>
        <w:rPr>
          <w:rFonts w:ascii="Amiri" w:hAnsi="Amiri" w:eastAsia="Amiri" w:cs="Amiri"/>
          <w:color w:val="111111"/>
          <w:sz w:val="28"/>
          <w:sz w:val="28"/>
          <w:szCs w:val="28"/>
          <w:rtl w:val="true"/>
          <w:lang w:bidi="ar-SA"/>
        </w:rPr>
        <w:t xml:space="preserve">السيِّدُ، فلا شُبهةَ في إجراءِ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قد حَكَينا ذلكَ فيما تَقدَّمَ عن أهلِ اللُّغةِ </w:t>
      </w:r>
      <w:r>
        <w:rPr>
          <w:rStyle w:val="FootnoteAnchor"/>
          <w:rtl w:val="true"/>
        </w:rPr>
        <w:footnoteReference w:id="1861"/>
      </w:r>
      <w:r>
        <w:rPr>
          <w:rFonts w:ascii="Amiri" w:hAnsi="Amiri" w:eastAsia="Amiri" w:cs="Amiri"/>
          <w:color w:val="111111"/>
          <w:sz w:val="28"/>
          <w:sz w:val="28"/>
          <w:szCs w:val="28"/>
          <w:rtl w:val="true"/>
          <w:lang w:bidi="ar-SA"/>
        </w:rPr>
        <w:t>، و لَيسَ هو ممّا يَقِلُّ استعمالُه في كلامِهم</w:t>
      </w:r>
      <w:r>
        <w:rPr>
          <w:rStyle w:val="FootnoteAnchor"/>
          <w:rtl w:val="true"/>
        </w:rPr>
        <w:footnoteReference w:id="1862"/>
      </w:r>
      <w:r>
        <w:rPr>
          <w:rFonts w:ascii="Amiri" w:hAnsi="Amiri" w:eastAsia="Amiri" w:cs="Amiri"/>
          <w:color w:val="111111"/>
          <w:sz w:val="28"/>
          <w:sz w:val="28"/>
          <w:szCs w:val="28"/>
          <w:rtl w:val="true"/>
          <w:lang w:bidi="ar-SA"/>
        </w:rPr>
        <w:t xml:space="preserve">، بَل ظهورُه بَينَهم </w:t>
      </w:r>
      <w:bookmarkStart w:id="349" w:name="pg20017_202566"/>
    </w:p>
    <w:p>
      <w:pPr>
        <w:pStyle w:val="BookText"/>
        <w:rPr/>
      </w:pPr>
      <w:bookmarkEnd w:id="349"/>
      <w:r>
        <w:rPr>
          <w:rFonts w:ascii="Amiri" w:hAnsi="Amiri" w:eastAsia="Amiri" w:cs="Amiri"/>
          <w:color w:val="111111"/>
          <w:sz w:val="28"/>
          <w:sz w:val="28"/>
          <w:szCs w:val="28"/>
          <w:rtl w:val="true"/>
          <w:lang w:bidi="ar-SA"/>
        </w:rPr>
        <w:t xml:space="preserve">كظُهورِ استعمالِ لفظةِ </w:t>
      </w:r>
      <w:r>
        <w:rPr>
          <w:rStyle w:val="FootnoteAnchor"/>
          <w:rtl w:val="true"/>
        </w:rPr>
        <w:footnoteReference w:id="1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الرئيسِ ، و دَفعُ ما جَرىٰ هذا المَجرىٰ قَبيحٌ </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964241_2320776876"/>
      <w:bookmarkStart w:id="351" w:name="_Toc124"/>
      <w:bookmarkEnd w:id="350"/>
      <w:r>
        <w:rPr>
          <w:rtl w:val="true"/>
        </w:rPr>
        <w:t xml:space="preserve">صحّة إطلاق </w:t>
      </w:r>
      <w:r>
        <w:rPr>
          <w:rtl w:val="true"/>
        </w:rPr>
        <w:t>«</w:t>
      </w:r>
      <w:r>
        <w:rPr>
          <w:rtl w:val="true"/>
        </w:rPr>
        <w:t xml:space="preserve">مولىٰ </w:t>
      </w:r>
      <w:r>
        <w:rPr>
          <w:rtl w:val="true"/>
        </w:rPr>
        <w:t xml:space="preserve">» </w:t>
      </w:r>
      <w:r>
        <w:rPr>
          <w:rtl w:val="true"/>
        </w:rPr>
        <w:t>علىٰ مالك العبد من حيث كونه مالكاً لطاعته</w:t>
      </w:r>
      <w:bookmarkEnd w:id="351"/>
    </w:p>
    <w:p>
      <w:pPr>
        <w:pStyle w:val="BookText"/>
        <w:rPr/>
      </w:pPr>
      <w:r>
        <w:rPr>
          <w:rFonts w:ascii="Amiri" w:hAnsi="Amiri" w:eastAsia="Amiri" w:cs="Amiri"/>
          <w:color w:val="111111"/>
          <w:sz w:val="28"/>
          <w:sz w:val="28"/>
          <w:szCs w:val="28"/>
          <w:rtl w:val="true"/>
          <w:lang w:bidi="ar-SA"/>
        </w:rPr>
        <w:t xml:space="preserve">فأمّا إنكارُه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مالكِ العَبدِ مِن حَيثُ مَلَكَ طاعتَه،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وُصِفَ بمَولىٰ مِن حَيثُ مَلَكَ بَيعَه و شِراءَه و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إنكارٌ مُتضمِّنٌ للإقرارِ و إن لَم يَشعُر به</w:t>
      </w:r>
      <w:r>
        <w:rPr>
          <w:rStyle w:val="FootnoteAnchor"/>
          <w:rtl w:val="true"/>
        </w:rPr>
        <w:footnoteReference w:id="1864"/>
      </w:r>
      <w:r>
        <w:rPr>
          <w:rFonts w:ascii="Amiri" w:hAnsi="Amiri" w:eastAsia="Amiri" w:cs="Amiri"/>
          <w:color w:val="111111"/>
          <w:sz w:val="28"/>
          <w:sz w:val="28"/>
          <w:szCs w:val="28"/>
          <w:rtl w:val="true"/>
          <w:lang w:bidi="ar-SA"/>
        </w:rPr>
        <w:t>لأنّا نَعلَمُ أنّ المالكَ مِن العبدِ التصرُّفَ بالبَيعِ و الاستخدامِ و غيرِهما</w:t>
      </w:r>
      <w:r>
        <w:rPr>
          <w:rStyle w:val="FootnoteAnchor"/>
          <w:rtl w:val="true"/>
        </w:rPr>
        <w:footnoteReference w:id="1865"/>
      </w:r>
      <w:r>
        <w:rPr>
          <w:rFonts w:ascii="Amiri" w:hAnsi="Amiri" w:eastAsia="Amiri" w:cs="Amiri"/>
          <w:color w:val="111111"/>
          <w:sz w:val="28"/>
          <w:sz w:val="28"/>
          <w:szCs w:val="28"/>
          <w:rtl w:val="true"/>
          <w:lang w:bidi="ar-SA"/>
        </w:rPr>
        <w:t>مِن وجوهِ المَنافعِ لا يَصِحُّ أن يَكونَ مالكاً لذلكَ إلّا و يَجِبُ علَى العَبدِ طاعتُه فيه و الانقيادُ له في جميعِه، فقَد صارَ مِلكُ التصرُّفِ‌</w:t>
      </w:r>
      <w:r>
        <w:rPr>
          <w:rStyle w:val="FootnoteAnchor"/>
          <w:rtl w:val="true"/>
        </w:rPr>
        <w:footnoteReference w:id="1866"/>
      </w:r>
      <w:r>
        <w:rPr>
          <w:rFonts w:ascii="Amiri" w:hAnsi="Amiri" w:eastAsia="Amiri" w:cs="Amiri"/>
          <w:color w:val="111111"/>
          <w:sz w:val="28"/>
          <w:sz w:val="28"/>
          <w:szCs w:val="28"/>
          <w:rtl w:val="true"/>
          <w:lang w:bidi="ar-SA"/>
        </w:rPr>
        <w:t>غيرَ مُنفَصِلٍ مِن مِلكِ الطاعةِ‌</w:t>
      </w:r>
      <w:r>
        <w:rPr>
          <w:rStyle w:val="FootnoteAnchor"/>
          <w:rtl w:val="true"/>
        </w:rPr>
        <w:footnoteReference w:id="1867"/>
      </w:r>
      <w:r>
        <w:rPr>
          <w:rFonts w:ascii="Amiri" w:hAnsi="Amiri" w:eastAsia="Amiri" w:cs="Amiri"/>
          <w:color w:val="111111"/>
          <w:sz w:val="28"/>
          <w:sz w:val="28"/>
          <w:szCs w:val="28"/>
          <w:rtl w:val="true"/>
          <w:lang w:bidi="ar-SA"/>
        </w:rPr>
        <w:t xml:space="preserve">و وجوبِها، بَل المُستَفادُ بِمِلكِ </w:t>
      </w:r>
      <w:r>
        <w:rPr>
          <w:rStyle w:val="FootnoteAnchor"/>
          <w:rtl w:val="true"/>
        </w:rPr>
        <w:footnoteReference w:id="1868"/>
      </w:r>
      <w:r>
        <w:rPr>
          <w:rFonts w:ascii="Amiri" w:hAnsi="Amiri" w:eastAsia="Amiri" w:cs="Amiri"/>
          <w:color w:val="111111"/>
          <w:sz w:val="28"/>
          <w:sz w:val="28"/>
          <w:szCs w:val="28"/>
          <w:rtl w:val="true"/>
          <w:lang w:bidi="ar-SA"/>
        </w:rPr>
        <w:t xml:space="preserve">التصَرُّفِ </w:t>
      </w:r>
      <w:r>
        <w:rPr>
          <w:rStyle w:val="FootnoteAnchor"/>
          <w:rtl w:val="true"/>
        </w:rPr>
        <w:footnoteReference w:id="1869"/>
      </w:r>
      <w:r>
        <w:rPr>
          <w:rFonts w:ascii="Amiri" w:hAnsi="Amiri" w:eastAsia="Amiri" w:cs="Amiri"/>
          <w:color w:val="111111"/>
          <w:sz w:val="28"/>
          <w:sz w:val="28"/>
          <w:szCs w:val="28"/>
          <w:rtl w:val="true"/>
          <w:lang w:bidi="ar-SA"/>
        </w:rPr>
        <w:t xml:space="preserve">معنىٰ وجوبِ الطاعةِ و الانقيادِ فيما يَرجِعُ إلَى العَبدِ، و إنّما انفَصَلَ التصَرُّفُ المُستَحَقُّ علَى العَبدِ مِن الذي لَيسَ بمملوكٍ </w:t>
      </w:r>
      <w:r>
        <w:rPr>
          <w:rStyle w:val="FootnoteAnchor"/>
          <w:rtl w:val="true"/>
        </w:rPr>
        <w:footnoteReference w:id="1870"/>
      </w:r>
      <w:r>
        <w:rPr>
          <w:rFonts w:ascii="Amiri" w:hAnsi="Amiri" w:eastAsia="Amiri" w:cs="Amiri"/>
          <w:color w:val="111111"/>
          <w:sz w:val="28"/>
          <w:sz w:val="28"/>
          <w:szCs w:val="28"/>
          <w:rtl w:val="true"/>
          <w:lang w:bidi="ar-SA"/>
        </w:rPr>
        <w:t xml:space="preserve">و لا مُستَحَقٍّ بهذه المَزيّةِ </w:t>
      </w:r>
      <w:r>
        <w:rPr>
          <w:rStyle w:val="FootnoteAnchor"/>
          <w:rtl w:val="true"/>
        </w:rPr>
        <w:footnoteReference w:id="1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يُبيِّنُ أنّ الذي أباه صاحبُ الكتابِ لا بُدَّ له مِن الاعترافِ به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أُجريَ مِن حَيثُ مَلَكَ بَيعَه و شِراءَه لا مِن حَيثُ وَجَبَت طاعتُه عليه، فيَلزَمُكَ أن تُجريَ هذا الوصفَ في كُلِّ مَوضِعٍ </w:t>
      </w:r>
      <w:bookmarkStart w:id="352" w:name="pg20017_202567"/>
    </w:p>
    <w:p>
      <w:pPr>
        <w:pStyle w:val="BookText"/>
        <w:rPr/>
      </w:pPr>
      <w:bookmarkEnd w:id="352"/>
      <w:r>
        <w:rPr>
          <w:rFonts w:ascii="Amiri" w:hAnsi="Amiri" w:eastAsia="Amiri" w:cs="Amiri"/>
          <w:color w:val="111111"/>
          <w:sz w:val="28"/>
          <w:sz w:val="28"/>
          <w:szCs w:val="28"/>
          <w:rtl w:val="true"/>
          <w:lang w:bidi="ar-SA"/>
        </w:rPr>
        <w:t>حَصَلَ فيه هذا المعنىٰ‌، فتَقولَ في المالكِ للثوبِ و الدارِ و البَهيمةِ و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لجميعِ ذلكَ‌، و تُطلقَ‌</w:t>
      </w:r>
      <w:r>
        <w:rPr>
          <w:rStyle w:val="FootnoteAnchor"/>
          <w:rtl w:val="true"/>
        </w:rPr>
        <w:footnoteReference w:id="1872"/>
      </w:r>
      <w:r>
        <w:rPr>
          <w:rFonts w:ascii="Amiri" w:hAnsi="Amiri" w:eastAsia="Amiri" w:cs="Amiri"/>
          <w:color w:val="111111"/>
          <w:sz w:val="28"/>
          <w:sz w:val="28"/>
          <w:szCs w:val="28"/>
          <w:rtl w:val="true"/>
          <w:lang w:bidi="ar-SA"/>
        </w:rPr>
        <w:t>القولَ مِن غيرِ تَقييدٍ</w:t>
      </w:r>
      <w:r>
        <w:rPr>
          <w:rStyle w:val="FootnoteAnchor"/>
          <w:rtl w:val="true"/>
        </w:rPr>
        <w:footnoteReference w:id="1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فَعَلتَ و أطلَقتَ ما سُمناكَ‌</w:t>
      </w:r>
      <w:r>
        <w:rPr>
          <w:rStyle w:val="FootnoteAnchor"/>
          <w:rtl w:val="true"/>
        </w:rPr>
        <w:footnoteReference w:id="1874"/>
      </w:r>
      <w:r>
        <w:rPr>
          <w:rFonts w:ascii="Amiri" w:hAnsi="Amiri" w:eastAsia="Amiri" w:cs="Amiri"/>
          <w:color w:val="111111"/>
          <w:sz w:val="28"/>
          <w:sz w:val="28"/>
          <w:szCs w:val="28"/>
          <w:rtl w:val="true"/>
          <w:lang w:bidi="ar-SA"/>
        </w:rPr>
        <w:t xml:space="preserve">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ذَهاباً إلىٰ أنّ أصلَ اللفظةِ‌</w:t>
      </w:r>
      <w:r>
        <w:rPr>
          <w:rStyle w:val="FootnoteAnchor"/>
          <w:rtl w:val="true"/>
        </w:rPr>
        <w:footnoteReference w:id="1875"/>
      </w:r>
      <w:r>
        <w:rPr>
          <w:rFonts w:ascii="Amiri" w:hAnsi="Amiri" w:eastAsia="Amiri" w:cs="Amiri"/>
          <w:color w:val="111111"/>
          <w:sz w:val="28"/>
          <w:sz w:val="28"/>
          <w:szCs w:val="28"/>
          <w:rtl w:val="true"/>
          <w:lang w:bidi="ar-SA"/>
        </w:rPr>
        <w:t xml:space="preserve">في الوضعِ و معناها يَقتَضيانِه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تَحفِلْ‌</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بقِلّةِ الاستعمالِ ، جازَ لنا أن نُطلِقَ أيضاً في الوالدِ أنّه مَولىٰ وَلَدِه، و كذلكَ في الأجيرِ، و نَذهَبَ إلىٰ معنَى اللفظةِ و ما يَقتَضيهِ وضعُها، و لا نَجعَلَ قِلّةَ الاستعمالِ مؤثِّراً؛ فلَيسَ ما سُمتَنا</w:t>
      </w:r>
      <w:r>
        <w:rPr>
          <w:rStyle w:val="FootnoteAnchor"/>
          <w:rtl w:val="true"/>
        </w:rPr>
        <w:footnoteReference w:id="1877"/>
      </w:r>
      <w:r>
        <w:rPr>
          <w:rFonts w:ascii="Amiri" w:hAnsi="Amiri" w:eastAsia="Amiri" w:cs="Amiri"/>
          <w:color w:val="111111"/>
          <w:sz w:val="28"/>
          <w:sz w:val="28"/>
          <w:szCs w:val="28"/>
          <w:rtl w:val="true"/>
          <w:lang w:bidi="ar-SA"/>
        </w:rPr>
        <w:t>إطلاقَه بأقَلَّ في الاستعمالِ ممّا ألزَمناكَ أن تُطلِقَه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أَبَيتَ الإطلاقَ ، فلَيسَ لكَ بُدٌّ مِن أن تَصيرَ إلىٰ ما ذَكرناه، و إلّاكُنتَ مُناقِضاً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w:t>
      </w:r>
      <w:r>
        <w:rPr>
          <w:rStyle w:val="FootnoteAnchor"/>
          <w:rtl w:val="true"/>
        </w:rPr>
        <w:footnoteReference w:id="1878"/>
      </w:r>
      <w:r>
        <w:rPr>
          <w:rFonts w:ascii="Amiri" w:hAnsi="Amiri" w:eastAsia="Amiri" w:cs="Amiri"/>
          <w:color w:val="111111"/>
          <w:sz w:val="28"/>
          <w:sz w:val="28"/>
          <w:szCs w:val="28"/>
          <w:rtl w:val="true"/>
          <w:lang w:bidi="ar-SA"/>
        </w:rPr>
        <w:t xml:space="preserve">علىٰ كُلِّ حالٍ إلزامُكَ الذي ظَنَنتَ أنّكَ تَتوصَّلُ </w:t>
      </w:r>
      <w:r>
        <w:rPr>
          <w:rStyle w:val="FootnoteAnchor"/>
          <w:rtl w:val="true"/>
        </w:rPr>
        <w:footnoteReference w:id="1879"/>
      </w:r>
      <w:r>
        <w:rPr>
          <w:rFonts w:ascii="Amiri" w:hAnsi="Amiri" w:eastAsia="Amiri" w:cs="Amiri"/>
          <w:color w:val="111111"/>
          <w:sz w:val="28"/>
          <w:sz w:val="28"/>
          <w:szCs w:val="28"/>
          <w:rtl w:val="true"/>
          <w:lang w:bidi="ar-SA"/>
        </w:rPr>
        <w:t xml:space="preserve">به إلىٰ إبطالِ قولِنا في إجراءِ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وَجَبَت طاعتُه</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964243_2320776876"/>
      <w:bookmarkStart w:id="354" w:name="_Toc125"/>
      <w:bookmarkEnd w:id="353"/>
      <w:r>
        <w:rPr>
          <w:rtl w:val="true"/>
        </w:rPr>
        <w:t xml:space="preserve">بيان عدم توقّف الاستدلال بحديث الغدير علىٰ دلالة </w:t>
      </w:r>
      <w:r>
        <w:rPr>
          <w:rtl w:val="true"/>
        </w:rPr>
        <w:t>«</w:t>
      </w:r>
      <w:r>
        <w:rPr>
          <w:rtl w:val="true"/>
        </w:rPr>
        <w:t xml:space="preserve">مولىٰ </w:t>
      </w:r>
      <w:r>
        <w:rPr>
          <w:rtl w:val="true"/>
        </w:rPr>
        <w:t xml:space="preserve">» </w:t>
      </w:r>
      <w:r>
        <w:rPr>
          <w:rtl w:val="true"/>
        </w:rPr>
        <w:t>علىٰ ملك الطاعة</w:t>
      </w:r>
      <w:bookmarkEnd w:id="35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استدلالَنا بخبرِ الغَديرِ علىٰ إيجابِ الإمامةِ لا يَفتَقِرُ إلىٰ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علَى الإمامِ و مالكِ الطاعةِ بغَيرِ</w:t>
      </w:r>
      <w:r>
        <w:rPr>
          <w:rStyle w:val="FootnoteAnchor"/>
          <w:rtl w:val="true"/>
        </w:rPr>
        <w:footnoteReference w:id="1880"/>
      </w:r>
      <w:r>
        <w:rPr>
          <w:rFonts w:ascii="Amiri" w:hAnsi="Amiri" w:eastAsia="Amiri" w:cs="Amiri"/>
          <w:color w:val="111111"/>
          <w:sz w:val="28"/>
          <w:sz w:val="28"/>
          <w:szCs w:val="28"/>
          <w:rtl w:val="true"/>
          <w:lang w:bidi="ar-SA"/>
        </w:rPr>
        <w:t xml:space="preserve">واسطةٍ ؛ لأنّا قد بيّنّا احتمالَها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ممّا لا يُمكِنُ صاحبَ الكتابِ و لا أحَداً دَفعُه؛ فإنّه ظاهرٌ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p>
    <w:p>
      <w:pPr>
        <w:pStyle w:val="BookText"/>
        <w:rPr/>
      </w:pPr>
      <w:r>
        <w:rPr>
          <w:rFonts w:ascii="Amiri" w:hAnsi="Amiri" w:eastAsia="Amiri" w:cs="Amiri"/>
          <w:color w:val="111111"/>
          <w:sz w:val="28"/>
          <w:sz w:val="28"/>
          <w:szCs w:val="28"/>
          <w:rtl w:val="true"/>
          <w:lang w:bidi="ar-SA"/>
        </w:rPr>
        <w:t>ذَكرنا فيما تَقدَّمَ مِن</w:t>
      </w:r>
      <w:r>
        <w:rPr>
          <w:rStyle w:val="FootnoteAnchor"/>
          <w:rtl w:val="true"/>
        </w:rPr>
        <w:footnoteReference w:id="1881"/>
      </w:r>
      <w:r>
        <w:rPr>
          <w:rFonts w:ascii="Amiri" w:hAnsi="Amiri" w:eastAsia="Amiri" w:cs="Amiri"/>
          <w:color w:val="111111"/>
          <w:sz w:val="28"/>
          <w:sz w:val="28"/>
          <w:szCs w:val="28"/>
          <w:rtl w:val="true"/>
          <w:lang w:bidi="ar-SA"/>
        </w:rPr>
        <w:t>الشواهدِ عليه ما في بعضِه كفايةٌ‌</w:t>
      </w:r>
      <w:r>
        <w:rPr>
          <w:rFonts w:eastAsia="Amiri" w:cs="Amiri" w:ascii="Amiri" w:hAnsi="Amiri"/>
          <w:color w:val="111111"/>
          <w:sz w:val="28"/>
          <w:szCs w:val="28"/>
          <w:rtl w:val="true"/>
          <w:lang w:bidi="ar-SA"/>
        </w:rPr>
        <w:t>.</w:t>
      </w:r>
      <w:r>
        <w:rPr>
          <w:rStyle w:val="FootnoteAnchor"/>
          <w:rtl w:val="true"/>
        </w:rPr>
        <w:footnoteReference w:id="1882"/>
      </w:r>
    </w:p>
    <w:p>
      <w:pPr>
        <w:pStyle w:val="BookText"/>
        <w:rPr/>
      </w:pPr>
      <w:r>
        <w:rPr>
          <w:rFonts w:ascii="Amiri" w:hAnsi="Amiri" w:eastAsia="Amiri" w:cs="Amiri"/>
          <w:color w:val="111111"/>
          <w:sz w:val="28"/>
          <w:sz w:val="28"/>
          <w:szCs w:val="28"/>
          <w:rtl w:val="true"/>
          <w:lang w:bidi="ar-SA"/>
        </w:rPr>
        <w:t xml:space="preserve">و إذا احتَمَلَت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إضافةٍ‌، و قد عَلِمنا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يَجوزُ أن يُستَعمَلَ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مُضافتَينِ‌</w:t>
      </w:r>
      <w:r>
        <w:rPr>
          <w:rStyle w:val="FootnoteAnchor"/>
          <w:rtl w:val="true"/>
        </w:rPr>
        <w:footnoteReference w:id="1883"/>
      </w:r>
      <w:r>
        <w:rPr>
          <w:rFonts w:ascii="Amiri" w:hAnsi="Amiri" w:eastAsia="Amiri" w:cs="Amiri"/>
          <w:color w:val="111111"/>
          <w:sz w:val="28"/>
          <w:sz w:val="28"/>
          <w:szCs w:val="28"/>
          <w:rtl w:val="true"/>
          <w:lang w:bidi="ar-SA"/>
        </w:rPr>
        <w:t>إلَى الطاعةِ‌، كما يَجوزُ استعمالُهما</w:t>
      </w:r>
      <w:r>
        <w:rPr>
          <w:rStyle w:val="FootnoteAnchor"/>
          <w:rtl w:val="true"/>
        </w:rPr>
        <w:footnoteReference w:id="1884"/>
      </w:r>
      <w:r>
        <w:rPr>
          <w:rFonts w:ascii="Amiri" w:hAnsi="Amiri" w:eastAsia="Amiri" w:cs="Amiri"/>
          <w:color w:val="111111"/>
          <w:sz w:val="28"/>
          <w:sz w:val="28"/>
          <w:szCs w:val="28"/>
          <w:rtl w:val="true"/>
          <w:lang w:bidi="ar-SA"/>
        </w:rPr>
        <w:t>في غيرِ الطاعةِ مِن ضُروبِ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 أنّ مُقدِّمةَ خبرِ الغَديرِ تَضمَّنَت التقريرَ بوجوبِ الطاعةِ‌، و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بتدبيرِكم و وجوبِ الطاعِة عليكم، بغَيرِ خِلافٍ أيضاً، و كُنّا قد دَلَّلنا فيما تَقدَّمَ علىٰ أنّ ما أوجَبَه في الكلامِ الثاني</w:t>
      </w:r>
      <w:r>
        <w:rPr>
          <w:rStyle w:val="FootnoteAnchor"/>
          <w:rtl w:val="true"/>
        </w:rPr>
        <w:footnoteReference w:id="1885"/>
      </w:r>
      <w:r>
        <w:rPr>
          <w:rFonts w:ascii="Amiri" w:hAnsi="Amiri" w:eastAsia="Amiri" w:cs="Amiri"/>
          <w:color w:val="111111"/>
          <w:sz w:val="28"/>
          <w:sz w:val="28"/>
          <w:szCs w:val="28"/>
          <w:rtl w:val="true"/>
          <w:lang w:bidi="ar-SA"/>
        </w:rPr>
        <w:t>يَجِبُ أن يَكونَ مُطابِقاً لمُقتَضَى</w:t>
      </w:r>
      <w:r>
        <w:rPr>
          <w:rStyle w:val="FootnoteAnchor"/>
          <w:rtl w:val="true"/>
        </w:rPr>
        <w:footnoteReference w:id="1886"/>
      </w:r>
      <w:r>
        <w:rPr>
          <w:rFonts w:ascii="Amiri" w:hAnsi="Amiri" w:eastAsia="Amiri" w:cs="Amiri"/>
          <w:color w:val="111111"/>
          <w:sz w:val="28"/>
          <w:sz w:val="28"/>
          <w:szCs w:val="28"/>
          <w:rtl w:val="true"/>
          <w:lang w:bidi="ar-SA"/>
        </w:rPr>
        <w:t>المُقدِّمةِ الأُولىٰ‌</w:t>
      </w:r>
      <w:r>
        <w:rPr>
          <w:rStyle w:val="FootnoteAnchor"/>
          <w:rtl w:val="true"/>
        </w:rPr>
        <w:footnoteReference w:id="1887"/>
      </w:r>
      <w:r>
        <w:rPr>
          <w:rFonts w:ascii="Amiri" w:hAnsi="Amiri" w:eastAsia="Amiri" w:cs="Amiri"/>
          <w:color w:val="111111"/>
          <w:sz w:val="28"/>
          <w:sz w:val="28"/>
          <w:szCs w:val="28"/>
          <w:rtl w:val="true"/>
          <w:lang w:bidi="ar-SA"/>
        </w:rPr>
        <w:t>، حتّىٰ كأنّه عليه السلامُ قالَ‌</w:t>
      </w:r>
      <w:r>
        <w:rPr>
          <w:rStyle w:val="FootnoteAnchor"/>
          <w:rtl w:val="true"/>
        </w:rPr>
        <w:footnoteReference w:id="1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أَولىٰ به في تدبيرِه و أمرِه و نهيِه فعَليٌّ أَولىٰ به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وَضَحَ ما قَصَدناه مِن الدَّلالةِ علَى النصِّ بالإمامةِ‌، مِن غيرِ حاجةٍ إلىٰ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علىٰ مِلكِ الطاعةِ‌</w:t>
      </w:r>
      <w:r>
        <w:rPr>
          <w:rStyle w:val="FootnoteAnchor"/>
          <w:rtl w:val="true"/>
        </w:rPr>
        <w:footnoteReference w:id="1889"/>
      </w:r>
      <w:r>
        <w:rPr>
          <w:rFonts w:ascii="Amiri" w:hAnsi="Amiri" w:eastAsia="Amiri" w:cs="Amiri"/>
          <w:color w:val="111111"/>
          <w:sz w:val="28"/>
          <w:sz w:val="28"/>
          <w:szCs w:val="28"/>
          <w:rtl w:val="true"/>
          <w:lang w:bidi="ar-SA"/>
        </w:rPr>
        <w:t>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الطريقةِ الأُولىٰ‌</w:t>
      </w:r>
      <w:r>
        <w:rPr>
          <w:rFonts w:eastAsia="Amiri" w:cs="Amiri" w:ascii="Amiri" w:hAnsi="Amiri"/>
          <w:color w:val="111111"/>
          <w:sz w:val="28"/>
          <w:szCs w:val="28"/>
          <w:rtl w:val="true"/>
          <w:lang w:bidi="ar-SA"/>
        </w:rPr>
        <w:t>.</w:t>
      </w:r>
      <w:r>
        <w:rPr>
          <w:rStyle w:val="FootnoteAnchor"/>
          <w:rtl w:val="true"/>
        </w:rPr>
        <w:footnoteReference w:id="189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علىٰ طريقةِ التقسيمِ </w:t>
      </w:r>
      <w:r>
        <w:rPr>
          <w:rStyle w:val="FootnoteAnchor"/>
          <w:rtl w:val="true"/>
        </w:rPr>
        <w:footnoteReference w:id="1891"/>
      </w:r>
      <w:r>
        <w:rPr>
          <w:rFonts w:ascii="Amiri" w:hAnsi="Amiri" w:eastAsia="Amiri" w:cs="Amiri"/>
          <w:color w:val="111111"/>
          <w:sz w:val="28"/>
          <w:sz w:val="28"/>
          <w:szCs w:val="28"/>
          <w:rtl w:val="true"/>
          <w:lang w:bidi="ar-SA"/>
        </w:rPr>
        <w:t xml:space="preserve">فهي أيضاً غيرُ مُفتَقِرةٍ إلىٰ ذلكَ ؛ لأنّه إذا بَطَلَ أن يَكونَ </w:t>
      </w:r>
    </w:p>
    <w:p>
      <w:pPr>
        <w:pStyle w:val="BookText"/>
        <w:rPr/>
      </w:pPr>
      <w:r>
        <w:rPr>
          <w:rFonts w:ascii="Amiri" w:hAnsi="Amiri" w:eastAsia="Amiri" w:cs="Amiri"/>
          <w:color w:val="111111"/>
          <w:sz w:val="28"/>
          <w:sz w:val="28"/>
          <w:szCs w:val="28"/>
          <w:rtl w:val="true"/>
          <w:lang w:bidi="ar-SA"/>
        </w:rPr>
        <w:t xml:space="preserve">مُرادُه صَلّى اللّٰهُ عليه و آلِه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ما يَحتَمِلُه اللفظةُ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بَطَلَ أن يُريدَ بأَولىٰ شَيئاً ممّا يَجوزُ أن يُضافَ إلىٰ هذه اللفظةِ سِوىٰ ما يَقتَضي الإمامةَ و التحَقُّقَ بالتدبيرِ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وَضَحَ وجهُ الاستدلالِ بالطريقَتَينِ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أبو مُسلِمٍ‌</w:t>
      </w:r>
      <w:r>
        <w:rPr>
          <w:rStyle w:val="FootnoteAnchor"/>
          <w:rtl w:val="true"/>
        </w:rPr>
        <w:footnoteReference w:id="1892"/>
      </w:r>
      <w:r>
        <w:rPr>
          <w:rFonts w:ascii="Amiri" w:hAnsi="Amiri" w:eastAsia="Amiri" w:cs="Amiri"/>
          <w:color w:val="111111"/>
          <w:sz w:val="28"/>
          <w:sz w:val="28"/>
          <w:szCs w:val="28"/>
          <w:rtl w:val="true"/>
          <w:lang w:bidi="ar-SA"/>
        </w:rPr>
        <w:t>أنّ هذه الكلمةَ مأخوذةٌ مِن الموالاةِ بَينَ الأشياءِ‌؛ بمعنىٰ‌</w:t>
      </w:r>
      <w:r>
        <w:rPr>
          <w:rStyle w:val="FootnoteAnchor"/>
          <w:rtl w:val="true"/>
        </w:rPr>
        <w:footnoteReference w:id="1893"/>
      </w:r>
      <w:r>
        <w:rPr>
          <w:rFonts w:ascii="Amiri" w:hAnsi="Amiri" w:eastAsia="Amiri" w:cs="Amiri"/>
          <w:color w:val="111111"/>
          <w:sz w:val="28"/>
          <w:sz w:val="28"/>
          <w:szCs w:val="28"/>
          <w:rtl w:val="true"/>
          <w:lang w:bidi="ar-SA"/>
        </w:rPr>
        <w:t>إتْباعِ بعضِها بعضاً، و لذلكَ يَقولونَ فيمن يَختَصّونَ به مِن أقربائهم إذا أخبَروا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 لِمَن يَليني</w:t>
      </w:r>
      <w:r>
        <w:rPr>
          <w:rStyle w:val="FootnoteAnchor"/>
          <w:rtl w:val="true"/>
        </w:rPr>
        <w:footnoteReference w:id="1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w:t>
      </w:r>
      <w:r>
        <w:rPr>
          <w:rStyle w:val="FootnoteAnchor"/>
          <w:rtl w:val="true"/>
        </w:rPr>
        <w:footnoteReference w:id="1895"/>
      </w:r>
      <w:r>
        <w:rPr>
          <w:rFonts w:ascii="Amiri" w:hAnsi="Amiri" w:eastAsia="Amiri" w:cs="Amiri"/>
          <w:color w:val="111111"/>
          <w:sz w:val="28"/>
          <w:sz w:val="28"/>
          <w:szCs w:val="28"/>
          <w:rtl w:val="true"/>
          <w:lang w:bidi="ar-SA"/>
        </w:rPr>
        <w:t>المعنىٰ في كَونِ المؤمنِ مُوالياً لأخيه أن يَكونَ مُتابِعاً له، ثُمَّ تَصرَّفوا في الاستعمالِ قَرينةً‌</w:t>
      </w:r>
      <w:r>
        <w:rPr>
          <w:rStyle w:val="FootnoteAnchor"/>
          <w:rtl w:val="true"/>
        </w:rPr>
        <w:footnoteReference w:id="1896"/>
      </w:r>
      <w:r>
        <w:rPr>
          <w:rFonts w:ascii="Amiri" w:hAnsi="Amiri" w:eastAsia="Amiri" w:cs="Amiri"/>
          <w:color w:val="111111"/>
          <w:sz w:val="28"/>
          <w:sz w:val="28"/>
          <w:szCs w:val="28"/>
          <w:rtl w:val="true"/>
          <w:lang w:bidi="ar-SA"/>
        </w:rPr>
        <w:t>علىٰ أنّ التعارُفَ‌</w:t>
      </w:r>
      <w:r>
        <w:rPr>
          <w:rStyle w:val="FootnoteAnchor"/>
          <w:rtl w:val="true"/>
        </w:rPr>
        <w:footnoteReference w:id="1897"/>
      </w:r>
      <w:r>
        <w:rPr>
          <w:rFonts w:ascii="Amiri" w:hAnsi="Amiri" w:eastAsia="Amiri" w:cs="Amiri"/>
          <w:color w:val="111111"/>
          <w:sz w:val="28"/>
          <w:sz w:val="28"/>
          <w:szCs w:val="28"/>
          <w:rtl w:val="true"/>
          <w:lang w:bidi="ar-SA"/>
        </w:rPr>
        <w:t>في ذلكَ هو بمعنَى النُّصرةِ و مُتابَعةِ البعضِ للبعضِ فيما يَتَّصِلُ بأمرِ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يَليقُ بالإمامةِ‌؛ لأنّ الوجهَ الذي له يَكونُ مَولىً لهم يَقتَضي أن يَختَصّوا</w:t>
      </w:r>
      <w:r>
        <w:rPr>
          <w:rStyle w:val="FootnoteAnchor"/>
          <w:rtl w:val="true"/>
        </w:rPr>
        <w:footnoteReference w:id="1898"/>
      </w:r>
      <w:r>
        <w:rPr>
          <w:rFonts w:ascii="Amiri" w:hAnsi="Amiri" w:eastAsia="Amiri" w:cs="Amiri"/>
          <w:color w:val="111111"/>
          <w:sz w:val="28"/>
          <w:sz w:val="28"/>
          <w:szCs w:val="28"/>
          <w:rtl w:val="true"/>
          <w:lang w:bidi="ar-SA"/>
        </w:rPr>
        <w:t>بمُتابَعتِه، فتَكونَ‌</w:t>
      </w:r>
      <w:r>
        <w:rPr>
          <w:rStyle w:val="FootnoteAnchor"/>
          <w:rtl w:val="true"/>
        </w:rPr>
        <w:footnoteReference w:id="1899"/>
      </w:r>
      <w:r>
        <w:rPr>
          <w:rFonts w:ascii="Amiri" w:hAnsi="Amiri" w:eastAsia="Amiri" w:cs="Amiri"/>
          <w:color w:val="111111"/>
          <w:sz w:val="28"/>
          <w:sz w:val="28"/>
          <w:szCs w:val="28"/>
          <w:rtl w:val="true"/>
          <w:lang w:bidi="ar-SA"/>
        </w:rPr>
        <w:t>المُتابَعةُ مِن أحَدِ الطرَفَينِ‌، و اشتقاقُ اللفظةِ‌</w:t>
      </w:r>
      <w:r>
        <w:rPr>
          <w:rStyle w:val="FootnoteAnchor"/>
          <w:rtl w:val="true"/>
        </w:rPr>
        <w:footnoteReference w:id="1900"/>
      </w:r>
      <w:r>
        <w:rPr>
          <w:rFonts w:ascii="Amiri" w:hAnsi="Amiri" w:eastAsia="Amiri" w:cs="Amiri"/>
          <w:color w:val="111111"/>
          <w:sz w:val="28"/>
          <w:sz w:val="28"/>
          <w:szCs w:val="28"/>
          <w:rtl w:val="true"/>
          <w:lang w:bidi="ar-SA"/>
        </w:rPr>
        <w:t>يَقتَضي المُتابَعةَ مِن كِلا الطرَفَينِ‌، و ذلكَ يَليقُ بالموالاةِ في الدينِ‌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يُقالُ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الإمامةِ ، بَل مِن جهةِ </w:t>
      </w:r>
      <w:bookmarkStart w:id="355" w:name="pg20017_202570"/>
    </w:p>
    <w:p>
      <w:pPr>
        <w:pStyle w:val="BookText"/>
        <w:rPr/>
      </w:pPr>
      <w:bookmarkEnd w:id="355"/>
      <w:r>
        <w:rPr>
          <w:rFonts w:ascii="Amiri" w:hAnsi="Amiri" w:eastAsia="Amiri" w:cs="Amiri"/>
          <w:color w:val="111111"/>
          <w:sz w:val="28"/>
          <w:sz w:val="28"/>
          <w:szCs w:val="28"/>
          <w:rtl w:val="true"/>
          <w:lang w:bidi="ar-SA"/>
        </w:rPr>
        <w:t>الدينِ‌؛ لأنّه إذا اختَصَّ بالإمامةِ لَزِمَته النُّصرةُ و سائرُ ما يَختَصُّ به</w:t>
      </w:r>
      <w:r>
        <w:rPr>
          <w:rStyle w:val="FootnoteAnchor"/>
          <w:rtl w:val="true"/>
        </w:rPr>
        <w:footnoteReference w:id="1901"/>
      </w:r>
      <w:r>
        <w:rPr>
          <w:rFonts w:ascii="Amiri" w:hAnsi="Amiri" w:eastAsia="Amiri" w:cs="Amiri"/>
          <w:color w:val="111111"/>
          <w:sz w:val="28"/>
          <w:sz w:val="28"/>
          <w:szCs w:val="28"/>
          <w:rtl w:val="true"/>
          <w:lang w:bidi="ar-SA"/>
        </w:rPr>
        <w:t>و يَتعلَّقُ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الوجهِ يُقالُ في سائرِ رَعيّتِه أنّهم مَوالٍ له، كما يُقالُ فيه أنّه مَولىً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أنّ المَعانيَ التي يَختَصُّ بها الإمامُ و تُفيدُها الإمامةُ لا يُعلَمُ‌</w:t>
      </w:r>
      <w:r>
        <w:rPr>
          <w:rStyle w:val="FootnoteAnchor"/>
          <w:rtl w:val="true"/>
        </w:rPr>
        <w:footnoteReference w:id="1902"/>
      </w:r>
      <w:r>
        <w:rPr>
          <w:rFonts w:ascii="Amiri" w:hAnsi="Amiri" w:eastAsia="Amiri" w:cs="Amiri"/>
          <w:color w:val="111111"/>
          <w:sz w:val="28"/>
          <w:sz w:val="28"/>
          <w:szCs w:val="28"/>
          <w:rtl w:val="true"/>
          <w:lang w:bidi="ar-SA"/>
        </w:rPr>
        <w:t>إلّابالشرعِ‌؛ لأنّ العقلَ لا يُميِّزُ ذلكَ مِن غيرِه، و إنّما نَعرِفُ ذلكَ‌</w:t>
      </w:r>
      <w:r>
        <w:rPr>
          <w:rStyle w:val="FootnoteAnchor"/>
          <w:rtl w:val="true"/>
        </w:rPr>
        <w:footnoteReference w:id="1903"/>
      </w:r>
      <w:r>
        <w:rPr>
          <w:rFonts w:ascii="Amiri" w:hAnsi="Amiri" w:eastAsia="Amiri" w:cs="Amiri"/>
          <w:color w:val="111111"/>
          <w:sz w:val="28"/>
          <w:sz w:val="28"/>
          <w:szCs w:val="28"/>
          <w:rtl w:val="true"/>
          <w:lang w:bidi="ar-SA"/>
        </w:rPr>
        <w:t>شرعاً؛ 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تُفيدُه مِن جهةِ اللُّغةِ إلّاعلىٰ وجهِ التشبيهِ‌، 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لفظةٌ شَرعيّةٌ‌، و لا للتعارُفِ فيها مَدخَلٌ‌؛ فكَيفَ‌</w:t>
      </w:r>
      <w:r>
        <w:rPr>
          <w:rStyle w:val="FootnoteAnchor"/>
          <w:rtl w:val="true"/>
        </w:rPr>
        <w:footnoteReference w:id="1904"/>
      </w:r>
      <w:r>
        <w:rPr>
          <w:rFonts w:ascii="Amiri" w:hAnsi="Amiri" w:eastAsia="Amiri" w:cs="Amiri"/>
          <w:color w:val="111111"/>
          <w:sz w:val="28"/>
          <w:sz w:val="28"/>
          <w:szCs w:val="28"/>
          <w:rtl w:val="true"/>
          <w:lang w:bidi="ar-SA"/>
        </w:rPr>
        <w:t>يُمكِنُ ما ذَكروه مِن إدخالِ ذلكَ في القِسمةِ ، فضلاً عن</w:t>
      </w:r>
      <w:r>
        <w:rPr>
          <w:rStyle w:val="FootnoteAnchor"/>
          <w:rtl w:val="true"/>
        </w:rPr>
        <w:footnoteReference w:id="1905"/>
      </w:r>
      <w:r>
        <w:rPr>
          <w:rFonts w:ascii="Amiri" w:hAnsi="Amiri" w:eastAsia="Amiri" w:cs="Amiri"/>
          <w:color w:val="111111"/>
          <w:sz w:val="28"/>
          <w:sz w:val="28"/>
          <w:szCs w:val="28"/>
          <w:rtl w:val="true"/>
          <w:lang w:bidi="ar-SA"/>
        </w:rPr>
        <w:t>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الظاهرُ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الأُمورِ في هذا</w:t>
      </w:r>
    </w:p>
    <w:p>
      <w:pPr>
        <w:pStyle w:val="BookText"/>
        <w:rPr/>
      </w:pPr>
      <w:r>
        <w:rPr>
          <w:rFonts w:ascii="Amiri" w:hAnsi="Amiri" w:eastAsia="Amiri" w:cs="Amiri"/>
          <w:color w:val="111111"/>
          <w:sz w:val="28"/>
          <w:sz w:val="28"/>
          <w:szCs w:val="28"/>
          <w:rtl w:val="true"/>
          <w:lang w:bidi="ar-SA"/>
        </w:rPr>
        <w:t xml:space="preserve">المُستَدِلِّ أنّه ذَكَرَ في الخبرِ سائرَ الأقسامِ ، و تَرَكَ ما حَمَلَ شُيوخُنا الخبرَ عليه، و لَو اشتَغَلَ بذلكَ </w:t>
      </w:r>
      <w:r>
        <w:rPr>
          <w:rStyle w:val="FootnoteAnchor"/>
          <w:rtl w:val="true"/>
        </w:rPr>
        <w:footnoteReference w:id="1906"/>
      </w:r>
      <w:r>
        <w:rPr>
          <w:rFonts w:ascii="Amiri" w:hAnsi="Amiri" w:eastAsia="Amiri" w:cs="Amiri"/>
          <w:color w:val="111111"/>
          <w:sz w:val="28"/>
          <w:sz w:val="28"/>
          <w:szCs w:val="28"/>
          <w:rtl w:val="true"/>
          <w:lang w:bidi="ar-SA"/>
        </w:rPr>
        <w:t xml:space="preserve">لَكانَ أَولىٰ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 ما في ذلكَ مِن الكلامِ ، و تَقَصَّيناه و بيّنّا أنّه المُرادُ، دونَ غيرِه</w:t>
      </w:r>
      <w:r>
        <w:rPr>
          <w:rFonts w:eastAsia="Amiri" w:cs="Amiri" w:ascii="Amiri" w:hAnsi="Amiri"/>
          <w:color w:val="111111"/>
          <w:sz w:val="28"/>
          <w:szCs w:val="28"/>
          <w:rtl w:val="true"/>
          <w:lang w:bidi="ar-SA"/>
        </w:rPr>
        <w:t>].</w:t>
      </w:r>
      <w:r>
        <w:rPr>
          <w:rStyle w:val="FootnoteAnchor"/>
          <w:rtl w:val="true"/>
        </w:rPr>
        <w:footnoteReference w:id="1907"/>
      </w:r>
    </w:p>
    <w:p>
      <w:pPr>
        <w:pStyle w:val="Heading6"/>
        <w:numPr>
          <w:ilvl w:val="5"/>
          <w:numId w:val="1"/>
        </w:numPr>
        <w:rPr/>
      </w:pPr>
      <w:bookmarkStart w:id="356" w:name="__RefHeading___Toc964245_2320776876"/>
      <w:bookmarkStart w:id="357" w:name="_Toc126"/>
      <w:bookmarkEnd w:id="356"/>
      <w:r>
        <w:rPr>
          <w:rtl w:val="true"/>
        </w:rPr>
        <w:t xml:space="preserve">دلالة كلام أبي مسلم الأصفهانيّ علىٰ أنّ لفظة </w:t>
      </w:r>
      <w:r>
        <w:rPr>
          <w:rtl w:val="true"/>
        </w:rPr>
        <w:t>«</w:t>
      </w:r>
      <w:r>
        <w:rPr>
          <w:rtl w:val="true"/>
        </w:rPr>
        <w:t xml:space="preserve">وليّ </w:t>
      </w:r>
      <w:r>
        <w:rPr>
          <w:rtl w:val="true"/>
        </w:rPr>
        <w:t xml:space="preserve">» </w:t>
      </w:r>
      <w:r>
        <w:rPr>
          <w:rtl w:val="true"/>
        </w:rPr>
        <w:t>تُطلق علىٰ مَن تجب طاعته</w:t>
      </w:r>
      <w:bookmarkEnd w:id="35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حَكَيتَه عن أبي مُسلِمٍ لا يُنكَرُ أن يَكونَ صحيحاً، و هو إذا صَحَّ لا يَضُرُّنا و لا يَنفَعُكَ ، و إن كنتَ قد أتبَعتَه بشَيءٍ </w:t>
      </w:r>
      <w:r>
        <w:rPr>
          <w:rStyle w:val="FootnoteAnchor"/>
          <w:rtl w:val="true"/>
        </w:rPr>
        <w:footnoteReference w:id="1908"/>
      </w:r>
      <w:r>
        <w:rPr>
          <w:rFonts w:ascii="Amiri" w:hAnsi="Amiri" w:eastAsia="Amiri" w:cs="Amiri"/>
          <w:color w:val="111111"/>
          <w:sz w:val="28"/>
          <w:sz w:val="28"/>
          <w:szCs w:val="28"/>
          <w:rtl w:val="true"/>
          <w:lang w:bidi="ar-SA"/>
        </w:rPr>
        <w:t xml:space="preserve">مِن عندِكَ لَيسَ بصحيحٍ ، </w:t>
      </w:r>
    </w:p>
    <w:p>
      <w:pPr>
        <w:pStyle w:val="BookText"/>
        <w:rPr/>
      </w:pPr>
      <w:r>
        <w:rPr>
          <w:rFonts w:ascii="Amiri" w:hAnsi="Amiri" w:eastAsia="Amiri" w:cs="Amiri"/>
          <w:color w:val="111111"/>
          <w:sz w:val="28"/>
          <w:sz w:val="28"/>
          <w:szCs w:val="28"/>
          <w:rtl w:val="true"/>
          <w:lang w:bidi="ar-SA"/>
        </w:rPr>
        <w:t>و لا خافي الفَسادِ</w:t>
      </w:r>
      <w:r>
        <w:rPr>
          <w:rStyle w:val="FootnoteAnchor"/>
          <w:rtl w:val="true"/>
        </w:rPr>
        <w:footnoteReference w:id="1909"/>
      </w:r>
      <w:r>
        <w:rPr>
          <w:rFonts w:ascii="Amiri" w:hAnsi="Amiri" w:eastAsia="Amiri" w:cs="Amiri"/>
          <w:color w:val="111111"/>
          <w:sz w:val="28"/>
          <w:sz w:val="28"/>
          <w:szCs w:val="28"/>
          <w:rtl w:val="true"/>
          <w:lang w:bidi="ar-SA"/>
        </w:rPr>
        <w:t xml:space="preserve">لأنّ أبا مُسلِمٍ فَسَّرَ معنَى الموالاةِ و اشتقاقَها، و لَم يَقُلْ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لها و لا يَحتَمِلُ إلّاالموالاةَ التي فَسَّرَها بالمُتابَعةِ‌، بَل قد صَرَّحَ بضِدِّ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نَحكي كلامَه بعَينِه في المَوضِعِ‌</w:t>
      </w:r>
      <w:r>
        <w:rPr>
          <w:rStyle w:val="FootnoteAnchor"/>
          <w:rtl w:val="true"/>
        </w:rPr>
        <w:footnoteReference w:id="1910"/>
      </w:r>
      <w:r>
        <w:rPr>
          <w:rFonts w:ascii="Amiri" w:hAnsi="Amiri" w:eastAsia="Amiri" w:cs="Amiri"/>
          <w:color w:val="111111"/>
          <w:sz w:val="28"/>
          <w:sz w:val="28"/>
          <w:szCs w:val="28"/>
          <w:rtl w:val="true"/>
          <w:lang w:bidi="ar-SA"/>
        </w:rPr>
        <w:t>الذي نَقَلَ منه صاحبُ الكتابِ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مُسلِمٍ في كتابِ‌</w:t>
      </w:r>
      <w:r>
        <w:rPr>
          <w:rStyle w:val="FootnoteAnchor"/>
          <w:rtl w:val="true"/>
        </w:rPr>
        <w:footnoteReference w:id="1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انتهائه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Style w:val="FootnoteAnchor"/>
          <w:rtl w:val="true"/>
        </w:rPr>
        <w:footnoteReference w:id="1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المطبوع و الحجري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w:t>
      </w:r>
      <w:r>
        <w:rPr>
          <w:rFonts w:eastAsia="Amiri" w:cs="Amiri" w:ascii="Amiri" w:hAnsi="Amiri"/>
          <w:color w:val="111111"/>
          <w:sz w:val="28"/>
          <w:szCs w:val="28"/>
          <w:rtl w:val="true"/>
          <w:lang w:bidi="ar-SA"/>
        </w:rPr>
        <w:t>».</w:t>
      </w:r>
      <w:r>
        <w:rPr>
          <w:rStyle w:val="FootnoteAnchor"/>
          <w:rtl w:val="true"/>
        </w:rPr>
        <w:footnoteReference w:id="1913"/>
      </w:r>
      <w:r>
        <w:rPr>
          <w:rFonts w:ascii="Amiri" w:hAnsi="Amiri" w:eastAsia="Amiri" w:cs="Amiri"/>
          <w:color w:val="111111"/>
          <w:sz w:val="28"/>
          <w:sz w:val="28"/>
          <w:szCs w:val="28"/>
          <w:rtl w:val="true"/>
          <w:lang w:bidi="ar-SA"/>
        </w:rPr>
        <w:t>بَعدَ كلامٍ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مَواضِعَ ممّا فَسَّرنا مِن السُّوَرِ الماضيةِ ، و جُملةُ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الرجُلُ تابعاً مَحبّةَ أخيهِ في كُلِّ أحوالِه، و يَملِكُ منه ما يَملِكُه مِن نفسِه، و يُريدُ له ما يُريدُه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 يَقولونَ فيمَن يَختَصّونَ مِن أقارِبِهم إذا أخبَروا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لي و لِمَن يَليني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كأنّ المعنىٰ مأخوذٌ مِن الموالاةِ بَينَ الأشياء، أي إتْباعِ بعضِها بعضاً، فيَكونُ المؤمنُ مُوالياً لأخيهِ أي مُتابِعاً 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يَكونُ المعنىٰ في نسبةِ </w:t>
      </w:r>
      <w:r>
        <w:rPr>
          <w:rStyle w:val="FootnoteAnchor"/>
          <w:rtl w:val="true"/>
        </w:rPr>
        <w:footnoteReference w:id="1914"/>
      </w:r>
      <w:r>
        <w:rPr>
          <w:rFonts w:ascii="Amiri" w:hAnsi="Amiri" w:eastAsia="Amiri" w:cs="Amiri"/>
          <w:color w:val="111111"/>
          <w:sz w:val="28"/>
          <w:sz w:val="28"/>
          <w:szCs w:val="28"/>
          <w:rtl w:val="true"/>
          <w:lang w:bidi="ar-SA"/>
        </w:rPr>
        <w:t>ذلكَ إلَى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يَملِكُكم و يَلي أمرَكم و تَجِبُ </w:t>
      </w:r>
      <w:r>
        <w:rPr>
          <w:rStyle w:val="FootnoteAnchor"/>
          <w:rtl w:val="true"/>
        </w:rPr>
        <w:footnoteReference w:id="1915"/>
      </w:r>
      <w:r>
        <w:rPr>
          <w:rFonts w:ascii="Amiri" w:hAnsi="Amiri" w:eastAsia="Amiri" w:cs="Amiri"/>
          <w:color w:val="111111"/>
          <w:sz w:val="28"/>
          <w:sz w:val="28"/>
          <w:szCs w:val="28"/>
          <w:rtl w:val="true"/>
          <w:lang w:bidi="ar-SA"/>
        </w:rPr>
        <w:t xml:space="preserve">عليكم طاعتُه و اتّباعُه، و إلَى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عَطَفَ مِن ذِكرِه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 xml:space="preserve">فَرَضَ اللّٰهُ مِن طاعتِه في أدائه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Style w:val="FootnoteAnchor"/>
          <w:rtl w:val="true"/>
        </w:rPr>
        <w:footnoteReference w:id="1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ص،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 و الحجري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ينسب</w:t>
      </w:r>
      <w:r>
        <w:rPr>
          <w:rFonts w:eastAsia="Amiri" w:cs="Amiri" w:ascii="Amiri" w:hAnsi="Amiri"/>
          <w:color w:val="111111"/>
          <w:sz w:val="28"/>
          <w:szCs w:val="28"/>
          <w:rtl w:val="true"/>
          <w:lang w:bidi="ar-SA"/>
        </w:rPr>
        <w:t>».</w:t>
      </w:r>
      <w:r>
        <w:rPr>
          <w:rStyle w:val="FootnoteAnchor"/>
          <w:rtl w:val="true"/>
        </w:rPr>
        <w:footnoteReference w:id="1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يَبذُلُه</w:t>
      </w:r>
      <w:r>
        <w:rPr>
          <w:rStyle w:val="FootnoteAnchor"/>
          <w:rtl w:val="true"/>
        </w:rPr>
        <w:footnoteReference w:id="1919"/>
      </w:r>
      <w:r>
        <w:rPr>
          <w:rFonts w:ascii="Amiri" w:hAnsi="Amiri" w:eastAsia="Amiri" w:cs="Amiri"/>
          <w:color w:val="111111"/>
          <w:sz w:val="28"/>
          <w:sz w:val="28"/>
          <w:szCs w:val="28"/>
          <w:rtl w:val="true"/>
          <w:lang w:bidi="ar-SA"/>
        </w:rPr>
        <w:t xml:space="preserve">صلّى اللّٰه عليه و آله مِن النُّصحِ للمؤمنينَ ، و هو فَوقَ ما يُعطيهِ بعضُهم بعضاً،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p>
    <w:p>
      <w:pPr>
        <w:pStyle w:val="BookText"/>
        <w:rPr/>
      </w:pP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Style w:val="FootnoteAnchor"/>
          <w:rtl w:val="true"/>
        </w:rPr>
        <w:footnoteReference w:id="1920"/>
      </w:r>
    </w:p>
    <w:p>
      <w:pPr>
        <w:pStyle w:val="BookText"/>
        <w:rPr/>
      </w:pPr>
      <w:r>
        <w:rPr>
          <w:rFonts w:ascii="Amiri" w:hAnsi="Amiri" w:eastAsia="Amiri" w:cs="Amiri"/>
          <w:color w:val="111111"/>
          <w:sz w:val="28"/>
          <w:sz w:val="28"/>
          <w:szCs w:val="28"/>
          <w:rtl w:val="true"/>
          <w:lang w:bidi="ar-SA"/>
        </w:rPr>
        <w:t>و إنّما 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الَّذِينَ يُقِيمُونَ الصَّلاٰةَ وَ يُؤْتُونَ الزَّكٰاةَ‌</w:t>
      </w:r>
      <w:r>
        <w:rPr>
          <w:rFonts w:eastAsia="Amiri" w:cs="Amiri" w:ascii="Amiri" w:hAnsi="Amiri"/>
          <w:color w:val="111111"/>
          <w:sz w:val="28"/>
          <w:szCs w:val="28"/>
          <w:rtl w:val="true"/>
          <w:lang w:bidi="ar-SA"/>
        </w:rPr>
        <w:t>)</w:t>
      </w:r>
      <w:r>
        <w:rPr>
          <w:rStyle w:val="FootnoteAnchor"/>
          <w:rtl w:val="true"/>
        </w:rPr>
        <w:footnoteReference w:id="1921"/>
      </w:r>
      <w:r>
        <w:rPr>
          <w:rFonts w:ascii="IRNazanin" w:hAnsi="IRNazanin" w:eastAsia="IRNazanin"/>
          <w:color w:val="111111"/>
          <w:sz w:val="28"/>
          <w:sz w:val="28"/>
          <w:szCs w:val="28"/>
          <w:rtl w:val="true"/>
          <w:lang w:bidi="fa-IR"/>
        </w:rPr>
        <w:t>ما</w:t>
      </w:r>
      <w:r>
        <w:rPr>
          <w:rStyle w:val="FootnoteAnchor"/>
          <w:rtl w:val="true"/>
        </w:rPr>
        <w:footnoteReference w:id="1922"/>
      </w:r>
      <w:r>
        <w:rPr>
          <w:rFonts w:ascii="Amiri" w:hAnsi="Amiri" w:eastAsia="Amiri" w:cs="Amiri"/>
          <w:color w:val="111111"/>
          <w:sz w:val="28"/>
          <w:sz w:val="28"/>
          <w:szCs w:val="28"/>
          <w:rtl w:val="true"/>
          <w:lang w:bidi="ar-SA"/>
        </w:rPr>
        <w:t>قَدَّمناه</w:t>
      </w:r>
      <w:r>
        <w:rPr>
          <w:rStyle w:val="FootnoteAnchor"/>
          <w:rtl w:val="true"/>
        </w:rPr>
        <w:footnoteReference w:id="1923"/>
      </w:r>
      <w:r>
        <w:rPr>
          <w:rFonts w:ascii="Amiri" w:hAnsi="Amiri" w:eastAsia="Amiri" w:cs="Amiri"/>
          <w:color w:val="111111"/>
          <w:sz w:val="28"/>
          <w:sz w:val="28"/>
          <w:szCs w:val="28"/>
          <w:rtl w:val="true"/>
          <w:lang w:bidi="ar-SA"/>
        </w:rPr>
        <w:t>مِن الاتّفاقِ بَينَهم، و طاعةِ كُلِّ واحدٍ منهم لصاحبِه، و مُظافَرتِه إيّاه علىٰ أمرِ اللّٰهِ‌، و مِلكِه مِن أخيهِ ما يَملِكُه مِن نفسِه فيه</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 xml:space="preserve">هذا كلامُه بألفاظِه، و هو يَشهَدُ بما نَذهَبُ </w:t>
      </w:r>
      <w:r>
        <w:rPr>
          <w:rStyle w:val="FootnoteAnchor"/>
          <w:rtl w:val="true"/>
        </w:rPr>
        <w:footnoteReference w:id="1926"/>
      </w:r>
      <w:r>
        <w:rPr>
          <w:rFonts w:ascii="Amiri" w:hAnsi="Amiri" w:eastAsia="Amiri" w:cs="Amiri"/>
          <w:color w:val="111111"/>
          <w:sz w:val="28"/>
          <w:sz w:val="28"/>
          <w:szCs w:val="28"/>
          <w:rtl w:val="true"/>
          <w:lang w:bidi="ar-SA"/>
        </w:rPr>
        <w:t xml:space="preserve">إليه مِن إجراءِ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يَجِبُ </w:t>
      </w:r>
      <w:r>
        <w:rPr>
          <w:rStyle w:val="FootnoteAnchor"/>
          <w:rtl w:val="true"/>
        </w:rPr>
        <w:footnoteReference w:id="1927"/>
      </w:r>
      <w:r>
        <w:rPr>
          <w:rFonts w:ascii="Amiri" w:hAnsi="Amiri" w:eastAsia="Amiri" w:cs="Amiri"/>
          <w:color w:val="111111"/>
          <w:sz w:val="28"/>
          <w:sz w:val="28"/>
          <w:szCs w:val="28"/>
          <w:rtl w:val="true"/>
          <w:lang w:bidi="ar-SA"/>
        </w:rPr>
        <w:t>طاعتُه و الانتهاءُ إلىٰ أمرِه، علىٰ خِلافِ ما يُريدُه صاحبُ الكتابِ و يَذهَبُ إليه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معناها و أصلُ اشتقاقِها إذا أُريدَ بها الموالاةُ يَقتَضيانِ المُتابَعةَ علىٰ ما ذُكِرَ، لَم يُنافِ ذلكَ قولَنا، و لا قَدَحَ فيه؛ لأنّا قد ذَكرنا فيما تَقدَّمَ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bookmarkStart w:id="358" w:name="pg20017_202573"/>
    </w:p>
    <w:p>
      <w:pPr>
        <w:pStyle w:val="BookText"/>
        <w:rPr/>
      </w:pPr>
      <w:bookmarkEnd w:id="35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تَجريانِ </w:t>
      </w:r>
      <w:r>
        <w:rPr>
          <w:rStyle w:val="FootnoteAnchor"/>
          <w:rtl w:val="true"/>
        </w:rPr>
        <w:footnoteReference w:id="1928"/>
      </w:r>
      <w:r>
        <w:rPr>
          <w:rFonts w:ascii="Amiri" w:hAnsi="Amiri" w:eastAsia="Amiri" w:cs="Amiri"/>
          <w:color w:val="111111"/>
          <w:sz w:val="28"/>
          <w:sz w:val="28"/>
          <w:szCs w:val="28"/>
          <w:rtl w:val="true"/>
          <w:lang w:bidi="ar-SA"/>
        </w:rPr>
        <w:t xml:space="preserve">علَى الموالاةِ في الدينِ </w:t>
      </w:r>
      <w:r>
        <w:rPr>
          <w:rStyle w:val="FootnoteAnchor"/>
          <w:rtl w:val="true"/>
        </w:rPr>
        <w:footnoteReference w:id="1929"/>
      </w:r>
      <w:r>
        <w:rPr>
          <w:rFonts w:ascii="Amiri" w:hAnsi="Amiri" w:eastAsia="Amiri" w:cs="Amiri"/>
          <w:color w:val="111111"/>
          <w:sz w:val="28"/>
          <w:sz w:val="28"/>
          <w:szCs w:val="28"/>
          <w:rtl w:val="true"/>
          <w:lang w:bidi="ar-SA"/>
        </w:rPr>
        <w:t>، و دَلَّلنا علىٰ أنّ المُرادَ بهما في الآيةِ و خبرِ الغَديرِ ما ذَهَبنا إليه دونَ غيرِه</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964247_2320776876"/>
      <w:bookmarkStart w:id="360" w:name="_Toc127"/>
      <w:bookmarkEnd w:id="359"/>
      <w:r>
        <w:rPr>
          <w:rtl w:val="true"/>
        </w:rPr>
        <w:t>مخالفة كلام أبي مسلم لكلام القاضي</w:t>
      </w:r>
      <w:bookmarkEnd w:id="360"/>
    </w:p>
    <w:p>
      <w:pPr>
        <w:pStyle w:val="BookText"/>
        <w:rPr/>
      </w:pPr>
      <w:r>
        <w:rPr>
          <w:rFonts w:ascii="Amiri" w:hAnsi="Amiri" w:eastAsia="Amiri" w:cs="Amiri"/>
          <w:color w:val="111111"/>
          <w:sz w:val="28"/>
          <w:sz w:val="28"/>
          <w:szCs w:val="28"/>
          <w:rtl w:val="true"/>
          <w:lang w:bidi="ar-SA"/>
        </w:rPr>
        <w:t>و في كلامِ أبي مُسلِمٍ ما يُخالِفُ رأيَ صاحبِ الكتابِ مِن وجهٍ آخَرَ؛ لأنّه جَعَلَ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 لمعنَى الآيةِ التي ذَكَرَها</w:t>
      </w:r>
      <w:r>
        <w:rPr>
          <w:rStyle w:val="FootnoteAnchor"/>
          <w:rtl w:val="true"/>
        </w:rPr>
        <w:footnoteReference w:id="1930"/>
      </w:r>
      <w:r>
        <w:rPr>
          <w:rFonts w:ascii="Amiri" w:hAnsi="Amiri" w:eastAsia="Amiri" w:cs="Amiri"/>
          <w:color w:val="111111"/>
          <w:sz w:val="28"/>
          <w:sz w:val="28"/>
          <w:szCs w:val="28"/>
          <w:rtl w:val="true"/>
          <w:lang w:bidi="ar-SA"/>
        </w:rPr>
        <w:t>في اقتضاءِ وجوبِ الطاعةِ و الاتّباعِ‌، و معلومٌ أنّ التقريرَ في مُقدِّمةِ خبرِ الغَديرِ وَقَعَ بما أوجَبَه اللّٰهُ تَعالىٰ في الآيةِ لرسولِه صَلّى اللّٰهُ عليه و آلِه، و أنّ المعنَيَينِ مُتَطابِقانِ‌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الكتابِ 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حَكَيناه مِن كلامِه و نَقَضناه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التقريرُ وَقَعَ بفرضِ الطاعةِ في خبرِ الغَديرِ، و قد بيّنّا أنّه خِلافٌ للأُمّةِ‌</w:t>
      </w:r>
      <w:r>
        <w:rPr>
          <w:rStyle w:val="FootnoteAnchor"/>
          <w:rtl w:val="true"/>
        </w:rPr>
        <w:footnoteReference w:id="1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احتَجَّ بكلامِ أبي مُسلِمٍ في المَوضِعِ الذي حَكاه</w:t>
      </w:r>
      <w:r>
        <w:rPr>
          <w:rStyle w:val="FootnoteAnchor"/>
          <w:rtl w:val="true"/>
        </w:rPr>
        <w:footnoteReference w:id="1932"/>
      </w:r>
      <w:r>
        <w:rPr>
          <w:rFonts w:ascii="Amiri" w:hAnsi="Amiri" w:eastAsia="Amiri" w:cs="Amiri"/>
          <w:color w:val="111111"/>
          <w:sz w:val="28"/>
          <w:sz w:val="28"/>
          <w:szCs w:val="28"/>
          <w:rtl w:val="true"/>
          <w:lang w:bidi="ar-SA"/>
        </w:rPr>
        <w:t xml:space="preserve">و جَعَلَه قُدوةً فيما يَرجِعُ إلَى اللُّغةِ و 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جميعَ ما ذَكَرَه</w:t>
      </w:r>
      <w:r>
        <w:rPr>
          <w:rStyle w:val="FootnoteAnchor"/>
          <w:rtl w:val="true"/>
        </w:rPr>
        <w:footnoteReference w:id="1933"/>
      </w:r>
      <w:r>
        <w:rPr>
          <w:rFonts w:ascii="Amiri" w:hAnsi="Amiri" w:eastAsia="Amiri" w:cs="Amiri"/>
          <w:color w:val="111111"/>
          <w:sz w:val="28"/>
          <w:sz w:val="28"/>
          <w:szCs w:val="28"/>
          <w:rtl w:val="true"/>
          <w:lang w:bidi="ar-SA"/>
        </w:rPr>
        <w:t>هناكَ ، و لا يَقصُرَ</w:t>
      </w:r>
      <w:r>
        <w:rPr>
          <w:rStyle w:val="FootnoteAnchor"/>
          <w:rtl w:val="true"/>
        </w:rPr>
        <w:footnoteReference w:id="1934"/>
      </w:r>
      <w:r>
        <w:rPr>
          <w:rFonts w:ascii="Amiri" w:hAnsi="Amiri" w:eastAsia="Amiri" w:cs="Amiri"/>
          <w:color w:val="111111"/>
          <w:sz w:val="28"/>
          <w:sz w:val="28"/>
          <w:szCs w:val="28"/>
          <w:rtl w:val="true"/>
          <w:lang w:bidi="ar-SA"/>
        </w:rPr>
        <w:t>احتجاجَه علىٰ ما وافَقَ هَواه دونَ ما خالَفَه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له</w:t>
      </w:r>
      <w:r>
        <w:rPr>
          <w:rStyle w:val="FootnoteAnchor"/>
          <w:rtl w:val="true"/>
        </w:rPr>
        <w:footnoteReference w:id="1935"/>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الخطأَ يَجوزُ علىٰ أبي مُسلِمٍ في بعضِ كلامِه دونَ بعضٍ ؛ لأنّ ذلكَ إنّما</w:t>
      </w:r>
      <w:r>
        <w:rPr>
          <w:rStyle w:val="FootnoteAnchor"/>
          <w:rtl w:val="true"/>
        </w:rPr>
        <w:footnoteReference w:id="1936"/>
      </w:r>
      <w:r>
        <w:rPr>
          <w:rFonts w:ascii="Amiri" w:hAnsi="Amiri" w:eastAsia="Amiri" w:cs="Amiri"/>
          <w:color w:val="111111"/>
          <w:sz w:val="28"/>
          <w:sz w:val="28"/>
          <w:szCs w:val="28"/>
          <w:rtl w:val="true"/>
          <w:lang w:bidi="ar-SA"/>
        </w:rPr>
        <w:t xml:space="preserve">يَجوزُ فيما طريقُه الاستدلالُ ، فأمّا فيما طريقُه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مَجالَ للاِستدلالِ و القياسِ فيها، و إنّما يؤخَذُ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يَجوزُ، لا سِيَّما </w:t>
      </w:r>
      <w:bookmarkStart w:id="361" w:name="pg20017_202574"/>
    </w:p>
    <w:p>
      <w:pPr>
        <w:pStyle w:val="BookText"/>
        <w:rPr/>
      </w:pPr>
      <w:bookmarkEnd w:id="361"/>
      <w:r>
        <w:rPr>
          <w:rFonts w:ascii="Amiri" w:hAnsi="Amiri" w:eastAsia="Amiri" w:cs="Amiri"/>
          <w:color w:val="111111"/>
          <w:sz w:val="28"/>
          <w:sz w:val="28"/>
          <w:szCs w:val="28"/>
          <w:rtl w:val="true"/>
          <w:lang w:bidi="ar-SA"/>
        </w:rPr>
        <w:t xml:space="preserve">و قد جَعَلَ قولَه في معنَى اللفظةِ و اشتقاقِها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بهذه المَنزِلةِ فيما يَرجِعُ إلَى اللُّغةِ ، يَجِبُ أن يُرجَعَ إلىٰ جميعِ قولِه في معنىٰ هذه اللفظةِ و تأويلِها</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964249_2320776876"/>
      <w:bookmarkStart w:id="363" w:name="_Toc128"/>
      <w:bookmarkEnd w:id="362"/>
      <w:r>
        <w:rPr>
          <w:rtl w:val="true"/>
        </w:rPr>
        <w:t xml:space="preserve">جواز استعمال صيغة </w:t>
      </w:r>
      <w:r>
        <w:rPr>
          <w:rtl w:val="true"/>
        </w:rPr>
        <w:t>«</w:t>
      </w:r>
      <w:r>
        <w:rPr>
          <w:rtl w:val="true"/>
        </w:rPr>
        <w:t>المفاعلة</w:t>
      </w:r>
      <w:r>
        <w:rPr>
          <w:rtl w:val="true"/>
        </w:rPr>
        <w:t xml:space="preserve">» </w:t>
      </w:r>
      <w:r>
        <w:rPr>
          <w:rtl w:val="true"/>
        </w:rPr>
        <w:t>في الواحد و الاثنين</w:t>
      </w:r>
      <w:bookmarkEnd w:id="363"/>
    </w:p>
    <w:p>
      <w:pPr>
        <w:pStyle w:val="BookText"/>
        <w:rPr/>
      </w:pPr>
      <w:r>
        <w:rPr>
          <w:rFonts w:ascii="Amiri" w:hAnsi="Amiri" w:eastAsia="Amiri" w:cs="Amiri"/>
          <w:color w:val="111111"/>
          <w:sz w:val="28"/>
          <w:sz w:val="28"/>
          <w:szCs w:val="28"/>
          <w:rtl w:val="true"/>
          <w:lang w:bidi="ar-SA"/>
        </w:rPr>
        <w:t>فأمّا الخطأُ الذي أتْبَعَ صاحبُ الكتابِ به</w:t>
      </w:r>
      <w:r>
        <w:rPr>
          <w:rStyle w:val="FootnoteAnchor"/>
          <w:rtl w:val="true"/>
        </w:rPr>
        <w:footnoteReference w:id="1937"/>
      </w:r>
      <w:r>
        <w:rPr>
          <w:rFonts w:ascii="Amiri" w:hAnsi="Amiri" w:eastAsia="Amiri" w:cs="Amiri"/>
          <w:color w:val="111111"/>
          <w:sz w:val="28"/>
          <w:sz w:val="28"/>
          <w:szCs w:val="28"/>
          <w:rtl w:val="true"/>
          <w:lang w:bidi="ar-SA"/>
        </w:rPr>
        <w:t>كلامَ أبي مُسلِمٍ‌، فهو اعتقادُه أنّ الموالاةَ إذا كانَت بمعنَى المُتابَعةِ استحالَ حصولُها مِن جهةٍ واحدةٍ‌، و وَجَبَ أن لا يَدخُلَ إلّابَينَ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خطأٌ فاحشٌ‌؛ لأنّ لفظةَ المُفاعَلةِ لَيسَ يَجِبُ‌</w:t>
      </w:r>
      <w:r>
        <w:rPr>
          <w:rStyle w:val="FootnoteAnchor"/>
          <w:rtl w:val="true"/>
        </w:rPr>
        <w:footnoteReference w:id="1938"/>
      </w:r>
      <w:r>
        <w:rPr>
          <w:rFonts w:ascii="Amiri" w:hAnsi="Amiri" w:eastAsia="Amiri" w:cs="Amiri"/>
          <w:color w:val="111111"/>
          <w:sz w:val="28"/>
          <w:sz w:val="28"/>
          <w:szCs w:val="28"/>
          <w:rtl w:val="true"/>
          <w:lang w:bidi="ar-SA"/>
        </w:rPr>
        <w:t>في كُلِّ مَوضِعٍ دخولُها بَينَ اثنَينِ‌</w:t>
      </w:r>
      <w:r>
        <w:rPr>
          <w:rStyle w:val="FootnoteAnchor"/>
          <w:rtl w:val="true"/>
        </w:rPr>
        <w:footnoteReference w:id="1939"/>
      </w:r>
      <w:r>
        <w:rPr>
          <w:rFonts w:ascii="Amiri" w:hAnsi="Amiri" w:eastAsia="Amiri" w:cs="Amiri"/>
          <w:color w:val="111111"/>
          <w:sz w:val="28"/>
          <w:sz w:val="28"/>
          <w:szCs w:val="28"/>
          <w:rtl w:val="true"/>
          <w:lang w:bidi="ar-SA"/>
        </w:rPr>
        <w:t>، و إن كانَ قد يَدخُلُ‌</w:t>
      </w:r>
      <w:r>
        <w:rPr>
          <w:rStyle w:val="FootnoteAnchor"/>
          <w:rtl w:val="true"/>
        </w:rPr>
        <w:footnoteReference w:id="1940"/>
      </w:r>
      <w:r>
        <w:rPr>
          <w:rFonts w:ascii="Amiri" w:hAnsi="Amiri" w:eastAsia="Amiri" w:cs="Amiri"/>
          <w:color w:val="111111"/>
          <w:sz w:val="28"/>
          <w:sz w:val="28"/>
          <w:szCs w:val="28"/>
          <w:rtl w:val="true"/>
          <w:lang w:bidi="ar-SA"/>
        </w:rPr>
        <w:t>بَينَهما في أكثَرِ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لفظةِ المُفاعَلةِ المُستَعمَلةِ في الواحدِ دونَ الاثنينِ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w:t>
      </w:r>
      <w:r>
        <w:rPr>
          <w:rStyle w:val="FootnoteAnchor"/>
          <w:rtl w:val="true"/>
        </w:rPr>
        <w:footnoteReference w:id="1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Style w:val="FootnoteAnchor"/>
          <w:rtl w:val="true"/>
        </w:rPr>
        <w:footnoteReference w:id="1942"/>
      </w:r>
      <w:r>
        <w:rPr>
          <w:rFonts w:ascii="Amiri" w:hAnsi="Amiri" w:eastAsia="Amiri" w:cs="Amiri"/>
          <w:color w:val="111111"/>
          <w:sz w:val="28"/>
          <w:sz w:val="28"/>
          <w:szCs w:val="28"/>
          <w:rtl w:val="true"/>
          <w:lang w:bidi="ar-SA"/>
        </w:rPr>
        <w:t>ما يَجري</w:t>
      </w:r>
      <w:r>
        <w:rPr>
          <w:rStyle w:val="FootnoteAnchor"/>
          <w:rtl w:val="true"/>
        </w:rPr>
        <w:footnoteReference w:id="1943"/>
      </w:r>
      <w:r>
        <w:rPr>
          <w:rFonts w:ascii="Amiri" w:hAnsi="Amiri" w:eastAsia="Amiri" w:cs="Amiri"/>
          <w:color w:val="111111"/>
          <w:sz w:val="28"/>
          <w:sz w:val="28"/>
          <w:szCs w:val="28"/>
          <w:rtl w:val="true"/>
          <w:lang w:bidi="ar-SA"/>
        </w:rPr>
        <w:t>مَجرىٰ ما ذَكرناه ممّا يَتَّسِعُ ذِكرُه،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تابَعتُ </w:t>
      </w:r>
      <w:r>
        <w:rPr>
          <w:rStyle w:val="FootnoteAnchor"/>
          <w:rtl w:val="true"/>
        </w:rPr>
        <w:footnoteReference w:id="1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بما عَدَّدناه ممّا</w:t>
      </w:r>
      <w:r>
        <w:rPr>
          <w:rStyle w:val="FootnoteAnchor"/>
          <w:rtl w:val="true"/>
        </w:rPr>
        <w:footnoteReference w:id="1945"/>
      </w:r>
      <w:r>
        <w:rPr>
          <w:rFonts w:ascii="Amiri" w:hAnsi="Amiri" w:eastAsia="Amiri" w:cs="Amiri"/>
          <w:color w:val="111111"/>
          <w:sz w:val="28"/>
          <w:sz w:val="28"/>
          <w:szCs w:val="28"/>
          <w:rtl w:val="true"/>
          <w:lang w:bidi="ar-SA"/>
        </w:rPr>
        <w:t xml:space="preserve">يَكونُ عبارةً عن الواحدِ و إن كانَ لفظُه لفظَ المُفاعَلةِ </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964251_2320776876"/>
      <w:bookmarkStart w:id="365" w:name="_Toc129"/>
      <w:bookmarkEnd w:id="364"/>
      <w:r>
        <w:rPr>
          <w:rtl w:val="true"/>
        </w:rPr>
        <w:t>جواز استفادة معنى الإمامة من اللغة</w:t>
      </w:r>
      <w:bookmarkEnd w:id="36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ذَكره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تُفيدُه</w:t>
      </w:r>
      <w:r>
        <w:rPr>
          <w:rStyle w:val="FootnoteAnchor"/>
          <w:rtl w:val="true"/>
        </w:rPr>
        <w:footnoteReference w:id="1946"/>
      </w:r>
      <w:r>
        <w:rPr>
          <w:rFonts w:ascii="Amiri" w:hAnsi="Amiri" w:eastAsia="Amiri" w:cs="Amiri"/>
          <w:color w:val="111111"/>
          <w:sz w:val="28"/>
          <w:sz w:val="28"/>
          <w:szCs w:val="28"/>
          <w:rtl w:val="true"/>
          <w:lang w:bidi="ar-SA"/>
        </w:rPr>
        <w:t xml:space="preserve">الإمامةُ و يَختَصُّ به الإمامُ لا يُعلَمُ إلّا بالشرعِ‌، و تَوَصُّلُه بذلكَ إلىٰ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تُفيدُ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صحيحٍ ؛ لأنّ </w:t>
      </w:r>
    </w:p>
    <w:p>
      <w:pPr>
        <w:pStyle w:val="BookText"/>
        <w:rPr/>
      </w:pPr>
      <w:r>
        <w:rPr>
          <w:rFonts w:ascii="Amiri" w:hAnsi="Amiri" w:eastAsia="Amiri" w:cs="Amiri"/>
          <w:color w:val="111111"/>
          <w:sz w:val="28"/>
          <w:sz w:val="28"/>
          <w:szCs w:val="28"/>
          <w:rtl w:val="true"/>
          <w:lang w:bidi="ar-SA"/>
        </w:rPr>
        <w:t>الإمامةَ تَجري في اللُّغةِ علىٰ معنَى الاتّباعِ و الاقتداءِ‌، و هي في الشرعِ أيضاً تُفيدُ هذا المعنىٰ‌، و إن كانَت الشريعةُ‌</w:t>
      </w:r>
      <w:r>
        <w:rPr>
          <w:rStyle w:val="FootnoteAnchor"/>
          <w:rtl w:val="true"/>
        </w:rPr>
        <w:footnoteReference w:id="1947"/>
      </w:r>
      <w:r>
        <w:rPr>
          <w:rFonts w:ascii="Amiri" w:hAnsi="Amiri" w:eastAsia="Amiri" w:cs="Amiri"/>
          <w:color w:val="111111"/>
          <w:sz w:val="28"/>
          <w:sz w:val="28"/>
          <w:szCs w:val="28"/>
          <w:rtl w:val="true"/>
          <w:lang w:bidi="ar-SA"/>
        </w:rPr>
        <w:t>وَرَدَت بأحكامٍ يَتولّاها الإمامُ علَى التفصيلِ لا يُفيدُها اللفظةُ اللُّغويّةُ المُفيدةُ للاتّباعِ‌</w:t>
      </w:r>
      <w:r>
        <w:rPr>
          <w:rStyle w:val="FootnoteAnchor"/>
          <w:rtl w:val="true"/>
        </w:rPr>
        <w:footnoteReference w:id="1948"/>
      </w:r>
      <w:r>
        <w:rPr>
          <w:rFonts w:ascii="Amiri" w:hAnsi="Amiri" w:eastAsia="Amiri" w:cs="Amiri"/>
          <w:color w:val="111111"/>
          <w:sz w:val="28"/>
          <w:sz w:val="28"/>
          <w:szCs w:val="28"/>
          <w:rtl w:val="true"/>
          <w:lang w:bidi="ar-SA"/>
        </w:rPr>
        <w:t>و الاقتداءِ علىٰ سَبيلِ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أنّ الخبرَ إذا اقتَضىٰ وجوبَ الطاعةِ و الاتّباعِ ، فقَد دَلَّ علَى الإمامةِ بجميعِ أحكامِها الشرعيّةِ ؛ لأنّ الطاعةَ علىٰ جميعِ الخَلقِ في سائرِ الأُمورِ لا تَجِبُ بَعدَ النبيِّ إلّاللإمامِ ؛ فقَد بَطَلَ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الإمامةَ لا تَدخُلُ في القِسمةِ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تأويلُ شُيوخِه للخبرِ، فقَد تَقدَّمَ كلامُنا عليه</w:t>
      </w:r>
      <w:r>
        <w:rPr>
          <w:rFonts w:eastAsia="Amiri" w:cs="Amiri" w:ascii="Amiri" w:hAnsi="Amiri"/>
          <w:color w:val="111111"/>
          <w:sz w:val="28"/>
          <w:szCs w:val="28"/>
          <w:rtl w:val="true"/>
          <w:lang w:bidi="ar-SA"/>
        </w:rPr>
        <w:t>.</w:t>
      </w:r>
      <w:r>
        <w:rPr>
          <w:rStyle w:val="FootnoteAnchor"/>
          <w:rtl w:val="true"/>
        </w:rPr>
        <w:footnoteReference w:id="1949"/>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أورَدَه مَن زَعَمَ‌</w:t>
      </w:r>
      <w:r>
        <w:rPr>
          <w:rStyle w:val="FootnoteAnchor"/>
          <w:rtl w:val="true"/>
        </w:rPr>
        <w:footnoteReference w:id="1950"/>
      </w:r>
      <w:r>
        <w:rPr>
          <w:rFonts w:ascii="Amiri" w:hAnsi="Amiri" w:eastAsia="Amiri" w:cs="Amiri"/>
          <w:color w:val="111111"/>
          <w:sz w:val="28"/>
          <w:sz w:val="28"/>
          <w:szCs w:val="28"/>
          <w:rtl w:val="true"/>
          <w:lang w:bidi="ar-SA"/>
        </w:rPr>
        <w:t xml:space="preserve">أنّه لَو لَم يُرِدْ عليه السلامُ </w:t>
      </w:r>
      <w:r>
        <w:rPr>
          <w:rStyle w:val="FootnoteAnchor"/>
          <w:rtl w:val="true"/>
        </w:rPr>
        <w:footnoteReference w:id="1951"/>
      </w:r>
      <w:r>
        <w:rPr>
          <w:rFonts w:ascii="Amiri" w:hAnsi="Amiri" w:eastAsia="Amiri" w:cs="Amiri"/>
          <w:color w:val="111111"/>
          <w:sz w:val="28"/>
          <w:sz w:val="28"/>
          <w:szCs w:val="28"/>
          <w:rtl w:val="true"/>
          <w:lang w:bidi="ar-SA"/>
        </w:rPr>
        <w:t>به الإمامةَ ، لَكانَ قد تَرَكَهم في حَيرةٍ و عَمّىٰ عليهم</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يَمنَعُ أن يَثبُتَ </w:t>
      </w:r>
      <w:r>
        <w:rPr>
          <w:rStyle w:val="FootnoteAnchor"/>
          <w:rtl w:val="true"/>
        </w:rPr>
        <w:footnoteReference w:id="1953"/>
      </w:r>
      <w:r>
        <w:rPr>
          <w:rFonts w:ascii="Amiri" w:hAnsi="Amiri" w:eastAsia="Amiri" w:cs="Amiri"/>
          <w:color w:val="111111"/>
          <w:sz w:val="28"/>
          <w:sz w:val="28"/>
          <w:szCs w:val="28"/>
          <w:rtl w:val="true"/>
          <w:lang w:bidi="ar-SA"/>
        </w:rPr>
        <w:t>في كلامِه عليه السلامُ ما</w:t>
      </w:r>
      <w:r>
        <w:rPr>
          <w:rStyle w:val="FootnoteAnchor"/>
          <w:rtl w:val="true"/>
        </w:rPr>
        <w:footnoteReference w:id="1954"/>
      </w:r>
      <w:r>
        <w:rPr>
          <w:rFonts w:ascii="Amiri" w:hAnsi="Amiri" w:eastAsia="Amiri" w:cs="Amiri"/>
          <w:color w:val="111111"/>
          <w:sz w:val="28"/>
          <w:sz w:val="28"/>
          <w:szCs w:val="28"/>
          <w:rtl w:val="true"/>
          <w:lang w:bidi="ar-SA"/>
        </w:rPr>
        <w:t>لا يَدُلُّ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ظاهرُه</w:t>
      </w:r>
      <w:r>
        <w:rPr>
          <w:rStyle w:val="FootnoteAnchor"/>
          <w:rtl w:val="true"/>
        </w:rPr>
        <w:footnoteReference w:id="1955"/>
      </w:r>
      <w:r>
        <w:rPr>
          <w:rFonts w:ascii="Amiri" w:hAnsi="Amiri" w:eastAsia="Amiri" w:cs="Amiri"/>
          <w:color w:val="111111"/>
          <w:sz w:val="28"/>
          <w:sz w:val="28"/>
          <w:szCs w:val="28"/>
          <w:rtl w:val="true"/>
          <w:lang w:bidi="ar-SA"/>
        </w:rPr>
        <w:t xml:space="preserve">علَى المُرادِ؟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يؤدّي إلىٰ ضِدِّ ما بُعِثَ له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 كتابِ اللّٰه تَعالَى البيانُ و الشِّفاءُ‌، و فيه مُتَشابِهٌ لا يَدُلُّ ظاهرُه علَى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يَمنَعُ منِ مِثلِه في كلامِه عليه السلامُ؟</w:t>
      </w:r>
      <w:r>
        <w:rPr>
          <w:rFonts w:eastAsia="Amiri" w:cs="Amiri" w:ascii="Amiri" w:hAnsi="Amiri"/>
          <w:color w:val="111111"/>
          <w:sz w:val="28"/>
          <w:szCs w:val="28"/>
          <w:rtl w:val="true"/>
          <w:lang w:bidi="ar-SA"/>
        </w:rPr>
        <w:t>]</w:t>
      </w:r>
      <w:r>
        <w:rPr>
          <w:rStyle w:val="FootnoteAnchor"/>
          <w:rtl w:val="true"/>
        </w:rPr>
        <w:footnoteReference w:id="1956"/>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المُتَشابِهَ و إن كانَ ظاهرُه لا يَدُلُّ علَى المُرادِ، ففي دليلِ العقلِ ما يَبينُ المُرادُ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w:t>
      </w:r>
      <w:r>
        <w:rPr>
          <w:rStyle w:val="FootnoteAnchor"/>
          <w:rtl w:val="true"/>
        </w:rPr>
        <w:footnoteReference w:id="1957"/>
      </w:r>
      <w:r>
        <w:rPr>
          <w:rFonts w:ascii="Amiri" w:hAnsi="Amiri" w:eastAsia="Amiri" w:cs="Amiri"/>
          <w:color w:val="111111"/>
          <w:sz w:val="28"/>
          <w:sz w:val="28"/>
          <w:szCs w:val="28"/>
          <w:rtl w:val="true"/>
          <w:lang w:bidi="ar-SA"/>
        </w:rPr>
        <w:t>مِثلُه في كلامِه عليه السلامُ‌؛ لأنّ مَن خالَفَ 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عليه السلامُ لَم يُرِدْ بذلكَ فائدةً‌، و 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 لا يَدُلُّ علىٰ مُرادِه، و إنّما يَدُلُّ عليه بقَرينةٍ‌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w:t>
      </w:r>
      <w:r>
        <w:rPr>
          <w:rStyle w:val="FootnoteAnchor"/>
          <w:rtl w:val="true"/>
        </w:rPr>
        <w:footnoteReference w:id="1958"/>
      </w:r>
      <w:r>
        <w:rPr>
          <w:rFonts w:ascii="Amiri" w:hAnsi="Amiri" w:eastAsia="Amiri" w:cs="Amiri"/>
          <w:color w:val="111111"/>
          <w:sz w:val="28"/>
          <w:sz w:val="28"/>
          <w:szCs w:val="28"/>
          <w:rtl w:val="true"/>
          <w:lang w:bidi="ar-SA"/>
        </w:rPr>
        <w:t>أنّه عليه السلامُ لمّا عُرِفَ قَصدُه</w:t>
      </w:r>
      <w:r>
        <w:rPr>
          <w:rStyle w:val="FootnoteAnchor"/>
          <w:rtl w:val="true"/>
        </w:rPr>
        <w:footnoteReference w:id="1959"/>
      </w:r>
      <w:r>
        <w:rPr>
          <w:rFonts w:ascii="Amiri" w:hAnsi="Amiri" w:eastAsia="Amiri" w:cs="Amiri"/>
          <w:color w:val="111111"/>
          <w:sz w:val="28"/>
          <w:sz w:val="28"/>
          <w:szCs w:val="28"/>
          <w:rtl w:val="true"/>
          <w:lang w:bidi="ar-SA"/>
        </w:rPr>
        <w:t>عندَ هذا الكلامِ باضطرارٍ إلَى</w:t>
      </w:r>
      <w:r>
        <w:rPr>
          <w:rStyle w:val="FootnoteAnchor"/>
          <w:rtl w:val="true"/>
        </w:rPr>
        <w:footnoteReference w:id="1960"/>
      </w:r>
      <w:r>
        <w:rPr>
          <w:rFonts w:ascii="Amiri" w:hAnsi="Amiri" w:eastAsia="Amiri" w:cs="Amiri"/>
          <w:color w:val="111111"/>
          <w:sz w:val="28"/>
          <w:sz w:val="28"/>
          <w:szCs w:val="28"/>
          <w:rtl w:val="true"/>
          <w:lang w:bidi="ar-SA"/>
        </w:rPr>
        <w:t>الإمامةِ ، فلَو لَم يَدُلَّ الكلامُ عليه لَكانَ مُعمِّياً</w:t>
      </w:r>
      <w:r>
        <w:rPr>
          <w:rStyle w:val="FootnoteAnchor"/>
          <w:rtl w:val="true"/>
        </w:rPr>
        <w:footnoteReference w:id="1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بَعدَه و إن كانَ قد انكَشَفَ مُرادُه للحاضرينَ </w:t>
      </w:r>
      <w:r>
        <w:rPr>
          <w:rFonts w:eastAsia="Amiri" w:cs="Amiri" w:ascii="Amiri" w:hAnsi="Amiri"/>
          <w:color w:val="111111"/>
          <w:sz w:val="28"/>
          <w:szCs w:val="28"/>
          <w:rtl w:val="true"/>
          <w:lang w:bidi="ar-SA"/>
        </w:rPr>
        <w:t>].</w:t>
      </w:r>
      <w:r>
        <w:rPr>
          <w:rStyle w:val="FootnoteAnchor"/>
          <w:rtl w:val="true"/>
        </w:rPr>
        <w:footnoteReference w:id="196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شَرَعَ </w:t>
      </w:r>
      <w:r>
        <w:rPr>
          <w:rStyle w:val="FootnoteAnchor"/>
          <w:rtl w:val="true"/>
        </w:rPr>
        <w:footnoteReference w:id="1963"/>
      </w:r>
      <w:r>
        <w:rPr>
          <w:rFonts w:ascii="Amiri" w:hAnsi="Amiri" w:eastAsia="Amiri" w:cs="Amiri"/>
          <w:color w:val="111111"/>
          <w:sz w:val="28"/>
          <w:sz w:val="28"/>
          <w:szCs w:val="28"/>
          <w:rtl w:val="true"/>
          <w:lang w:bidi="ar-SA"/>
        </w:rPr>
        <w:t>في الجوابِ عن هذا السؤالِ بما لَم نَذكُرْه</w:t>
      </w:r>
      <w:r>
        <w:rPr>
          <w:rStyle w:val="FootnoteAnchor"/>
          <w:rtl w:val="true"/>
        </w:rPr>
        <w:footnoteReference w:id="1964"/>
      </w:r>
      <w:r>
        <w:rPr>
          <w:rFonts w:ascii="Amiri" w:hAnsi="Amiri" w:eastAsia="Amiri" w:cs="Amiri"/>
          <w:color w:val="111111"/>
          <w:sz w:val="28"/>
          <w:sz w:val="28"/>
          <w:szCs w:val="28"/>
          <w:rtl w:val="true"/>
          <w:lang w:bidi="ar-SA"/>
        </w:rPr>
        <w:t xml:space="preserve">لأنّا لا نَسألُه عنه قَطُّ </w:t>
      </w:r>
    </w:p>
    <w:p>
      <w:pPr>
        <w:pStyle w:val="BookText"/>
        <w:rPr/>
      </w:pPr>
      <w:r>
        <w:rPr>
          <w:rFonts w:ascii="Amiri" w:hAnsi="Amiri" w:eastAsia="Amiri" w:cs="Amiri"/>
          <w:color w:val="111111"/>
          <w:sz w:val="28"/>
          <w:sz w:val="28"/>
          <w:szCs w:val="28"/>
          <w:rtl w:val="true"/>
          <w:lang w:bidi="ar-SA"/>
        </w:rPr>
        <w:t>فنَشتَغِلَ بإفسادِ</w:t>
      </w:r>
      <w:r>
        <w:rPr>
          <w:rStyle w:val="FootnoteAnchor"/>
          <w:rtl w:val="true"/>
        </w:rPr>
        <w:footnoteReference w:id="1965"/>
      </w: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 xml:space="preserve">و قالَ في آخِرِ 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 هذا المُستَدِلِّ أنّه ادَّعىٰ ما يَجري مَجرَى الضرورةِ عندَ هذا الخبرِ، ثُمَّ ذَكَرَ أنّه</w:t>
      </w:r>
      <w:r>
        <w:rPr>
          <w:rStyle w:val="FootnoteAnchor"/>
          <w:rtl w:val="true"/>
        </w:rPr>
        <w:footnoteReference w:id="1967"/>
      </w:r>
      <w:r>
        <w:rPr>
          <w:rFonts w:ascii="Amiri" w:hAnsi="Amiri" w:eastAsia="Amiri" w:cs="Amiri"/>
          <w:color w:val="111111"/>
          <w:sz w:val="28"/>
          <w:sz w:val="28"/>
          <w:szCs w:val="28"/>
          <w:rtl w:val="true"/>
          <w:lang w:bidi="ar-SA"/>
        </w:rPr>
        <w:t>اشتَبَهَ علَى الناسِ بَعدَ وفاةِ رسولِ اللّٰهِ صَلّى اللّٰهُ عليه</w:t>
      </w:r>
      <w:r>
        <w:rPr>
          <w:rStyle w:val="FootnoteAnchor"/>
          <w:rtl w:val="true"/>
        </w:rPr>
        <w:footnoteReference w:id="1968"/>
      </w:r>
      <w:r>
        <w:rPr>
          <w:rFonts w:ascii="Amiri" w:hAnsi="Amiri" w:eastAsia="Amiri" w:cs="Amiri"/>
          <w:color w:val="111111"/>
          <w:sz w:val="28"/>
          <w:sz w:val="28"/>
          <w:szCs w:val="28"/>
          <w:rtl w:val="true"/>
          <w:lang w:bidi="ar-SA"/>
        </w:rPr>
        <w:t>حالُ هذا النصِّ‌؛ مِن حَيثُ ثَبَتَ عندَهم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أنّ هذا العمومَ يَقضي علىٰ ذلكَ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بَعيدِ ما يُقالُ‌؛ لأنّهم إذا عَرَفوا ذلكَ باضطرارٍ و هُم جَمعٌ عظيمٌ ، فلا بُدَّ مِن أن يَعرِفَه غيرُهم بخبرِهم</w:t>
      </w:r>
      <w:r>
        <w:rPr>
          <w:rStyle w:val="FootnoteAnchor"/>
          <w:rtl w:val="true"/>
        </w:rPr>
        <w:footnoteReference w:id="1969"/>
      </w:r>
      <w:r>
        <w:rPr>
          <w:rFonts w:ascii="Amiri" w:hAnsi="Amiri" w:eastAsia="Amiri" w:cs="Amiri"/>
          <w:color w:val="111111"/>
          <w:sz w:val="28"/>
          <w:sz w:val="28"/>
          <w:szCs w:val="28"/>
          <w:rtl w:val="true"/>
          <w:lang w:bidi="ar-SA"/>
        </w:rPr>
        <w:t xml:space="preserve">، و مَتَى اشتَهَرَت الحالُ في ذلكَ لَم يَصِحَّ وقوعُ الاشتباهِ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يَجِبُ إذا اشتَبَهَ علىٰ بعضٍ أن يَصدَعَ مَن لَم يَشتَبِهْ عليه بهذا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يُعتَرَضُ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يَجِبُ حَملُه علىٰ ما يُنبئُ عن نصٍّ مُفصَّلٍ؟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يَخلو هذا المُستَدِلُّ مِن أن يَدَّعيَ الاضطرارَ، فلا يَكونُ في جَمعِ ذلكَ شُبهةٌ ؛ أو لا يَدَّعيَه و يَرجِعَ إلَى الظاهرِ، فيَكونُ الكلامُ عليه ما قَدَّمناه</w:t>
      </w:r>
      <w:r>
        <w:rPr>
          <w:rFonts w:eastAsia="Amiri" w:cs="Amiri" w:ascii="Amiri" w:hAnsi="Amiri"/>
          <w:color w:val="111111"/>
          <w:sz w:val="28"/>
          <w:szCs w:val="28"/>
          <w:rtl w:val="true"/>
          <w:lang w:bidi="ar-SA"/>
        </w:rPr>
        <w:t>].</w:t>
      </w:r>
      <w:r>
        <w:rPr>
          <w:rStyle w:val="FootnoteAnchor"/>
          <w:rtl w:val="true"/>
        </w:rPr>
        <w:footnoteReference w:id="1970"/>
      </w:r>
      <w:bookmarkStart w:id="366" w:name="pg20017_202578"/>
    </w:p>
    <w:p>
      <w:pPr>
        <w:pStyle w:val="Heading6"/>
        <w:numPr>
          <w:ilvl w:val="5"/>
          <w:numId w:val="1"/>
        </w:numPr>
        <w:rPr/>
      </w:pPr>
      <w:bookmarkStart w:id="367" w:name="__RefHeading___Toc964253_2320776876"/>
      <w:bookmarkStart w:id="368" w:name="_Toc130"/>
      <w:bookmarkEnd w:id="366"/>
      <w:bookmarkEnd w:id="367"/>
      <w:r>
        <w:rPr>
          <w:rtl w:val="true"/>
        </w:rPr>
        <w:t>تقرير ابن قبة الرازي للاستدلال بحديث الغدير</w:t>
      </w:r>
      <w:bookmarkEnd w:id="368"/>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مَن الذي وَجَّهتَ كِنايَتَكَ في هذا الفَصلِ إليه، و هو شَيخُنا أبو</w:t>
      </w:r>
    </w:p>
    <w:p>
      <w:pPr>
        <w:pStyle w:val="BookText"/>
        <w:rPr/>
      </w:pPr>
      <w:r>
        <w:rPr>
          <w:rFonts w:ascii="Amiri" w:hAnsi="Amiri" w:eastAsia="Amiri" w:cs="Amiri"/>
          <w:color w:val="111111"/>
          <w:sz w:val="28"/>
          <w:sz w:val="28"/>
          <w:szCs w:val="28"/>
          <w:rtl w:val="true"/>
          <w:lang w:bidi="ar-SA"/>
        </w:rPr>
        <w:t>جعفرِ بنُ قِبةَ‌</w:t>
      </w:r>
      <w:r>
        <w:rPr>
          <w:rStyle w:val="FootnoteAnchor"/>
          <w:rtl w:val="true"/>
        </w:rPr>
        <w:footnoteReference w:id="1971"/>
      </w:r>
      <w:r>
        <w:rPr>
          <w:rFonts w:ascii="Amiri" w:hAnsi="Amiri" w:eastAsia="Amiri" w:cs="Amiri"/>
          <w:color w:val="111111"/>
          <w:sz w:val="28"/>
          <w:sz w:val="28"/>
          <w:szCs w:val="28"/>
          <w:rtl w:val="true"/>
          <w:lang w:bidi="ar-SA"/>
        </w:rPr>
        <w:t xml:space="preserve">رَحِمَه اللّٰهُ‌، و الذي ذَكَرَه في صَدرِ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و الانتصافِ‌</w:t>
      </w:r>
      <w:r>
        <w:rPr>
          <w:rStyle w:val="FootnoteAnchor"/>
          <w:rtl w:val="true"/>
        </w:rPr>
        <w:footnoteReference w:id="1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ظَنَنتَه؛ لأنّه إنما أوجَبَ كَونَ النبيِّ صَلّى اللّٰهُ عليه و آلِه مُلبِّساً مُحيِّراً</w:t>
      </w:r>
      <w:r>
        <w:rPr>
          <w:rStyle w:val="FootnoteAnchor"/>
          <w:rtl w:val="true"/>
        </w:rPr>
        <w:footnoteReference w:id="1973"/>
      </w:r>
      <w:r>
        <w:rPr>
          <w:rFonts w:ascii="Amiri" w:hAnsi="Amiri" w:eastAsia="Amiri" w:cs="Amiri"/>
          <w:color w:val="111111"/>
          <w:sz w:val="28"/>
          <w:sz w:val="28"/>
          <w:szCs w:val="28"/>
          <w:rtl w:val="true"/>
          <w:lang w:bidi="ar-SA"/>
        </w:rPr>
        <w:t>متىٰ لَم يَقصِدِ النصَّ بخبرِ الغَديرِ؛ مِن حَيثُ بَيَّنَ رَحِمَه اللّٰهُ‌</w:t>
      </w:r>
      <w:r>
        <w:rPr>
          <w:rStyle w:val="FootnoteAnchor"/>
          <w:rtl w:val="true"/>
        </w:rPr>
        <w:footnoteReference w:id="1974"/>
      </w:r>
      <w:r>
        <w:rPr>
          <w:rFonts w:ascii="Amiri" w:hAnsi="Amiri" w:eastAsia="Amiri" w:cs="Amiri"/>
          <w:color w:val="111111"/>
          <w:sz w:val="28"/>
          <w:sz w:val="28"/>
          <w:szCs w:val="28"/>
          <w:rtl w:val="true"/>
          <w:lang w:bidi="ar-SA"/>
        </w:rPr>
        <w:t>اقتضاءَ ظاهرِ الكلامِ للنصِّ‌</w:t>
      </w:r>
      <w:r>
        <w:rPr>
          <w:rStyle w:val="FootnoteAnchor"/>
          <w:rtl w:val="true"/>
        </w:rPr>
        <w:footnoteReference w:id="1975"/>
      </w:r>
      <w:r>
        <w:rPr>
          <w:rFonts w:ascii="Amiri" w:hAnsi="Amiri" w:eastAsia="Amiri" w:cs="Amiri"/>
          <w:color w:val="111111"/>
          <w:sz w:val="28"/>
          <w:sz w:val="28"/>
          <w:szCs w:val="28"/>
          <w:rtl w:val="true"/>
          <w:lang w:bidi="ar-SA"/>
        </w:rPr>
        <w:t xml:space="preserve">، و أنّه متىٰ حُمِلَ علىٰ خِلافِه كانَ القولُ خارجاً عن مَذهَبِ أهلِ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فَرَّقَ في الكتابِ أيضاً بَينَ مُتَشابِهِ القُرآنِ و بَينَ ما أنكَرَه؛ بأن قالَ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العقلَ دالٌّ علىٰ أنّه تَعالىٰ لَم يَقصِدْ بذلكَ التشبيهَ و ما جَرىٰ مَجراه </w:t>
      </w:r>
      <w:bookmarkStart w:id="369" w:name="pg20017_202579"/>
    </w:p>
    <w:p>
      <w:pPr>
        <w:pStyle w:val="BookText"/>
        <w:rPr/>
      </w:pPr>
      <w:bookmarkEnd w:id="369"/>
      <w:r>
        <w:rPr>
          <w:rFonts w:ascii="Amiri" w:hAnsi="Amiri" w:eastAsia="Amiri" w:cs="Amiri"/>
          <w:color w:val="111111"/>
          <w:sz w:val="28"/>
          <w:sz w:val="28"/>
          <w:szCs w:val="28"/>
          <w:rtl w:val="true"/>
          <w:lang w:bidi="ar-SA"/>
        </w:rPr>
        <w:t>ممّا لا يَجوزُ عليه، و المُخاطَبونَ في تلكَ الحالِ بالمُتَشابِهِ قد فَهِموا معناه، و لَيسَ مِثلُ هذا في النصِّ‌؛ لأنّ العقلَ لا يُحيلُ‌</w:t>
      </w:r>
      <w:r>
        <w:rPr>
          <w:rStyle w:val="FootnoteAnchor"/>
          <w:rtl w:val="true"/>
        </w:rPr>
        <w:footnoteReference w:id="1976"/>
      </w:r>
      <w:r>
        <w:rPr>
          <w:rFonts w:ascii="Amiri" w:hAnsi="Amiri" w:eastAsia="Amiri" w:cs="Amiri"/>
          <w:color w:val="111111"/>
          <w:sz w:val="28"/>
          <w:sz w:val="28"/>
          <w:szCs w:val="28"/>
          <w:rtl w:val="true"/>
          <w:lang w:bidi="ar-SA"/>
        </w:rPr>
        <w:t>أن يَكونَ عليه السلامُ قَصَدَ بخبرِ الغَديرِ إلَى</w:t>
      </w:r>
      <w:r>
        <w:rPr>
          <w:rStyle w:val="FootnoteAnchor"/>
          <w:rtl w:val="true"/>
        </w:rPr>
        <w:footnoteReference w:id="1977"/>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 xml:space="preserve">و أسقَطَ رَحِمَه اللّٰهُ قولَ مَن سَألَ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جَوِّزوا أن يَكونَ السامعونَ لخبرِ</w:t>
      </w:r>
      <w:r>
        <w:rPr>
          <w:rStyle w:val="FootnoteAnchor"/>
          <w:rtl w:val="true"/>
        </w:rPr>
        <w:footnoteReference w:id="1979"/>
      </w:r>
      <w:r>
        <w:rPr>
          <w:rFonts w:ascii="Amiri" w:hAnsi="Amiri" w:eastAsia="Amiri" w:cs="Amiri"/>
          <w:color w:val="111111"/>
          <w:sz w:val="28"/>
          <w:sz w:val="28"/>
          <w:szCs w:val="28"/>
          <w:rtl w:val="true"/>
          <w:lang w:bidi="ar-SA"/>
        </w:rPr>
        <w:t xml:space="preserve">الغَديرِ مِن النبيِّ صَلّى اللّٰهُ عليه و آلِه قد فَهِموا مُرادَه و أنّه لَم يُرِدْ به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مَعرِفةُ المُرادِ مِن الكلامِ لازمةً لنا كلُزومِها لهم، لَم يَجُز أن يُخَصّوا بدَلالةٍ أو ما يَجري</w:t>
      </w:r>
      <w:r>
        <w:rPr>
          <w:rStyle w:val="FootnoteAnchor"/>
          <w:rtl w:val="true"/>
        </w:rPr>
        <w:footnoteReference w:id="1980"/>
      </w:r>
      <w:r>
        <w:rPr>
          <w:rFonts w:ascii="Amiri" w:hAnsi="Amiri" w:eastAsia="Amiri" w:cs="Amiri"/>
          <w:color w:val="111111"/>
          <w:sz w:val="28"/>
          <w:sz w:val="28"/>
          <w:szCs w:val="28"/>
          <w:rtl w:val="true"/>
          <w:lang w:bidi="ar-SA"/>
        </w:rPr>
        <w:t xml:space="preserve">مَجرَى الدَّلالةِ ممّا يوصِلُ إلىٰ معرفةِ المُرادِ دونَنا، و لَوَجَبَ </w:t>
      </w:r>
      <w:r>
        <w:rPr>
          <w:rStyle w:val="FootnoteAnchor"/>
          <w:rtl w:val="true"/>
        </w:rPr>
        <w:footnoteReference w:id="1981"/>
      </w:r>
      <w:r>
        <w:rPr>
          <w:rFonts w:ascii="Amiri" w:hAnsi="Amiri" w:eastAsia="Amiri" w:cs="Amiri"/>
          <w:color w:val="111111"/>
          <w:sz w:val="28"/>
          <w:sz w:val="28"/>
          <w:szCs w:val="28"/>
          <w:rtl w:val="true"/>
          <w:lang w:bidi="ar-SA"/>
        </w:rPr>
        <w:t>أن يُقطَعَ عُذرُ</w:t>
      </w:r>
      <w:r>
        <w:rPr>
          <w:rStyle w:val="FootnoteAnchor"/>
          <w:rtl w:val="true"/>
        </w:rPr>
        <w:footnoteReference w:id="1982"/>
      </w:r>
      <w:r>
        <w:rPr>
          <w:rFonts w:ascii="Amiri" w:hAnsi="Amiri" w:eastAsia="Amiri" w:cs="Amiri"/>
          <w:color w:val="111111"/>
          <w:sz w:val="28"/>
          <w:sz w:val="28"/>
          <w:szCs w:val="28"/>
          <w:rtl w:val="true"/>
          <w:lang w:bidi="ar-SA"/>
        </w:rPr>
        <w:t>الجميعِ في مَعرفةِ مُرادِه؛ لعمومِ التكليفِ لهم</w:t>
      </w:r>
      <w:r>
        <w:rPr>
          <w:rFonts w:eastAsia="Amiri" w:cs="Amiri" w:ascii="Amiri" w:hAnsi="Amiri"/>
          <w:color w:val="111111"/>
          <w:sz w:val="28"/>
          <w:szCs w:val="28"/>
          <w:rtl w:val="true"/>
          <w:lang w:bidi="ar-SA"/>
        </w:rPr>
        <w:t>.</w:t>
      </w:r>
      <w:r>
        <w:rPr>
          <w:rStyle w:val="FootnoteAnchor"/>
          <w:rtl w:val="true"/>
        </w:rPr>
        <w:footnoteReference w:id="1983"/>
      </w:r>
    </w:p>
    <w:p>
      <w:pPr>
        <w:pStyle w:val="Heading6"/>
        <w:numPr>
          <w:ilvl w:val="5"/>
          <w:numId w:val="1"/>
        </w:numPr>
        <w:rPr/>
      </w:pPr>
      <w:bookmarkStart w:id="370" w:name="__RefHeading___Toc964255_2320776876"/>
      <w:bookmarkStart w:id="371" w:name="_Toc131"/>
      <w:bookmarkEnd w:id="370"/>
      <w:r>
        <w:rPr>
          <w:rtl w:val="true"/>
        </w:rPr>
        <w:t>نفي ادّعاء ابن قِبة الضرورةَ في معرفة النصّ على الإمامة من حديث الغدير</w:t>
      </w:r>
      <w:bookmarkEnd w:id="37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تَوَهَّمَه علىٰ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1984"/>
      </w:r>
      <w:r>
        <w:rPr>
          <w:rFonts w:ascii="Amiri" w:hAnsi="Amiri" w:eastAsia="Amiri" w:cs="Amiri"/>
          <w:color w:val="111111"/>
          <w:sz w:val="28"/>
          <w:sz w:val="28"/>
          <w:szCs w:val="28"/>
          <w:rtl w:val="true"/>
          <w:lang w:bidi="ar-SA"/>
        </w:rPr>
        <w:t>ادِّعائه</w:t>
      </w:r>
      <w:r>
        <w:rPr>
          <w:rStyle w:val="FootnoteAnchor"/>
          <w:rtl w:val="true"/>
        </w:rPr>
        <w:footnoteReference w:id="1985"/>
      </w:r>
      <w:r>
        <w:rPr>
          <w:rFonts w:ascii="Amiri" w:hAnsi="Amiri" w:eastAsia="Amiri" w:cs="Amiri"/>
          <w:color w:val="111111"/>
          <w:sz w:val="28"/>
          <w:sz w:val="28"/>
          <w:szCs w:val="28"/>
          <w:rtl w:val="true"/>
          <w:lang w:bidi="ar-SA"/>
        </w:rPr>
        <w:t xml:space="preserve">الضرورةَ في مَعرفةِ النصِّ مِن </w:t>
      </w:r>
    </w:p>
    <w:p>
      <w:pPr>
        <w:pStyle w:val="BookText"/>
        <w:rPr/>
      </w:pPr>
      <w:r>
        <w:rPr>
          <w:rFonts w:ascii="Amiri" w:hAnsi="Amiri" w:eastAsia="Amiri" w:cs="Amiri"/>
          <w:color w:val="111111"/>
          <w:sz w:val="28"/>
          <w:sz w:val="28"/>
          <w:szCs w:val="28"/>
          <w:rtl w:val="true"/>
          <w:lang w:bidi="ar-SA"/>
        </w:rPr>
        <w:t>خبرِ الغَديرِ، و أنّه ناقَضَ مِن بَعدُ</w:t>
      </w:r>
      <w:r>
        <w:rPr>
          <w:rStyle w:val="FootnoteAnchor"/>
          <w:rtl w:val="true"/>
        </w:rPr>
        <w:footnoteReference w:id="1986"/>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اشتَبَه علَى الناسِ حتّىٰ ظَنّوا أنّ العملَ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فغَلَطٌ منه عليه؛ لأنّ الرجُلَ لَم يَدَّعِ الضرورةَ في شَيءٍ مِن كلامِه، و مَن استَقرأَ</w:t>
      </w:r>
      <w:r>
        <w:rPr>
          <w:rStyle w:val="FootnoteAnchor"/>
          <w:rtl w:val="true"/>
        </w:rPr>
        <w:footnoteReference w:id="1987"/>
      </w:r>
      <w:r>
        <w:rPr>
          <w:rFonts w:ascii="Amiri" w:hAnsi="Amiri" w:eastAsia="Amiri" w:cs="Amiri"/>
          <w:color w:val="111111"/>
          <w:sz w:val="28"/>
          <w:sz w:val="28"/>
          <w:szCs w:val="28"/>
          <w:rtl w:val="true"/>
          <w:lang w:bidi="ar-SA"/>
        </w:rPr>
        <w:t>كلامَه في هذا البابِ و غيرِه عَرَفَ صحّةَ ما ذَكرناه، بَل قد صَرَّحَ بما يَدُلُّ علىٰ خِلافِ الضرورةِ‌؛ لأنّه استَدَلَّ علىٰ إيجابِ النصِّ مِن الخبرِ باللُّغةِ و ما يَقتَضيهِ‌</w:t>
      </w:r>
      <w:r>
        <w:rPr>
          <w:rStyle w:val="FootnoteAnchor"/>
          <w:rtl w:val="true"/>
        </w:rPr>
        <w:footnoteReference w:id="1988"/>
      </w:r>
      <w:r>
        <w:rPr>
          <w:rFonts w:ascii="Amiri" w:hAnsi="Amiri" w:eastAsia="Amiri" w:cs="Amiri"/>
          <w:color w:val="111111"/>
          <w:sz w:val="28"/>
          <w:sz w:val="28"/>
          <w:szCs w:val="28"/>
          <w:rtl w:val="true"/>
          <w:lang w:bidi="ar-SA"/>
        </w:rPr>
        <w:t>المُقدِّمةُ و العطفُ عليها، و لَو كانَ قائلاً بالضرورةِ في مَعرفةِ المُرادِ لَم يَحتَجْ إلىٰ شَيءٍ ممّا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قالَ أيضاً عندَ تقسيمِه</w:t>
      </w:r>
      <w:r>
        <w:rPr>
          <w:rStyle w:val="FootnoteAnchor"/>
          <w:rtl w:val="true"/>
        </w:rPr>
        <w:footnoteReference w:id="1989"/>
      </w:r>
      <w:r>
        <w:rPr>
          <w:rFonts w:ascii="Amiri" w:hAnsi="Amiri" w:eastAsia="Amiri" w:cs="Amiri"/>
          <w:color w:val="111111"/>
          <w:sz w:val="28"/>
          <w:sz w:val="28"/>
          <w:szCs w:val="28"/>
          <w:rtl w:val="true"/>
          <w:lang w:bidi="ar-SA"/>
        </w:rPr>
        <w:t>النصَّ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النصُّ الذي وَقَعَ بحَضرةِ العَدَدِ الكَثيرِ فإنّما كانَ يَومَ الغَديرِ، و كُلُّهم كانوا ذاكِرينَ لكَلامِه عليه السلامُ ، غيرَ أنّهم ذَهَبوا عنه بتأويلٍ فاسِدٍ؛ لأنّهم إنّما دَخَلَت عليهم الشُّبهةُ مِن حَيثُ تَوهَّموا</w:t>
      </w:r>
      <w:r>
        <w:rPr>
          <w:rStyle w:val="FootnoteAnchor"/>
          <w:rtl w:val="true"/>
        </w:rPr>
        <w:footnoteReference w:id="1990"/>
      </w:r>
      <w:r>
        <w:rPr>
          <w:rFonts w:ascii="Amiri" w:hAnsi="Amiri" w:eastAsia="Amiri" w:cs="Amiri"/>
          <w:color w:val="111111"/>
          <w:sz w:val="28"/>
          <w:sz w:val="28"/>
          <w:szCs w:val="28"/>
          <w:rtl w:val="true"/>
          <w:lang w:bidi="ar-SA"/>
        </w:rPr>
        <w:t xml:space="preserve">أنّ لذلكَ الكلامِ ضرباً مِن التأويلِ يَجوزُ معه للرؤساءِ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الفتنةُ و اختَلَفَت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يَختاروا إماماً</w:t>
      </w:r>
      <w:r>
        <w:rPr>
          <w:rFonts w:eastAsia="Amiri" w:cs="Amiri" w:ascii="Amiri" w:hAnsi="Amiri"/>
          <w:color w:val="111111"/>
          <w:sz w:val="28"/>
          <w:szCs w:val="28"/>
          <w:rtl w:val="true"/>
          <w:lang w:bidi="ar-SA"/>
        </w:rPr>
        <w:t>.</w:t>
      </w:r>
      <w:r>
        <w:rPr>
          <w:rStyle w:val="FootnoteAnchor"/>
          <w:rtl w:val="true"/>
        </w:rPr>
        <w:footnoteReference w:id="199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معلومٌ أنّ هذا كلامُ مَن لا يَدَّعي الاضطرارَ إلىٰ مَعرفةِ المُرادِ بخبرِ الغَديرِ؛ لأنّ الضرورةَ </w:t>
      </w:r>
      <w:r>
        <w:rPr>
          <w:rStyle w:val="FootnoteAnchor"/>
          <w:rtl w:val="true"/>
        </w:rPr>
        <w:footnoteReference w:id="1992"/>
      </w:r>
      <w:r>
        <w:rPr>
          <w:rFonts w:ascii="Amiri" w:hAnsi="Amiri" w:eastAsia="Amiri" w:cs="Amiri"/>
          <w:color w:val="111111"/>
          <w:sz w:val="28"/>
          <w:sz w:val="28"/>
          <w:szCs w:val="28"/>
          <w:rtl w:val="true"/>
          <w:lang w:bidi="ar-SA"/>
        </w:rPr>
        <w:t xml:space="preserve">تُنافي دخولَ التأويلاتِ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القومُ عندَه مُضطَرّينَ ما جازَ أن يَقولَ </w:t>
      </w:r>
    </w:p>
    <w:p>
      <w:pPr>
        <w:pStyle w:val="BookText"/>
        <w:rPr/>
      </w:pPr>
      <w:r>
        <w:rPr>
          <w:rFonts w:ascii="Amiri" w:hAnsi="Amiri" w:eastAsia="Amiri" w:cs="Amiri"/>
          <w:color w:val="111111"/>
          <w:sz w:val="28"/>
          <w:sz w:val="28"/>
          <w:szCs w:val="28"/>
          <w:rtl w:val="true"/>
          <w:lang w:bidi="ar-SA"/>
        </w:rPr>
        <w:t>أنّهم ظَنّوا أنّ للكلامِ ضرباً مِن التأويلِ عندَ دخولِ الشُّبهةِ‌؛ و لَسنا نَعلَمُ مِن أينَ وَقَعَ لصاحبِ الكتابِ ما ظَنَّه مع بُعدِه ؟</w:t>
      </w:r>
    </w:p>
    <w:p>
      <w:pPr>
        <w:pStyle w:val="BookText"/>
        <w:rPr/>
      </w:pPr>
      <w:r>
        <w:rPr>
          <w:rFonts w:ascii="Amiri" w:hAnsi="Amiri" w:eastAsia="Amiri" w:cs="Amiri"/>
          <w:color w:val="111111"/>
          <w:sz w:val="28"/>
          <w:sz w:val="28"/>
          <w:szCs w:val="28"/>
          <w:rtl w:val="true"/>
          <w:lang w:bidi="ar-SA"/>
        </w:rPr>
        <w:t xml:space="preserve">و هذه جُملةٌ كافيةٌ ، و المِنّةُ للّٰهِ تَعالىٰ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المُجَلَّدةِ الأُولىٰ ، و يَتلوه ما في المُجَلَّدةِ الثانيةِ له</w:t>
      </w:r>
      <w:r>
        <w:rPr>
          <w:rFonts w:eastAsia="Amiri" w:cs="Amiri" w:ascii="Amiri" w:hAnsi="Amiri"/>
          <w:color w:val="111111"/>
          <w:sz w:val="28"/>
          <w:szCs w:val="28"/>
          <w:rtl w:val="true"/>
          <w:lang w:bidi="ar-SA"/>
        </w:rPr>
        <w:t>.</w:t>
      </w:r>
      <w:r>
        <w:rPr>
          <w:rStyle w:val="FootnoteAnchor"/>
          <w:rtl w:val="true"/>
        </w:rPr>
        <w:footnoteReference w:id="1994"/>
      </w:r>
      <w:bookmarkStart w:id="372" w:name="pg20017_202582"/>
    </w:p>
    <w:p>
      <w:pPr>
        <w:pStyle w:val="Heading4"/>
        <w:numPr>
          <w:ilvl w:val="3"/>
          <w:numId w:val="1"/>
        </w:numPr>
        <w:rPr/>
      </w:pPr>
      <w:bookmarkStart w:id="373" w:name="__RefHeading___Toc964257_2320776876"/>
      <w:bookmarkStart w:id="374" w:name="_Toc132"/>
      <w:bookmarkEnd w:id="372"/>
      <w:bookmarkEnd w:id="373"/>
      <w:r>
        <w:rPr>
          <w:rtl w:val="true"/>
        </w:rPr>
        <w:t>الدليلُ التاسعِ  حديثُ المَنزِلةِ</w:t>
      </w:r>
      <w:bookmarkEnd w:id="374"/>
    </w:p>
    <w:p>
      <w:pPr>
        <w:pStyle w:val="Heading5"/>
        <w:numPr>
          <w:ilvl w:val="4"/>
          <w:numId w:val="1"/>
        </w:numPr>
        <w:rPr/>
      </w:pPr>
      <w:bookmarkStart w:id="375" w:name="__RefHeading___Toc964259_2320776876"/>
      <w:bookmarkStart w:id="376" w:name="_Toc133"/>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لهُم آخَرُ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استَدَلُّوا بقَولهِ عليه السلامُ‌</w:t>
      </w:r>
      <w:r>
        <w:rPr>
          <w:rStyle w:val="FootnoteAnchor"/>
          <w:rtl w:val="true"/>
        </w:rPr>
        <w:footnoteReference w:id="19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6"/>
      </w:r>
      <w:r>
        <w:rPr>
          <w:rFonts w:ascii="Amiri" w:hAnsi="Amiri" w:eastAsia="Amiri" w:cs="Amiri"/>
          <w:color w:val="111111"/>
          <w:sz w:val="28"/>
          <w:sz w:val="28"/>
          <w:szCs w:val="28"/>
          <w:rtl w:val="true"/>
          <w:lang w:bidi="ar-SA"/>
        </w:rPr>
        <w:t xml:space="preserve">فاقتَضىٰ هذا الظاهرُ أنّ له كُلَّ مَنازِلِ هارونَ مِن موسىٰ ؛ لأنّه أَطلَقَ و لَم يَخُصَّ إلّاما دَلَّ عليه العقلُ و الاستثناءُ </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المَذكورُ، و لَولا أنّ الكلامَ يَقتَضي الشمولَ لَما كانَ‌</w:t>
      </w:r>
      <w:r>
        <w:rPr>
          <w:rStyle w:val="FootnoteAnchor"/>
          <w:rtl w:val="true"/>
        </w:rPr>
        <w:footnoteReference w:id="1998"/>
      </w:r>
      <w:r>
        <w:rPr>
          <w:rFonts w:ascii="Amiri" w:hAnsi="Amiri" w:eastAsia="Amiri" w:cs="Amiri"/>
          <w:color w:val="111111"/>
          <w:sz w:val="28"/>
          <w:sz w:val="28"/>
          <w:szCs w:val="28"/>
          <w:rtl w:val="true"/>
          <w:lang w:bidi="ar-SA"/>
        </w:rPr>
        <w:t>للاستثناءِ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نَبَّهَ عليه السلامُ باستثناءِ النبوّةِ علىٰ أنّ ما عَداه قد دَخَلَ تَحتَه إلّا ما عُلِمَ بالعَقلِ أنّه لا يَدخُلُ فيه، نَحوُ الأُخوَّةِ في النَّسَبِ‌، و الفَضلِ‌</w:t>
      </w:r>
      <w:r>
        <w:rPr>
          <w:rStyle w:val="FootnoteAnchor"/>
          <w:rtl w:val="true"/>
        </w:rPr>
        <w:footnoteReference w:id="1999"/>
      </w:r>
      <w:r>
        <w:rPr>
          <w:rFonts w:ascii="Amiri" w:hAnsi="Amiri" w:eastAsia="Amiri" w:cs="Amiri"/>
          <w:color w:val="111111"/>
          <w:sz w:val="28"/>
          <w:sz w:val="28"/>
          <w:szCs w:val="28"/>
          <w:rtl w:val="true"/>
          <w:lang w:bidi="ar-SA"/>
        </w:rPr>
        <w:t>الذي تَقتَضيهِ الشركةُ في النبوَّةِ‌</w:t>
      </w:r>
      <w:r>
        <w:rPr>
          <w:rStyle w:val="FootnoteAnchor"/>
          <w:rtl w:val="true"/>
        </w:rPr>
        <w:footnoteReference w:id="2000"/>
      </w:r>
      <w:r>
        <w:rPr>
          <w:rFonts w:ascii="Amiri" w:hAnsi="Amiri" w:eastAsia="Amiri" w:cs="Amiri"/>
          <w:color w:val="111111"/>
          <w:sz w:val="28"/>
          <w:sz w:val="28"/>
          <w:szCs w:val="28"/>
          <w:rtl w:val="true"/>
          <w:lang w:bidi="ar-SA"/>
        </w:rPr>
        <w:t>، إلىٰ ما شاكَلَه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أنَّ أحَدَ مَنازِلِه مِن موسىٰ عليه السلامُ أن يَكونَ خَليفتَه مِن بَعدِه</w:t>
      </w:r>
      <w:r>
        <w:rPr>
          <w:rStyle w:val="FootnoteAnchor"/>
          <w:rtl w:val="true"/>
        </w:rPr>
        <w:footnoteReference w:id="2001"/>
      </w:r>
      <w:r>
        <w:rPr>
          <w:rFonts w:ascii="Amiri" w:hAnsi="Amiri" w:eastAsia="Amiri" w:cs="Amiri"/>
          <w:color w:val="111111"/>
          <w:sz w:val="28"/>
          <w:sz w:val="28"/>
          <w:szCs w:val="28"/>
          <w:rtl w:val="true"/>
          <w:lang w:bidi="ar-SA"/>
        </w:rPr>
        <w:t>في حالِ غَيبتِه</w:t>
      </w:r>
      <w:r>
        <w:rPr>
          <w:rStyle w:val="FootnoteAnchor"/>
          <w:rtl w:val="true"/>
        </w:rPr>
        <w:footnoteReference w:id="2002"/>
      </w:r>
      <w:r>
        <w:rPr>
          <w:rFonts w:ascii="Amiri" w:hAnsi="Amiri" w:eastAsia="Amiri" w:cs="Amiri"/>
          <w:color w:val="111111"/>
          <w:sz w:val="28"/>
          <w:sz w:val="28"/>
          <w:szCs w:val="28"/>
          <w:rtl w:val="true"/>
          <w:lang w:bidi="ar-SA"/>
        </w:rPr>
        <w:t>و في حالِ مَوتِه؛ فيَجِبُ أن تَكونَ‌</w:t>
      </w:r>
      <w:r>
        <w:rPr>
          <w:rStyle w:val="FootnoteAnchor"/>
          <w:rtl w:val="true"/>
        </w:rPr>
        <w:footnoteReference w:id="2003"/>
      </w:r>
      <w:r>
        <w:rPr>
          <w:rFonts w:ascii="Amiri" w:hAnsi="Amiri" w:eastAsia="Amiri" w:cs="Amiri"/>
          <w:color w:val="111111"/>
          <w:sz w:val="28"/>
          <w:sz w:val="28"/>
          <w:szCs w:val="28"/>
          <w:rtl w:val="true"/>
          <w:lang w:bidi="ar-SA"/>
        </w:rPr>
        <w:t>هذه حالَ أميرِ المؤمنينَ عليه السلامُ‌</w:t>
      </w:r>
      <w:r>
        <w:rPr>
          <w:rStyle w:val="FootnoteAnchor"/>
          <w:rtl w:val="true"/>
        </w:rPr>
        <w:footnoteReference w:id="2004"/>
      </w:r>
      <w:r>
        <w:rPr>
          <w:rFonts w:ascii="Amiri" w:hAnsi="Amiri" w:eastAsia="Amiri" w:cs="Amiri"/>
          <w:color w:val="111111"/>
          <w:sz w:val="28"/>
          <w:sz w:val="28"/>
          <w:szCs w:val="28"/>
          <w:rtl w:val="true"/>
          <w:lang w:bidi="ar-SA"/>
        </w:rPr>
        <w:t>مِن بَعدِ النبيِّ عليه السلامُ‌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يَطعَنُ فيما بيّنّاه</w:t>
      </w:r>
      <w:r>
        <w:rPr>
          <w:rStyle w:val="FootnoteAnchor"/>
          <w:rtl w:val="true"/>
        </w:rPr>
        <w:footnoteReference w:id="2005"/>
      </w:r>
      <w:r>
        <w:rPr>
          <w:rFonts w:ascii="Amiri" w:hAnsi="Amiri" w:eastAsia="Amiri" w:cs="Amiri"/>
          <w:color w:val="111111"/>
          <w:sz w:val="28"/>
          <w:sz w:val="28"/>
          <w:szCs w:val="28"/>
          <w:rtl w:val="true"/>
          <w:lang w:bidi="ar-SA"/>
        </w:rPr>
        <w:t>أنّ هارونَ عليه السلامُ ماتَ قَبلَ موسىٰ عليه السلامُ‌؛ لأنّ المُتَعالَمَ أنّه لَو عاشَ بَعدَه لَخَلَفَه، فالمَنزِلةُ ثابتةٌ و إن لَم يَعِشْ‌</w:t>
      </w:r>
      <w:r>
        <w:rPr>
          <w:rStyle w:val="FootnoteAnchor"/>
          <w:rtl w:val="true"/>
        </w:rPr>
        <w:footnoteReference w:id="2006"/>
      </w:r>
      <w:r>
        <w:rPr>
          <w:rFonts w:ascii="Amiri" w:hAnsi="Amiri" w:eastAsia="Amiri" w:cs="Amiri"/>
          <w:color w:val="111111"/>
          <w:sz w:val="28"/>
          <w:sz w:val="28"/>
          <w:szCs w:val="28"/>
          <w:rtl w:val="true"/>
          <w:lang w:bidi="ar-SA"/>
        </w:rPr>
        <w:t>فيَجِبُ حُصولُها</w:t>
      </w:r>
      <w:r>
        <w:rPr>
          <w:rStyle w:val="FootnoteAnchor"/>
          <w:rtl w:val="true"/>
        </w:rPr>
        <w:footnoteReference w:id="2007"/>
      </w:r>
      <w:r>
        <w:rPr>
          <w:rFonts w:ascii="Amiri" w:hAnsi="Amiri" w:eastAsia="Amiri" w:cs="Amiri"/>
          <w:color w:val="111111"/>
          <w:sz w:val="28"/>
          <w:sz w:val="28"/>
          <w:szCs w:val="28"/>
          <w:rtl w:val="true"/>
          <w:lang w:bidi="ar-SA"/>
        </w:rPr>
        <w:t xml:space="preserve">لأميرِ المؤمِنينَ عليه السلامُ </w:t>
      </w:r>
      <w:r>
        <w:rPr>
          <w:rStyle w:val="FootnoteAnchor"/>
          <w:rtl w:val="true"/>
        </w:rPr>
        <w:footnoteReference w:id="2008"/>
      </w:r>
      <w:r>
        <w:rPr>
          <w:rFonts w:ascii="Amiri" w:hAnsi="Amiri" w:eastAsia="Amiri" w:cs="Amiri"/>
          <w:color w:val="111111"/>
          <w:sz w:val="28"/>
          <w:sz w:val="28"/>
          <w:szCs w:val="28"/>
          <w:rtl w:val="true"/>
          <w:lang w:bidi="ar-SA"/>
        </w:rPr>
        <w:t>إذا عاشَ بَعدَ الرسولِ عليه السلامُ ، كَما لَو قالَ الرئيسُ لِصاحِبٍ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مَنزِلتُكَ عِندي في الإكرامِ و العَطاءِ مَنزِلةُ فُلانٍ </w:t>
      </w:r>
      <w:r>
        <w:rPr>
          <w:rStyle w:val="FootnoteAnchor"/>
          <w:rtl w:val="true"/>
        </w:rPr>
        <w:footnoteReference w:id="2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فُلانٌ فاتَ فيه الإكرامُ </w:t>
      </w:r>
    </w:p>
    <w:p>
      <w:pPr>
        <w:pStyle w:val="BookText"/>
        <w:rPr/>
      </w:pPr>
      <w:r>
        <w:rPr>
          <w:rFonts w:ascii="Amiri" w:hAnsi="Amiri" w:eastAsia="Amiri" w:cs="Amiri"/>
          <w:color w:val="111111"/>
          <w:sz w:val="28"/>
          <w:sz w:val="28"/>
          <w:szCs w:val="28"/>
          <w:rtl w:val="true"/>
          <w:lang w:bidi="ar-SA"/>
        </w:rPr>
        <w:t>و العَطاءُ بمَوتٍ أو غَيبةٍ و لَم يَفُتْ في الثاني؛ فالواجِبُ أن يُنزَّلَ مَنزِلتَه، و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يُزادُ</w:t>
      </w:r>
      <w:r>
        <w:rPr>
          <w:rStyle w:val="FootnoteAnchor"/>
          <w:rtl w:val="true"/>
        </w:rPr>
        <w:footnoteReference w:id="2010"/>
      </w:r>
      <w:r>
        <w:rPr>
          <w:rFonts w:ascii="Amiri" w:hAnsi="Amiri" w:eastAsia="Amiri" w:cs="Amiri"/>
          <w:color w:val="111111"/>
          <w:sz w:val="28"/>
          <w:sz w:val="28"/>
          <w:szCs w:val="28"/>
          <w:rtl w:val="true"/>
          <w:lang w:bidi="ar-SA"/>
        </w:rPr>
        <w:t>علَى الأوَّلِ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موسىٰ عليه السلامُ قد</w:t>
      </w:r>
      <w:r>
        <w:rPr>
          <w:rStyle w:val="FootnoteAnchor"/>
          <w:rtl w:val="true"/>
        </w:rPr>
        <w:footnoteReference w:id="2011"/>
      </w:r>
      <w:r>
        <w:rPr>
          <w:rFonts w:ascii="Amiri" w:hAnsi="Amiri" w:eastAsia="Amiri" w:cs="Amiri"/>
          <w:color w:val="111111"/>
          <w:sz w:val="28"/>
          <w:sz w:val="28"/>
          <w:szCs w:val="28"/>
          <w:rtl w:val="true"/>
          <w:lang w:bidi="ar-SA"/>
        </w:rPr>
        <w:t>استَخلَفَ هارونَ علَى الإطلاقِ‌، علىٰ ما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w:t>
      </w:r>
      <w:r>
        <w:rPr>
          <w:rFonts w:eastAsia="Amiri" w:cs="Amiri" w:ascii="Amiri" w:hAnsi="Amiri"/>
          <w:color w:val="111111"/>
          <w:sz w:val="28"/>
          <w:szCs w:val="28"/>
          <w:rtl w:val="true"/>
          <w:lang w:bidi="ar-SA"/>
        </w:rPr>
        <w:t>)</w:t>
      </w:r>
      <w:r>
        <w:rPr>
          <w:rStyle w:val="FootnoteAnchor"/>
          <w:rtl w:val="true"/>
        </w:rPr>
        <w:footnoteReference w:id="2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د، ص، 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2013"/>
      </w:r>
      <w:r>
        <w:rPr>
          <w:rFonts w:ascii="Amiri" w:hAnsi="Amiri" w:eastAsia="Amiri" w:cs="Amiri"/>
          <w:color w:val="111111"/>
          <w:sz w:val="28"/>
          <w:sz w:val="28"/>
          <w:szCs w:val="28"/>
          <w:rtl w:val="true"/>
          <w:lang w:bidi="ar-SA"/>
        </w:rPr>
        <w:t>فيَجِبُ ثُبوتُ هذه المَنزِلةِ لعَليٍّ عليه السلامُ‌</w:t>
      </w:r>
      <w:r>
        <w:rPr>
          <w:rStyle w:val="FootnoteAnchor"/>
          <w:rtl w:val="true"/>
        </w:rPr>
        <w:footnoteReference w:id="2014"/>
      </w:r>
      <w:r>
        <w:rPr>
          <w:rFonts w:ascii="Amiri" w:hAnsi="Amiri" w:eastAsia="Amiri" w:cs="Amiri"/>
          <w:color w:val="111111"/>
          <w:sz w:val="28"/>
          <w:sz w:val="28"/>
          <w:szCs w:val="28"/>
          <w:rtl w:val="true"/>
          <w:lang w:bidi="ar-SA"/>
        </w:rPr>
        <w:t>مِن الرسولِ عليه السلامُ علَى الإطلاقِ‌، حتّىٰ يَصيرَ</w:t>
      </w:r>
      <w:r>
        <w:rPr>
          <w:rStyle w:val="FootnoteAnchor"/>
          <w:rtl w:val="true"/>
        </w:rPr>
        <w:footnoteReference w:id="2015"/>
      </w:r>
      <w:r>
        <w:rPr>
          <w:rFonts w:ascii="Amiri" w:hAnsi="Amiri" w:eastAsia="Amiri" w:cs="Amiri"/>
          <w:color w:val="111111"/>
          <w:sz w:val="28"/>
          <w:sz w:val="28"/>
          <w:szCs w:val="28"/>
          <w:rtl w:val="true"/>
          <w:lang w:bidi="ar-SA"/>
        </w:rPr>
        <w:t>كأنّه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المعلومُ أنّه لَو قالَ ذلكَ لَتَناوَلَ حالَ الحَياةِ و حالَ المَماتِ‌، فيَجِبُ لذلكَ أن يَكونَ هو الخَليفةَ مِن بَعدِه</w:t>
      </w:r>
      <w:r>
        <w:rPr>
          <w:rFonts w:eastAsia="Amiri" w:cs="Amiri" w:ascii="Amiri" w:hAnsi="Amiri"/>
          <w:color w:val="111111"/>
          <w:sz w:val="28"/>
          <w:szCs w:val="28"/>
          <w:rtl w:val="true"/>
          <w:lang w:bidi="ar-SA"/>
        </w:rPr>
        <w:t>.</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أنّه عليه السلامُ 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أميرَ المؤمنينَ عليه</w:t>
      </w:r>
    </w:p>
    <w:p>
      <w:pPr>
        <w:pStyle w:val="BookText"/>
        <w:rPr/>
      </w:pPr>
      <w:r>
        <w:rPr>
          <w:rFonts w:ascii="Amiri" w:hAnsi="Amiri" w:eastAsia="Amiri" w:cs="Amiri"/>
          <w:color w:val="111111"/>
          <w:sz w:val="28"/>
          <w:sz w:val="28"/>
          <w:szCs w:val="28"/>
          <w:rtl w:val="true"/>
          <w:lang w:bidi="ar-SA"/>
        </w:rPr>
        <w:t>السلامُ‌</w:t>
      </w:r>
      <w:r>
        <w:rPr>
          <w:rStyle w:val="FootnoteAnchor"/>
          <w:rtl w:val="true"/>
        </w:rPr>
        <w:footnoteReference w:id="2017"/>
      </w:r>
      <w:r>
        <w:rPr>
          <w:rFonts w:ascii="Amiri" w:hAnsi="Amiri" w:eastAsia="Amiri" w:cs="Amiri"/>
          <w:color w:val="111111"/>
          <w:sz w:val="28"/>
          <w:sz w:val="28"/>
          <w:szCs w:val="28"/>
          <w:rtl w:val="true"/>
          <w:lang w:bidi="ar-SA"/>
        </w:rPr>
        <w:t xml:space="preserve">عِندَ غَيبتِه في غَزوةِ تَبوكَ ، و لَم يَثبُتْ عنه أنّه عليه السلامُ صَرَفَه، فيَجِبُ أن يَكونَ خَليفتَه بَعدَ وَفاتِه، كما يَجِبُ في هارونَ أن يَكونَ خَليفتَه أبَداً ما عاشَ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ذَكَروا ذلكَ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أثبَتَ له مَنزِلتَه</w:t>
      </w:r>
      <w:r>
        <w:rPr>
          <w:rStyle w:val="FootnoteAnchor"/>
          <w:rtl w:val="true"/>
        </w:rPr>
        <w:footnoteReference w:id="2018"/>
      </w:r>
      <w:r>
        <w:rPr>
          <w:rFonts w:ascii="Amiri" w:hAnsi="Amiri" w:eastAsia="Amiri" w:cs="Amiri"/>
          <w:color w:val="111111"/>
          <w:sz w:val="28"/>
          <w:sz w:val="28"/>
          <w:szCs w:val="28"/>
          <w:rtl w:val="true"/>
          <w:lang w:bidi="ar-SA"/>
        </w:rPr>
        <w:t>و نَفَى الأشياءَ الأُخرىٰ ، فإذا كانَ ما نَفاه بَعدَه عليه السلامُ ثابتاً، فالذي أثبَتَه كمِثلِه</w:t>
      </w:r>
      <w:r>
        <w:rPr>
          <w:rStyle w:val="FootnoteAnchor"/>
          <w:rtl w:val="true"/>
        </w:rPr>
        <w:footnoteReference w:id="2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يوجِبُ أنّه الخَليفةُ بَعدَه؛ لأنّه عليه السلامُ نَبَّهَ </w:t>
      </w:r>
      <w:bookmarkStart w:id="377" w:name="pg20017_202585"/>
    </w:p>
    <w:p>
      <w:pPr>
        <w:pStyle w:val="BookText"/>
        <w:rPr/>
      </w:pPr>
      <w:bookmarkEnd w:id="377"/>
      <w:r>
        <w:rPr>
          <w:rFonts w:ascii="Amiri" w:hAnsi="Amiri" w:eastAsia="Amiri" w:cs="Amiri"/>
          <w:color w:val="111111"/>
          <w:sz w:val="28"/>
          <w:sz w:val="28"/>
          <w:szCs w:val="28"/>
          <w:rtl w:val="true"/>
          <w:lang w:bidi="ar-SA"/>
        </w:rPr>
        <w:t xml:space="preserve">بالاستثناءِ علىٰ هذه الحالةِ </w:t>
      </w:r>
      <w:r>
        <w:rPr>
          <w:rStyle w:val="FootnoteAnchor"/>
          <w:rtl w:val="true"/>
        </w:rPr>
        <w:footnoteReference w:id="2020"/>
      </w:r>
      <w:r>
        <w:rPr>
          <w:rFonts w:ascii="Amiri" w:hAnsi="Amiri" w:eastAsia="Amiri" w:cs="Amiri"/>
          <w:color w:val="111111"/>
          <w:sz w:val="28"/>
          <w:sz w:val="28"/>
          <w:szCs w:val="28"/>
          <w:rtl w:val="true"/>
          <w:lang w:bidi="ar-SA"/>
        </w:rPr>
        <w:t xml:space="preserve">و إن كانَ مِثلُها لَم يَحصُلْ لهارونَ عليه السلامُ إلّافي حالِ حياةِ موسىٰ عليه السلامُ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964261_2320776876"/>
      <w:bookmarkStart w:id="379" w:name="_Toc134"/>
      <w:bookmarkEnd w:id="378"/>
      <w:r>
        <w:rPr>
          <w:rtl w:val="true"/>
        </w:rPr>
        <w:t>مقدّمة في الاستدلال بحديث المنزلة</w:t>
      </w:r>
      <w:bookmarkEnd w:id="379"/>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نُبيِّنُ كَيفيّةَ الاستدلالِ بالخبرِ الذي أورَدتَه علىٰ إيجابِ النَّصِّ‌، و نورِدُ مِن الأسئلةِ و المُطالَباتِ ما يَليقُ بالمَوضِعِ ، ثُمَّ نَعودُ إلىٰ نَقضِ كلامِكَ ، علىٰ عادتِنا فيما سَلَفَ مِن الكتابِ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الخبرَ دالٌّ على النَّصِّ مِن وجهَينِ ، ما فيهما</w:t>
      </w:r>
      <w:r>
        <w:rPr>
          <w:rStyle w:val="FootnoteAnchor"/>
          <w:rtl w:val="true"/>
        </w:rPr>
        <w:footnoteReference w:id="2022"/>
      </w:r>
      <w:r>
        <w:rPr>
          <w:rFonts w:ascii="Amiri" w:hAnsi="Amiri" w:eastAsia="Amiri" w:cs="Amiri"/>
          <w:color w:val="111111"/>
          <w:sz w:val="28"/>
          <w:sz w:val="28"/>
          <w:szCs w:val="28"/>
          <w:rtl w:val="true"/>
          <w:lang w:bidi="ar-SA"/>
        </w:rPr>
        <w:t>إلّاقَويٌّ مُعتَمَدٌ</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964263_2320776876"/>
      <w:bookmarkStart w:id="381" w:name="_Toc135"/>
      <w:bookmarkEnd w:id="380"/>
      <w:r>
        <w:rPr>
          <w:rtl w:val="true"/>
        </w:rPr>
        <w:t>التقريرُ الأوّلُ</w:t>
      </w:r>
      <w:bookmarkEnd w:id="381"/>
    </w:p>
    <w:p>
      <w:pPr>
        <w:pStyle w:val="Heading6"/>
        <w:numPr>
          <w:ilvl w:val="5"/>
          <w:numId w:val="1"/>
        </w:numPr>
        <w:rPr/>
      </w:pPr>
      <w:bookmarkStart w:id="382" w:name="__RefHeading___Toc964265_2320776876"/>
      <w:bookmarkStart w:id="383" w:name="_Toc136"/>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 xml:space="preserve">التقريرُ الأوّلُ </w:t>
      </w:r>
      <w:r>
        <w:rPr>
          <w:rStyle w:val="FootnoteAnchor"/>
          <w:rtl w:val="true"/>
        </w:rPr>
        <w:footnoteReference w:id="202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حُصولَ جميعِ مَنازِلِ هارونَ مِن موسىٰ عليهما السلامُ لأميرِ المؤمنينَ عليه السلامُ‌، إلّاما خَصَّه الاستثناءُ المنطوقُ به</w:t>
      </w:r>
      <w:r>
        <w:rPr>
          <w:rStyle w:val="FootnoteAnchor"/>
          <w:rtl w:val="true"/>
        </w:rPr>
        <w:footnoteReference w:id="2024"/>
      </w:r>
      <w:r>
        <w:rPr>
          <w:rFonts w:ascii="Amiri" w:hAnsi="Amiri" w:eastAsia="Amiri" w:cs="Amiri"/>
          <w:color w:val="111111"/>
          <w:sz w:val="28"/>
          <w:sz w:val="28"/>
          <w:szCs w:val="28"/>
          <w:rtl w:val="true"/>
          <w:lang w:bidi="ar-SA"/>
        </w:rPr>
        <w:t>في الخبرِ، و ما جَرىٰ مَجرَى الاستثناءِ مِن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مِن</w:t>
      </w:r>
      <w:r>
        <w:rPr>
          <w:rStyle w:val="FootnoteAnchor"/>
          <w:rtl w:val="true"/>
        </w:rPr>
        <w:footnoteReference w:id="2025"/>
      </w:r>
      <w:r>
        <w:rPr>
          <w:rFonts w:ascii="Amiri" w:hAnsi="Amiri" w:eastAsia="Amiri" w:cs="Amiri"/>
          <w:color w:val="111111"/>
          <w:sz w:val="28"/>
          <w:sz w:val="28"/>
          <w:szCs w:val="28"/>
          <w:rtl w:val="true"/>
          <w:lang w:bidi="ar-SA"/>
        </w:rPr>
        <w:t xml:space="preserve">مَنازِلِ هارونَ مِن موسىٰ هي الشِّركةُ في النبوّةِ‌، و أُخوّةُ النَّسَبِ ، و الفَضلُ و المَحبّةُ </w:t>
      </w:r>
      <w:r>
        <w:rPr>
          <w:rStyle w:val="FootnoteAnchor"/>
          <w:rtl w:val="true"/>
        </w:rPr>
        <w:footnoteReference w:id="2026"/>
      </w:r>
      <w:r>
        <w:rPr>
          <w:rFonts w:ascii="Amiri" w:hAnsi="Amiri" w:eastAsia="Amiri" w:cs="Amiri"/>
          <w:color w:val="111111"/>
          <w:sz w:val="28"/>
          <w:sz w:val="28"/>
          <w:szCs w:val="28"/>
          <w:rtl w:val="true"/>
          <w:lang w:bidi="ar-SA"/>
        </w:rPr>
        <w:t xml:space="preserve">، و الاختصاصُ علىٰ </w:t>
      </w:r>
      <w:bookmarkStart w:id="384" w:name="pg20017_202586"/>
    </w:p>
    <w:p>
      <w:pPr>
        <w:pStyle w:val="BookText"/>
        <w:rPr/>
      </w:pPr>
      <w:bookmarkEnd w:id="384"/>
      <w:r>
        <w:rPr>
          <w:rFonts w:ascii="Amiri" w:hAnsi="Amiri" w:eastAsia="Amiri" w:cs="Amiri"/>
          <w:color w:val="111111"/>
          <w:sz w:val="28"/>
          <w:sz w:val="28"/>
          <w:szCs w:val="28"/>
          <w:rtl w:val="true"/>
          <w:lang w:bidi="ar-SA"/>
        </w:rPr>
        <w:t>جميعِ قومِه، و الخِلافةُ له في حالِ غَيبتِه علىٰ أُمّتِه، و أنّه لَو بَقيَ بَعدَه لَخَلَفَه</w:t>
      </w:r>
      <w:r>
        <w:rPr>
          <w:rStyle w:val="FootnoteAnchor"/>
          <w:rtl w:val="true"/>
        </w:rPr>
        <w:footnoteReference w:id="2027"/>
      </w:r>
      <w:r>
        <w:rPr>
          <w:rFonts w:ascii="Amiri" w:hAnsi="Amiri" w:eastAsia="Amiri" w:cs="Amiri"/>
          <w:color w:val="111111"/>
          <w:sz w:val="28"/>
          <w:sz w:val="28"/>
          <w:szCs w:val="28"/>
          <w:rtl w:val="true"/>
          <w:lang w:bidi="ar-SA"/>
        </w:rPr>
        <w:t>فيهم، و لَم يَجُزْ أن يَخرُجَ القيامُ بأُمورِهم 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خَرَجَ بالاستثناءِ مَنزِلةُ النبوّةِ‌، و خَصَّ العُرفُ مَنزِلةَ الأُخُوَّةِ في النَّسَبِ </w:t>
      </w:r>
      <w:r>
        <w:rPr>
          <w:rStyle w:val="FootnoteAnchor"/>
          <w:rtl w:val="true"/>
        </w:rPr>
        <w:footnoteReference w:id="2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المعلومِ لِكُلِّ أحَدٍ مِمّن عَرَفَهما</w:t>
      </w:r>
      <w:r>
        <w:rPr>
          <w:rStyle w:val="FootnoteAnchor"/>
          <w:rtl w:val="true"/>
        </w:rPr>
        <w:footnoteReference w:id="2029"/>
      </w:r>
      <w:r>
        <w:rPr>
          <w:rFonts w:ascii="Amiri" w:hAnsi="Amiri" w:eastAsia="Amiri" w:cs="Amiri"/>
          <w:color w:val="111111"/>
          <w:sz w:val="28"/>
          <w:sz w:val="28"/>
          <w:szCs w:val="28"/>
          <w:rtl w:val="true"/>
          <w:lang w:bidi="ar-SA"/>
        </w:rPr>
        <w:t xml:space="preserve">عليهما السلامُ أنّه لَم يَكُن بَينَهما أُخُوَّةُ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القَطعُ علىٰ ثُبوتِ ما عَدا هاتَينِ المَنزِلتَينِ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ثَبَتَ ما عَداهما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جُملتِه أنّه لَو بَقيَ لَخَلَفَه</w:t>
      </w:r>
      <w:r>
        <w:rPr>
          <w:rStyle w:val="FootnoteAnchor"/>
          <w:rtl w:val="true"/>
        </w:rPr>
        <w:footnoteReference w:id="2030"/>
      </w:r>
      <w:r>
        <w:rPr>
          <w:rFonts w:ascii="Amiri" w:hAnsi="Amiri" w:eastAsia="Amiri" w:cs="Amiri"/>
          <w:color w:val="111111"/>
          <w:sz w:val="28"/>
          <w:sz w:val="28"/>
          <w:szCs w:val="28"/>
          <w:rtl w:val="true"/>
          <w:lang w:bidi="ar-SA"/>
        </w:rPr>
        <w:t>و دَبَّر أمرَ</w:t>
      </w:r>
    </w:p>
    <w:p>
      <w:pPr>
        <w:pStyle w:val="BookText"/>
        <w:rPr/>
      </w:pPr>
      <w:r>
        <w:rPr>
          <w:rFonts w:ascii="Amiri" w:hAnsi="Amiri" w:eastAsia="Amiri" w:cs="Amiri"/>
          <w:color w:val="111111"/>
          <w:sz w:val="28"/>
          <w:sz w:val="28"/>
          <w:szCs w:val="28"/>
          <w:rtl w:val="true"/>
          <w:lang w:bidi="ar-SA"/>
        </w:rPr>
        <w:t xml:space="preserve">أُمّتِه و قامَ فيهم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 بَقاءَ أميرِ المؤمنينَ عليه السلامُ بَعدَ وفاةِ الرسولِ صَلَّى اللّٰهُ عليه و آلهِ ، وَجَبَت له الإمامةُ بَعدَه بِلا 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أوّلاً علىٰ صِحّةِ الخبرِ؛ فهو</w:t>
      </w:r>
      <w:r>
        <w:rPr>
          <w:rStyle w:val="FootnoteAnchor"/>
          <w:rtl w:val="true"/>
        </w:rPr>
        <w:footnoteReference w:id="2031"/>
      </w:r>
      <w:r>
        <w:rPr>
          <w:rFonts w:ascii="Amiri" w:hAnsi="Amiri" w:eastAsia="Amiri" w:cs="Amiri"/>
          <w:color w:val="111111"/>
          <w:sz w:val="28"/>
          <w:sz w:val="28"/>
          <w:szCs w:val="28"/>
          <w:rtl w:val="true"/>
          <w:lang w:bidi="ar-SA"/>
        </w:rPr>
        <w:t>الأصلُ ، ثُمَّ علىٰ أنّ مِن جُملةِ مَنازِلِ هارونَ مِن موسىٰ أنّه لَو بَقيَ بَعدَ وَفاتِه لَخَلَفَه و قامَ بأمرِ أُمّتِه، ثُمَّ علىٰ أنّ الخبرَ يَصِحُّ فيه طريقةُ العُمومِ ، و أنّه يَقتَضي ثُبوتَ جميعِ المَنازِلِ بَعدَ ما أخرَجَه الاستثناءُ و ما جَرىٰ مَجراه</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964267_2320776876"/>
      <w:bookmarkStart w:id="386" w:name="_Toc137"/>
      <w:bookmarkEnd w:id="385"/>
      <w:r>
        <w:rPr>
          <w:rtl w:val="true"/>
        </w:rPr>
        <w:t>البحث الأوّل</w:t>
      </w:r>
      <w:r>
        <w:rPr>
          <w:rtl w:val="true"/>
        </w:rPr>
        <w:t xml:space="preserve">: </w:t>
      </w:r>
      <w:r>
        <w:rPr>
          <w:rtl w:val="true"/>
        </w:rPr>
        <w:t>إثبات صحّة حديث المنزلة</w:t>
      </w:r>
      <w:bookmarkEnd w:id="38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يَدُلُّ علىٰ صِحّةِ الخبرِ فهو جميعُ ما دَلَّ علىٰ صِحّةِ خبرِ الغديرِ ممّا قد استَقصَيناه</w:t>
      </w:r>
      <w:r>
        <w:rPr>
          <w:rStyle w:val="FootnoteAnchor"/>
          <w:rtl w:val="true"/>
        </w:rPr>
        <w:footnoteReference w:id="2032"/>
      </w:r>
      <w:r>
        <w:rPr>
          <w:rFonts w:ascii="Amiri" w:hAnsi="Amiri" w:eastAsia="Amiri" w:cs="Amiri"/>
          <w:color w:val="111111"/>
          <w:sz w:val="28"/>
          <w:sz w:val="28"/>
          <w:szCs w:val="28"/>
          <w:rtl w:val="true"/>
          <w:lang w:bidi="ar-SA"/>
        </w:rPr>
        <w:t>فيما تَقدّمَ و أحكَمناه</w:t>
      </w:r>
      <w:r>
        <w:rPr>
          <w:rStyle w:val="FootnoteAnchor"/>
          <w:rtl w:val="true"/>
        </w:rPr>
        <w:footnoteReference w:id="2033"/>
      </w:r>
      <w:r>
        <w:rPr>
          <w:rFonts w:ascii="Amiri" w:hAnsi="Amiri" w:eastAsia="Amiri" w:cs="Amiri"/>
          <w:color w:val="111111"/>
          <w:sz w:val="28"/>
          <w:sz w:val="28"/>
          <w:szCs w:val="28"/>
          <w:rtl w:val="true"/>
          <w:lang w:bidi="ar-SA"/>
        </w:rPr>
        <w:t xml:space="preserve">، و لأنّ علماءَ الأُمّةِ مُطبِقونَ علىٰ قَبولِه </w:t>
      </w:r>
      <w:bookmarkStart w:id="387" w:name="pg20017_202587"/>
    </w:p>
    <w:p>
      <w:pPr>
        <w:pStyle w:val="BookText"/>
        <w:rPr/>
      </w:pPr>
      <w:bookmarkEnd w:id="387"/>
      <w:r>
        <w:rPr>
          <w:rFonts w:ascii="Amiri" w:hAnsi="Amiri" w:eastAsia="Amiri" w:cs="Amiri"/>
          <w:color w:val="111111"/>
          <w:sz w:val="28"/>
          <w:sz w:val="28"/>
          <w:szCs w:val="28"/>
          <w:rtl w:val="true"/>
          <w:lang w:bidi="ar-SA"/>
        </w:rPr>
        <w:t>و إنِ اختَلَفوا في تأويلِه، و الشيعةُ تَتواتَرُ به، و أكثَرُ رُواةِ الحَديثِ يَروونَه</w:t>
      </w:r>
      <w:r>
        <w:rPr>
          <w:rStyle w:val="FootnoteAnchor"/>
          <w:rtl w:val="true"/>
        </w:rPr>
        <w:footnoteReference w:id="2034"/>
      </w:r>
      <w:r>
        <w:rPr>
          <w:rFonts w:ascii="Amiri" w:hAnsi="Amiri" w:eastAsia="Amiri" w:cs="Amiri"/>
          <w:color w:val="111111"/>
          <w:sz w:val="28"/>
          <w:sz w:val="28"/>
          <w:szCs w:val="28"/>
          <w:rtl w:val="true"/>
          <w:lang w:bidi="ar-SA"/>
        </w:rPr>
        <w:t>، و مَن صَنَّفَ الحديثَ منهم أَورَدَه في</w:t>
      </w:r>
      <w:r>
        <w:rPr>
          <w:rStyle w:val="FootnoteAnchor"/>
          <w:rtl w:val="true"/>
        </w:rPr>
        <w:footnoteReference w:id="2035"/>
      </w:r>
      <w:r>
        <w:rPr>
          <w:rFonts w:ascii="Amiri" w:hAnsi="Amiri" w:eastAsia="Amiri" w:cs="Amiri"/>
          <w:color w:val="111111"/>
          <w:sz w:val="28"/>
          <w:sz w:val="28"/>
          <w:szCs w:val="28"/>
          <w:rtl w:val="true"/>
          <w:lang w:bidi="ar-SA"/>
        </w:rPr>
        <w:t xml:space="preserve">جُملةِ الصحيحِ ، و هو ظاهرٌ بَينَ الأُمّةِ شائعٌ كظهورِ سائرِ ما نَقطَعُ </w:t>
      </w:r>
      <w:r>
        <w:rPr>
          <w:rStyle w:val="FootnoteAnchor"/>
          <w:rtl w:val="true"/>
        </w:rPr>
        <w:footnoteReference w:id="2036"/>
      </w:r>
      <w:r>
        <w:rPr>
          <w:rFonts w:ascii="Amiri" w:hAnsi="Amiri" w:eastAsia="Amiri" w:cs="Amiri"/>
          <w:color w:val="111111"/>
          <w:sz w:val="28"/>
          <w:sz w:val="28"/>
          <w:szCs w:val="28"/>
          <w:rtl w:val="true"/>
          <w:lang w:bidi="ar-SA"/>
        </w:rPr>
        <w:t xml:space="preserve">علىٰ صحّتِه مِن الأخبارِ، و احتجاجُ أميرِ المؤمنينَ عليه السلامُ علىٰ أهلِ الشُّورىٰ </w:t>
      </w:r>
      <w:r>
        <w:rPr>
          <w:rStyle w:val="FootnoteAnchor"/>
          <w:rtl w:val="true"/>
        </w:rPr>
        <w:footnoteReference w:id="2037"/>
      </w:r>
      <w:r>
        <w:rPr>
          <w:rFonts w:ascii="Amiri" w:hAnsi="Amiri" w:eastAsia="Amiri" w:cs="Amiri"/>
          <w:color w:val="111111"/>
          <w:sz w:val="28"/>
          <w:sz w:val="28"/>
          <w:szCs w:val="28"/>
          <w:rtl w:val="true"/>
          <w:lang w:bidi="ar-SA"/>
        </w:rPr>
        <w:t>تَضَمَّنَه</w:t>
      </w:r>
      <w:r>
        <w:rPr>
          <w:rStyle w:val="FootnoteAnchor"/>
          <w:rtl w:val="true"/>
        </w:rPr>
        <w:footnoteReference w:id="2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يُحكىٰ أنّه رَدَّه أو أظهَرَ الشكَّ فيه، 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صَحَّت الحِكايةُ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شُذوذِه، و تَقدُّمِ الإجماعِ لقَولِه ثُمَّ تأخُّرِه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هذا قد تَقدَّمَ ؛ فلا حاجةَ بنا إلىٰ بَسطِه</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964269_2320776876"/>
      <w:bookmarkStart w:id="389" w:name="_Toc138"/>
      <w:bookmarkEnd w:id="388"/>
      <w:r>
        <w:rPr>
          <w:rtl w:val="true"/>
        </w:rPr>
        <w:t>البحث الثاني</w:t>
      </w:r>
      <w:r>
        <w:rPr>
          <w:rtl w:val="true"/>
        </w:rPr>
        <w:t xml:space="preserve">: </w:t>
      </w:r>
      <w:r>
        <w:rPr>
          <w:rtl w:val="true"/>
        </w:rPr>
        <w:t>إثبات أنّ هارون لو بقي حيّاً بعد موسىٰ لَخَلَفَه</w:t>
      </w:r>
      <w:bookmarkEnd w:id="389"/>
    </w:p>
    <w:p>
      <w:pPr>
        <w:pStyle w:val="Heading6"/>
        <w:numPr>
          <w:ilvl w:val="5"/>
          <w:numId w:val="1"/>
        </w:numPr>
        <w:rPr/>
      </w:pPr>
      <w:bookmarkStart w:id="390" w:name="__RefHeading___Toc964271_2320776876"/>
      <w:bookmarkStart w:id="391" w:name="_Toc139"/>
      <w:bookmarkEnd w:id="390"/>
      <w:r>
        <w:rPr>
          <w:rtl w:val="true"/>
        </w:rPr>
        <w:t>الوجه الأوّل</w:t>
      </w:r>
      <w:r>
        <w:rPr>
          <w:rtl w:val="true"/>
        </w:rPr>
        <w:t xml:space="preserve">: </w:t>
      </w:r>
      <w:r>
        <w:rPr>
          <w:rtl w:val="true"/>
        </w:rPr>
        <w:t>خلافة هارون لموسىٰ</w:t>
      </w:r>
      <w:bookmarkEnd w:id="39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الدليلُ علىٰ أنّ هارونَ عليه السلامُ لَو بَقيَ بَعدَ موسىٰ لَخَلَفَه في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قد ثَبَتَت</w:t>
      </w:r>
      <w:r>
        <w:rPr>
          <w:rStyle w:val="FootnoteAnchor"/>
          <w:rtl w:val="true"/>
        </w:rPr>
        <w:footnoteReference w:id="2039"/>
      </w:r>
      <w:r>
        <w:rPr>
          <w:rFonts w:ascii="Amiri" w:hAnsi="Amiri" w:eastAsia="Amiri" w:cs="Amiri"/>
          <w:color w:val="111111"/>
          <w:sz w:val="28"/>
          <w:sz w:val="28"/>
          <w:szCs w:val="28"/>
          <w:rtl w:val="true"/>
          <w:lang w:bidi="ar-SA"/>
        </w:rPr>
        <w:t>خِلافتُه له في حالِ حياتِه بِلا خِلافٍ‌، 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مُوسىٰ لِأَخِيهِ هٰارُونَ اخْلُفْنِي فِي قَوْمِي وَ أَصْلِحْ وَ لاٰ تَتَّبِعْ سَبِيلَ الْمُفْسِدِينَ </w:t>
      </w:r>
      <w:r>
        <w:rPr>
          <w:rFonts w:eastAsia="Amiri" w:cs="Amiri" w:ascii="Amiri" w:hAnsi="Amiri"/>
          <w:color w:val="111111"/>
          <w:sz w:val="28"/>
          <w:szCs w:val="28"/>
          <w:rtl w:val="true"/>
          <w:lang w:bidi="ar-SA"/>
        </w:rPr>
        <w:t>)</w:t>
      </w:r>
      <w:r>
        <w:rPr>
          <w:rStyle w:val="FootnoteAnchor"/>
          <w:rtl w:val="true"/>
        </w:rPr>
        <w:footnoteReference w:id="2040"/>
      </w:r>
      <w:r>
        <w:rPr>
          <w:rFonts w:ascii="Amiri" w:hAnsi="Amiri" w:eastAsia="Amiri" w:cs="Amiri"/>
          <w:color w:val="111111"/>
          <w:sz w:val="28"/>
          <w:sz w:val="28"/>
          <w:szCs w:val="28"/>
          <w:rtl w:val="true"/>
          <w:lang w:bidi="ar-SA"/>
        </w:rPr>
        <w:t xml:space="preserve">أكبَرُ شاهدٍ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ثَبَتَت</w:t>
      </w:r>
      <w:r>
        <w:rPr>
          <w:rStyle w:val="FootnoteAnchor"/>
          <w:rtl w:val="true"/>
        </w:rPr>
        <w:footnoteReference w:id="2041"/>
      </w:r>
      <w:r>
        <w:rPr>
          <w:rFonts w:ascii="Amiri" w:hAnsi="Amiri" w:eastAsia="Amiri" w:cs="Amiri"/>
          <w:color w:val="111111"/>
          <w:sz w:val="28"/>
          <w:sz w:val="28"/>
          <w:szCs w:val="28"/>
          <w:rtl w:val="true"/>
          <w:lang w:bidi="ar-SA"/>
        </w:rPr>
        <w:t xml:space="preserve">الخِلافةُ له في حالِ الحياةِ ، وَجَبَ حصولُها له بَعدَ حالِ الوفاةِ لَو بَقيَ إليها؛ لأنّ خروجَها عنه في حالٍ مِن الأحوالِ مع بقائِه حَطٌّ له مِن رُتبةٍ </w:t>
      </w:r>
    </w:p>
    <w:p>
      <w:pPr>
        <w:pStyle w:val="BookText"/>
        <w:rPr/>
      </w:pPr>
      <w:r>
        <w:rPr>
          <w:rFonts w:ascii="Amiri" w:hAnsi="Amiri" w:eastAsia="Amiri" w:cs="Amiri"/>
          <w:color w:val="111111"/>
          <w:sz w:val="28"/>
          <w:sz w:val="28"/>
          <w:szCs w:val="28"/>
          <w:rtl w:val="true"/>
          <w:lang w:bidi="ar-SA"/>
        </w:rPr>
        <w:t>كانَ عليها، و صَرفٌ عن وِلايةٍ فُوِّضَت إليه، و ذلكَ يَقتَضي مِن التنفيرِ أكثَرَ ممّا يَعتَرِفُ به خُصومُنا مِن المُعتَزِلةِ بأنّ اللّٰهَ تَعالىٰ يُجَنِّبُ أنبياءَهُ عليهم السلامُ مِن</w:t>
      </w:r>
    </w:p>
    <w:p>
      <w:pPr>
        <w:pStyle w:val="BookText"/>
        <w:rPr/>
      </w:pPr>
      <w:r>
        <w:rPr>
          <w:rFonts w:ascii="Amiri" w:hAnsi="Amiri" w:eastAsia="Amiri" w:cs="Amiri"/>
          <w:color w:val="111111"/>
          <w:sz w:val="28"/>
          <w:sz w:val="28"/>
          <w:szCs w:val="28"/>
          <w:rtl w:val="true"/>
          <w:lang w:bidi="ar-SA"/>
        </w:rPr>
        <w:t xml:space="preserve">القَباحةِ في الخَلقِ و الدَّمامةِ </w:t>
      </w:r>
      <w:r>
        <w:rPr>
          <w:rStyle w:val="FootnoteAnchor"/>
          <w:rtl w:val="true"/>
        </w:rPr>
        <w:footnoteReference w:id="2042"/>
      </w:r>
      <w:r>
        <w:rPr>
          <w:rFonts w:ascii="Amiri" w:hAnsi="Amiri" w:eastAsia="Amiri" w:cs="Amiri"/>
          <w:color w:val="111111"/>
          <w:sz w:val="28"/>
          <w:sz w:val="28"/>
          <w:szCs w:val="28"/>
          <w:rtl w:val="true"/>
          <w:lang w:bidi="ar-SA"/>
        </w:rPr>
        <w:t>المُفرِطةِ ، و الصغائرِ المُستخَفَّةِ ، و أن لا يُجيبَهم</w:t>
      </w:r>
      <w:r>
        <w:rPr>
          <w:rStyle w:val="FootnoteAnchor"/>
          <w:rtl w:val="true"/>
        </w:rPr>
        <w:footnoteReference w:id="2043"/>
      </w:r>
      <w:r>
        <w:rPr>
          <w:rFonts w:ascii="Amiri" w:hAnsi="Amiri" w:eastAsia="Amiri" w:cs="Amiri"/>
          <w:color w:val="111111"/>
          <w:sz w:val="28"/>
          <w:sz w:val="28"/>
          <w:szCs w:val="28"/>
          <w:rtl w:val="true"/>
          <w:lang w:bidi="ar-SA"/>
        </w:rPr>
        <w:t>اللّٰهُ تَعالىٰ إلىٰ ما يَسألونَه لأُمّتِهم مِن حَيثُ يَظهَرُ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زَعَمتُم أنّ فيما ذَكَرتُموه تنفيراً؟</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خِلافةَ هارونَ لموسىٰ عليهما السلامُ </w:t>
      </w:r>
      <w:r>
        <w:rPr>
          <w:rStyle w:val="FootnoteAnchor"/>
          <w:rtl w:val="true"/>
        </w:rPr>
        <w:footnoteReference w:id="2044"/>
      </w:r>
      <w:r>
        <w:rPr>
          <w:rFonts w:ascii="IRNazanin" w:hAnsi="IRNazanin" w:eastAsia="IRNazanin"/>
          <w:color w:val="111111"/>
          <w:sz w:val="28"/>
          <w:sz w:val="28"/>
          <w:szCs w:val="28"/>
          <w:rtl w:val="true"/>
          <w:lang w:bidi="fa-IR"/>
        </w:rPr>
        <w:t>إذا</w:t>
      </w:r>
      <w:r>
        <w:rPr>
          <w:rStyle w:val="FootnoteAnchor"/>
          <w:rtl w:val="true"/>
        </w:rPr>
        <w:footnoteReference w:id="2045"/>
      </w:r>
      <w:r>
        <w:rPr>
          <w:rFonts w:ascii="Amiri" w:hAnsi="Amiri" w:eastAsia="Amiri" w:cs="Amiri"/>
          <w:color w:val="111111"/>
          <w:sz w:val="28"/>
          <w:sz w:val="28"/>
          <w:szCs w:val="28"/>
          <w:rtl w:val="true"/>
          <w:lang w:bidi="ar-SA"/>
        </w:rPr>
        <w:t>كانت مَنزِلةً في الدينِ جَليلةً ، و دَرَجةً فيه</w:t>
      </w:r>
      <w:r>
        <w:rPr>
          <w:rStyle w:val="FootnoteAnchor"/>
          <w:rtl w:val="true"/>
        </w:rPr>
        <w:footnoteReference w:id="2046"/>
      </w:r>
      <w:r>
        <w:rPr>
          <w:rFonts w:ascii="Amiri" w:hAnsi="Amiri" w:eastAsia="Amiri" w:cs="Amiri"/>
          <w:color w:val="111111"/>
          <w:sz w:val="28"/>
          <w:sz w:val="28"/>
          <w:szCs w:val="28"/>
          <w:rtl w:val="true"/>
          <w:lang w:bidi="ar-SA"/>
        </w:rPr>
        <w:t>رَفيعةً ، و اقتَضَت مِن التبجيلِ و التعظيمِ ما يَجِبُ بِمِثلِها</w:t>
      </w:r>
      <w:r>
        <w:rPr>
          <w:rStyle w:val="FootnoteAnchor"/>
          <w:rtl w:val="true"/>
        </w:rPr>
        <w:footnoteReference w:id="2047"/>
      </w:r>
      <w:r>
        <w:rPr>
          <w:rFonts w:ascii="Amiri" w:hAnsi="Amiri" w:eastAsia="Amiri" w:cs="Amiri"/>
          <w:color w:val="111111"/>
          <w:sz w:val="28"/>
          <w:sz w:val="28"/>
          <w:szCs w:val="28"/>
          <w:rtl w:val="true"/>
          <w:lang w:bidi="ar-SA"/>
        </w:rPr>
        <w:t xml:space="preserve">، لَم يَجُزْ أن يَخرُجَ عنها؛ لأنّ في خروجِه عنها زوالَ ما كانَ له في النفوسِ بها مِن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نِهايةُ التنفيرِ و التأثيرِ في السُّكونِ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دَفَعَ أن يَكونَ الخروجُ عن هذهِ المَنزِلةِ مُنفِّراً، كمَن دَفَعَ أن يَكونَ سائرُ ما عَدَّدناه مُنفِّراً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فيما ذَكَرتُموه أنّه مُنفِّرٌ، وَجَبَ أن يُجَنَّبَه</w:t>
      </w:r>
      <w:r>
        <w:rPr>
          <w:rStyle w:val="FootnoteAnchor"/>
          <w:rtl w:val="true"/>
        </w:rPr>
        <w:footnoteReference w:id="2048"/>
      </w:r>
      <w:r>
        <w:rPr>
          <w:rFonts w:ascii="Amiri" w:hAnsi="Amiri" w:eastAsia="Amiri" w:cs="Amiri"/>
          <w:color w:val="111111"/>
          <w:sz w:val="28"/>
          <w:sz w:val="28"/>
          <w:szCs w:val="28"/>
          <w:rtl w:val="true"/>
          <w:lang w:bidi="ar-SA"/>
        </w:rPr>
        <w:t xml:space="preserve">هارونُ عليه السلامُ مِن حيثُ كانَ نَبيّاً و مؤدّياً عن اللّٰهِ عَزَّ و جَلَّ‌؛ لأنّه لَو لَم يَكُن نَبيّاً لَما وَجَبَ </w:t>
      </w:r>
      <w:r>
        <w:rPr>
          <w:rStyle w:val="FootnoteAnchor"/>
          <w:rtl w:val="true"/>
        </w:rPr>
        <w:footnoteReference w:id="2049"/>
      </w:r>
      <w:r>
        <w:rPr>
          <w:rFonts w:ascii="Amiri" w:hAnsi="Amiri" w:eastAsia="Amiri" w:cs="Amiri"/>
          <w:color w:val="111111"/>
          <w:sz w:val="28"/>
          <w:sz w:val="28"/>
          <w:szCs w:val="28"/>
          <w:rtl w:val="true"/>
          <w:lang w:bidi="ar-SA"/>
        </w:rPr>
        <w:t xml:space="preserve">أن يُجَنَّبَ </w:t>
      </w:r>
      <w:r>
        <w:rPr>
          <w:rStyle w:val="FootnoteAnchor"/>
          <w:rtl w:val="true"/>
        </w:rPr>
        <w:footnoteReference w:id="2050"/>
      </w:r>
      <w:r>
        <w:rPr>
          <w:rFonts w:ascii="Amiri" w:hAnsi="Amiri" w:eastAsia="Amiri" w:cs="Amiri"/>
          <w:color w:val="111111"/>
          <w:sz w:val="28"/>
          <w:sz w:val="28"/>
          <w:szCs w:val="28"/>
          <w:rtl w:val="true"/>
          <w:lang w:bidi="ar-SA"/>
        </w:rPr>
        <w:t xml:space="preserve">المُنفِّراتِ ، فكأنّ نُبوّتَه هي المُقتَضيةُ لاستمرارِ خِلافتِه إلىٰ بَعدِ الوفاةِ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كانَ النبيُّ صَلَّى اللّٰهُ عليه و آلِه</w:t>
      </w:r>
      <w:r>
        <w:rPr>
          <w:rStyle w:val="FootnoteAnchor"/>
          <w:rtl w:val="true"/>
        </w:rPr>
        <w:footnoteReference w:id="2051"/>
      </w:r>
      <w:r>
        <w:rPr>
          <w:rFonts w:ascii="Amiri" w:hAnsi="Amiri" w:eastAsia="Amiri" w:cs="Amiri"/>
          <w:color w:val="111111"/>
          <w:sz w:val="28"/>
          <w:sz w:val="28"/>
          <w:szCs w:val="28"/>
          <w:rtl w:val="true"/>
          <w:lang w:bidi="ar-SA"/>
        </w:rPr>
        <w:t>قد استَثنىٰ في الخبرِ النبوّةَ ، وَجَبَ أن يَخرُجَ معها ما هي مُقتَضيةٌ له و كالسبَبِ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w:t>
      </w:r>
      <w:r>
        <w:rPr>
          <w:rStyle w:val="FootnoteAnchor"/>
          <w:rtl w:val="true"/>
        </w:rPr>
        <w:footnoteReference w:id="2052"/>
      </w:r>
      <w:r>
        <w:rPr>
          <w:rFonts w:ascii="Amiri" w:hAnsi="Amiri" w:eastAsia="Amiri" w:cs="Amiri"/>
          <w:color w:val="111111"/>
          <w:sz w:val="28"/>
          <w:sz w:val="28"/>
          <w:szCs w:val="28"/>
          <w:rtl w:val="true"/>
          <w:lang w:bidi="ar-SA"/>
        </w:rPr>
        <w:t>أُخرِجَت هذه المَنزِلةُ مع النبوّةِ ، لَم يَكُن في الخبرِ دَلالةٌ علَى النَّصِّ الذي تَدَّعونَه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الخِلافةَ مِن مُقتَضَى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حَيثُ كانَ نَبيّاً تَجِبُ‌</w:t>
      </w:r>
      <w:r>
        <w:rPr>
          <w:rStyle w:val="FootnoteAnchor"/>
          <w:rtl w:val="true"/>
        </w:rPr>
        <w:footnoteReference w:id="2053"/>
      </w:r>
      <w:r>
        <w:rPr>
          <w:rFonts w:ascii="Amiri" w:hAnsi="Amiri" w:eastAsia="Amiri" w:cs="Amiri"/>
          <w:color w:val="111111"/>
          <w:sz w:val="28"/>
          <w:sz w:val="28"/>
          <w:szCs w:val="28"/>
          <w:rtl w:val="true"/>
          <w:lang w:bidi="ar-SA"/>
        </w:rPr>
        <w:t>له هذه المَنزِلةُ كما يَجِبُ له سائرُ شُروطِ</w:t>
      </w:r>
      <w:r>
        <w:rPr>
          <w:rStyle w:val="FootnoteAnchor"/>
          <w:rtl w:val="true"/>
        </w:rPr>
        <w:footnoteReference w:id="2054"/>
      </w:r>
      <w:r>
        <w:rPr>
          <w:rFonts w:ascii="Amiri" w:hAnsi="Amiri" w:eastAsia="Amiri" w:cs="Amiri"/>
          <w:color w:val="111111"/>
          <w:sz w:val="28"/>
          <w:sz w:val="28"/>
          <w:szCs w:val="28"/>
          <w:rtl w:val="true"/>
          <w:lang w:bidi="ar-SA"/>
        </w:rPr>
        <w:t>النبوّةِ‌، فلَيسَ الأمرُ كذلكَ‌؛ لأنّه غيرُ مُنكَرٍ أن يَكونَ هارونُ قَبلَ استخلافِ موسىٰ له شَريكاً في نُبوّتِه و تبليغِ‌</w:t>
      </w:r>
      <w:r>
        <w:rPr>
          <w:rStyle w:val="FootnoteAnchor"/>
          <w:rtl w:val="true"/>
        </w:rPr>
        <w:footnoteReference w:id="2055"/>
      </w:r>
      <w:r>
        <w:rPr>
          <w:rFonts w:ascii="Amiri" w:hAnsi="Amiri" w:eastAsia="Amiri" w:cs="Amiri"/>
          <w:color w:val="111111"/>
          <w:sz w:val="28"/>
          <w:sz w:val="28"/>
          <w:szCs w:val="28"/>
          <w:rtl w:val="true"/>
          <w:lang w:bidi="ar-SA"/>
        </w:rPr>
        <w:t>شَرعِه، و إن لَم يَكُن خَليفةً له فيما</w:t>
      </w:r>
      <w:r>
        <w:rPr>
          <w:rStyle w:val="FootnoteAnchor"/>
          <w:rtl w:val="true"/>
        </w:rPr>
        <w:footnoteReference w:id="2056"/>
      </w:r>
      <w:r>
        <w:rPr>
          <w:rFonts w:ascii="Amiri" w:hAnsi="Amiri" w:eastAsia="Amiri" w:cs="Amiri"/>
          <w:color w:val="111111"/>
          <w:sz w:val="28"/>
          <w:sz w:val="28"/>
          <w:szCs w:val="28"/>
          <w:rtl w:val="true"/>
          <w:lang w:bidi="ar-SA"/>
        </w:rPr>
        <w:t>سِوىٰ ذلكَ في حَياتِه و لا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أنّ هارونَ بَعدَ استخلافِ موسىٰ له في حياتِه يَجِبُ‌</w:t>
      </w:r>
      <w:r>
        <w:rPr>
          <w:rStyle w:val="FootnoteAnchor"/>
          <w:rtl w:val="true"/>
        </w:rPr>
        <w:footnoteReference w:id="2057"/>
      </w:r>
      <w:r>
        <w:rPr>
          <w:rFonts w:ascii="Amiri" w:hAnsi="Amiri" w:eastAsia="Amiri" w:cs="Amiri"/>
          <w:color w:val="111111"/>
          <w:sz w:val="28"/>
          <w:sz w:val="28"/>
          <w:szCs w:val="28"/>
          <w:rtl w:val="true"/>
          <w:lang w:bidi="ar-SA"/>
        </w:rPr>
        <w:t>أن يَستَمِرَّ</w:t>
      </w:r>
      <w:r>
        <w:rPr>
          <w:rStyle w:val="FootnoteAnchor"/>
          <w:rtl w:val="true"/>
        </w:rPr>
        <w:footnoteReference w:id="2058"/>
      </w:r>
      <w:r>
        <w:rPr>
          <w:rFonts w:ascii="Amiri" w:hAnsi="Amiri" w:eastAsia="Amiri" w:cs="Amiri"/>
          <w:color w:val="111111"/>
          <w:sz w:val="28"/>
          <w:sz w:val="28"/>
          <w:szCs w:val="28"/>
          <w:rtl w:val="true"/>
          <w:lang w:bidi="ar-SA"/>
        </w:rPr>
        <w:t xml:space="preserve">حالُه و لا يَخرُجَ عن هذه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خروجَهُ عنها يَقتَضي التنفيرَ الذي يَمنَعُ‌</w:t>
      </w:r>
      <w:r>
        <w:rPr>
          <w:rStyle w:val="FootnoteAnchor"/>
          <w:rtl w:val="true"/>
        </w:rPr>
        <w:footnoteReference w:id="2059"/>
      </w:r>
      <w:r>
        <w:rPr>
          <w:rFonts w:ascii="Amiri" w:hAnsi="Amiri" w:eastAsia="Amiri" w:cs="Amiri"/>
          <w:color w:val="111111"/>
          <w:sz w:val="28"/>
          <w:sz w:val="28"/>
          <w:szCs w:val="28"/>
          <w:rtl w:val="true"/>
          <w:lang w:bidi="ar-SA"/>
        </w:rPr>
        <w:t>نُبوّةُ هارونَ منه، و أشَرتَ بقَولِكَ‌</w:t>
      </w:r>
      <w:r>
        <w:rPr>
          <w:rStyle w:val="FootnoteAnchor"/>
          <w:rtl w:val="true"/>
        </w:rPr>
        <w:footnoteReference w:id="2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النبوّةَ تَقتَضي الخِلافةَ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صَحيحٌ‌، غيرَ أنّه لا يَجِبُ ما ظَنَنتَه مِن استثناءِ </w:t>
      </w:r>
      <w:r>
        <w:rPr>
          <w:rStyle w:val="FootnoteAnchor"/>
          <w:rtl w:val="true"/>
        </w:rPr>
        <w:footnoteReference w:id="2061"/>
      </w:r>
      <w:r>
        <w:rPr>
          <w:rFonts w:ascii="Amiri" w:hAnsi="Amiri" w:eastAsia="Amiri" w:cs="Amiri"/>
          <w:color w:val="111111"/>
          <w:sz w:val="28"/>
          <w:sz w:val="28"/>
          <w:szCs w:val="28"/>
          <w:rtl w:val="true"/>
          <w:lang w:bidi="ar-SA"/>
        </w:rPr>
        <w:t>الخِلافةِ باستثناءِ النبوّةِ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أكثَرَ ما فيه</w:t>
      </w:r>
      <w:r>
        <w:rPr>
          <w:rStyle w:val="FootnoteAnchor"/>
          <w:rtl w:val="true"/>
        </w:rPr>
        <w:footnoteReference w:id="2062"/>
      </w:r>
      <w:r>
        <w:rPr>
          <w:rFonts w:ascii="Amiri" w:hAnsi="Amiri" w:eastAsia="Amiri" w:cs="Amiri"/>
          <w:color w:val="111111"/>
          <w:sz w:val="28"/>
          <w:sz w:val="28"/>
          <w:szCs w:val="28"/>
          <w:rtl w:val="true"/>
          <w:lang w:bidi="ar-SA"/>
        </w:rPr>
        <w:t xml:space="preserve">أن يَكونَ كالسببِ في ثُبوتِ الخِلافةِ بَعدَ الوفاةِ ، و غيرُ واجبٍ أن </w:t>
      </w:r>
    </w:p>
    <w:p>
      <w:pPr>
        <w:pStyle w:val="BookText"/>
        <w:rPr/>
      </w:pPr>
      <w:r>
        <w:rPr>
          <w:rFonts w:ascii="Amiri" w:hAnsi="Amiri" w:eastAsia="Amiri" w:cs="Amiri"/>
          <w:color w:val="111111"/>
          <w:sz w:val="28"/>
          <w:sz w:val="28"/>
          <w:szCs w:val="28"/>
          <w:rtl w:val="true"/>
          <w:lang w:bidi="ar-SA"/>
        </w:rPr>
        <w:t>يُنفىٰ‌</w:t>
      </w:r>
      <w:r>
        <w:rPr>
          <w:rStyle w:val="FootnoteAnchor"/>
          <w:rtl w:val="true"/>
        </w:rPr>
        <w:footnoteReference w:id="2063"/>
      </w:r>
      <w:r>
        <w:rPr>
          <w:rFonts w:ascii="Amiri" w:hAnsi="Amiri" w:eastAsia="Amiri" w:cs="Amiri"/>
          <w:color w:val="111111"/>
          <w:sz w:val="28"/>
          <w:sz w:val="28"/>
          <w:szCs w:val="28"/>
          <w:rtl w:val="true"/>
          <w:lang w:bidi="ar-SA"/>
        </w:rPr>
        <w:t>ما هو كالمُسَبَّبِ‌</w:t>
      </w:r>
      <w:r>
        <w:rPr>
          <w:rStyle w:val="FootnoteAnchor"/>
          <w:rtl w:val="true"/>
        </w:rPr>
        <w:footnoteReference w:id="2064"/>
      </w:r>
      <w:r>
        <w:rPr>
          <w:rFonts w:ascii="Amiri" w:hAnsi="Amiri" w:eastAsia="Amiri" w:cs="Amiri"/>
          <w:color w:val="111111"/>
          <w:sz w:val="28"/>
          <w:sz w:val="28"/>
          <w:szCs w:val="28"/>
          <w:rtl w:val="true"/>
          <w:lang w:bidi="ar-SA"/>
        </w:rPr>
        <w:t>عن غيرِه عندَ نفيِ ذلكَ الغَيرِ</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لا تَرىٰ أنّ أحَدَنا لَو قالَ لوصيِّه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 فُلاناً مِن مالي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مَبلغاً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w:t>
      </w:r>
      <w:r>
        <w:rPr>
          <w:rStyle w:val="FootnoteAnchor"/>
          <w:rtl w:val="true"/>
        </w:rPr>
        <w:footnoteReference w:id="2066"/>
      </w:r>
      <w:r>
        <w:rPr>
          <w:rFonts w:ascii="Amiri" w:hAnsi="Amiri" w:eastAsia="Amiri" w:cs="Amiri"/>
          <w:color w:val="111111"/>
          <w:sz w:val="28"/>
          <w:sz w:val="28"/>
          <w:szCs w:val="28"/>
          <w:rtl w:val="true"/>
          <w:lang w:bidi="ar-SA"/>
        </w:rPr>
        <w:t>يَستَحِقُّ هذا المَبلَغَ عَليَّ مِن ثَمَنِ سِلعةٍ ابتَعتُها</w:t>
      </w:r>
      <w:r>
        <w:rPr>
          <w:rStyle w:val="FootnoteAnchor"/>
          <w:rtl w:val="true"/>
        </w:rPr>
        <w:footnoteReference w:id="2067"/>
      </w:r>
      <w:r>
        <w:rPr>
          <w:rFonts w:ascii="Amiri" w:hAnsi="Amiri" w:eastAsia="Amiri" w:cs="Amiri"/>
          <w:color w:val="111111"/>
          <w:sz w:val="28"/>
          <w:sz w:val="28"/>
          <w:szCs w:val="28"/>
          <w:rtl w:val="true"/>
          <w:lang w:bidi="ar-SA"/>
        </w:rPr>
        <w:t>منه، و أنزِلْ فُلاناً مَنزِلةَ فُلانٍ الذي أوصَيتُكَ به</w:t>
      </w:r>
      <w:r>
        <w:rPr>
          <w:rStyle w:val="FootnoteAnchor"/>
          <w:rtl w:val="true"/>
        </w:rPr>
        <w:footnoteReference w:id="2068"/>
      </w:r>
      <w:r>
        <w:rPr>
          <w:rFonts w:ascii="Amiri" w:hAnsi="Amiri" w:eastAsia="Amiri" w:cs="Amiri"/>
          <w:color w:val="111111"/>
          <w:sz w:val="28"/>
          <w:sz w:val="28"/>
          <w:szCs w:val="28"/>
          <w:rtl w:val="true"/>
          <w:lang w:bidi="ar-SA"/>
        </w:rPr>
        <w:t>و أَجرِه مَجراه؛ فإنّ ذلكَ يَجِبُ له مِن أرشِ جِنايَةٍ‌، أو قيمةِ مُتلَفٍ‌</w:t>
      </w:r>
      <w:r>
        <w:rPr>
          <w:rStyle w:val="FootnoteAnchor"/>
          <w:rtl w:val="true"/>
        </w:rPr>
        <w:footnoteReference w:id="2069"/>
      </w:r>
      <w:r>
        <w:rPr>
          <w:rFonts w:ascii="Amiri" w:hAnsi="Amiri" w:eastAsia="Amiri" w:cs="Amiri"/>
          <w:color w:val="111111"/>
          <w:sz w:val="28"/>
          <w:sz w:val="28"/>
          <w:szCs w:val="28"/>
          <w:rtl w:val="true"/>
          <w:lang w:bidi="ar-SA"/>
        </w:rPr>
        <w:t>أو ميراثٍ‌، أو غيرِ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يَذكُرَ وجهاً يُخالِفُ الأوّلَ‌، لَوَجَبَ علَى الوَصيِّ أن يُسَوّيَ بَينَهما في العَطيّةِ‌، و لا يُخالِفَ بَينَهما فيها مِن حَيثُ اختَلَفَت</w:t>
      </w:r>
      <w:r>
        <w:rPr>
          <w:rStyle w:val="FootnoteAnchor"/>
          <w:rtl w:val="true"/>
        </w:rPr>
        <w:footnoteReference w:id="2070"/>
      </w:r>
      <w:r>
        <w:rPr>
          <w:rFonts w:ascii="Amiri" w:hAnsi="Amiri" w:eastAsia="Amiri" w:cs="Amiri"/>
          <w:color w:val="111111"/>
          <w:sz w:val="28"/>
          <w:sz w:val="28"/>
          <w:szCs w:val="28"/>
          <w:rtl w:val="true"/>
          <w:lang w:bidi="ar-SA"/>
        </w:rPr>
        <w:t>جِهةُ استحقاقِهما، و لا يَكونُ قولُ هذا القائلِ عندَ أحَدٍ مِن العقلاءِ يَقتَضي سَلبَ المُعطَى الثاني العَطيّةَ مِن حَيثُ سَلبِه جِهةَ استحقاقِها في الأوّلِ‌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فوَجَبَ بما ذَكرناه أن تَكونَ </w:t>
      </w:r>
      <w:r>
        <w:rPr>
          <w:rStyle w:val="FootnoteAnchor"/>
          <w:rtl w:val="true"/>
        </w:rPr>
        <w:footnoteReference w:id="2071"/>
      </w:r>
      <w:r>
        <w:rPr>
          <w:rFonts w:ascii="Amiri" w:hAnsi="Amiri" w:eastAsia="Amiri" w:cs="Amiri"/>
          <w:color w:val="111111"/>
          <w:sz w:val="28"/>
          <w:sz w:val="28"/>
          <w:szCs w:val="28"/>
          <w:rtl w:val="true"/>
          <w:lang w:bidi="ar-SA"/>
        </w:rPr>
        <w:t>مَنزِلةُ هارونَ مِن موسىٰ عليهما السلامُ في استحقاقِ خِلافتِه له بَعدَ وفاتِه ثابتةً لأميرِ المؤمنينَ عليه السلامُ ؛ لاقتضاءِ اللفظِ لها، و إن كانَت تَجِبُ لهارونَ مِن حَيثُ كانَ في انتفائها</w:t>
      </w:r>
      <w:r>
        <w:rPr>
          <w:rStyle w:val="FootnoteAnchor"/>
          <w:rtl w:val="true"/>
        </w:rPr>
        <w:footnoteReference w:id="2072"/>
      </w:r>
      <w:r>
        <w:rPr>
          <w:rFonts w:ascii="Amiri" w:hAnsi="Amiri" w:eastAsia="Amiri" w:cs="Amiri"/>
          <w:color w:val="111111"/>
          <w:sz w:val="28"/>
          <w:sz w:val="28"/>
          <w:szCs w:val="28"/>
          <w:rtl w:val="true"/>
          <w:lang w:bidi="ar-SA"/>
        </w:rPr>
        <w:t xml:space="preserve">تنفيرٌ يَمنَعُ نُبوّتُه منه، و تَجِبُ لأميرِ المؤمنينَ عليه السلامُ مِن غيرِ هذا الوجهِ </w:t>
      </w:r>
      <w:r>
        <w:rPr>
          <w:rFonts w:eastAsia="Amiri" w:cs="Amiri" w:ascii="Amiri" w:hAnsi="Amiri"/>
          <w:color w:val="111111"/>
          <w:sz w:val="28"/>
          <w:szCs w:val="28"/>
          <w:rtl w:val="true"/>
          <w:lang w:bidi="ar-SA"/>
        </w:rPr>
        <w:t xml:space="preserve">. </w:t>
      </w:r>
      <w:bookmarkStart w:id="392" w:name="pg20017_202591"/>
    </w:p>
    <w:p>
      <w:pPr>
        <w:pStyle w:val="BookText"/>
        <w:rPr/>
      </w:pPr>
      <w:bookmarkEnd w:id="392"/>
      <w:r>
        <w:rPr>
          <w:rFonts w:ascii="Amiri" w:hAnsi="Amiri" w:eastAsia="Amiri" w:cs="Amiri"/>
          <w:color w:val="111111"/>
          <w:sz w:val="28"/>
          <w:sz w:val="28"/>
          <w:szCs w:val="28"/>
          <w:rtl w:val="true"/>
          <w:lang w:bidi="ar-SA"/>
        </w:rPr>
        <w:t xml:space="preserve">و لَيسَ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w:t>
      </w:r>
      <w:r>
        <w:rPr>
          <w:rStyle w:val="FootnoteAnchor"/>
          <w:rtl w:val="true"/>
        </w:rPr>
        <w:footnoteReference w:id="2073"/>
      </w:r>
      <w:r>
        <w:rPr>
          <w:rFonts w:ascii="Amiri" w:hAnsi="Amiri" w:eastAsia="Amiri" w:cs="Amiri"/>
          <w:color w:val="111111"/>
          <w:sz w:val="28"/>
          <w:sz w:val="28"/>
          <w:szCs w:val="28"/>
          <w:rtl w:val="true"/>
          <w:lang w:bidi="ar-SA"/>
        </w:rPr>
        <w:t>ذَكَرتم حالَه لَم يَختَلِفا في جِهةِ العَطيّةِ و ما هو كالسببِ لها؛ لأنّ القولَ مِن الموصي هو المُقتَضي لها، و المذكورانِ يَتَساويانِ فيه؛</w:t>
      </w:r>
    </w:p>
    <w:p>
      <w:pPr>
        <w:pStyle w:val="BookText"/>
        <w:rPr/>
      </w:pPr>
      <w:r>
        <w:rPr>
          <w:rFonts w:ascii="Amiri" w:hAnsi="Amiri" w:eastAsia="Amiri" w:cs="Amiri"/>
          <w:color w:val="111111"/>
          <w:sz w:val="28"/>
          <w:sz w:val="28"/>
          <w:szCs w:val="28"/>
          <w:rtl w:val="true"/>
          <w:lang w:bidi="ar-SA"/>
        </w:rPr>
        <w:t>و ذلكَ أنَّ‌ سببَ استحقاقِ العَطيّةِ في الحقيقةِ لَيسَ هو القولَ‌، بَل هو ما تَقدَّمَ مِن ثَمَنِ المَبيعِ‌</w:t>
      </w:r>
      <w:r>
        <w:rPr>
          <w:rStyle w:val="FootnoteAnchor"/>
          <w:rtl w:val="true"/>
        </w:rPr>
        <w:footnoteReference w:id="2074"/>
      </w:r>
      <w:r>
        <w:rPr>
          <w:rFonts w:ascii="Amiri" w:hAnsi="Amiri" w:eastAsia="Amiri" w:cs="Amiri"/>
          <w:color w:val="111111"/>
          <w:sz w:val="28"/>
          <w:sz w:val="28"/>
          <w:szCs w:val="28"/>
          <w:rtl w:val="true"/>
          <w:lang w:bidi="ar-SA"/>
        </w:rPr>
        <w:t>و قيمةِ المُتلَفِ‌</w:t>
      </w:r>
      <w:r>
        <w:rPr>
          <w:rStyle w:val="FootnoteAnchor"/>
          <w:rtl w:val="true"/>
        </w:rPr>
        <w:footnoteReference w:id="2075"/>
      </w:r>
      <w:r>
        <w:rPr>
          <w:rFonts w:ascii="Amiri" w:hAnsi="Amiri" w:eastAsia="Amiri" w:cs="Amiri"/>
          <w:color w:val="111111"/>
          <w:sz w:val="28"/>
          <w:sz w:val="28"/>
          <w:szCs w:val="28"/>
          <w:rtl w:val="true"/>
          <w:lang w:bidi="ar-SA"/>
        </w:rPr>
        <w:t>أَو ما جَرىٰ مَجراهما، و هو مُختَلِفٌ‌</w:t>
      </w:r>
      <w:r>
        <w:rPr>
          <w:rStyle w:val="FootnoteAnchor"/>
          <w:rtl w:val="true"/>
        </w:rPr>
        <w:footnoteReference w:id="2076"/>
      </w:r>
      <w:r>
        <w:rPr>
          <w:rFonts w:ascii="Amiri" w:hAnsi="Amiri" w:eastAsia="Amiri" w:cs="Amiri"/>
          <w:color w:val="111111"/>
          <w:sz w:val="28"/>
          <w:sz w:val="28"/>
          <w:szCs w:val="28"/>
          <w:rtl w:val="true"/>
          <w:lang w:bidi="ar-SA"/>
        </w:rPr>
        <w:t>لا مَحالةَ‌؛ و إنّما يَجبُ بالقَولِ علَى الموصىٰ إليه العَطيّةُ‌، فأمّا الاستحقاقُ علَى الموصي و سببُه فيَتَقدَّمانِ‌</w:t>
      </w:r>
      <w:r>
        <w:rPr>
          <w:rStyle w:val="FootnoteAnchor"/>
          <w:rtl w:val="true"/>
        </w:rPr>
        <w:footnoteReference w:id="2077"/>
      </w:r>
      <w:r>
        <w:rPr>
          <w:rFonts w:ascii="Amiri" w:hAnsi="Amiri" w:eastAsia="Amiri" w:cs="Amiri"/>
          <w:color w:val="111111"/>
          <w:sz w:val="28"/>
          <w:sz w:val="28"/>
          <w:szCs w:val="28"/>
          <w:rtl w:val="true"/>
          <w:lang w:bidi="ar-SA"/>
        </w:rPr>
        <w:t>بغَيرِ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ما ذَكَرناه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لَو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بمَنزِلةِ هارونَ مِن موسىٰ‌؛ في خِلافتِه له في حياتهِ‌، و استحقاقِها له لَو بَقيَ إلىٰ بَعدِ وفاتِه؛ إلّاأنّكَ لَستَ بنَبيٍّ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كلامُه صَلَّى اللّٰهُ عليه و آلِه</w:t>
      </w:r>
      <w:r>
        <w:rPr>
          <w:rStyle w:val="FootnoteAnchor"/>
          <w:rtl w:val="true"/>
        </w:rPr>
        <w:footnoteReference w:id="2078"/>
      </w:r>
      <w:r>
        <w:rPr>
          <w:rFonts w:ascii="Amiri" w:hAnsi="Amiri" w:eastAsia="Amiri" w:cs="Amiri"/>
          <w:color w:val="111111"/>
          <w:sz w:val="28"/>
          <w:sz w:val="28"/>
          <w:szCs w:val="28"/>
          <w:rtl w:val="true"/>
          <w:lang w:bidi="ar-SA"/>
        </w:rPr>
        <w:t xml:space="preserve">صَحيحاً غيرَ مُتَناقِضٍ </w:t>
      </w:r>
      <w:r>
        <w:rPr>
          <w:rStyle w:val="FootnoteAnchor"/>
          <w:rtl w:val="true"/>
        </w:rPr>
        <w:footnoteReference w:id="2079"/>
      </w:r>
      <w:r>
        <w:rPr>
          <w:rFonts w:ascii="Amiri" w:hAnsi="Amiri" w:eastAsia="Amiri" w:cs="Amiri"/>
          <w:color w:val="111111"/>
          <w:sz w:val="28"/>
          <w:sz w:val="28"/>
          <w:szCs w:val="28"/>
          <w:rtl w:val="true"/>
          <w:lang w:bidi="ar-SA"/>
        </w:rPr>
        <w:t xml:space="preserve">و لا خارجٍ عن الحقيقةِ ، و لَم يَجِبْ عندَ أحَدٍ أن يَكونَ باستثناءِ النبوّةِ نافياً لِما أثبَتَه مِن مَنزِلةِ الخِلافةِ بَعدَ الوفاةِ </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964273_2320776876"/>
      <w:bookmarkStart w:id="394" w:name="_Toc140"/>
      <w:bookmarkEnd w:id="393"/>
      <w:r>
        <w:rPr>
          <w:rtl w:val="true"/>
        </w:rPr>
        <w:t>الوجه الثاني</w:t>
      </w:r>
      <w:r>
        <w:rPr>
          <w:rtl w:val="true"/>
        </w:rPr>
        <w:t xml:space="preserve">: </w:t>
      </w:r>
      <w:r>
        <w:rPr>
          <w:rtl w:val="true"/>
        </w:rPr>
        <w:t>شراكة هارون لموسىٰ</w:t>
      </w:r>
      <w:bookmarkEnd w:id="394"/>
    </w:p>
    <w:p>
      <w:pPr>
        <w:pStyle w:val="Heading6"/>
        <w:numPr>
          <w:ilvl w:val="5"/>
          <w:numId w:val="1"/>
        </w:numPr>
        <w:rPr/>
      </w:pPr>
      <w:bookmarkStart w:id="395" w:name="__RefHeading___Toc964275_2320776876"/>
      <w:bookmarkStart w:id="396" w:name="_Toc141"/>
      <w:bookmarkEnd w:id="395"/>
      <w:r>
        <w:rPr>
          <w:rtl w:val="true"/>
        </w:rPr>
        <w:t>اشارة</w:t>
      </w:r>
      <w:bookmarkEnd w:id="39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يُمكِنُ مع ثُبوتِ هذه الجُملةِ أن نُرتِّبَ </w:t>
      </w:r>
      <w:r>
        <w:rPr>
          <w:rStyle w:val="FootnoteAnchor"/>
          <w:rtl w:val="true"/>
        </w:rPr>
        <w:footnoteReference w:id="2080"/>
      </w:r>
      <w:r>
        <w:rPr>
          <w:rFonts w:ascii="Amiri" w:hAnsi="Amiri" w:eastAsia="Amiri" w:cs="Amiri"/>
          <w:color w:val="111111"/>
          <w:sz w:val="28"/>
          <w:sz w:val="28"/>
          <w:szCs w:val="28"/>
          <w:rtl w:val="true"/>
          <w:lang w:bidi="ar-SA"/>
        </w:rPr>
        <w:t xml:space="preserve">الدليلَ في الأصلِ علىٰ وجهٍ يَجِبُ معه كَونُ هارونَ مُفترَضَ الطاعةِ علىٰ أُمّةِ موسىٰ لَو بَقيَ إلىٰ بَعدِ وفاتِه، و ثُبوتُ مِثلِ </w:t>
      </w:r>
    </w:p>
    <w:p>
      <w:pPr>
        <w:pStyle w:val="BookText"/>
        <w:rPr/>
      </w:pPr>
      <w:r>
        <w:rPr>
          <w:rFonts w:ascii="Amiri" w:hAnsi="Amiri" w:eastAsia="Amiri" w:cs="Amiri"/>
          <w:color w:val="111111"/>
          <w:sz w:val="28"/>
          <w:sz w:val="28"/>
          <w:szCs w:val="28"/>
          <w:rtl w:val="true"/>
          <w:lang w:bidi="ar-SA"/>
        </w:rPr>
        <w:t xml:space="preserve">هذه المَنزِلةِ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يَرجِعْ إلىٰ كَونهِ خَليفةً له في حالِ حياتِه و وجوبِ استمرارِ ذلكَ إلىٰ بَعدِ الوفاةِ‌؛ فإنّ في المُخالِفينَ مَن يَحمِلُ‌</w:t>
      </w:r>
      <w:r>
        <w:rPr>
          <w:rStyle w:val="FootnoteAnchor"/>
          <w:rtl w:val="true"/>
        </w:rPr>
        <w:footnoteReference w:id="2081"/>
      </w:r>
      <w:r>
        <w:rPr>
          <w:rFonts w:ascii="Amiri" w:hAnsi="Amiri" w:eastAsia="Amiri" w:cs="Amiri"/>
          <w:color w:val="111111"/>
          <w:sz w:val="28"/>
          <w:sz w:val="28"/>
          <w:szCs w:val="28"/>
          <w:rtl w:val="true"/>
          <w:lang w:bidi="ar-SA"/>
        </w:rPr>
        <w:t>نفسَه علىٰ دَفعِ خِلافةِ هارونَ لموسىٰ في حياتِه و إنكارِ كَونِها مَنزِلةً تَنفصِلُ‌</w:t>
      </w:r>
      <w:r>
        <w:rPr>
          <w:rStyle w:val="FootnoteAnchor"/>
          <w:rtl w:val="true"/>
        </w:rPr>
        <w:footnoteReference w:id="2082"/>
      </w:r>
      <w:r>
        <w:rPr>
          <w:rFonts w:ascii="Amiri" w:hAnsi="Amiri" w:eastAsia="Amiri" w:cs="Amiri"/>
          <w:color w:val="111111"/>
          <w:sz w:val="28"/>
          <w:sz w:val="28"/>
          <w:szCs w:val="28"/>
          <w:rtl w:val="true"/>
          <w:lang w:bidi="ar-SA"/>
        </w:rPr>
        <w:t>عن نُبوّتِه، و إن كانَ فيما حَمَلَ نفسَه عليه ظاهرُه المكابَرةُ‌</w:t>
      </w:r>
      <w:r>
        <w:rPr>
          <w:rStyle w:val="FootnoteAnchor"/>
          <w:rtl w:val="true"/>
        </w:rPr>
        <w:footnoteReference w:id="2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ثَبَتَ أنّ هارونَ كانَ مُفتَرَضَ الطاعةِ علىٰ أُمّةِ موسىٰ عليه السلامُ‌؛ لمكانِ شِركتِه له في النبوّةِ التي لا يُتَمكَّنُ‌</w:t>
      </w:r>
      <w:r>
        <w:rPr>
          <w:rStyle w:val="FootnoteAnchor"/>
          <w:rtl w:val="true"/>
        </w:rPr>
        <w:footnoteReference w:id="2085"/>
      </w:r>
      <w:r>
        <w:rPr>
          <w:rFonts w:ascii="Amiri" w:hAnsi="Amiri" w:eastAsia="Amiri" w:cs="Amiri"/>
          <w:color w:val="111111"/>
          <w:sz w:val="28"/>
          <w:sz w:val="28"/>
          <w:szCs w:val="28"/>
          <w:rtl w:val="true"/>
          <w:lang w:bidi="ar-SA"/>
        </w:rPr>
        <w:t>مِن دَفعِها، و ثَبَتَ أنّه لَو بَقيَ بَعدَه لَكانَ ما يَجِبُ‌</w:t>
      </w:r>
      <w:r>
        <w:rPr>
          <w:rStyle w:val="FootnoteAnchor"/>
          <w:rtl w:val="true"/>
        </w:rPr>
        <w:footnoteReference w:id="2086"/>
      </w:r>
      <w:r>
        <w:rPr>
          <w:rFonts w:ascii="Amiri" w:hAnsi="Amiri" w:eastAsia="Amiri" w:cs="Amiri"/>
          <w:color w:val="111111"/>
          <w:sz w:val="28"/>
          <w:sz w:val="28"/>
          <w:szCs w:val="28"/>
          <w:rtl w:val="true"/>
          <w:lang w:bidi="ar-SA"/>
        </w:rPr>
        <w:t>مِن طاعتِه علىٰ جميعِ أُمّةِ موسىٰ عليه السلامُ يَجِبُ له؛ لأنّه لا يَجوزُ خروجُه عن النبوّةِ و 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وَجَبَ ما ذَكَرناه و كانَ النبيُّ صَلَّى اللّٰهُ عليه و آلِه قد أوجَبَ بالخبرِ لأميرِ المؤمنينَ عليه السلامُ جميعَ مَنازِلِ هارونَ مِن موسىٰ‌، و نَفىٰ أن يَكونَ نَبيّاً، و كانَ مِن جُملةِ مَنازِلِه أنّه لَو بَقيَ بَعدَه لَكانَت</w:t>
      </w:r>
      <w:r>
        <w:rPr>
          <w:rStyle w:val="FootnoteAnchor"/>
          <w:rtl w:val="true"/>
        </w:rPr>
        <w:footnoteReference w:id="2087"/>
      </w:r>
      <w:r>
        <w:rPr>
          <w:rFonts w:ascii="Amiri" w:hAnsi="Amiri" w:eastAsia="Amiri" w:cs="Amiri"/>
          <w:color w:val="111111"/>
          <w:sz w:val="28"/>
          <w:sz w:val="28"/>
          <w:szCs w:val="28"/>
          <w:rtl w:val="true"/>
          <w:lang w:bidi="ar-SA"/>
        </w:rPr>
        <w:t xml:space="preserve">طاعتُه مُفترَضةً </w:t>
      </w:r>
      <w:r>
        <w:rPr>
          <w:rStyle w:val="FootnoteAnchor"/>
          <w:rtl w:val="true"/>
        </w:rPr>
        <w:footnoteReference w:id="2088"/>
      </w:r>
      <w:r>
        <w:rPr>
          <w:rFonts w:ascii="Amiri" w:hAnsi="Amiri" w:eastAsia="Amiri" w:cs="Amiri"/>
          <w:color w:val="111111"/>
          <w:sz w:val="28"/>
          <w:sz w:val="28"/>
          <w:szCs w:val="28"/>
          <w:rtl w:val="true"/>
          <w:lang w:bidi="ar-SA"/>
        </w:rPr>
        <w:t xml:space="preserve">علىٰ أُمّتِه و إن كانَت تَجِبُ لِمَكان نُبوّتِه، وَجَبَ أن يَكونَ أميرُ المؤمنينَ عليه السلامُ المُفتَرَضَ الطاعةِ علىٰ </w:t>
      </w:r>
      <w:r>
        <w:rPr>
          <w:rStyle w:val="FootnoteAnchor"/>
          <w:rtl w:val="true"/>
        </w:rPr>
        <w:footnoteReference w:id="2089"/>
      </w:r>
      <w:r>
        <w:rPr>
          <w:rFonts w:ascii="Amiri" w:hAnsi="Amiri" w:eastAsia="Amiri" w:cs="Amiri"/>
          <w:color w:val="111111"/>
          <w:sz w:val="28"/>
          <w:sz w:val="28"/>
          <w:szCs w:val="28"/>
          <w:rtl w:val="true"/>
          <w:lang w:bidi="ar-SA"/>
        </w:rPr>
        <w:t>سائرِ</w:t>
      </w:r>
      <w:r>
        <w:rPr>
          <w:rStyle w:val="FootnoteAnchor"/>
          <w:rtl w:val="true"/>
        </w:rPr>
        <w:footnoteReference w:id="2090"/>
      </w:r>
      <w:r>
        <w:rPr>
          <w:rFonts w:ascii="Amiri" w:hAnsi="Amiri" w:eastAsia="Amiri" w:cs="Amiri"/>
          <w:color w:val="111111"/>
          <w:sz w:val="28"/>
          <w:sz w:val="28"/>
          <w:szCs w:val="28"/>
          <w:rtl w:val="true"/>
          <w:lang w:bidi="ar-SA"/>
        </w:rPr>
        <w:t xml:space="preserve">الأُمّةِ بَعدَ وفاةِ النبيِّ صَلَّى اللّٰهُ عليه </w:t>
      </w:r>
      <w:bookmarkStart w:id="397" w:name="pg20017_202593"/>
    </w:p>
    <w:p>
      <w:pPr>
        <w:pStyle w:val="BookText"/>
        <w:rPr/>
      </w:pPr>
      <w:bookmarkEnd w:id="397"/>
      <w:r>
        <w:rPr>
          <w:rFonts w:ascii="Amiri" w:hAnsi="Amiri" w:eastAsia="Amiri" w:cs="Amiri"/>
          <w:color w:val="111111"/>
          <w:sz w:val="28"/>
          <w:sz w:val="28"/>
          <w:szCs w:val="28"/>
          <w:rtl w:val="true"/>
          <w:lang w:bidi="ar-SA"/>
        </w:rPr>
        <w:t xml:space="preserve">و آلِه و إن لَم يَكُن نَبيّاً؛ لأنّ نفيَ النبوّةِ لا يَقتَضي نفيَ ما يَجِبُ لمكانِها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كانَ يَجِبُ بنفيِ النبوّةِ نفيُ فَرضِ الطاعةِ لَو لَم يَصِحَّ حصولُ فَرضِ الطاعةِ إلّاللنبيِّ‌، و إذا جازَ أن يَحصُلَ لِغيرِ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كالإمامِ و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انفصالُه مِن النبوّةِ‌، و أنّه لَيسَ مِن شَرائطِها و خَصائصِها</w:t>
      </w:r>
      <w:r>
        <w:rPr>
          <w:rStyle w:val="FootnoteAnchor"/>
          <w:rtl w:val="true"/>
        </w:rPr>
        <w:footnoteReference w:id="2091"/>
      </w:r>
      <w:r>
        <w:rPr>
          <w:rFonts w:ascii="Amiri" w:hAnsi="Amiri" w:eastAsia="Amiri" w:cs="Amiri"/>
          <w:color w:val="111111"/>
          <w:sz w:val="28"/>
          <w:sz w:val="28"/>
          <w:szCs w:val="28"/>
          <w:rtl w:val="true"/>
          <w:lang w:bidi="ar-SA"/>
        </w:rPr>
        <w:t xml:space="preserve">التي تَثبُتُ </w:t>
      </w:r>
      <w:r>
        <w:rPr>
          <w:rStyle w:val="FootnoteAnchor"/>
          <w:rtl w:val="true"/>
        </w:rPr>
        <w:footnoteReference w:id="2092"/>
      </w:r>
      <w:r>
        <w:rPr>
          <w:rFonts w:ascii="Amiri" w:hAnsi="Amiri" w:eastAsia="Amiri" w:cs="Amiri"/>
          <w:color w:val="111111"/>
          <w:sz w:val="28"/>
          <w:sz w:val="28"/>
          <w:szCs w:val="28"/>
          <w:rtl w:val="true"/>
          <w:lang w:bidi="ar-SA"/>
        </w:rPr>
        <w:t>بثُبوتِها و تَنتَفي بانتفائها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المثالُ الذي تَقدَّمَ يَكشِفُ عن صِحّةِ قولِنا، و أنّ النبيَّ صَلَّى اللّٰهُ عليه و آلِه</w:t>
      </w:r>
      <w:r>
        <w:rPr>
          <w:rStyle w:val="FootnoteAnchor"/>
          <w:rtl w:val="true"/>
        </w:rPr>
        <w:footnoteReference w:id="2093"/>
      </w:r>
      <w:r>
        <w:rPr>
          <w:rFonts w:ascii="Amiri" w:hAnsi="Amiri" w:eastAsia="Amiri" w:cs="Amiri"/>
          <w:color w:val="111111"/>
          <w:sz w:val="28"/>
          <w:sz w:val="28"/>
          <w:szCs w:val="28"/>
          <w:rtl w:val="true"/>
          <w:lang w:bidi="ar-SA"/>
        </w:rPr>
        <w:t xml:space="preserve">لَو صَرَّحَ أيضاً بما ذَكَرناه حتّىٰ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بمَنزِلةِ هارونَ مِن موسىٰ ؛ في فَرضِ الطاعةِ علىٰ أُمّتِي، و إن لَم تَكُن شَريكي في النبوّةِ و تَبليغِ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كلامُه مُستَقيماً</w:t>
      </w:r>
      <w:r>
        <w:rPr>
          <w:rStyle w:val="FootnoteAnchor"/>
          <w:rtl w:val="true"/>
        </w:rPr>
        <w:footnoteReference w:id="2094"/>
      </w:r>
      <w:r>
        <w:rPr>
          <w:rFonts w:ascii="Amiri" w:hAnsi="Amiri" w:eastAsia="Amiri" w:cs="Amiri"/>
          <w:color w:val="111111"/>
          <w:sz w:val="28"/>
          <w:sz w:val="28"/>
          <w:szCs w:val="28"/>
          <w:rtl w:val="true"/>
          <w:lang w:bidi="ar-SA"/>
        </w:rPr>
        <w:t>بَعيداً مِن التَّنافي</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964277_2320776876"/>
      <w:bookmarkStart w:id="399" w:name="_Toc142"/>
      <w:bookmarkEnd w:id="398"/>
      <w:r>
        <w:rPr>
          <w:rtl w:val="true"/>
        </w:rPr>
        <w:t>نفي كون أمير المؤمنين عليه السلام مفترضَ الطاعة في حال حياة الرسول صلى الله عليه و آله</w:t>
      </w:r>
      <w:bookmarkEnd w:id="399"/>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هذه الطريقةِ أن يَكونَ أميرُ المؤمنينَ عليه السلامُ مُفترَضَ</w:t>
      </w:r>
    </w:p>
    <w:p>
      <w:pPr>
        <w:pStyle w:val="BookText"/>
        <w:rPr/>
      </w:pPr>
      <w:r>
        <w:rPr>
          <w:rFonts w:ascii="Amiri" w:hAnsi="Amiri" w:eastAsia="Amiri" w:cs="Amiri"/>
          <w:color w:val="111111"/>
          <w:sz w:val="28"/>
          <w:sz w:val="28"/>
          <w:szCs w:val="28"/>
          <w:rtl w:val="true"/>
          <w:lang w:bidi="ar-SA"/>
        </w:rPr>
        <w:t xml:space="preserve">الطاعةِ علَى الأُمّةِ في حالِ حياةِ النبيِّ صَلَّى اللّٰهُ عليهِ و آلِه، كَما كانَ هارونُ كذلكَ في حياةِ موسىٰ عليه السلامُ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خُلِّينا و ظاهرَ الكلامِ لَأوجَبنا ما ذَكرتَه، غيرَ أنّ الإجماعَ مانعٌ منه؛ لأنّ الأُمّةَ لا تَختَلِفُ في أنّه عليه السلامُ لَم يَكُن مُشارِكاً للرسولِ صَلَّى اللّٰهُ عليه و آلِه في فَرضِ الطاعةِ علَى الأُمّةِ في جميعِ أحوالِ حياتِه حَسَبَ ما</w:t>
      </w:r>
      <w:r>
        <w:rPr>
          <w:rStyle w:val="FootnoteAnchor"/>
          <w:rtl w:val="true"/>
        </w:rPr>
        <w:footnoteReference w:id="2095"/>
      </w:r>
      <w:r>
        <w:rPr>
          <w:rFonts w:ascii="Amiri" w:hAnsi="Amiri" w:eastAsia="Amiri" w:cs="Amiri"/>
          <w:color w:val="111111"/>
          <w:sz w:val="28"/>
          <w:sz w:val="28"/>
          <w:szCs w:val="28"/>
          <w:rtl w:val="true"/>
          <w:lang w:bidi="ar-SA"/>
        </w:rPr>
        <w:t xml:space="preserve">كانَ عليه هارونُ في حياةِ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مُفترَضَ الطاعةِ في تلكَ </w:t>
      </w:r>
      <w:bookmarkStart w:id="400" w:name="pg20017_202594"/>
    </w:p>
    <w:p>
      <w:pPr>
        <w:pStyle w:val="BookText"/>
        <w:rPr/>
      </w:pPr>
      <w:bookmarkEnd w:id="400"/>
      <w:r>
        <w:rPr>
          <w:rFonts w:ascii="Amiri" w:hAnsi="Amiri" w:eastAsia="Amiri" w:cs="Amiri"/>
          <w:color w:val="111111"/>
          <w:sz w:val="28"/>
          <w:sz w:val="28"/>
          <w:szCs w:val="28"/>
          <w:rtl w:val="true"/>
          <w:lang w:bidi="ar-SA"/>
        </w:rPr>
        <w:t>الأحوالِ ، يَجعَلُ ذلكَ في أحوالِ غَيبةِ الرسولِ صَلَّى اللّٰهُ عليهِ و آلِه</w:t>
      </w:r>
      <w:r>
        <w:rPr>
          <w:rStyle w:val="FootnoteAnchor"/>
          <w:rtl w:val="true"/>
        </w:rPr>
        <w:footnoteReference w:id="2096"/>
      </w:r>
      <w:r>
        <w:rPr>
          <w:rFonts w:ascii="Amiri" w:hAnsi="Amiri" w:eastAsia="Amiri" w:cs="Amiri"/>
          <w:color w:val="111111"/>
          <w:sz w:val="28"/>
          <w:sz w:val="28"/>
          <w:szCs w:val="28"/>
          <w:rtl w:val="true"/>
          <w:lang w:bidi="ar-SA"/>
        </w:rPr>
        <w:t>علىٰ وجهِ الخِلافةِ له، لا في أحوالِ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خَرَجَت أحوالُ الحياةِ بالدليلِ ، ثَبَتَت</w:t>
      </w:r>
      <w:r>
        <w:rPr>
          <w:rStyle w:val="FootnoteAnchor"/>
          <w:rtl w:val="true"/>
        </w:rPr>
        <w:footnoteReference w:id="2097"/>
      </w:r>
      <w:r>
        <w:rPr>
          <w:rFonts w:ascii="Amiri" w:hAnsi="Amiri" w:eastAsia="Amiri" w:cs="Amiri"/>
          <w:color w:val="111111"/>
          <w:sz w:val="28"/>
          <w:sz w:val="28"/>
          <w:szCs w:val="28"/>
          <w:rtl w:val="true"/>
          <w:lang w:bidi="ar-SA"/>
        </w:rPr>
        <w:t>الأحوالُ بَعدَ الوفاةِ بمُقتَضَى اللفظِ</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964279_2320776876"/>
      <w:bookmarkStart w:id="402" w:name="_Toc143"/>
      <w:bookmarkEnd w:id="401"/>
      <w:r>
        <w:rPr>
          <w:rtl w:val="true"/>
        </w:rPr>
        <w:t>نفي أن يكون الحديث ناظراً إلى المنازل التي كانت لهارون من جهة موسىٰ</w:t>
      </w:r>
      <w:bookmarkEnd w:id="402"/>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w:t>
      </w:r>
      <w:r>
        <w:rPr>
          <w:rStyle w:val="FootnoteAnchor"/>
          <w:rtl w:val="true"/>
        </w:rPr>
        <w:footnoteReference w:id="2098"/>
      </w:r>
      <w:r>
        <w:rPr>
          <w:rFonts w:ascii="Amiri" w:hAnsi="Amiri" w:eastAsia="Amiri" w:cs="Amiri"/>
          <w:color w:val="111111"/>
          <w:sz w:val="28"/>
          <w:sz w:val="28"/>
          <w:szCs w:val="28"/>
          <w:rtl w:val="true"/>
          <w:lang w:bidi="ar-SA"/>
        </w:rPr>
        <w:t xml:space="preserve">مِمّا ذَكَرتُموه؛ لأنّه يَقتَضي مِن المَنازِلِ ما حَصَلَ لهارونَ مِن جِهةِ موسىٰ و استَفادَه به، و إلّافلا معنىٰ لنِسبةِ </w:t>
      </w:r>
      <w:r>
        <w:rPr>
          <w:rStyle w:val="FootnoteAnchor"/>
          <w:rtl w:val="true"/>
        </w:rPr>
        <w:footnoteReference w:id="2099"/>
      </w:r>
      <w:r>
        <w:rPr>
          <w:rFonts w:ascii="Amiri" w:hAnsi="Amiri" w:eastAsia="Amiri" w:cs="Amiri"/>
          <w:color w:val="111111"/>
          <w:sz w:val="28"/>
          <w:sz w:val="28"/>
          <w:szCs w:val="28"/>
          <w:rtl w:val="true"/>
          <w:lang w:bidi="ar-SA"/>
        </w:rPr>
        <w:t xml:space="preserve">المَنازِلِ إلىٰ أنّها منه، و فَرضُ </w:t>
      </w:r>
      <w:r>
        <w:rPr>
          <w:rStyle w:val="FootnoteAnchor"/>
          <w:rtl w:val="true"/>
        </w:rPr>
        <w:footnoteReference w:id="2100"/>
      </w:r>
      <w:r>
        <w:rPr>
          <w:rFonts w:ascii="Amiri" w:hAnsi="Amiri" w:eastAsia="Amiri" w:cs="Amiri"/>
          <w:color w:val="111111"/>
          <w:sz w:val="28"/>
          <w:sz w:val="28"/>
          <w:szCs w:val="28"/>
          <w:rtl w:val="true"/>
          <w:lang w:bidi="ar-SA"/>
        </w:rPr>
        <w:t>الطاعةِ الحاصلُ عن النبوّةِ غيرُ متَعلِّقٍ بموسىٰ و لا واجبٌ مِن جِهتِه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سؤالُكَ فظاهرُ السُّقوطِ علىٰ كلامِنا؛ لأنّ خِلافةَ هارونَ لموسىٰ في حياتِه لا شَكَّ في أنّها مَنزِلةٌ منه، و واجبةٌ بقَولِه الذي وَرَدَ به القرآنُ‌</w:t>
      </w:r>
      <w:r>
        <w:rPr>
          <w:rStyle w:val="FootnoteAnchor"/>
          <w:rtl w:val="true"/>
        </w:rPr>
        <w:footnoteReference w:id="2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ص،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استخلافه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 و الحجري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استخلافه الخلافة</w:t>
      </w:r>
      <w:r>
        <w:rPr>
          <w:rFonts w:eastAsia="Amiri" w:cs="Amiri" w:ascii="Amiri" w:hAnsi="Amiri"/>
          <w:color w:val="111111"/>
          <w:sz w:val="28"/>
          <w:szCs w:val="28"/>
          <w:rtl w:val="true"/>
          <w:lang w:bidi="ar-SA"/>
        </w:rPr>
        <w:t>».</w:t>
      </w:r>
      <w:r>
        <w:rPr>
          <w:rStyle w:val="FootnoteAnchor"/>
          <w:rtl w:val="true"/>
        </w:rPr>
        <w:footnoteReference w:id="2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أَوجَبناه مِن استحقاقِه للخِلافةِ‌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فلا مانعَ مِن إضافتِه أيضاً إلىٰ موسىٰ عليه السلامُ ؛ لأنّه مِن حَيثُ استَخلَفَه في حياتِه، و فَوَّضَ إليه تدبيرَ قومِه، و لَم يَجُز أن يَخرُجَ عن وِلايةٍ جُعِلَت له، وَجَبَ حصولُ هذه المَنزِلةِ له بَعدَ الوفاةِ ؛ فتَعلُّقُها بموسىٰ عليه السلامُ تَعلُّقٌ قويٌّ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يَبقَ إلّاأن نُبيِّنَ‌</w:t>
      </w:r>
      <w:r>
        <w:rPr>
          <w:rStyle w:val="FootnoteAnchor"/>
          <w:rtl w:val="true"/>
        </w:rPr>
        <w:footnoteReference w:id="2103"/>
      </w:r>
      <w:r>
        <w:rPr>
          <w:rFonts w:ascii="Amiri" w:hAnsi="Amiri" w:eastAsia="Amiri" w:cs="Amiri"/>
          <w:color w:val="111111"/>
          <w:sz w:val="28"/>
          <w:sz w:val="28"/>
          <w:szCs w:val="28"/>
          <w:rtl w:val="true"/>
          <w:lang w:bidi="ar-SA"/>
        </w:rPr>
        <w:t>الجوابَ علَى الطريقةِ التي استأنَفناها؛ و الذي يُبيِّنُه</w:t>
      </w:r>
      <w:r>
        <w:rPr>
          <w:rStyle w:val="FootnoteAnchor"/>
          <w:rtl w:val="true"/>
        </w:rPr>
        <w:footnoteReference w:id="2104"/>
      </w:r>
      <w:r>
        <w:rPr>
          <w:rFonts w:ascii="Amiri" w:hAnsi="Amiri" w:eastAsia="Amiri" w:cs="Amiri"/>
          <w:color w:val="111111"/>
          <w:sz w:val="28"/>
          <w:sz w:val="28"/>
          <w:szCs w:val="28"/>
          <w:rtl w:val="true"/>
          <w:lang w:bidi="ar-SA"/>
        </w:rPr>
        <w:t>أنّ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ما ظَنَّه</w:t>
      </w:r>
      <w:r>
        <w:rPr>
          <w:rStyle w:val="FootnoteAnchor"/>
          <w:rtl w:val="true"/>
        </w:rPr>
        <w:footnoteReference w:id="2105"/>
      </w:r>
      <w:r>
        <w:rPr>
          <w:rFonts w:ascii="Amiri" w:hAnsi="Amiri" w:eastAsia="Amiri" w:cs="Amiri"/>
          <w:color w:val="111111"/>
          <w:sz w:val="28"/>
          <w:sz w:val="28"/>
          <w:szCs w:val="28"/>
          <w:rtl w:val="true"/>
          <w:lang w:bidi="ar-SA"/>
        </w:rPr>
        <w:t>السائلُ مِن حصولِ المَنازِلِ بموسىٰ و مِن جِهتِه، كَما أنّ قولَ أحَدِنا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w:t>
      </w:r>
    </w:p>
    <w:p>
      <w:pPr>
        <w:pStyle w:val="BookText"/>
        <w:rPr/>
      </w:pPr>
      <w:r>
        <w:rPr>
          <w:rFonts w:ascii="Amiri" w:hAnsi="Amiri" w:eastAsia="Amiri" w:cs="Amiri"/>
          <w:color w:val="111111"/>
          <w:sz w:val="28"/>
          <w:sz w:val="28"/>
          <w:szCs w:val="28"/>
          <w:rtl w:val="true"/>
          <w:lang w:bidi="ar-SA"/>
        </w:rPr>
        <w:t>بمَنزِلةِ أخي مِنّي، أو بمَنزِلةِ أبي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كَونَ الأُخوّةِ و الأُبوّةِ به و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w:t>
      </w:r>
      <w:r>
        <w:rPr>
          <w:rStyle w:val="FootnoteAnchor"/>
          <w:rtl w:val="true"/>
        </w:rPr>
        <w:footnoteReference w:id="2106"/>
      </w:r>
      <w:r>
        <w:rPr>
          <w:rFonts w:ascii="Amiri" w:hAnsi="Amiri" w:eastAsia="Amiri" w:cs="Amiri"/>
          <w:color w:val="111111"/>
          <w:sz w:val="28"/>
          <w:sz w:val="28"/>
          <w:szCs w:val="28"/>
          <w:rtl w:val="true"/>
          <w:lang w:bidi="ar-SA"/>
        </w:rPr>
        <w:t>يُمكِنُ أحَداً أن يَقولَ في هذا القولِ إنّه مَجازٌ أو خارِجٌ عن حُكمِ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هذه الصيغةُ تَقتَضي ما ادُّعيَ‌، لَوَجَبَ أيضاً أن لا يَصِحَّ استعمالُها في الجَماداتِ و كُلِّ ما لا يَصِحُّ منه فعلٌ‌، و قد عَلِمنا صِحَّةَ استعمالِها فيما ذَكَرناهُ‌؛ لأنّهم لا يَمنَعونَ مِن القولِ بأنّ مَنزِلةَ دارِ زَيدٍ مِن دارِ عَمرٍو بمَنزِلةِ دارِ خالدٍ مِن دارِ بَكرٍ، و مَنزِلةَ بعضِ أعضاءِ الإنسانِ منه بمَنزِلةِ </w:t>
      </w:r>
      <w:r>
        <w:rPr>
          <w:rStyle w:val="FootnoteAnchor"/>
          <w:rtl w:val="true"/>
        </w:rPr>
        <w:footnoteReference w:id="2107"/>
      </w:r>
      <w:r>
        <w:rPr>
          <w:rFonts w:ascii="Amiri" w:hAnsi="Amiri" w:eastAsia="Amiri" w:cs="Amiri"/>
          <w:color w:val="111111"/>
          <w:sz w:val="28"/>
          <w:sz w:val="28"/>
          <w:szCs w:val="28"/>
          <w:rtl w:val="true"/>
          <w:lang w:bidi="ar-SA"/>
        </w:rPr>
        <w:t>بعضٍ آخَرَ منه، و إنّما يُفيدونَ تَشابُهَ الأحوالِ و تَقارُبَها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يَجري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الوجوهِ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 القائلَ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مَحلُّكَ عندي و حالُكَ معي في الإكرامِ و الإعظامِ كحالِ أبي عندي و مَحلِّه فيهما</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يَكشِفُ عن صِحّةِ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استثناءِ الرسولِ صَلَّى اللّٰهُ عليه و آلِه</w:t>
      </w:r>
      <w:r>
        <w:rPr>
          <w:rStyle w:val="FootnoteAnchor"/>
          <w:rtl w:val="true"/>
        </w:rPr>
        <w:footnoteReference w:id="2109"/>
      </w:r>
      <w:r>
        <w:rPr>
          <w:rFonts w:ascii="Amiri" w:hAnsi="Amiri" w:eastAsia="Amiri" w:cs="Amiri"/>
          <w:color w:val="111111"/>
          <w:sz w:val="28"/>
          <w:sz w:val="28"/>
          <w:szCs w:val="28"/>
          <w:rtl w:val="true"/>
          <w:lang w:bidi="ar-SA"/>
        </w:rPr>
        <w:t>النبوّةَ مِن جُملةِ المَنازِلِ ، و نَحنُ نَعلَمُ أنّه لَم يَستَثنِ إلّاما</w:t>
      </w:r>
      <w:r>
        <w:rPr>
          <w:rStyle w:val="FootnoteAnchor"/>
          <w:rtl w:val="true"/>
        </w:rPr>
        <w:footnoteReference w:id="2110"/>
      </w:r>
      <w:r>
        <w:rPr>
          <w:rFonts w:ascii="Amiri" w:hAnsi="Amiri" w:eastAsia="Amiri" w:cs="Amiri"/>
          <w:color w:val="111111"/>
          <w:sz w:val="28"/>
          <w:sz w:val="28"/>
          <w:szCs w:val="28"/>
          <w:rtl w:val="true"/>
          <w:lang w:bidi="ar-SA"/>
        </w:rPr>
        <w:t xml:space="preserve">يَجوزُ دخولُه تَحتَ </w:t>
      </w:r>
      <w:bookmarkStart w:id="403" w:name="pg20017_202596"/>
    </w:p>
    <w:p>
      <w:pPr>
        <w:pStyle w:val="BookText"/>
        <w:rPr/>
      </w:pPr>
      <w:bookmarkEnd w:id="403"/>
      <w:r>
        <w:rPr>
          <w:rFonts w:ascii="Amiri" w:hAnsi="Amiri" w:eastAsia="Amiri" w:cs="Amiri"/>
          <w:color w:val="111111"/>
          <w:sz w:val="28"/>
          <w:sz w:val="28"/>
          <w:szCs w:val="28"/>
          <w:rtl w:val="true"/>
          <w:lang w:bidi="ar-SA"/>
        </w:rPr>
        <w:t>اللفظِ عندَنا، أو يَجِبُ دخولُه عندَ مُخالِفينا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نَعلَمُ أيضاً أنّ النبوّةَ المُستَثناةَ لَم تَكُن بموسىٰ </w:t>
      </w:r>
      <w:r>
        <w:rPr>
          <w:rStyle w:val="FootnoteAnchor"/>
          <w:rtl w:val="true"/>
        </w:rPr>
        <w:footnoteReference w:id="2111"/>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ساغَ استثناءُ النبوّةِ مِن جُملةِ ما اقتَضَى اللفظُ مع أنّها لَم تَكُن بموسىٰ عليه السلامُ ، بَطَلَ أن يَكونَ اللفظُ مُتناوِلاً لِما وَجَبَ مِن جِهةِ موسىٰ عليه السلامُ مِن المَنازِلِ </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964281_2320776876"/>
      <w:bookmarkStart w:id="405" w:name="_Toc144"/>
      <w:bookmarkEnd w:id="404"/>
      <w:r>
        <w:rPr>
          <w:rtl w:val="true"/>
        </w:rPr>
        <w:t>البحث الثالث</w:t>
      </w:r>
      <w:r>
        <w:rPr>
          <w:rtl w:val="true"/>
        </w:rPr>
        <w:t xml:space="preserve">: </w:t>
      </w:r>
      <w:r>
        <w:rPr>
          <w:rtl w:val="true"/>
        </w:rPr>
        <w:t>إثبات أنّ الحديث يُثبت جميع المنازل إلّاما استُثني</w:t>
      </w:r>
      <w:bookmarkEnd w:id="405"/>
    </w:p>
    <w:p>
      <w:pPr>
        <w:pStyle w:val="Heading6"/>
        <w:numPr>
          <w:ilvl w:val="5"/>
          <w:numId w:val="1"/>
        </w:numPr>
        <w:rPr/>
      </w:pPr>
      <w:bookmarkStart w:id="406" w:name="__RefHeading___Toc964283_2320776876"/>
      <w:bookmarkStart w:id="407" w:name="_Toc145"/>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2112"/>
      </w:r>
      <w:r>
        <w:rPr>
          <w:rFonts w:ascii="Amiri" w:hAnsi="Amiri" w:eastAsia="Amiri" w:cs="Amiri"/>
          <w:color w:val="111111"/>
          <w:sz w:val="28"/>
          <w:sz w:val="28"/>
          <w:szCs w:val="28"/>
          <w:rtl w:val="true"/>
          <w:lang w:bidi="ar-SA"/>
        </w:rPr>
        <w:t xml:space="preserve">الذي يَدُلُّ علىٰ أنّ اللفظَ يوجِبُ حصولَ جميعِ المَنازِلِ إلّاما أخرَجَه الاستثناءُ و ما جَرىٰ مَجراه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مِن ألفاظِ العُمومِ المُوجِبةِ للاشتمالِ و الاستِغراقِ‌، و لا كانَ مِن مَذهبِنا أيضاً أنّ في اللفظِ المُستَغرِقِ للجنسِ علىٰ سَبيلِ الوجوبِ لفظاً موضوعاً له</w:t>
      </w:r>
      <w:r>
        <w:rPr>
          <w:rStyle w:val="FootnoteAnchor"/>
          <w:rtl w:val="true"/>
        </w:rPr>
        <w:footnoteReference w:id="2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دخولَ الاستثناءِ في اللفظِ الذي يَقتَضي علىٰ سَبيلِ الاحتمالِ أشياءَ كَثيرةً‌، متىٰ صَدَرَ مِن حَكيمٍ يُريدُ البيانَ و الإفهامَ ، دليلٌ على أنّ ما يَقتَضيهِ </w:t>
      </w:r>
      <w:r>
        <w:rPr>
          <w:rStyle w:val="FootnoteAnchor"/>
          <w:rtl w:val="true"/>
        </w:rPr>
        <w:footnoteReference w:id="2114"/>
      </w:r>
      <w:r>
        <w:rPr>
          <w:rFonts w:ascii="Amiri" w:hAnsi="Amiri" w:eastAsia="Amiri" w:cs="Amiri"/>
          <w:color w:val="111111"/>
          <w:sz w:val="28"/>
          <w:sz w:val="28"/>
          <w:szCs w:val="28"/>
          <w:rtl w:val="true"/>
          <w:lang w:bidi="ar-SA"/>
        </w:rPr>
        <w:t>اللفظُ و</w:t>
      </w:r>
      <w:r>
        <w:rPr>
          <w:rStyle w:val="FootnoteAnchor"/>
          <w:rtl w:val="true"/>
        </w:rPr>
        <w:footnoteReference w:id="2115"/>
      </w:r>
      <w:r>
        <w:rPr>
          <w:rFonts w:ascii="Amiri" w:hAnsi="Amiri" w:eastAsia="Amiri" w:cs="Amiri"/>
          <w:color w:val="111111"/>
          <w:sz w:val="28"/>
          <w:sz w:val="28"/>
          <w:szCs w:val="28"/>
          <w:rtl w:val="true"/>
          <w:lang w:bidi="ar-SA"/>
        </w:rPr>
        <w:t xml:space="preserve">يَحتَمِلُه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خَرَجَ بالاستثناءِ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w:t>
      </w:r>
      <w:r>
        <w:rPr>
          <w:rStyle w:val="FootnoteAnchor"/>
          <w:rtl w:val="true"/>
        </w:rPr>
        <w:footnoteReference w:id="2116"/>
      </w:r>
      <w:r>
        <w:rPr>
          <w:rFonts w:ascii="Amiri" w:hAnsi="Amiri" w:eastAsia="Amiri" w:cs="Amiri"/>
          <w:color w:val="111111"/>
          <w:sz w:val="28"/>
          <w:sz w:val="28"/>
          <w:szCs w:val="28"/>
          <w:rtl w:val="true"/>
          <w:lang w:bidi="ar-SA"/>
        </w:rPr>
        <w:t xml:space="preserve">بالخِطابِ و داخلٌ </w:t>
      </w:r>
      <w:r>
        <w:rPr>
          <w:rStyle w:val="FootnoteAnchor"/>
          <w:rtl w:val="true"/>
        </w:rPr>
        <w:footnoteReference w:id="2117"/>
      </w:r>
      <w:r>
        <w:rPr>
          <w:rFonts w:ascii="Amiri" w:hAnsi="Amiri" w:eastAsia="Amiri" w:cs="Amiri"/>
          <w:color w:val="111111"/>
          <w:sz w:val="28"/>
          <w:sz w:val="28"/>
          <w:szCs w:val="28"/>
          <w:rtl w:val="true"/>
          <w:lang w:bidi="ar-SA"/>
        </w:rPr>
        <w:t xml:space="preserve">تَحتَه، و يَصيرُ دخولُ الاستثناءِ كالقَرينةِ أو الدَّلالةِ التي توجِبُ بها الاستغراقَ و الشُّمولَ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صِحّةِ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الحَكيمَ مِنّا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داري أَكرَمتُه إلّازَيداً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فَهِمنا مِن كلامهِ بدخولِ الاستثناءِ أنّ مَن عَدا</w:t>
      </w:r>
      <w:r>
        <w:rPr>
          <w:rStyle w:val="FootnoteAnchor"/>
          <w:rtl w:val="true"/>
        </w:rPr>
        <w:footnoteReference w:id="2118"/>
      </w:r>
      <w:r>
        <w:rPr>
          <w:rFonts w:ascii="Amiri" w:hAnsi="Amiri" w:eastAsia="Amiri" w:cs="Amiri"/>
          <w:color w:val="111111"/>
          <w:sz w:val="28"/>
          <w:sz w:val="28"/>
          <w:szCs w:val="28"/>
          <w:rtl w:val="true"/>
          <w:lang w:bidi="ar-SA"/>
        </w:rPr>
        <w:t>زَيداً مُرادٌ بالقولِ ؛ لأنّه لَو لَم يَكُن</w:t>
      </w:r>
    </w:p>
    <w:p>
      <w:pPr>
        <w:pStyle w:val="BookText"/>
        <w:rPr/>
      </w:pPr>
      <w:r>
        <w:rPr>
          <w:rFonts w:ascii="Amiri" w:hAnsi="Amiri" w:eastAsia="Amiri" w:cs="Amiri"/>
          <w:color w:val="111111"/>
          <w:sz w:val="28"/>
          <w:sz w:val="28"/>
          <w:szCs w:val="28"/>
          <w:rtl w:val="true"/>
          <w:lang w:bidi="ar-SA"/>
        </w:rPr>
        <w:t xml:space="preserve">مُراداً لَوَجَبَ استثناؤه مع إرادةِ الإفهامِ و البيانِ ؛ فهذا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أنّا وَجَدنا الناسَ في هذا الخبرِ علىٰ فِرقتَينِ‌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إلىٰ أنّ المُرادَ به</w:t>
      </w:r>
      <w:r>
        <w:rPr>
          <w:rStyle w:val="FootnoteAnchor"/>
          <w:rtl w:val="true"/>
        </w:rPr>
        <w:footnoteReference w:id="2119"/>
      </w:r>
      <w:r>
        <w:rPr>
          <w:rFonts w:ascii="Amiri" w:hAnsi="Amiri" w:eastAsia="Amiri" w:cs="Amiri"/>
          <w:color w:val="111111"/>
          <w:sz w:val="28"/>
          <w:sz w:val="28"/>
          <w:szCs w:val="28"/>
          <w:rtl w:val="true"/>
          <w:lang w:bidi="ar-SA"/>
        </w:rPr>
        <w:t>مَنزِلةٌ واحدةٌ‌</w:t>
      </w:r>
      <w:r>
        <w:rPr>
          <w:rStyle w:val="FootnoteAnchor"/>
          <w:rtl w:val="true"/>
        </w:rPr>
        <w:footnoteReference w:id="2120"/>
      </w:r>
      <w:r>
        <w:rPr>
          <w:rFonts w:ascii="Amiri" w:hAnsi="Amiri" w:eastAsia="Amiri" w:cs="Amiri"/>
          <w:color w:val="111111"/>
          <w:sz w:val="28"/>
          <w:sz w:val="28"/>
          <w:szCs w:val="28"/>
          <w:rtl w:val="true"/>
          <w:lang w:bidi="ar-SA"/>
        </w:rPr>
        <w:t>لأجلِ السببِ الذي يَدَّعونَ خروجَ الخبرِ عليه</w:t>
      </w:r>
      <w:r>
        <w:rPr>
          <w:rStyle w:val="FootnoteAnchor"/>
          <w:rtl w:val="true"/>
        </w:rPr>
        <w:footnoteReference w:id="2121"/>
      </w:r>
      <w:r>
        <w:rPr>
          <w:rFonts w:ascii="IRNazanin" w:hAnsi="IRNazanin" w:eastAsia="IRNazanin"/>
          <w:color w:val="111111"/>
          <w:sz w:val="28"/>
          <w:sz w:val="28"/>
          <w:szCs w:val="28"/>
          <w:rtl w:val="true"/>
          <w:lang w:bidi="fa-IR"/>
        </w:rPr>
        <w:t>، أو</w:t>
      </w:r>
      <w:r>
        <w:rPr>
          <w:rStyle w:val="FootnoteAnchor"/>
          <w:rtl w:val="true"/>
        </w:rPr>
        <w:footnoteReference w:id="2122"/>
      </w:r>
      <w:r>
        <w:rPr>
          <w:rFonts w:ascii="Amiri" w:hAnsi="Amiri" w:eastAsia="Amiri" w:cs="Amiri"/>
          <w:color w:val="111111"/>
          <w:sz w:val="28"/>
          <w:sz w:val="28"/>
          <w:szCs w:val="28"/>
          <w:rtl w:val="true"/>
          <w:lang w:bidi="ar-SA"/>
        </w:rPr>
        <w:t>لأجلِ عَهدٍ أو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إلىٰ عمومِ القولِ بجميعِ‌</w:t>
      </w:r>
      <w:r>
        <w:rPr>
          <w:rStyle w:val="FootnoteAnchor"/>
          <w:rtl w:val="true"/>
        </w:rPr>
        <w:footnoteReference w:id="2123"/>
      </w:r>
      <w:r>
        <w:rPr>
          <w:rFonts w:ascii="Amiri" w:hAnsi="Amiri" w:eastAsia="Amiri" w:cs="Amiri"/>
          <w:color w:val="111111"/>
          <w:sz w:val="28"/>
          <w:sz w:val="28"/>
          <w:szCs w:val="28"/>
          <w:rtl w:val="true"/>
          <w:lang w:bidi="ar-SA"/>
        </w:rPr>
        <w:t>ما هو مَنزِلةٌ لهارونَ مِن موسىٰ عليهما السلامُ بَعدَ ما أخرَجَه</w:t>
      </w:r>
      <w:r>
        <w:rPr>
          <w:rStyle w:val="FootnoteAnchor"/>
          <w:rtl w:val="true"/>
        </w:rPr>
        <w:footnoteReference w:id="2124"/>
      </w:r>
      <w:r>
        <w:rPr>
          <w:rFonts w:ascii="Amiri" w:hAnsi="Amiri" w:eastAsia="Amiri" w:cs="Amiri"/>
          <w:color w:val="111111"/>
          <w:sz w:val="28"/>
          <w:sz w:val="28"/>
          <w:szCs w:val="28"/>
          <w:rtl w:val="true"/>
          <w:lang w:bidi="ar-SA"/>
        </w:rPr>
        <w:t>الدليلُ‌، علَى اختلافِهم في تفصيلِ المَنازِلِ و تعيينِها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هُم الشيعةُ و أكثَرُ مُخالِفيهم؛ لأنّ القولَ الأوّلَ لَم يَذهَبْ إليه إلّاالواحدُ و الاثنانِ‌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يَمتَنِعُ مَن خالَفَ الشيعةَ مِن إيجابِ كَونِ أميرِ المؤمنينَ عليه السلامُ خَليفةً للنبيِّ‌</w:t>
      </w:r>
      <w:r>
        <w:rPr>
          <w:rStyle w:val="FootnoteAnchor"/>
          <w:rtl w:val="true"/>
        </w:rPr>
        <w:footnoteReference w:id="2125"/>
      </w:r>
      <w:r>
        <w:rPr>
          <w:rFonts w:ascii="Amiri" w:hAnsi="Amiri" w:eastAsia="Amiri" w:cs="Amiri"/>
          <w:color w:val="111111"/>
          <w:sz w:val="28"/>
          <w:sz w:val="28"/>
          <w:szCs w:val="28"/>
          <w:rtl w:val="true"/>
          <w:lang w:bidi="ar-SA"/>
        </w:rPr>
        <w:t>صَلَّى اللّٰهُ عليه و آلهِ بَعدَه؛ مِن حَيثُ لَم يَثبُتْ عندَهم أنّ هارونَ لَو بَقيَ بَعدَ موسىٰ لَخَلَفه، و لا أنّ ذلكَ ممّا يَصِحُّ أن يُعَدَّ في جُملةِ مَنازِلِه؛ فكانَ كُلُّ مَن ذَهَبَ إلىٰ أنّ اللفظَ يَصِحُّ تَعدِّيهِ المَنزِلةَ الواحدةَ ، ذَهَبَ إلىٰ عمومِه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w:t>
      </w:r>
      <w:r>
        <w:rPr>
          <w:rStyle w:val="FootnoteAnchor"/>
          <w:rtl w:val="true"/>
        </w:rPr>
        <w:footnoteReference w:id="2126"/>
      </w:r>
      <w:r>
        <w:rPr>
          <w:rFonts w:ascii="Amiri" w:hAnsi="Amiri" w:eastAsia="Amiri" w:cs="Amiri"/>
          <w:color w:val="111111"/>
          <w:sz w:val="28"/>
          <w:sz w:val="28"/>
          <w:szCs w:val="28"/>
          <w:rtl w:val="true"/>
          <w:lang w:bidi="ar-SA"/>
        </w:rPr>
        <w:t xml:space="preserve">فَسَدَ قولُ مَن قَصَرَ القولَ علَى المَنزلةِ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سنَذكُرُه</w:t>
      </w:r>
      <w:r>
        <w:rPr>
          <w:rStyle w:val="FootnoteAnchor"/>
          <w:rtl w:val="true"/>
        </w:rPr>
        <w:footnoteReference w:id="2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بَطَلَ ، </w:t>
      </w:r>
      <w:bookmarkStart w:id="408" w:name="pg20017_202598"/>
    </w:p>
    <w:p>
      <w:pPr>
        <w:pStyle w:val="BookText"/>
        <w:rPr/>
      </w:pPr>
      <w:bookmarkEnd w:id="408"/>
      <w:r>
        <w:rPr>
          <w:rFonts w:ascii="Amiri" w:hAnsi="Amiri" w:eastAsia="Amiri" w:cs="Amiri"/>
          <w:color w:val="111111"/>
          <w:sz w:val="28"/>
          <w:sz w:val="28"/>
          <w:szCs w:val="28"/>
          <w:rtl w:val="true"/>
          <w:lang w:bidi="ar-SA"/>
        </w:rPr>
        <w:t xml:space="preserve">وَجَبَ عمومُه؛ لأنّ أحَداً لَم يَقُلْ بصِحّةِ تَعَدِّيهِ </w:t>
      </w:r>
      <w:r>
        <w:rPr>
          <w:rStyle w:val="FootnoteAnchor"/>
          <w:rtl w:val="true"/>
        </w:rPr>
        <w:footnoteReference w:id="2128"/>
      </w:r>
      <w:r>
        <w:rPr>
          <w:rFonts w:ascii="Amiri" w:hAnsi="Amiri" w:eastAsia="Amiri" w:cs="Amiri"/>
          <w:color w:val="111111"/>
          <w:sz w:val="28"/>
          <w:sz w:val="28"/>
          <w:szCs w:val="28"/>
          <w:rtl w:val="true"/>
          <w:lang w:bidi="ar-SA"/>
        </w:rPr>
        <w:t xml:space="preserve">مع الشكِّ في عمومِه، بَلِ القولُ بأنّه ممّا يَصِحُّ أن يَتعدّىٰ و لَيسَ بعامٍّ خروجٌ عن الإجماعِ </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964285_2320776876"/>
      <w:bookmarkStart w:id="410" w:name="_Toc146"/>
      <w:bookmarkEnd w:id="409"/>
      <w:r>
        <w:rPr>
          <w:rtl w:val="true"/>
        </w:rPr>
        <w:t>إبطال أن يكون الحديث مقصوراً علىٰ منزلة واحدة</w:t>
      </w:r>
      <w:bookmarkEnd w:id="410"/>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بأيِّ شَيءٍ تُفسِدونَ أن يَكونَ الخبرُ مقصوراً علىٰ مَنزِلةٍ واحدةٍ ؛ لأجلِ السببِ </w:t>
      </w:r>
      <w:r>
        <w:rPr>
          <w:rStyle w:val="FootnoteAnchor"/>
          <w:rtl w:val="true"/>
        </w:rPr>
        <w:footnoteReference w:id="2129"/>
      </w:r>
      <w:r>
        <w:rPr>
          <w:rFonts w:ascii="Amiri" w:hAnsi="Amiri" w:eastAsia="Amiri" w:cs="Amiri"/>
          <w:color w:val="111111"/>
          <w:sz w:val="28"/>
          <w:sz w:val="28"/>
          <w:szCs w:val="28"/>
          <w:rtl w:val="true"/>
          <w:lang w:bidi="ar-SA"/>
        </w:rPr>
        <w:t>، أو ما يَجري مَجراه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تَدَّعي مِن السببِ‌ الذي هو إرجافُ‌</w:t>
      </w:r>
      <w:r>
        <w:rPr>
          <w:rStyle w:val="FootnoteAnchor"/>
          <w:rtl w:val="true"/>
        </w:rPr>
        <w:footnoteReference w:id="2130"/>
      </w:r>
      <w:r>
        <w:rPr>
          <w:rFonts w:ascii="Amiri" w:hAnsi="Amiri" w:eastAsia="Amiri" w:cs="Amiri"/>
          <w:color w:val="111111"/>
          <w:sz w:val="28"/>
          <w:sz w:val="28"/>
          <w:szCs w:val="28"/>
          <w:rtl w:val="true"/>
          <w:lang w:bidi="ar-SA"/>
        </w:rPr>
        <w:t xml:space="preserve">المُنافِقينَ ، و وجوبِ حَملِ الكلامِ عليه و أن لا يَتَعدّاه، فيَبطُلُ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غيرُ معلومٍ علىٰ حَدِّ العِلمِ‌</w:t>
      </w:r>
      <w:r>
        <w:rPr>
          <w:rStyle w:val="FootnoteAnchor"/>
          <w:rtl w:val="true"/>
        </w:rPr>
        <w:footnoteReference w:id="2131"/>
      </w:r>
      <w:r>
        <w:rPr>
          <w:rFonts w:ascii="Amiri" w:hAnsi="Amiri" w:eastAsia="Amiri" w:cs="Amiri"/>
          <w:color w:val="111111"/>
          <w:sz w:val="28"/>
          <w:sz w:val="28"/>
          <w:szCs w:val="28"/>
          <w:rtl w:val="true"/>
          <w:lang w:bidi="ar-SA"/>
        </w:rPr>
        <w:t>بنفسِ الخبرِ</w:t>
      </w:r>
      <w:r>
        <w:rPr>
          <w:rStyle w:val="FootnoteAnchor"/>
          <w:rtl w:val="true"/>
        </w:rPr>
        <w:footnoteReference w:id="2132"/>
      </w:r>
      <w:r>
        <w:rPr>
          <w:rFonts w:ascii="Amiri" w:hAnsi="Amiri" w:eastAsia="Amiri" w:cs="Amiri"/>
          <w:color w:val="111111"/>
          <w:sz w:val="28"/>
          <w:sz w:val="28"/>
          <w:szCs w:val="28"/>
          <w:rtl w:val="true"/>
          <w:lang w:bidi="ar-SA"/>
        </w:rPr>
        <w:t>، بَل غيرُ معلومٍ أصلاً، و إنّما وَرَدَت به أخبارُ آحادٍ، و أَكثَرُ الأخبارِ وارِدةٌ بخِلافِه، و أنّ أميرَ المؤمنينَ‌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لمّا خَلَّفَه النبيُّ صَلَّى اللّٰهُ عليه و آلهِ بالمَدينةِ في غَزوةِ تَبوكَ كَرِهَ أن يَتخلَّفَ عنه، و أن يَنقطِعَ عن العادةِ التي كانَ يَجري عليها في مُواساتِه له بنفسِه، و ذَبِّه الأعداءَ عن وجهِه، فلَحِقَ به و شَكا إليه ما يَجِدُه مِن ألَمِ الوَحشةِ‌، فقالَ له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لنا أن نُخصِّصَ خبراً معلوماً بأمرٍ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كَثيراً مِن الرواياتِ قد أَتَت بأنّ النبيَّ صَلَّى اللّٰهُ عليه و آلِه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بمَنزِلةِ هارونَ مِن </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أماكِنَ مُختَلِفةٍ و أحوالٍ شَتّىٰ‌</w:t>
      </w:r>
      <w:r>
        <w:rPr>
          <w:rStyle w:val="FootnoteAnchor"/>
          <w:rtl w:val="true"/>
        </w:rPr>
        <w:footnoteReference w:id="2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لنا أيضاً أن نَخُصَّه بغَزوةِ تَبوكَ دونَ غيرِها، بلِ الواجبُ القَطعُ علَى الخبرِ الحقِّ‌</w:t>
      </w:r>
      <w:r>
        <w:rPr>
          <w:rStyle w:val="FootnoteAnchor"/>
          <w:rtl w:val="true"/>
        </w:rPr>
        <w:footnoteReference w:id="2134"/>
      </w:r>
      <w:r>
        <w:rPr>
          <w:rFonts w:ascii="Amiri" w:hAnsi="Amiri" w:eastAsia="Amiri" w:cs="Amiri"/>
          <w:color w:val="111111"/>
          <w:sz w:val="28"/>
          <w:sz w:val="28"/>
          <w:szCs w:val="28"/>
          <w:rtl w:val="true"/>
          <w:lang w:bidi="ar-SA"/>
        </w:rPr>
        <w:t xml:space="preserve">، و الرجوعُ إلىٰ ما يَقتَضيهِ ، و الشكُّ فيما لَم تَثبُتْ </w:t>
      </w:r>
      <w:r>
        <w:rPr>
          <w:rStyle w:val="FootnoteAnchor"/>
          <w:rtl w:val="true"/>
        </w:rPr>
        <w:footnoteReference w:id="2135"/>
      </w:r>
      <w:r>
        <w:rPr>
          <w:rFonts w:ascii="Amiri" w:hAnsi="Amiri" w:eastAsia="Amiri" w:cs="Amiri"/>
          <w:color w:val="111111"/>
          <w:sz w:val="28"/>
          <w:sz w:val="28"/>
          <w:szCs w:val="28"/>
          <w:rtl w:val="true"/>
          <w:lang w:bidi="ar-SA"/>
        </w:rPr>
        <w:t xml:space="preserve">صِحّتُه مِن الأسبابِ و الأحوالِ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يَقتَضيهِ السببُ مُطابَقةُ القولِ له، و لَيسَ يَقتَضي مع مُطابَقتِه أن لا يَتعدّاه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السببُ ما يَدَّعونَه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إرجافِ المُنافِقينَ باستثقالِه</w:t>
      </w:r>
      <w:r>
        <w:rPr>
          <w:rStyle w:val="FootnoteAnchor"/>
          <w:rtl w:val="true"/>
        </w:rPr>
        <w:footnoteReference w:id="2136"/>
      </w:r>
      <w:r>
        <w:rPr>
          <w:rFonts w:ascii="Amiri" w:hAnsi="Amiri" w:eastAsia="Amiri" w:cs="Amiri"/>
          <w:color w:val="111111"/>
          <w:sz w:val="28"/>
          <w:sz w:val="28"/>
          <w:szCs w:val="28"/>
          <w:rtl w:val="true"/>
          <w:lang w:bidi="ar-SA"/>
        </w:rPr>
        <w:t>عليه السلامُ‌، أو كانَ الاستخلافُ في حالِ‌</w:t>
      </w:r>
      <w:r>
        <w:rPr>
          <w:rStyle w:val="FootnoteAnchor"/>
          <w:rtl w:val="true"/>
        </w:rPr>
        <w:footnoteReference w:id="2137"/>
      </w:r>
      <w:r>
        <w:rPr>
          <w:rFonts w:ascii="Amiri" w:hAnsi="Amiri" w:eastAsia="Amiri" w:cs="Amiri"/>
          <w:color w:val="111111"/>
          <w:sz w:val="28"/>
          <w:sz w:val="28"/>
          <w:szCs w:val="28"/>
          <w:rtl w:val="true"/>
          <w:lang w:bidi="ar-SA"/>
        </w:rPr>
        <w:t xml:space="preserve">الغَيبةِ و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علىٰ مَذهبِنا و تأويلِنا يُطابِقُه و يَتَناوَلُه، و إن تَعدّاه إلىٰ غيرِه مِن الاستخلافِ بَعدَ الوفاةِ‌، الذي لا يُنافي ما يَقتَضيهِ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w:t>
      </w:r>
      <w:r>
        <w:rPr>
          <w:rStyle w:val="FootnoteAnchor"/>
          <w:rtl w:val="true"/>
        </w:rPr>
        <w:footnoteReference w:id="2138"/>
      </w:r>
      <w:r>
        <w:rPr>
          <w:rFonts w:ascii="Amiri" w:hAnsi="Amiri" w:eastAsia="Amiri" w:cs="Amiri"/>
          <w:color w:val="111111"/>
          <w:sz w:val="28"/>
          <w:sz w:val="28"/>
          <w:szCs w:val="28"/>
          <w:rtl w:val="true"/>
          <w:lang w:bidi="ar-SA"/>
        </w:rPr>
        <w:t>لَو صَرَّحَ بما ذَهَبنا إليه حتّىٰ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بمَنزِلةِ هارونَ مِن موسىٰ‌؛ في المَحبّةِ‌، و الفَضلِ ، و الاختصاصِ ، و الخِلافةِ في الحياةِ و بَعدَ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السببُ الذي يُدَّعىٰ غيرَ مانعٍ مِن صِحّةِ الكلامِ و استقامتهِ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لَو اقتَضىٰ مَنزِلةً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الخِلافةَ في السفرِ، أو ما يُنافي</w:t>
      </w:r>
      <w:r>
        <w:rPr>
          <w:rStyle w:val="FootnoteAnchor"/>
          <w:rtl w:val="true"/>
        </w:rPr>
        <w:footnoteReference w:id="2139"/>
      </w:r>
      <w:r>
        <w:rPr>
          <w:rFonts w:ascii="Amiri" w:hAnsi="Amiri" w:eastAsia="Amiri" w:cs="Amiri"/>
          <w:color w:val="111111"/>
          <w:sz w:val="28"/>
          <w:sz w:val="28"/>
          <w:szCs w:val="28"/>
          <w:rtl w:val="true"/>
          <w:lang w:bidi="ar-SA"/>
        </w:rPr>
        <w:t xml:space="preserve">إرجافَ المُنافِقينَ مِن المَحبّةِ و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لَقَبُحَ الاستثناءُ ؛ لأنّ ظاهرَه يَقتَضي</w:t>
      </w:r>
      <w:r>
        <w:rPr>
          <w:rStyle w:val="FootnoteAnchor"/>
          <w:rtl w:val="true"/>
        </w:rPr>
        <w:footnoteReference w:id="2140"/>
      </w:r>
    </w:p>
    <w:p>
      <w:pPr>
        <w:pStyle w:val="BookText"/>
        <w:rPr/>
      </w:pPr>
      <w:r>
        <w:rPr>
          <w:rFonts w:ascii="Amiri" w:hAnsi="Amiri" w:eastAsia="Amiri" w:cs="Amiri"/>
          <w:color w:val="111111"/>
          <w:sz w:val="28"/>
          <w:sz w:val="28"/>
          <w:szCs w:val="28"/>
          <w:rtl w:val="true"/>
          <w:lang w:bidi="ar-SA"/>
        </w:rPr>
        <w:t>تَناوُلَ الكلامِ لأكثَرَ مِن مَنزِلةٍ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لا يَحسُنُ أن يَقولَ أحَدُنا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مَنزِلتُكَ مِنّي في الشِّركةِ في المَتاعِ المَخصوصِ دونَ غيرِها، مَنزِلةُ فُلانٍ مِن فُلانٍ‌</w:t>
      </w:r>
      <w:r>
        <w:rPr>
          <w:rStyle w:val="FootnoteAnchor"/>
          <w:rtl w:val="true"/>
        </w:rPr>
        <w:footnoteReference w:id="2141"/>
      </w:r>
      <w:r>
        <w:rPr>
          <w:rFonts w:ascii="Amiri" w:hAnsi="Amiri" w:eastAsia="Amiri" w:cs="Amiri"/>
          <w:color w:val="111111"/>
          <w:sz w:val="28"/>
          <w:sz w:val="28"/>
          <w:szCs w:val="28"/>
          <w:rtl w:val="true"/>
          <w:lang w:bidi="ar-SA"/>
        </w:rPr>
        <w:t>، إلّاأنّكَ لَستَ بجاري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الجِوارُ ثابتاً بَينَ مَن ذَكَرَه</w:t>
      </w:r>
      <w:r>
        <w:rPr>
          <w:rStyle w:val="FootnoteAnchor"/>
          <w:rtl w:val="true"/>
        </w:rPr>
        <w:footnoteReference w:id="2142"/>
      </w:r>
      <w:r>
        <w:rPr>
          <w:rFonts w:ascii="Amiri" w:hAnsi="Amiri" w:eastAsia="Amiri" w:cs="Amiri"/>
          <w:color w:val="111111"/>
          <w:sz w:val="28"/>
          <w:sz w:val="28"/>
          <w:szCs w:val="28"/>
          <w:rtl w:val="true"/>
          <w:lang w:bidi="ar-SA"/>
        </w:rPr>
        <w:t>مِن حَيثُ لَم يَصِحَّ تَناوُلُ قولِه الأوّلِ ما يَصِحُّ دخولُ‌</w:t>
      </w:r>
      <w:r>
        <w:rPr>
          <w:rStyle w:val="FootnoteAnchor"/>
          <w:rtl w:val="true"/>
        </w:rPr>
        <w:footnoteReference w:id="2143"/>
      </w:r>
      <w:r>
        <w:rPr>
          <w:rFonts w:ascii="Amiri" w:hAnsi="Amiri" w:eastAsia="Amiri" w:cs="Amiri"/>
          <w:color w:val="111111"/>
          <w:sz w:val="28"/>
          <w:sz w:val="28"/>
          <w:szCs w:val="28"/>
          <w:rtl w:val="true"/>
          <w:lang w:bidi="ar-SA"/>
        </w:rPr>
        <w:t>مَنزِلةِ الجِوارِ فيه‌؟ و كذلكَ لا يَصِحُّ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w:t>
      </w:r>
      <w:r>
        <w:rPr>
          <w:rStyle w:val="FootnoteAnchor"/>
          <w:rtl w:val="true"/>
        </w:rPr>
        <w:footnoteReference w:id="2144"/>
      </w:r>
      <w:r>
        <w:rPr>
          <w:rFonts w:ascii="Amiri" w:hAnsi="Amiri" w:eastAsia="Amiri" w:cs="Amiri"/>
          <w:color w:val="111111"/>
          <w:sz w:val="28"/>
          <w:sz w:val="28"/>
          <w:szCs w:val="28"/>
          <w:rtl w:val="true"/>
          <w:lang w:bidi="ar-SA"/>
        </w:rPr>
        <w:t>غُلامي زَيداً، إلّاغُلامي عَمراً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صَحَّ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w:t>
      </w:r>
    </w:p>
    <w:p>
      <w:pPr>
        <w:pStyle w:val="BookText"/>
        <w:rPr/>
      </w:pPr>
      <w:r>
        <w:rPr>
          <w:rFonts w:ascii="Amiri" w:hAnsi="Amiri" w:eastAsia="Amiri" w:cs="Amiri"/>
          <w:color w:val="111111"/>
          <w:sz w:val="28"/>
          <w:sz w:val="28"/>
          <w:szCs w:val="28"/>
          <w:rtl w:val="true"/>
          <w:lang w:bidi="ar-SA"/>
        </w:rPr>
        <w:t>غِلماني، إلّاغُلامي عَمراً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مِن حَيثُ تَناوَلَ اللفظُ الواحدَ دونَ الجميعِ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الوجهِ يَسقُطُ قولُ مَن ادَّعىٰ أنّ الخبرَ يَقتَضي مَنزِلةً واحدةً‌؛ لأنَّ‌</w:t>
      </w:r>
      <w:r>
        <w:rPr>
          <w:rStyle w:val="FootnoteAnchor"/>
          <w:rtl w:val="true"/>
        </w:rPr>
        <w:footnoteReference w:id="2146"/>
      </w:r>
      <w:r>
        <w:rPr>
          <w:rFonts w:ascii="Amiri" w:hAnsi="Amiri" w:eastAsia="Amiri" w:cs="Amiri"/>
          <w:color w:val="111111"/>
          <w:sz w:val="28"/>
          <w:sz w:val="28"/>
          <w:szCs w:val="28"/>
          <w:rtl w:val="true"/>
          <w:lang w:bidi="ar-SA"/>
        </w:rPr>
        <w:t>ظاهرَ اللفظِ</w:t>
      </w:r>
      <w:r>
        <w:rPr>
          <w:rStyle w:val="FootnoteAnchor"/>
          <w:rtl w:val="true"/>
        </w:rPr>
        <w:footnoteReference w:id="2147"/>
      </w:r>
      <w:r>
        <w:rPr>
          <w:rFonts w:ascii="Amiri" w:hAnsi="Amiri" w:eastAsia="Amiri" w:cs="Amiri"/>
          <w:color w:val="111111"/>
          <w:sz w:val="28"/>
          <w:sz w:val="28"/>
          <w:szCs w:val="28"/>
          <w:rtl w:val="true"/>
          <w:lang w:bidi="ar-SA"/>
        </w:rPr>
        <w:t xml:space="preserve">لَم يَتناوَلْ </w:t>
      </w:r>
      <w:r>
        <w:rPr>
          <w:rStyle w:val="FootnoteAnchor"/>
          <w:rtl w:val="true"/>
        </w:rPr>
        <w:footnoteReference w:id="2148"/>
      </w:r>
      <w:r>
        <w:rPr>
          <w:rFonts w:ascii="Amiri" w:hAnsi="Amiri" w:eastAsia="Amiri" w:cs="Amiri"/>
          <w:color w:val="111111"/>
          <w:sz w:val="28"/>
          <w:sz w:val="28"/>
          <w:szCs w:val="28"/>
          <w:rtl w:val="true"/>
          <w:lang w:bidi="ar-SA"/>
        </w:rPr>
        <w:t xml:space="preserve">أكثَرَ مِن المَنزِلةِ الواحدةِ ، و أنّه لَو أرادَ مَنازِلَ كثيرةً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بمَنازِلِ هارونَ مِن موسىٰ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اعتبارَ مَوضِعِ‌</w:t>
      </w:r>
      <w:r>
        <w:rPr>
          <w:rStyle w:val="FootnoteAnchor"/>
          <w:rtl w:val="true"/>
        </w:rPr>
        <w:footnoteReference w:id="2149"/>
      </w:r>
      <w:r>
        <w:rPr>
          <w:rFonts w:ascii="Amiri" w:hAnsi="Amiri" w:eastAsia="Amiri" w:cs="Amiri"/>
          <w:color w:val="111111"/>
          <w:sz w:val="28"/>
          <w:sz w:val="28"/>
          <w:szCs w:val="28"/>
          <w:rtl w:val="true"/>
          <w:lang w:bidi="ar-SA"/>
        </w:rPr>
        <w:t>الاستثناءِ يَدُلُّ علىٰ أنَّ الكلامَ يَتناوَلُ أكثَرَ مِن مَنزِلةٍ واحدةٍ‌، و العادةُ في الاستعمالِ جاريةٌ بأن يُستَعمَلَ مِثلُ هذا الخِطابِ و إن كانَ المُرادُ بِه</w:t>
      </w:r>
      <w:r>
        <w:rPr>
          <w:rStyle w:val="FootnoteAnchor"/>
          <w:rtl w:val="true"/>
        </w:rPr>
        <w:footnoteReference w:id="2150"/>
      </w:r>
      <w:r>
        <w:rPr>
          <w:rFonts w:ascii="Amiri" w:hAnsi="Amiri" w:eastAsia="Amiri" w:cs="Amiri"/>
          <w:color w:val="111111"/>
          <w:sz w:val="28"/>
          <w:sz w:val="28"/>
          <w:szCs w:val="28"/>
          <w:rtl w:val="true"/>
          <w:lang w:bidi="ar-SA"/>
        </w:rPr>
        <w:t xml:space="preserve">المَنازِلَ الكثيرةَ ؛ لأنّهم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مَنزِلةُ فُلانٍ مِن الأميرِ كمَنزِلةِ فُلانٍ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أشاروا إلىٰ أحوالٍ مُختَلِفةٍ و إلىٰ مَنازِلَ كَثيرةٍ ، و لا يَكادونَ يَقولونَ بَدَلاً مما </w:t>
      </w:r>
    </w:p>
    <w:p>
      <w:pPr>
        <w:pStyle w:val="BookText"/>
        <w:rPr/>
      </w:pPr>
      <w:r>
        <w:rPr>
          <w:rFonts w:ascii="Amiri" w:hAnsi="Amiri" w:eastAsia="Amiri" w:cs="Amiri"/>
          <w:color w:val="111111"/>
          <w:sz w:val="28"/>
          <w:sz w:val="28"/>
          <w:szCs w:val="28"/>
          <w:rtl w:val="true"/>
          <w:lang w:bidi="ar-SA"/>
        </w:rPr>
        <w:t>ذَكَرناه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مَنازِلُ فُلانٍ كمَنازِلِ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حَسُنَ منهم ذلكَ مِن حَيثُ اعتَقَدوا أنّ ذَوي المَنازِلِ الكثيرةِ و الرُّتَبِ المُختَلِفةِ قد حَصَلَ لهُم بمجموعِها</w:t>
      </w:r>
      <w:r>
        <w:rPr>
          <w:rStyle w:val="FootnoteAnchor"/>
          <w:rtl w:val="true"/>
        </w:rPr>
        <w:footnoteReference w:id="2151"/>
      </w:r>
      <w:r>
        <w:rPr>
          <w:rFonts w:ascii="Amiri" w:hAnsi="Amiri" w:eastAsia="Amiri" w:cs="Amiri"/>
          <w:color w:val="111111"/>
          <w:sz w:val="28"/>
          <w:sz w:val="28"/>
          <w:szCs w:val="28"/>
          <w:rtl w:val="true"/>
          <w:lang w:bidi="ar-SA"/>
        </w:rPr>
        <w:t xml:space="preserve">مَنزِلةٌ واحدةٌ ؛ كأنّها جُملةٌ تَتفرَّعُ </w:t>
      </w:r>
      <w:r>
        <w:rPr>
          <w:rStyle w:val="FootnoteAnchor"/>
          <w:rtl w:val="true"/>
        </w:rPr>
        <w:footnoteReference w:id="2152"/>
      </w:r>
      <w:r>
        <w:rPr>
          <w:rFonts w:ascii="Amiri" w:hAnsi="Amiri" w:eastAsia="Amiri" w:cs="Amiri"/>
          <w:color w:val="111111"/>
          <w:sz w:val="28"/>
          <w:sz w:val="28"/>
          <w:szCs w:val="28"/>
          <w:rtl w:val="true"/>
          <w:lang w:bidi="ar-SA"/>
        </w:rPr>
        <w:t xml:space="preserve">علىٰ غيرِها، فَتقَعُ </w:t>
      </w:r>
      <w:r>
        <w:rPr>
          <w:rStyle w:val="FootnoteAnchor"/>
          <w:rtl w:val="true"/>
        </w:rPr>
        <w:footnoteReference w:id="2153"/>
      </w:r>
      <w:r>
        <w:rPr>
          <w:rFonts w:ascii="Amiri" w:hAnsi="Amiri" w:eastAsia="Amiri" w:cs="Amiri"/>
          <w:color w:val="111111"/>
          <w:sz w:val="28"/>
          <w:sz w:val="28"/>
          <w:szCs w:val="28"/>
          <w:rtl w:val="true"/>
          <w:lang w:bidi="ar-SA"/>
        </w:rPr>
        <w:t xml:space="preserve">الإشارةُ منهم إلَى الجُملةِ بلفظِ الوحدةِ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باعتبارِ ما اعتَبَرناه مِن الاستثناءِ يَبطُلُ‌</w:t>
      </w:r>
      <w:r>
        <w:rPr>
          <w:rStyle w:val="FootnoteAnchor"/>
          <w:rtl w:val="true"/>
        </w:rPr>
        <w:footnoteReference w:id="2155"/>
      </w:r>
      <w:r>
        <w:rPr>
          <w:rFonts w:ascii="Amiri" w:hAnsi="Amiri" w:eastAsia="Amiri" w:cs="Amiri"/>
          <w:color w:val="111111"/>
          <w:sz w:val="28"/>
          <w:sz w:val="28"/>
          <w:szCs w:val="28"/>
          <w:rtl w:val="true"/>
          <w:lang w:bidi="ar-SA"/>
        </w:rPr>
        <w:t>قولُ مَن حَمَلَ الكلامَ علىٰ مَنزِلةٍ يَقتَضيها العَهدُ أو العُرفُ‌</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لَيسَ في العُرفِ أن لا يُستَعمَلَ‌</w:t>
      </w:r>
      <w:r>
        <w:rPr>
          <w:rStyle w:val="FootnoteAnchor"/>
          <w:rtl w:val="true"/>
        </w:rPr>
        <w:footnoteReference w:id="2157"/>
      </w:r>
      <w:r>
        <w:rPr>
          <w:rFonts w:ascii="Amiri" w:hAnsi="Amiri" w:eastAsia="Amiri" w:cs="Amiri"/>
          <w:color w:val="111111"/>
          <w:sz w:val="28"/>
          <w:sz w:val="28"/>
          <w:szCs w:val="28"/>
          <w:rtl w:val="true"/>
          <w:lang w:bidi="ar-SA"/>
        </w:rPr>
        <w:t>لفظُ</w:t>
      </w:r>
      <w:r>
        <w:rPr>
          <w:rStyle w:val="FootnoteAnchor"/>
          <w:rtl w:val="true"/>
        </w:rPr>
        <w:footnoteReference w:id="2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إلّافي شَيءٍ مخصوصٍ دونَ ما عَداه؛ لأنّه لا حالَ مِن الأحوالِ يَحصُلُ‌</w:t>
      </w:r>
      <w:r>
        <w:rPr>
          <w:rStyle w:val="FootnoteAnchor"/>
          <w:rtl w:val="true"/>
        </w:rPr>
        <w:footnoteReference w:id="2159"/>
      </w:r>
      <w:r>
        <w:rPr>
          <w:rFonts w:ascii="Amiri" w:hAnsi="Amiri" w:eastAsia="Amiri" w:cs="Amiri"/>
          <w:color w:val="111111"/>
          <w:sz w:val="28"/>
          <w:sz w:val="28"/>
          <w:szCs w:val="28"/>
          <w:rtl w:val="true"/>
          <w:lang w:bidi="ar-SA"/>
        </w:rPr>
        <w:t xml:space="preserve">لأحَدٍ مع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نَسَبٍ‌، و جِوارٍ، و وَلايةٍ‌، و مَحبّةٍ ، و اختصاصٍ ، إلىٰ سائرِ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إلّاو يَصِحُّ أن يُقالَ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ادَّعىٰ عُرفاً في بعضِ المَنازِلِ ، كمَن ادَّعاه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عَهدَ يُشارُ إليه في مَنزِلةٍ مِن مَنازِلِ هارونَ مِن موسىٰ دونَ غيرِها، فلا</w:t>
      </w:r>
      <w:r>
        <w:rPr>
          <w:rStyle w:val="FootnoteAnchor"/>
          <w:rtl w:val="true"/>
        </w:rPr>
        <w:footnoteReference w:id="2160"/>
      </w:r>
      <w:r>
        <w:rPr>
          <w:rFonts w:ascii="Amiri" w:hAnsi="Amiri" w:eastAsia="Amiri" w:cs="Amiri"/>
          <w:color w:val="111111"/>
          <w:sz w:val="28"/>
          <w:sz w:val="28"/>
          <w:szCs w:val="28"/>
          <w:rtl w:val="true"/>
          <w:lang w:bidi="ar-SA"/>
        </w:rPr>
        <w:t>اختصاصَ بشَيءٍ مِن مَنازِلِه بعَهدٍ لَيسَ في غيرِه، بَل سائرُ مَنازِلِه كالمعهودِ؛ مِن جِهةِ أنّها معلومةٌ بالأدِلّةِ عليها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ما ذَكَرناه واضحٌ لِمَن أنصَفَ مِن نفسِه</w:t>
      </w:r>
      <w:r>
        <w:rPr>
          <w:rFonts w:eastAsia="Amiri" w:cs="Amiri" w:ascii="Amiri" w:hAnsi="Amiri"/>
          <w:color w:val="111111"/>
          <w:sz w:val="28"/>
          <w:szCs w:val="28"/>
          <w:rtl w:val="true"/>
          <w:lang w:bidi="ar-SA"/>
        </w:rPr>
        <w:t xml:space="preserve">. </w:t>
      </w:r>
      <w:bookmarkStart w:id="411" w:name="pg20017_202602"/>
    </w:p>
    <w:p>
      <w:pPr>
        <w:pStyle w:val="Heading5"/>
        <w:numPr>
          <w:ilvl w:val="4"/>
          <w:numId w:val="1"/>
        </w:numPr>
        <w:rPr/>
      </w:pPr>
      <w:bookmarkStart w:id="412" w:name="__RefHeading___Toc964287_2320776876"/>
      <w:bookmarkStart w:id="413" w:name="_Toc147"/>
      <w:bookmarkEnd w:id="411"/>
      <w:bookmarkEnd w:id="412"/>
      <w:r>
        <w:rPr>
          <w:rtl w:val="true"/>
        </w:rPr>
        <w:t>التقرير الثاني</w:t>
      </w:r>
      <w:bookmarkEnd w:id="413"/>
    </w:p>
    <w:p>
      <w:pPr>
        <w:pStyle w:val="Heading6"/>
        <w:numPr>
          <w:ilvl w:val="5"/>
          <w:numId w:val="1"/>
        </w:numPr>
        <w:rPr/>
      </w:pPr>
      <w:bookmarkStart w:id="414" w:name="__RefHeading___Toc964289_2320776876"/>
      <w:bookmarkStart w:id="415" w:name="_Toc148"/>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 xml:space="preserve">طريقةٌ أُخرىٰ مِن الاستدلالِ بالخبرِ علَى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أنّه إذا ثَبَتَ كَونُ هارونَ خَليفةً لموسىٰ علىٰ أُمّتِه في حياتِه و مُفتَرَضَ الطاعةِ عليهم، و أنّ هذه المَنزِلةَ مِن جُملةِ مَنازِلِه مِنه</w:t>
      </w:r>
      <w:r>
        <w:rPr>
          <w:rStyle w:val="FootnoteAnchor"/>
          <w:rtl w:val="true"/>
        </w:rPr>
        <w:footnoteReference w:id="2161"/>
      </w:r>
      <w:r>
        <w:rPr>
          <w:rFonts w:ascii="Amiri" w:hAnsi="Amiri" w:eastAsia="Amiri" w:cs="Amiri"/>
          <w:color w:val="111111"/>
          <w:sz w:val="28"/>
          <w:sz w:val="28"/>
          <w:szCs w:val="28"/>
          <w:rtl w:val="true"/>
          <w:lang w:bidi="ar-SA"/>
        </w:rPr>
        <w:t>، و وَجَدنا النبيَّ صَلَّى اللّٰهُ عليه و آلِه</w:t>
      </w:r>
      <w:r>
        <w:rPr>
          <w:rStyle w:val="FootnoteAnchor"/>
          <w:rtl w:val="true"/>
        </w:rPr>
        <w:footnoteReference w:id="2162"/>
      </w:r>
      <w:r>
        <w:rPr>
          <w:rFonts w:ascii="Amiri" w:hAnsi="Amiri" w:eastAsia="Amiri" w:cs="Amiri"/>
          <w:color w:val="111111"/>
          <w:sz w:val="28"/>
          <w:sz w:val="28"/>
          <w:szCs w:val="28"/>
          <w:rtl w:val="true"/>
          <w:lang w:bidi="ar-SA"/>
        </w:rPr>
        <w:t>استَثنىٰ ما لَم يُرِدْه من المَنازِلِ بَعدَه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هذا الاستثناءُ علىٰ أنّ ما لَم يَستَثنِه حاصلٌ لأميرِ المؤمنينَ عليه السلامُ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مِن جُملةِ المَنازِلِ الخِلافةُ في الحياةِ و ثَبَتَت بَعدَه، فقَد وَضَحَ </w:t>
      </w:r>
      <w:r>
        <w:rPr>
          <w:rStyle w:val="FootnoteAnchor"/>
          <w:rtl w:val="true"/>
        </w:rPr>
        <w:footnoteReference w:id="2163"/>
      </w:r>
      <w:r>
        <w:rPr>
          <w:rFonts w:ascii="Amiri" w:hAnsi="Amiri" w:eastAsia="Amiri" w:cs="Amiri"/>
          <w:color w:val="111111"/>
          <w:sz w:val="28"/>
          <w:sz w:val="28"/>
          <w:szCs w:val="28"/>
          <w:rtl w:val="true"/>
          <w:lang w:bidi="ar-SA"/>
        </w:rPr>
        <w:t xml:space="preserve">وجهُ النَّصِّ بالإمامةِ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Style w:val="FootnoteAnchor"/>
          <w:rtl w:val="true"/>
        </w:rPr>
        <w:footnoteReference w:id="2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قُلتم إنّ الاستثناءَ في الخبرِ يَدُلُّ علىٰ بقاءِ ما لَم يُستَثنَ مِن المَنازِلِ و ثُبوتِه بَعدَه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الاستثناءَ كَما مِن شأنِه إذا كانَ مُطلَقاً أن يوجِبَ ما لَم يُستَثنَ مُطلَقاً، كذلكَ مِن شأنِه إذا قُيِّدَ بحالٍ أو وقتٍ أن يوجِبَ ثُبوتَ ما لَم يُستَثنَ في تلكَ الحالِ و ذلكَ الوقتِ‌</w:t>
      </w:r>
      <w:r>
        <w:rPr>
          <w:rStyle w:val="FootnoteAnchor"/>
          <w:rtl w:val="true"/>
        </w:rPr>
        <w:footnoteReference w:id="2165"/>
      </w:r>
      <w:r>
        <w:rPr>
          <w:rFonts w:ascii="Amiri" w:hAnsi="Amiri" w:eastAsia="Amiri" w:cs="Amiri"/>
          <w:color w:val="111111"/>
          <w:sz w:val="28"/>
          <w:sz w:val="28"/>
          <w:szCs w:val="28"/>
          <w:rtl w:val="true"/>
          <w:lang w:bidi="ar-SA"/>
        </w:rPr>
        <w:t>لأنّه لا فَرقَ بَينَ أن يُستَثنىٰ مِن الجُملةِ في حالٍ مخصوصةٍ‌</w:t>
      </w:r>
      <w:r>
        <w:rPr>
          <w:rStyle w:val="FootnoteAnchor"/>
          <w:rtl w:val="true"/>
        </w:rPr>
        <w:footnoteReference w:id="2166"/>
      </w:r>
      <w:r>
        <w:rPr>
          <w:rFonts w:ascii="Amiri" w:hAnsi="Amiri" w:eastAsia="Amiri" w:cs="Amiri"/>
          <w:color w:val="111111"/>
          <w:sz w:val="28"/>
          <w:sz w:val="28"/>
          <w:szCs w:val="28"/>
          <w:rtl w:val="true"/>
          <w:lang w:bidi="ar-SA"/>
        </w:rPr>
        <w:t>ما لَم تَتضمَّنْه</w:t>
      </w:r>
      <w:r>
        <w:rPr>
          <w:rStyle w:val="FootnoteAnchor"/>
          <w:rtl w:val="true"/>
        </w:rPr>
        <w:footnoteReference w:id="2167"/>
      </w:r>
      <w:r>
        <w:rPr>
          <w:rFonts w:ascii="Amiri" w:hAnsi="Amiri" w:eastAsia="Amiri" w:cs="Amiri"/>
          <w:color w:val="111111"/>
          <w:sz w:val="28"/>
          <w:sz w:val="28"/>
          <w:szCs w:val="28"/>
          <w:rtl w:val="true"/>
          <w:lang w:bidi="ar-SA"/>
        </w:rPr>
        <w:t xml:space="preserve">الجُملةُ في تلكَ الحالِ ، و بَينَ أن يُستَثنىٰ منها ما لَم تَتضمَّنْه علىٰ وجهٍ مِن الوجوهِ ؛ أ لا تَرىٰ أنّ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غِلماني إلّازَيداً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زَيداً </w:t>
      </w:r>
      <w:bookmarkStart w:id="416" w:name="pg20017_202603"/>
    </w:p>
    <w:p>
      <w:pPr>
        <w:pStyle w:val="BookText"/>
        <w:rPr/>
      </w:pPr>
      <w:bookmarkEnd w:id="416"/>
      <w:r>
        <w:rPr>
          <w:rFonts w:ascii="Amiri" w:hAnsi="Amiri" w:eastAsia="Amiri" w:cs="Amiri"/>
          <w:color w:val="111111"/>
          <w:sz w:val="28"/>
          <w:sz w:val="28"/>
          <w:szCs w:val="28"/>
          <w:rtl w:val="true"/>
          <w:lang w:bidi="ar-SA"/>
        </w:rPr>
        <w:t>فإنّي لَم أضرِبْه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ضَرْبَه غِلمانَه كانَ في الدارِ؛ لمَوضِعِ تَعلُّقِ الاستثناءِ بها، و أنّ الضربَ لَو لَم يَكُن في الدارِ لَكانَ‌</w:t>
      </w:r>
      <w:r>
        <w:rPr>
          <w:rStyle w:val="FootnoteAnchor"/>
          <w:rtl w:val="true"/>
        </w:rPr>
        <w:footnoteReference w:id="2168"/>
      </w:r>
      <w:r>
        <w:rPr>
          <w:rFonts w:ascii="Amiri" w:hAnsi="Amiri" w:eastAsia="Amiri" w:cs="Amiri"/>
          <w:color w:val="111111"/>
          <w:sz w:val="28"/>
          <w:sz w:val="28"/>
          <w:szCs w:val="28"/>
          <w:rtl w:val="true"/>
          <w:lang w:bidi="ar-SA"/>
        </w:rPr>
        <w:t>تَضمُّنُ الاستثناءِ لذِكرِ الدارِ كتَضمُّنِه ذِكرَ ما لا تَشتَمِلُ‌</w:t>
      </w:r>
      <w:r>
        <w:rPr>
          <w:rStyle w:val="FootnoteAnchor"/>
          <w:rtl w:val="true"/>
        </w:rPr>
        <w:footnoteReference w:id="2169"/>
      </w:r>
      <w:r>
        <w:rPr>
          <w:rFonts w:ascii="Amiri" w:hAnsi="Amiri" w:eastAsia="Amiri" w:cs="Amiri"/>
          <w:color w:val="111111"/>
          <w:sz w:val="28"/>
          <w:sz w:val="28"/>
          <w:szCs w:val="28"/>
          <w:rtl w:val="true"/>
          <w:lang w:bidi="ar-SA"/>
        </w:rPr>
        <w:t>عليه الجُملةُ الأُولىٰ مِن بَهيمةٍ و غيرِها؟</w:t>
      </w:r>
    </w:p>
    <w:p>
      <w:pPr>
        <w:pStyle w:val="BookText"/>
        <w:rPr/>
      </w:pPr>
      <w:r>
        <w:rPr>
          <w:rFonts w:ascii="Amiri" w:hAnsi="Amiri" w:eastAsia="Amiri" w:cs="Amiri"/>
          <w:color w:val="111111"/>
          <w:sz w:val="28"/>
          <w:sz w:val="28"/>
          <w:szCs w:val="28"/>
          <w:rtl w:val="true"/>
          <w:lang w:bidi="ar-SA"/>
        </w:rPr>
        <w:t xml:space="preserve">و لَيسَ لأحدٍ أن يَقولَ و يَتعلَّقَ بأنّ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لا تُفيدُ حالَ الوفاةِ ، و أنّ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الجوابَ عن هذه الشُّبهةِ يأتي فيما بَعدُ مُستَقصىً بمَشيئةِ اللّٰهِ </w:t>
      </w:r>
      <w:r>
        <w:rPr>
          <w:rFonts w:eastAsia="Amiri" w:cs="Amiri" w:ascii="Amiri" w:hAnsi="Amiri"/>
          <w:color w:val="111111"/>
          <w:sz w:val="28"/>
          <w:szCs w:val="28"/>
          <w:rtl w:val="true"/>
          <w:lang w:bidi="ar-SA"/>
        </w:rPr>
        <w:t>.</w:t>
      </w:r>
      <w:r>
        <w:rPr>
          <w:rStyle w:val="FootnoteAnchor"/>
          <w:rtl w:val="true"/>
        </w:rPr>
        <w:footnoteReference w:id="2170"/>
      </w:r>
    </w:p>
    <w:p>
      <w:pPr>
        <w:pStyle w:val="BookText"/>
        <w:rPr/>
      </w:pPr>
      <w:r>
        <w:rPr>
          <w:rFonts w:ascii="Amiri" w:hAnsi="Amiri" w:eastAsia="Amiri" w:cs="Amiri"/>
          <w:color w:val="111111"/>
          <w:sz w:val="28"/>
          <w:sz w:val="28"/>
          <w:szCs w:val="28"/>
          <w:rtl w:val="true"/>
          <w:lang w:bidi="ar-SA"/>
        </w:rPr>
        <w:t xml:space="preserve">و لا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لكم ثُبوتُ ما لَم يَدخُل تحتَ الاستثناءِ مِن المَنازِلِ؟</w:t>
      </w:r>
    </w:p>
    <w:p>
      <w:pPr>
        <w:pStyle w:val="BookText"/>
        <w:rPr/>
      </w:pPr>
      <w:r>
        <w:rPr>
          <w:rFonts w:ascii="Amiri" w:hAnsi="Amiri" w:eastAsia="Amiri" w:cs="Amiri"/>
          <w:color w:val="111111"/>
          <w:sz w:val="28"/>
          <w:sz w:val="28"/>
          <w:szCs w:val="28"/>
          <w:rtl w:val="true"/>
          <w:lang w:bidi="ar-SA"/>
        </w:rPr>
        <w:t xml:space="preserve">لأنّا قد دَلَّلنا علىٰ ذلكَ في الطريقةِ الأُولىٰ </w:t>
      </w:r>
      <w:r>
        <w:rPr>
          <w:rFonts w:eastAsia="Amiri" w:cs="Amiri" w:ascii="Amiri" w:hAnsi="Amiri"/>
          <w:color w:val="111111"/>
          <w:sz w:val="28"/>
          <w:szCs w:val="28"/>
          <w:rtl w:val="true"/>
          <w:lang w:bidi="ar-SA"/>
        </w:rPr>
        <w:t>.</w:t>
      </w:r>
      <w:r>
        <w:rPr>
          <w:rStyle w:val="FootnoteAnchor"/>
          <w:rtl w:val="true"/>
        </w:rPr>
        <w:footnoteReference w:id="2171"/>
      </w:r>
    </w:p>
    <w:p>
      <w:pPr>
        <w:pStyle w:val="Heading6"/>
        <w:numPr>
          <w:ilvl w:val="5"/>
          <w:numId w:val="1"/>
        </w:numPr>
        <w:rPr/>
      </w:pPr>
      <w:bookmarkStart w:id="417" w:name="__RefHeading___Toc964291_2320776876"/>
      <w:bookmarkStart w:id="418" w:name="_Toc149"/>
      <w:bookmarkEnd w:id="417"/>
      <w:r>
        <w:rPr>
          <w:rtl w:val="true"/>
        </w:rPr>
        <w:t>عودة إلىٰ مناقشة القاضي</w:t>
      </w:r>
      <w:bookmarkEnd w:id="418"/>
    </w:p>
    <w:p>
      <w:pPr>
        <w:pStyle w:val="BookText"/>
        <w:rPr/>
      </w:pPr>
      <w:r>
        <w:rPr>
          <w:rFonts w:ascii="Amiri" w:hAnsi="Amiri" w:eastAsia="Amiri" w:cs="Amiri"/>
          <w:color w:val="111111"/>
          <w:sz w:val="28"/>
          <w:sz w:val="28"/>
          <w:szCs w:val="28"/>
          <w:rtl w:val="true"/>
          <w:lang w:bidi="ar-SA"/>
        </w:rPr>
        <w:t>و نَحنُ نَعودُ إلىٰ كلامِ صاحبِ الكتابِ في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الطريقةُ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بَدَأنا</w:t>
      </w:r>
      <w:r>
        <w:rPr>
          <w:rStyle w:val="FootnoteAnchor"/>
          <w:rtl w:val="true"/>
        </w:rPr>
        <w:footnoteReference w:id="2172"/>
      </w:r>
      <w:r>
        <w:rPr>
          <w:rFonts w:ascii="Amiri" w:hAnsi="Amiri" w:eastAsia="Amiri" w:cs="Amiri"/>
          <w:color w:val="111111"/>
          <w:sz w:val="28"/>
          <w:sz w:val="28"/>
          <w:szCs w:val="28"/>
          <w:rtl w:val="true"/>
          <w:lang w:bidi="ar-SA"/>
        </w:rPr>
        <w:t xml:space="preserve">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استَوفَينا نُصرَتَها</w:t>
      </w:r>
      <w:r>
        <w:rPr>
          <w:rFonts w:eastAsia="Amiri" w:cs="Amiri" w:ascii="Amiri" w:hAnsi="Amiri"/>
          <w:color w:val="111111"/>
          <w:sz w:val="28"/>
          <w:szCs w:val="28"/>
          <w:rtl w:val="true"/>
          <w:lang w:bidi="ar-SA"/>
        </w:rPr>
        <w:t>.</w:t>
      </w:r>
      <w:r>
        <w:rPr>
          <w:rStyle w:val="FootnoteAnchor"/>
          <w:rtl w:val="true"/>
        </w:rPr>
        <w:footnoteReference w:id="217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ثانياً فلَيسَ بمُعتَمَدٍ جُملةً‌؛ لأنّ قولَه تَعالىٰ في حِكايةِ خطابِ موسىٰ لهارونَ‌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 وَ أَصْلِحْ‌</w:t>
      </w:r>
      <w:r>
        <w:rPr>
          <w:rFonts w:eastAsia="Amiri" w:cs="Amiri" w:ascii="Amiri" w:hAnsi="Amiri"/>
          <w:color w:val="111111"/>
          <w:sz w:val="28"/>
          <w:szCs w:val="28"/>
          <w:rtl w:val="true"/>
          <w:lang w:bidi="ar-SA"/>
        </w:rPr>
        <w:t>)</w:t>
      </w:r>
      <w:r>
        <w:rPr>
          <w:rStyle w:val="FootnoteAnchor"/>
          <w:rtl w:val="true"/>
        </w:rPr>
        <w:footnoteReference w:id="2174"/>
      </w:r>
      <w:r>
        <w:rPr>
          <w:rFonts w:ascii="Amiri" w:hAnsi="Amiri" w:eastAsia="Amiri" w:cs="Amiri"/>
          <w:color w:val="111111"/>
          <w:sz w:val="28"/>
          <w:sz w:val="28"/>
          <w:szCs w:val="28"/>
          <w:rtl w:val="true"/>
          <w:lang w:bidi="ar-SA"/>
        </w:rPr>
        <w:t>إن كانَت</w:t>
      </w:r>
      <w:r>
        <w:rPr>
          <w:rStyle w:val="FootnoteAnchor"/>
          <w:rtl w:val="true"/>
        </w:rPr>
        <w:footnoteReference w:id="2175"/>
      </w:r>
      <w:r>
        <w:rPr>
          <w:rFonts w:ascii="Amiri" w:hAnsi="Amiri" w:eastAsia="Amiri" w:cs="Amiri"/>
          <w:color w:val="111111"/>
          <w:sz w:val="28"/>
          <w:sz w:val="28"/>
          <w:szCs w:val="28"/>
          <w:rtl w:val="true"/>
          <w:lang w:bidi="ar-SA"/>
        </w:rPr>
        <w:t>هذه الصيغةُ بعَينِها هي الواقعةَ مِن موسىٰ عليه السلامُ‌، لَم يَكُن دَلالةً‌</w:t>
      </w:r>
      <w:r>
        <w:rPr>
          <w:rStyle w:val="FootnoteAnchor"/>
          <w:rtl w:val="true"/>
        </w:rPr>
        <w:footnoteReference w:id="2176"/>
      </w:r>
      <w:r>
        <w:rPr>
          <w:rFonts w:ascii="Amiri" w:hAnsi="Amiri" w:eastAsia="Amiri" w:cs="Amiri"/>
          <w:color w:val="111111"/>
          <w:sz w:val="28"/>
          <w:sz w:val="28"/>
          <w:szCs w:val="28"/>
          <w:rtl w:val="true"/>
          <w:lang w:bidi="ar-SA"/>
        </w:rPr>
        <w:t xml:space="preserve">علىٰ ثُبوتِ الاستخلافِ في جميعِ </w:t>
      </w:r>
    </w:p>
    <w:p>
      <w:pPr>
        <w:pStyle w:val="BookText"/>
        <w:rPr/>
      </w:pPr>
      <w:r>
        <w:rPr>
          <w:rFonts w:ascii="Amiri" w:hAnsi="Amiri" w:eastAsia="Amiri" w:cs="Amiri"/>
          <w:color w:val="111111"/>
          <w:sz w:val="28"/>
          <w:sz w:val="28"/>
          <w:szCs w:val="28"/>
          <w:rtl w:val="true"/>
          <w:lang w:bidi="ar-SA"/>
        </w:rPr>
        <w:t>الأحوالِ‌؛ فكيفَ و نَحنُ نَعلَمُ أنّ الحِكايةَ تَناوَلَت معنىٰ قولِه، دونَ صيغتِه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عمومَ سائرِ الأحوالِ‌؛ لأنّه مُحتَمِلٌ‌، و لَيسَ يَجِبُ في اللفظِ المُحتَمِلِ أن يُحمَلَ علىٰ سائرِ ما يَحتَمِلُه إلّابدليلٍ‌، كما لا يَجِبُ ذلكَ في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ذَكَرَه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طريقةُ إثباتِ النَّصِّ ، و قد اعتَمَدَها أصحابُنا، إلّا</w:t>
      </w:r>
      <w:r>
        <w:rPr>
          <w:rStyle w:val="FootnoteAnchor"/>
          <w:rtl w:val="true"/>
        </w:rPr>
        <w:footnoteReference w:id="2177"/>
      </w:r>
      <w:r>
        <w:rPr>
          <w:rFonts w:ascii="Amiri" w:hAnsi="Amiri" w:eastAsia="Amiri" w:cs="Amiri"/>
          <w:color w:val="111111"/>
          <w:sz w:val="28"/>
          <w:sz w:val="28"/>
          <w:szCs w:val="28"/>
          <w:rtl w:val="true"/>
          <w:lang w:bidi="ar-SA"/>
        </w:rPr>
        <w:t>أنّه لَيسَ بمُتَعلِّقٍ بالخبرِ</w:t>
      </w:r>
      <w:r>
        <w:rPr>
          <w:rStyle w:val="FootnoteAnchor"/>
          <w:rtl w:val="true"/>
        </w:rPr>
        <w:footnoteReference w:id="2178"/>
      </w:r>
      <w:r>
        <w:rPr>
          <w:rFonts w:ascii="Amiri" w:hAnsi="Amiri" w:eastAsia="Amiri" w:cs="Amiri"/>
          <w:color w:val="111111"/>
          <w:sz w:val="28"/>
          <w:sz w:val="28"/>
          <w:szCs w:val="28"/>
          <w:rtl w:val="true"/>
          <w:lang w:bidi="ar-SA"/>
        </w:rPr>
        <w:t>الذي شَرَعَ صاحبُ الكتابِ في حِكايةِ وجوهِ استدلالاتِنا</w:t>
      </w:r>
      <w:r>
        <w:rPr>
          <w:rStyle w:val="FootnoteAnchor"/>
          <w:rtl w:val="true"/>
        </w:rPr>
        <w:footnoteReference w:id="2179"/>
      </w:r>
      <w:r>
        <w:rPr>
          <w:rFonts w:ascii="Amiri" w:hAnsi="Amiri" w:eastAsia="Amiri" w:cs="Amiri"/>
          <w:color w:val="111111"/>
          <w:sz w:val="28"/>
          <w:sz w:val="28"/>
          <w:szCs w:val="28"/>
          <w:rtl w:val="true"/>
          <w:lang w:bidi="ar-SA"/>
        </w:rPr>
        <w:t xml:space="preserve">منه، و لا مُفتَقِرَةٍ إليه، و ما نَعلَمُ أحَداً مِن أصحابِنا قَرَنَ هذه الطريقةَ مِن الاستدلالِ بالكلامِ في الخبرِ، و إيرادُها في هذا المَوضِعِ طَريفٌ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ذَكَرَه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الطريقةُ التي أورَدناها، و قد بيّنّا كَيفيّةَ دَلالتِها</w:t>
      </w:r>
      <w:r>
        <w:rPr>
          <w:rFonts w:eastAsia="Amiri" w:cs="Amiri" w:ascii="Amiri" w:hAnsi="Amiri"/>
          <w:color w:val="111111"/>
          <w:sz w:val="28"/>
          <w:szCs w:val="28"/>
          <w:rtl w:val="true"/>
          <w:lang w:bidi="ar-SA"/>
        </w:rPr>
        <w:t>.</w:t>
      </w:r>
      <w:r>
        <w:rPr>
          <w:rStyle w:val="FootnoteAnchor"/>
          <w:rtl w:val="true"/>
        </w:rPr>
        <w:footnoteReference w:id="2180"/>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يَتَناوَلُ إلّا مَنزِلةً ثابتةً منه، و لا يَدخُلُ تَحتَه مَنزِلةٌ مُقدَّرَةٌ‌؛ لأنّ المُقَدَّرَ لَيسَ بحاصلٍ و لا يَجوزُ أن يَكونَ مَنزِلةً ؛ لأنّ وَصفَه بأنّه مَنزِلةٌ يَقتَضي حصولَه علىٰ وجهٍ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المُقدَّرِ</w:t>
      </w:r>
      <w:r>
        <w:rPr>
          <w:rStyle w:val="FootnoteAnchor"/>
          <w:rtl w:val="true"/>
        </w:rPr>
        <w:footnoteReference w:id="2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مِن البابِ الذي كانَ يَجِبُ لا مَحالةَ علَى الوجهِ الذي قُدِّرَ، أو لا </w:t>
      </w:r>
    </w:p>
    <w:p>
      <w:pPr>
        <w:pStyle w:val="BookText"/>
        <w:rPr/>
      </w:pP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يَدخُلُ تَحتَ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 صِحّةَ ذلكَ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مَنزِلةً لهارونَ مِن موسىٰ معروفةً شَبَّهَ‌</w:t>
      </w:r>
      <w:r>
        <w:rPr>
          <w:rStyle w:val="FootnoteAnchor"/>
          <w:rtl w:val="true"/>
        </w:rPr>
        <w:footnoteReference w:id="2182"/>
      </w:r>
      <w:r>
        <w:rPr>
          <w:rFonts w:ascii="Amiri" w:hAnsi="Amiri" w:eastAsia="Amiri" w:cs="Amiri"/>
          <w:color w:val="111111"/>
          <w:sz w:val="28"/>
          <w:sz w:val="28"/>
          <w:szCs w:val="28"/>
          <w:rtl w:val="true"/>
          <w:lang w:bidi="ar-SA"/>
        </w:rPr>
        <w:t>بها مَنزِلتَه، فكيفَ يَصِحُّ أن يَدخُلَ‌</w:t>
      </w:r>
      <w:r>
        <w:rPr>
          <w:rStyle w:val="FootnoteAnchor"/>
          <w:rtl w:val="true"/>
        </w:rPr>
        <w:footnoteReference w:id="2183"/>
      </w:r>
      <w:r>
        <w:rPr>
          <w:rFonts w:ascii="Amiri" w:hAnsi="Amiri" w:eastAsia="Amiri" w:cs="Amiri"/>
          <w:color w:val="111111"/>
          <w:sz w:val="28"/>
          <w:sz w:val="28"/>
          <w:szCs w:val="28"/>
          <w:rtl w:val="true"/>
          <w:lang w:bidi="ar-SA"/>
        </w:rPr>
        <w:t>في ذلكَ المُقدَّرُ؟ و هو كقولِ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حَقُّكَ‌</w:t>
      </w:r>
      <w:r>
        <w:rPr>
          <w:rStyle w:val="FootnoteAnchor"/>
          <w:rtl w:val="true"/>
        </w:rPr>
        <w:footnoteReference w:id="2184"/>
      </w:r>
      <w:r>
        <w:rPr>
          <w:rFonts w:ascii="Amiri" w:hAnsi="Amiri" w:eastAsia="Amiri" w:cs="Amiri"/>
          <w:color w:val="111111"/>
          <w:sz w:val="28"/>
          <w:sz w:val="28"/>
          <w:szCs w:val="28"/>
          <w:rtl w:val="true"/>
          <w:lang w:bidi="ar-SA"/>
        </w:rPr>
        <w:t>عَلَيَّ مِثلُ حَقِّ فُلانٍ علىٰ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دَينُكَ عندي مِثلُ دَينِ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شاكَلَ ذلكَ‌، في أنّه لا يَتَناوَلُ إلّاأمراً معروفاً حاصِلاً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ذلكَ فلَنا أن نَنظُرَ</w:t>
      </w:r>
      <w:r>
        <w:rPr>
          <w:rStyle w:val="FootnoteAnchor"/>
          <w:rtl w:val="true"/>
        </w:rPr>
        <w:footnoteReference w:id="2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مَنزِلةُ هارونَ مِن موسىٰ معروفةً حَمَلنا الكلامَ عليها، و إلّاوَجَبَ التوقُّفُ‌، كَما يَجِبُ مِثلُه فيما مَثَّلناه مِن الحَقِّ 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نَنظُرَ</w:t>
      </w:r>
      <w:r>
        <w:rPr>
          <w:rStyle w:val="FootnoteAnchor"/>
          <w:rtl w:val="true"/>
        </w:rPr>
        <w:footnoteReference w:id="2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الكلامُ يَقتَضي الشُّمولَ حَمَلناه عليه، و إلّاوَجَبَ التوقُّفُ عليه، و لا يَجوزُ أن يَدخُلَ تَحتَ الكلامِ ما لَم يَحصُلْ لهارونَ مِن المَنزلةِ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عَلِمنا أنّه لَم يَحصُلْ </w:t>
      </w:r>
      <w:r>
        <w:rPr>
          <w:rStyle w:val="FootnoteAnchor"/>
          <w:rtl w:val="true"/>
        </w:rPr>
        <w:footnoteReference w:id="2187"/>
      </w:r>
      <w:r>
        <w:rPr>
          <w:rFonts w:ascii="Amiri" w:hAnsi="Amiri" w:eastAsia="Amiri" w:cs="Amiri"/>
          <w:color w:val="111111"/>
          <w:sz w:val="28"/>
          <w:sz w:val="28"/>
          <w:szCs w:val="28"/>
          <w:rtl w:val="true"/>
          <w:lang w:bidi="ar-SA"/>
        </w:rPr>
        <w:t>له الخِلافَةُ بَعدَه، فيَجِبُ أن لا يَدخُلَ ذلكَ تَحتَ الخبرِ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يُمكِنُهم أن يَقولوا بوجوبِ </w:t>
      </w:r>
      <w:r>
        <w:rPr>
          <w:rStyle w:val="FootnoteAnchor"/>
          <w:rtl w:val="true"/>
        </w:rPr>
        <w:footnoteReference w:id="2188"/>
      </w:r>
      <w:r>
        <w:rPr>
          <w:rFonts w:ascii="Amiri" w:hAnsi="Amiri" w:eastAsia="Amiri" w:cs="Amiri"/>
          <w:color w:val="111111"/>
          <w:sz w:val="28"/>
          <w:sz w:val="28"/>
          <w:szCs w:val="28"/>
          <w:rtl w:val="true"/>
          <w:lang w:bidi="ar-SA"/>
        </w:rPr>
        <w:t>دخولهِ تَحتَ الخبرِ، علَى التقديرِ</w:t>
      </w:r>
      <w:r>
        <w:rPr>
          <w:rStyle w:val="FootnoteAnchor"/>
          <w:rtl w:val="true"/>
        </w:rPr>
        <w:footnoteReference w:id="2189"/>
      </w:r>
      <w:r>
        <w:rPr>
          <w:rFonts w:ascii="Amiri" w:hAnsi="Amiri" w:eastAsia="Amiri" w:cs="Amiri"/>
          <w:color w:val="111111"/>
          <w:sz w:val="28"/>
          <w:sz w:val="28"/>
          <w:szCs w:val="28"/>
          <w:rtl w:val="true"/>
          <w:lang w:bidi="ar-SA"/>
        </w:rPr>
        <w:t>الذي ذَكَروه؛ لأنّا قد بيّنّا أنّ الخبرَ لا يَتَناوَلُ المُقَدَّرَ</w:t>
      </w:r>
      <w:r>
        <w:rPr>
          <w:rStyle w:val="FootnoteAnchor"/>
          <w:rtl w:val="true"/>
        </w:rPr>
        <w:footnoteReference w:id="2190"/>
      </w:r>
      <w:r>
        <w:rPr>
          <w:rFonts w:ascii="Amiri" w:hAnsi="Amiri" w:eastAsia="Amiri" w:cs="Amiri"/>
          <w:color w:val="111111"/>
          <w:sz w:val="28"/>
          <w:sz w:val="28"/>
          <w:szCs w:val="28"/>
          <w:rtl w:val="true"/>
          <w:lang w:bidi="ar-SA"/>
        </w:rPr>
        <w:t xml:space="preserve">الذي لَم يَكُن، </w:t>
      </w:r>
    </w:p>
    <w:p>
      <w:pPr>
        <w:pStyle w:val="BookText"/>
        <w:rPr/>
      </w:pPr>
      <w:r>
        <w:rPr>
          <w:rFonts w:ascii="Amiri" w:hAnsi="Amiri" w:eastAsia="Amiri" w:cs="Amiri"/>
          <w:color w:val="111111"/>
          <w:sz w:val="28"/>
          <w:sz w:val="28"/>
          <w:szCs w:val="28"/>
          <w:rtl w:val="true"/>
          <w:lang w:bidi="ar-SA"/>
        </w:rPr>
        <w:t xml:space="preserve">و إنّما يَتَناوَلُ </w:t>
      </w:r>
      <w:r>
        <w:rPr>
          <w:rStyle w:val="FootnoteAnchor"/>
          <w:rtl w:val="true"/>
        </w:rPr>
        <w:footnoteReference w:id="2191"/>
      </w:r>
      <w:r>
        <w:rPr>
          <w:rFonts w:ascii="Amiri" w:hAnsi="Amiri" w:eastAsia="Amiri" w:cs="Amiri"/>
          <w:color w:val="111111"/>
          <w:sz w:val="28"/>
          <w:sz w:val="28"/>
          <w:szCs w:val="28"/>
          <w:rtl w:val="true"/>
          <w:lang w:bidi="ar-SA"/>
        </w:rPr>
        <w:t xml:space="preserve">المَنزِلةَ الكائنةَ الحاصِلةَ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المَنزِلةَ التي نُقدِّرُها</w:t>
      </w:r>
      <w:r>
        <w:rPr>
          <w:rStyle w:val="FootnoteAnchor"/>
          <w:rtl w:val="true"/>
        </w:rPr>
        <w:footnoteReference w:id="2192"/>
      </w:r>
      <w:r>
        <w:rPr>
          <w:rFonts w:ascii="Amiri" w:hAnsi="Amiri" w:eastAsia="Amiri" w:cs="Amiri"/>
          <w:color w:val="111111"/>
          <w:sz w:val="28"/>
          <w:sz w:val="28"/>
          <w:szCs w:val="28"/>
          <w:rtl w:val="true"/>
          <w:lang w:bidi="ar-SA"/>
        </w:rPr>
        <w:t>لهارونَ هي كأنّها</w:t>
      </w:r>
      <w:r>
        <w:rPr>
          <w:rStyle w:val="FootnoteAnchor"/>
          <w:rtl w:val="true"/>
        </w:rPr>
        <w:footnoteReference w:id="2193"/>
      </w:r>
      <w:r>
        <w:rPr>
          <w:rFonts w:ascii="Amiri" w:hAnsi="Amiri" w:eastAsia="Amiri" w:cs="Amiri"/>
          <w:color w:val="111111"/>
          <w:sz w:val="28"/>
          <w:sz w:val="28"/>
          <w:szCs w:val="28"/>
          <w:rtl w:val="true"/>
          <w:lang w:bidi="ar-SA"/>
        </w:rPr>
        <w:t xml:space="preserve">ثابتةٌ‌؛ لأنّها واجبةٌ بالاستخلافِ في حالِ الغَيبةِ‌، و إنّما حَصَلَ فيها مَنعٌ و هو مَوتُه قَبلَ موتِ موسىٰ عليه السلامُ‌، و لَولا هذا المَنعُ لَكانَت ثابتةً‌؛ فإذا لم يَحصُلْ مِثلُ </w:t>
      </w:r>
      <w:r>
        <w:rPr>
          <w:rStyle w:val="FootnoteAnchor"/>
          <w:rtl w:val="true"/>
        </w:rPr>
        <w:footnoteReference w:id="2194"/>
      </w:r>
      <w:r>
        <w:rPr>
          <w:rFonts w:ascii="Amiri" w:hAnsi="Amiri" w:eastAsia="Amiri" w:cs="Amiri"/>
          <w:color w:val="111111"/>
          <w:sz w:val="28"/>
          <w:sz w:val="28"/>
          <w:szCs w:val="28"/>
          <w:rtl w:val="true"/>
          <w:lang w:bidi="ar-SA"/>
        </w:rPr>
        <w:t xml:space="preserve">هذا المَنعِ في أميرِ المؤمنينَ عليه السلامُ ، فيَجِبُ أن تَكونَ </w:t>
      </w:r>
      <w:r>
        <w:rPr>
          <w:rStyle w:val="FootnoteAnchor"/>
          <w:rtl w:val="true"/>
        </w:rPr>
        <w:footnoteReference w:id="2195"/>
      </w:r>
      <w:r>
        <w:rPr>
          <w:rFonts w:ascii="Amiri" w:hAnsi="Amiri" w:eastAsia="Amiri" w:cs="Amiri"/>
          <w:color w:val="111111"/>
          <w:sz w:val="28"/>
          <w:sz w:val="28"/>
          <w:szCs w:val="28"/>
          <w:rtl w:val="true"/>
          <w:lang w:bidi="ar-SA"/>
        </w:rPr>
        <w:t xml:space="preserve">ثابتةً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ذَكَرتَه إذا سَلَّمناه، لم يُخرِجْ هذه المَنزِلةَ مِن كَونِها غيرَ ثابتةٍ في الحَقيقةِ‌، و إن كانَت في الحُكمِ كأنّها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w:t>
      </w:r>
      <w:r>
        <w:rPr>
          <w:rStyle w:val="FootnoteAnchor"/>
          <w:rtl w:val="true"/>
        </w:rPr>
        <w:footnoteReference w:id="2196"/>
      </w:r>
      <w:r>
        <w:rPr>
          <w:rFonts w:ascii="Amiri" w:hAnsi="Amiri" w:eastAsia="Amiri" w:cs="Amiri"/>
          <w:color w:val="111111"/>
          <w:sz w:val="28"/>
          <w:sz w:val="28"/>
          <w:szCs w:val="28"/>
          <w:rtl w:val="true"/>
          <w:lang w:bidi="ar-SA"/>
        </w:rPr>
        <w:t xml:space="preserve">أنّ الخبرَ لَم يَتناوَلِ المُقدَّرَ؛ صَحَّ وجوبُه أو لَم يَصِحّ ؛ فنَحنُ قَبلَ </w:t>
      </w:r>
      <w:r>
        <w:rPr>
          <w:rStyle w:val="FootnoteAnchor"/>
          <w:rtl w:val="true"/>
        </w:rPr>
        <w:footnoteReference w:id="2197"/>
      </w:r>
      <w:r>
        <w:rPr>
          <w:rFonts w:ascii="Amiri" w:hAnsi="Amiri" w:eastAsia="Amiri" w:cs="Amiri"/>
          <w:color w:val="111111"/>
          <w:sz w:val="28"/>
          <w:sz w:val="28"/>
          <w:szCs w:val="28"/>
          <w:rtl w:val="true"/>
          <w:lang w:bidi="ar-SA"/>
        </w:rPr>
        <w:t>أن نَتكلّمَ في صِحّةِ ما أورَدتَه و وجوبِه قد صَحَّ كلامُنا</w:t>
      </w:r>
      <w:r>
        <w:rPr>
          <w:rStyle w:val="FootnoteAnchor"/>
          <w:rtl w:val="true"/>
        </w:rPr>
        <w:footnoteReference w:id="2198"/>
      </w:r>
      <w:r>
        <w:rPr>
          <w:rFonts w:ascii="Amiri" w:hAnsi="Amiri" w:eastAsia="Amiri" w:cs="Amiri"/>
          <w:color w:val="111111"/>
          <w:sz w:val="28"/>
          <w:sz w:val="28"/>
          <w:szCs w:val="28"/>
          <w:rtl w:val="true"/>
          <w:lang w:bidi="ar-SA"/>
        </w:rPr>
        <w:t>، فلا حاجةَ بنا</w:t>
      </w:r>
      <w:r>
        <w:rPr>
          <w:rStyle w:val="FootnoteAnchor"/>
          <w:rtl w:val="true"/>
        </w:rPr>
        <w:footnoteReference w:id="2199"/>
      </w:r>
      <w:r>
        <w:rPr>
          <w:rFonts w:ascii="Amiri" w:hAnsi="Amiri" w:eastAsia="Amiri" w:cs="Amiri"/>
          <w:color w:val="111111"/>
          <w:sz w:val="28"/>
          <w:sz w:val="28"/>
          <w:szCs w:val="28"/>
          <w:rtl w:val="true"/>
          <w:lang w:bidi="ar-SA"/>
        </w:rPr>
        <w:t xml:space="preserve">إلىٰ مُنازَعَتِكَ في هذه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تَجِبُ لَو ماتَ موسىٰ قَبلَه، أو كانَت لا تَجِبُ؟</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لَو أَلزَمَنا صَلاةً سادسةً في المكتوباتِ أو </w:t>
      </w:r>
    </w:p>
    <w:p>
      <w:pPr>
        <w:pStyle w:val="BookText"/>
        <w:rPr/>
      </w:pPr>
      <w:r>
        <w:rPr>
          <w:rFonts w:ascii="Amiri" w:hAnsi="Amiri" w:eastAsia="Amiri" w:cs="Amiri"/>
          <w:color w:val="111111"/>
          <w:sz w:val="28"/>
          <w:sz w:val="28"/>
          <w:szCs w:val="28"/>
          <w:rtl w:val="true"/>
          <w:lang w:bidi="ar-SA"/>
        </w:rPr>
        <w:t>صَومَ شَوّالٍ لَكانَ ذلكَ شَرعاً له، و لَوَجَبَ ذلكَ‌؛ لِمكانِ المُعجِزِ</w:t>
      </w:r>
      <w:r>
        <w:rPr>
          <w:rStyle w:val="FootnoteAnchor"/>
          <w:rtl w:val="true"/>
        </w:rPr>
        <w:footnoteReference w:id="2200"/>
      </w:r>
      <w:r>
        <w:rPr>
          <w:rFonts w:ascii="Amiri" w:hAnsi="Amiri" w:eastAsia="Amiri" w:cs="Amiri"/>
          <w:color w:val="111111"/>
          <w:sz w:val="28"/>
          <w:sz w:val="28"/>
          <w:szCs w:val="28"/>
          <w:rtl w:val="true"/>
          <w:lang w:bidi="ar-SA"/>
        </w:rPr>
        <w:t>، و لَيسَ بواجِبٍ أن يَكونَ مِن شَرعِه الآنَ‌، و إن كانَ لَو أمَرَ به لَلَزِمَ‌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القولُ فيما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 مُقَدَّرٍ حَصَلَ سببُ‌</w:t>
      </w:r>
      <w:r>
        <w:rPr>
          <w:rStyle w:val="FootnoteAnchor"/>
          <w:rtl w:val="true"/>
        </w:rPr>
        <w:footnoteReference w:id="2201"/>
      </w:r>
      <w:r>
        <w:rPr>
          <w:rFonts w:ascii="Amiri" w:hAnsi="Amiri" w:eastAsia="Amiri" w:cs="Amiri"/>
          <w:color w:val="111111"/>
          <w:sz w:val="28"/>
          <w:sz w:val="28"/>
          <w:szCs w:val="28"/>
          <w:rtl w:val="true"/>
          <w:lang w:bidi="ar-SA"/>
        </w:rPr>
        <w:t>وجوبهِ‌، و كانَ يَجِبُ حصولُه</w:t>
      </w:r>
      <w:r>
        <w:rPr>
          <w:rStyle w:val="FootnoteAnchor"/>
          <w:rtl w:val="true"/>
        </w:rPr>
        <w:footnoteReference w:id="2202"/>
      </w:r>
      <w:r>
        <w:rPr>
          <w:rFonts w:ascii="Amiri" w:hAnsi="Amiri" w:eastAsia="Amiri" w:cs="Amiri"/>
          <w:color w:val="111111"/>
          <w:sz w:val="28"/>
          <w:sz w:val="28"/>
          <w:szCs w:val="28"/>
          <w:rtl w:val="true"/>
          <w:lang w:bidi="ar-SA"/>
        </w:rPr>
        <w:t>لَولا المانعُ‌، يَصِحُّ‌</w:t>
      </w:r>
      <w:r>
        <w:rPr>
          <w:rStyle w:val="FootnoteAnchor"/>
          <w:rtl w:val="true"/>
        </w:rPr>
        <w:footnoteReference w:id="2203"/>
      </w:r>
      <w:r>
        <w:rPr>
          <w:rFonts w:ascii="Amiri" w:hAnsi="Amiri" w:eastAsia="Amiri" w:cs="Amiri"/>
          <w:color w:val="111111"/>
          <w:sz w:val="28"/>
          <w:sz w:val="28"/>
          <w:szCs w:val="28"/>
          <w:rtl w:val="true"/>
          <w:lang w:bidi="ar-SA"/>
        </w:rPr>
        <w:t>أن يُقالَ إنّه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تَعذَّرَ ذلكَ‌، فكَيفَ يُقالُ إنّه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أنّ كَونَه مَنزِلةً‌</w:t>
      </w:r>
      <w:r>
        <w:rPr>
          <w:rStyle w:val="FootnoteAnchor"/>
          <w:rtl w:val="true"/>
        </w:rPr>
        <w:footnoteReference w:id="2204"/>
      </w:r>
      <w:r>
        <w:rPr>
          <w:rFonts w:ascii="Amiri" w:hAnsi="Amiri" w:eastAsia="Amiri" w:cs="Amiri"/>
          <w:color w:val="111111"/>
          <w:sz w:val="28"/>
          <w:sz w:val="28"/>
          <w:szCs w:val="28"/>
          <w:rtl w:val="true"/>
          <w:lang w:bidi="ar-SA"/>
        </w:rPr>
        <w:t>صِفةٌ زائدةٌ علىٰ حُصولهِ؟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الخِلافةَ بَعدَ الموتِ‌، لها من الحُكمِ ما لَيسَ للخِلافةِ في حالِ‌</w:t>
      </w:r>
      <w:r>
        <w:rPr>
          <w:rStyle w:val="FootnoteAnchor"/>
          <w:rtl w:val="true"/>
        </w:rPr>
        <w:footnoteReference w:id="2205"/>
      </w:r>
      <w:r>
        <w:rPr>
          <w:rFonts w:ascii="Amiri" w:hAnsi="Amiri" w:eastAsia="Amiri" w:cs="Amiri"/>
          <w:color w:val="111111"/>
          <w:sz w:val="28"/>
          <w:sz w:val="28"/>
          <w:szCs w:val="28"/>
          <w:rtl w:val="true"/>
          <w:lang w:bidi="ar-SA"/>
        </w:rPr>
        <w:t>الحياةِ‌؛ فهُما</w:t>
      </w:r>
      <w:r>
        <w:rPr>
          <w:rStyle w:val="FootnoteAnchor"/>
          <w:rtl w:val="true"/>
        </w:rPr>
        <w:footnoteReference w:id="2206"/>
      </w:r>
      <w:r>
        <w:rPr>
          <w:rFonts w:ascii="Amiri" w:hAnsi="Amiri" w:eastAsia="Amiri" w:cs="Amiri"/>
          <w:color w:val="111111"/>
          <w:sz w:val="28"/>
          <w:sz w:val="28"/>
          <w:szCs w:val="28"/>
          <w:rtl w:val="true"/>
          <w:lang w:bidi="ar-SA"/>
        </w:rPr>
        <w:t>مَنزِلتانِ مُختَلِفتانِ‌، تَختَصُّ‌</w:t>
      </w:r>
      <w:r>
        <w:rPr>
          <w:rStyle w:val="FootnoteAnchor"/>
          <w:rtl w:val="true"/>
        </w:rPr>
        <w:footnoteReference w:id="2207"/>
      </w:r>
      <w:r>
        <w:rPr>
          <w:rFonts w:ascii="Amiri" w:hAnsi="Amiri" w:eastAsia="Amiri" w:cs="Amiri"/>
          <w:color w:val="111111"/>
          <w:sz w:val="28"/>
          <w:sz w:val="28"/>
          <w:szCs w:val="28"/>
          <w:rtl w:val="true"/>
          <w:lang w:bidi="ar-SA"/>
        </w:rPr>
        <w:t xml:space="preserve">كُلُّ واحدةٍ منهما بحُكمٍ يُخالِفُ حُكمَ صاحبَتِها؛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الحياةِ تَصِحُّ فيها الشِّركةُ و العَزلُ و الاختصاصُ‌، و بَعدَ الوفاةِ‌</w:t>
      </w:r>
      <w:r>
        <w:rPr>
          <w:rFonts w:eastAsia="Amiri" w:cs="Amiri" w:ascii="Amiri" w:hAnsi="Amiri"/>
          <w:color w:val="111111"/>
          <w:sz w:val="28"/>
          <w:szCs w:val="28"/>
          <w:rtl w:val="true"/>
          <w:lang w:bidi="ar-SA"/>
        </w:rPr>
        <w:t>]</w:t>
      </w:r>
      <w:r>
        <w:rPr>
          <w:rStyle w:val="FootnoteAnchor"/>
          <w:rtl w:val="true"/>
        </w:rPr>
        <w:footnoteReference w:id="2208"/>
      </w:r>
      <w:r>
        <w:rPr>
          <w:rFonts w:ascii="Amiri" w:hAnsi="Amiri" w:eastAsia="Amiri" w:cs="Amiri"/>
          <w:color w:val="111111"/>
          <w:sz w:val="28"/>
          <w:sz w:val="28"/>
          <w:szCs w:val="28"/>
          <w:rtl w:val="true"/>
          <w:lang w:bidi="ar-SA"/>
        </w:rPr>
        <w:t>لا يَصِحُّ فيها ذلكَ‌، فلا يَجِبُ ثُبوتُ إحداهُما بثُبوتِ الأُخرىٰ‌، و لا يَصِحُّ‌</w:t>
      </w:r>
      <w:r>
        <w:rPr>
          <w:rStyle w:val="FootnoteAnchor"/>
          <w:rtl w:val="true"/>
        </w:rPr>
        <w:footnoteReference w:id="2209"/>
      </w:r>
      <w:r>
        <w:rPr>
          <w:rFonts w:ascii="Amiri" w:hAnsi="Amiri" w:eastAsia="Amiri" w:cs="Amiri"/>
          <w:color w:val="111111"/>
          <w:sz w:val="28"/>
          <w:sz w:val="28"/>
          <w:szCs w:val="28"/>
          <w:rtl w:val="true"/>
          <w:lang w:bidi="ar-SA"/>
        </w:rPr>
        <w:t>أن يُعَدَّ ذلكَ مَنزِلةً و لَم يَحصُلْ‌؛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يَتَناوَلُه ؟</w:t>
      </w:r>
      <w:r>
        <w:rPr>
          <w:rStyle w:val="FootnoteAnchor"/>
          <w:rtl w:val="true"/>
        </w:rPr>
        <w:footnoteReference w:id="2210"/>
      </w:r>
      <w:bookmarkStart w:id="419" w:name="pg20017_202608"/>
    </w:p>
    <w:p>
      <w:pPr>
        <w:pStyle w:val="Heading6"/>
        <w:numPr>
          <w:ilvl w:val="5"/>
          <w:numId w:val="1"/>
        </w:numPr>
        <w:rPr/>
      </w:pPr>
      <w:bookmarkStart w:id="420" w:name="__RefHeading___Toc964293_2320776876"/>
      <w:bookmarkStart w:id="421" w:name="_Toc150"/>
      <w:bookmarkEnd w:id="419"/>
      <w:bookmarkEnd w:id="420"/>
      <w:r>
        <w:rPr>
          <w:rtl w:val="true"/>
        </w:rPr>
        <w:t>نفيُ أن يكون تقديرُ حصول الشيء مانعاً من وصفه بأنّه منزلة</w:t>
      </w:r>
      <w:bookmarkEnd w:id="421"/>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يُقدَّرُ لا يَصِحُّ وَصفُه بأنّه 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نَراكَ ذَكَرتَ إلّاما يَجري مَجرَى الدعوىٰ‌، و ما أنكَرتَ مِن</w:t>
      </w:r>
      <w:r>
        <w:rPr>
          <w:rStyle w:val="FootnoteAnchor"/>
          <w:rtl w:val="true"/>
        </w:rPr>
        <w:footnoteReference w:id="2211"/>
      </w:r>
      <w:r>
        <w:rPr>
          <w:rFonts w:ascii="Amiri" w:hAnsi="Amiri" w:eastAsia="Amiri" w:cs="Amiri"/>
          <w:color w:val="111111"/>
          <w:sz w:val="28"/>
          <w:sz w:val="28"/>
          <w:szCs w:val="28"/>
          <w:rtl w:val="true"/>
          <w:lang w:bidi="ar-SA"/>
        </w:rPr>
        <w:t xml:space="preserve">أن يوصَفَ المُقدَّرُ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سببُ استحقاقِه و</w:t>
      </w:r>
      <w:r>
        <w:rPr>
          <w:rStyle w:val="FootnoteAnchor"/>
          <w:rtl w:val="true"/>
        </w:rPr>
        <w:footnoteReference w:id="2212"/>
      </w:r>
      <w:r>
        <w:rPr>
          <w:rFonts w:ascii="Amiri" w:hAnsi="Amiri" w:eastAsia="Amiri" w:cs="Amiri"/>
          <w:color w:val="111111"/>
          <w:sz w:val="28"/>
          <w:sz w:val="28"/>
          <w:szCs w:val="28"/>
          <w:rtl w:val="true"/>
          <w:lang w:bidi="ar-SA"/>
        </w:rPr>
        <w:t>وجوبِه حاصِلاً؟</w:t>
      </w:r>
    </w:p>
    <w:p>
      <w:pPr>
        <w:pStyle w:val="BookText"/>
        <w:rPr/>
      </w:pPr>
      <w:r>
        <w:rPr>
          <w:rFonts w:ascii="Amiri" w:hAnsi="Amiri" w:eastAsia="Amiri" w:cs="Amiri"/>
          <w:color w:val="111111"/>
          <w:sz w:val="28"/>
          <w:sz w:val="28"/>
          <w:szCs w:val="28"/>
          <w:rtl w:val="true"/>
          <w:lang w:bidi="ar-SA"/>
        </w:rPr>
        <w:t>و لَيسَ يَخرُجُ بكَونِه</w:t>
      </w:r>
      <w:r>
        <w:rPr>
          <w:rStyle w:val="FootnoteAnchor"/>
          <w:rtl w:val="true"/>
        </w:rPr>
        <w:footnoteReference w:id="2213"/>
      </w:r>
      <w:r>
        <w:rPr>
          <w:rFonts w:ascii="Amiri" w:hAnsi="Amiri" w:eastAsia="Amiri" w:cs="Amiri"/>
          <w:color w:val="111111"/>
          <w:sz w:val="28"/>
          <w:sz w:val="28"/>
          <w:szCs w:val="28"/>
          <w:rtl w:val="true"/>
          <w:lang w:bidi="ar-SA"/>
        </w:rPr>
        <w:t xml:space="preserve">مُقدَّراً مِن أن يَكونَ معروفاً يَصِحُّ أن يُشارَ إليه و يُشبَّهَ به غَيرُه؛ لأنّه إذا صَحَّ‌،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 حصولُه و وجوبُه عندَ وجودِ شَرطِه، فالإشارةُ إليه صَحيحةٌ‌، و التعريفُ فيه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رَضينا بما ذَكَرتَه في الدَّينِ‌؛ لأنّه لَو كانَ لأحَدِنا علىٰ غيرِه دَينٌ مَشروطٌ يَجِبُ في وقتٍ مُنتَظَرٍ، يَصِحُّ قَبلَ ثُبوتِه و حُصولِه أن تَقَعَ‌</w:t>
      </w:r>
      <w:r>
        <w:rPr>
          <w:rStyle w:val="FootnoteAnchor"/>
          <w:rtl w:val="true"/>
        </w:rPr>
        <w:footnoteReference w:id="2214"/>
      </w:r>
      <w:r>
        <w:rPr>
          <w:rFonts w:ascii="Amiri" w:hAnsi="Amiri" w:eastAsia="Amiri" w:cs="Amiri"/>
          <w:color w:val="111111"/>
          <w:sz w:val="28"/>
          <w:sz w:val="28"/>
          <w:szCs w:val="28"/>
          <w:rtl w:val="true"/>
          <w:lang w:bidi="ar-SA"/>
        </w:rPr>
        <w:t>الإشارةُ إليه و يُحمَلَ غيرُه عليه، و لا يَمنَعُ‌</w:t>
      </w:r>
      <w:r>
        <w:rPr>
          <w:rStyle w:val="FootnoteAnchor"/>
          <w:rtl w:val="true"/>
        </w:rPr>
        <w:footnoteReference w:id="2215"/>
      </w:r>
      <w:r>
        <w:rPr>
          <w:rFonts w:ascii="Amiri" w:hAnsi="Amiri" w:eastAsia="Amiri" w:cs="Amiri"/>
          <w:color w:val="111111"/>
          <w:sz w:val="28"/>
          <w:sz w:val="28"/>
          <w:szCs w:val="28"/>
          <w:rtl w:val="true"/>
          <w:lang w:bidi="ar-SA"/>
        </w:rPr>
        <w:t>مِن جميعِ ذلكَ فيه كَونُه مُنتَظَراً مُتَوقَّعاً، و يوصَفُ أيضاً بأنّه دَينٌ و حَقٌّ و إن لَم يَكُن في الحالِ ثابتاً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يَكشِفُ عن بُطلانِ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المُقدَّرَ و إن كانَ ممّا يُعلَمُ حُصولُه لا يوصَفُ بأنّه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أحَدَنا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مِنّي بمَنزِلةِ زَيدٍ مِن عَمرٍو في جميعِ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 أنّ زَيداً</w:t>
      </w:r>
      <w:r>
        <w:rPr>
          <w:rStyle w:val="FootnoteAnchor"/>
          <w:rtl w:val="true"/>
        </w:rPr>
        <w:footnoteReference w:id="2216"/>
      </w:r>
      <w:r>
        <w:rPr>
          <w:rFonts w:ascii="Amiri" w:hAnsi="Amiri" w:eastAsia="Amiri" w:cs="Amiri"/>
          <w:color w:val="111111"/>
          <w:sz w:val="28"/>
          <w:sz w:val="28"/>
          <w:szCs w:val="28"/>
          <w:rtl w:val="true"/>
          <w:lang w:bidi="ar-SA"/>
        </w:rPr>
        <w:t xml:space="preserve">قد بَلَغَ مِن الاختصاصِ بعَمرٍو و القُربِ </w:t>
      </w:r>
      <w:r>
        <w:rPr>
          <w:rStyle w:val="FootnoteAnchor"/>
          <w:rtl w:val="true"/>
        </w:rPr>
        <w:footnoteReference w:id="2217"/>
      </w:r>
      <w:r>
        <w:rPr>
          <w:rFonts w:ascii="Amiri" w:hAnsi="Amiri" w:eastAsia="Amiri" w:cs="Amiri"/>
          <w:color w:val="111111"/>
          <w:sz w:val="28"/>
          <w:sz w:val="28"/>
          <w:szCs w:val="28"/>
          <w:rtl w:val="true"/>
          <w:lang w:bidi="ar-SA"/>
        </w:rPr>
        <w:t xml:space="preserve">منه و الزُّلفىٰ </w:t>
      </w:r>
      <w:r>
        <w:rPr>
          <w:rStyle w:val="FootnoteAnchor"/>
          <w:rtl w:val="true"/>
        </w:rPr>
        <w:footnoteReference w:id="2218"/>
      </w:r>
    </w:p>
    <w:p>
      <w:pPr>
        <w:pStyle w:val="BookText"/>
        <w:rPr/>
      </w:pPr>
      <w:r>
        <w:rPr>
          <w:rFonts w:ascii="Amiri" w:hAnsi="Amiri" w:eastAsia="Amiri" w:cs="Amiri"/>
          <w:color w:val="111111"/>
          <w:sz w:val="28"/>
          <w:sz w:val="28"/>
          <w:szCs w:val="28"/>
          <w:rtl w:val="true"/>
          <w:lang w:bidi="ar-SA"/>
        </w:rPr>
        <w:t>عندَه إلىٰ حَدٍّ لا يَسألُه معه شَيئاً مِن أموالِه إلّاأجابَه إليه و بَذَلَه له</w:t>
      </w:r>
      <w:r>
        <w:rPr>
          <w:rStyle w:val="FootnoteAnchor"/>
          <w:rtl w:val="true"/>
        </w:rPr>
        <w:footnoteReference w:id="2219"/>
      </w:r>
      <w:r>
        <w:rPr>
          <w:rFonts w:ascii="Amiri" w:hAnsi="Amiri" w:eastAsia="Amiri" w:cs="Amiri"/>
          <w:color w:val="111111"/>
          <w:sz w:val="28"/>
          <w:sz w:val="28"/>
          <w:szCs w:val="28"/>
          <w:rtl w:val="true"/>
          <w:lang w:bidi="ar-SA"/>
        </w:rPr>
        <w:t>، ثُمّ إنّ المُشبَّهَ حالُه بحالِه سألَ صاحِبَه دِرهَماً من مالِه أو ثَوباً مِن ثِيابِه</w:t>
      </w:r>
      <w:r>
        <w:rPr>
          <w:rStyle w:val="FootnoteAnchor"/>
          <w:rtl w:val="true"/>
        </w:rPr>
        <w:footnoteReference w:id="2220"/>
      </w:r>
      <w:r>
        <w:rPr>
          <w:rFonts w:ascii="Amiri" w:hAnsi="Amiri" w:eastAsia="Amiri" w:cs="Amiri"/>
          <w:color w:val="111111"/>
          <w:sz w:val="28"/>
          <w:sz w:val="28"/>
          <w:szCs w:val="28"/>
          <w:rtl w:val="true"/>
          <w:lang w:bidi="ar-SA"/>
        </w:rPr>
        <w:t xml:space="preserve">، لَوَجَبَ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w:t>
      </w:r>
    </w:p>
    <w:p>
      <w:pPr>
        <w:pStyle w:val="BookText"/>
        <w:rPr/>
      </w:pPr>
      <w:r>
        <w:rPr>
          <w:rFonts w:ascii="Amiri" w:hAnsi="Amiri" w:eastAsia="Amiri" w:cs="Amiri"/>
          <w:color w:val="111111"/>
          <w:sz w:val="28"/>
          <w:sz w:val="28"/>
          <w:szCs w:val="28"/>
          <w:rtl w:val="true"/>
          <w:lang w:bidi="ar-SA"/>
        </w:rPr>
        <w:t>حَكَمَ بأنّ مَنزِلتَه منه مَنزِلةُ‌</w:t>
      </w:r>
      <w:r>
        <w:rPr>
          <w:rStyle w:val="FootnoteAnchor"/>
          <w:rtl w:val="true"/>
        </w:rPr>
        <w:footnoteReference w:id="2221"/>
      </w:r>
      <w:r>
        <w:rPr>
          <w:rFonts w:ascii="Amiri" w:hAnsi="Amiri" w:eastAsia="Amiri" w:cs="Amiri"/>
          <w:color w:val="111111"/>
          <w:sz w:val="28"/>
          <w:sz w:val="28"/>
          <w:szCs w:val="28"/>
          <w:rtl w:val="true"/>
          <w:lang w:bidi="ar-SA"/>
        </w:rPr>
        <w:t xml:space="preserve">مَن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يَبذُلَه له، و إن لَم يَكُن وَقَعَ مِمّن شُبِّهَت</w:t>
      </w:r>
      <w:r>
        <w:rPr>
          <w:rStyle w:val="FootnoteAnchor"/>
          <w:rtl w:val="true"/>
        </w:rPr>
        <w:footnoteReference w:id="2222"/>
      </w:r>
      <w:r>
        <w:rPr>
          <w:rFonts w:ascii="Amiri" w:hAnsi="Amiri" w:eastAsia="Amiri" w:cs="Amiri"/>
          <w:color w:val="111111"/>
          <w:sz w:val="28"/>
          <w:sz w:val="28"/>
          <w:szCs w:val="28"/>
          <w:rtl w:val="true"/>
          <w:lang w:bidi="ar-SA"/>
        </w:rPr>
        <w:t>حالُه به مِثلُ تلكَ‌</w:t>
      </w:r>
      <w:r>
        <w:rPr>
          <w:rStyle w:val="FootnoteAnchor"/>
          <w:rtl w:val="true"/>
        </w:rPr>
        <w:footnoteReference w:id="2223"/>
      </w:r>
      <w:r>
        <w:rPr>
          <w:rFonts w:ascii="Amiri" w:hAnsi="Amiri" w:eastAsia="Amiri" w:cs="Amiri"/>
          <w:color w:val="111111"/>
          <w:sz w:val="28"/>
          <w:sz w:val="28"/>
          <w:szCs w:val="28"/>
          <w:rtl w:val="true"/>
          <w:lang w:bidi="ar-SA"/>
        </w:rPr>
        <w:t>المسألةِ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للقائلِ الذي حَكَينا قولَه أن يَمنَعَه مِن الدِّرهَم و الثوبِ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جَعَلتُ لكَ مَنازِلَ فُلانٍ مِن فُلانٍ ، و لَيسَ في مَنازِلهِ أنّه</w:t>
      </w:r>
      <w:r>
        <w:rPr>
          <w:rStyle w:val="FootnoteAnchor"/>
          <w:rtl w:val="true"/>
        </w:rPr>
        <w:footnoteReference w:id="2224"/>
      </w:r>
      <w:r>
        <w:rPr>
          <w:rFonts w:ascii="Amiri" w:hAnsi="Amiri" w:eastAsia="Amiri" w:cs="Amiri"/>
          <w:color w:val="111111"/>
          <w:sz w:val="28"/>
          <w:sz w:val="28"/>
          <w:szCs w:val="28"/>
          <w:rtl w:val="true"/>
          <w:lang w:bidi="ar-SA"/>
        </w:rPr>
        <w:t>سَألَه دِرهَماً أو ثَوباً فأعطاه في كُلِّ 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يوجِبُ عليه جميعُ مَن سَمِعَ كلامَه العَطِيّةَ ؛ مِن حَيثُ كانَ المعلومُ مِن حالِ مَن جُعِلَ له مِثلُ مَنزِلتِه أنّه لَو سَألَه</w:t>
      </w:r>
      <w:r>
        <w:rPr>
          <w:rStyle w:val="FootnoteAnchor"/>
          <w:rtl w:val="true"/>
        </w:rPr>
        <w:footnoteReference w:id="2225"/>
      </w:r>
      <w:r>
        <w:rPr>
          <w:rFonts w:ascii="Amiri" w:hAnsi="Amiri" w:eastAsia="Amiri" w:cs="Amiri"/>
          <w:color w:val="111111"/>
          <w:sz w:val="28"/>
          <w:sz w:val="28"/>
          <w:szCs w:val="28"/>
          <w:rtl w:val="true"/>
          <w:lang w:bidi="ar-SA"/>
        </w:rPr>
        <w:t xml:space="preserve">في ذلكَ كَما سَألَ هذا أُجيبَ </w:t>
      </w:r>
      <w:r>
        <w:rPr>
          <w:rStyle w:val="FootnoteAnchor"/>
          <w:rtl w:val="true"/>
        </w:rPr>
        <w:footnoteReference w:id="2226"/>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يَلزَمُ علىٰ هذا أن تَكونَ </w:t>
      </w:r>
      <w:r>
        <w:rPr>
          <w:rStyle w:val="FootnoteAnchor"/>
          <w:rtl w:val="true"/>
        </w:rPr>
        <w:footnoteReference w:id="2227"/>
      </w:r>
      <w:r>
        <w:rPr>
          <w:rFonts w:ascii="Amiri" w:hAnsi="Amiri" w:eastAsia="Amiri" w:cs="Amiri"/>
          <w:color w:val="111111"/>
          <w:sz w:val="28"/>
          <w:sz w:val="28"/>
          <w:szCs w:val="28"/>
          <w:rtl w:val="true"/>
          <w:lang w:bidi="ar-SA"/>
        </w:rPr>
        <w:t xml:space="preserve">الصلاةُ السادسةُ و ما أشبَهَها 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لَو أَوجَبَها الرسولُ صَلَّى اللّٰهُ عليه و آلِه</w:t>
      </w:r>
      <w:r>
        <w:rPr>
          <w:rStyle w:val="FootnoteAnchor"/>
          <w:rtl w:val="true"/>
        </w:rPr>
        <w:footnoteReference w:id="2228"/>
      </w:r>
      <w:r>
        <w:rPr>
          <w:rFonts w:ascii="Amiri" w:hAnsi="Amiri" w:eastAsia="Amiri" w:cs="Amiri"/>
          <w:color w:val="111111"/>
          <w:sz w:val="28"/>
          <w:sz w:val="28"/>
          <w:szCs w:val="28"/>
          <w:rtl w:val="true"/>
          <w:lang w:bidi="ar-SA"/>
        </w:rPr>
        <w:t>علينا لَوَجَبَت</w:t>
      </w:r>
      <w:r>
        <w:rPr>
          <w:rStyle w:val="FootnoteAnchor"/>
          <w:rtl w:val="true"/>
        </w:rPr>
        <w:footnoteReference w:id="2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w:t>
      </w:r>
      <w:r>
        <w:rPr>
          <w:rStyle w:val="FootnoteAnchor"/>
          <w:rtl w:val="true"/>
        </w:rPr>
        <w:footnoteReference w:id="2230"/>
      </w:r>
      <w:r>
        <w:rPr>
          <w:rFonts w:ascii="Amiri" w:hAnsi="Amiri" w:eastAsia="Amiri" w:cs="Amiri"/>
          <w:color w:val="111111"/>
          <w:sz w:val="28"/>
          <w:sz w:val="28"/>
          <w:szCs w:val="28"/>
          <w:rtl w:val="true"/>
          <w:lang w:bidi="ar-SA"/>
        </w:rPr>
        <w:t>يَجري عليها الوصفُ الآنَ بأنّها مِن شَرعِه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لأنّها</w:t>
      </w:r>
      <w:r>
        <w:rPr>
          <w:rStyle w:val="FootnoteAnchor"/>
          <w:rtl w:val="true"/>
        </w:rPr>
        <w:footnoteReference w:id="2231"/>
      </w:r>
      <w:r>
        <w:rPr>
          <w:rFonts w:ascii="Amiri" w:hAnsi="Amiri" w:eastAsia="Amiri" w:cs="Amiri"/>
          <w:color w:val="111111"/>
          <w:sz w:val="28"/>
          <w:sz w:val="28"/>
          <w:szCs w:val="28"/>
          <w:rtl w:val="true"/>
          <w:lang w:bidi="ar-SA"/>
        </w:rPr>
        <w:t>لَم يَحصُلْ لها سببُ وجوبٍ و</w:t>
      </w:r>
      <w:r>
        <w:rPr>
          <w:rStyle w:val="FootnoteAnchor"/>
          <w:rtl w:val="true"/>
        </w:rPr>
        <w:footnoteReference w:id="2232"/>
      </w:r>
      <w:r>
        <w:rPr>
          <w:rFonts w:ascii="Amiri" w:hAnsi="Amiri" w:eastAsia="Amiri" w:cs="Amiri"/>
          <w:color w:val="111111"/>
          <w:sz w:val="28"/>
          <w:sz w:val="28"/>
          <w:szCs w:val="28"/>
          <w:rtl w:val="true"/>
          <w:lang w:bidi="ar-SA"/>
        </w:rPr>
        <w:t>استحقاقٍ‌، بَل سببُ وجوبِها مُقدَّرٌ كَما</w:t>
      </w:r>
      <w:r>
        <w:rPr>
          <w:rStyle w:val="FootnoteAnchor"/>
          <w:rtl w:val="true"/>
        </w:rPr>
        <w:footnoteReference w:id="2233"/>
      </w:r>
      <w:r>
        <w:rPr>
          <w:rFonts w:ascii="Amiri" w:hAnsi="Amiri" w:eastAsia="Amiri" w:cs="Amiri"/>
          <w:color w:val="111111"/>
          <w:sz w:val="28"/>
          <w:sz w:val="28"/>
          <w:szCs w:val="28"/>
          <w:rtl w:val="true"/>
          <w:lang w:bidi="ar-SA"/>
        </w:rPr>
        <w:t>أنّها مُقدَّرةٌ‌، و لَيسَ كذلكَ ما أوجَبناه؛ لأنّا لا نَصِفُ بالمَنزِلةِ إلّا ما حَصَلَ استحقاقُه و سببُ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بَعدَ سَنةٍ صَلاةً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عمّا نَعرِفُ‌</w:t>
      </w:r>
      <w:r>
        <w:rPr>
          <w:rStyle w:val="FootnoteAnchor"/>
          <w:rtl w:val="true"/>
        </w:rPr>
        <w:footnoteReference w:id="2234"/>
      </w:r>
      <w:r>
        <w:rPr>
          <w:rFonts w:ascii="Amiri" w:hAnsi="Amiri" w:eastAsia="Amiri" w:cs="Amiri"/>
          <w:color w:val="111111"/>
          <w:sz w:val="28"/>
          <w:sz w:val="28"/>
          <w:szCs w:val="28"/>
          <w:rtl w:val="true"/>
          <w:lang w:bidi="ar-SA"/>
        </w:rPr>
        <w:t>مِن الصلَواتِ‌، لَجازَ أن يُقالَ‌، بَل وَجَبَ أن تَكونَ‌</w:t>
      </w:r>
      <w:r>
        <w:rPr>
          <w:rStyle w:val="FootnoteAnchor"/>
          <w:rtl w:val="true"/>
        </w:rPr>
        <w:footnoteReference w:id="2235"/>
      </w:r>
      <w:r>
        <w:rPr>
          <w:rFonts w:ascii="Amiri" w:hAnsi="Amiri" w:eastAsia="Amiri" w:cs="Amiri"/>
          <w:color w:val="111111"/>
          <w:sz w:val="28"/>
          <w:sz w:val="28"/>
          <w:szCs w:val="28"/>
          <w:rtl w:val="true"/>
          <w:lang w:bidi="ar-SA"/>
        </w:rPr>
        <w:t>تلكَ الصلاةُ مِن شَرعِه قَبلَ حضورِ</w:t>
      </w:r>
      <w:r>
        <w:rPr>
          <w:rStyle w:val="FootnoteAnchor"/>
          <w:rtl w:val="true"/>
        </w:rPr>
        <w:footnoteReference w:id="2236"/>
      </w:r>
      <w:r>
        <w:rPr>
          <w:rFonts w:ascii="Amiri" w:hAnsi="Amiri" w:eastAsia="Amiri" w:cs="Amiri"/>
          <w:color w:val="111111"/>
          <w:sz w:val="28"/>
          <w:sz w:val="28"/>
          <w:szCs w:val="28"/>
          <w:rtl w:val="true"/>
          <w:lang w:bidi="ar-SA"/>
        </w:rPr>
        <w:t>الوقتِ‌؛ مِن حَيثُ ثَبَتَ سببُ وجوبِها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بمِثلِ </w:t>
      </w:r>
      <w:r>
        <w:rPr>
          <w:rStyle w:val="FootnoteAnchor"/>
          <w:rtl w:val="true"/>
        </w:rPr>
        <w:footnoteReference w:id="2237"/>
      </w:r>
      <w:r>
        <w:rPr>
          <w:rFonts w:ascii="Amiri" w:hAnsi="Amiri" w:eastAsia="Amiri" w:cs="Amiri"/>
          <w:color w:val="111111"/>
          <w:sz w:val="28"/>
          <w:sz w:val="28"/>
          <w:szCs w:val="28"/>
          <w:rtl w:val="true"/>
          <w:lang w:bidi="ar-SA"/>
        </w:rPr>
        <w:t xml:space="preserve">ما ذَكرناه يَسقُطُ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كلامِكم</w:t>
      </w:r>
      <w:r>
        <w:rPr>
          <w:rStyle w:val="FootnoteAnchor"/>
          <w:rtl w:val="true"/>
        </w:rPr>
        <w:footnoteReference w:id="2238"/>
      </w:r>
      <w:r>
        <w:rPr>
          <w:rFonts w:ascii="Amiri" w:hAnsi="Amiri" w:eastAsia="Amiri" w:cs="Amiri"/>
          <w:color w:val="111111"/>
          <w:sz w:val="28"/>
          <w:sz w:val="28"/>
          <w:szCs w:val="28"/>
          <w:rtl w:val="true"/>
          <w:lang w:bidi="ar-SA"/>
        </w:rPr>
        <w:t>أن يَكونَ كُلُّ أحَدٍ مِنّا</w:t>
      </w:r>
      <w:r>
        <w:rPr>
          <w:rStyle w:val="FootnoteAnchor"/>
          <w:rtl w:val="true"/>
        </w:rPr>
        <w:footnoteReference w:id="2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سائرِ الأحوالِ التي يَجوزُ</w:t>
      </w:r>
      <w:r>
        <w:rPr>
          <w:rStyle w:val="FootnoteAnchor"/>
          <w:rtl w:val="true"/>
        </w:rPr>
        <w:footnoteReference w:id="2240"/>
      </w:r>
      <w:r>
        <w:rPr>
          <w:rFonts w:ascii="Amiri" w:hAnsi="Amiri" w:eastAsia="Amiri" w:cs="Amiri"/>
          <w:color w:val="111111"/>
          <w:sz w:val="28"/>
          <w:sz w:val="28"/>
          <w:szCs w:val="28"/>
          <w:rtl w:val="true"/>
          <w:lang w:bidi="ar-SA"/>
        </w:rPr>
        <w:t xml:space="preserve">علىٰ طريقِ التقديرِ أن يَحصُلَ عليها؛ مِثلُ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نَسيباً</w:t>
      </w:r>
      <w:r>
        <w:rPr>
          <w:rFonts w:eastAsia="Amiri" w:cs="Amiri" w:ascii="Amiri" w:hAnsi="Amiri"/>
          <w:color w:val="111111"/>
          <w:sz w:val="28"/>
          <w:szCs w:val="28"/>
          <w:rtl w:val="true"/>
          <w:lang w:bidi="ar-SA"/>
        </w:rPr>
        <w:t>»</w:t>
      </w:r>
      <w:r>
        <w:rPr>
          <w:rStyle w:val="FootnoteAnchor"/>
          <w:rtl w:val="true"/>
        </w:rPr>
        <w:footnoteReference w:id="2241"/>
      </w:r>
      <w:r>
        <w:rPr>
          <w:rFonts w:ascii="Amiri" w:hAnsi="Amiri" w:eastAsia="Amiri" w:cs="Amiri"/>
          <w:color w:val="111111"/>
          <w:sz w:val="28"/>
          <w:sz w:val="28"/>
          <w:szCs w:val="28"/>
          <w:rtl w:val="true"/>
          <w:lang w:bidi="ar-SA"/>
        </w:rPr>
        <w:t>إلىٰ غيرِ ذلكَ ؛ لأنّه علىٰ طريقِ التقديرِ يَصِحُّ أن يَكونَ علىٰ جميعِ هذهِ الأحوالِ بوجودِ</w:t>
      </w:r>
      <w:r>
        <w:rPr>
          <w:rStyle w:val="FootnoteAnchor"/>
          <w:rtl w:val="true"/>
        </w:rPr>
        <w:footnoteReference w:id="2242"/>
      </w:r>
      <w:r>
        <w:rPr>
          <w:rFonts w:ascii="Amiri" w:hAnsi="Amiri" w:eastAsia="Amiri" w:cs="Amiri"/>
          <w:color w:val="111111"/>
          <w:sz w:val="28"/>
          <w:sz w:val="28"/>
          <w:szCs w:val="28"/>
          <w:rtl w:val="true"/>
          <w:lang w:bidi="ar-SA"/>
        </w:rPr>
        <w:t>أسبابِها و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يَلزَمْ جَميعُ ما عَدَّدناه</w:t>
      </w:r>
      <w:r>
        <w:rPr>
          <w:rStyle w:val="FootnoteAnchor"/>
          <w:rtl w:val="true"/>
        </w:rPr>
        <w:footnoteReference w:id="2243"/>
      </w:r>
      <w:r>
        <w:rPr>
          <w:rFonts w:ascii="Amiri" w:hAnsi="Amiri" w:eastAsia="Amiri" w:cs="Amiri"/>
          <w:color w:val="111111"/>
          <w:sz w:val="28"/>
          <w:sz w:val="28"/>
          <w:szCs w:val="28"/>
          <w:rtl w:val="true"/>
          <w:lang w:bidi="ar-SA"/>
        </w:rPr>
        <w:t xml:space="preserve">لِما قَدَّمنَا ذِكرَه مِن اعتبارِ ثُبوتِ سببِ </w:t>
      </w:r>
      <w:bookmarkStart w:id="422" w:name="pg20017_202611"/>
    </w:p>
    <w:p>
      <w:pPr>
        <w:pStyle w:val="BookText"/>
        <w:rPr/>
      </w:pPr>
      <w:bookmarkEnd w:id="422"/>
      <w:r>
        <w:rPr>
          <w:rFonts w:ascii="Amiri" w:hAnsi="Amiri" w:eastAsia="Amiri" w:cs="Amiri"/>
          <w:color w:val="111111"/>
          <w:sz w:val="28"/>
          <w:sz w:val="28"/>
          <w:szCs w:val="28"/>
          <w:rtl w:val="true"/>
          <w:lang w:bidi="ar-SA"/>
        </w:rPr>
        <w:t xml:space="preserve">المَنزِلةِ و استحقاقِها، و جميعُ ما ذُكِرَ لَم يَثبُتْ له سببُ استحقاقٍ و لا وجوبٍ‌، فَلا يَصِحُّ </w:t>
      </w:r>
      <w:r>
        <w:rPr>
          <w:rStyle w:val="FootnoteAnchor"/>
          <w:rtl w:val="true"/>
        </w:rPr>
        <w:footnoteReference w:id="2244"/>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مَنزِلةٌ </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964295_2320776876"/>
      <w:bookmarkStart w:id="424" w:name="_Toc151"/>
      <w:bookmarkEnd w:id="423"/>
      <w:r>
        <w:rPr>
          <w:rtl w:val="true"/>
        </w:rPr>
        <w:t xml:space="preserve">عدم توقّف الاستدلال بحديث المنزلة علىٰ وصف المقدَّر بأنّه </w:t>
      </w:r>
      <w:r>
        <w:rPr>
          <w:rtl w:val="true"/>
        </w:rPr>
        <w:t>«</w:t>
      </w:r>
      <w:r>
        <w:rPr>
          <w:rtl w:val="true"/>
        </w:rPr>
        <w:t>منزلة</w:t>
      </w:r>
      <w:r>
        <w:rPr>
          <w:rtl w:val="true"/>
        </w:rPr>
        <w:t>»</w:t>
      </w:r>
      <w:bookmarkEnd w:id="424"/>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نَحتاجُ‌</w:t>
      </w:r>
      <w:r>
        <w:rPr>
          <w:rStyle w:val="FootnoteAnchor"/>
          <w:rtl w:val="true"/>
        </w:rPr>
        <w:footnoteReference w:id="2245"/>
      </w:r>
      <w:r>
        <w:rPr>
          <w:rFonts w:ascii="Amiri" w:hAnsi="Amiri" w:eastAsia="Amiri" w:cs="Amiri"/>
          <w:color w:val="111111"/>
          <w:sz w:val="28"/>
          <w:sz w:val="28"/>
          <w:szCs w:val="28"/>
          <w:rtl w:val="true"/>
          <w:lang w:bidi="ar-SA"/>
        </w:rPr>
        <w:t xml:space="preserve">إلىٰ مُضايَقَتِكَ في وَصفِ المُقدَّرِ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كلامُنا يَتِمُّ و يَنتَظِمُ مِن دونهِ‌؛ لأنّ ما عليه هارونُ مِن استحقاقِ‌</w:t>
      </w:r>
      <w:r>
        <w:rPr>
          <w:rStyle w:val="FootnoteAnchor"/>
          <w:rtl w:val="true"/>
        </w:rPr>
        <w:footnoteReference w:id="2246"/>
      </w:r>
      <w:r>
        <w:rPr>
          <w:rFonts w:ascii="Amiri" w:hAnsi="Amiri" w:eastAsia="Amiri" w:cs="Amiri"/>
          <w:color w:val="111111"/>
          <w:sz w:val="28"/>
          <w:sz w:val="28"/>
          <w:szCs w:val="28"/>
          <w:rtl w:val="true"/>
          <w:lang w:bidi="ar-SA"/>
        </w:rPr>
        <w:t xml:space="preserve">مَنزِلةِ الخِلافةِ بَعدَ وفاةِ موسىٰ عليه السلامُ إذا كانَ ثابتاً في أحوالِ حياتِه، صَحَّ أن يوصَفَ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يَصِحَّ وَصفُ‌</w:t>
      </w:r>
      <w:r>
        <w:rPr>
          <w:rStyle w:val="FootnoteAnchor"/>
          <w:rtl w:val="true"/>
        </w:rPr>
        <w:footnoteReference w:id="2247"/>
      </w:r>
      <w:r>
        <w:rPr>
          <w:rFonts w:ascii="Amiri" w:hAnsi="Amiri" w:eastAsia="Amiri" w:cs="Amiri"/>
          <w:color w:val="111111"/>
          <w:sz w:val="28"/>
          <w:sz w:val="28"/>
          <w:szCs w:val="28"/>
          <w:rtl w:val="true"/>
          <w:lang w:bidi="ar-SA"/>
        </w:rPr>
        <w:t xml:space="preserve">الخِلافةِ بَعدَ الوفاةِ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الحياةِ‌؛ لأنّ التصرُّفَ في الأمرِ المُتعلِّقِ بحالٍ مخصوصةٍ غيرُ</w:t>
      </w:r>
      <w:r>
        <w:rPr>
          <w:rStyle w:val="FootnoteAnchor"/>
          <w:rtl w:val="true"/>
        </w:rPr>
        <w:footnoteReference w:id="2248"/>
      </w:r>
      <w:r>
        <w:rPr>
          <w:rFonts w:ascii="Amiri" w:hAnsi="Amiri" w:eastAsia="Amiri" w:cs="Amiri"/>
          <w:color w:val="111111"/>
          <w:sz w:val="28"/>
          <w:sz w:val="28"/>
          <w:szCs w:val="28"/>
          <w:rtl w:val="true"/>
          <w:lang w:bidi="ar-SA"/>
        </w:rPr>
        <w:t>استحقاقِه، و أحَدُ الأمرَينِ‌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مُنفَصِلٌ عن</w:t>
      </w:r>
      <w:r>
        <w:rPr>
          <w:rStyle w:val="FootnoteAnchor"/>
          <w:rtl w:val="true"/>
        </w:rPr>
        <w:footnoteReference w:id="2249"/>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أنّ استحقاقَه للخِلافةِ بَعدَ الوفاةِ‌</w:t>
      </w:r>
      <w:r>
        <w:rPr>
          <w:rStyle w:val="FootnoteAnchor"/>
          <w:rtl w:val="true"/>
        </w:rPr>
        <w:footnoteReference w:id="2250"/>
      </w:r>
      <w:r>
        <w:rPr>
          <w:rFonts w:ascii="Amiri" w:hAnsi="Amiri" w:eastAsia="Amiri" w:cs="Amiri"/>
          <w:color w:val="111111"/>
          <w:sz w:val="28"/>
          <w:sz w:val="28"/>
          <w:szCs w:val="28"/>
          <w:rtl w:val="true"/>
          <w:lang w:bidi="ar-SA"/>
        </w:rPr>
        <w:t xml:space="preserve">يَجري عليه الوصفُ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وَجَبَ </w:t>
      </w:r>
      <w:r>
        <w:rPr>
          <w:rStyle w:val="FootnoteAnchor"/>
          <w:rtl w:val="true"/>
        </w:rPr>
        <w:footnoteReference w:id="2251"/>
      </w:r>
      <w:r>
        <w:rPr>
          <w:rFonts w:ascii="Amiri" w:hAnsi="Amiri" w:eastAsia="Amiri" w:cs="Amiri"/>
          <w:color w:val="111111"/>
          <w:sz w:val="28"/>
          <w:sz w:val="28"/>
          <w:szCs w:val="28"/>
          <w:rtl w:val="true"/>
          <w:lang w:bidi="ar-SA"/>
        </w:rPr>
        <w:t>حصولُه لأميرِ المؤمنينَ عليه السلامُ كَما حصَلَ لهارونَ عليه السلامُ ، ثَبَتَت</w:t>
      </w:r>
      <w:r>
        <w:rPr>
          <w:rStyle w:val="FootnoteAnchor"/>
          <w:rtl w:val="true"/>
        </w:rPr>
        <w:footnoteReference w:id="2252"/>
      </w:r>
      <w:r>
        <w:rPr>
          <w:rFonts w:ascii="Amiri" w:hAnsi="Amiri" w:eastAsia="Amiri" w:cs="Amiri"/>
          <w:color w:val="111111"/>
          <w:sz w:val="28"/>
          <w:sz w:val="28"/>
          <w:szCs w:val="28"/>
          <w:rtl w:val="true"/>
          <w:lang w:bidi="ar-SA"/>
        </w:rPr>
        <w:t>له الإمامةُ بَعدَ النبيِّ صَلَّى اللّٰهُ عليه و آلِه؛ لِتَمامِ شَرطِها</w:t>
      </w:r>
      <w:r>
        <w:rPr>
          <w:rStyle w:val="FootnoteAnchor"/>
          <w:rtl w:val="true"/>
        </w:rPr>
        <w:footnoteReference w:id="2253"/>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لا تَرىٰ أنّ مَن أَوصىٰ إلىٰ غيرِه، و جَعَلَ إليه التصرُّفَ في أموالِه بَعدَ وفاتِه، يَجِبُ له ذلكَ بشَرطِ الوفاةِ‌؛ و كذلكَ مَن استَخلَفَ غيرَه بشَرطِ غَيبتِه عن بَلَدِه لِيَكونَ نائباً عنه بَعدَ الغَيبةِ‌، تَجِبُ‌</w:t>
      </w:r>
      <w:r>
        <w:rPr>
          <w:rStyle w:val="FootnoteAnchor"/>
          <w:rtl w:val="true"/>
        </w:rPr>
        <w:footnoteReference w:id="2254"/>
      </w:r>
      <w:r>
        <w:rPr>
          <w:rFonts w:ascii="Amiri" w:hAnsi="Amiri" w:eastAsia="Amiri" w:cs="Amiri"/>
          <w:color w:val="111111"/>
          <w:sz w:val="28"/>
          <w:sz w:val="28"/>
          <w:szCs w:val="28"/>
          <w:rtl w:val="true"/>
          <w:lang w:bidi="ar-SA"/>
        </w:rPr>
        <w:t>له هذه المَنزِلةُ عندَ حُصولِ شَرطِها؟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فحالُ التصرُّفِ و القيامِ بالأمرِ المُفوَّضِ إليه</w:t>
      </w:r>
      <w:r>
        <w:rPr>
          <w:rStyle w:val="FootnoteAnchor"/>
          <w:rtl w:val="true"/>
        </w:rPr>
        <w:footnoteReference w:id="2255"/>
      </w:r>
      <w:r>
        <w:rPr>
          <w:rFonts w:ascii="Amiri" w:hAnsi="Amiri" w:eastAsia="Amiri" w:cs="Amiri"/>
          <w:color w:val="111111"/>
          <w:sz w:val="28"/>
          <w:sz w:val="28"/>
          <w:szCs w:val="28"/>
          <w:rtl w:val="true"/>
          <w:lang w:bidi="ar-SA"/>
        </w:rPr>
        <w:t>غيرُ حالِ استحقاقِه</w:t>
      </w:r>
      <w:r>
        <w:rPr>
          <w:rStyle w:val="FootnoteAnchor"/>
          <w:rtl w:val="true"/>
        </w:rPr>
        <w:footnoteReference w:id="2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غيرَ الموصي أو</w:t>
      </w:r>
      <w:r>
        <w:rPr>
          <w:rStyle w:val="FootnoteAnchor"/>
          <w:rtl w:val="true"/>
        </w:rPr>
        <w:footnoteReference w:id="2257"/>
      </w:r>
      <w:r>
        <w:rPr>
          <w:rFonts w:ascii="Amiri" w:hAnsi="Amiri" w:eastAsia="Amiri" w:cs="Amiri"/>
          <w:color w:val="111111"/>
          <w:sz w:val="28"/>
          <w:sz w:val="28"/>
          <w:szCs w:val="28"/>
          <w:rtl w:val="true"/>
          <w:lang w:bidi="ar-SA"/>
        </w:rPr>
        <w:t>المُستَخلِفِ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مِنّي بمَنزِلةِ فُلانٍ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المُوصي و الموصىٰ إليه</w:t>
      </w:r>
      <w:r>
        <w:rPr>
          <w:rStyle w:val="FootnoteAnchor"/>
          <w:rtl w:val="true"/>
        </w:rPr>
        <w:footnoteReference w:id="2258"/>
      </w:r>
      <w:r>
        <w:rPr>
          <w:rFonts w:ascii="Amiri" w:hAnsi="Amiri" w:eastAsia="Amiri" w:cs="Amiri"/>
          <w:color w:val="111111"/>
          <w:sz w:val="28"/>
          <w:sz w:val="28"/>
          <w:szCs w:val="28"/>
          <w:rtl w:val="true"/>
          <w:lang w:bidi="ar-SA"/>
        </w:rPr>
        <w:t>، لَوَجَبَ أن يَثبُتَ له مِن الاستِحقاقِ في الحالِ و التصرُّفِ بَعدَها ما أوجَبناه للأوّلِ‌، و لَم يَكُن لأحَدٍ أن يَتطرَّقَ‌</w:t>
      </w:r>
      <w:r>
        <w:rPr>
          <w:rStyle w:val="FootnoteAnchor"/>
          <w:rtl w:val="true"/>
        </w:rPr>
        <w:footnoteReference w:id="2259"/>
      </w:r>
      <w:r>
        <w:rPr>
          <w:rFonts w:ascii="Amiri" w:hAnsi="Amiri" w:eastAsia="Amiri" w:cs="Amiri"/>
          <w:color w:val="111111"/>
          <w:sz w:val="28"/>
          <w:sz w:val="28"/>
          <w:szCs w:val="28"/>
          <w:rtl w:val="true"/>
          <w:lang w:bidi="ar-SA"/>
        </w:rPr>
        <w:t>إلىٰ مَنعِ هذا المُتصرِّفِ‌</w:t>
      </w:r>
      <w:r>
        <w:rPr>
          <w:rStyle w:val="FootnoteAnchor"/>
          <w:rtl w:val="true"/>
        </w:rPr>
        <w:footnoteReference w:id="2260"/>
      </w:r>
      <w:r>
        <w:rPr>
          <w:rFonts w:ascii="Amiri" w:hAnsi="Amiri" w:eastAsia="Amiri" w:cs="Amiri"/>
          <w:color w:val="111111"/>
          <w:sz w:val="28"/>
          <w:sz w:val="28"/>
          <w:szCs w:val="28"/>
          <w:rtl w:val="true"/>
          <w:lang w:bidi="ar-SA"/>
        </w:rPr>
        <w:t xml:space="preserve">مِن التصرُّفِ إذا بَقيَ إلىٰ حالِ وفاةِ صاحبِه؛ مِن حَيثُ لا يوصَفُ التصرُّفُ </w:t>
      </w:r>
      <w:r>
        <w:rPr>
          <w:rStyle w:val="FootnoteAnchor"/>
          <w:rtl w:val="true"/>
        </w:rPr>
        <w:footnoteReference w:id="2261"/>
      </w:r>
      <w:r>
        <w:rPr>
          <w:rFonts w:ascii="Amiri" w:hAnsi="Amiri" w:eastAsia="Amiri" w:cs="Amiri"/>
          <w:color w:val="111111"/>
          <w:sz w:val="28"/>
          <w:sz w:val="28"/>
          <w:szCs w:val="28"/>
          <w:rtl w:val="true"/>
          <w:lang w:bidi="ar-SA"/>
        </w:rPr>
        <w:t xml:space="preserve">المُستَقبَلُ </w:t>
      </w:r>
      <w:r>
        <w:rPr>
          <w:rStyle w:val="FootnoteAnchor"/>
          <w:rtl w:val="true"/>
        </w:rPr>
        <w:footnoteReference w:id="2262"/>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حضورِ وقتِه</w:t>
      </w:r>
      <w:r>
        <w:rPr>
          <w:rStyle w:val="FootnoteAnchor"/>
          <w:rtl w:val="true"/>
        </w:rPr>
        <w:footnoteReference w:id="2263"/>
      </w:r>
      <w:r>
        <w:rPr>
          <w:rFonts w:ascii="Amiri" w:hAnsi="Amiri" w:eastAsia="Amiri" w:cs="Amiri"/>
          <w:color w:val="111111"/>
          <w:sz w:val="28"/>
          <w:sz w:val="28"/>
          <w:szCs w:val="28"/>
          <w:rtl w:val="true"/>
          <w:lang w:bidi="ar-SA"/>
        </w:rPr>
        <w:t xml:space="preserve">، و لا مِن حَيثُ كانَ مَن شُبِّهَت حالُه به لَم يَبقَ بَعدَ الوفاةِ لَو قَدَّرنا أنّه لَم يَبقَ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قالَ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صَحَّ ما ذَكرتُموه؛ لأنّ التصرُّفَ في مالِ الموصي، و الخِلافةَ لِمَن استُخلِفَ في حالِ الغَيبةِ‌، و إن لَم يَكونا حاصِلَينِ في حالِ الخِطابِ‌، و لَم يوصَفا بأنّهما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w:t>
      </w:r>
      <w:r>
        <w:rPr>
          <w:rStyle w:val="FootnoteAnchor"/>
          <w:rtl w:val="true"/>
        </w:rPr>
        <w:footnoteReference w:id="2264"/>
      </w:r>
      <w:r>
        <w:rPr>
          <w:rFonts w:ascii="Amiri" w:hAnsi="Amiri" w:eastAsia="Amiri" w:cs="Amiri"/>
          <w:color w:val="111111"/>
          <w:sz w:val="28"/>
          <w:sz w:val="28"/>
          <w:szCs w:val="28"/>
          <w:rtl w:val="true"/>
          <w:lang w:bidi="ar-SA"/>
        </w:rPr>
        <w:t xml:space="preserve">يَقتَضيهِما مِن الوَصيّةِ و الاستخلافِ الموجِبَينِ </w:t>
      </w:r>
      <w:r>
        <w:rPr>
          <w:rStyle w:val="FootnoteAnchor"/>
          <w:rtl w:val="true"/>
        </w:rPr>
        <w:footnoteReference w:id="2265"/>
      </w:r>
      <w:r>
        <w:rPr>
          <w:rFonts w:ascii="Amiri" w:hAnsi="Amiri" w:eastAsia="Amiri" w:cs="Amiri"/>
          <w:color w:val="111111"/>
          <w:sz w:val="28"/>
          <w:sz w:val="28"/>
          <w:szCs w:val="28"/>
          <w:rtl w:val="true"/>
          <w:lang w:bidi="ar-SA"/>
        </w:rPr>
        <w:t xml:space="preserve">لاستحقاقِهما يَثبُتُ في الحالِ ، و يوصَفُ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نَقولُ لكَ فيما أوجَبناه مِن مَنازِلِ هارونَ مِن موسىٰ لأميرِ المؤمنينَ عليه السلامُ حَرفاً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أن يُخالِفَ في أنّ استحقاقَ هارونَ لخِلافةِ‌</w:t>
      </w:r>
      <w:r>
        <w:rPr>
          <w:rStyle w:val="FootnoteAnchor"/>
          <w:rtl w:val="true"/>
        </w:rPr>
        <w:footnoteReference w:id="2266"/>
      </w:r>
      <w:r>
        <w:rPr>
          <w:rFonts w:ascii="Amiri" w:hAnsi="Amiri" w:eastAsia="Amiri" w:cs="Amiri"/>
          <w:color w:val="111111"/>
          <w:sz w:val="28"/>
          <w:sz w:val="28"/>
          <w:szCs w:val="28"/>
          <w:rtl w:val="true"/>
          <w:lang w:bidi="ar-SA"/>
        </w:rPr>
        <w:t>موسىٰ بَعدَ الوفاةِ كانَ حاصلاً في الحالِ‌؛ لأنّ كلامَه في هذا الفَصلِ مَبنيٌّ علىٰ‌</w:t>
      </w:r>
    </w:p>
    <w:p>
      <w:pPr>
        <w:pStyle w:val="BookText"/>
        <w:rPr/>
      </w:pPr>
      <w:r>
        <w:rPr>
          <w:rFonts w:ascii="Amiri" w:hAnsi="Amiri" w:eastAsia="Amiri" w:cs="Amiri"/>
          <w:color w:val="111111"/>
          <w:sz w:val="28"/>
          <w:sz w:val="28"/>
          <w:szCs w:val="28"/>
          <w:rtl w:val="true"/>
          <w:lang w:bidi="ar-SA"/>
        </w:rPr>
        <w:t>تسليمِه، و إن كانَ قد خالَفَ في ذلكَ في فَصلٍ استأنَفَه يأتي مع الكلامِ عليه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في مَواضِعَ مِن كلامِه الذي حَكَيناه بتسليمِ هذا المَوضِعِ‌؛ لأنّه بَنَى الفَصلَ علىٰ أنّ الخِلافةَ لَو وَجَبَت بَعدَ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وَصفُها قَبلَ حصولِها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مُخالِفاً في أنّها ممّا يَجِبُ أن يَحصُلَ لَاستَغنىٰ بالمُنازَعةِ عن جميعِ ما تَكلَّفَه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بانَ مِن جُملةِ ما أَورَدناه أنّ الذي اقتَرَحَه مِن أنّ الخبرَ لَم يَتَناوَلِ المُقدَّرَ لَم يُغنِ عنه شيئاً؛ لأنّا مع تسليمِه قد بيّنّا صِحّةَ مَذهبِنا في تأويلِه، و أنّ كلامَه إذا صَحَّ لَم يَكُن له مِن التأثيرِ أكثَرُ مِن مَنعِ الوصفِ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يَضُرُّ مَن ذَهَبَ في هذا الخبرِ إلَى النَّصِّ الامتناعُ </w:t>
      </w:r>
      <w:r>
        <w:rPr>
          <w:rStyle w:val="FootnoteAnchor"/>
          <w:rtl w:val="true"/>
        </w:rPr>
        <w:footnoteReference w:id="2267"/>
      </w:r>
      <w:r>
        <w:rPr>
          <w:rFonts w:ascii="Amiri" w:hAnsi="Amiri" w:eastAsia="Amiri" w:cs="Amiri"/>
          <w:color w:val="111111"/>
          <w:sz w:val="28"/>
          <w:sz w:val="28"/>
          <w:szCs w:val="28"/>
          <w:rtl w:val="true"/>
          <w:lang w:bidi="ar-SA"/>
        </w:rPr>
        <w:t xml:space="preserve">مِن وَصفِ الخِلافةِ بَعدَ الوفاةِ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حصولِها إذا ثَبَتَ له أنّها واجبةٌ مُستَحَقّةٌ و أنّ ما يَقتَضيها يَجِبُ وصفُه بأنّه مَنزِلةٌ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يَدُلُّ علىٰ أنّ الخبرَ يَتَناوَلُ </w:t>
      </w:r>
      <w:r>
        <w:rPr>
          <w:rStyle w:val="FootnoteAnchor"/>
          <w:rtl w:val="true"/>
        </w:rPr>
        <w:footnoteReference w:id="2268"/>
      </w:r>
      <w:r>
        <w:rPr>
          <w:rFonts w:ascii="Amiri" w:hAnsi="Amiri" w:eastAsia="Amiri" w:cs="Amiri"/>
          <w:color w:val="111111"/>
          <w:sz w:val="28"/>
          <w:sz w:val="28"/>
          <w:szCs w:val="28"/>
          <w:rtl w:val="true"/>
          <w:lang w:bidi="ar-SA"/>
        </w:rPr>
        <w:t xml:space="preserve">ذلكَ </w:t>
      </w:r>
      <w:r>
        <w:rPr>
          <w:rStyle w:val="FootnoteAnchor"/>
          <w:rtl w:val="true"/>
        </w:rPr>
        <w:footnoteReference w:id="2269"/>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ما أثبَتَه بَعدَ الموتِ أيضاً</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التشبيهَ الأوّلَ يَقتَضي حَملَ هذا الاستثناءِ علىٰ أنّ المُرادَ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كَوني نَبيّاً</w:t>
      </w:r>
      <w:r>
        <w:rPr>
          <w:rFonts w:eastAsia="Amiri" w:cs="Amiri" w:ascii="Amiri" w:hAnsi="Amiri"/>
          <w:color w:val="111111"/>
          <w:sz w:val="28"/>
          <w:szCs w:val="28"/>
          <w:rtl w:val="true"/>
          <w:lang w:bidi="ar-SA"/>
        </w:rPr>
        <w:t>»</w:t>
      </w:r>
      <w:r>
        <w:rPr>
          <w:rStyle w:val="FootnoteAnchor"/>
          <w:rtl w:val="true"/>
        </w:rPr>
        <w:footnoteReference w:id="2271"/>
      </w:r>
      <w:r>
        <w:rPr>
          <w:rFonts w:ascii="Amiri" w:hAnsi="Amiri" w:eastAsia="Amiri" w:cs="Amiri"/>
          <w:color w:val="111111"/>
          <w:sz w:val="28"/>
          <w:sz w:val="28"/>
          <w:szCs w:val="28"/>
          <w:rtl w:val="true"/>
          <w:lang w:bidi="ar-SA"/>
        </w:rPr>
        <w:t>لِيَصِحَّ أن يَحصُلَ ما استَثناه</w:t>
      </w:r>
      <w:r>
        <w:rPr>
          <w:rStyle w:val="FootnoteAnchor"/>
          <w:rtl w:val="true"/>
        </w:rPr>
        <w:footnoteReference w:id="2272"/>
      </w:r>
      <w:r>
        <w:rPr>
          <w:rFonts w:ascii="Amiri" w:hAnsi="Amiri" w:eastAsia="Amiri" w:cs="Amiri"/>
          <w:color w:val="111111"/>
          <w:sz w:val="28"/>
          <w:sz w:val="28"/>
          <w:szCs w:val="28"/>
          <w:rtl w:val="true"/>
          <w:lang w:bidi="ar-SA"/>
        </w:rPr>
        <w:t>في هارونَ‌، كَما صَحَّ أن يَحصُلَ ما استَثنىٰ منه في هارونَ‌</w:t>
      </w:r>
      <w:r>
        <w:rPr>
          <w:rStyle w:val="FootnoteAnchor"/>
          <w:rtl w:val="true"/>
        </w:rPr>
        <w:footnoteReference w:id="2273"/>
      </w:r>
      <w:r>
        <w:rPr>
          <w:rFonts w:ascii="Amiri" w:hAnsi="Amiri" w:eastAsia="Amiri" w:cs="Amiri"/>
          <w:color w:val="111111"/>
          <w:sz w:val="28"/>
          <w:sz w:val="28"/>
          <w:szCs w:val="28"/>
          <w:rtl w:val="true"/>
          <w:lang w:bidi="ar-SA"/>
        </w:rPr>
        <w:t>لأنّه لا بُدَّ مِن صِحّةِ الأمرَينِ في هارونَ‌</w:t>
      </w:r>
      <w:r>
        <w:rPr>
          <w:rStyle w:val="FootnoteAnchor"/>
          <w:rtl w:val="true"/>
        </w:rPr>
        <w:footnoteReference w:id="2274"/>
      </w:r>
      <w:r>
        <w:rPr>
          <w:rFonts w:ascii="Amiri" w:hAnsi="Amiri" w:eastAsia="Amiri" w:cs="Amiri"/>
          <w:color w:val="111111"/>
          <w:sz w:val="28"/>
          <w:sz w:val="28"/>
          <w:szCs w:val="28"/>
          <w:rtl w:val="true"/>
          <w:lang w:bidi="ar-SA"/>
        </w:rPr>
        <w:t>، و قد عَلِمنا أنّه لَم يَكُن مِن</w:t>
      </w:r>
      <w:r>
        <w:rPr>
          <w:rStyle w:val="FootnoteAnchor"/>
          <w:rtl w:val="true"/>
        </w:rPr>
        <w:footnoteReference w:id="2275"/>
      </w:r>
      <w:r>
        <w:rPr>
          <w:rFonts w:ascii="Amiri" w:hAnsi="Amiri" w:eastAsia="Amiri" w:cs="Amiri"/>
          <w:color w:val="111111"/>
          <w:sz w:val="28"/>
          <w:sz w:val="28"/>
          <w:szCs w:val="28"/>
          <w:rtl w:val="true"/>
          <w:lang w:bidi="ar-SA"/>
        </w:rPr>
        <w:t>مَنازِلِه</w:t>
      </w:r>
      <w:r>
        <w:rPr>
          <w:rStyle w:val="FootnoteAnchor"/>
          <w:rtl w:val="true"/>
        </w:rPr>
        <w:footnoteReference w:id="2276"/>
      </w:r>
      <w:r>
        <w:rPr>
          <w:rFonts w:ascii="Amiri" w:hAnsi="Amiri" w:eastAsia="Amiri" w:cs="Amiri"/>
          <w:color w:val="111111"/>
          <w:sz w:val="28"/>
          <w:sz w:val="28"/>
          <w:szCs w:val="28"/>
          <w:rtl w:val="true"/>
          <w:lang w:bidi="ar-SA"/>
        </w:rPr>
        <w:t>النبوّةُ بَعدَ موسىٰ‌، و إنّما يَدخُلُ‌</w:t>
      </w:r>
      <w:r>
        <w:rPr>
          <w:rStyle w:val="FootnoteAnchor"/>
          <w:rtl w:val="true"/>
        </w:rPr>
        <w:footnoteReference w:id="2277"/>
      </w:r>
      <w:r>
        <w:rPr>
          <w:rFonts w:ascii="Amiri" w:hAnsi="Amiri" w:eastAsia="Amiri" w:cs="Amiri"/>
          <w:color w:val="111111"/>
          <w:sz w:val="28"/>
          <w:sz w:val="28"/>
          <w:szCs w:val="28"/>
          <w:rtl w:val="true"/>
          <w:lang w:bidi="ar-SA"/>
        </w:rPr>
        <w:t>في مَنازِلِه النبوّةُ بَعدَ نُبوّةِ موسىٰ‌؛ فيَجِبُ أن يَكونَ عليه السلامُ إنّما استَثنىٰ‌</w:t>
      </w:r>
      <w:r>
        <w:rPr>
          <w:rStyle w:val="FootnoteAnchor"/>
          <w:rtl w:val="true"/>
        </w:rPr>
        <w:footnoteReference w:id="2278"/>
      </w:r>
      <w:r>
        <w:rPr>
          <w:rFonts w:ascii="Amiri" w:hAnsi="Amiri" w:eastAsia="Amiri" w:cs="Amiri"/>
          <w:color w:val="111111"/>
          <w:sz w:val="28"/>
          <w:sz w:val="28"/>
          <w:szCs w:val="28"/>
          <w:rtl w:val="true"/>
          <w:lang w:bidi="ar-SA"/>
        </w:rPr>
        <w:t>ما لَولاه لَثَبَتَ مِن</w:t>
      </w:r>
      <w:r>
        <w:rPr>
          <w:rStyle w:val="FootnoteAnchor"/>
          <w:rtl w:val="true"/>
        </w:rPr>
        <w:footnoteReference w:id="2279"/>
      </w:r>
      <w:r>
        <w:rPr>
          <w:rFonts w:ascii="Amiri" w:hAnsi="Amiri" w:eastAsia="Amiri" w:cs="Amiri"/>
          <w:color w:val="111111"/>
          <w:sz w:val="28"/>
          <w:sz w:val="28"/>
          <w:szCs w:val="28"/>
          <w:rtl w:val="true"/>
          <w:lang w:bidi="ar-SA"/>
        </w:rPr>
        <w:t xml:space="preserve">مَنازِلِ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يَستَثنيَ ما لَولاه لَم يَثبُتْ مِن مَنازِلِه</w:t>
      </w:r>
      <w:r>
        <w:rPr>
          <w:rStyle w:val="FootnoteAnchor"/>
          <w:rtl w:val="true"/>
        </w:rPr>
        <w:footnoteReference w:id="2280"/>
      </w:r>
      <w:r>
        <w:rPr>
          <w:rFonts w:ascii="Amiri" w:hAnsi="Amiri" w:eastAsia="Amiri" w:cs="Amiri"/>
          <w:color w:val="111111"/>
          <w:sz w:val="28"/>
          <w:sz w:val="28"/>
          <w:szCs w:val="28"/>
          <w:rtl w:val="true"/>
          <w:lang w:bidi="ar-SA"/>
        </w:rPr>
        <w:t>لأنّ ذلكَ لا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يُبيِّنُ صِحّةَ ما قَدَّمناه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ثَبَتَ أنّ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نَبيَّ بَعدَ نُبوّتي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تَكونَ‌</w:t>
      </w:r>
      <w:r>
        <w:rPr>
          <w:rStyle w:val="FootnoteAnchor"/>
          <w:rtl w:val="true"/>
        </w:rPr>
        <w:footnoteReference w:id="2281"/>
      </w:r>
    </w:p>
    <w:p>
      <w:pPr>
        <w:pStyle w:val="BookText"/>
        <w:rPr/>
      </w:pPr>
      <w:r>
        <w:rPr>
          <w:rFonts w:ascii="Amiri" w:hAnsi="Amiri" w:eastAsia="Amiri" w:cs="Amiri"/>
          <w:color w:val="111111"/>
          <w:sz w:val="28"/>
          <w:sz w:val="28"/>
          <w:szCs w:val="28"/>
          <w:rtl w:val="true"/>
          <w:lang w:bidi="ar-SA"/>
        </w:rPr>
        <w:t>المَنازِلُ التي دَخَلَها</w:t>
      </w:r>
      <w:r>
        <w:rPr>
          <w:rStyle w:val="FootnoteAnchor"/>
          <w:rtl w:val="true"/>
        </w:rPr>
        <w:footnoteReference w:id="2282"/>
      </w:r>
      <w:r>
        <w:rPr>
          <w:rFonts w:ascii="Amiri" w:hAnsi="Amiri" w:eastAsia="Amiri" w:cs="Amiri"/>
          <w:color w:val="111111"/>
          <w:sz w:val="28"/>
          <w:sz w:val="28"/>
          <w:szCs w:val="28"/>
          <w:rtl w:val="true"/>
          <w:lang w:bidi="ar-SA"/>
        </w:rPr>
        <w:t>هذا الاستثناءُ بَعدَ نُبوّتهِ‌، لا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يُسقِطُ ما عَوَّلوا عليه؛ فصارَ التشبيهُ الأوّلُ هو الدالَّ علىٰ أنّ المُستَثنىٰ و المُستَثنىٰ منه جميعاً حاصِلانِ لهارونَ‌، و إذا</w:t>
      </w:r>
      <w:r>
        <w:rPr>
          <w:rStyle w:val="FootnoteAnchor"/>
          <w:rtl w:val="true"/>
        </w:rPr>
        <w:footnoteReference w:id="2283"/>
      </w:r>
      <w:r>
        <w:rPr>
          <w:rFonts w:ascii="Amiri" w:hAnsi="Amiri" w:eastAsia="Amiri" w:cs="Amiri"/>
          <w:color w:val="111111"/>
          <w:sz w:val="28"/>
          <w:sz w:val="28"/>
          <w:szCs w:val="28"/>
          <w:rtl w:val="true"/>
          <w:lang w:bidi="ar-SA"/>
        </w:rPr>
        <w:t>لَم يَحصُلْ له كُلُّ المَنازِلِ إلّا في حالِ حياةِ موسىٰ‌</w:t>
      </w:r>
      <w:r>
        <w:rPr>
          <w:rStyle w:val="FootnoteAnchor"/>
          <w:rtl w:val="true"/>
        </w:rPr>
        <w:footnoteReference w:id="2284"/>
      </w:r>
      <w:r>
        <w:rPr>
          <w:rFonts w:ascii="Amiri" w:hAnsi="Amiri" w:eastAsia="Amiri" w:cs="Amiri"/>
          <w:color w:val="111111"/>
          <w:sz w:val="28"/>
          <w:sz w:val="28"/>
          <w:szCs w:val="28"/>
          <w:rtl w:val="true"/>
          <w:lang w:bidi="ar-SA"/>
        </w:rPr>
        <w:t>وَجَبَ صِحّةُ ما ذَكَرناه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يُبيِّنُ صِحّةَ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حَقِّ الاستثناءِ أن يُطابِقَ المُستَثنىٰ منه في وقتِه؛ لأنّ الرجُلَ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لفُلانٍ عَلَيَّ عَشَرةُ دَراهِمَ إلّا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بما أثبَتَه الحالُ‌</w:t>
      </w:r>
      <w:r>
        <w:rPr>
          <w:rStyle w:val="FootnoteAnchor"/>
          <w:rtl w:val="true"/>
        </w:rPr>
        <w:footnoteReference w:id="2285"/>
      </w:r>
      <w:r>
        <w:rPr>
          <w:rFonts w:ascii="Amiri" w:hAnsi="Amiri" w:eastAsia="Amiri" w:cs="Amiri"/>
          <w:color w:val="111111"/>
          <w:sz w:val="28"/>
          <w:sz w:val="28"/>
          <w:szCs w:val="28"/>
          <w:rtl w:val="true"/>
          <w:lang w:bidi="ar-SA"/>
        </w:rPr>
        <w:t>و بما نَفاه الحالُ‌، و لا يَجوزُ في الكلامِ سِوىٰ ذلكَ إلّابقَرينةٍ و دَلالةٍ‌</w:t>
      </w:r>
      <w:r>
        <w:rPr>
          <w:rStyle w:val="FootnoteAnchor"/>
          <w:rtl w:val="true"/>
        </w:rPr>
        <w:footnoteReference w:id="2286"/>
      </w:r>
      <w:r>
        <w:rPr>
          <w:rFonts w:ascii="Amiri" w:hAnsi="Amiri" w:eastAsia="Amiri" w:cs="Amiri"/>
          <w:color w:val="111111"/>
          <w:sz w:val="28"/>
          <w:sz w:val="28"/>
          <w:szCs w:val="28"/>
          <w:rtl w:val="true"/>
          <w:lang w:bidi="ar-SA"/>
        </w:rPr>
        <w:t>، و قد عَلِمنا أنّه عليه السلامُ لمّا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له المَنزِلةَ في الوقتِ‌</w:t>
      </w:r>
      <w:r>
        <w:rPr>
          <w:rStyle w:val="FootnoteAnchor"/>
          <w:rtl w:val="true"/>
        </w:rPr>
        <w:footnoteReference w:id="2287"/>
      </w:r>
      <w:r>
        <w:rPr>
          <w:rFonts w:ascii="Amiri" w:hAnsi="Amiri" w:eastAsia="Amiri" w:cs="Amiri"/>
          <w:color w:val="111111"/>
          <w:sz w:val="28"/>
          <w:sz w:val="28"/>
          <w:szCs w:val="28"/>
          <w:rtl w:val="true"/>
          <w:lang w:bidi="ar-SA"/>
        </w:rPr>
        <w:t>، فيَجِبُ فيما استَثنىٰ أن يَتناوَلَ الوقتَ‌؛ فكَيفَ يُقالُ إنّه أرادَ بَعدَ موتِه‌؟ بَل</w:t>
      </w:r>
      <w:r>
        <w:rPr>
          <w:rStyle w:val="FootnoteAnchor"/>
          <w:rtl w:val="true"/>
        </w:rPr>
        <w:footnoteReference w:id="2288"/>
      </w:r>
      <w:r>
        <w:rPr>
          <w:rFonts w:ascii="Amiri" w:hAnsi="Amiri" w:eastAsia="Amiri" w:cs="Amiri"/>
          <w:color w:val="111111"/>
          <w:sz w:val="28"/>
          <w:sz w:val="28"/>
          <w:szCs w:val="28"/>
          <w:rtl w:val="true"/>
          <w:lang w:bidi="ar-SA"/>
        </w:rPr>
        <w:t xml:space="preserve">يَجِبُ حَملُه علَى الوقتِ‌، فكأنّه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في حالِ نُبوّتي بمَنزِلةِ هارونَ مِن موسىٰ في حالِ نُبوّتهِ و بَعدَ نُبوّتهِ ، إلّاأنّه لا نَبيَّ بَعدَ نُبوّتي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الاستثناءُ مُتَناوِلاً للحالِ التي لَولا الاستثناءُ </w:t>
      </w:r>
    </w:p>
    <w:p>
      <w:pPr>
        <w:pStyle w:val="BookText"/>
        <w:rPr/>
      </w:pPr>
      <w:r>
        <w:rPr>
          <w:rFonts w:ascii="Amiri" w:hAnsi="Amiri" w:eastAsia="Amiri" w:cs="Amiri"/>
          <w:color w:val="111111"/>
          <w:sz w:val="28"/>
          <w:sz w:val="28"/>
          <w:szCs w:val="28"/>
          <w:rtl w:val="true"/>
          <w:lang w:bidi="ar-SA"/>
        </w:rPr>
        <w:t>لَثَبَتَت</w:t>
      </w:r>
      <w:r>
        <w:rPr>
          <w:rStyle w:val="FootnoteAnchor"/>
          <w:rtl w:val="true"/>
        </w:rPr>
        <w:footnoteReference w:id="2289"/>
      </w:r>
      <w:r>
        <w:rPr>
          <w:rFonts w:ascii="Amiri" w:hAnsi="Amiri" w:eastAsia="Amiri" w:cs="Amiri"/>
          <w:color w:val="111111"/>
          <w:sz w:val="28"/>
          <w:sz w:val="28"/>
          <w:szCs w:val="28"/>
          <w:rtl w:val="true"/>
          <w:lang w:bidi="ar-SA"/>
        </w:rPr>
        <w:t xml:space="preserve">فإذا كانَ لَو لَم يَستَثنِ لَوَجَبَ في حَقِّ الكلامِ أن يَكونَ شَريكَه في النبوّةِ في الحالِ كما ثَبَتَ لهارونَ ، فيَجِبُ إذا استَثنىٰ أن يَقتَضيَ نفيَ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يَمنَعُ </w:t>
      </w:r>
      <w:r>
        <w:rPr>
          <w:rStyle w:val="FootnoteAnchor"/>
          <w:rtl w:val="true"/>
        </w:rPr>
        <w:footnoteReference w:id="2290"/>
      </w:r>
      <w:r>
        <w:rPr>
          <w:rFonts w:ascii="Amiri" w:hAnsi="Amiri" w:eastAsia="Amiri" w:cs="Amiri"/>
          <w:color w:val="111111"/>
          <w:sz w:val="28"/>
          <w:sz w:val="28"/>
          <w:szCs w:val="28"/>
          <w:rtl w:val="true"/>
          <w:lang w:bidi="ar-SA"/>
        </w:rPr>
        <w:t xml:space="preserve">مِن حَملِه علىٰ بَعدِ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لا يُعرَفَ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خاتَمُ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 إذا كانَ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نَبيَّ‌</w:t>
      </w:r>
      <w:r>
        <w:rPr>
          <w:rStyle w:val="FootnoteAnchor"/>
          <w:rtl w:val="true"/>
        </w:rPr>
        <w:footnoteReference w:id="2291"/>
      </w:r>
      <w:r>
        <w:rPr>
          <w:rFonts w:ascii="Amiri" w:hAnsi="Amiri" w:eastAsia="Amiri" w:cs="Amiri"/>
          <w:color w:val="111111"/>
          <w:sz w:val="28"/>
          <w:sz w:val="28"/>
          <w:szCs w:val="28"/>
          <w:rtl w:val="true"/>
          <w:lang w:bidi="ar-SA"/>
        </w:rPr>
        <w:t>بَعدَ كَوني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 علىٰ ذلكَ بأقوىٰ ممّا يَدُلُّ‌</w:t>
      </w:r>
      <w:r>
        <w:rPr>
          <w:rStyle w:val="FootnoteAnchor"/>
          <w:rtl w:val="true"/>
        </w:rPr>
        <w:footnoteReference w:id="2292"/>
      </w:r>
      <w:r>
        <w:rPr>
          <w:rFonts w:ascii="Amiri" w:hAnsi="Amiri" w:eastAsia="Amiri" w:cs="Amiri"/>
          <w:color w:val="111111"/>
          <w:sz w:val="28"/>
          <w:sz w:val="28"/>
          <w:szCs w:val="28"/>
          <w:rtl w:val="true"/>
          <w:lang w:bidi="ar-SA"/>
        </w:rPr>
        <w:t>لَو أرادَ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نَبيَّ بَعدَ وفاتِي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3"/>
      </w:r>
      <w:r>
        <w:rPr>
          <w:rFonts w:ascii="Amiri" w:hAnsi="Amiri" w:eastAsia="Amiri" w:cs="Amiri"/>
          <w:color w:val="111111"/>
          <w:sz w:val="28"/>
          <w:sz w:val="28"/>
          <w:szCs w:val="28"/>
          <w:rtl w:val="true"/>
          <w:lang w:bidi="ar-SA"/>
        </w:rPr>
        <w:t>فكَيفَ لا يَدُلُّ علىٰ ما ذَكرتُموه‌؟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لَسنا نَعتَمِدُ في أنّه خاتَمُ النبيّينَ عليه السلامُ‌</w:t>
      </w:r>
      <w:r>
        <w:rPr>
          <w:rStyle w:val="FootnoteAnchor"/>
          <w:rtl w:val="true"/>
        </w:rPr>
        <w:footnoteReference w:id="2294"/>
      </w:r>
      <w:r>
        <w:rPr>
          <w:rFonts w:ascii="Amiri" w:hAnsi="Amiri" w:eastAsia="Amiri" w:cs="Amiri"/>
          <w:color w:val="111111"/>
          <w:sz w:val="28"/>
          <w:sz w:val="28"/>
          <w:szCs w:val="28"/>
          <w:rtl w:val="true"/>
          <w:lang w:bidi="ar-SA"/>
        </w:rPr>
        <w:t>إلّاعلىٰ ما يُعلَمُ‌</w:t>
      </w:r>
      <w:r>
        <w:rPr>
          <w:rStyle w:val="FootnoteAnchor"/>
          <w:rtl w:val="true"/>
        </w:rPr>
        <w:footnoteReference w:id="2295"/>
      </w:r>
      <w:r>
        <w:rPr>
          <w:rFonts w:ascii="Amiri" w:hAnsi="Amiri" w:eastAsia="Amiri" w:cs="Amiri"/>
          <w:color w:val="111111"/>
          <w:sz w:val="28"/>
          <w:sz w:val="28"/>
          <w:szCs w:val="28"/>
          <w:rtl w:val="true"/>
          <w:lang w:bidi="ar-SA"/>
        </w:rPr>
        <w:t>مِن دينِه ضَرورةً بالنقلِ المُتواتِرِ الذي يُعرَفُ‌</w:t>
      </w:r>
      <w:r>
        <w:rPr>
          <w:rStyle w:val="FootnoteAnchor"/>
          <w:rtl w:val="true"/>
        </w:rPr>
        <w:footnoteReference w:id="2296"/>
      </w:r>
      <w:r>
        <w:rPr>
          <w:rFonts w:ascii="Amiri" w:hAnsi="Amiri" w:eastAsia="Amiri" w:cs="Amiri"/>
          <w:color w:val="111111"/>
          <w:sz w:val="28"/>
          <w:sz w:val="28"/>
          <w:szCs w:val="28"/>
          <w:rtl w:val="true"/>
          <w:lang w:bidi="ar-SA"/>
        </w:rPr>
        <w:t>به ذلكَ ، مِن غيرِ اعتبارِ لفظٍ</w:t>
      </w:r>
      <w:r>
        <w:rPr>
          <w:rStyle w:val="FootnoteAnchor"/>
          <w:rtl w:val="true"/>
        </w:rPr>
        <w:footnoteReference w:id="2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نَعلَمُ تحريمَ الخَمرِ مِن دينِه بهذه الطريقةِ ، مِن غيرِ اعتبارِ لفظٍ</w:t>
      </w:r>
      <w:r>
        <w:rPr>
          <w:rFonts w:eastAsia="Amiri" w:cs="Amiri" w:ascii="Amiri" w:hAnsi="Amiri"/>
          <w:color w:val="111111"/>
          <w:sz w:val="28"/>
          <w:szCs w:val="28"/>
          <w:rtl w:val="true"/>
          <w:lang w:bidi="ar-SA"/>
        </w:rPr>
        <w:t>]</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 xml:space="preserve">. </w:t>
      </w:r>
      <w:bookmarkStart w:id="425" w:name="pg20017_202617"/>
    </w:p>
    <w:p>
      <w:pPr>
        <w:pStyle w:val="Heading6"/>
        <w:numPr>
          <w:ilvl w:val="5"/>
          <w:numId w:val="1"/>
        </w:numPr>
        <w:rPr/>
      </w:pPr>
      <w:bookmarkStart w:id="426" w:name="__RefHeading___Toc964297_2320776876"/>
      <w:bookmarkStart w:id="427" w:name="_Toc152"/>
      <w:bookmarkEnd w:id="425"/>
      <w:bookmarkEnd w:id="426"/>
      <w:r>
        <w:rPr>
          <w:rtl w:val="true"/>
        </w:rPr>
        <w:t>نفي أن يكون الاستثناء في الحديث، معناه</w:t>
      </w:r>
      <w:r>
        <w:rPr>
          <w:rtl w:val="true"/>
        </w:rPr>
        <w:t>: «</w:t>
      </w:r>
      <w:r>
        <w:rPr>
          <w:rtl w:val="true"/>
        </w:rPr>
        <w:t>بعد نبوّتي</w:t>
      </w:r>
      <w:r>
        <w:rPr>
          <w:rtl w:val="true"/>
        </w:rPr>
        <w:t>»</w:t>
      </w:r>
      <w:r>
        <w:rPr>
          <w:rtl w:val="true"/>
        </w:rPr>
        <w:t xml:space="preserve">، لا </w:t>
      </w:r>
      <w:r>
        <w:rPr>
          <w:rtl w:val="true"/>
        </w:rPr>
        <w:t>«</w:t>
      </w:r>
      <w:r>
        <w:rPr>
          <w:rtl w:val="true"/>
        </w:rPr>
        <w:t>بعد موتي</w:t>
      </w:r>
      <w:r>
        <w:rPr>
          <w:rtl w:val="true"/>
        </w:rPr>
        <w:t>»</w:t>
      </w:r>
      <w:bookmarkEnd w:id="427"/>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أصحابُنا مِن إلزامِهم</w:t>
      </w:r>
      <w:r>
        <w:rPr>
          <w:rStyle w:val="FootnoteAnchor"/>
          <w:rtl w:val="true"/>
        </w:rPr>
        <w:footnoteReference w:id="2299"/>
      </w:r>
      <w:r>
        <w:rPr>
          <w:rFonts w:ascii="Amiri" w:hAnsi="Amiri" w:eastAsia="Amiri" w:cs="Amiri"/>
          <w:color w:val="111111"/>
          <w:sz w:val="28"/>
          <w:sz w:val="28"/>
          <w:szCs w:val="28"/>
          <w:rtl w:val="true"/>
          <w:lang w:bidi="ar-SA"/>
        </w:rPr>
        <w:t xml:space="preserve">أن يَكونَ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ظاهرُه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العادةَ جاريةٌ في فائدةِ مِثلِ هذه اللفظةِ إذا وَقَعَت علىٰ هذا الوجهِ بمِثلِ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تَرىٰ أنّ أحَدَنا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وَصِيّي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المالُ يُفَرَّقُ </w:t>
      </w:r>
      <w:r>
        <w:rPr>
          <w:rStyle w:val="FootnoteAnchor"/>
          <w:rtl w:val="true"/>
        </w:rPr>
        <w:footnoteReference w:id="2300"/>
      </w:r>
      <w:r>
        <w:rPr>
          <w:rFonts w:ascii="Amiri" w:hAnsi="Amiri" w:eastAsia="Amiri" w:cs="Amiri"/>
          <w:color w:val="111111"/>
          <w:sz w:val="28"/>
          <w:sz w:val="28"/>
          <w:szCs w:val="28"/>
          <w:rtl w:val="true"/>
          <w:lang w:bidi="ar-SA"/>
        </w:rPr>
        <w:t>علَى الفُقراءِ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يُفهَمْ مِن كلامِه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أحوالِه ؟ و إذا كانَ الظاهرُ يَقتَضي صِحّةَ قولِنا وَجَبَ التمسُّكُ به، و اطِّراحُ قولِ مَن سامَنا</w:t>
      </w:r>
      <w:r>
        <w:rPr>
          <w:rStyle w:val="FootnoteAnchor"/>
          <w:rtl w:val="true"/>
        </w:rPr>
        <w:footnoteReference w:id="2301"/>
      </w:r>
      <w:r>
        <w:rPr>
          <w:rFonts w:ascii="Amiri" w:hAnsi="Amiri" w:eastAsia="Amiri" w:cs="Amiri"/>
          <w:color w:val="111111"/>
          <w:sz w:val="28"/>
          <w:sz w:val="28"/>
          <w:szCs w:val="28"/>
          <w:rtl w:val="true"/>
          <w:lang w:bidi="ar-SA"/>
        </w:rPr>
        <w:t>العُدولَ عنه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للخُصومِ ما اقتَرَحوه مِن أنّ المُرادَ بنَفيِ النبوّةِ‌</w:t>
      </w:r>
      <w:r>
        <w:rPr>
          <w:rStyle w:val="FootnoteAnchor"/>
          <w:rtl w:val="true"/>
        </w:rPr>
        <w:footnoteReference w:id="2302"/>
      </w:r>
      <w:r>
        <w:rPr>
          <w:rFonts w:ascii="Amiri" w:hAnsi="Amiri" w:eastAsia="Amiri" w:cs="Amiri"/>
          <w:color w:val="111111"/>
          <w:sz w:val="28"/>
          <w:sz w:val="28"/>
          <w:szCs w:val="28"/>
          <w:rtl w:val="true"/>
          <w:lang w:bidi="ar-SA"/>
        </w:rPr>
        <w:t xml:space="preserve">لَم يَختَصَّ حالَ الوفاةِ‌، بَل يَتناوَلُ </w:t>
      </w:r>
      <w:r>
        <w:rPr>
          <w:rStyle w:val="FootnoteAnchor"/>
          <w:rtl w:val="true"/>
        </w:rPr>
        <w:footnoteReference w:id="2303"/>
      </w:r>
      <w:r>
        <w:rPr>
          <w:rFonts w:ascii="Amiri" w:hAnsi="Amiri" w:eastAsia="Amiri" w:cs="Amiri"/>
          <w:color w:val="111111"/>
          <w:sz w:val="28"/>
          <w:sz w:val="28"/>
          <w:szCs w:val="28"/>
          <w:rtl w:val="true"/>
          <w:lang w:bidi="ar-SA"/>
        </w:rPr>
        <w:t>ما هو بَعدَ حالِ نُبوّتِه مِن الأحوالِ ، لَم يُخِلَّ ذلكَ بصِحّةِ تأويلِنا للخبرِ؛ لأنّا نَعلَمُ أنّ الذي أشاروا إليه مِن الأحوالِ يَشتَمِلُ علىٰ أحوالِ الحياةِ و أحوالِ الوفاةِ إلىٰ قيامِ الساعةِ ؛ فيَجِبُ بظاهرِ الكلامِ و بما حَكَمنا</w:t>
      </w:r>
      <w:r>
        <w:rPr>
          <w:rStyle w:val="FootnoteAnchor"/>
          <w:rtl w:val="true"/>
        </w:rPr>
        <w:footnoteReference w:id="2304"/>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مُطابَقةِ الاستثناءِ في الحالِ التي وَقَعَ فيها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تَجِبَ </w:t>
      </w:r>
      <w:r>
        <w:rPr>
          <w:rStyle w:val="FootnoteAnchor"/>
          <w:rtl w:val="true"/>
        </w:rPr>
        <w:footnoteReference w:id="2305"/>
      </w:r>
      <w:r>
        <w:rPr>
          <w:rFonts w:ascii="Amiri" w:hAnsi="Amiri" w:eastAsia="Amiri" w:cs="Amiri"/>
          <w:color w:val="111111"/>
          <w:sz w:val="28"/>
          <w:sz w:val="28"/>
          <w:szCs w:val="28"/>
          <w:rtl w:val="true"/>
          <w:lang w:bidi="ar-SA"/>
        </w:rPr>
        <w:t>لأميرِ المؤمنينَ عليه السلامُ الإمامةُ في جَميعِ الأحوالِ التي تَعلَّقَ النفيُ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Style w:val="FootnoteAnchor"/>
          <w:rtl w:val="true"/>
        </w:rPr>
        <w:footnoteReference w:id="2306"/>
      </w:r>
    </w:p>
    <w:p>
      <w:pPr>
        <w:pStyle w:val="BookText"/>
        <w:rPr/>
      </w:pPr>
      <w:r>
        <w:rPr>
          <w:rFonts w:ascii="Amiri" w:hAnsi="Amiri" w:eastAsia="Amiri" w:cs="Amiri"/>
          <w:color w:val="111111"/>
          <w:sz w:val="28"/>
          <w:sz w:val="28"/>
          <w:szCs w:val="28"/>
          <w:rtl w:val="true"/>
          <w:lang w:bidi="ar-SA"/>
        </w:rPr>
        <w:t xml:space="preserve">أخرَجَت دَلالةٌ </w:t>
      </w:r>
      <w:r>
        <w:rPr>
          <w:rStyle w:val="FootnoteAnchor"/>
          <w:rtl w:val="true"/>
        </w:rPr>
        <w:footnoteReference w:id="2307"/>
      </w:r>
      <w:r>
        <w:rPr>
          <w:rFonts w:ascii="Amiri" w:hAnsi="Amiri" w:eastAsia="Amiri" w:cs="Amiri"/>
          <w:color w:val="111111"/>
          <w:sz w:val="28"/>
          <w:sz w:val="28"/>
          <w:szCs w:val="28"/>
          <w:rtl w:val="true"/>
          <w:lang w:bidi="ar-SA"/>
        </w:rPr>
        <w:t>شيئاً مِن هذه الأحوالِ ، أخرَجناه لها و أبقَينا ما عَداه؛ لاقتضاءِ ظاهرِ الكلامِ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ما طَعَنَ به مُخالِفونا إنّما زادَ قَولَنا صِحّةً و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هو المُعتَمَدُ، دونَ الأوّلِ‌؛ لأنّ لقائلٍ أن يَقولَ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يَتَناوَلُ أحوالَ الوفاةِ علىٰ ما ادَّعَيتم، و لا يُمنَعُ‌</w:t>
      </w:r>
      <w:r>
        <w:rPr>
          <w:rStyle w:val="FootnoteAnchor"/>
          <w:rtl w:val="true"/>
        </w:rPr>
        <w:footnoteReference w:id="2308"/>
      </w:r>
      <w:r>
        <w:rPr>
          <w:rFonts w:ascii="Amiri" w:hAnsi="Amiri" w:eastAsia="Amiri" w:cs="Amiri"/>
          <w:color w:val="111111"/>
          <w:sz w:val="28"/>
          <w:sz w:val="28"/>
          <w:szCs w:val="28"/>
          <w:rtl w:val="true"/>
          <w:lang w:bidi="ar-SA"/>
        </w:rPr>
        <w:t>أن يَكونَ‌</w:t>
      </w:r>
      <w:r>
        <w:rPr>
          <w:rStyle w:val="FootnoteAnchor"/>
          <w:rtl w:val="true"/>
        </w:rPr>
        <w:footnoteReference w:id="2309"/>
      </w:r>
      <w:r>
        <w:rPr>
          <w:rFonts w:ascii="Amiri" w:hAnsi="Amiri" w:eastAsia="Amiri" w:cs="Amiri"/>
          <w:color w:val="111111"/>
          <w:sz w:val="28"/>
          <w:sz w:val="28"/>
          <w:szCs w:val="28"/>
          <w:rtl w:val="true"/>
          <w:lang w:bidi="ar-SA"/>
        </w:rPr>
        <w:t>هذه الكِنايةُ مُتَعلِّقةً بحالٍ مِن أحوالِ القائلِ غيرِ حالِ وفاتِه؛ لأنّا نَعلَمُ أوّلاً أنّها لَيسَت بكِنايةٍ عن ذاتِه، و إنّما هي كِنايةٌ عن حالٍ مِن أحوالِه؛ فلا فَرقَ بَينَ بعضِ أحوالِه و بَينَ بعضٍ في صِحّةِ الكنايةِ عنه بهذه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صِحّةِ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فُلانٌ </w:t>
      </w:r>
      <w:r>
        <w:rPr>
          <w:rStyle w:val="FootnoteAnchor"/>
          <w:rtl w:val="true"/>
        </w:rPr>
        <w:footnoteReference w:id="2310"/>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فُلانٌ كَذا و كَذا بَعدَ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Style w:val="FootnoteAnchor"/>
          <w:rtl w:val="true"/>
        </w:rPr>
        <w:footnoteReference w:id="2311"/>
      </w:r>
      <w:r>
        <w:rPr>
          <w:rFonts w:ascii="Amiri" w:hAnsi="Amiri" w:eastAsia="Amiri" w:cs="Amiri"/>
          <w:color w:val="111111"/>
          <w:sz w:val="28"/>
          <w:sz w:val="28"/>
          <w:szCs w:val="28"/>
          <w:rtl w:val="true"/>
          <w:lang w:bidi="ar-SA"/>
        </w:rPr>
        <w:t xml:space="preserve">جميعِها كِنايةً عن غيرِ حالِ الوفاةِ ، و مُتعلِّقةً بما يَثبُتُ </w:t>
      </w:r>
      <w:r>
        <w:rPr>
          <w:rStyle w:val="FootnoteAnchor"/>
          <w:rtl w:val="true"/>
        </w:rPr>
        <w:footnoteReference w:id="2312"/>
      </w:r>
      <w:r>
        <w:rPr>
          <w:rFonts w:ascii="Amiri" w:hAnsi="Amiri" w:eastAsia="Amiri" w:cs="Amiri"/>
          <w:color w:val="111111"/>
          <w:sz w:val="28"/>
          <w:sz w:val="28"/>
          <w:szCs w:val="28"/>
          <w:rtl w:val="true"/>
          <w:lang w:bidi="ar-SA"/>
        </w:rPr>
        <w:t>في حالِ الحياةِ؟</w:t>
      </w:r>
    </w:p>
    <w:p>
      <w:pPr>
        <w:pStyle w:val="BookText"/>
        <w:rPr/>
      </w:pPr>
      <w:r>
        <w:rPr>
          <w:rFonts w:ascii="Amiri" w:hAnsi="Amiri" w:eastAsia="Amiri" w:cs="Amiri"/>
          <w:color w:val="111111"/>
          <w:sz w:val="28"/>
          <w:sz w:val="28"/>
          <w:szCs w:val="28"/>
          <w:rtl w:val="true"/>
          <w:lang w:bidi="ar-SA"/>
        </w:rPr>
        <w:t>و لَيسَ يُمكِنُ أن يُدَّعىٰ أنّ ظاهرَها و حقيقتَها</w:t>
      </w:r>
      <w:r>
        <w:rPr>
          <w:rStyle w:val="FootnoteAnchor"/>
          <w:rtl w:val="true"/>
        </w:rPr>
        <w:footnoteReference w:id="2313"/>
      </w:r>
      <w:r>
        <w:rPr>
          <w:rFonts w:ascii="Amiri" w:hAnsi="Amiri" w:eastAsia="Amiri" w:cs="Amiri"/>
          <w:color w:val="111111"/>
          <w:sz w:val="28"/>
          <w:sz w:val="28"/>
          <w:szCs w:val="28"/>
          <w:rtl w:val="true"/>
          <w:lang w:bidi="ar-SA"/>
        </w:rPr>
        <w:t>يَقتَضيانِ حالَ الوفاةِ ، و أنّها إذا أُريدَ بها ما عَدا حالَ الوفاةِ مِن الأحوالِ كانَت مَجازاً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ذلكَ تَحكُّمٌ مِن مُدَّعيهِ‌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بَينَه و بَينَ مَن ادَّعىٰ عَكسَه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إنّما تَكونُ مَجازاً إذا عُنِيَ بها حالُ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رَجَعَ إلىٰ ما يَقَعُ </w:t>
      </w:r>
      <w:r>
        <w:rPr>
          <w:rStyle w:val="FootnoteAnchor"/>
          <w:rtl w:val="true"/>
        </w:rPr>
        <w:footnoteReference w:id="2314"/>
      </w:r>
      <w:r>
        <w:rPr>
          <w:rFonts w:ascii="Amiri" w:hAnsi="Amiri" w:eastAsia="Amiri" w:cs="Amiri"/>
          <w:color w:val="111111"/>
          <w:sz w:val="28"/>
          <w:sz w:val="28"/>
          <w:szCs w:val="28"/>
          <w:rtl w:val="true"/>
          <w:lang w:bidi="ar-SA"/>
        </w:rPr>
        <w:t xml:space="preserve">عليه هذه </w:t>
      </w:r>
      <w:bookmarkStart w:id="428" w:name="pg20017_202619"/>
    </w:p>
    <w:p>
      <w:pPr>
        <w:pStyle w:val="BookText"/>
        <w:rPr/>
      </w:pPr>
      <w:bookmarkEnd w:id="428"/>
      <w:r>
        <w:rPr>
          <w:rFonts w:ascii="Amiri" w:hAnsi="Amiri" w:eastAsia="Amiri" w:cs="Amiri"/>
          <w:color w:val="111111"/>
          <w:sz w:val="28"/>
          <w:sz w:val="28"/>
          <w:szCs w:val="28"/>
          <w:rtl w:val="true"/>
          <w:lang w:bidi="ar-SA"/>
        </w:rPr>
        <w:t xml:space="preserve">اللفظةُ في الاستعمالِ و التعارُفِ ، لَم يَجِدْ لوقوعِها كِنايةً عن بعضِ الأحوالِ مَزِيّةً علىٰ بعضٍ </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964299_2320776876"/>
      <w:bookmarkStart w:id="430" w:name="_Toc153"/>
      <w:bookmarkEnd w:id="429"/>
      <w:r>
        <w:rPr>
          <w:rtl w:val="true"/>
        </w:rPr>
        <w:t>بيان شمول التشبيه في الحديث للمنازل أنفسِها، لا لأوقاتها</w:t>
      </w:r>
      <w:bookmarkEnd w:id="430"/>
    </w:p>
    <w:p>
      <w:pPr>
        <w:pStyle w:val="BookText"/>
        <w:rPr/>
      </w:pPr>
      <w:r>
        <w:rPr>
          <w:rFonts w:ascii="Amiri" w:hAnsi="Amiri" w:eastAsia="Amiri" w:cs="Amiri"/>
          <w:color w:val="111111"/>
          <w:sz w:val="28"/>
          <w:sz w:val="28"/>
          <w:szCs w:val="28"/>
          <w:rtl w:val="true"/>
          <w:lang w:bidi="ar-SA"/>
        </w:rPr>
        <w:t>ثُمّ يُقالُ 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الكلامَ يَقتَضي حصولَ المُستَثنىٰ و المُستَثنىٰ منه معاً لهارونَ عليه السلامُ‌، و إنّ مِن حَقِّ الاستثناءِ أن يُطابِقَ المُستَثنىٰ منه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مطابَقةُ الاستثناءِ للمُستَثنىٰ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الصحيحُ الواجبُ الذي فَزِعوا إليه</w:t>
      </w:r>
      <w:r>
        <w:rPr>
          <w:rStyle w:val="FootnoteAnchor"/>
          <w:rtl w:val="true"/>
        </w:rPr>
        <w:footnoteReference w:id="2315"/>
      </w:r>
      <w:r>
        <w:rPr>
          <w:rFonts w:ascii="Amiri" w:hAnsi="Amiri" w:eastAsia="Amiri" w:cs="Amiri"/>
          <w:color w:val="111111"/>
          <w:sz w:val="28"/>
          <w:sz w:val="28"/>
          <w:szCs w:val="28"/>
          <w:rtl w:val="true"/>
          <w:lang w:bidi="ar-SA"/>
        </w:rPr>
        <w:t>، و مَدارُ كلامِهم في هذه الطريقةِ عليه</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حصولُ المُستَثنىٰ و المُستَثنىٰ منه معاً لهارونَ في وقتِهما و علىٰ سائرِ وجوهِهما فغيرُ واجبٍ‌؛ لأنّ النبيَّ صَلَّى اللّٰهُ عليه و آلهِ‌</w:t>
      </w:r>
      <w:r>
        <w:rPr>
          <w:rStyle w:val="FootnoteAnchor"/>
          <w:rtl w:val="true"/>
        </w:rPr>
        <w:footnoteReference w:id="2317"/>
      </w:r>
      <w:r>
        <w:rPr>
          <w:rFonts w:ascii="Amiri" w:hAnsi="Amiri" w:eastAsia="Amiri" w:cs="Amiri"/>
          <w:color w:val="111111"/>
          <w:sz w:val="28"/>
          <w:sz w:val="28"/>
          <w:szCs w:val="28"/>
          <w:rtl w:val="true"/>
          <w:lang w:bidi="ar-SA"/>
        </w:rPr>
        <w:t>لَم يَقصِدْ إلىٰ جَعلِ مَنازِلِ هارونَ مِن موسىٰ في زمانِها و وَجهِ حصولِها</w:t>
      </w:r>
      <w:r>
        <w:rPr>
          <w:rStyle w:val="FootnoteAnchor"/>
          <w:rtl w:val="true"/>
        </w:rPr>
        <w:footnoteReference w:id="2318"/>
      </w:r>
      <w:r>
        <w:rPr>
          <w:rFonts w:ascii="Amiri" w:hAnsi="Amiri" w:eastAsia="Amiri" w:cs="Amiri"/>
          <w:color w:val="111111"/>
          <w:sz w:val="28"/>
          <w:sz w:val="28"/>
          <w:szCs w:val="28"/>
          <w:rtl w:val="true"/>
          <w:lang w:bidi="ar-SA"/>
        </w:rPr>
        <w:t xml:space="preserve">لأميرِ المؤمنينَ عليه السلامُ ، و إنّما قَصَدَ إلىٰ إيجابِ ما كانَ لهارونَ مِن موسىٰ عليهما السلامُ مِن المَنازِلِ في حالٍ مخصوصةٍ ، لأميرِ المؤمنينَ عليه السلامُ في حالٍ أُخرىٰ ، فدَخَلَ </w:t>
      </w:r>
      <w:r>
        <w:rPr>
          <w:rStyle w:val="FootnoteAnchor"/>
          <w:rtl w:val="true"/>
        </w:rPr>
        <w:footnoteReference w:id="2319"/>
      </w:r>
      <w:r>
        <w:rPr>
          <w:rFonts w:ascii="Amiri" w:hAnsi="Amiri" w:eastAsia="Amiri" w:cs="Amiri"/>
          <w:color w:val="111111"/>
          <w:sz w:val="28"/>
          <w:sz w:val="28"/>
          <w:szCs w:val="28"/>
          <w:rtl w:val="true"/>
          <w:lang w:bidi="ar-SA"/>
        </w:rPr>
        <w:t>التشبيهُ و التمثيلُ بَينَ المَنازِلِ أنفُسِها</w:t>
      </w:r>
      <w:r>
        <w:rPr>
          <w:rStyle w:val="FootnoteAnchor"/>
          <w:rtl w:val="true"/>
        </w:rPr>
        <w:footnoteReference w:id="2320"/>
      </w:r>
      <w:r>
        <w:rPr>
          <w:rFonts w:ascii="Amiri" w:hAnsi="Amiri" w:eastAsia="Amiri" w:cs="Amiri"/>
          <w:color w:val="111111"/>
          <w:sz w:val="28"/>
          <w:sz w:val="28"/>
          <w:szCs w:val="28"/>
          <w:rtl w:val="true"/>
          <w:lang w:bidi="ar-SA"/>
        </w:rPr>
        <w:t>، لا بَينَ أوقاتِها و أزمانِ حصولِها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دَلَّنا علىٰ صِحّةِ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قَدَّمناه مِن اعتبارِ الاستثناءِ ؛ لأنّه عليه السلامُ إذا استَثنىٰ ما أخرَجَه مِن المَنازِلِ بَعدَه، و كانَ الاستثناءُ مِن شأنِه أن يُطابِقَ </w:t>
      </w:r>
    </w:p>
    <w:p>
      <w:pPr>
        <w:pStyle w:val="BookText"/>
        <w:rPr/>
      </w:pPr>
      <w:r>
        <w:rPr>
          <w:rFonts w:ascii="Amiri" w:hAnsi="Amiri" w:eastAsia="Amiri" w:cs="Amiri"/>
          <w:color w:val="111111"/>
          <w:sz w:val="28"/>
          <w:sz w:val="28"/>
          <w:szCs w:val="28"/>
          <w:rtl w:val="true"/>
          <w:lang w:bidi="ar-SA"/>
        </w:rPr>
        <w:t xml:space="preserve">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w:t>
      </w:r>
      <w:r>
        <w:rPr>
          <w:rStyle w:val="FootnoteAnchor"/>
          <w:rtl w:val="true"/>
        </w:rPr>
        <w:footnoteReference w:id="2321"/>
      </w:r>
      <w:r>
        <w:rPr>
          <w:rFonts w:ascii="Amiri" w:hAnsi="Amiri" w:eastAsia="Amiri" w:cs="Amiri"/>
          <w:color w:val="111111"/>
          <w:sz w:val="28"/>
          <w:sz w:val="28"/>
          <w:szCs w:val="28"/>
          <w:rtl w:val="true"/>
          <w:lang w:bidi="ar-SA"/>
        </w:rPr>
        <w:t xml:space="preserve">مُخرِجاً مِن الكلامِ ما لَولاه لَثَبَتَ علَى الوجهِ الذي تَعلَّقَ به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يُحكَمَ بأنّه عليه السلامُ‌</w:t>
      </w:r>
      <w:r>
        <w:rPr>
          <w:rStyle w:val="FootnoteAnchor"/>
          <w:rtl w:val="true"/>
        </w:rPr>
        <w:footnoteReference w:id="2322"/>
      </w:r>
      <w:r>
        <w:rPr>
          <w:rFonts w:ascii="Amiri" w:hAnsi="Amiri" w:eastAsia="Amiri" w:cs="Amiri"/>
          <w:color w:val="111111"/>
          <w:sz w:val="28"/>
          <w:sz w:val="28"/>
          <w:szCs w:val="28"/>
          <w:rtl w:val="true"/>
          <w:lang w:bidi="ar-SA"/>
        </w:rPr>
        <w:t>أرادَ بصَدرِ الكلامِ إيجابَ المَنازِلِ بَعدَه؛ فكأنّه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استَغنىٰ عن التصريحِ بلفظةِ‌</w:t>
      </w:r>
      <w:r>
        <w:rPr>
          <w:rStyle w:val="FootnoteAnchor"/>
          <w:rtl w:val="true"/>
        </w:rPr>
        <w:footnoteReference w:id="2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الكلامِ‌؛ مِن حَيثُ كانَ الاستثناءُ‌</w:t>
      </w:r>
    </w:p>
    <w:p>
      <w:pPr>
        <w:pStyle w:val="BookText"/>
        <w:rPr/>
      </w:pPr>
      <w:r>
        <w:rPr>
          <w:rFonts w:ascii="Amiri" w:hAnsi="Amiri" w:eastAsia="Amiri" w:cs="Amiri"/>
          <w:color w:val="111111"/>
          <w:sz w:val="28"/>
          <w:sz w:val="28"/>
          <w:szCs w:val="28"/>
          <w:rtl w:val="true"/>
          <w:lang w:bidi="ar-SA"/>
        </w:rPr>
        <w:t>دالاًّ عليها و مُقتَضِياً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الواجبُ في الكلامِ الفَصيحِ‌؛ يَعني</w:t>
      </w:r>
      <w:r>
        <w:rPr>
          <w:rStyle w:val="FootnoteAnchor"/>
          <w:rtl w:val="true"/>
        </w:rPr>
        <w:footnoteReference w:id="2324"/>
      </w:r>
      <w:r>
        <w:rPr>
          <w:rFonts w:ascii="Amiri" w:hAnsi="Amiri" w:eastAsia="Amiri" w:cs="Amiri"/>
          <w:color w:val="111111"/>
          <w:sz w:val="28"/>
          <w:sz w:val="28"/>
          <w:szCs w:val="28"/>
          <w:rtl w:val="true"/>
          <w:lang w:bidi="ar-SA"/>
        </w:rPr>
        <w:t>أن يُكتَفىٰ بيَسيرِه عن كَثيرِه، و بالتصريحِ في بعضِه عن التصريحِ في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يَقتَضِ الاستثناءُ ما ذَكرناه، لَخَرَجَ عن مُطابَقةِ المُستَثنىٰ منه و بَعُدَ عن الفائدةِ‌؛ لأنّ هارونَ لَم يَكُن نَبيّاً بَعدَ وفاةِ موسىٰ فيَكونَ الاستثناءُ مُخرِجاً ما لَولاه لَثَبَتَ‌</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w:t>
      </w:r>
      <w:r>
        <w:rPr>
          <w:rStyle w:val="FootnoteAnchor"/>
          <w:rtl w:val="true"/>
        </w:rPr>
        <w:footnoteReference w:id="2326"/>
      </w:r>
      <w:r>
        <w:rPr>
          <w:rFonts w:ascii="Amiri" w:hAnsi="Amiri" w:eastAsia="Amiri" w:cs="Amiri"/>
          <w:color w:val="111111"/>
          <w:sz w:val="28"/>
          <w:sz w:val="28"/>
          <w:szCs w:val="28"/>
          <w:rtl w:val="true"/>
          <w:lang w:bidi="ar-SA"/>
        </w:rPr>
        <w:t xml:space="preserve">فَرقَ بَينَ تَعلُّقِ الاستثناءِ بالحالِ المخصوصةِ التي لَم تَثبُتْ لهارونَ و لا قَدَّرنا إضمارَها في صَدرِ الكلامِ ، و بَينَ تَعلُّقِه بمَنزِلةٍ غيرِ مخصوصةٍ </w:t>
      </w:r>
      <w:r>
        <w:rPr>
          <w:rStyle w:val="FootnoteAnchor"/>
          <w:rtl w:val="true"/>
        </w:rPr>
        <w:footnoteReference w:id="2327"/>
      </w:r>
      <w:r>
        <w:rPr>
          <w:rFonts w:ascii="Amiri" w:hAnsi="Amiri" w:eastAsia="Amiri" w:cs="Amiri"/>
          <w:color w:val="111111"/>
          <w:sz w:val="28"/>
          <w:sz w:val="28"/>
          <w:szCs w:val="28"/>
          <w:rtl w:val="true"/>
          <w:lang w:bidi="ar-SA"/>
        </w:rPr>
        <w:t xml:space="preserve">لَم تَثبُتْ لهارونَ مِن موسىٰ علىٰ وجهٍ مِن الوجوهِ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فوَجَبَ بما بيّنّاه أن يَكونَ ما أُوجبَ في صَدرِ الكلامِ مِن المَنازِلِ مقصوداً به</w:t>
      </w:r>
      <w:r>
        <w:rPr>
          <w:rStyle w:val="FootnoteAnchor"/>
          <w:rtl w:val="true"/>
        </w:rPr>
        <w:footnoteReference w:id="2328"/>
      </w:r>
      <w:r>
        <w:rPr>
          <w:rFonts w:ascii="Amiri" w:hAnsi="Amiri" w:eastAsia="Amiri" w:cs="Amiri"/>
          <w:color w:val="111111"/>
          <w:sz w:val="28"/>
          <w:sz w:val="28"/>
          <w:szCs w:val="28"/>
          <w:rtl w:val="true"/>
          <w:lang w:bidi="ar-SA"/>
        </w:rPr>
        <w:t>إلَى الحالِ التي تَعلَّقَ الاستثناءُ بها، و سَقَطَ قولُه</w:t>
      </w:r>
      <w:r>
        <w:rPr>
          <w:rStyle w:val="FootnoteAnchor"/>
          <w:rtl w:val="true"/>
        </w:rPr>
        <w:footnoteReference w:id="23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هارونَ إذا لَم يَكُن نَبيّاً بَعدَ </w:t>
      </w:r>
    </w:p>
    <w:p>
      <w:pPr>
        <w:pStyle w:val="BookText"/>
        <w:rPr/>
      </w:pPr>
      <w:r>
        <w:rPr>
          <w:rFonts w:ascii="Amiri" w:hAnsi="Amiri" w:eastAsia="Amiri" w:cs="Amiri"/>
          <w:color w:val="111111"/>
          <w:sz w:val="28"/>
          <w:sz w:val="28"/>
          <w:szCs w:val="28"/>
          <w:rtl w:val="true"/>
          <w:lang w:bidi="ar-SA"/>
        </w:rPr>
        <w:t>وفاةِ موسىٰ لَم يَصِحَّ تَعلُّقُ الاستثناءِ بحالِ الوفاةِ‌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w:t>
      </w:r>
      <w:r>
        <w:rPr>
          <w:rStyle w:val="FootnoteAnchor"/>
          <w:rtl w:val="true"/>
        </w:rPr>
        <w:footnoteReference w:id="2330"/>
      </w:r>
      <w:r>
        <w:rPr>
          <w:rFonts w:ascii="Amiri" w:hAnsi="Amiri" w:eastAsia="Amiri" w:cs="Amiri"/>
          <w:color w:val="111111"/>
          <w:sz w:val="28"/>
          <w:sz w:val="28"/>
          <w:szCs w:val="28"/>
          <w:rtl w:val="true"/>
          <w:lang w:bidi="ar-SA"/>
        </w:rPr>
        <w:t>فَرقَ في صِحّةِ هذه الطريقةِ بَينَ أن تَكونَ‌</w:t>
      </w:r>
      <w:r>
        <w:rPr>
          <w:rStyle w:val="FootnoteAnchor"/>
          <w:rtl w:val="true"/>
        </w:rPr>
        <w:footnoteReference w:id="2331"/>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مَحمولةً علىٰ نفيِ النبوّةِ بَعدَ الموتِ‌، أو محمولةً علىٰ نفيِها بَعدَ أحوالِ كَونهِ نبيّاً ممّا يَعُمُّ الحياةَ و الوفاةَ معاً؛ لأنّ اشتراطَ الحالِ التي تَعلَّقَ بها الاستثناءُ و تقديرَها في صدرِ الكلامِ مِن الواجبِ ؛ سَواءٌ كانَت حالةَ </w:t>
      </w:r>
      <w:r>
        <w:rPr>
          <w:rStyle w:val="FootnoteAnchor"/>
          <w:rtl w:val="true"/>
        </w:rPr>
        <w:footnoteReference w:id="2332"/>
      </w:r>
      <w:r>
        <w:rPr>
          <w:rFonts w:ascii="Amiri" w:hAnsi="Amiri" w:eastAsia="Amiri" w:cs="Amiri"/>
          <w:color w:val="111111"/>
          <w:sz w:val="28"/>
          <w:sz w:val="28"/>
          <w:szCs w:val="28"/>
          <w:rtl w:val="true"/>
          <w:lang w:bidi="ar-SA"/>
        </w:rPr>
        <w:t>الوفاةِ خاصّةً ، أو حالةَ الحياةِ و الوفاةِ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نُريدُه مِن إثباتِ الإمامةِ بالخبرِ بَعدَ الوفاةِ مُستَمِرٌّ علَى الوَجهَينِ ؛ فلا معنىٰ للمُضايَقةِ فيما يَتِمُّ المُرادُ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يَزيدُ ما قد أورَدناه وضوحاً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Style w:val="FootnoteAnchor"/>
          <w:rtl w:val="true"/>
        </w:rPr>
        <w:footnoteReference w:id="2333"/>
      </w:r>
      <w:r>
        <w:rPr>
          <w:rFonts w:ascii="Amiri" w:hAnsi="Amiri" w:eastAsia="Amiri" w:cs="Amiri"/>
          <w:color w:val="111111"/>
          <w:sz w:val="28"/>
          <w:sz w:val="28"/>
          <w:szCs w:val="28"/>
          <w:rtl w:val="true"/>
          <w:lang w:bidi="ar-SA"/>
        </w:rPr>
        <w:t>التشبيهَ يَقتَضي حصولَ ما تَعلَّقَ به الاستثناءُ في وقتهِ لهارونَ‌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 صَلَّى اللّٰهُ عليه و آلِه لَو صَرَّحَ بما قَدَّرناه</w:t>
      </w:r>
      <w:r>
        <w:rPr>
          <w:rStyle w:val="FootnoteAnchor"/>
          <w:rtl w:val="true"/>
        </w:rPr>
        <w:footnoteReference w:id="2334"/>
      </w:r>
      <w:r>
        <w:rPr>
          <w:rFonts w:ascii="Amiri" w:hAnsi="Amiri" w:eastAsia="Amiri" w:cs="Amiri"/>
          <w:color w:val="111111"/>
          <w:sz w:val="28"/>
          <w:sz w:val="28"/>
          <w:szCs w:val="28"/>
          <w:rtl w:val="true"/>
          <w:lang w:bidi="ar-SA"/>
        </w:rPr>
        <w:t xml:space="preserve">حتّىٰ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بَعدَ وفاتي، أو في حالِ حياتي و بَعدَ وفاتي، إلّا أنّكَ لَستَ بنَبيٍّ في هذه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الكلامُ مُستَقيماً خارجاً عن بابِ التجوُّزِ، و لَم يَمنَعْ مِن صِحّتهِ أنّ المَنزِلةَ المُستَثناةَ </w:t>
      </w:r>
      <w:r>
        <w:rPr>
          <w:rStyle w:val="FootnoteAnchor"/>
          <w:rtl w:val="true"/>
        </w:rPr>
        <w:footnoteReference w:id="2335"/>
      </w:r>
      <w:r>
        <w:rPr>
          <w:rFonts w:ascii="Amiri" w:hAnsi="Amiri" w:eastAsia="Amiri" w:cs="Amiri"/>
          <w:color w:val="111111"/>
          <w:sz w:val="28"/>
          <w:sz w:val="28"/>
          <w:szCs w:val="28"/>
          <w:rtl w:val="true"/>
          <w:lang w:bidi="ar-SA"/>
        </w:rPr>
        <w:t xml:space="preserve">لَم تَحصُلْ لهارونَ في الحالِ التي تَعلَّقَ بها الاستثناءُ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Style w:val="FootnoteAnchor"/>
          <w:rtl w:val="true"/>
        </w:rPr>
        <w:footnoteReference w:id="2336"/>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Style w:val="FootnoteAnchor"/>
          <w:rtl w:val="true"/>
        </w:rPr>
        <w:footnoteReference w:id="2337"/>
      </w:r>
      <w:r>
        <w:rPr>
          <w:rFonts w:ascii="Amiri" w:hAnsi="Amiri" w:eastAsia="Amiri" w:cs="Amiri"/>
          <w:color w:val="111111"/>
          <w:sz w:val="28"/>
          <w:sz w:val="28"/>
          <w:szCs w:val="28"/>
          <w:rtl w:val="true"/>
          <w:lang w:bidi="ar-SA"/>
        </w:rPr>
        <w:t>مِن حَقِّ الاستثناءِ أن يُطابِقَ المُستَثنىٰ منه في وقتِه، و إنّا</w:t>
      </w:r>
      <w:r>
        <w:rPr>
          <w:rStyle w:val="FootnoteAnchor"/>
          <w:rtl w:val="true"/>
        </w:rPr>
        <w:footnoteReference w:id="2338"/>
      </w:r>
      <w:r>
        <w:rPr>
          <w:rFonts w:ascii="IRNazanin" w:hAnsi="IRNazanin" w:eastAsia="IRNazanin"/>
          <w:color w:val="111111"/>
          <w:sz w:val="28"/>
          <w:sz w:val="28"/>
          <w:szCs w:val="28"/>
          <w:rtl w:val="true"/>
          <w:lang w:bidi="fa-IR"/>
        </w:rPr>
        <w:t xml:space="preserve">قد </w:t>
      </w:r>
    </w:p>
    <w:p>
      <w:pPr>
        <w:pStyle w:val="BookText"/>
        <w:rPr/>
      </w:pPr>
      <w:r>
        <w:rPr>
          <w:rFonts w:ascii="Amiri" w:hAnsi="Amiri" w:eastAsia="Amiri" w:cs="Amiri"/>
          <w:color w:val="111111"/>
          <w:sz w:val="28"/>
          <w:sz w:val="28"/>
          <w:szCs w:val="28"/>
          <w:rtl w:val="true"/>
          <w:lang w:bidi="ar-SA"/>
        </w:rPr>
        <w:t>عَلِمنا أنّه</w:t>
      </w:r>
      <w:r>
        <w:rPr>
          <w:rStyle w:val="FootnoteAnchor"/>
          <w:rtl w:val="true"/>
        </w:rPr>
        <w:footnoteReference w:id="2339"/>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له المَنزِلةَ في الوقتِ ، فيَجِبُ فيما استَثنىٰ أن يَتناوَلَ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نَقَضَه بجوابِه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يُعلَمَ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خاتَمُ النبيّينَ‌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لأنّا</w:t>
      </w:r>
      <w:r>
        <w:rPr>
          <w:rStyle w:val="FootnoteAnchor"/>
          <w:rtl w:val="true"/>
        </w:rPr>
        <w:footnoteReference w:id="2340"/>
      </w:r>
      <w:r>
        <w:rPr>
          <w:rFonts w:ascii="Amiri" w:hAnsi="Amiri" w:eastAsia="Amiri" w:cs="Amiri"/>
          <w:color w:val="111111"/>
          <w:sz w:val="28"/>
          <w:sz w:val="28"/>
          <w:szCs w:val="28"/>
          <w:rtl w:val="true"/>
          <w:lang w:bidi="ar-SA"/>
        </w:rPr>
        <w:t>نَعلَمُ أنّه إذا كانَ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 بَعدَ كَوني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 علىٰ ذلكَ بأقوىٰ ممّا يَدُلُّ‌</w:t>
      </w:r>
      <w:r>
        <w:rPr>
          <w:rStyle w:val="FootnoteAnchor"/>
          <w:rtl w:val="true"/>
        </w:rPr>
        <w:footnoteReference w:id="2341"/>
      </w:r>
      <w:r>
        <w:rPr>
          <w:rFonts w:ascii="Amiri" w:hAnsi="Amiri" w:eastAsia="Amiri" w:cs="Amiri"/>
          <w:color w:val="111111"/>
          <w:sz w:val="28"/>
          <w:sz w:val="28"/>
          <w:szCs w:val="28"/>
          <w:rtl w:val="true"/>
          <w:lang w:bidi="ar-SA"/>
        </w:rPr>
        <w:t>لَو أرادَ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نَبيَّ بَعدَ وفاتِي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مَوضِعُ 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حَكَمَ بوجوبِ مُطابَقةِ الاستثناءِ في الوقتِ المُستَثنىٰ منه، ثُمّ جَعَلَ نفيَ النبوّةِ معلوماً بأحوالٍ لَم تَثبُتْ للمُستَثنىٰ منه في جميعِها؛ لأنّ ثُبوتَه عندَه يَختَصُّ حالَ الحياةِ ، و نفيَ النبوّةِ يَعُمُّ جميعَ الأحوالِ التي تَلي كَونَه نَبيّاً، و تَدخُلُ فيها أحوالُ الحياةِ و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نَقضٌ منه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ما قَدَّمناه مِن دَلالةِ الاستثناءِ يُبطِلُ ما ظَنَّه مِن أنّ صَدرَ الكلامِ أوجَبَ ثُبوتَ المَنازِلِ في الوقتِ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لَو لَم يَستَثنِ لَوجَبَ أن يَكونَ شَريكاً في النبوّةِ في الحالِ‌، فيَجِبُ إذا استَثنىٰ أن يَنتفِيَ النبوّةُ‌</w:t>
      </w:r>
      <w:r>
        <w:rPr>
          <w:rStyle w:val="FootnoteAnchor"/>
          <w:rtl w:val="true"/>
        </w:rPr>
        <w:footnoteReference w:id="2342"/>
      </w:r>
      <w:r>
        <w:rPr>
          <w:rFonts w:ascii="Amiri" w:hAnsi="Amiri" w:eastAsia="Amiri" w:cs="Amiri"/>
          <w:color w:val="111111"/>
          <w:sz w:val="28"/>
          <w:sz w:val="28"/>
          <w:szCs w:val="28"/>
          <w:rtl w:val="true"/>
          <w:lang w:bidi="ar-SA"/>
        </w:rPr>
        <w:t>في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لأنّا لا نُسَلِّمُ له أوّلاً أنّه لَو لَم يَستَثنِ لَوَجَبَ ثُبوتُ ذلكَ في الحالِ بظاهرِ الكلامِ‌، و لَو سَلَّمناه لَم يَجِبْ ما ظَنَّه؛ لأنّ الاستثناءَ إنّما كانَ يَجِبُ أن يَنفِيَ النبوّةَ في الحياةِ‌، و لَو وَقَعَ مُطلَقاً لَم يَتعلَّقْ بحالٍ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و قد تَعلَّقَ بحالٍ مُعيَّنةٍ‌، و دَلَّنا تَعلُّقُه علىٰ ثُبوتِ ما لَم يَستَثنِ فيها لتحصيلِ المُطابَقةِ ، فالذي ذَكَرَه غيرُ صحيحٍ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نَتَعلَّقُ في أنّه عليه السلامُ خاتَمُ الأنبياءِ بلفظٍ، بَل بما نَعلَمُ‌</w:t>
      </w:r>
      <w:r>
        <w:rPr>
          <w:rStyle w:val="FootnoteAnchor"/>
          <w:rtl w:val="true"/>
        </w:rPr>
        <w:footnoteReference w:id="2343"/>
      </w:r>
      <w:r>
        <w:rPr>
          <w:rFonts w:ascii="Amiri" w:hAnsi="Amiri" w:eastAsia="Amiri" w:cs="Amiri"/>
          <w:color w:val="111111"/>
          <w:sz w:val="28"/>
          <w:sz w:val="28"/>
          <w:szCs w:val="28"/>
          <w:rtl w:val="true"/>
          <w:lang w:bidi="ar-SA"/>
        </w:rPr>
        <w:t>مِن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يَتوجَّهُ علينا؛ لأنَّ الأمرَ و إن كانَ علىٰ ما ذَكَرَه، فلَيسَ يَجوزُ أن يَجعَلَ أحَدٌ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بحالِ الحياةِ دونَ أحوالِ الوفاةِ‌؛ لأنّه لا أحَدَ مِن الأُمّةِ ذَهَبَ إلىٰ هذا، و إنّما الخِلافُ‌</w:t>
      </w:r>
      <w:r>
        <w:rPr>
          <w:rStyle w:val="FootnoteAnchor"/>
          <w:rtl w:val="true"/>
        </w:rPr>
        <w:footnoteReference w:id="2344"/>
      </w:r>
      <w:r>
        <w:rPr>
          <w:rFonts w:ascii="Amiri" w:hAnsi="Amiri" w:eastAsia="Amiri" w:cs="Amiri"/>
          <w:color w:val="111111"/>
          <w:sz w:val="28"/>
          <w:sz w:val="28"/>
          <w:szCs w:val="28"/>
          <w:rtl w:val="true"/>
          <w:lang w:bidi="ar-SA"/>
        </w:rPr>
        <w:t>في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اختَصَّ بحالِ الوفاةِ دونَ أحوالِ الحياةِ علىٰ ما نَصَرَه أكثَرُ أصحابِنا، أو تَعلَّقَ ببَعدِ حالِ النبوّةِ ممّا</w:t>
      </w:r>
    </w:p>
    <w:p>
      <w:pPr>
        <w:pStyle w:val="BookText"/>
        <w:rPr/>
      </w:pPr>
      <w:r>
        <w:rPr>
          <w:rFonts w:ascii="Amiri" w:hAnsi="Amiri" w:eastAsia="Amiri" w:cs="Amiri"/>
          <w:color w:val="111111"/>
          <w:sz w:val="28"/>
          <w:sz w:val="28"/>
          <w:szCs w:val="28"/>
          <w:rtl w:val="true"/>
          <w:lang w:bidi="ar-SA"/>
        </w:rPr>
        <w:t>يَشمَلُ‌</w:t>
      </w:r>
      <w:r>
        <w:rPr>
          <w:rStyle w:val="FootnoteAnchor"/>
          <w:rtl w:val="true"/>
        </w:rPr>
        <w:footnoteReference w:id="2345"/>
      </w:r>
      <w:r>
        <w:rPr>
          <w:rFonts w:ascii="Amiri" w:hAnsi="Amiri" w:eastAsia="Amiri" w:cs="Amiri"/>
          <w:color w:val="111111"/>
          <w:sz w:val="28"/>
          <w:sz w:val="28"/>
          <w:szCs w:val="28"/>
          <w:rtl w:val="true"/>
          <w:lang w:bidi="ar-SA"/>
        </w:rPr>
        <w:t>الحياةَ و الوفاةَ؟ و خِلافُ هذَينِ القولَينِ لا نَعرِفُه قولاً لأحَدٍ منهم</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كُنّا أَملَينا في الجوابِ عن هذه الشُّبهةِ التي اشتَمَلَ عليها الفَصلُ مِن كلامِه مَسألةً‌</w:t>
      </w:r>
      <w:r>
        <w:rPr>
          <w:rStyle w:val="FootnoteAnchor"/>
          <w:rtl w:val="true"/>
        </w:rPr>
        <w:footnoteReference w:id="2347"/>
      </w:r>
      <w:r>
        <w:rPr>
          <w:rFonts w:ascii="Amiri" w:hAnsi="Amiri" w:eastAsia="Amiri" w:cs="Amiri"/>
          <w:color w:val="111111"/>
          <w:sz w:val="28"/>
          <w:sz w:val="28"/>
          <w:szCs w:val="28"/>
          <w:rtl w:val="true"/>
          <w:lang w:bidi="ar-SA"/>
        </w:rPr>
        <w:t>مُفرَدةً استَقصَينا الكلامَ فيها</w:t>
      </w:r>
      <w:r>
        <w:rPr>
          <w:rStyle w:val="FootnoteAnchor"/>
          <w:rtl w:val="true"/>
        </w:rPr>
        <w:footnoteReference w:id="2348"/>
      </w:r>
      <w:r>
        <w:rPr>
          <w:rFonts w:ascii="Amiri" w:hAnsi="Amiri" w:eastAsia="Amiri" w:cs="Amiri"/>
          <w:color w:val="111111"/>
          <w:sz w:val="28"/>
          <w:sz w:val="28"/>
          <w:szCs w:val="28"/>
          <w:rtl w:val="true"/>
          <w:lang w:bidi="ar-SA"/>
        </w:rPr>
        <w:t xml:space="preserve">و فيما أورَدناه هاهُنا كِفايةٌ ، إن شاءَ اللّٰهُ تَعالىٰ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فلَو ثَبَتَ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w:t>
      </w:r>
      <w:r>
        <w:rPr>
          <w:rStyle w:val="FootnoteAnchor"/>
          <w:rtl w:val="true"/>
        </w:rPr>
        <w:footnoteReference w:id="23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لا بُدَّ فيه مِن شَرطٍ، فكأنّه 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تَكونُ يا عَليُّ نَبيّاً بَعدي إن عِشتَ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الشرطَ واجبٌ لا بُدَّ منه، فإذا</w:t>
      </w:r>
      <w:r>
        <w:rPr>
          <w:rStyle w:val="FootnoteAnchor"/>
          <w:rtl w:val="true"/>
        </w:rPr>
        <w:footnoteReference w:id="2351"/>
      </w:r>
      <w:r>
        <w:rPr>
          <w:rFonts w:ascii="Amiri" w:hAnsi="Amiri" w:eastAsia="Amiri" w:cs="Amiri"/>
          <w:color w:val="111111"/>
          <w:sz w:val="28"/>
          <w:sz w:val="28"/>
          <w:szCs w:val="28"/>
          <w:rtl w:val="true"/>
          <w:lang w:bidi="ar-SA"/>
        </w:rPr>
        <w:t xml:space="preserve">وَجَبَ ذلكَ فكأنّه قالَ عليه السلامُ </w:t>
      </w:r>
      <w:r>
        <w:rPr>
          <w:rStyle w:val="FootnoteAnchor"/>
          <w:rtl w:val="true"/>
        </w:rPr>
        <w:footnoteReference w:id="23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و إن بَقيتَ لا تَكونُ نَبيّاً بَعدي كَما </w:t>
      </w:r>
    </w:p>
    <w:p>
      <w:pPr>
        <w:pStyle w:val="BookText"/>
        <w:rPr/>
      </w:pPr>
      <w:r>
        <w:rPr>
          <w:rFonts w:ascii="Amiri" w:hAnsi="Amiri" w:eastAsia="Amiri" w:cs="Amiri"/>
          <w:color w:val="111111"/>
          <w:sz w:val="28"/>
          <w:sz w:val="28"/>
          <w:szCs w:val="28"/>
          <w:rtl w:val="true"/>
          <w:lang w:bidi="ar-SA"/>
        </w:rPr>
        <w:t>يَكونُ هارونُ نَبيّاً بَعدَ أخيهِ‌</w:t>
      </w:r>
      <w:r>
        <w:rPr>
          <w:rStyle w:val="FootnoteAnchor"/>
          <w:rtl w:val="true"/>
        </w:rPr>
        <w:footnoteReference w:id="2353"/>
      </w:r>
      <w:r>
        <w:rPr>
          <w:rFonts w:ascii="Amiri" w:hAnsi="Amiri" w:eastAsia="Amiri" w:cs="Amiri"/>
          <w:color w:val="111111"/>
          <w:sz w:val="28"/>
          <w:sz w:val="28"/>
          <w:szCs w:val="28"/>
          <w:rtl w:val="true"/>
          <w:lang w:bidi="ar-SA"/>
        </w:rPr>
        <w:t>موسىٰ لَو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إثباتِ الشرطِ و تقديرِه في الأمرَينِ‌، و إن كانَ الكلامُ لا يَقتَضيهِ‌؛ لأنّه</w:t>
      </w:r>
      <w:r>
        <w:rPr>
          <w:rStyle w:val="FootnoteAnchor"/>
          <w:rtl w:val="true"/>
        </w:rPr>
        <w:footnoteReference w:id="2354"/>
      </w:r>
      <w:r>
        <w:rPr>
          <w:rFonts w:ascii="Amiri" w:hAnsi="Amiri" w:eastAsia="Amiri" w:cs="Amiri"/>
          <w:color w:val="111111"/>
          <w:sz w:val="28"/>
          <w:sz w:val="28"/>
          <w:szCs w:val="28"/>
          <w:rtl w:val="true"/>
          <w:lang w:bidi="ar-SA"/>
        </w:rPr>
        <w:t>لا يَجِبُ إذا دَلَّ الدليلُ علىٰ دخولِ شَرطٍ في الاستثناءِ أن يَدخُلَ‌</w:t>
      </w:r>
      <w:r>
        <w:rPr>
          <w:rStyle w:val="FootnoteAnchor"/>
          <w:rtl w:val="true"/>
        </w:rPr>
        <w:footnoteReference w:id="2355"/>
      </w:r>
      <w:r>
        <w:rPr>
          <w:rFonts w:ascii="Amiri" w:hAnsi="Amiri" w:eastAsia="Amiri" w:cs="Amiri"/>
          <w:color w:val="111111"/>
          <w:sz w:val="28"/>
          <w:sz w:val="28"/>
          <w:szCs w:val="28"/>
          <w:rtl w:val="true"/>
          <w:lang w:bidi="ar-SA"/>
        </w:rPr>
        <w:t>في المُستَثنىٰ منه مع إمكانِ حَملِه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الحالَ مِن غيرِ شَرطٍ، فكَيفَ يَجِبُ بدُخولِ الشرطِ في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أدّىٰ إليه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الشرطِ</w:t>
      </w:r>
      <w:r>
        <w:rPr>
          <w:rStyle w:val="FootnoteAnchor"/>
          <w:rtl w:val="true"/>
        </w:rPr>
        <w:footnoteReference w:id="2356"/>
      </w:r>
      <w:r>
        <w:rPr>
          <w:rFonts w:ascii="Amiri" w:hAnsi="Amiri" w:eastAsia="Amiri" w:cs="Amiri"/>
          <w:color w:val="111111"/>
          <w:sz w:val="28"/>
          <w:sz w:val="28"/>
          <w:szCs w:val="28"/>
          <w:rtl w:val="true"/>
          <w:lang w:bidi="ar-SA"/>
        </w:rPr>
        <w:t>في المُستَثنىٰ منه</w:t>
      </w:r>
      <w:r>
        <w:rPr>
          <w:rStyle w:val="FootnoteAnchor"/>
          <w:rtl w:val="true"/>
        </w:rPr>
        <w:footnoteReference w:id="2357"/>
      </w:r>
      <w:r>
        <w:rPr>
          <w:rFonts w:ascii="Amiri" w:hAnsi="Amiri" w:eastAsia="Amiri" w:cs="Amiri"/>
          <w:color w:val="111111"/>
          <w:sz w:val="28"/>
          <w:sz w:val="28"/>
          <w:szCs w:val="28"/>
          <w:rtl w:val="true"/>
          <w:lang w:bidi="ar-SA"/>
        </w:rPr>
        <w:t>؟ و هذا يُبيِّنُ أنّ الذي ذَكَروه لَو سَلَّمناه لَم يوجِبْ‌</w:t>
      </w:r>
      <w:r>
        <w:rPr>
          <w:rStyle w:val="FootnoteAnchor"/>
          <w:rtl w:val="true"/>
        </w:rPr>
        <w:footnoteReference w:id="2358"/>
      </w:r>
      <w:r>
        <w:rPr>
          <w:rFonts w:ascii="Amiri" w:hAnsi="Amiri" w:eastAsia="Amiri" w:cs="Amiri"/>
          <w:color w:val="111111"/>
          <w:sz w:val="28"/>
          <w:sz w:val="28"/>
          <w:szCs w:val="28"/>
          <w:rtl w:val="true"/>
          <w:lang w:bidi="ar-SA"/>
        </w:rPr>
        <w:t>ما قالوه، و كانَ يَجِبُ علىٰ هذا القولِ أن لا يَدخُلَ تحتَ الخبرِ</w:t>
      </w:r>
      <w:r>
        <w:rPr>
          <w:rStyle w:val="FootnoteAnchor"/>
          <w:rtl w:val="true"/>
        </w:rPr>
        <w:footnoteReference w:id="2359"/>
      </w:r>
      <w:r>
        <w:rPr>
          <w:rFonts w:ascii="Amiri" w:hAnsi="Amiri" w:eastAsia="Amiri" w:cs="Amiri"/>
          <w:color w:val="111111"/>
          <w:sz w:val="28"/>
          <w:sz w:val="28"/>
          <w:szCs w:val="28"/>
          <w:rtl w:val="true"/>
          <w:lang w:bidi="ar-SA"/>
        </w:rPr>
        <w:t>مَنزِلةٌ يَستَحِقُّها أميرُ المؤمنينَ‌</w:t>
      </w:r>
      <w:r>
        <w:rPr>
          <w:rStyle w:val="FootnoteAnchor"/>
          <w:rtl w:val="true"/>
        </w:rPr>
        <w:footnoteReference w:id="2360"/>
      </w:r>
      <w:r>
        <w:rPr>
          <w:rFonts w:ascii="Amiri" w:hAnsi="Amiri" w:eastAsia="Amiri" w:cs="Amiri"/>
          <w:color w:val="111111"/>
          <w:sz w:val="28"/>
          <w:sz w:val="28"/>
          <w:szCs w:val="28"/>
          <w:rtl w:val="true"/>
          <w:lang w:bidi="ar-SA"/>
        </w:rPr>
        <w:t xml:space="preserve">عليه السلامُ في حالِ حياةِ الرسولِ عليه السلامُ أصلاً؛ لأنّهم أوجَبوا في المُستَثنىٰ منه أن يَكونَ كالمُستَثنىٰ </w:t>
      </w:r>
      <w:r>
        <w:rPr>
          <w:rStyle w:val="FootnoteAnchor"/>
          <w:rtl w:val="true"/>
        </w:rPr>
        <w:footnoteReference w:id="2361"/>
      </w:r>
      <w:r>
        <w:rPr>
          <w:rFonts w:ascii="Amiri" w:hAnsi="Amiri" w:eastAsia="Amiri" w:cs="Amiri"/>
          <w:color w:val="111111"/>
          <w:sz w:val="28"/>
          <w:sz w:val="28"/>
          <w:szCs w:val="28"/>
          <w:rtl w:val="true"/>
          <w:lang w:bidi="ar-SA"/>
        </w:rPr>
        <w:t>في أنّه بَعدَ المَوتِ ،</w:t>
      </w:r>
    </w:p>
    <w:p>
      <w:pPr>
        <w:pStyle w:val="BookText"/>
        <w:rPr/>
      </w:pPr>
      <w:r>
        <w:rPr>
          <w:rFonts w:ascii="Amiri" w:hAnsi="Amiri" w:eastAsia="Amiri" w:cs="Amiri"/>
          <w:color w:val="111111"/>
          <w:sz w:val="28"/>
          <w:sz w:val="28"/>
          <w:szCs w:val="28"/>
          <w:rtl w:val="true"/>
          <w:lang w:bidi="ar-SA"/>
        </w:rPr>
        <w:t xml:space="preserve">و بُطلانُ ذلكَ يُبيِّنُ فَسادَ هذا القولِ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تحتَ الإثباتِ‌</w:t>
      </w:r>
      <w:r>
        <w:rPr>
          <w:rStyle w:val="FootnoteAnchor"/>
          <w:rtl w:val="true"/>
        </w:rPr>
        <w:footnoteReference w:id="2363"/>
      </w:r>
      <w:r>
        <w:rPr>
          <w:rFonts w:ascii="Amiri" w:hAnsi="Amiri" w:eastAsia="Amiri" w:cs="Amiri"/>
          <w:color w:val="111111"/>
          <w:sz w:val="28"/>
          <w:sz w:val="28"/>
          <w:szCs w:val="28"/>
          <w:rtl w:val="true"/>
          <w:lang w:bidi="ar-SA"/>
        </w:rPr>
        <w:t xml:space="preserve">حالُ الحياةِ و بَعدَ المماتِ ، فَصحَّ </w:t>
      </w:r>
    </w:p>
    <w:p>
      <w:pPr>
        <w:pStyle w:val="BookText"/>
        <w:rPr/>
      </w:pPr>
      <w:r>
        <w:rPr>
          <w:rFonts w:ascii="Amiri" w:hAnsi="Amiri" w:eastAsia="Amiri" w:cs="Amiri"/>
          <w:color w:val="111111"/>
          <w:sz w:val="28"/>
          <w:sz w:val="28"/>
          <w:szCs w:val="28"/>
          <w:rtl w:val="true"/>
          <w:lang w:bidi="ar-SA"/>
        </w:rPr>
        <w:t xml:space="preserve">الاستثناءُ منه و إن كانَ بَعدَ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جازَ في المُستَثنىٰ منه أن يَكونَ ثابتاً في الحالَينِ و إن كانَ الاستثناءُ لا يَحصُلُ إلّافي أحَدِهما، فما المانعُ مِن أن يَكونَ المُستَثنىٰ منه يَثبُتُ في حالِ الحياةِ </w:t>
      </w:r>
      <w:r>
        <w:rPr>
          <w:rStyle w:val="FootnoteAnchor"/>
          <w:rtl w:val="true"/>
        </w:rPr>
        <w:footnoteReference w:id="2364"/>
      </w:r>
      <w:r>
        <w:rPr>
          <w:rFonts w:ascii="Amiri" w:hAnsi="Amiri" w:eastAsia="Amiri" w:cs="Amiri"/>
          <w:color w:val="111111"/>
          <w:sz w:val="28"/>
          <w:sz w:val="28"/>
          <w:szCs w:val="28"/>
          <w:rtl w:val="true"/>
          <w:lang w:bidi="ar-SA"/>
        </w:rPr>
        <w:t>فقط علىٰ ما يَقتَضيهِ لَفظُه و إن كانَ المُستَثنىٰ لا يَحصُلُ إلّابَعدَ الوفاةِ على ما يَقتَضيهِ لفظُه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كُنّا متىٰ وَفَّينا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الإثباتُ‌</w:t>
      </w:r>
      <w:r>
        <w:rPr>
          <w:rStyle w:val="FootnoteAnchor"/>
          <w:rtl w:val="true"/>
        </w:rPr>
        <w:footnoteReference w:id="2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تَناوَلَ الحالَ‌، و إذا</w:t>
      </w:r>
      <w:r>
        <w:rPr>
          <w:rStyle w:val="FootnoteAnchor"/>
          <w:rtl w:val="true"/>
        </w:rPr>
        <w:footnoteReference w:id="2366"/>
      </w:r>
      <w:r>
        <w:rPr>
          <w:rFonts w:ascii="Amiri" w:hAnsi="Amiri" w:eastAsia="Amiri" w:cs="Amiri"/>
          <w:color w:val="111111"/>
          <w:sz w:val="28"/>
          <w:sz w:val="28"/>
          <w:szCs w:val="28"/>
          <w:rtl w:val="true"/>
          <w:lang w:bidi="ar-SA"/>
        </w:rPr>
        <w:t>وَفَّينا المُستَثنىٰ حَقَّه تَناوَلَ بَعدَ المَوتِ‌، و مِثلُ ذلكَ لا يَصِحُّ في الاستثناءِ‌، فيَجِبُ أن يُصرَفَ‌</w:t>
      </w:r>
      <w:r>
        <w:rPr>
          <w:rStyle w:val="FootnoteAnchor"/>
          <w:rtl w:val="true"/>
        </w:rPr>
        <w:footnoteReference w:id="2367"/>
      </w:r>
      <w:r>
        <w:rPr>
          <w:rFonts w:ascii="Amiri" w:hAnsi="Amiri" w:eastAsia="Amiri" w:cs="Amiri"/>
          <w:color w:val="111111"/>
          <w:sz w:val="28"/>
          <w:sz w:val="28"/>
          <w:szCs w:val="28"/>
          <w:rtl w:val="true"/>
          <w:lang w:bidi="ar-SA"/>
        </w:rPr>
        <w:t>الكلامُ عن الاستثناءِ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Style w:val="FootnoteAnchor"/>
          <w:rtl w:val="true"/>
        </w:rPr>
        <w:footnoteReference w:id="2368"/>
      </w:r>
      <w:r>
        <w:rPr>
          <w:rFonts w:ascii="Amiri" w:hAnsi="Amiri" w:eastAsia="Amiri" w:cs="Amiri"/>
          <w:color w:val="111111"/>
          <w:sz w:val="28"/>
          <w:sz w:val="28"/>
          <w:szCs w:val="28"/>
          <w:rtl w:val="true"/>
          <w:lang w:bidi="ar-SA"/>
        </w:rPr>
        <w:t>كانَ لفظُه لفظَ الاستثناءِ‌، فالمُرادُ به ما يَجري مَجرَى استئنافِ‌</w:t>
      </w:r>
      <w:r>
        <w:rPr>
          <w:rStyle w:val="FootnoteAnchor"/>
          <w:rtl w:val="true"/>
        </w:rPr>
        <w:footnoteReference w:id="2369"/>
      </w:r>
      <w:r>
        <w:rPr>
          <w:rFonts w:ascii="Amiri" w:hAnsi="Amiri" w:eastAsia="Amiri" w:cs="Amiri"/>
          <w:color w:val="111111"/>
          <w:sz w:val="28"/>
          <w:sz w:val="28"/>
          <w:szCs w:val="28"/>
          <w:rtl w:val="true"/>
          <w:lang w:bidi="ar-SA"/>
        </w:rPr>
        <w:t>كلامٍ يَكونُ القَصدُ به</w:t>
      </w:r>
      <w:r>
        <w:rPr>
          <w:rStyle w:val="FootnoteAnchor"/>
          <w:rtl w:val="true"/>
        </w:rPr>
        <w:footnoteReference w:id="2370"/>
      </w:r>
      <w:r>
        <w:rPr>
          <w:rFonts w:ascii="Amiri" w:hAnsi="Amiri" w:eastAsia="Amiri" w:cs="Amiri"/>
          <w:color w:val="111111"/>
          <w:sz w:val="28"/>
          <w:sz w:val="28"/>
          <w:szCs w:val="28"/>
          <w:rtl w:val="true"/>
          <w:lang w:bidi="ar-SA"/>
        </w:rPr>
        <w:t>إزالةَ الشُّبهةِ عن القُلوبِ ، فكأنّه عليه السلامُ ظَنَّ أنّه لَو أطلَقَ الكلامَ إطلاقاً</w:t>
      </w:r>
      <w:r>
        <w:rPr>
          <w:rStyle w:val="FootnoteAnchor"/>
          <w:rtl w:val="true"/>
        </w:rPr>
        <w:footnoteReference w:id="2371"/>
      </w:r>
      <w:r>
        <w:rPr>
          <w:rFonts w:ascii="Amiri" w:hAnsi="Amiri" w:eastAsia="Amiri" w:cs="Amiri"/>
          <w:color w:val="111111"/>
          <w:sz w:val="28"/>
          <w:sz w:val="28"/>
          <w:szCs w:val="28"/>
          <w:rtl w:val="true"/>
          <w:lang w:bidi="ar-SA"/>
        </w:rPr>
        <w:t xml:space="preserve">لَدَخَلَت الشُّبهةُ علىٰ قومٍ في أن يَكونَ </w:t>
      </w:r>
      <w:r>
        <w:rPr>
          <w:rStyle w:val="FootnoteAnchor"/>
          <w:rtl w:val="true"/>
        </w:rPr>
        <w:footnoteReference w:id="2372"/>
      </w:r>
      <w:r>
        <w:rPr>
          <w:rFonts w:ascii="Amiri" w:hAnsi="Amiri" w:eastAsia="Amiri" w:cs="Amiri"/>
          <w:color w:val="111111"/>
          <w:sz w:val="28"/>
          <w:sz w:val="28"/>
          <w:szCs w:val="28"/>
          <w:rtl w:val="true"/>
          <w:lang w:bidi="ar-SA"/>
        </w:rPr>
        <w:t>نَبيّاً بَعدَه</w:t>
      </w:r>
      <w:r>
        <w:rPr>
          <w:rStyle w:val="FootnoteAnchor"/>
          <w:rtl w:val="true"/>
        </w:rPr>
        <w:footnoteReference w:id="2373"/>
      </w:r>
      <w:r>
        <w:rPr>
          <w:rFonts w:ascii="Amiri" w:hAnsi="Amiri" w:eastAsia="Amiri" w:cs="Amiri"/>
          <w:color w:val="111111"/>
          <w:sz w:val="28"/>
          <w:sz w:val="28"/>
          <w:szCs w:val="28"/>
          <w:rtl w:val="true"/>
          <w:lang w:bidi="ar-SA"/>
        </w:rPr>
        <w:t>فيَجِبُ أن يَصرِفَ الكلامَ عن الاستثناءِ بَعدَه</w:t>
      </w:r>
      <w:r>
        <w:rPr>
          <w:rStyle w:val="FootnoteAnchor"/>
          <w:rtl w:val="true"/>
        </w:rPr>
        <w:footnoteReference w:id="2374"/>
      </w:r>
      <w:r>
        <w:rPr>
          <w:rFonts w:ascii="Amiri" w:hAnsi="Amiri" w:eastAsia="Amiri" w:cs="Amiri"/>
          <w:color w:val="111111"/>
          <w:sz w:val="28"/>
          <w:sz w:val="28"/>
          <w:szCs w:val="28"/>
          <w:rtl w:val="true"/>
          <w:lang w:bidi="ar-SA"/>
        </w:rPr>
        <w:t xml:space="preserve">فأزالَ هذه الشُّبهةَ بما يَجري مَجرَى المُبتَدإ مِن </w:t>
      </w:r>
      <w:bookmarkStart w:id="431" w:name="pg20017_202626"/>
    </w:p>
    <w:p>
      <w:pPr>
        <w:pStyle w:val="BookText"/>
        <w:rPr/>
      </w:pPr>
      <w:bookmarkEnd w:id="431"/>
      <w:r>
        <w:rPr>
          <w:rFonts w:ascii="Amiri" w:hAnsi="Amiri" w:eastAsia="Amiri" w:cs="Amiri"/>
          <w:color w:val="111111"/>
          <w:sz w:val="28"/>
          <w:sz w:val="28"/>
          <w:szCs w:val="28"/>
          <w:rtl w:val="true"/>
          <w:lang w:bidi="ar-SA"/>
        </w:rPr>
        <w:t>كلامِه</w:t>
      </w:r>
      <w:r>
        <w:rPr>
          <w:rStyle w:val="FootnoteAnchor"/>
          <w:rtl w:val="true"/>
        </w:rPr>
        <w:footnoteReference w:id="2375"/>
      </w:r>
      <w:r>
        <w:rPr>
          <w:rFonts w:ascii="Amiri" w:hAnsi="Amiri" w:eastAsia="Amiri" w:cs="Amiri"/>
          <w:color w:val="111111"/>
          <w:sz w:val="28"/>
          <w:sz w:val="28"/>
          <w:szCs w:val="28"/>
          <w:rtl w:val="true"/>
          <w:lang w:bidi="ar-SA"/>
        </w:rPr>
        <w:t xml:space="preserve">، فيَصيرُ 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عليُّ مِنّي في هذه الحالِ بمَنزِلةِ هارونَ مِن موسىٰ ، لكِنّه لا نَبيَّ بَعدي</w:t>
      </w:r>
      <w:r>
        <w:rPr>
          <w:rFonts w:eastAsia="Amiri" w:cs="Amiri" w:ascii="Amiri" w:hAnsi="Amiri"/>
          <w:color w:val="111111"/>
          <w:sz w:val="28"/>
          <w:szCs w:val="28"/>
          <w:rtl w:val="true"/>
          <w:lang w:bidi="ar-SA"/>
        </w:rPr>
        <w:t>»</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2" w:name="__RefHeading___Toc964301_2320776876"/>
      <w:bookmarkStart w:id="433" w:name="_Toc154"/>
      <w:bookmarkEnd w:id="432"/>
      <w:r>
        <w:rPr>
          <w:rtl w:val="true"/>
        </w:rPr>
        <w:t>نفي الحاجة إلى اشتراط العيش بعد النبيّ في دلالة الحديث</w:t>
      </w:r>
      <w:bookmarkEnd w:id="433"/>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يُحتاجُ إلَى الشرطِ الذي قَدَّرتَه</w:t>
      </w:r>
      <w:r>
        <w:rPr>
          <w:rStyle w:val="FootnoteAnchor"/>
          <w:rtl w:val="true"/>
        </w:rPr>
        <w:footnoteReference w:id="2377"/>
      </w:r>
      <w:r>
        <w:rPr>
          <w:rFonts w:ascii="Amiri" w:hAnsi="Amiri" w:eastAsia="Amiri" w:cs="Amiri"/>
          <w:color w:val="111111"/>
          <w:sz w:val="28"/>
          <w:sz w:val="28"/>
          <w:szCs w:val="28"/>
          <w:rtl w:val="true"/>
          <w:lang w:bidi="ar-SA"/>
        </w:rPr>
        <w:t>لأنّ الاستثناءَ إذا تَعلَّقَ بحالِ المَوتِ‌، و وَجَبَ أن يَكونَ ما أُثبِتَ بصَدرِ</w:t>
      </w:r>
      <w:r>
        <w:rPr>
          <w:rStyle w:val="FootnoteAnchor"/>
          <w:rtl w:val="true"/>
        </w:rPr>
        <w:footnoteReference w:id="2378"/>
      </w:r>
      <w:r>
        <w:rPr>
          <w:rFonts w:ascii="Amiri" w:hAnsi="Amiri" w:eastAsia="Amiri" w:cs="Amiri"/>
          <w:color w:val="111111"/>
          <w:sz w:val="28"/>
          <w:sz w:val="28"/>
          <w:szCs w:val="28"/>
          <w:rtl w:val="true"/>
          <w:lang w:bidi="ar-SA"/>
        </w:rPr>
        <w:t>الكلامِ مِن المَنازِلِ مقصوداً به إلىٰ هذه</w:t>
      </w:r>
    </w:p>
    <w:p>
      <w:pPr>
        <w:pStyle w:val="BookText"/>
        <w:rPr/>
      </w:pPr>
      <w:r>
        <w:rPr>
          <w:rFonts w:ascii="Amiri" w:hAnsi="Amiri" w:eastAsia="Amiri" w:cs="Amiri"/>
          <w:color w:val="111111"/>
          <w:sz w:val="28"/>
          <w:sz w:val="28"/>
          <w:szCs w:val="28"/>
          <w:rtl w:val="true"/>
          <w:lang w:bidi="ar-SA"/>
        </w:rPr>
        <w:t>الحالِ لتَحصُلَ‌</w:t>
      </w:r>
      <w:r>
        <w:rPr>
          <w:rStyle w:val="FootnoteAnchor"/>
          <w:rtl w:val="true"/>
        </w:rPr>
        <w:footnoteReference w:id="2379"/>
      </w:r>
      <w:r>
        <w:rPr>
          <w:rFonts w:ascii="Amiri" w:hAnsi="Amiri" w:eastAsia="Amiri" w:cs="Amiri"/>
          <w:color w:val="111111"/>
          <w:sz w:val="28"/>
          <w:sz w:val="28"/>
          <w:szCs w:val="28"/>
          <w:rtl w:val="true"/>
          <w:lang w:bidi="ar-SA"/>
        </w:rPr>
        <w:t xml:space="preserve">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بيّنّاه في كلامِنا</w:t>
      </w:r>
      <w:r>
        <w:rPr>
          <w:rStyle w:val="FootnoteAnchor"/>
          <w:rtl w:val="true"/>
        </w:rPr>
        <w:footnoteReference w:id="2380"/>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فالشرطُ مُستَغنىً عنه فيما استُثنيَ </w:t>
      </w:r>
      <w:r>
        <w:rPr>
          <w:rStyle w:val="FootnoteAnchor"/>
          <w:rtl w:val="true"/>
        </w:rPr>
        <w:footnoteReference w:id="2381"/>
      </w:r>
      <w:r>
        <w:rPr>
          <w:rFonts w:ascii="Amiri" w:hAnsi="Amiri" w:eastAsia="Amiri" w:cs="Amiri"/>
          <w:color w:val="111111"/>
          <w:sz w:val="28"/>
          <w:sz w:val="28"/>
          <w:szCs w:val="28"/>
          <w:rtl w:val="true"/>
          <w:lang w:bidi="ar-SA"/>
        </w:rPr>
        <w:t xml:space="preserve">و فيما استُثنيَ منه؛ لأنّ ما أثبَتَه مِن المَنازِلِ بَعدَه لا بُدَّ فيه مِن القَطعِ </w:t>
      </w:r>
      <w:r>
        <w:rPr>
          <w:rStyle w:val="FootnoteAnchor"/>
          <w:rtl w:val="true"/>
        </w:rPr>
        <w:footnoteReference w:id="2382"/>
      </w:r>
      <w:r>
        <w:rPr>
          <w:rFonts w:ascii="Amiri" w:hAnsi="Amiri" w:eastAsia="Amiri" w:cs="Amiri"/>
          <w:color w:val="111111"/>
          <w:sz w:val="28"/>
          <w:sz w:val="28"/>
          <w:szCs w:val="28"/>
          <w:rtl w:val="true"/>
          <w:lang w:bidi="ar-SA"/>
        </w:rPr>
        <w:t xml:space="preserve">المُنافي لتقديرِ الشرطِ، و ما نَفاه بالاستثناءِ مِن مَنزِلةِ النبوّةِ تَناوَلَ </w:t>
      </w:r>
      <w:r>
        <w:rPr>
          <w:rStyle w:val="FootnoteAnchor"/>
          <w:rtl w:val="true"/>
        </w:rPr>
        <w:footnoteReference w:id="2383"/>
      </w:r>
      <w:r>
        <w:rPr>
          <w:rFonts w:ascii="Amiri" w:hAnsi="Amiri" w:eastAsia="Amiri" w:cs="Amiri"/>
          <w:color w:val="111111"/>
          <w:sz w:val="28"/>
          <w:sz w:val="28"/>
          <w:szCs w:val="28"/>
          <w:rtl w:val="true"/>
          <w:lang w:bidi="ar-SA"/>
        </w:rPr>
        <w:t xml:space="preserve">مَنزِلةً لَولاه لَثَبَتَ </w:t>
      </w:r>
      <w:r>
        <w:rPr>
          <w:rStyle w:val="FootnoteAnchor"/>
          <w:rtl w:val="true"/>
        </w:rPr>
        <w:footnoteReference w:id="2384"/>
      </w:r>
      <w:r>
        <w:rPr>
          <w:rFonts w:ascii="Amiri" w:hAnsi="Amiri" w:eastAsia="Amiri" w:cs="Amiri"/>
          <w:color w:val="111111"/>
          <w:sz w:val="28"/>
          <w:sz w:val="28"/>
          <w:szCs w:val="28"/>
          <w:rtl w:val="true"/>
          <w:lang w:bidi="ar-SA"/>
        </w:rPr>
        <w:t>قَطعاً أيضاً بغَيرِ شَرطٍ</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964303_2320776876"/>
      <w:bookmarkStart w:id="435" w:name="_Toc155"/>
      <w:bookmarkEnd w:id="434"/>
      <w:r>
        <w:rPr>
          <w:rtl w:val="true"/>
        </w:rPr>
        <w:t>وجوب المطابقة بين الاستثناء و المستثنىٰ منه</w:t>
      </w:r>
      <w:bookmarkEnd w:id="43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يَجِبُ بدخولِ الشرطِ</w:t>
      </w:r>
      <w:r>
        <w:rPr>
          <w:rStyle w:val="FootnoteAnchor"/>
          <w:rtl w:val="true"/>
        </w:rPr>
        <w:footnoteReference w:id="2385"/>
      </w:r>
      <w:r>
        <w:rPr>
          <w:rFonts w:ascii="Amiri" w:hAnsi="Amiri" w:eastAsia="Amiri" w:cs="Amiri"/>
          <w:color w:val="111111"/>
          <w:sz w:val="28"/>
          <w:sz w:val="28"/>
          <w:szCs w:val="28"/>
          <w:rtl w:val="true"/>
          <w:lang w:bidi="ar-SA"/>
        </w:rPr>
        <w:t xml:space="preserve">في الاستثناءِ أن يَدخُلَ في المُستَثنىٰ </w:t>
      </w:r>
      <w:bookmarkStart w:id="436" w:name="pg20017_202627"/>
    </w:p>
    <w:p>
      <w:pPr>
        <w:pStyle w:val="BookText"/>
        <w:rPr/>
      </w:pPr>
      <w:bookmarkEnd w:id="436"/>
      <w:r>
        <w:rPr>
          <w:rFonts w:ascii="Amiri" w:hAnsi="Amiri" w:eastAsia="Amiri" w:cs="Amiri"/>
          <w:color w:val="111111"/>
          <w:sz w:val="28"/>
          <w:sz w:val="28"/>
          <w:szCs w:val="28"/>
          <w:rtl w:val="true"/>
          <w:lang w:bidi="ar-SA"/>
        </w:rPr>
        <w:t>منه مع إمكانِ حَملِه</w:t>
      </w:r>
      <w:r>
        <w:rPr>
          <w:rStyle w:val="FootnoteAnchor"/>
          <w:rtl w:val="true"/>
        </w:rPr>
        <w:footnoteReference w:id="2386"/>
      </w:r>
      <w:r>
        <w:rPr>
          <w:rFonts w:ascii="Amiri" w:hAnsi="Amiri" w:eastAsia="Amiri" w:cs="Amiri"/>
          <w:color w:val="111111"/>
          <w:sz w:val="28"/>
          <w:sz w:val="28"/>
          <w:szCs w:val="28"/>
          <w:rtl w:val="true"/>
          <w:lang w:bidi="ar-SA"/>
        </w:rPr>
        <w:t>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سَقَطَ بما ذَكَرناه</w:t>
      </w:r>
      <w:r>
        <w:rPr>
          <w:rStyle w:val="FootnoteAnchor"/>
          <w:rtl w:val="true"/>
        </w:rPr>
        <w:footnoteReference w:id="2387"/>
      </w:r>
      <w:r>
        <w:rPr>
          <w:rFonts w:ascii="Amiri" w:hAnsi="Amiri" w:eastAsia="Amiri" w:cs="Amiri"/>
          <w:color w:val="111111"/>
          <w:sz w:val="28"/>
          <w:sz w:val="28"/>
          <w:szCs w:val="28"/>
          <w:rtl w:val="true"/>
          <w:lang w:bidi="ar-SA"/>
        </w:rPr>
        <w:t>، يَفسُدُ أيضاً بما اعتَرَفَ به مِن وجوبِ مُطابَقةِ الاستثناءِ للمُستَثنىٰ منه؛ لأنّ الاستثناءَ إذا دَخَلَ فيه الشرطُ الذي قَدَّرَه، و لَم يَدخُلِ المُستَثنىٰ منه، فقَد تَعلَّقَ بحالٍ لا يَقتَضيها صَدرُ</w:t>
      </w:r>
      <w:r>
        <w:rPr>
          <w:rStyle w:val="FootnoteAnchor"/>
          <w:rtl w:val="true"/>
        </w:rPr>
        <w:footnoteReference w:id="2388"/>
      </w:r>
      <w:r>
        <w:rPr>
          <w:rFonts w:ascii="Amiri" w:hAnsi="Amiri" w:eastAsia="Amiri" w:cs="Amiri"/>
          <w:color w:val="111111"/>
          <w:sz w:val="28"/>
          <w:sz w:val="28"/>
          <w:szCs w:val="28"/>
          <w:rtl w:val="true"/>
          <w:lang w:bidi="ar-SA"/>
        </w:rPr>
        <w:t xml:space="preserve">الكلامِ‌، و لا يَنطَوي ما أثبَتَه مِن المَنازِلِ عليها؛ فلا فَرقَ بَينَ أن يَستَثنيَ النبوّةَ بَعدَ الوفاةِ 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غيرَ داخلةٍ فيما تَقدَّمَ‌</w:t>
      </w:r>
      <w:r>
        <w:rPr>
          <w:rStyle w:val="FootnoteAnchor"/>
          <w:rtl w:val="true"/>
        </w:rPr>
        <w:footnoteReference w:id="2389"/>
      </w:r>
      <w:r>
        <w:rPr>
          <w:rFonts w:ascii="Amiri" w:hAnsi="Amiri" w:eastAsia="Amiri" w:cs="Amiri"/>
          <w:color w:val="111111"/>
          <w:sz w:val="28"/>
          <w:sz w:val="28"/>
          <w:szCs w:val="28"/>
          <w:rtl w:val="true"/>
          <w:lang w:bidi="ar-SA"/>
        </w:rPr>
        <w:t xml:space="preserve">، و لا كانَ ما أثبَتَه مِن المَنازِلِ مُتعلِّقاً بحالِ الوفاةِ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يَستَثنيَ غيرَها ممّا لا يَدخُلُ تَحتَ ما أثبَتَه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مُفسِدٌ لحقيقةِ الاستثناءِ‌، و مُخرِجٌ له عمّا وُضِعَ له؛ فوَجَبَ بهذه</w:t>
      </w:r>
      <w:r>
        <w:rPr>
          <w:rStyle w:val="FootnoteAnchor"/>
          <w:rtl w:val="true"/>
        </w:rPr>
        <w:footnoteReference w:id="2390"/>
      </w: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صِرنا إلىٰ ما ادَّعاه مِن إثباتِ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 في الأمرَينِ </w:t>
      </w:r>
      <w:r>
        <w:rPr>
          <w:rStyle w:val="FootnoteAnchor"/>
          <w:rtl w:val="true"/>
        </w:rPr>
        <w:footnoteReference w:id="2391"/>
      </w:r>
      <w:r>
        <w:rPr>
          <w:rFonts w:ascii="Amiri" w:hAnsi="Amiri" w:eastAsia="Amiri" w:cs="Amiri"/>
          <w:color w:val="111111"/>
          <w:sz w:val="28"/>
          <w:sz w:val="28"/>
          <w:szCs w:val="28"/>
          <w:rtl w:val="true"/>
          <w:lang w:bidi="ar-SA"/>
        </w:rPr>
        <w:t xml:space="preserve">ليَتِمَّ المُطابَقةُ ، و تَثبُتَ </w:t>
      </w:r>
      <w:r>
        <w:rPr>
          <w:rStyle w:val="FootnoteAnchor"/>
          <w:rtl w:val="true"/>
        </w:rPr>
        <w:footnoteReference w:id="2392"/>
      </w:r>
      <w:r>
        <w:rPr>
          <w:rFonts w:ascii="Amiri" w:hAnsi="Amiri" w:eastAsia="Amiri" w:cs="Amiri"/>
          <w:color w:val="111111"/>
          <w:sz w:val="28"/>
          <w:sz w:val="28"/>
          <w:szCs w:val="28"/>
          <w:rtl w:val="true"/>
          <w:lang w:bidi="ar-SA"/>
        </w:rPr>
        <w:t xml:space="preserve">حقيقةُ الاستثناءِ </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964305_2320776876"/>
      <w:bookmarkStart w:id="438" w:name="_Toc156"/>
      <w:bookmarkEnd w:id="437"/>
      <w:r>
        <w:rPr>
          <w:rtl w:val="true"/>
        </w:rPr>
        <w:t>نفي خروج الاستثناء في الحديث عن حقيقته إذا تناول ما بعد الموت</w:t>
      </w:r>
      <w:bookmarkEnd w:id="43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ما ذَكَرَه</w:t>
      </w:r>
      <w:r>
        <w:rPr>
          <w:rStyle w:val="FootnoteAnchor"/>
          <w:rtl w:val="true"/>
        </w:rPr>
        <w:footnoteReference w:id="2393"/>
      </w:r>
      <w:r>
        <w:rPr>
          <w:rFonts w:ascii="Amiri" w:hAnsi="Amiri" w:eastAsia="Amiri" w:cs="Amiri"/>
          <w:color w:val="111111"/>
          <w:sz w:val="28"/>
          <w:sz w:val="28"/>
          <w:szCs w:val="28"/>
          <w:rtl w:val="true"/>
          <w:lang w:bidi="ar-SA"/>
        </w:rPr>
        <w:t>في آخِرِ الفَصلِ‌، مِن ادّعاءِ استئنافِ الكلامِ‌</w:t>
      </w:r>
      <w:r>
        <w:rPr>
          <w:rStyle w:val="FootnoteAnchor"/>
          <w:rtl w:val="true"/>
        </w:rPr>
        <w:footnoteReference w:id="2394"/>
      </w:r>
      <w:r>
        <w:rPr>
          <w:rFonts w:ascii="Amiri" w:hAnsi="Amiri" w:eastAsia="Amiri" w:cs="Amiri"/>
          <w:color w:val="111111"/>
          <w:sz w:val="28"/>
          <w:sz w:val="28"/>
          <w:szCs w:val="28"/>
          <w:rtl w:val="true"/>
          <w:lang w:bidi="ar-SA"/>
        </w:rPr>
        <w:t>و إخراجِه عن بابِ الاستثناءِ ، بشَيءٍ ؛ لأنّه لمّا رأىٰ أنّ تأويلَه يُبطِلُ حقيقةَ الاستثناءِ و ما يَجبُ مِن مُطابَقتِه للمُستَثنىٰ منه، حَمَلَ نفسَه علىٰ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w:t>
      </w:r>
      <w:r>
        <w:rPr>
          <w:rStyle w:val="FootnoteAnchor"/>
          <w:rtl w:val="true"/>
        </w:rPr>
        <w:footnoteReference w:id="2395"/>
      </w:r>
      <w:r>
        <w:rPr>
          <w:rFonts w:ascii="Amiri" w:hAnsi="Amiri" w:eastAsia="Amiri" w:cs="Amiri"/>
          <w:color w:val="111111"/>
          <w:sz w:val="28"/>
          <w:sz w:val="28"/>
          <w:szCs w:val="28"/>
          <w:rtl w:val="true"/>
          <w:lang w:bidi="ar-SA"/>
        </w:rPr>
        <w:t xml:space="preserve">الكلامِ يَقتَضي خِلافَ </w:t>
      </w:r>
      <w:bookmarkStart w:id="439" w:name="pg20017_202628"/>
    </w:p>
    <w:p>
      <w:pPr>
        <w:pStyle w:val="BookText"/>
        <w:rPr/>
      </w:pPr>
      <w:bookmarkEnd w:id="439"/>
      <w:r>
        <w:rPr>
          <w:rFonts w:ascii="Amiri" w:hAnsi="Amiri" w:eastAsia="Amiri" w:cs="Amiri"/>
          <w:color w:val="111111"/>
          <w:sz w:val="28"/>
          <w:sz w:val="28"/>
          <w:szCs w:val="28"/>
          <w:rtl w:val="true"/>
          <w:lang w:bidi="ar-SA"/>
        </w:rPr>
        <w:t xml:space="preserve">ما قالَه؛ لأنّ إيرادَ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جُملةٍ مُتقدِّمةٍ لا يَكونُ </w:t>
      </w:r>
      <w:r>
        <w:rPr>
          <w:rStyle w:val="FootnoteAnchor"/>
          <w:rtl w:val="true"/>
        </w:rPr>
        <w:footnoteReference w:id="2396"/>
      </w:r>
      <w:r>
        <w:rPr>
          <w:rFonts w:ascii="Amiri" w:hAnsi="Amiri" w:eastAsia="Amiri" w:cs="Amiri"/>
          <w:color w:val="111111"/>
          <w:sz w:val="28"/>
          <w:sz w:val="28"/>
          <w:szCs w:val="28"/>
          <w:rtl w:val="true"/>
          <w:lang w:bidi="ar-SA"/>
        </w:rPr>
        <w:t>إلّاللاستثناءِ حقيقةً ، و إنّما يُحمَلُ في بعضِ المَواضِعِ علَى الابتداءِ و الاستينافِ أيضاً</w:t>
      </w:r>
      <w:r>
        <w:rPr>
          <w:rStyle w:val="FootnoteAnchor"/>
          <w:rtl w:val="true"/>
        </w:rPr>
        <w:footnoteReference w:id="2397"/>
      </w:r>
      <w:r>
        <w:rPr>
          <w:rFonts w:ascii="Amiri" w:hAnsi="Amiri" w:eastAsia="Amiri" w:cs="Amiri"/>
          <w:color w:val="111111"/>
          <w:sz w:val="28"/>
          <w:sz w:val="28"/>
          <w:szCs w:val="28"/>
          <w:rtl w:val="true"/>
          <w:lang w:bidi="ar-SA"/>
        </w:rPr>
        <w:t>ضَرورةً و</w:t>
      </w:r>
      <w:r>
        <w:rPr>
          <w:rStyle w:val="FootnoteAnchor"/>
          <w:rtl w:val="true"/>
        </w:rPr>
        <w:footnoteReference w:id="2398"/>
      </w:r>
      <w:r>
        <w:rPr>
          <w:rFonts w:ascii="Amiri" w:hAnsi="Amiri" w:eastAsia="Amiri" w:cs="Amiri"/>
          <w:color w:val="111111"/>
          <w:sz w:val="28"/>
          <w:sz w:val="28"/>
          <w:szCs w:val="28"/>
          <w:rtl w:val="true"/>
          <w:lang w:bidi="ar-SA"/>
        </w:rPr>
        <w:t>علىٰ سَبيلِ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لنا أن نَعدِلَ عن الحقيقةِ إلَى المَجازِ بغَيرِ 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ادّعاؤه أنّ الذي يوجِبُ إخراجَ‌</w:t>
      </w:r>
      <w:r>
        <w:rPr>
          <w:rStyle w:val="FootnoteAnchor"/>
          <w:rtl w:val="true"/>
        </w:rPr>
        <w:footnoteReference w:id="2399"/>
      </w:r>
      <w:r>
        <w:rPr>
          <w:rFonts w:ascii="Amiri" w:hAnsi="Amiri" w:eastAsia="Amiri" w:cs="Amiri"/>
          <w:color w:val="111111"/>
          <w:sz w:val="28"/>
          <w:sz w:val="28"/>
          <w:szCs w:val="28"/>
          <w:rtl w:val="true"/>
          <w:lang w:bidi="ar-SA"/>
        </w:rPr>
        <w:t>الكلامِ عن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لبَعدِ المَوتِ‌، مع أنّ المُستَثنىٰ منه مِن حَقِّه أن يَتناوَلَ الحالَ‌، غيرُ صحيحٍ‌؛ لأنّ ذلكَ إنّما كانَ‌</w:t>
      </w:r>
      <w:r>
        <w:rPr>
          <w:rStyle w:val="FootnoteAnchor"/>
          <w:rtl w:val="true"/>
        </w:rPr>
        <w:footnoteReference w:id="2400"/>
      </w:r>
      <w:r>
        <w:rPr>
          <w:rFonts w:ascii="Amiri" w:hAnsi="Amiri" w:eastAsia="Amiri" w:cs="Amiri"/>
          <w:color w:val="111111"/>
          <w:sz w:val="28"/>
          <w:sz w:val="28"/>
          <w:szCs w:val="28"/>
          <w:rtl w:val="true"/>
          <w:lang w:bidi="ar-SA"/>
        </w:rPr>
        <w:t xml:space="preserve">يَجِبُ لَو لَم يَكُن لنا عنه مَندوحةٌ ، فأمّا مع إمكانِ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تَناوُلِ المُستَثنىٰ منه للحالِ التي تَعلَّقَ الاستثناءُ بها، و إعطاءِ الاستثناءِ ما يَقتَضيهِ حقيقتُه</w:t>
      </w:r>
      <w:r>
        <w:rPr>
          <w:rStyle w:val="FootnoteAnchor"/>
          <w:rtl w:val="true"/>
        </w:rPr>
        <w:footnoteReference w:id="2401"/>
      </w:r>
      <w:r>
        <w:rPr>
          <w:rFonts w:ascii="Amiri" w:hAnsi="Amiri" w:eastAsia="Amiri" w:cs="Amiri"/>
          <w:color w:val="111111"/>
          <w:sz w:val="28"/>
          <w:sz w:val="28"/>
          <w:szCs w:val="28"/>
          <w:rtl w:val="true"/>
          <w:lang w:bidi="ar-SA"/>
        </w:rPr>
        <w:t>مِن المُطابَقةِ</w:t>
      </w:r>
    </w:p>
    <w:p>
      <w:pPr>
        <w:pStyle w:val="BookText"/>
        <w:rPr/>
      </w:pP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لِما ذَكرَه، مِن العُدولِ عن الظاهرِ مِن الكلامِ ، و جَعلِ ما ظاهرُه يَقتَضي الاستثناءَ لغَيرهِ </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964307_2320776876"/>
      <w:bookmarkStart w:id="441" w:name="_Toc157"/>
      <w:bookmarkEnd w:id="440"/>
      <w:r>
        <w:rPr>
          <w:rtl w:val="true"/>
        </w:rPr>
        <w:t>عدم دلالة الحديث علىٰ منازل أمير المؤمنين عليه السلام في حال حياة النبيّ صلى الله عليه و آله</w:t>
      </w:r>
      <w:bookmarkEnd w:id="44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يَجِبُ أن لا يَدخُلَ تحتَ الخبرِ مَنزِلةٌ يَستَحِقُّها أميرُ المؤمنينَ </w:t>
      </w:r>
      <w:r>
        <w:rPr>
          <w:rStyle w:val="FootnoteAnchor"/>
          <w:rtl w:val="true"/>
        </w:rPr>
        <w:footnoteReference w:id="2402"/>
      </w:r>
      <w:r>
        <w:rPr>
          <w:rFonts w:ascii="Amiri" w:hAnsi="Amiri" w:eastAsia="Amiri" w:cs="Amiri"/>
          <w:color w:val="111111"/>
          <w:sz w:val="28"/>
          <w:sz w:val="28"/>
          <w:szCs w:val="28"/>
          <w:rtl w:val="true"/>
          <w:lang w:bidi="ar-SA"/>
        </w:rPr>
        <w:t xml:space="preserve">عليه السلامُ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واجبٌ علىٰ قولِ مَن جَعَلَ الاستثناءَ مُتَعلِّقاً ببَعدِ المَوتِ ، لا ببَعدِ</w:t>
      </w:r>
      <w:r>
        <w:rPr>
          <w:rStyle w:val="FootnoteAnchor"/>
          <w:rtl w:val="true"/>
        </w:rPr>
        <w:footnoteReference w:id="2403"/>
      </w:r>
      <w:r>
        <w:rPr>
          <w:rFonts w:ascii="Amiri" w:hAnsi="Amiri" w:eastAsia="Amiri" w:cs="Amiri"/>
          <w:color w:val="111111"/>
          <w:sz w:val="28"/>
          <w:sz w:val="28"/>
          <w:szCs w:val="28"/>
          <w:rtl w:val="true"/>
          <w:lang w:bidi="ar-SA"/>
        </w:rPr>
        <w:t>النبوّةِ ؛ لأنّ الغرضَ عندَهم</w:t>
      </w:r>
      <w:r>
        <w:rPr>
          <w:rStyle w:val="FootnoteAnchor"/>
          <w:rtl w:val="true"/>
        </w:rPr>
        <w:footnoteReference w:id="2404"/>
      </w:r>
      <w:r>
        <w:rPr>
          <w:rFonts w:ascii="Amiri" w:hAnsi="Amiri" w:eastAsia="Amiri" w:cs="Amiri"/>
          <w:color w:val="111111"/>
          <w:sz w:val="28"/>
          <w:sz w:val="28"/>
          <w:szCs w:val="28"/>
          <w:rtl w:val="true"/>
          <w:lang w:bidi="ar-SA"/>
        </w:rPr>
        <w:t xml:space="preserve">بهذا الخبرِ النصُّ علَى الإمامةِ بَعدَ </w:t>
      </w:r>
    </w:p>
    <w:p>
      <w:pPr>
        <w:pStyle w:val="BookText"/>
        <w:rPr/>
      </w:pPr>
      <w:r>
        <w:rPr>
          <w:rFonts w:ascii="Amiri" w:hAnsi="Amiri" w:eastAsia="Amiri" w:cs="Amiri"/>
          <w:color w:val="111111"/>
          <w:sz w:val="28"/>
          <w:sz w:val="28"/>
          <w:szCs w:val="28"/>
          <w:rtl w:val="true"/>
          <w:lang w:bidi="ar-SA"/>
        </w:rPr>
        <w:t>الوفاةِ‌، فإذا بَيَّنوا</w:t>
      </w:r>
      <w:r>
        <w:rPr>
          <w:rStyle w:val="FootnoteAnchor"/>
          <w:rtl w:val="true"/>
        </w:rPr>
        <w:footnoteReference w:id="2405"/>
      </w:r>
      <w:r>
        <w:rPr>
          <w:rFonts w:ascii="Amiri" w:hAnsi="Amiri" w:eastAsia="Amiri" w:cs="Amiri"/>
          <w:color w:val="111111"/>
          <w:sz w:val="28"/>
          <w:sz w:val="28"/>
          <w:szCs w:val="28"/>
          <w:rtl w:val="true"/>
          <w:lang w:bidi="ar-SA"/>
        </w:rPr>
        <w:t>أنّ الخبرَ يَقتَضيها، فقَد تَمَّ الغرضُ‌، و إن كانَ مَن يَجِبُ له مَنزِلةُ الإمامةِ لا بُدَّ أن يَكونَ في الحالِ‌</w:t>
      </w:r>
      <w:r>
        <w:rPr>
          <w:rStyle w:val="FootnoteAnchor"/>
          <w:rtl w:val="true"/>
        </w:rPr>
        <w:footnoteReference w:id="2406"/>
      </w:r>
      <w:r>
        <w:rPr>
          <w:rFonts w:ascii="Amiri" w:hAnsi="Amiri" w:eastAsia="Amiri" w:cs="Amiri"/>
          <w:color w:val="111111"/>
          <w:sz w:val="28"/>
          <w:sz w:val="28"/>
          <w:szCs w:val="28"/>
          <w:rtl w:val="true"/>
          <w:lang w:bidi="ar-SA"/>
        </w:rPr>
        <w:t>علىٰ أحوالٍ مِن الفَضلِ و غيرِه لا يَقتَضيها في الحالِ ظاهرُ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نَجِدْه عَوَّلَ في إبطالِ قولِ مَن ذَكرناه علىٰ أكثَرَ مِن ادّعاءِ بُطلانِه و فَسادِه</w:t>
      </w:r>
      <w:r>
        <w:rPr>
          <w:rStyle w:val="FootnoteAnchor"/>
          <w:rtl w:val="true"/>
        </w:rPr>
        <w:footnoteReference w:id="2407"/>
      </w:r>
      <w:r>
        <w:rPr>
          <w:rFonts w:ascii="Amiri" w:hAnsi="Amiri" w:eastAsia="Amiri" w:cs="Amiri"/>
          <w:color w:val="111111"/>
          <w:sz w:val="28"/>
          <w:sz w:val="28"/>
          <w:szCs w:val="28"/>
          <w:rtl w:val="true"/>
          <w:lang w:bidi="ar-SA"/>
        </w:rPr>
        <w:t>مِن غيرِ إيرادِ ما يَجرِي مَجرَى الحُجّةِ أو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w:t>
      </w:r>
      <w:r>
        <w:rPr>
          <w:rStyle w:val="FootnoteAnchor"/>
          <w:rtl w:val="true"/>
        </w:rPr>
        <w:footnoteReference w:id="2408"/>
      </w:r>
      <w:r>
        <w:rPr>
          <w:rFonts w:ascii="Amiri" w:hAnsi="Amiri" w:eastAsia="Amiri" w:cs="Amiri"/>
          <w:color w:val="111111"/>
          <w:sz w:val="28"/>
          <w:sz w:val="28"/>
          <w:szCs w:val="28"/>
          <w:rtl w:val="true"/>
          <w:lang w:bidi="ar-SA"/>
        </w:rPr>
        <w:t>قولِ مَن جَعَلَ النفيَ مُتعلِّقاً ببَعدِ النبوّةِ ، و عَمَّ به أحوالَ الحياةِ و الوفاةِ ، فإنّه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ظاهرَ الخبرِ مُقتَضياً لإثباتِ جميعِ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أخرَجَه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Style w:val="FootnoteAnchor"/>
          <w:rtl w:val="true"/>
        </w:rPr>
        <w:footnoteReference w:id="2409"/>
      </w:r>
      <w:r>
        <w:rPr>
          <w:rFonts w:ascii="Amiri" w:hAnsi="Amiri" w:eastAsia="Amiri" w:cs="Amiri"/>
          <w:color w:val="111111"/>
          <w:sz w:val="28"/>
          <w:sz w:val="28"/>
          <w:szCs w:val="28"/>
          <w:rtl w:val="true"/>
          <w:lang w:bidi="ar-SA"/>
        </w:rPr>
        <w:t>الأحوالِ التي تَعلَّق نفيُ النبوّةِ بها؛ و هي أحوالُ الحياةِ و الوفاةِ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يَخُصُّ بذلكَ المُستَثنىٰ منه، دونَ المستَثنىٰ ، علىٰ ما سَألَ صاحبُ الكتابِ نفسَه عنه</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Style w:val="FootnoteAnchor"/>
          <w:rtl w:val="true"/>
        </w:rPr>
        <w:footnoteReference w:id="2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أُخرِجَت مَنزِلةُ الإمامةِ مِن الثبوتِ في جميعِ أحوالِ‌</w:t>
      </w:r>
      <w:r>
        <w:rPr>
          <w:rStyle w:val="FootnoteAnchor"/>
          <w:rtl w:val="true"/>
        </w:rPr>
        <w:footnoteReference w:id="2412"/>
      </w:r>
      <w:r>
        <w:rPr>
          <w:rFonts w:ascii="Amiri" w:hAnsi="Amiri" w:eastAsia="Amiri" w:cs="Amiri"/>
          <w:color w:val="111111"/>
          <w:sz w:val="28"/>
          <w:sz w:val="28"/>
          <w:szCs w:val="28"/>
          <w:rtl w:val="true"/>
          <w:lang w:bidi="ar-SA"/>
        </w:rPr>
        <w:t xml:space="preserve">الحياةِ ، أو مِن الاستمرارِ في جميعِ أحوالِ الوفاةِ ، فلِدليلٍ </w:t>
      </w:r>
      <w:r>
        <w:rPr>
          <w:rStyle w:val="FootnoteAnchor"/>
          <w:rtl w:val="true"/>
        </w:rPr>
        <w:footnoteReference w:id="2413"/>
      </w:r>
      <w:r>
        <w:rPr>
          <w:rFonts w:ascii="Amiri" w:hAnsi="Amiri" w:eastAsia="Amiri" w:cs="Amiri"/>
          <w:color w:val="111111"/>
          <w:sz w:val="28"/>
          <w:sz w:val="28"/>
          <w:szCs w:val="28"/>
          <w:rtl w:val="true"/>
          <w:lang w:bidi="ar-SA"/>
        </w:rPr>
        <w:t>اقتَضَى الانصرافَ عن الظاهرِ، يَجِبُ العملُ به، و التمسُّكُ بما عَداه مِن مُقتَضَى الظاهرِ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w:t>
      </w:r>
      <w:r>
        <w:rPr>
          <w:rStyle w:val="FootnoteAnchor"/>
          <w:rtl w:val="true"/>
        </w:rPr>
        <w:footnoteReference w:id="2414"/>
      </w:r>
      <w:r>
        <w:rPr>
          <w:rFonts w:ascii="Amiri" w:hAnsi="Amiri" w:eastAsia="Amiri" w:cs="Amiri"/>
          <w:color w:val="111111"/>
          <w:sz w:val="28"/>
          <w:sz w:val="28"/>
          <w:szCs w:val="28"/>
          <w:rtl w:val="true"/>
          <w:lang w:bidi="ar-SA"/>
        </w:rPr>
        <w:t>قيلَ له</w:t>
      </w:r>
      <w:r>
        <w:rPr>
          <w:rStyle w:val="FootnoteAnchor"/>
          <w:rtl w:val="true"/>
        </w:rPr>
        <w:footnoteReference w:id="2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الإثباتَ مُتعلِّقاً بالحياةِ خاصّةً‌، و النفيَ مُختَصّاً بالوفاةِ أو عامّاً للأمرَينِ‌، و لا يوجِبُ المُطابَقةَ‌؛ قياساً علىٰ ما استَعمَلتَه</w:t>
      </w:r>
      <w:r>
        <w:rPr>
          <w:rStyle w:val="FootnoteAnchor"/>
          <w:rtl w:val="true"/>
        </w:rPr>
        <w:footnoteReference w:id="2416"/>
      </w:r>
      <w:r>
        <w:rPr>
          <w:rFonts w:ascii="Amiri" w:hAnsi="Amiri" w:eastAsia="Amiri" w:cs="Amiri"/>
          <w:color w:val="111111"/>
          <w:sz w:val="28"/>
          <w:sz w:val="28"/>
          <w:szCs w:val="28"/>
          <w:rtl w:val="true"/>
          <w:lang w:bidi="ar-SA"/>
        </w:rPr>
        <w:t>مِن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يَجِبُ إذا اضطُرِرتُ إلىٰ تخصيصِ ما لا 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ظاهرُ الكلامِ يَقتَضي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ألتَزِمَ تخصيصاً لا دَلالةَ تَقتَضيهِ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بَطَلَ بما أورَدناه جميعُ كلامِه في الفصلِ ؛ علىٰ جُملةٍ و 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بأن يَتناوَلَ الحالَ أَولىٰ‌</w:t>
      </w:r>
      <w:r>
        <w:rPr>
          <w:rStyle w:val="FootnoteAnchor"/>
          <w:rtl w:val="true"/>
        </w:rPr>
        <w:footnoteReference w:id="2417"/>
      </w:r>
      <w:r>
        <w:rPr>
          <w:rFonts w:ascii="Amiri" w:hAnsi="Amiri" w:eastAsia="Amiri" w:cs="Amiri"/>
          <w:color w:val="111111"/>
          <w:sz w:val="28"/>
          <w:sz w:val="28"/>
          <w:szCs w:val="28"/>
          <w:rtl w:val="true"/>
          <w:lang w:bidi="ar-SA"/>
        </w:rPr>
        <w:t>مِن المُستَقبَلِ ، فيَجِبُ أن يُحمَلَ الاستثناءُ علىٰ ظاهرِه؛</w:t>
      </w:r>
    </w:p>
    <w:p>
      <w:pPr>
        <w:pStyle w:val="BookText"/>
        <w:rPr/>
      </w:pPr>
      <w:r>
        <w:rPr>
          <w:rFonts w:ascii="Amiri" w:hAnsi="Amiri" w:eastAsia="Amiri" w:cs="Amiri"/>
          <w:color w:val="111111"/>
          <w:sz w:val="28"/>
          <w:sz w:val="28"/>
          <w:szCs w:val="28"/>
          <w:rtl w:val="true"/>
          <w:lang w:bidi="ar-SA"/>
        </w:rPr>
        <w:t>لأنّه لا فَرقَ بَينَ أن يَخرُجَ مِن الكلامِ ما لَولاه لَثَبَتَ في الحالِ ، أو</w:t>
      </w:r>
      <w:r>
        <w:rPr>
          <w:rStyle w:val="FootnoteAnchor"/>
          <w:rtl w:val="true"/>
        </w:rPr>
        <w:footnoteReference w:id="2418"/>
      </w:r>
      <w:r>
        <w:rPr>
          <w:rFonts w:ascii="Amiri" w:hAnsi="Amiri" w:eastAsia="Amiri" w:cs="Amiri"/>
          <w:color w:val="111111"/>
          <w:sz w:val="28"/>
          <w:sz w:val="28"/>
          <w:szCs w:val="28"/>
          <w:rtl w:val="true"/>
          <w:lang w:bidi="ar-SA"/>
        </w:rPr>
        <w:t xml:space="preserve">ما لَولاه لَثَبَتَ في المُستَقبَلِ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هذا</w:t>
      </w:r>
      <w:r>
        <w:rPr>
          <w:rStyle w:val="FootnoteAnchor"/>
          <w:rtl w:val="true"/>
        </w:rPr>
        <w:footnoteReference w:id="2420"/>
      </w:r>
      <w:r>
        <w:rPr>
          <w:rFonts w:ascii="Amiri" w:hAnsi="Amiri" w:eastAsia="Amiri" w:cs="Amiri"/>
          <w:color w:val="111111"/>
          <w:sz w:val="28"/>
          <w:sz w:val="28"/>
          <w:szCs w:val="28"/>
          <w:rtl w:val="true"/>
          <w:lang w:bidi="ar-SA"/>
        </w:rPr>
        <w:t>الكلامِ لا يَقتَضي إلّاالحالَ‌، و إنّما يَقتَضي المُستَقبَلَ مِن جِهةِ المعنىٰ‌، لا مِن جهةِ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حَقِّ الاستثناءِ أن يَعودَ إلَى اللفظِ لا إلَى المعنىٰ ؛ فلا يَصِحُّ ما ذَكرتَه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تَغيَّرَت</w:t>
      </w:r>
      <w:r>
        <w:rPr>
          <w:rStyle w:val="FootnoteAnchor"/>
          <w:rtl w:val="true"/>
        </w:rPr>
        <w:footnoteReference w:id="2421"/>
      </w:r>
      <w:r>
        <w:rPr>
          <w:rFonts w:ascii="Amiri" w:hAnsi="Amiri" w:eastAsia="Amiri" w:cs="Amiri"/>
          <w:color w:val="111111"/>
          <w:sz w:val="28"/>
          <w:sz w:val="28"/>
          <w:szCs w:val="28"/>
          <w:rtl w:val="true"/>
          <w:lang w:bidi="ar-SA"/>
        </w:rPr>
        <w:t xml:space="preserve">مَنزِلتُه في المُستَقبَلِ لَم يَبطُلْ حُكمُ </w:t>
      </w:r>
    </w:p>
    <w:p>
      <w:pPr>
        <w:pStyle w:val="BookText"/>
        <w:rPr/>
      </w:pPr>
      <w:r>
        <w:rPr>
          <w:rFonts w:ascii="Amiri" w:hAnsi="Amiri" w:eastAsia="Amiri" w:cs="Amiri"/>
          <w:color w:val="111111"/>
          <w:sz w:val="28"/>
          <w:sz w:val="28"/>
          <w:szCs w:val="28"/>
          <w:rtl w:val="true"/>
          <w:lang w:bidi="ar-SA"/>
        </w:rPr>
        <w:t>اللفظِ، و لَو كانَت مَنزِلتُه غيرَ حاصلةٍ في الحالِ لَبَطَلَ حُكمُ اللفظِ؛ فعَلِمنا</w:t>
      </w:r>
      <w:r>
        <w:rPr>
          <w:rStyle w:val="FootnoteAnchor"/>
          <w:rtl w:val="true"/>
        </w:rPr>
        <w:footnoteReference w:id="2422"/>
      </w:r>
      <w:r>
        <w:rPr>
          <w:rFonts w:ascii="Amiri" w:hAnsi="Amiri" w:eastAsia="Amiri" w:cs="Amiri"/>
          <w:color w:val="111111"/>
          <w:sz w:val="28"/>
          <w:sz w:val="28"/>
          <w:szCs w:val="28"/>
          <w:rtl w:val="true"/>
          <w:lang w:bidi="ar-SA"/>
        </w:rPr>
        <w:t>أنّ الذي يَقتضيهِ الظاهرُ هو الحالُ‌، و إنّما يُحكَمُ بدَوامِه مِن جِهةِ المعنىٰ‌، و ذلكَ يُبَيِّنُ صِحّةَ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جُعِلَ‌</w:t>
      </w:r>
      <w:r>
        <w:rPr>
          <w:rStyle w:val="FootnoteAnchor"/>
          <w:rtl w:val="true"/>
        </w:rPr>
        <w:footnoteReference w:id="2423"/>
      </w:r>
      <w:r>
        <w:rPr>
          <w:rFonts w:ascii="Amiri" w:hAnsi="Amiri" w:eastAsia="Amiri" w:cs="Amiri"/>
          <w:color w:val="111111"/>
          <w:sz w:val="28"/>
          <w:sz w:val="28"/>
          <w:szCs w:val="28"/>
          <w:rtl w:val="true"/>
          <w:lang w:bidi="ar-SA"/>
        </w:rPr>
        <w:t>ذلكَ دَلالةً علىٰ ضِدِّ</w:t>
      </w:r>
      <w:r>
        <w:rPr>
          <w:rStyle w:val="FootnoteAnchor"/>
          <w:rtl w:val="true"/>
        </w:rPr>
        <w:footnoteReference w:id="2424"/>
      </w:r>
      <w:r>
        <w:rPr>
          <w:rFonts w:ascii="Amiri" w:hAnsi="Amiri" w:eastAsia="Amiri" w:cs="Amiri"/>
          <w:color w:val="111111"/>
          <w:sz w:val="28"/>
          <w:sz w:val="28"/>
          <w:szCs w:val="28"/>
          <w:rtl w:val="true"/>
          <w:lang w:bidi="ar-SA"/>
        </w:rPr>
        <w:t xml:space="preserve">ما قالوه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لهارونَ مِن موسىٰ مَنزِلةُ الإمامةِ بَعدَه البَتّةَ‌، فيَجِبُ إذا كانَ حالُ عليٍّ مِن النبيِّ عليهما السلامُ </w:t>
      </w:r>
      <w:r>
        <w:rPr>
          <w:rStyle w:val="FootnoteAnchor"/>
          <w:rtl w:val="true"/>
        </w:rPr>
        <w:footnoteReference w:id="2425"/>
      </w:r>
      <w:r>
        <w:rPr>
          <w:rFonts w:ascii="Amiri" w:hAnsi="Amiri" w:eastAsia="Amiri" w:cs="Amiri"/>
          <w:color w:val="111111"/>
          <w:sz w:val="28"/>
          <w:sz w:val="28"/>
          <w:szCs w:val="28"/>
          <w:rtl w:val="true"/>
          <w:lang w:bidi="ar-SA"/>
        </w:rPr>
        <w:t xml:space="preserve">حالَ هارونَ مِن موسىٰ أن لا يَكونَ </w:t>
      </w:r>
      <w:r>
        <w:rPr>
          <w:rStyle w:val="FootnoteAnchor"/>
          <w:rtl w:val="true"/>
        </w:rPr>
        <w:footnoteReference w:id="2426"/>
      </w:r>
      <w:r>
        <w:rPr>
          <w:rFonts w:ascii="Amiri" w:hAnsi="Amiri" w:eastAsia="Amiri" w:cs="Amiri"/>
          <w:color w:val="111111"/>
          <w:sz w:val="28"/>
          <w:sz w:val="28"/>
          <w:szCs w:val="28"/>
          <w:rtl w:val="true"/>
          <w:lang w:bidi="ar-SA"/>
        </w:rPr>
        <w:t xml:space="preserve">إماماً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أقرَبَ ممّا تَعلَّقوا به؛ لأنّهم راموا إثباتَ مَنزِلةٍ مُقدَّرةٍ لَيسَت حاصلةً </w:t>
      </w:r>
      <w:r>
        <w:rPr>
          <w:rStyle w:val="FootnoteAnchor"/>
          <w:rtl w:val="true"/>
        </w:rPr>
        <w:footnoteReference w:id="2427"/>
      </w:r>
      <w:r>
        <w:rPr>
          <w:rFonts w:ascii="Amiri" w:hAnsi="Amiri" w:eastAsia="Amiri" w:cs="Amiri"/>
          <w:color w:val="111111"/>
          <w:sz w:val="28"/>
          <w:sz w:val="28"/>
          <w:szCs w:val="28"/>
          <w:rtl w:val="true"/>
          <w:lang w:bidi="ar-SA"/>
        </w:rPr>
        <w:t xml:space="preserve">بهذا الخبرِ، فإن ساغَ لهم ذلكَ ساغَ لِمَن خالَفَهم أن يَدَّعيَ أنّ الخبرَ يَتَناوَلُ نفيَ الإمامةِ بَعدَ الرسولِ عليه السلامُ مِن حَيثُ لَم يَكُن ذلكَ لهارونَ بَعدَ موسىٰ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متىٰ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ممّا يُعَدُّ مِن المَنازِلِ فيَتناوَلَه</w:t>
      </w:r>
      <w:r>
        <w:rPr>
          <w:rStyle w:val="FootnoteAnchor"/>
          <w:rtl w:val="true"/>
        </w:rPr>
        <w:footnoteReference w:id="2429"/>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Style w:val="FootnoteAnchor"/>
          <w:rtl w:val="true"/>
        </w:rPr>
        <w:footnoteReference w:id="2430"/>
      </w:r>
      <w:r>
        <w:rPr>
          <w:rFonts w:ascii="Amiri" w:hAnsi="Amiri" w:eastAsia="Amiri" w:cs="Amiri"/>
          <w:color w:val="111111"/>
          <w:sz w:val="28"/>
          <w:sz w:val="28"/>
          <w:szCs w:val="28"/>
          <w:rtl w:val="true"/>
          <w:lang w:bidi="ar-SA"/>
        </w:rPr>
        <w:t>بمِثلِه في المُقدَّرِ الذي ذَكَروه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أنّ </w:t>
      </w:r>
      <w:r>
        <w:rPr>
          <w:rStyle w:val="FootnoteAnchor"/>
          <w:rtl w:val="true"/>
        </w:rPr>
        <w:footnoteReference w:id="2431"/>
      </w:r>
      <w:r>
        <w:rPr>
          <w:rFonts w:ascii="Amiri" w:hAnsi="Amiri" w:eastAsia="Amiri" w:cs="Amiri"/>
          <w:color w:val="111111"/>
          <w:sz w:val="28"/>
          <w:sz w:val="28"/>
          <w:szCs w:val="28"/>
          <w:rtl w:val="true"/>
          <w:lang w:bidi="ar-SA"/>
        </w:rPr>
        <w:t xml:space="preserve">مَنزِلةَ هارونَ مِن موسَى الشِّركةُ في </w:t>
      </w:r>
      <w:bookmarkStart w:id="442" w:name="pg20017_202632"/>
    </w:p>
    <w:p>
      <w:pPr>
        <w:pStyle w:val="BookText"/>
        <w:rPr/>
      </w:pPr>
      <w:bookmarkEnd w:id="442"/>
      <w:r>
        <w:rPr>
          <w:rFonts w:ascii="Amiri" w:hAnsi="Amiri" w:eastAsia="Amiri" w:cs="Amiri"/>
          <w:color w:val="111111"/>
          <w:sz w:val="28"/>
          <w:sz w:val="28"/>
          <w:szCs w:val="28"/>
          <w:rtl w:val="true"/>
          <w:lang w:bidi="ar-SA"/>
        </w:rPr>
        <w:t>النبوّةِ في حالِ‌</w:t>
      </w:r>
      <w:r>
        <w:rPr>
          <w:rStyle w:val="FootnoteAnchor"/>
          <w:rtl w:val="true"/>
        </w:rPr>
        <w:footnoteReference w:id="2432"/>
      </w:r>
      <w:r>
        <w:rPr>
          <w:rFonts w:ascii="Amiri" w:hAnsi="Amiri" w:eastAsia="Amiri" w:cs="Amiri"/>
          <w:color w:val="111111"/>
          <w:sz w:val="28"/>
          <w:sz w:val="28"/>
          <w:szCs w:val="28"/>
          <w:rtl w:val="true"/>
          <w:lang w:bidi="ar-SA"/>
        </w:rPr>
        <w:t>حياتهِ‌، و الذي كانَ له مَنزِلةُ الإمامةِ بَعدَه يوشَعُ بنُ نونٍ ، فلَو أرادَ عليه السلامُ بهذا الخبرِ الإمامةَ لَكانَ يُشَبِّهُ مَنزِلتَه منه</w:t>
      </w:r>
      <w:r>
        <w:rPr>
          <w:rStyle w:val="FootnoteAnchor"/>
          <w:rtl w:val="true"/>
        </w:rPr>
        <w:footnoteReference w:id="2433"/>
      </w:r>
      <w:r>
        <w:rPr>
          <w:rFonts w:ascii="Amiri" w:hAnsi="Amiri" w:eastAsia="Amiri" w:cs="Amiri"/>
          <w:color w:val="111111"/>
          <w:sz w:val="28"/>
          <w:sz w:val="28"/>
          <w:szCs w:val="28"/>
          <w:rtl w:val="true"/>
          <w:lang w:bidi="ar-SA"/>
        </w:rPr>
        <w:t xml:space="preserve">بمَنزِلةِ يُوشَعَ </w:t>
      </w:r>
      <w:r>
        <w:rPr>
          <w:rStyle w:val="FootnoteAnchor"/>
          <w:rtl w:val="true"/>
        </w:rPr>
        <w:footnoteReference w:id="2434"/>
      </w:r>
      <w:r>
        <w:rPr>
          <w:rFonts w:ascii="Amiri" w:hAnsi="Amiri" w:eastAsia="Amiri" w:cs="Amiri"/>
          <w:color w:val="111111"/>
          <w:sz w:val="28"/>
          <w:sz w:val="28"/>
          <w:szCs w:val="28"/>
          <w:rtl w:val="true"/>
          <w:lang w:bidi="ar-SA"/>
        </w:rPr>
        <w:t xml:space="preserve">مِن موسىٰ ؛ و هذا يُبيِّنُ أنّ مُرادَه عليه السلامُ ما يَنفيهِ </w:t>
      </w:r>
      <w:r>
        <w:rPr>
          <w:rStyle w:val="FootnoteAnchor"/>
          <w:rtl w:val="true"/>
        </w:rPr>
        <w:footnoteReference w:id="2435"/>
      </w:r>
      <w:r>
        <w:rPr>
          <w:rFonts w:ascii="Amiri" w:hAnsi="Amiri" w:eastAsia="Amiri" w:cs="Amiri"/>
          <w:color w:val="111111"/>
          <w:sz w:val="28"/>
          <w:sz w:val="28"/>
          <w:szCs w:val="28"/>
          <w:rtl w:val="true"/>
          <w:lang w:bidi="ar-SA"/>
        </w:rPr>
        <w:t>مِن بَعدُ ممّا يَقتَضي إثباتَه في الحالِ فَقَط</w:t>
      </w:r>
      <w:r>
        <w:rPr>
          <w:rFonts w:eastAsia="Amiri" w:cs="Amiri" w:ascii="Amiri" w:hAnsi="Amiri"/>
          <w:color w:val="111111"/>
          <w:sz w:val="28"/>
          <w:szCs w:val="28"/>
          <w:rtl w:val="true"/>
          <w:lang w:bidi="ar-SA"/>
        </w:rPr>
        <w:t>.</w:t>
      </w:r>
      <w:r>
        <w:rPr>
          <w:rStyle w:val="FootnoteAnchor"/>
          <w:rtl w:val="true"/>
        </w:rPr>
        <w:footnoteReference w:id="2436"/>
      </w:r>
    </w:p>
    <w:p>
      <w:pPr>
        <w:pStyle w:val="Heading6"/>
        <w:numPr>
          <w:ilvl w:val="5"/>
          <w:numId w:val="1"/>
        </w:numPr>
        <w:rPr/>
      </w:pPr>
      <w:bookmarkStart w:id="443" w:name="__RefHeading___Toc964309_2320776876"/>
      <w:bookmarkStart w:id="444" w:name="_Toc158"/>
      <w:bookmarkEnd w:id="443"/>
      <w:r>
        <w:rPr>
          <w:rtl w:val="true"/>
        </w:rPr>
        <w:t>نفي دلالة صدر الحديث على الإمامة، لا في الحال و لا في المستقبل</w:t>
      </w:r>
      <w:bookmarkEnd w:id="444"/>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نَسألُكَ عن هذا السؤالِ الذي أورَدتَه علىٰ نفسِكَ‌، و مع أنّا لا نَسألُكَ عنه فقَد أجَبتَ عنه بما لَيسَ بصحيحٍ‌؛ لأنّ مُجرَّدَ اللفظِ الذي يَقتَضي</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الإثباتَ مِن الخبرِ لا يَقتَضي بظاهرِه لا</w:t>
      </w:r>
      <w:r>
        <w:rPr>
          <w:rStyle w:val="FootnoteAnchor"/>
          <w:rtl w:val="true"/>
        </w:rPr>
        <w:footnoteReference w:id="2437"/>
      </w:r>
      <w:r>
        <w:rPr>
          <w:rFonts w:ascii="Amiri" w:hAnsi="Amiri" w:eastAsia="Amiri" w:cs="Amiri"/>
          <w:color w:val="111111"/>
          <w:sz w:val="28"/>
          <w:sz w:val="28"/>
          <w:szCs w:val="28"/>
          <w:rtl w:val="true"/>
          <w:lang w:bidi="ar-SA"/>
        </w:rPr>
        <w:t xml:space="preserve">الحالَ و لا المُستَقبَلَ ، و إنّما يُرجَعُ في ذلكَ إلىٰ غيرِ ما يَقتَضيهِ لفظُ الإثباتِ ، و لهذا يَرجِعُ </w:t>
      </w:r>
      <w:r>
        <w:rPr>
          <w:rStyle w:val="FootnoteAnchor"/>
          <w:rtl w:val="true"/>
        </w:rPr>
        <w:footnoteReference w:id="2438"/>
      </w:r>
      <w:r>
        <w:rPr>
          <w:rFonts w:ascii="Amiri" w:hAnsi="Amiri" w:eastAsia="Amiri" w:cs="Amiri"/>
          <w:color w:val="111111"/>
          <w:sz w:val="28"/>
          <w:sz w:val="28"/>
          <w:szCs w:val="28"/>
          <w:rtl w:val="true"/>
          <w:lang w:bidi="ar-SA"/>
        </w:rPr>
        <w:t xml:space="preserve">أصحابُنا في تَعلُّقِ الإثباتِ بالوفاةِ أو بحالِ الوفاةِ و الحياةِ مَعاً إلَى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2439"/>
      </w:r>
      <w:r>
        <w:rPr>
          <w:rFonts w:ascii="Amiri" w:hAnsi="Amiri" w:eastAsia="Amiri" w:cs="Amiri"/>
          <w:color w:val="111111"/>
          <w:sz w:val="28"/>
          <w:sz w:val="28"/>
          <w:szCs w:val="28"/>
          <w:rtl w:val="true"/>
          <w:lang w:bidi="ar-SA"/>
        </w:rPr>
        <w:t>كَما أنّ المَنزِلةَ لَو تَغيَّرَت</w:t>
      </w:r>
      <w:r>
        <w:rPr>
          <w:rStyle w:val="FootnoteAnchor"/>
          <w:rtl w:val="true"/>
        </w:rPr>
        <w:footnoteReference w:id="2440"/>
      </w:r>
      <w:r>
        <w:rPr>
          <w:rFonts w:ascii="Amiri" w:hAnsi="Amiri" w:eastAsia="Amiri" w:cs="Amiri"/>
          <w:color w:val="111111"/>
          <w:sz w:val="28"/>
          <w:sz w:val="28"/>
          <w:szCs w:val="28"/>
          <w:rtl w:val="true"/>
          <w:lang w:bidi="ar-SA"/>
        </w:rPr>
        <w:t xml:space="preserve">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يَبطُلْ حُكمُ اللفظِ، فكذلكَ لَو لَم يَحصُلْ في الحالِ لَما بَطَلَ أيضاً حُكمُ اللفظِ؛ لأنّ النبيَّ صَلَّى اللّٰهُ عليه و آلِه</w:t>
      </w:r>
      <w:r>
        <w:rPr>
          <w:rStyle w:val="FootnoteAnchor"/>
          <w:rtl w:val="true"/>
        </w:rPr>
        <w:footnoteReference w:id="2441"/>
      </w:r>
      <w:r>
        <w:rPr>
          <w:rFonts w:ascii="Amiri" w:hAnsi="Amiri" w:eastAsia="Amiri" w:cs="Amiri"/>
          <w:color w:val="111111"/>
          <w:sz w:val="28"/>
          <w:sz w:val="28"/>
          <w:szCs w:val="28"/>
          <w:rtl w:val="true"/>
          <w:lang w:bidi="ar-SA"/>
        </w:rPr>
        <w:t xml:space="preserve">لَو دَلَّنا عندَ خِطابِه لنا بالخبرِ </w:t>
      </w:r>
      <w:bookmarkStart w:id="445" w:name="pg20017_202633"/>
    </w:p>
    <w:p>
      <w:pPr>
        <w:pStyle w:val="BookText"/>
        <w:rPr/>
      </w:pPr>
      <w:bookmarkEnd w:id="445"/>
      <w:r>
        <w:rPr>
          <w:rFonts w:ascii="Amiri" w:hAnsi="Amiri" w:eastAsia="Amiri" w:cs="Amiri"/>
          <w:color w:val="111111"/>
          <w:sz w:val="28"/>
          <w:sz w:val="28"/>
          <w:szCs w:val="28"/>
          <w:rtl w:val="true"/>
          <w:lang w:bidi="ar-SA"/>
        </w:rPr>
        <w:t>علىٰ أنّ مُرادَه به</w:t>
      </w:r>
      <w:r>
        <w:rPr>
          <w:rStyle w:val="FootnoteAnchor"/>
          <w:rtl w:val="true"/>
        </w:rPr>
        <w:footnoteReference w:id="2442"/>
      </w:r>
      <w:r>
        <w:rPr>
          <w:rFonts w:ascii="Amiri" w:hAnsi="Amiri" w:eastAsia="Amiri" w:cs="Amiri"/>
          <w:color w:val="111111"/>
          <w:sz w:val="28"/>
          <w:sz w:val="28"/>
          <w:szCs w:val="28"/>
          <w:rtl w:val="true"/>
          <w:lang w:bidi="ar-SA"/>
        </w:rPr>
        <w:t xml:space="preserve">إثباتُ المَنازِلِ في حالٍ مُنتَظَرةٍ ، لَم يَكُنِ القولُ مَجازاً و لا بَطَلَ حُكمُ لفظِه؛ و إنّما يَصِحُّ ما ادَّعَيتَه لَو كانَ إطلاقُ القولِ يَقتَضي الحالَ ، و هذا غيرُ مُسلَّمٍ ، و لَم نَرَكَ دَلَلتَ عليه بأكثَرَ مِن دَعواكَ بُطلانَ حُكمِ اللفظِ، و هذه دعوىً باطلةٌ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6" w:name="__RefHeading___Toc964311_2320776876"/>
      <w:bookmarkStart w:id="447" w:name="_Toc159"/>
      <w:bookmarkEnd w:id="446"/>
      <w:r>
        <w:rPr>
          <w:rtl w:val="true"/>
        </w:rPr>
        <w:t>بيان أنّ منزلة خلافة هارون لموسىٰ هي إحدىٰ منازله، و إن كانت مقدّرة</w:t>
      </w:r>
      <w:bookmarkEnd w:id="44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ادّعاؤه اقتضاءَ الخبرِ لنفيِ الإمامةِ‌؛ مِن حَيثُ لَم يَكُن هارونُ بَعدَ وفاةِ موسىٰ إماماً، و قولُه</w:t>
      </w:r>
      <w:r>
        <w:rPr>
          <w:rStyle w:val="FootnoteAnchor"/>
          <w:rtl w:val="true"/>
        </w:rPr>
        <w:footnoteReference w:id="24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w:t>
      </w:r>
      <w:r>
        <w:rPr>
          <w:rStyle w:val="FootnoteAnchor"/>
          <w:rtl w:val="true"/>
        </w:rPr>
        <w:footnoteReference w:id="2445"/>
      </w:r>
      <w:r>
        <w:rPr>
          <w:rFonts w:ascii="Amiri" w:hAnsi="Amiri" w:eastAsia="Amiri" w:cs="Amiri"/>
          <w:color w:val="111111"/>
          <w:sz w:val="28"/>
          <w:sz w:val="28"/>
          <w:szCs w:val="28"/>
          <w:rtl w:val="true"/>
          <w:lang w:bidi="ar-SA"/>
        </w:rPr>
        <w:t>الصفةِ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مِن الصوابِ‌؛ لأنّ هارونَ و إن لَم يَكُن خَليفةً لموسىٰ بَعدَ وفاتِه، فقَد دَلَّلنا علىٰ أنّه لَو بَقيَ لَخَلَفَه في أُمَّتِه</w:t>
      </w:r>
      <w:r>
        <w:rPr>
          <w:rStyle w:val="FootnoteAnchor"/>
          <w:rtl w:val="true"/>
        </w:rPr>
        <w:footnoteReference w:id="2446"/>
      </w:r>
      <w:r>
        <w:rPr>
          <w:rFonts w:ascii="Amiri" w:hAnsi="Amiri" w:eastAsia="Amiri" w:cs="Amiri"/>
          <w:color w:val="111111"/>
          <w:sz w:val="28"/>
          <w:sz w:val="28"/>
          <w:szCs w:val="28"/>
          <w:rtl w:val="true"/>
          <w:lang w:bidi="ar-SA"/>
        </w:rPr>
        <w:t>، و أنّ هذه المَنزِلةَ و إن كانَت مُقدَّرَةً يَصِحُّ‌</w:t>
      </w:r>
      <w:r>
        <w:rPr>
          <w:rStyle w:val="FootnoteAnchor"/>
          <w:rtl w:val="true"/>
        </w:rPr>
        <w:footnoteReference w:id="2447"/>
      </w:r>
      <w:r>
        <w:rPr>
          <w:rFonts w:ascii="Amiri" w:hAnsi="Amiri" w:eastAsia="Amiri" w:cs="Amiri"/>
          <w:color w:val="111111"/>
          <w:sz w:val="28"/>
          <w:sz w:val="28"/>
          <w:szCs w:val="28"/>
          <w:rtl w:val="true"/>
          <w:lang w:bidi="ar-SA"/>
        </w:rPr>
        <w:t>أن تُعَدَّ في مَنازِلِه، و أنّ المُقدَّرَ لَو تَسامَحنا</w:t>
      </w:r>
      <w:r>
        <w:rPr>
          <w:rStyle w:val="FootnoteAnchor"/>
          <w:rtl w:val="true"/>
        </w:rPr>
        <w:footnoteReference w:id="2448"/>
      </w:r>
      <w:r>
        <w:rPr>
          <w:rFonts w:ascii="Amiri" w:hAnsi="Amiri" w:eastAsia="Amiri" w:cs="Amiri"/>
          <w:color w:val="111111"/>
          <w:sz w:val="28"/>
          <w:sz w:val="28"/>
          <w:szCs w:val="28"/>
          <w:rtl w:val="true"/>
          <w:lang w:bidi="ar-SA"/>
        </w:rPr>
        <w:t xml:space="preserve">بأنّه لا يوصَفُ بالمَنزِلةِ </w:t>
      </w:r>
      <w:r>
        <w:rPr>
          <w:rStyle w:val="FootnoteAnchor"/>
          <w:rtl w:val="true"/>
        </w:rPr>
        <w:footnoteReference w:id="2449"/>
      </w:r>
      <w:r>
        <w:rPr>
          <w:rFonts w:ascii="Amiri" w:hAnsi="Amiri" w:eastAsia="Amiri" w:cs="Amiri"/>
          <w:color w:val="111111"/>
          <w:sz w:val="28"/>
          <w:sz w:val="28"/>
          <w:szCs w:val="28"/>
          <w:rtl w:val="true"/>
          <w:lang w:bidi="ar-SA"/>
        </w:rPr>
        <w:t>لَكانَ لا بُدَّ مِن أن يوصَفَ ما هو عليه مِن استحقاقِ الخِلافةِ بَعدَه</w:t>
      </w:r>
      <w:r>
        <w:rPr>
          <w:rStyle w:val="FootnoteAnchor"/>
          <w:rtl w:val="true"/>
        </w:rPr>
        <w:footnoteReference w:id="2450"/>
      </w:r>
      <w:r>
        <w:rPr>
          <w:rFonts w:ascii="Amiri" w:hAnsi="Amiri" w:eastAsia="Amiri" w:cs="Amiri"/>
          <w:color w:val="111111"/>
          <w:sz w:val="28"/>
          <w:sz w:val="28"/>
          <w:szCs w:val="28"/>
          <w:rtl w:val="true"/>
          <w:lang w:bidi="ar-SA"/>
        </w:rPr>
        <w:t>بأنّه مَنزِلةٌ ؛ لأنّ التقديرَ و إن كانَ في نفسِ الخِلافةِ بَعدَه، فلَيسَ هو في استحقاقِها و ما يَقتَضي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ثَبَتَ ذلكَ ، فالواجبُ فيمن شُبِّهَت حالُه بحالِه، و جُعِلَ له مِثلُ مَنزِلتِه إذا بَقيَ إلىٰ بَعدِ الوفاةِ أن تَجِبَ له </w:t>
      </w:r>
    </w:p>
    <w:p>
      <w:pPr>
        <w:pStyle w:val="BookText"/>
        <w:rPr/>
      </w:pPr>
      <w:r>
        <w:rPr>
          <w:rFonts w:ascii="Amiri" w:hAnsi="Amiri" w:eastAsia="Amiri" w:cs="Amiri"/>
          <w:color w:val="111111"/>
          <w:sz w:val="28"/>
          <w:sz w:val="28"/>
          <w:szCs w:val="28"/>
          <w:rtl w:val="true"/>
          <w:lang w:bidi="ar-SA"/>
        </w:rPr>
        <w:t>الخِلافةُ‌، و لا يَقدَحُ في ثُبوتِها له</w:t>
      </w:r>
      <w:r>
        <w:rPr>
          <w:rStyle w:val="FootnoteAnchor"/>
          <w:rtl w:val="true"/>
        </w:rPr>
        <w:footnoteReference w:id="2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تَثبُتْ لهارونَ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ما ذَكَرَه</w:t>
      </w:r>
      <w:r>
        <w:rPr>
          <w:rStyle w:val="FootnoteAnchor"/>
          <w:rtl w:val="true"/>
        </w:rPr>
        <w:footnoteReference w:id="2452"/>
      </w:r>
      <w:r>
        <w:rPr>
          <w:rFonts w:ascii="Amiri" w:hAnsi="Amiri" w:eastAsia="Amiri" w:cs="Amiri"/>
          <w:color w:val="111111"/>
          <w:sz w:val="28"/>
          <w:sz w:val="28"/>
          <w:szCs w:val="28"/>
          <w:rtl w:val="true"/>
          <w:lang w:bidi="ar-SA"/>
        </w:rPr>
        <w:t xml:space="preserve">صَحيحاً لَوَجَبَ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قالَ لوكيلِه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فُلاناً في كُلِّ شَهرٍ إذا حَضَرَكَ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الحالِ أو بَعدَها بمُدّةٍ‌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عَمراً</w:t>
      </w:r>
      <w:r>
        <w:rPr>
          <w:rStyle w:val="FootnoteAnchor"/>
          <w:rtl w:val="true"/>
        </w:rPr>
        <w:footnoteReference w:id="2453"/>
      </w:r>
      <w:r>
        <w:rPr>
          <w:rFonts w:ascii="Amiri" w:hAnsi="Amiri" w:eastAsia="Amiri" w:cs="Amiri"/>
          <w:color w:val="111111"/>
          <w:sz w:val="28"/>
          <w:sz w:val="28"/>
          <w:szCs w:val="28"/>
          <w:rtl w:val="true"/>
          <w:lang w:bidi="ar-SA"/>
        </w:rPr>
        <w:t>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قَدَّرنا</w:t>
      </w:r>
    </w:p>
    <w:p>
      <w:pPr>
        <w:pStyle w:val="BookText"/>
        <w:rPr/>
      </w:pPr>
      <w:r>
        <w:rPr>
          <w:rFonts w:ascii="Amiri" w:hAnsi="Amiri" w:eastAsia="Amiri" w:cs="Amiri"/>
          <w:color w:val="111111"/>
          <w:sz w:val="28"/>
          <w:sz w:val="28"/>
          <w:szCs w:val="28"/>
          <w:rtl w:val="true"/>
          <w:lang w:bidi="ar-SA"/>
        </w:rPr>
        <w:t>أنّ المذكورَ الأوّلَ لَم يَحضُرِ المأمورَ بعَطيّتِه</w:t>
      </w:r>
      <w:r>
        <w:rPr>
          <w:rStyle w:val="FootnoteAnchor"/>
          <w:rtl w:val="true"/>
        </w:rPr>
        <w:footnoteReference w:id="2454"/>
      </w:r>
      <w:r>
        <w:rPr>
          <w:rFonts w:ascii="Amiri" w:hAnsi="Amiri" w:eastAsia="Amiri" w:cs="Amiri"/>
          <w:color w:val="111111"/>
          <w:sz w:val="28"/>
          <w:sz w:val="28"/>
          <w:szCs w:val="28"/>
          <w:rtl w:val="true"/>
          <w:lang w:bidi="ar-SA"/>
        </w:rPr>
        <w:t xml:space="preserve">، و لَم يَقبِضْ ما جَعَلَه له مِن الدينارِ أن يَجعَلَ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الأمرُ علىٰ ما ادَّعاه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المذكورِ الأوّلِ طريقاً إلىٰ حِرمانِ الثاني العطيّةَ‌، و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إنّما أُنزِلتَ مَنزِلةَ فُلانٍ‌، و فُلانٌ لَم يَحصُلْ له عطيّةٌ‌، فيَجِبُ أن لا يَحصُلَ‌</w:t>
      </w:r>
      <w:r>
        <w:rPr>
          <w:rStyle w:val="FootnoteAnchor"/>
          <w:rtl w:val="true"/>
        </w:rPr>
        <w:footnoteReference w:id="2455"/>
      </w:r>
      <w:r>
        <w:rPr>
          <w:rFonts w:ascii="Amiri" w:hAnsi="Amiri" w:eastAsia="Amiri" w:cs="Amiri"/>
          <w:color w:val="111111"/>
          <w:sz w:val="28"/>
          <w:sz w:val="28"/>
          <w:szCs w:val="28"/>
          <w:rtl w:val="true"/>
          <w:lang w:bidi="ar-SA"/>
        </w:rPr>
        <w:t>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عِلمِنا بأنّه لَيسَ للوكيلِ و لا غيرِه مَنعُ مَن ذَكَرنا حالَه، و لا أن يَعتَلَّ في حِرمانِه بمِثلِ عِلّةِ صاحبِ الكتابِ‌، دليلٌ علىٰ بُطلانِ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النفيَ و ما جَرىٰ‌</w:t>
      </w:r>
      <w:r>
        <w:rPr>
          <w:rStyle w:val="FootnoteAnchor"/>
          <w:rtl w:val="true"/>
        </w:rPr>
        <w:footnoteReference w:id="2456"/>
      </w:r>
      <w:r>
        <w:rPr>
          <w:rFonts w:ascii="Amiri" w:hAnsi="Amiri" w:eastAsia="Amiri" w:cs="Amiri"/>
          <w:color w:val="111111"/>
          <w:sz w:val="28"/>
          <w:sz w:val="28"/>
          <w:szCs w:val="28"/>
          <w:rtl w:val="true"/>
          <w:lang w:bidi="ar-SA"/>
        </w:rPr>
        <w:t>مَجراه لا يَصِحُّ وَصفُه بأنّه مَنزِلةٌ‌، و إن صَحَّ وَصفُ المُقدَّرِ الجاري مَجرَى الإثباتِ بذلكَ إذا كانَ سببُ استحقاقِه و وقوعِه ثابتاً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تَرىٰ أنّه لا يَصِحُّ أن يَقولَ أحَدُنا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مِنّي بمَنزِلةِ فُلانٍ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لَيسَ بأخيه و لا شريكِه و لا وكيلِه و لا فيما جَرىٰ مَجراه مِن النفيِ‌، و إن صَحَّ هذا القولُ فيما يَجري مَجرَى المُقدَّرِ مِن أنّه إذا شَفَعَ إليه شَفَّعَه، و إذا سَألَه أعطاه ؟ و لا يَجعَلُ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يَشفَعْ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ممّن لَو شَفَعَ لَشُفِّعَ </w:t>
      </w:r>
      <w:r>
        <w:rPr>
          <w:rStyle w:val="FootnoteAnchor"/>
          <w:rtl w:val="true"/>
        </w:rPr>
        <w:footnoteReference w:id="2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w:t>
      </w:r>
      <w:bookmarkStart w:id="448" w:name="pg20017_202635"/>
    </w:p>
    <w:p>
      <w:pPr>
        <w:pStyle w:val="BookText"/>
        <w:rPr/>
      </w:pPr>
      <w:bookmarkEnd w:id="448"/>
      <w:r>
        <w:rPr>
          <w:rFonts w:ascii="Amiri" w:hAnsi="Amiri" w:eastAsia="Amiri" w:cs="Amiri"/>
          <w:color w:val="111111"/>
          <w:sz w:val="28"/>
          <w:sz w:val="28"/>
          <w:szCs w:val="28"/>
          <w:rtl w:val="true"/>
          <w:lang w:bidi="ar-SA"/>
        </w:rPr>
        <w:t xml:space="preserve">تَقتَضي فيمن جُعِلَ له مِثلُ مَنزِلتِه أن لا تُجابَ </w:t>
      </w:r>
      <w:r>
        <w:rPr>
          <w:rStyle w:val="FootnoteAnchor"/>
          <w:rtl w:val="true"/>
        </w:rPr>
        <w:footnoteReference w:id="2458"/>
      </w:r>
      <w:r>
        <w:rPr>
          <w:rFonts w:ascii="Amiri" w:hAnsi="Amiri" w:eastAsia="Amiri" w:cs="Amiri"/>
          <w:color w:val="111111"/>
          <w:sz w:val="28"/>
          <w:sz w:val="28"/>
          <w:szCs w:val="28"/>
          <w:rtl w:val="true"/>
          <w:lang w:bidi="ar-SA"/>
        </w:rPr>
        <w:t>شَفاعتُه</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964313_2320776876"/>
      <w:bookmarkStart w:id="450" w:name="_Toc160"/>
      <w:bookmarkEnd w:id="449"/>
      <w:r>
        <w:rPr>
          <w:rtl w:val="true"/>
        </w:rPr>
        <w:t>اعتراضُ القاضي بوِصايةِ يوشَعَ بنِ نونٍ ، و الجوابُ عن ذلكَ</w:t>
      </w:r>
      <w:bookmarkEnd w:id="450"/>
    </w:p>
    <w:p>
      <w:pPr>
        <w:pStyle w:val="BookText"/>
        <w:rPr/>
      </w:pPr>
      <w:r>
        <w:rPr>
          <w:rFonts w:ascii="Amiri" w:hAnsi="Amiri" w:eastAsia="Amiri" w:cs="Amiri"/>
          <w:color w:val="111111"/>
          <w:sz w:val="28"/>
          <w:sz w:val="28"/>
          <w:szCs w:val="28"/>
          <w:rtl w:val="true"/>
          <w:lang w:bidi="ar-SA"/>
        </w:rPr>
        <w:t>فأمّا الاعتراضُ بيوشَعَ بنِ نونٍ ، فقَد أجابَ أصحابُنا عنه</w:t>
      </w:r>
      <w:r>
        <w:rPr>
          <w:rStyle w:val="FootnoteAnchor"/>
          <w:rtl w:val="true"/>
        </w:rPr>
        <w:footnoteReference w:id="2459"/>
      </w:r>
      <w:r>
        <w:rPr>
          <w:rFonts w:ascii="Amiri" w:hAnsi="Amiri" w:eastAsia="Amiri" w:cs="Amiri"/>
          <w:color w:val="111111"/>
          <w:sz w:val="28"/>
          <w:sz w:val="28"/>
          <w:szCs w:val="28"/>
          <w:rtl w:val="true"/>
          <w:lang w:bidi="ar-SA"/>
        </w:rPr>
        <w:t xml:space="preserve">بأجوبةٍ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دَلَّلنا علىٰ أنّ الخبرَ علىٰ صورتِه هذه دالٌّ علَى الإمامةِ‌، و مُقتَضٍ لحصولِها</w:t>
      </w:r>
      <w:r>
        <w:rPr>
          <w:rStyle w:val="FootnoteAnchor"/>
          <w:rtl w:val="true"/>
        </w:rPr>
        <w:footnoteReference w:id="2460"/>
      </w:r>
      <w:r>
        <w:rPr>
          <w:rFonts w:ascii="Amiri" w:hAnsi="Amiri" w:eastAsia="Amiri" w:cs="Amiri"/>
          <w:color w:val="111111"/>
          <w:sz w:val="28"/>
          <w:sz w:val="28"/>
          <w:szCs w:val="28"/>
          <w:rtl w:val="true"/>
          <w:lang w:bidi="ar-SA"/>
        </w:rPr>
        <w:t>لأميرِ المؤمنينَ عليه السلامُ كدَلالتهِ لَو تَضمَّنَ ذِكرَ يوشَعَ بنِ نونٍ‌، فإلزامُنا مع ما ذَكَرناه أن يَرِدَ علىٰ خِلافِ هذه الصورةِ اقتراحٌ في الأدِلّةِ و تَحكُّمٌ‌؛ لأنّه لا فَرقَ في معنَى الدَّلالةِ علَى الإمامةِ بَينَ ورودِه علَى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لشُبهَتِهم وجهٌ لَو كانَ متىٰ وَرَدَ غيرَ مُتضمِّنٍ لذِكرِ يوشَعَ‌</w:t>
      </w:r>
      <w:r>
        <w:rPr>
          <w:rStyle w:val="FootnoteAnchor"/>
          <w:rtl w:val="true"/>
        </w:rPr>
        <w:footnoteReference w:id="2461"/>
      </w:r>
      <w:r>
        <w:rPr>
          <w:rFonts w:ascii="Amiri" w:hAnsi="Amiri" w:eastAsia="Amiri" w:cs="Amiri"/>
          <w:color w:val="111111"/>
          <w:sz w:val="28"/>
          <w:sz w:val="28"/>
          <w:szCs w:val="28"/>
          <w:rtl w:val="true"/>
          <w:lang w:bidi="ar-SA"/>
        </w:rPr>
        <w:t>لَم تَكُن</w:t>
      </w:r>
      <w:r>
        <w:rPr>
          <w:rStyle w:val="FootnoteAnchor"/>
          <w:rtl w:val="true"/>
        </w:rPr>
        <w:footnoteReference w:id="2462"/>
      </w:r>
      <w:r>
        <w:rPr>
          <w:rFonts w:ascii="Amiri" w:hAnsi="Amiri" w:eastAsia="Amiri" w:cs="Amiri"/>
          <w:color w:val="111111"/>
          <w:sz w:val="28"/>
          <w:sz w:val="28"/>
          <w:szCs w:val="28"/>
          <w:rtl w:val="true"/>
          <w:lang w:bidi="ar-SA"/>
        </w:rPr>
        <w:t xml:space="preserve">فيه دَلالةٌ علَى النصِّ بالإمامةِ ؛ فأمّا و الأمرُ بخِلافِ ذلكَ ، فقَولُهم ظاهرُ البطلانِ ؛ لأنّه يَلزَمُ مِثلُه في سائرِ الأدِلّةِ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w:t>
      </w:r>
      <w:r>
        <w:rPr>
          <w:rStyle w:val="FootnoteAnchor"/>
          <w:rtl w:val="true"/>
        </w:rPr>
        <w:footnoteReference w:id="2463"/>
      </w:r>
      <w:r>
        <w:rPr>
          <w:rFonts w:ascii="Amiri" w:hAnsi="Amiri" w:eastAsia="Amiri" w:cs="Amiri"/>
          <w:color w:val="111111"/>
          <w:sz w:val="28"/>
          <w:sz w:val="28"/>
          <w:szCs w:val="28"/>
          <w:rtl w:val="true"/>
          <w:lang w:bidi="ar-SA"/>
        </w:rPr>
        <w:t>لمّا قَصَدَ إلَى استخلافِه في حياتِه و بَعدَ وفاتِه، لم يَجُزْ أن يَعدِلَ عن تشبيهِ حالِه بحالِ هارونَ‌</w:t>
      </w:r>
      <w:r>
        <w:rPr>
          <w:rStyle w:val="FootnoteAnchor"/>
          <w:rtl w:val="true"/>
        </w:rPr>
        <w:footnoteReference w:id="2464"/>
      </w:r>
      <w:r>
        <w:rPr>
          <w:rFonts w:ascii="Amiri" w:hAnsi="Amiri" w:eastAsia="Amiri" w:cs="Amiri"/>
          <w:color w:val="111111"/>
          <w:sz w:val="28"/>
          <w:sz w:val="28"/>
          <w:szCs w:val="28"/>
          <w:rtl w:val="true"/>
          <w:lang w:bidi="ar-SA"/>
        </w:rPr>
        <w:t xml:space="preserve">مِن موسىٰ ؛ لأنّه هو الذي خَلَفَه في حياتِه، و استَحَقَّ أن يَخلُفَه بَعدَ وفاتِه، و يوشَعُ بنُ نونٍ لَم تَحصُلْ </w:t>
      </w:r>
      <w:r>
        <w:rPr>
          <w:rStyle w:val="FootnoteAnchor"/>
          <w:rtl w:val="true"/>
        </w:rPr>
        <w:footnoteReference w:id="2465"/>
      </w:r>
      <w:r>
        <w:rPr>
          <w:rFonts w:ascii="Amiri" w:hAnsi="Amiri" w:eastAsia="Amiri" w:cs="Amiri"/>
          <w:color w:val="111111"/>
          <w:sz w:val="28"/>
          <w:sz w:val="28"/>
          <w:szCs w:val="28"/>
          <w:rtl w:val="true"/>
          <w:lang w:bidi="ar-SA"/>
        </w:rPr>
        <w:t xml:space="preserve">له هاتانِ المَنزِلتانِ ؛ ففي ذِكرِه و العُدولِ عن ذِكرِ هارونَ إخلالٌ بالغرضِ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هارونَ عليه السلامُ 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مَنزِلةِ </w:t>
      </w:r>
      <w:r>
        <w:rPr>
          <w:rStyle w:val="FootnoteAnchor"/>
          <w:rtl w:val="true"/>
        </w:rPr>
        <w:footnoteReference w:id="2466"/>
      </w:r>
      <w:r>
        <w:rPr>
          <w:rFonts w:ascii="Amiri" w:hAnsi="Amiri" w:eastAsia="Amiri" w:cs="Amiri"/>
          <w:color w:val="111111"/>
          <w:sz w:val="28"/>
          <w:sz w:val="28"/>
          <w:szCs w:val="28"/>
          <w:rtl w:val="true"/>
          <w:lang w:bidi="ar-SA"/>
        </w:rPr>
        <w:t>الخِلافةِ في الحياةِ و الاستحقاقِ لها</w:t>
      </w:r>
      <w:r>
        <w:rPr>
          <w:rStyle w:val="FootnoteAnchor"/>
          <w:rtl w:val="true"/>
        </w:rPr>
        <w:footnoteReference w:id="2467"/>
      </w:r>
      <w:r>
        <w:rPr>
          <w:rFonts w:ascii="Amiri" w:hAnsi="Amiri" w:eastAsia="Amiri" w:cs="Amiri"/>
          <w:color w:val="111111"/>
          <w:sz w:val="28"/>
          <w:sz w:val="28"/>
          <w:szCs w:val="28"/>
          <w:rtl w:val="true"/>
          <w:lang w:bidi="ar-SA"/>
        </w:rPr>
        <w:t xml:space="preserve">بَعدَ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التقدُّمِ علىٰ سائرِ أصحابِ موسىٰ و كَونِه أفضَلَهم بَعدَه، و هذه مَنزِلةٌ أرادَ النبيُّ صَلَّى اللّٰهُ عليه و آلِه إيجابَها لأميرِ المؤمنينَ عليه السلامُ ، و لَو ذَكَرَ بَدَلاً مِن هارونَ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يوشَعَ بنَ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دالاًّ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خِلافةَ هارونَ لموسىٰ عليهما السلامُ نَطَقَ بها القُرآنُ‌، و ظَهَرَ أمرُهَا لجميعِ المُسلِمينَ‌، و لَيسَت</w:t>
      </w:r>
      <w:r>
        <w:rPr>
          <w:rStyle w:val="FootnoteAnchor"/>
          <w:rtl w:val="true"/>
        </w:rPr>
        <w:footnoteReference w:id="2468"/>
      </w:r>
      <w:r>
        <w:rPr>
          <w:rFonts w:ascii="Amiri" w:hAnsi="Amiri" w:eastAsia="Amiri" w:cs="Amiri"/>
          <w:color w:val="111111"/>
          <w:sz w:val="28"/>
          <w:sz w:val="28"/>
          <w:szCs w:val="28"/>
          <w:rtl w:val="true"/>
          <w:lang w:bidi="ar-SA"/>
        </w:rPr>
        <w:t>خِلافةُ يوشَعَ بنِ نونٍ لموسىٰ عليه السلامُ بَعدَه ثابتةً بالقُرآنِ‌</w:t>
      </w:r>
      <w:r>
        <w:rPr>
          <w:rStyle w:val="FootnoteAnchor"/>
          <w:rtl w:val="true"/>
        </w:rPr>
        <w:footnoteReference w:id="2469"/>
      </w:r>
      <w:r>
        <w:rPr>
          <w:rFonts w:ascii="Amiri" w:hAnsi="Amiri" w:eastAsia="Amiri" w:cs="Amiri"/>
          <w:color w:val="111111"/>
          <w:sz w:val="28"/>
          <w:sz w:val="28"/>
          <w:szCs w:val="28"/>
          <w:rtl w:val="true"/>
          <w:lang w:bidi="ar-SA"/>
        </w:rPr>
        <w:t>، و لا ظاهرةً لكُلِّ مَن ظَهَرَت</w:t>
      </w:r>
      <w:r>
        <w:rPr>
          <w:rStyle w:val="FootnoteAnchor"/>
          <w:rtl w:val="true"/>
        </w:rPr>
        <w:footnoteReference w:id="2470"/>
      </w:r>
      <w:r>
        <w:rPr>
          <w:rFonts w:ascii="Amiri" w:hAnsi="Amiri" w:eastAsia="Amiri" w:cs="Amiri"/>
          <w:color w:val="111111"/>
          <w:sz w:val="28"/>
          <w:sz w:val="28"/>
          <w:szCs w:val="28"/>
          <w:rtl w:val="true"/>
          <w:lang w:bidi="ar-SA"/>
        </w:rPr>
        <w:t>له خِلافةُ هارونَ‌؛ فأَرادَ النبيُّ صَلَّى اللّٰهُ عليه و آلِه</w:t>
      </w:r>
      <w:r>
        <w:rPr>
          <w:rStyle w:val="FootnoteAnchor"/>
          <w:rtl w:val="true"/>
        </w:rPr>
        <w:footnoteReference w:id="2471"/>
      </w:r>
      <w:r>
        <w:rPr>
          <w:rFonts w:ascii="Amiri" w:hAnsi="Amiri" w:eastAsia="Amiri" w:cs="Amiri"/>
          <w:color w:val="111111"/>
          <w:sz w:val="28"/>
          <w:sz w:val="28"/>
          <w:szCs w:val="28"/>
          <w:rtl w:val="true"/>
          <w:lang w:bidi="ar-SA"/>
        </w:rPr>
        <w:t xml:space="preserve">أن يوجِبَ له الإمامةَ بالأمرِ الواضحِ الجَليِّ‌، الذي يَشهَدُ به القُرآنُ‌، و لا تَعتَرِضُ </w:t>
      </w:r>
      <w:r>
        <w:rPr>
          <w:rStyle w:val="FootnoteAnchor"/>
          <w:rtl w:val="true"/>
        </w:rPr>
        <w:footnoteReference w:id="2472"/>
      </w:r>
      <w:r>
        <w:rPr>
          <w:rFonts w:ascii="Amiri" w:hAnsi="Amiri" w:eastAsia="Amiri" w:cs="Amiri"/>
          <w:color w:val="111111"/>
          <w:sz w:val="28"/>
          <w:sz w:val="28"/>
          <w:szCs w:val="28"/>
          <w:rtl w:val="true"/>
          <w:lang w:bidi="ar-SA"/>
        </w:rPr>
        <w:t>فيه</w:t>
      </w:r>
      <w:r>
        <w:rPr>
          <w:rStyle w:val="FootnoteAnchor"/>
          <w:rtl w:val="true"/>
        </w:rPr>
        <w:footnoteReference w:id="2473"/>
      </w:r>
      <w:r>
        <w:rPr>
          <w:rFonts w:ascii="Amiri" w:hAnsi="Amiri" w:eastAsia="Amiri" w:cs="Amiri"/>
          <w:color w:val="111111"/>
          <w:sz w:val="28"/>
          <w:sz w:val="28"/>
          <w:szCs w:val="28"/>
          <w:rtl w:val="true"/>
          <w:lang w:bidi="ar-SA"/>
        </w:rPr>
        <w:t xml:space="preserve">الشُّبُهاتُ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يوشَعَ بنَ نونٍ لَم يَكُن خَليفةً لموسىٰ عليه السلامُ بَعدَه فيما يَقتَضي الإمامةَ ، و إنّما كانَ نَبيّاً بَعدَه مؤدّياً لشَرعِه؛ و خِلافتُه فيما يَتعلَّقُ بالإمامةِ كانَت في وَلَدِ هارونَ عليه السلامُ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w:t>
      </w:r>
      <w:r>
        <w:rPr>
          <w:rStyle w:val="FootnoteAnchor"/>
          <w:rtl w:val="true"/>
        </w:rPr>
        <w:footnoteReference w:id="2474"/>
      </w:r>
      <w:r>
        <w:rPr>
          <w:rFonts w:ascii="Amiri" w:hAnsi="Amiri" w:eastAsia="Amiri" w:cs="Amiri"/>
          <w:color w:val="111111"/>
          <w:sz w:val="28"/>
          <w:sz w:val="28"/>
          <w:szCs w:val="28"/>
          <w:rtl w:val="true"/>
          <w:lang w:bidi="ar-SA"/>
        </w:rPr>
        <w:t xml:space="preserve">للمُخالِفِ </w:t>
      </w:r>
      <w:r>
        <w:rPr>
          <w:rStyle w:val="FootnoteAnchor"/>
          <w:rtl w:val="true"/>
        </w:rPr>
        <w:footnoteReference w:id="2475"/>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حصولَ الإمامةِ في وَلَدِ هارونَ غيرُ معلومٍ مِن </w:t>
      </w:r>
    </w:p>
    <w:p>
      <w:pPr>
        <w:pStyle w:val="BookText"/>
        <w:rPr/>
      </w:pPr>
      <w:r>
        <w:rPr>
          <w:rFonts w:ascii="Amiri" w:hAnsi="Amiri" w:eastAsia="Amiri" w:cs="Amiri"/>
          <w:color w:val="111111"/>
          <w:sz w:val="28"/>
          <w:sz w:val="28"/>
          <w:szCs w:val="28"/>
          <w:rtl w:val="true"/>
          <w:lang w:bidi="ar-SA"/>
        </w:rPr>
        <w:t>طريقٍ يُقطَعُ عليه؛ لأنّ المَرجِعَ فيه إلىٰ أخبارِ الآحادِ، أو إلىٰ قولِ اليهودِ الذي لا 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هكَذا حُكمُ نُبوّةِ يوشَعَ بنِ نونٍ ؛ لأنّه لا خِلافَ بَينَ المُسلِمينَ في أنّه كانَ نَبيّاً بَعدَ موسىٰ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علىٰ أنّ الأمرَ كَما ذَكَرتَ‌، ألَيسَ و إن عَلِمنَا نُبوّةَ‌</w:t>
      </w:r>
      <w:r>
        <w:rPr>
          <w:rStyle w:val="FootnoteAnchor"/>
          <w:rtl w:val="true"/>
        </w:rPr>
        <w:footnoteReference w:id="2476"/>
      </w:r>
      <w:r>
        <w:rPr>
          <w:rFonts w:ascii="Amiri" w:hAnsi="Amiri" w:eastAsia="Amiri" w:cs="Amiri"/>
          <w:color w:val="111111"/>
          <w:sz w:val="28"/>
          <w:sz w:val="28"/>
          <w:szCs w:val="28"/>
          <w:rtl w:val="true"/>
          <w:lang w:bidi="ar-SA"/>
        </w:rPr>
        <w:t>يوشَعَ بَعدَ موسىٰ فإنّا غيرُ عالِمينَ بأنّ الإمامةَ كانَت إليه و أنّه كانَ المُتوَلّيَ لِما يَقومُ به الأئمّةُ؟</w:t>
      </w:r>
    </w:p>
    <w:p>
      <w:pPr>
        <w:pStyle w:val="BookText"/>
        <w:rPr/>
      </w:pPr>
      <w:r>
        <w:rPr>
          <w:rFonts w:ascii="Amiri" w:hAnsi="Amiri" w:eastAsia="Amiri" w:cs="Amiri"/>
          <w:color w:val="111111"/>
          <w:sz w:val="28"/>
          <w:sz w:val="28"/>
          <w:szCs w:val="28"/>
          <w:rtl w:val="true"/>
          <w:lang w:bidi="ar-SA"/>
        </w:rPr>
        <w:t xml:space="preserve">فلا بُدَّ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القَدرُ كافٍ في إبطالِ سؤالِكم؛ لأنّا و إن لَم نَعلَمْ أنّ الإمامةَ كانَت في وَلَدِ هارونَ مِن بَعدِ موسىٰ عليه السلامُ‌، فلَم نَعلَمْ‌</w:t>
      </w:r>
      <w:r>
        <w:rPr>
          <w:rStyle w:val="FootnoteAnchor"/>
          <w:rtl w:val="true"/>
        </w:rPr>
        <w:footnoteReference w:id="2477"/>
      </w:r>
      <w:r>
        <w:rPr>
          <w:rFonts w:ascii="Amiri" w:hAnsi="Amiri" w:eastAsia="Amiri" w:cs="Amiri"/>
          <w:color w:val="111111"/>
          <w:sz w:val="28"/>
          <w:sz w:val="28"/>
          <w:szCs w:val="28"/>
          <w:rtl w:val="true"/>
          <w:lang w:bidi="ar-SA"/>
        </w:rPr>
        <w:t>أيضاً أنّها كانَت إلىٰ يوشَعَ بنِ نونٍ مُضافةً إلَى النبوّةِ ؛ فكَيفَ يُقالُ لنا</w:t>
      </w:r>
      <w:r>
        <w:rPr>
          <w:rStyle w:val="FootnoteAnchor"/>
          <w:rtl w:val="true"/>
        </w:rPr>
        <w:footnoteReference w:id="2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لَو أرادَ الإمامةَ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بمَنزِلةِ يوشَعَ بنِ نونٍ </w:t>
      </w:r>
      <w:r>
        <w:rPr>
          <w:rStyle w:val="FootnoteAnchor"/>
          <w:rtl w:val="true"/>
        </w:rPr>
        <w:footnoteReference w:id="2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أنّ هارونَ لَو عاشَ بَعدَ موسىٰ لَكانَ خَليفتَه</w:t>
      </w:r>
      <w:r>
        <w:rPr>
          <w:rStyle w:val="FootnoteAnchor"/>
          <w:rtl w:val="true"/>
        </w:rPr>
        <w:footnoteReference w:id="24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خَليفتَه</w:t>
      </w:r>
      <w:r>
        <w:rPr>
          <w:rStyle w:val="FootnoteAnchor"/>
          <w:rtl w:val="true"/>
        </w:rPr>
        <w:footnoteReference w:id="2481"/>
      </w:r>
      <w:r>
        <w:rPr>
          <w:rFonts w:ascii="Amiri" w:hAnsi="Amiri" w:eastAsia="Amiri" w:cs="Amiri"/>
          <w:color w:val="111111"/>
          <w:sz w:val="28"/>
          <w:sz w:val="28"/>
          <w:szCs w:val="28"/>
          <w:rtl w:val="true"/>
          <w:lang w:bidi="ar-SA"/>
        </w:rPr>
        <w:t>في حالِ حَياتِه، وَجَبَ مِثلُه بَعدَ وفاتِه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في حالِ الحياةِ تَقتَضي الخِلافةَ بَعدَ المَوتِ لا مَحالةَ ، أو يُحتاجُ في كَونِه خَليفةً له</w:t>
      </w:r>
      <w:r>
        <w:rPr>
          <w:rStyle w:val="FootnoteAnchor"/>
          <w:rtl w:val="true"/>
        </w:rPr>
        <w:footnoteReference w:id="2482"/>
      </w:r>
      <w:r>
        <w:rPr>
          <w:rFonts w:ascii="Amiri" w:hAnsi="Amiri" w:eastAsia="Amiri" w:cs="Amiri"/>
          <w:color w:val="111111"/>
          <w:sz w:val="28"/>
          <w:sz w:val="28"/>
          <w:szCs w:val="28"/>
          <w:rtl w:val="true"/>
          <w:lang w:bidi="ar-SA"/>
        </w:rPr>
        <w:t xml:space="preserve">بَعدَ وفاتِه إلىٰ أمرٍ آخَرَ؟ </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w:t>
      </w:r>
      <w:r>
        <w:rPr>
          <w:rStyle w:val="FootnoteAnchor"/>
          <w:rtl w:val="true"/>
        </w:rPr>
        <w:footnoteReference w:id="2483"/>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لَو قَيَّدَه بحالِ الحياةِ أن يَكونَ خَليفتَه</w:t>
      </w:r>
      <w:r>
        <w:rPr>
          <w:rStyle w:val="FootnoteAnchor"/>
          <w:rtl w:val="true"/>
        </w:rPr>
        <w:footnoteReference w:id="2484"/>
      </w:r>
      <w:r>
        <w:rPr>
          <w:rFonts w:ascii="Amiri" w:hAnsi="Amiri" w:eastAsia="Amiri" w:cs="Amiri"/>
          <w:color w:val="111111"/>
          <w:sz w:val="28"/>
          <w:sz w:val="28"/>
          <w:szCs w:val="28"/>
          <w:rtl w:val="true"/>
          <w:lang w:bidi="ar-SA"/>
        </w:rPr>
        <w:t>بَعدَ المَوتِ‌، و أن لا يَفتَرِقَ الحالُ بَينَ المُقيَّدِ منه و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مَن قالَ ذلكَ و بَينَ مَن قالَ‌</w:t>
      </w:r>
      <w:r>
        <w:rPr>
          <w:rStyle w:val="FootnoteAnchor"/>
          <w:rtl w:val="true"/>
        </w:rPr>
        <w:footnoteReference w:id="24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خِلافتَه منه عليه السلامُ سَنَةً‌</w:t>
      </w:r>
      <w:r>
        <w:rPr>
          <w:rStyle w:val="FootnoteAnchor"/>
          <w:rtl w:val="true"/>
        </w:rPr>
        <w:footnoteReference w:id="2486"/>
      </w:r>
      <w:r>
        <w:rPr>
          <w:rFonts w:ascii="Amiri" w:hAnsi="Amiri" w:eastAsia="Amiri" w:cs="Amiri"/>
          <w:color w:val="111111"/>
          <w:sz w:val="28"/>
          <w:sz w:val="28"/>
          <w:szCs w:val="28"/>
          <w:rtl w:val="true"/>
          <w:lang w:bidi="ar-SA"/>
        </w:rPr>
        <w:t>تَقتَضي</w:t>
      </w:r>
      <w:r>
        <w:rPr>
          <w:rStyle w:val="FootnoteAnchor"/>
          <w:rtl w:val="true"/>
        </w:rPr>
        <w:footnoteReference w:id="2487"/>
      </w:r>
      <w:r>
        <w:rPr>
          <w:rFonts w:ascii="Amiri" w:hAnsi="Amiri" w:eastAsia="Amiri" w:cs="Amiri"/>
          <w:color w:val="111111"/>
          <w:sz w:val="28"/>
          <w:sz w:val="28"/>
          <w:szCs w:val="28"/>
          <w:rtl w:val="true"/>
          <w:lang w:bidi="ar-SA"/>
        </w:rPr>
        <w:t>الخِلافةَ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مَن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مَن قالَ مِثلَه</w:t>
      </w:r>
      <w:r>
        <w:rPr>
          <w:rStyle w:val="FootnoteAnchor"/>
          <w:rtl w:val="true"/>
        </w:rPr>
        <w:footnoteReference w:id="2488"/>
      </w:r>
      <w:r>
        <w:rPr>
          <w:rFonts w:ascii="Amiri" w:hAnsi="Amiri" w:eastAsia="Amiri" w:cs="Amiri"/>
          <w:color w:val="111111"/>
          <w:sz w:val="28"/>
          <w:sz w:val="28"/>
          <w:szCs w:val="28"/>
          <w:rtl w:val="true"/>
          <w:lang w:bidi="ar-SA"/>
        </w:rPr>
        <w:t>في الوَكالةِ و الإمارةِ و غيرِهما؛</w:t>
      </w:r>
      <w:r>
        <w:rPr>
          <w:rStyle w:val="FootnoteAnchor"/>
          <w:rtl w:val="true"/>
        </w:rPr>
        <w:footnoteReference w:id="2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ظاهرُ الفَسادِ</w:t>
      </w:r>
      <w:r>
        <w:rPr>
          <w:rFonts w:eastAsia="Amiri" w:cs="Amiri" w:ascii="Amiri" w:hAnsi="Amiri"/>
          <w:color w:val="111111"/>
          <w:sz w:val="28"/>
          <w:szCs w:val="28"/>
          <w:rtl w:val="true"/>
          <w:lang w:bidi="ar-SA"/>
        </w:rPr>
        <w:t>]</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بَعدَ هذا كلاماً</w:t>
      </w:r>
      <w:r>
        <w:rPr>
          <w:rStyle w:val="FootnoteAnchor"/>
          <w:rtl w:val="true"/>
        </w:rPr>
        <w:footnoteReference w:id="2491"/>
      </w:r>
      <w:r>
        <w:rPr>
          <w:rFonts w:ascii="Amiri" w:hAnsi="Amiri" w:eastAsia="Amiri" w:cs="Amiri"/>
          <w:color w:val="111111"/>
          <w:sz w:val="28"/>
          <w:sz w:val="28"/>
          <w:szCs w:val="28"/>
          <w:rtl w:val="true"/>
          <w:lang w:bidi="ar-SA"/>
        </w:rPr>
        <w:t>لا نَرتَضيهِ و لا نَتعلَّقُ به</w:t>
      </w:r>
      <w:r>
        <w:rPr>
          <w:rStyle w:val="FootnoteAnchor"/>
          <w:rtl w:val="true"/>
        </w:rPr>
        <w:footnoteReference w:id="2492"/>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فمِن أينَ أنّه كانَ خَليفةً‌</w:t>
      </w:r>
      <w:r>
        <w:rPr>
          <w:rStyle w:val="FootnoteAnchor"/>
          <w:rtl w:val="true"/>
        </w:rPr>
        <w:footnoteReference w:id="2493"/>
      </w:r>
      <w:r>
        <w:rPr>
          <w:rFonts w:ascii="Amiri" w:hAnsi="Amiri" w:eastAsia="Amiri" w:cs="Amiri"/>
          <w:color w:val="111111"/>
          <w:sz w:val="28"/>
          <w:sz w:val="28"/>
          <w:szCs w:val="28"/>
          <w:rtl w:val="true"/>
          <w:lang w:bidi="ar-SA"/>
        </w:rPr>
        <w:t>علىٰ وجهٍ يَثبُتُ‌</w:t>
      </w:r>
      <w:r>
        <w:rPr>
          <w:rStyle w:val="FootnoteAnchor"/>
          <w:rtl w:val="true"/>
        </w:rPr>
        <w:footnoteReference w:id="2494"/>
      </w:r>
      <w:r>
        <w:rPr>
          <w:rFonts w:ascii="Amiri" w:hAnsi="Amiri" w:eastAsia="Amiri" w:cs="Amiri"/>
          <w:color w:val="111111"/>
          <w:sz w:val="28"/>
          <w:sz w:val="28"/>
          <w:szCs w:val="28"/>
          <w:rtl w:val="true"/>
          <w:lang w:bidi="ar-SA"/>
        </w:rPr>
        <w:t>بقَولِه</w:t>
      </w:r>
      <w:r>
        <w:rPr>
          <w:rStyle w:val="FootnoteAnchor"/>
          <w:rtl w:val="true"/>
        </w:rPr>
        <w:footnoteReference w:id="2495"/>
      </w:r>
      <w:r>
        <w:rPr>
          <w:rFonts w:ascii="Amiri" w:hAnsi="Amiri" w:eastAsia="Amiri" w:cs="Amiri"/>
          <w:color w:val="111111"/>
          <w:sz w:val="28"/>
          <w:sz w:val="28"/>
          <w:szCs w:val="28"/>
          <w:rtl w:val="true"/>
          <w:lang w:bidi="ar-SA"/>
        </w:rPr>
        <w:t>حتّىٰ لَولا هذا القَولُ لَم يَكُن خَليفةً علىٰ قومِه</w:t>
      </w:r>
      <w:r>
        <w:rPr>
          <w:rStyle w:val="FootnoteAnchor"/>
          <w:rtl w:val="true"/>
        </w:rPr>
        <w:footnoteReference w:id="2496"/>
      </w:r>
      <w:r>
        <w:rPr>
          <w:rFonts w:ascii="Amiri" w:hAnsi="Amiri" w:eastAsia="Amiri" w:cs="Amiri"/>
          <w:color w:val="111111"/>
          <w:sz w:val="28"/>
          <w:sz w:val="28"/>
          <w:szCs w:val="28"/>
          <w:rtl w:val="true"/>
          <w:lang w:bidi="ar-SA"/>
        </w:rPr>
        <w:t>؟ بَل ما أنكَرتُم أن يَكونَ‌</w:t>
      </w:r>
      <w:r>
        <w:rPr>
          <w:rStyle w:val="FootnoteAnchor"/>
          <w:rtl w:val="true"/>
        </w:rPr>
        <w:footnoteReference w:id="2497"/>
      </w:r>
      <w:r>
        <w:rPr>
          <w:rFonts w:ascii="Amiri" w:hAnsi="Amiri" w:eastAsia="Amiri" w:cs="Amiri"/>
          <w:color w:val="111111"/>
          <w:sz w:val="28"/>
          <w:sz w:val="28"/>
          <w:szCs w:val="28"/>
          <w:rtl w:val="true"/>
          <w:lang w:bidi="ar-SA"/>
        </w:rPr>
        <w:t xml:space="preserve">إنّما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Style w:val="FootnoteAnchor"/>
          <w:rtl w:val="true"/>
        </w:rPr>
        <w:footnoteReference w:id="2498"/>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w:t>
      </w:r>
      <w:r>
        <w:rPr>
          <w:rFonts w:eastAsia="Amiri" w:cs="Amiri" w:ascii="Amiri" w:hAnsi="Amiri"/>
          <w:color w:val="111111"/>
          <w:sz w:val="28"/>
          <w:szCs w:val="28"/>
          <w:rtl w:val="true"/>
          <w:lang w:bidi="ar-SA"/>
        </w:rPr>
        <w:t>)</w:t>
      </w:r>
      <w:r>
        <w:rPr>
          <w:rStyle w:val="FootnoteAnchor"/>
          <w:rtl w:val="true"/>
        </w:rPr>
        <w:footnoteReference w:id="2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استظهاراً، كَما قالَ‌</w:t>
      </w:r>
      <w:r>
        <w:rPr>
          <w:rStyle w:val="FootnoteAnchor"/>
          <w:rtl w:val="true"/>
        </w:rPr>
        <w:footnoteReference w:id="2500"/>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أَصْلِحْ وَ لاٰ تَتَّبِعْ سَبِيلَ الْمُفْسِدِينَ‌</w:t>
      </w:r>
      <w:r>
        <w:rPr>
          <w:rFonts w:eastAsia="Amiri" w:cs="Amiri" w:ascii="Amiri" w:hAnsi="Amiri"/>
          <w:color w:val="111111"/>
          <w:sz w:val="28"/>
          <w:szCs w:val="28"/>
          <w:rtl w:val="true"/>
          <w:lang w:bidi="ar-SA"/>
        </w:rPr>
        <w:t>)</w:t>
      </w:r>
      <w:r>
        <w:rPr>
          <w:rStyle w:val="FootnoteAnchor"/>
          <w:rtl w:val="true"/>
        </w:rPr>
        <w:footnoteReference w:id="2501"/>
      </w:r>
      <w:r>
        <w:rPr>
          <w:rFonts w:ascii="Amiri" w:hAnsi="Amiri" w:eastAsia="Amiri" w:cs="Amiri"/>
          <w:color w:val="111111"/>
          <w:sz w:val="28"/>
          <w:sz w:val="28"/>
          <w:szCs w:val="28"/>
          <w:rtl w:val="true"/>
          <w:lang w:bidi="ar-SA"/>
        </w:rPr>
        <w:t>استظهاراً؟ يُبيِّنُ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المُتَعالَمَ مِن حالِه أنّه كانَ شَريكَه في النبوّةِ‌، و لا يَجوزُ ذلكَ‌</w:t>
      </w:r>
      <w:r>
        <w:rPr>
          <w:rStyle w:val="FootnoteAnchor"/>
          <w:rtl w:val="true"/>
        </w:rPr>
        <w:footnoteReference w:id="2502"/>
      </w:r>
      <w:r>
        <w:rPr>
          <w:rFonts w:ascii="Amiri" w:hAnsi="Amiri" w:eastAsia="Amiri" w:cs="Amiri"/>
          <w:color w:val="111111"/>
          <w:sz w:val="28"/>
          <w:sz w:val="28"/>
          <w:szCs w:val="28"/>
          <w:rtl w:val="true"/>
          <w:lang w:bidi="ar-SA"/>
        </w:rPr>
        <w:t>إلّاو يَلزَمُه عندَ غَيبةِ موسىٰ أن يَقومَ بأمرِ قومِه و إن لَم يَستَخلِفْه، كَما يَلزَمُه إذا</w:t>
      </w:r>
      <w:r>
        <w:rPr>
          <w:rStyle w:val="FootnoteAnchor"/>
          <w:rtl w:val="true"/>
        </w:rPr>
        <w:footnoteReference w:id="2503"/>
      </w:r>
      <w:r>
        <w:rPr>
          <w:rFonts w:ascii="Amiri" w:hAnsi="Amiri" w:eastAsia="Amiri" w:cs="Amiri"/>
          <w:color w:val="111111"/>
          <w:sz w:val="28"/>
          <w:sz w:val="28"/>
          <w:szCs w:val="28"/>
          <w:rtl w:val="true"/>
          <w:lang w:bidi="ar-SA"/>
        </w:rPr>
        <w:t>استَخلَفَه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w:t>
      </w:r>
      <w:r>
        <w:rPr>
          <w:rStyle w:val="FootnoteAnchor"/>
          <w:rtl w:val="true"/>
        </w:rPr>
        <w:footnoteReference w:id="2504"/>
      </w:r>
      <w:r>
        <w:rPr>
          <w:rFonts w:ascii="Amiri" w:hAnsi="Amiri" w:eastAsia="Amiri" w:cs="Amiri"/>
          <w:color w:val="111111"/>
          <w:sz w:val="28"/>
          <w:sz w:val="28"/>
          <w:szCs w:val="28"/>
          <w:rtl w:val="true"/>
          <w:lang w:bidi="ar-SA"/>
        </w:rPr>
        <w:t>حالُه لا يُعَدُّ في التحقيقِ خِلافةً‌؛ لأنّ الوجهَ الذي له كانَ يَقومُ بهذه الأُمورِ، كَونُه نَبيّاً معه، لا خِلافتُه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صَحَّ ذلكَ‌، لَم يَثبُتْ بالظاهرِ أنّه كانَ خَليفةً علَى الحقيقةِ ، و لا كَيفيّةُ استخلافِه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يَثبُتْ ذلكَ ، فقَد بَطَلَ أنّ ذلكَ يوجِبُ له نفيَ </w:t>
      </w:r>
      <w:r>
        <w:rPr>
          <w:rStyle w:val="FootnoteAnchor"/>
          <w:rtl w:val="true"/>
        </w:rPr>
        <w:footnoteReference w:id="2505"/>
      </w:r>
      <w:r>
        <w:rPr>
          <w:rFonts w:ascii="Amiri" w:hAnsi="Amiri" w:eastAsia="Amiri" w:cs="Amiri"/>
          <w:color w:val="111111"/>
          <w:sz w:val="28"/>
          <w:sz w:val="28"/>
          <w:szCs w:val="28"/>
          <w:rtl w:val="true"/>
          <w:lang w:bidi="ar-SA"/>
        </w:rPr>
        <w:t>أن يَكونَ خَليفةً بَعدَ وفاتِه</w:t>
      </w:r>
      <w:r>
        <w:rPr>
          <w:rFonts w:eastAsia="Amiri" w:cs="Amiri" w:ascii="Amiri" w:hAnsi="Amiri"/>
          <w:color w:val="111111"/>
          <w:sz w:val="28"/>
          <w:szCs w:val="28"/>
          <w:rtl w:val="true"/>
          <w:lang w:bidi="ar-SA"/>
        </w:rPr>
        <w:t>].</w:t>
      </w:r>
      <w:r>
        <w:rPr>
          <w:rStyle w:val="FootnoteAnchor"/>
          <w:rtl w:val="true"/>
        </w:rPr>
        <w:footnoteReference w:id="2506"/>
      </w:r>
      <w:bookmarkStart w:id="451" w:name="pg20017_202640"/>
    </w:p>
    <w:p>
      <w:pPr>
        <w:pStyle w:val="BookText"/>
        <w:rPr/>
      </w:pPr>
      <w:bookmarkEnd w:id="451"/>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فيما سَلَفَ مِن كلامِنا أنّا لا نَحتاجُ في إثباتِ النَّصِّ بهذا الخبرِ علَى الطريقَتَينِ‌</w:t>
      </w:r>
      <w:r>
        <w:rPr>
          <w:rStyle w:val="FootnoteAnchor"/>
          <w:rtl w:val="true"/>
        </w:rPr>
        <w:footnoteReference w:id="2507"/>
      </w:r>
      <w:r>
        <w:rPr>
          <w:rFonts w:ascii="Amiri" w:hAnsi="Amiri" w:eastAsia="Amiri" w:cs="Amiri"/>
          <w:color w:val="111111"/>
          <w:sz w:val="28"/>
          <w:sz w:val="28"/>
          <w:szCs w:val="28"/>
          <w:rtl w:val="true"/>
          <w:lang w:bidi="ar-SA"/>
        </w:rPr>
        <w:t>مَعاً إلىٰ إثباتِ أنّ هارونَ لَو بَقيَ بَعدَ موسىٰ لَخَلَفَه</w:t>
      </w:r>
      <w:r>
        <w:rPr>
          <w:rStyle w:val="FootnoteAnchor"/>
          <w:rtl w:val="true"/>
        </w:rPr>
        <w:footnoteReference w:id="2508"/>
      </w:r>
      <w:r>
        <w:rPr>
          <w:rFonts w:ascii="Amiri" w:hAnsi="Amiri" w:eastAsia="Amiri" w:cs="Amiri"/>
          <w:color w:val="111111"/>
          <w:sz w:val="28"/>
          <w:sz w:val="28"/>
          <w:szCs w:val="28"/>
          <w:rtl w:val="true"/>
          <w:lang w:bidi="ar-SA"/>
        </w:rPr>
        <w:t>، و لا إلىٰ أنّه كانَ خَليفةً له في حياتِه علىٰ وَجهٍ يَثبُتُ بقَولِه</w:t>
      </w:r>
      <w:r>
        <w:rPr>
          <w:rStyle w:val="FootnoteAnchor"/>
          <w:rtl w:val="true"/>
        </w:rPr>
        <w:footnoteReference w:id="2509"/>
      </w:r>
      <w:r>
        <w:rPr>
          <w:rFonts w:ascii="Amiri" w:hAnsi="Amiri" w:eastAsia="Amiri" w:cs="Amiri"/>
          <w:color w:val="111111"/>
          <w:sz w:val="28"/>
          <w:sz w:val="28"/>
          <w:szCs w:val="28"/>
          <w:rtl w:val="true"/>
          <w:lang w:bidi="ar-SA"/>
        </w:rPr>
        <w:t xml:space="preserve">، و بيّنّا أنّ طاعةَ هارونَ إذا كانَت واجبةً علىٰ قومِ موسى بَعدَ وفاتِه كما كانَت واجبةً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r>
        <w:rPr>
          <w:rStyle w:val="FootnoteAnchor"/>
          <w:rtl w:val="true"/>
        </w:rPr>
        <w:footnoteReference w:id="2510"/>
      </w:r>
      <w:r>
        <w:rPr>
          <w:rFonts w:ascii="Amiri" w:hAnsi="Amiri" w:eastAsia="Amiri" w:cs="Amiri"/>
          <w:color w:val="111111"/>
          <w:sz w:val="28"/>
          <w:sz w:val="28"/>
          <w:szCs w:val="28"/>
          <w:rtl w:val="true"/>
          <w:lang w:bidi="ar-SA"/>
        </w:rPr>
        <w:t xml:space="preserve">جِهةُ وجوبِها له هي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مَنزِلةٌ يَصِحُّ </w:t>
      </w:r>
      <w:r>
        <w:rPr>
          <w:rStyle w:val="FootnoteAnchor"/>
          <w:rtl w:val="true"/>
        </w:rPr>
        <w:footnoteReference w:id="2511"/>
      </w:r>
      <w:r>
        <w:rPr>
          <w:rFonts w:ascii="Amiri" w:hAnsi="Amiri" w:eastAsia="Amiri" w:cs="Amiri"/>
          <w:color w:val="111111"/>
          <w:sz w:val="28"/>
          <w:sz w:val="28"/>
          <w:szCs w:val="28"/>
          <w:rtl w:val="true"/>
          <w:lang w:bidi="ar-SA"/>
        </w:rPr>
        <w:t>أن تُجعَلَ لِغَيرِه و إن لَم يَكُن نَبيّاً</w:t>
      </w:r>
      <w:r>
        <w:rPr>
          <w:rStyle w:val="FootnoteAnchor"/>
          <w:rtl w:val="true"/>
        </w:rPr>
        <w:footnoteReference w:id="2512"/>
      </w:r>
      <w:r>
        <w:rPr>
          <w:rFonts w:ascii="Amiri" w:hAnsi="Amiri" w:eastAsia="Amiri" w:cs="Amiri"/>
          <w:color w:val="111111"/>
          <w:sz w:val="28"/>
          <w:sz w:val="28"/>
          <w:szCs w:val="28"/>
          <w:rtl w:val="true"/>
          <w:lang w:bidi="ar-SA"/>
        </w:rPr>
        <w:t>، و أبطَلنا قولَ مَن ظَنَّ أنّ في استثناءِ النبوّةِ استثناءَ هذه المَنزِلةِ بما نَحنُ أغنياءُ عن إعادتِه</w:t>
      </w:r>
      <w:r>
        <w:rPr>
          <w:rStyle w:val="FootnoteAnchor"/>
          <w:rtl w:val="true"/>
        </w:rPr>
        <w:footnoteReference w:id="2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أعرَضنا عن نَقضِ </w:t>
      </w:r>
      <w:r>
        <w:rPr>
          <w:rStyle w:val="FootnoteAnchor"/>
          <w:rtl w:val="true"/>
        </w:rPr>
        <w:footnoteReference w:id="2514"/>
      </w:r>
      <w:r>
        <w:rPr>
          <w:rFonts w:ascii="Amiri" w:hAnsi="Amiri" w:eastAsia="Amiri" w:cs="Amiri"/>
          <w:color w:val="111111"/>
          <w:sz w:val="28"/>
          <w:sz w:val="28"/>
          <w:szCs w:val="28"/>
          <w:rtl w:val="true"/>
          <w:lang w:bidi="ar-SA"/>
        </w:rPr>
        <w:t>ما تَضمَّنَه الفَصلُ الذي حَكَيناه، لَم يَكُن إعراضُنا</w:t>
      </w:r>
      <w:r>
        <w:rPr>
          <w:rStyle w:val="FootnoteAnchor"/>
          <w:rtl w:val="true"/>
        </w:rPr>
        <w:footnoteReference w:id="2515"/>
      </w:r>
      <w:r>
        <w:rPr>
          <w:rFonts w:ascii="Amiri" w:hAnsi="Amiri" w:eastAsia="Amiri" w:cs="Amiri"/>
          <w:color w:val="111111"/>
          <w:sz w:val="28"/>
          <w:sz w:val="28"/>
          <w:szCs w:val="28"/>
          <w:rtl w:val="true"/>
          <w:lang w:bidi="ar-SA"/>
        </w:rPr>
        <w:t>مُخِلاًّ بصِحّةِ ما نَصَرناه</w:t>
      </w:r>
      <w:r>
        <w:rPr>
          <w:rStyle w:val="FootnoteAnchor"/>
          <w:rtl w:val="true"/>
        </w:rPr>
        <w:footnoteReference w:id="2516"/>
      </w:r>
      <w:r>
        <w:rPr>
          <w:rFonts w:ascii="Amiri" w:hAnsi="Amiri" w:eastAsia="Amiri" w:cs="Amiri"/>
          <w:color w:val="111111"/>
          <w:sz w:val="28"/>
          <w:sz w:val="28"/>
          <w:szCs w:val="28"/>
          <w:rtl w:val="true"/>
          <w:lang w:bidi="ar-SA"/>
        </w:rPr>
        <w:t xml:space="preserve">مِن الطريقَينِ جميعاً في إثباتِ النَّصِّ </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964315_2320776876"/>
      <w:bookmarkStart w:id="453" w:name="_Toc161"/>
      <w:bookmarkEnd w:id="452"/>
      <w:r>
        <w:rPr>
          <w:rtl w:val="true"/>
        </w:rPr>
        <w:t>اقتضاء خلافة هارون في حياة موسىٰ ، لخلافته له بعد موته</w:t>
      </w:r>
      <w:bookmarkEnd w:id="45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دَلَّلنا أيضاً علىٰ أنّ هارونَ عليه السلامُ لَو بَقيَ بَعدَ موسىٰ عليه السلامُ لَكانَ خَليفتَه و القائمَ بأمرِ أُمّتِه بما لا يَطعَنُ فيه كلامُكَ هذا الذي حَكَيناه؛ لأنّا قد بيّنّا أن خِلافتَه له لَو وَجَبَت في حالٍ دونَ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عِلمِنا بأنّها مَنزِلةٌ في الدينِ جَليلةٌ ، و رُتبةٌ فيه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لَاقتَضىٰ نَفيُها بَعدَ ثُبوتِها مِن التنفيرِ أكثَرَ ممّا يَقتضيهِ </w:t>
      </w:r>
      <w:bookmarkStart w:id="454" w:name="pg20017_202641"/>
    </w:p>
    <w:p>
      <w:pPr>
        <w:pStyle w:val="BookText"/>
        <w:rPr/>
      </w:pPr>
      <w:bookmarkEnd w:id="454"/>
      <w:r>
        <w:rPr>
          <w:rFonts w:ascii="Amiri" w:hAnsi="Amiri" w:eastAsia="Amiri" w:cs="Amiri"/>
          <w:color w:val="111111"/>
          <w:sz w:val="28"/>
          <w:sz w:val="28"/>
          <w:szCs w:val="28"/>
          <w:rtl w:val="true"/>
          <w:lang w:bidi="ar-SA"/>
        </w:rPr>
        <w:t>جميعُ ما يَنفيهِ خُصومُنا عن الأنبياءِ عليهم السلامُ لِمكانِ التنفيرِ</w:t>
      </w:r>
      <w:r>
        <w:rPr>
          <w:rStyle w:val="FootnoteAnchor"/>
          <w:rtl w:val="true"/>
        </w:rPr>
        <w:footnoteReference w:id="2517"/>
      </w:r>
      <w:r>
        <w:rPr>
          <w:rFonts w:ascii="Amiri" w:hAnsi="Amiri" w:eastAsia="Amiri" w:cs="Amiri"/>
          <w:color w:val="111111"/>
          <w:sz w:val="28"/>
          <w:sz w:val="28"/>
          <w:szCs w:val="28"/>
          <w:rtl w:val="true"/>
          <w:lang w:bidi="ar-SA"/>
        </w:rPr>
        <w:t>فلا بُدَّ مِن القولِ بأنّ خِلافتَه في حالِ حياتِه تَقتَضي</w:t>
      </w:r>
      <w:r>
        <w:rPr>
          <w:rStyle w:val="FootnoteAnchor"/>
          <w:rtl w:val="true"/>
        </w:rPr>
        <w:footnoteReference w:id="2518"/>
      </w:r>
      <w:r>
        <w:rPr>
          <w:rFonts w:ascii="Amiri" w:hAnsi="Amiri" w:eastAsia="Amiri" w:cs="Amiri"/>
          <w:color w:val="111111"/>
          <w:sz w:val="28"/>
          <w:sz w:val="28"/>
          <w:szCs w:val="28"/>
          <w:rtl w:val="true"/>
          <w:lang w:bidi="ar-SA"/>
        </w:rPr>
        <w:t>الخِلافةَ بَعدَ الموتِ مِن الوجهِ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قَدَّرَه مِن التقييدِ بحالِ الحياةِ دونَ غيرِها باطلٌ‌؛ لأنّ موسىٰ عليه السلامُ أعلَمُ مِنّا بما قُلناه مِن اقتضاءِ نفيِ الإمامةِ بَعدَ ثُبوتِها للتنفيرِ</w:t>
      </w:r>
      <w:r>
        <w:rPr>
          <w:rStyle w:val="FootnoteAnchor"/>
          <w:rtl w:val="true"/>
        </w:rPr>
        <w:footnoteReference w:id="2519"/>
      </w:r>
      <w:r>
        <w:rPr>
          <w:rFonts w:ascii="Amiri" w:hAnsi="Amiri" w:eastAsia="Amiri" w:cs="Amiri"/>
          <w:color w:val="111111"/>
          <w:sz w:val="28"/>
          <w:sz w:val="28"/>
          <w:szCs w:val="28"/>
          <w:rtl w:val="true"/>
          <w:lang w:bidi="ar-SA"/>
        </w:rPr>
        <w:t>، فكيفَ يَجوزُ أن يُقيِّدَ الخِلافةَ بحالٍ دونَ حالٍ؟ و كَيفَ يُسوِّغُه اللّٰهُ تَعالىٰ ذلكَ و هو لا يَنطِقُ إلّاعن وَحيِه‌؟ و لَو جازَ فيما يَقتَضي النبوّةُ استمرارَه التقييدُ و الاختصاصُ‌، لَجازَ مِثلُه في</w:t>
      </w:r>
    </w:p>
    <w:p>
      <w:pPr>
        <w:pStyle w:val="BookText"/>
        <w:rPr/>
      </w:pPr>
      <w:r>
        <w:rPr>
          <w:rFonts w:ascii="Amiri" w:hAnsi="Amiri" w:eastAsia="Amiri" w:cs="Amiri"/>
          <w:color w:val="111111"/>
          <w:sz w:val="28"/>
          <w:sz w:val="28"/>
          <w:szCs w:val="28"/>
          <w:rtl w:val="true"/>
          <w:lang w:bidi="ar-SA"/>
        </w:rPr>
        <w:t>نفسِ النبوّةِ‌؛ فكأنّا نَقولُ لِصاحبِ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قَيَّدَ موسىٰ عليه السلامُ الخِلافةَ بحالٍ دونَ حالٍ لَوَجَبَت علَى الوجهِ الذي تَعلَّقَ كلامُه به، غيرَ أنّ ذلكَ لا يَجوزُ أن يَفعَلَه</w:t>
      </w:r>
      <w:r>
        <w:rPr>
          <w:rStyle w:val="FootnoteAnchor"/>
          <w:rtl w:val="true"/>
        </w:rPr>
        <w:footnoteReference w:id="2520"/>
      </w:r>
      <w:r>
        <w:rPr>
          <w:rFonts w:ascii="Amiri" w:hAnsi="Amiri" w:eastAsia="Amiri" w:cs="Amiri"/>
          <w:color w:val="111111"/>
          <w:sz w:val="28"/>
          <w:sz w:val="28"/>
          <w:szCs w:val="28"/>
          <w:rtl w:val="true"/>
          <w:lang w:bidi="ar-SA"/>
        </w:rPr>
        <w:t>عليه السلامُ‌؛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ما عارَضَ به</w:t>
      </w:r>
      <w:r>
        <w:rPr>
          <w:rStyle w:val="FootnoteAnchor"/>
          <w:rtl w:val="true"/>
        </w:rPr>
        <w:footnoteReference w:id="2521"/>
      </w:r>
      <w:r>
        <w:rPr>
          <w:rFonts w:ascii="Amiri" w:hAnsi="Amiri" w:eastAsia="Amiri" w:cs="Amiri"/>
          <w:color w:val="111111"/>
          <w:sz w:val="28"/>
          <w:sz w:val="28"/>
          <w:szCs w:val="28"/>
          <w:rtl w:val="true"/>
          <w:lang w:bidi="ar-SA"/>
        </w:rPr>
        <w:t>مِن الوَكالةِ و الإمارةِ ، بشَيءٍ ؛ لأنّا إنّما</w:t>
      </w:r>
      <w:r>
        <w:rPr>
          <w:rStyle w:val="FootnoteAnchor"/>
          <w:rtl w:val="true"/>
        </w:rPr>
        <w:footnoteReference w:id="2522"/>
      </w:r>
      <w:r>
        <w:rPr>
          <w:rFonts w:ascii="Amiri" w:hAnsi="Amiri" w:eastAsia="Amiri" w:cs="Amiri"/>
          <w:color w:val="111111"/>
          <w:sz w:val="28"/>
          <w:sz w:val="28"/>
          <w:szCs w:val="28"/>
          <w:rtl w:val="true"/>
          <w:lang w:bidi="ar-SA"/>
        </w:rPr>
        <w:t xml:space="preserve">أوجَبنا استمرارَ خِلافةِ هارونَ و أبطَلنا التخصيصَ فيها و التقييدَ لأمرٍ لا يَثبُتُ في الأميرِ و الوكيلِ و مَن يَجري مَجراهُما؛ لأنّ وِلايةَ هؤلاءِ يَصِحُّ فيها العَزلُ و التقييدُ و ضُروبُ التخصيصِ ، و لا يؤدّي إلَى التنفيرِ الذي مَنَعنا منه في هارونَ عليه السلامُ </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964317_2320776876"/>
      <w:bookmarkStart w:id="456" w:name="_Toc162"/>
      <w:bookmarkEnd w:id="455"/>
      <w:r>
        <w:rPr>
          <w:rtl w:val="true"/>
        </w:rPr>
        <w:t>بيان خلافة هارون لموسىٰ بقول موسىٰ و كلامه</w:t>
      </w:r>
      <w:bookmarkEnd w:id="45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الدَّلالةُ علىٰ أنّ هارونَ عليه السلامُ كانَ خَليفةَ موسىٰ عليه السلامُ علىٰ وجهٍ يَثبُتُ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القُرآنُ ، و الإجماعُ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تَعالىٰ‌ حِكايةً عن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مُوسىٰ لِأَخِيهِ هٰارُونَ اخْلُفْنِي فِي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مِن الاستخلافِ حصولُ الوِلايةِ للمُستَخلَفِ بالقَولِ علىٰ طريقِ النيابةِ عن المُستَخلِفِ‌، و لهذا</w:t>
      </w:r>
      <w:r>
        <w:rPr>
          <w:rStyle w:val="FootnoteAnchor"/>
          <w:rtl w:val="true"/>
        </w:rPr>
        <w:footnoteReference w:id="2523"/>
      </w:r>
      <w:r>
        <w:rPr>
          <w:rFonts w:ascii="Amiri" w:hAnsi="Amiri" w:eastAsia="Amiri" w:cs="Amiri"/>
          <w:color w:val="111111"/>
          <w:sz w:val="28"/>
          <w:sz w:val="28"/>
          <w:szCs w:val="28"/>
          <w:rtl w:val="true"/>
          <w:lang w:bidi="ar-SA"/>
        </w:rPr>
        <w:t>لا يَصِحُّ أن يَقولَ الإنسانُ‌</w:t>
      </w:r>
      <w:r>
        <w:rPr>
          <w:rStyle w:val="FootnoteAnchor"/>
          <w:rtl w:val="true"/>
        </w:rPr>
        <w:footnoteReference w:id="2524"/>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نَفَقةِ عِيالِكَ‌، و القيامِ بالواجبِ عليكَ مِن أمرِ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اخلُفني في أداءِ فُروضِكَ و عباداتِكَ‌</w:t>
      </w:r>
      <w:r>
        <w:rPr>
          <w:rFonts w:eastAsia="Amiri" w:cs="Amiri" w:ascii="Amiri" w:hAnsi="Amiri"/>
          <w:color w:val="111111"/>
          <w:sz w:val="28"/>
          <w:szCs w:val="28"/>
          <w:rtl w:val="true"/>
          <w:lang w:bidi="ar-SA"/>
        </w:rPr>
        <w:t>»</w:t>
      </w:r>
      <w:r>
        <w:rPr>
          <w:rStyle w:val="FootnoteAnchor"/>
          <w:rtl w:val="true"/>
        </w:rPr>
        <w:footnoteReference w:id="2525"/>
      </w:r>
      <w:r>
        <w:rPr>
          <w:rFonts w:ascii="Amiri" w:hAnsi="Amiri" w:eastAsia="Amiri" w:cs="Amiri"/>
          <w:color w:val="111111"/>
          <w:sz w:val="28"/>
          <w:sz w:val="28"/>
          <w:szCs w:val="28"/>
          <w:rtl w:val="true"/>
          <w:lang w:bidi="ar-SA"/>
        </w:rPr>
        <w:t>و قد يَجوزُ أن يَأمُرَه بما يَجِبُ عليه علىٰ سبيلِ التأكيدِ، فيَقولَ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رَبَّكَ و أقِمْ صَلاتَكَ ، و أخرِجْ ما</w:t>
      </w:r>
      <w:r>
        <w:rPr>
          <w:rStyle w:val="FootnoteAnchor"/>
          <w:rtl w:val="true"/>
        </w:rPr>
        <w:footnoteReference w:id="2526"/>
      </w:r>
      <w:r>
        <w:rPr>
          <w:rFonts w:ascii="Amiri" w:hAnsi="Amiri" w:eastAsia="Amiri" w:cs="Amiri"/>
          <w:color w:val="111111"/>
          <w:sz w:val="28"/>
          <w:sz w:val="28"/>
          <w:szCs w:val="28"/>
          <w:rtl w:val="true"/>
          <w:lang w:bidi="ar-SA"/>
        </w:rPr>
        <w:t xml:space="preserve">يَجِبُ مِن زَكاتِكَ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بانَ الفَرقُ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أَصْلِحْ وَ لاٰ تَتَّبِعْ سَبِيلَ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وقوعِه علىٰ سَبيلِ التأكيدِ، و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ظاهرَه يَقتَضي</w:t>
      </w:r>
      <w:r>
        <w:rPr>
          <w:rStyle w:val="FootnoteAnchor"/>
          <w:rtl w:val="true"/>
        </w:rPr>
        <w:footnoteReference w:id="2528"/>
      </w:r>
      <w:r>
        <w:rPr>
          <w:rFonts w:ascii="Amiri" w:hAnsi="Amiri" w:eastAsia="Amiri" w:cs="Amiri"/>
          <w:color w:val="111111"/>
          <w:sz w:val="28"/>
          <w:sz w:val="28"/>
          <w:szCs w:val="28"/>
          <w:rtl w:val="true"/>
          <w:lang w:bidi="ar-SA"/>
        </w:rPr>
        <w:t xml:space="preserve">وِلايةً تَثبُتُ بهذا القولِ علىٰ جِهةِ النيابةِ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يَمنَعَ مِن التعلُّقِ بظاهرِ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حِكايةٌ لِكلامِ موسىٰ عليه السلامُ ، و لَيسَ هو نفسَ كلامِه</w:t>
      </w:r>
      <w:r>
        <w:rPr>
          <w:rStyle w:val="FootnoteAnchor"/>
          <w:rtl w:val="true"/>
        </w:rPr>
        <w:footnoteReference w:id="2529"/>
      </w:r>
      <w:r>
        <w:rPr>
          <w:rFonts w:ascii="Amiri" w:hAnsi="Amiri" w:eastAsia="Amiri" w:cs="Amiri"/>
          <w:color w:val="111111"/>
          <w:sz w:val="28"/>
          <w:sz w:val="28"/>
          <w:szCs w:val="28"/>
          <w:rtl w:val="true"/>
          <w:lang w:bidi="ar-SA"/>
        </w:rPr>
        <w:t>فكَيفَ يَصِحُّ التعلُّقُ بظاهرِه</w:t>
      </w:r>
      <w:r>
        <w:rPr>
          <w:rStyle w:val="FootnoteAnchor"/>
          <w:rtl w:val="true"/>
        </w:rPr>
        <w:footnoteReference w:id="253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لأنّه و إن لَم يَكُن حِكايةً للَفظِ موسىٰ بعَينِه</w:t>
      </w:r>
      <w:r>
        <w:rPr>
          <w:rStyle w:val="FootnoteAnchor"/>
          <w:rtl w:val="true"/>
        </w:rPr>
        <w:footnoteReference w:id="2531"/>
      </w:r>
      <w:r>
        <w:rPr>
          <w:rFonts w:ascii="Amiri" w:hAnsi="Amiri" w:eastAsia="Amiri" w:cs="Amiri"/>
          <w:color w:val="111111"/>
          <w:sz w:val="28"/>
          <w:sz w:val="28"/>
          <w:szCs w:val="28"/>
          <w:rtl w:val="true"/>
          <w:lang w:bidi="ar-SA"/>
        </w:rPr>
        <w:t>، فهو مُفيدٌ لمعنىٰ كلامِه و مُرادِه؛ فلا بُدَّ مِن أن يَكونَ موسىٰ عليه السلامُ أرادَ بما هذا الكلامُ حِكايتُه</w:t>
      </w:r>
      <w:r>
        <w:rPr>
          <w:rStyle w:val="FootnoteAnchor"/>
          <w:rtl w:val="true"/>
        </w:rPr>
        <w:footnoteReference w:id="2532"/>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نَعقِلُه، و نَستَفيدُ</w:t>
      </w:r>
      <w:r>
        <w:rPr>
          <w:rStyle w:val="FootnoteAnchor"/>
          <w:rtl w:val="true"/>
        </w:rPr>
        <w:footnoteReference w:id="2533"/>
      </w:r>
      <w:r>
        <w:rPr>
          <w:rFonts w:ascii="Amiri" w:hAnsi="Amiri" w:eastAsia="Amiri" w:cs="Amiri"/>
          <w:color w:val="111111"/>
          <w:sz w:val="28"/>
          <w:sz w:val="28"/>
          <w:szCs w:val="28"/>
          <w:rtl w:val="true"/>
          <w:lang w:bidi="ar-SA"/>
        </w:rPr>
        <w:t xml:space="preserve">منه المعنَى الذي تَقدَّمَ ذِكرُه؛ لأنّه لَو لَم يَكُنِ المُرادُ ما ذَكرناه لَم نَفهَمْ </w:t>
      </w:r>
      <w:r>
        <w:rPr>
          <w:rStyle w:val="FootnoteAnchor"/>
          <w:rtl w:val="true"/>
        </w:rPr>
        <w:footnoteReference w:id="2534"/>
      </w:r>
      <w:r>
        <w:rPr>
          <w:rFonts w:ascii="Amiri" w:hAnsi="Amiri" w:eastAsia="Amiri" w:cs="Amiri"/>
          <w:color w:val="111111"/>
          <w:sz w:val="28"/>
          <w:sz w:val="28"/>
          <w:szCs w:val="28"/>
          <w:rtl w:val="true"/>
          <w:lang w:bidi="ar-SA"/>
        </w:rPr>
        <w:t xml:space="preserve">بحِكايتِه تَعالىٰ عن موسىٰ شَيئاً، و لَساغَ </w:t>
      </w:r>
      <w:r>
        <w:rPr>
          <w:rStyle w:val="FootnoteAnchor"/>
          <w:rtl w:val="true"/>
        </w:rPr>
        <w:footnoteReference w:id="2535"/>
      </w:r>
    </w:p>
    <w:p>
      <w:pPr>
        <w:pStyle w:val="BookText"/>
        <w:rPr/>
      </w:pPr>
      <w:r>
        <w:rPr>
          <w:rFonts w:ascii="Amiri" w:hAnsi="Amiri" w:eastAsia="Amiri" w:cs="Amiri"/>
          <w:color w:val="111111"/>
          <w:sz w:val="28"/>
          <w:sz w:val="28"/>
          <w:szCs w:val="28"/>
          <w:rtl w:val="true"/>
          <w:lang w:bidi="ar-SA"/>
        </w:rPr>
        <w:t xml:space="preserve">لقائلٍ أن يَقولَ في قولِه تَعالىٰ حِكايةً </w:t>
      </w:r>
      <w:r>
        <w:rPr>
          <w:rStyle w:val="FootnoteAnchor"/>
          <w:rtl w:val="true"/>
        </w:rPr>
        <w:footnoteReference w:id="2536"/>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w:t>
      </w:r>
      <w:r>
        <w:rPr>
          <w:rStyle w:val="FootnoteAnchor"/>
          <w:rtl w:val="true"/>
        </w:rPr>
        <w:footnoteReference w:id="2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 بسؤالِه ما نَعقِلُه مِن معنَى الوِزارةِ و الشِّركةِ ، بَل أرادَ غيرَه</w:t>
      </w:r>
      <w:r>
        <w:rPr>
          <w:rStyle w:val="FootnoteAnchor"/>
          <w:rtl w:val="true"/>
        </w:rPr>
        <w:footnoteReference w:id="2538"/>
      </w:r>
      <w:r>
        <w:rPr>
          <w:rFonts w:ascii="Amiri" w:hAnsi="Amiri" w:eastAsia="Amiri" w:cs="Amiri"/>
          <w:color w:val="111111"/>
          <w:sz w:val="28"/>
          <w:sz w:val="28"/>
          <w:szCs w:val="28"/>
          <w:rtl w:val="true"/>
          <w:lang w:bidi="ar-SA"/>
        </w:rPr>
        <w:t>مِن حَيثُ لَم يَكُن لفظُ موسىٰ بعَينِه</w:t>
      </w:r>
      <w:r>
        <w:rPr>
          <w:rStyle w:val="FootnoteAnchor"/>
          <w:rtl w:val="true"/>
        </w:rPr>
        <w:footnoteReference w:id="2539"/>
      </w:r>
      <w:r>
        <w:rPr>
          <w:rFonts w:ascii="Amiri" w:hAnsi="Amiri" w:eastAsia="Amiri" w:cs="Amiri"/>
          <w:color w:val="111111"/>
          <w:sz w:val="28"/>
          <w:sz w:val="28"/>
          <w:szCs w:val="28"/>
          <w:rtl w:val="true"/>
          <w:lang w:bidi="ar-SA"/>
        </w:rPr>
        <w:t>مَحكِيّاً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 أيضاً علىٰ ما ذَكرناه ظاهرةٌ ؛ لأنّه لا خِلافَ بَينَ الأُمّةِ في أنّ هارونَ عليه السلامُ كانَ خَليفةً لموسىٰ عليه السلامُ و نائباً عنه و تابعاً</w:t>
      </w:r>
      <w:r>
        <w:rPr>
          <w:rStyle w:val="FootnoteAnchor"/>
          <w:rtl w:val="true"/>
        </w:rPr>
        <w:footnoteReference w:id="2540"/>
      </w:r>
      <w:r>
        <w:rPr>
          <w:rFonts w:ascii="Amiri" w:hAnsi="Amiri" w:eastAsia="Amiri" w:cs="Amiri"/>
          <w:color w:val="111111"/>
          <w:sz w:val="28"/>
          <w:sz w:val="28"/>
          <w:szCs w:val="28"/>
          <w:rtl w:val="true"/>
          <w:lang w:bidi="ar-SA"/>
        </w:rPr>
        <w:t>لأمرِه و نَهيِه، و ظاهرُ إجماعِهم علَى الاستخلافِ و النيابةِ يَقتَضي ما تَقدَّمَ ذِكرُه</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 xml:space="preserve">. </w:t>
      </w:r>
      <w:bookmarkStart w:id="457" w:name="pg20017_202644"/>
    </w:p>
    <w:p>
      <w:pPr>
        <w:pStyle w:val="Heading6"/>
        <w:numPr>
          <w:ilvl w:val="5"/>
          <w:numId w:val="1"/>
        </w:numPr>
        <w:rPr/>
      </w:pPr>
      <w:bookmarkStart w:id="458" w:name="__RefHeading___Toc964319_2320776876"/>
      <w:bookmarkStart w:id="459" w:name="_Toc163"/>
      <w:bookmarkEnd w:id="457"/>
      <w:bookmarkEnd w:id="458"/>
      <w:r>
        <w:rPr>
          <w:rtl w:val="true"/>
        </w:rPr>
        <w:t>لزوم استخلاف موسىٰ لهارون عند غيبته</w:t>
      </w:r>
      <w:bookmarkEnd w:id="459"/>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كانَ شَريكَه في النبوّةِ فلا بُدَّ مِن أن يَلزَمَه عندَ غَيبتِه أن يَقومَ بأمرِ قومِه و إن لَم يَستَخلِفْه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فغَلَطٌ ظاهرٌ؛ لأنّه لا 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شَريكاً له في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يَختَصَّ‌</w:t>
      </w:r>
      <w:r>
        <w:rPr>
          <w:rStyle w:val="FootnoteAnchor"/>
          <w:rtl w:val="true"/>
        </w:rPr>
        <w:footnoteReference w:id="2542"/>
      </w:r>
      <w:r>
        <w:rPr>
          <w:rFonts w:ascii="Amiri" w:hAnsi="Amiri" w:eastAsia="Amiri" w:cs="Amiri"/>
          <w:color w:val="111111"/>
          <w:sz w:val="28"/>
          <w:sz w:val="28"/>
          <w:szCs w:val="28"/>
          <w:rtl w:val="true"/>
          <w:lang w:bidi="ar-SA"/>
        </w:rPr>
        <w:t xml:space="preserve">موسىٰ عليه السلامُ دونَه بما يَقومُ </w:t>
      </w:r>
      <w:r>
        <w:rPr>
          <w:rStyle w:val="FootnoteAnchor"/>
          <w:rtl w:val="true"/>
        </w:rPr>
        <w:footnoteReference w:id="2543"/>
      </w:r>
      <w:r>
        <w:rPr>
          <w:rFonts w:ascii="Amiri" w:hAnsi="Amiri" w:eastAsia="Amiri" w:cs="Amiri"/>
          <w:color w:val="111111"/>
          <w:sz w:val="28"/>
          <w:sz w:val="28"/>
          <w:szCs w:val="28"/>
          <w:rtl w:val="true"/>
          <w:lang w:bidi="ar-SA"/>
        </w:rPr>
        <w:t xml:space="preserve">به الأئمّةُ مِن إقامةِ الحدودِ و ما جَرىٰ </w:t>
      </w:r>
      <w:r>
        <w:rPr>
          <w:rStyle w:val="FootnoteAnchor"/>
          <w:rtl w:val="true"/>
        </w:rPr>
        <w:footnoteReference w:id="2544"/>
      </w:r>
      <w:r>
        <w:rPr>
          <w:rFonts w:ascii="Amiri" w:hAnsi="Amiri" w:eastAsia="Amiri" w:cs="Amiri"/>
          <w:color w:val="111111"/>
          <w:sz w:val="28"/>
          <w:sz w:val="28"/>
          <w:szCs w:val="28"/>
          <w:rtl w:val="true"/>
          <w:lang w:bidi="ar-SA"/>
        </w:rPr>
        <w:t xml:space="preserve">مَجراها؛ لأنّ مُجرَّدَ النبوّةِ لا يَقتَضي هذه الوِلايةَ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w:t>
      </w:r>
      <w:r>
        <w:rPr>
          <w:rStyle w:val="FootnoteAnchor"/>
          <w:rtl w:val="true"/>
        </w:rPr>
        <w:footnoteReference w:id="2545"/>
      </w:r>
      <w:r>
        <w:rPr>
          <w:rFonts w:ascii="Amiri" w:hAnsi="Amiri" w:eastAsia="Amiri" w:cs="Amiri"/>
          <w:color w:val="111111"/>
          <w:sz w:val="28"/>
          <w:sz w:val="28"/>
          <w:szCs w:val="28"/>
          <w:rtl w:val="true"/>
          <w:lang w:bidi="ar-SA"/>
        </w:rPr>
        <w:t>كانَ هذا جائزاً لَم يَجِبْ أن يَقومَ هارونُ عليه السلامُ عندَ غَيبةِ أخيه بهذه الأُمورِ لأجلِ نُبوّتِه، و لَم يَكُن مِن الاستخلافِ له ليَقومَ بذلكَ بُدٌّ؛ لأنّه لَو لَم يَستَخلِفْه في الابتداءِ أو</w:t>
      </w:r>
      <w:r>
        <w:rPr>
          <w:rStyle w:val="FootnoteAnchor"/>
          <w:rtl w:val="true"/>
        </w:rPr>
        <w:footnoteReference w:id="2546"/>
      </w:r>
      <w:r>
        <w:rPr>
          <w:rFonts w:ascii="Amiri" w:hAnsi="Amiri" w:eastAsia="Amiri" w:cs="Amiri"/>
          <w:color w:val="111111"/>
          <w:sz w:val="28"/>
          <w:sz w:val="28"/>
          <w:szCs w:val="28"/>
          <w:rtl w:val="true"/>
          <w:lang w:bidi="ar-SA"/>
        </w:rPr>
        <w:t>استَخلَفَ غيرَه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بَنَيتم كلامَكم علىٰ أنّ الشِّركةَ في النبوّةِ لا تَقتَضي الوِلايةَ علىٰ ما يَقومُ‌</w:t>
      </w:r>
      <w:r>
        <w:rPr>
          <w:rStyle w:val="FootnoteAnchor"/>
          <w:rtl w:val="true"/>
        </w:rPr>
        <w:footnoteReference w:id="2547"/>
      </w:r>
      <w:r>
        <w:rPr>
          <w:rFonts w:ascii="Amiri" w:hAnsi="Amiri" w:eastAsia="Amiri" w:cs="Amiri"/>
          <w:color w:val="111111"/>
          <w:sz w:val="28"/>
          <w:sz w:val="28"/>
          <w:szCs w:val="28"/>
          <w:rtl w:val="true"/>
          <w:lang w:bidi="ar-SA"/>
        </w:rPr>
        <w:t>به الأئمّةُ ، و أنّ مِن الجائزِ أن يَنفرِدَ موسىٰ عليه السلامُ بهذه الوِلايةِ عن أخيه، فاعمَلوا</w:t>
      </w:r>
      <w:r>
        <w:rPr>
          <w:rStyle w:val="FootnoteAnchor"/>
          <w:rtl w:val="true"/>
        </w:rPr>
        <w:footnoteReference w:id="2548"/>
      </w:r>
      <w:r>
        <w:rPr>
          <w:rFonts w:ascii="Amiri" w:hAnsi="Amiri" w:eastAsia="Amiri" w:cs="Amiri"/>
          <w:color w:val="111111"/>
          <w:sz w:val="28"/>
          <w:sz w:val="28"/>
          <w:szCs w:val="28"/>
          <w:rtl w:val="true"/>
          <w:lang w:bidi="ar-SA"/>
        </w:rPr>
        <w:t>علىٰ أنّ ما ذَكَرتموه جائزٌ، مِن أينَ لكم القَطعُ علىٰ هذه الحالِ ، و أنّ هارونَ إنّما</w:t>
      </w:r>
      <w:r>
        <w:rPr>
          <w:rStyle w:val="FootnoteAnchor"/>
          <w:rtl w:val="true"/>
        </w:rPr>
        <w:footnoteReference w:id="2549"/>
      </w:r>
      <w:r>
        <w:rPr>
          <w:rFonts w:ascii="Amiri" w:hAnsi="Amiri" w:eastAsia="Amiri" w:cs="Amiri"/>
          <w:color w:val="111111"/>
          <w:sz w:val="28"/>
          <w:sz w:val="28"/>
          <w:szCs w:val="28"/>
          <w:rtl w:val="true"/>
          <w:lang w:bidi="ar-SA"/>
        </w:rPr>
        <w:t xml:space="preserve">تَصرَّفَ فيما يَقومُ </w:t>
      </w:r>
      <w:r>
        <w:rPr>
          <w:rStyle w:val="FootnoteAnchor"/>
          <w:rtl w:val="true"/>
        </w:rPr>
        <w:footnoteReference w:id="2550"/>
      </w:r>
      <w:r>
        <w:rPr>
          <w:rFonts w:ascii="Amiri" w:hAnsi="Amiri" w:eastAsia="Amiri" w:cs="Amiri"/>
          <w:color w:val="111111"/>
          <w:sz w:val="28"/>
          <w:sz w:val="28"/>
          <w:szCs w:val="28"/>
          <w:rtl w:val="true"/>
          <w:lang w:bidi="ar-SA"/>
        </w:rPr>
        <w:t>به الأئمّةُ لِاستخلافِ موسىٰ له، لا لمَكانِ نُبوّتِه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بكلامِنا في هذا المَوضِعِ أن نُبيِّنَ جَوازَ ما ظَنَّ المُخالِفونَ أنّه </w:t>
      </w:r>
    </w:p>
    <w:p>
      <w:pPr>
        <w:pStyle w:val="BookText"/>
        <w:rPr/>
      </w:pPr>
      <w:r>
        <w:rPr>
          <w:rFonts w:ascii="Amiri" w:hAnsi="Amiri" w:eastAsia="Amiri" w:cs="Amiri"/>
          <w:color w:val="111111"/>
          <w:sz w:val="28"/>
          <w:sz w:val="28"/>
          <w:szCs w:val="28"/>
          <w:rtl w:val="true"/>
          <w:lang w:bidi="ar-SA"/>
        </w:rPr>
        <w:t>غيرُ جائزٍ، و الذي نَقطَعُ به</w:t>
      </w:r>
      <w:r>
        <w:rPr>
          <w:rStyle w:val="FootnoteAnchor"/>
          <w:rtl w:val="true"/>
        </w:rPr>
        <w:footnoteReference w:id="2551"/>
      </w:r>
      <w:r>
        <w:rPr>
          <w:rFonts w:ascii="Amiri" w:hAnsi="Amiri" w:eastAsia="Amiri" w:cs="Amiri"/>
          <w:color w:val="111111"/>
          <w:sz w:val="28"/>
          <w:sz w:val="28"/>
          <w:szCs w:val="28"/>
          <w:rtl w:val="true"/>
          <w:lang w:bidi="ar-SA"/>
        </w:rPr>
        <w:t xml:space="preserve">علىٰ أحَدِ الجائزَينِ هو ما قَدَّمنا ذِكرَه مِن دَلالةِ الآيةِ و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فغَيرُ واجبٍ فيمن يَكونُ شَريكاً لموسىٰ في النبوّةِ أن يَكونَ هو القَيِّمَ‌</w:t>
      </w:r>
      <w:r>
        <w:rPr>
          <w:rStyle w:val="FootnoteAnchor"/>
          <w:rtl w:val="true"/>
        </w:rPr>
        <w:footnoteReference w:id="2552"/>
      </w:r>
      <w:r>
        <w:rPr>
          <w:rFonts w:ascii="Amiri" w:hAnsi="Amiri" w:eastAsia="Amiri" w:cs="Amiri"/>
          <w:color w:val="111111"/>
          <w:sz w:val="28"/>
          <w:sz w:val="28"/>
          <w:szCs w:val="28"/>
          <w:rtl w:val="true"/>
          <w:lang w:bidi="ar-SA"/>
        </w:rPr>
        <w:t>بَعدَ وفاتِه بما</w:t>
      </w:r>
      <w:r>
        <w:rPr>
          <w:rStyle w:val="FootnoteAnchor"/>
          <w:rtl w:val="true"/>
        </w:rPr>
        <w:footnoteReference w:id="2553"/>
      </w:r>
      <w:r>
        <w:rPr>
          <w:rFonts w:ascii="Amiri" w:hAnsi="Amiri" w:eastAsia="Amiri" w:cs="Amiri"/>
          <w:color w:val="111111"/>
          <w:sz w:val="28"/>
          <w:sz w:val="28"/>
          <w:szCs w:val="28"/>
          <w:rtl w:val="true"/>
          <w:lang w:bidi="ar-SA"/>
        </w:rPr>
        <w:t>يَقومُ به الإمامُ‌، بَل لا يَمتَنِعُ في التعبُّدِ</w:t>
      </w:r>
      <w:r>
        <w:rPr>
          <w:rStyle w:val="FootnoteAnchor"/>
          <w:rtl w:val="true"/>
        </w:rPr>
        <w:footnoteReference w:id="2554"/>
      </w:r>
      <w:r>
        <w:rPr>
          <w:rFonts w:ascii="Amiri" w:hAnsi="Amiri" w:eastAsia="Amiri" w:cs="Amiri"/>
          <w:color w:val="111111"/>
          <w:sz w:val="28"/>
          <w:sz w:val="28"/>
          <w:szCs w:val="28"/>
          <w:rtl w:val="true"/>
          <w:lang w:bidi="ar-SA"/>
        </w:rPr>
        <w:t>أن يَكونَ النبيُّ مُنفَرِداً بأداءِ الشرعِ و تعليمِه</w:t>
      </w:r>
      <w:r>
        <w:rPr>
          <w:rStyle w:val="FootnoteAnchor"/>
          <w:rtl w:val="true"/>
        </w:rPr>
        <w:footnoteReference w:id="2555"/>
      </w:r>
      <w:r>
        <w:rPr>
          <w:rFonts w:ascii="Amiri" w:hAnsi="Amiri" w:eastAsia="Amiri" w:cs="Amiri"/>
          <w:color w:val="111111"/>
          <w:sz w:val="28"/>
          <w:sz w:val="28"/>
          <w:szCs w:val="28"/>
          <w:rtl w:val="true"/>
          <w:lang w:bidi="ar-SA"/>
        </w:rPr>
        <w:t>و بيانِه فقط، و الذي يَقومُ بالحدودِ و الأحكامِ و السياسةِ الراجعةِ إلىٰ مَصالِحِ الدنيا</w:t>
      </w:r>
      <w:r>
        <w:rPr>
          <w:rStyle w:val="FootnoteAnchor"/>
          <w:rtl w:val="true"/>
        </w:rPr>
        <w:footnoteReference w:id="2556"/>
      </w:r>
      <w:r>
        <w:rPr>
          <w:rFonts w:ascii="Amiri" w:hAnsi="Amiri" w:eastAsia="Amiri" w:cs="Amiri"/>
          <w:color w:val="111111"/>
          <w:sz w:val="28"/>
          <w:sz w:val="28"/>
          <w:szCs w:val="28"/>
          <w:rtl w:val="true"/>
          <w:lang w:bidi="ar-SA"/>
        </w:rPr>
        <w:t>غيرَه، كَما يُروىٰ‌</w:t>
      </w:r>
      <w:r>
        <w:rPr>
          <w:rStyle w:val="FootnoteAnchor"/>
          <w:rtl w:val="true"/>
        </w:rPr>
        <w:footnoteReference w:id="2557"/>
      </w:r>
      <w:r>
        <w:rPr>
          <w:rFonts w:ascii="Amiri" w:hAnsi="Amiri" w:eastAsia="Amiri" w:cs="Amiri"/>
          <w:color w:val="111111"/>
          <w:sz w:val="28"/>
          <w:sz w:val="28"/>
          <w:szCs w:val="28"/>
          <w:rtl w:val="true"/>
          <w:lang w:bidi="ar-SA"/>
        </w:rPr>
        <w:t>في أخبارِ طالوتَ و داودَ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القيامَ‌</w:t>
      </w:r>
      <w:r>
        <w:rPr>
          <w:rStyle w:val="FootnoteAnchor"/>
          <w:rtl w:val="true"/>
        </w:rPr>
        <w:footnoteReference w:id="2558"/>
      </w:r>
      <w:r>
        <w:rPr>
          <w:rFonts w:ascii="Amiri" w:hAnsi="Amiri" w:eastAsia="Amiri" w:cs="Amiri"/>
          <w:color w:val="111111"/>
          <w:sz w:val="28"/>
          <w:sz w:val="28"/>
          <w:szCs w:val="28"/>
          <w:rtl w:val="true"/>
          <w:lang w:bidi="ar-SA"/>
        </w:rPr>
        <w:t xml:space="preserve">بما يَقومُ به الإمامُ تَعبُّدٌ و شَرعٌ‌، فإذا جازَ مِن اللّٰهِ تَعالىٰ </w:t>
      </w:r>
      <w:r>
        <w:rPr>
          <w:rStyle w:val="FootnoteAnchor"/>
          <w:rtl w:val="true"/>
        </w:rPr>
        <w:footnoteReference w:id="2559"/>
      </w:r>
      <w:r>
        <w:rPr>
          <w:rFonts w:ascii="Amiri" w:hAnsi="Amiri" w:eastAsia="Amiri" w:cs="Amiri"/>
          <w:color w:val="111111"/>
          <w:sz w:val="28"/>
          <w:sz w:val="28"/>
          <w:szCs w:val="28"/>
          <w:rtl w:val="true"/>
          <w:lang w:bidi="ar-SA"/>
        </w:rPr>
        <w:t>أن يَبعَثَ نَبِيّاً</w:t>
      </w:r>
      <w:r>
        <w:rPr>
          <w:rStyle w:val="FootnoteAnchor"/>
          <w:rtl w:val="true"/>
        </w:rPr>
        <w:footnoteReference w:id="2560"/>
      </w:r>
      <w:r>
        <w:rPr>
          <w:rFonts w:ascii="Amiri" w:hAnsi="Amiri" w:eastAsia="Amiri" w:cs="Amiri"/>
          <w:color w:val="111111"/>
          <w:sz w:val="28"/>
          <w:sz w:val="28"/>
          <w:szCs w:val="28"/>
          <w:rtl w:val="true"/>
          <w:lang w:bidi="ar-SA"/>
        </w:rPr>
        <w:t>ببعضِ الشرائعِ دونَ بعضٍ ، فما الذي يَمنَعُ مِن أن يُحَمِّلَه</w:t>
      </w:r>
      <w:r>
        <w:rPr>
          <w:rStyle w:val="FootnoteAnchor"/>
          <w:rtl w:val="true"/>
        </w:rPr>
        <w:footnoteReference w:id="2561"/>
      </w:r>
      <w:r>
        <w:rPr>
          <w:rFonts w:ascii="Amiri" w:hAnsi="Amiri" w:eastAsia="Amiri" w:cs="Amiri"/>
          <w:color w:val="111111"/>
          <w:sz w:val="28"/>
          <w:sz w:val="28"/>
          <w:szCs w:val="28"/>
          <w:rtl w:val="true"/>
          <w:lang w:bidi="ar-SA"/>
        </w:rPr>
        <w:t>الشرعَ و لا يَجعَلَ إليه</w:t>
      </w:r>
      <w:r>
        <w:rPr>
          <w:rStyle w:val="FootnoteAnchor"/>
          <w:rtl w:val="true"/>
        </w:rPr>
        <w:footnoteReference w:id="2562"/>
      </w:r>
      <w:r>
        <w:rPr>
          <w:rFonts w:ascii="Amiri" w:hAnsi="Amiri" w:eastAsia="Amiri" w:cs="Amiri"/>
          <w:color w:val="111111"/>
          <w:sz w:val="28"/>
          <w:sz w:val="28"/>
          <w:szCs w:val="28"/>
          <w:rtl w:val="true"/>
          <w:lang w:bidi="ar-SA"/>
        </w:rPr>
        <w:t xml:space="preserve">هذه الأُمورَ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يُبيّنُ صحّةَ ما قَدَّمناه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بَعدَ سؤالٍ لا نَسألُه عنه</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فإنّه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سببُ الاستخلافِ الغَيبةَ‌، فما أنكَرتم أنّها إذا زالَت زالَ الاستخلافُ بزَوالِها، و يَكونَ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المُقيَّدِ؛ لأنّ السببَ و العِلّةَ فيما يَقتَضيانِه أقوىٰ مِن القولِ فيما حَلَّ هذا المَحلَّ؟ و علىٰ هذا الوجهِ جَرَت العادةُ مِن الرسولِ عليه السلامُ أنّه كانَ يَستَخلِفُ بالمَدينةِ عندَ الغَيبةِ الواحدَ مِن أصحابِه، فإذا عادَ زالَ حُكمُ‌</w:t>
      </w:r>
      <w:r>
        <w:rPr>
          <w:rStyle w:val="FootnoteAnchor"/>
          <w:rtl w:val="true"/>
        </w:rPr>
        <w:footnoteReference w:id="2564"/>
      </w:r>
      <w:r>
        <w:rPr>
          <w:rFonts w:ascii="Amiri" w:hAnsi="Amiri" w:eastAsia="Amiri" w:cs="Amiri"/>
          <w:color w:val="111111"/>
          <w:sz w:val="28"/>
          <w:sz w:val="28"/>
          <w:szCs w:val="28"/>
          <w:rtl w:val="true"/>
          <w:lang w:bidi="ar-SA"/>
        </w:rPr>
        <w:t>الاستخلافِ‌، كما رُويَ في ابنِ أُمِّ مكتومٍ‌</w:t>
      </w:r>
      <w:r>
        <w:rPr>
          <w:rStyle w:val="FootnoteAnchor"/>
          <w:rtl w:val="true"/>
        </w:rPr>
        <w:footnoteReference w:id="2565"/>
      </w:r>
      <w:r>
        <w:rPr>
          <w:rFonts w:ascii="Amiri" w:hAnsi="Amiri" w:eastAsia="Amiri" w:cs="Amiri"/>
          <w:color w:val="111111"/>
          <w:sz w:val="28"/>
          <w:sz w:val="28"/>
          <w:szCs w:val="28"/>
          <w:rtl w:val="true"/>
          <w:lang w:bidi="ar-SA"/>
        </w:rPr>
        <w:t>و عُثمانَ و غيرِهما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استخلافَه في حالِ الغَيبةِ يَقتَضي أنّه</w:t>
      </w:r>
      <w:r>
        <w:rPr>
          <w:rStyle w:val="FootnoteAnchor"/>
          <w:rtl w:val="true"/>
        </w:rPr>
        <w:footnoteReference w:id="2566"/>
      </w:r>
      <w:r>
        <w:rPr>
          <w:rFonts w:ascii="Amiri" w:hAnsi="Amiri" w:eastAsia="Amiri" w:cs="Amiri"/>
          <w:color w:val="111111"/>
          <w:sz w:val="28"/>
          <w:sz w:val="28"/>
          <w:szCs w:val="28"/>
          <w:rtl w:val="true"/>
          <w:lang w:bidi="ar-SA"/>
        </w:rPr>
        <w:t>خَليفتُه</w:t>
      </w:r>
      <w:r>
        <w:rPr>
          <w:rStyle w:val="FootnoteAnchor"/>
          <w:rtl w:val="true"/>
        </w:rPr>
        <w:footnoteReference w:id="2567"/>
      </w:r>
      <w:r>
        <w:rPr>
          <w:rFonts w:ascii="Amiri" w:hAnsi="Amiri" w:eastAsia="Amiri" w:cs="Amiri"/>
          <w:color w:val="111111"/>
          <w:sz w:val="28"/>
          <w:sz w:val="28"/>
          <w:szCs w:val="28"/>
          <w:rtl w:val="true"/>
          <w:lang w:bidi="ar-SA"/>
        </w:rPr>
        <w:t xml:space="preserve">في مَوضِعٍ </w:t>
      </w:r>
      <w:bookmarkStart w:id="460" w:name="pg20017_202647"/>
    </w:p>
    <w:p>
      <w:pPr>
        <w:pStyle w:val="BookText"/>
        <w:rPr/>
      </w:pPr>
      <w:bookmarkEnd w:id="460"/>
      <w:r>
        <w:rPr>
          <w:rFonts w:ascii="Amiri" w:hAnsi="Amiri" w:eastAsia="Amiri" w:cs="Amiri"/>
          <w:color w:val="111111"/>
          <w:sz w:val="28"/>
          <w:sz w:val="28"/>
          <w:szCs w:val="28"/>
          <w:rtl w:val="true"/>
          <w:lang w:bidi="ar-SA"/>
        </w:rPr>
        <w:t xml:space="preserve">دونَ مَوضِعٍ </w:t>
      </w:r>
      <w:r>
        <w:rPr>
          <w:rStyle w:val="FootnoteAnchor"/>
          <w:rtl w:val="true"/>
        </w:rPr>
        <w:footnoteReference w:id="2568"/>
      </w:r>
      <w:r>
        <w:rPr>
          <w:rFonts w:ascii="Amiri" w:hAnsi="Amiri" w:eastAsia="Amiri" w:cs="Amiri"/>
          <w:color w:val="111111"/>
          <w:sz w:val="28"/>
          <w:sz w:val="28"/>
          <w:szCs w:val="28"/>
          <w:rtl w:val="true"/>
          <w:lang w:bidi="ar-SA"/>
        </w:rPr>
        <w:t>لأنّه لا يَجوزُ أن يَكونَ خَليفتَه</w:t>
      </w:r>
      <w:r>
        <w:rPr>
          <w:rStyle w:val="FootnoteAnchor"/>
          <w:rtl w:val="true"/>
        </w:rPr>
        <w:footnoteReference w:id="2569"/>
      </w:r>
      <w:r>
        <w:rPr>
          <w:rFonts w:ascii="Amiri" w:hAnsi="Amiri" w:eastAsia="Amiri" w:cs="Amiri"/>
          <w:color w:val="111111"/>
          <w:sz w:val="28"/>
          <w:sz w:val="28"/>
          <w:szCs w:val="28"/>
          <w:rtl w:val="true"/>
          <w:lang w:bidi="ar-SA"/>
        </w:rPr>
        <w:t xml:space="preserve">في المَوضِعِ </w:t>
      </w:r>
      <w:r>
        <w:rPr>
          <w:rStyle w:val="FootnoteAnchor"/>
          <w:rtl w:val="true"/>
        </w:rPr>
        <w:footnoteReference w:id="2570"/>
      </w:r>
      <w:r>
        <w:rPr>
          <w:rFonts w:ascii="Amiri" w:hAnsi="Amiri" w:eastAsia="Amiri" w:cs="Amiri"/>
          <w:color w:val="111111"/>
          <w:sz w:val="28"/>
          <w:sz w:val="28"/>
          <w:szCs w:val="28"/>
          <w:rtl w:val="true"/>
          <w:lang w:bidi="ar-SA"/>
        </w:rPr>
        <w:t>الذي غابَ إليه، و إنّما يَكونُ خَليفتَه</w:t>
      </w:r>
      <w:r>
        <w:rPr>
          <w:rStyle w:val="FootnoteAnchor"/>
          <w:rtl w:val="true"/>
        </w:rPr>
        <w:footnoteReference w:id="2571"/>
      </w:r>
      <w:r>
        <w:rPr>
          <w:rFonts w:ascii="Amiri" w:hAnsi="Amiri" w:eastAsia="Amiri" w:cs="Amiri"/>
          <w:color w:val="111111"/>
          <w:sz w:val="28"/>
          <w:sz w:val="28"/>
          <w:szCs w:val="28"/>
          <w:rtl w:val="true"/>
          <w:lang w:bidi="ar-SA"/>
        </w:rPr>
        <w:t>في المَوضِعِ الذي غابَ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يَقتَضي كَونَه خَليفةً بَعدَ مَوتِه، لَاقتَضىٰ أن يَكونَ خَليفةً </w:t>
      </w:r>
      <w:r>
        <w:rPr>
          <w:rStyle w:val="FootnoteAnchor"/>
          <w:rtl w:val="true"/>
        </w:rPr>
        <w:footnoteReference w:id="2572"/>
      </w:r>
      <w:r>
        <w:rPr>
          <w:rFonts w:ascii="Amiri" w:hAnsi="Amiri" w:eastAsia="Amiri" w:cs="Amiri"/>
          <w:color w:val="111111"/>
          <w:sz w:val="28"/>
          <w:sz w:val="28"/>
          <w:szCs w:val="28"/>
          <w:rtl w:val="true"/>
          <w:lang w:bidi="ar-SA"/>
        </w:rPr>
        <w:t>في الكُلِّ ؛ و اللفظُ الأوّلُ لَم يَقتَضِه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يُبيِّنُ أنّ ذلكَ لا يَقَعُ إلّامُقيَّداً</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1" w:name="__RefHeading___Toc964321_2320776876"/>
      <w:bookmarkStart w:id="462" w:name="_Toc164"/>
      <w:bookmarkEnd w:id="461"/>
      <w:r>
        <w:rPr>
          <w:rtl w:val="true"/>
        </w:rPr>
        <w:t>تهافت كلام القاضي حول مسألة لزوم استخلاف هارون</w:t>
      </w:r>
      <w:bookmarkEnd w:id="462"/>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في كلامِكَ أنّه ناقِضٌ لِما حَكَيناه عنكَ قَبلَ هذا الفَصلِ 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هارونَ لا يَجوزُ أن يَكونَ شَريكاً لموسىٰ عليه السلامُ في النبوّةِ إلّا و يَلزَمُه عندَ غَيبتِه أن يَقومَ بأمرِ قومِه؛ لمكانِ نُبوّتِه و إن لَم يَستَخلِفْه</w:t>
      </w:r>
      <w:r>
        <w:rPr>
          <w:rFonts w:eastAsia="Amiri" w:cs="Amiri" w:ascii="Amiri" w:hAnsi="Amiri"/>
          <w:color w:val="111111"/>
          <w:sz w:val="28"/>
          <w:szCs w:val="28"/>
          <w:rtl w:val="true"/>
          <w:lang w:bidi="ar-SA"/>
        </w:rPr>
        <w:t>»</w:t>
      </w:r>
      <w:r>
        <w:rPr>
          <w:rStyle w:val="FootnoteAnchor"/>
          <w:rtl w:val="true"/>
        </w:rPr>
        <w:footnoteReference w:id="2574"/>
      </w:r>
      <w:r>
        <w:rPr>
          <w:rFonts w:ascii="Amiri" w:hAnsi="Amiri" w:eastAsia="Amiri" w:cs="Amiri"/>
          <w:color w:val="111111"/>
          <w:sz w:val="28"/>
          <w:sz w:val="28"/>
          <w:szCs w:val="28"/>
          <w:rtl w:val="true"/>
          <w:lang w:bidi="ar-SA"/>
        </w:rPr>
        <w:t xml:space="preserve">لأنّكَ جَوَّزتَ هاهُنا أن يَكونَ موسىٰ عليه السلامُ مُنفَرِداً بما يَقومُ به الإمامُ مُضافاً إلَى الأداءِ و التبليغِ ، و يَكونَ هارونُ مُشارِكاً في الأداءِ و التبليغِ </w:t>
      </w:r>
      <w:r>
        <w:rPr>
          <w:rStyle w:val="FootnoteAnchor"/>
          <w:rtl w:val="true"/>
        </w:rPr>
        <w:footnoteReference w:id="2575"/>
      </w:r>
      <w:r>
        <w:rPr>
          <w:rFonts w:ascii="Amiri" w:hAnsi="Amiri" w:eastAsia="Amiri" w:cs="Amiri"/>
          <w:color w:val="111111"/>
          <w:sz w:val="28"/>
          <w:sz w:val="28"/>
          <w:szCs w:val="28"/>
          <w:rtl w:val="true"/>
          <w:lang w:bidi="ar-SA"/>
        </w:rPr>
        <w:t xml:space="preserve">دونَ غيرِه، و هذا يَقتَضي حاجتَه إلَى الاستخلافِ فيما يَقومُ به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لَم أُطلِقْ ما ذَكَرتُموه، و إنّما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واجبٍ فيمَن يَكونُ شَريكاً لموسىٰ عليه السلامُ في النبوّةِ أن يَكونَ هو القيِّمَ بَعدَ وفاتِه بما يَقومُ به الإمامُ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ما قُلتَه و حَكَيناه؛ لأنّ ما يَقومُ به الأئمّةُ لَو كانَ مِن مُقتَضَى النبوّةِ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ما دَلَّ كلامُكَ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الفَصلِ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فيمن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شَريكاً لموسىٰ في النبوّةِ أن يَبقىٰ بَعدَه و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يَقومَ بذلكَ مع ثُبوتِ المُقتَضي الذي هو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أجَزتَ في شَريكِ موسىٰ في النبوّةِ أن يَبقىٰ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يَتولّىٰ ما يَقومُ به الأئمّةُ ، فلا بُدَّ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يَجوزَ مِثلُه في حياتِه؛ لأنّه إذا لَم يَكُن مِن مُقتَضَى النبوّةِ جازَ في</w:t>
      </w:r>
    </w:p>
    <w:p>
      <w:pPr>
        <w:pStyle w:val="BookText"/>
        <w:rPr/>
      </w:pPr>
      <w:r>
        <w:rPr>
          <w:rFonts w:ascii="Amiri" w:hAnsi="Amiri" w:eastAsia="Amiri" w:cs="Amiri"/>
          <w:color w:val="111111"/>
          <w:sz w:val="28"/>
          <w:sz w:val="28"/>
          <w:szCs w:val="28"/>
          <w:rtl w:val="true"/>
          <w:lang w:bidi="ar-SA"/>
        </w:rPr>
        <w:t xml:space="preserve">الحالَينِ </w:t>
      </w:r>
      <w:r>
        <w:rPr>
          <w:rStyle w:val="FootnoteAnchor"/>
          <w:rtl w:val="true"/>
        </w:rPr>
        <w:footnoteReference w:id="2576"/>
      </w:r>
      <w:r>
        <w:rPr>
          <w:rFonts w:ascii="Amiri" w:hAnsi="Amiri" w:eastAsia="Amiri" w:cs="Amiri"/>
          <w:color w:val="111111"/>
          <w:sz w:val="28"/>
          <w:sz w:val="28"/>
          <w:szCs w:val="28"/>
          <w:rtl w:val="true"/>
          <w:lang w:bidi="ar-SA"/>
        </w:rPr>
        <w:t xml:space="preserve">، و إذا جازَ فيهما صَحَّ ما حَكَيناه؛ مِن تجويزِكَ انفرادَ موسىٰ بما يَقومُ به الأئمّةُ ، و إن كانَ هارونُ شَريكَه في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w:t>
      </w:r>
      <w:r>
        <w:rPr>
          <w:rStyle w:val="FootnoteAnchor"/>
          <w:rtl w:val="true"/>
        </w:rPr>
        <w:footnoteReference w:id="2577"/>
      </w:r>
      <w:r>
        <w:rPr>
          <w:rFonts w:ascii="Amiri" w:hAnsi="Amiri" w:eastAsia="Amiri" w:cs="Amiri"/>
          <w:color w:val="111111"/>
          <w:sz w:val="28"/>
          <w:sz w:val="28"/>
          <w:szCs w:val="28"/>
          <w:rtl w:val="true"/>
          <w:lang w:bidi="ar-SA"/>
        </w:rPr>
        <w:t>إنّما عَنَيتُ بكلامي الأوّلِ أنّ هارونَ يَلزَمُه عندَ غَيبةِ موسىٰ أن يَقومَ بأمرِ قومِه علىٰ وجهِ التبليغِ و الأداءِ اللذَين تَقتَضيهِما</w:t>
      </w:r>
      <w:r>
        <w:rPr>
          <w:rStyle w:val="FootnoteAnchor"/>
          <w:rtl w:val="true"/>
        </w:rPr>
        <w:footnoteReference w:id="2578"/>
      </w:r>
      <w:r>
        <w:rPr>
          <w:rFonts w:ascii="Amiri" w:hAnsi="Amiri" w:eastAsia="Amiri" w:cs="Amiri"/>
          <w:color w:val="111111"/>
          <w:sz w:val="28"/>
          <w:sz w:val="28"/>
          <w:szCs w:val="28"/>
          <w:rtl w:val="true"/>
          <w:lang w:bidi="ar-SA"/>
        </w:rPr>
        <w:t>النبوّةُ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لأنّكَ لَو أرَدتَ ذلكَ لَكُنتَ مُتكلِّماً علىٰ غيرِ ما نَحنُ فيه؛ لأنّا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أحَدٌ مِن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هارونَ لَو بَقيَ بَعدَ موسىٰ لَكانَ خَليفةً له في الأداءِ و التبليغِ اللذَين هُما مِن مُقتَضَى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كلامُكَ مُبطِلاً لذلكَ ، و إنّما أوجَبنا أن يَكونَ خَليفتَه</w:t>
      </w:r>
      <w:r>
        <w:rPr>
          <w:rStyle w:val="FootnoteAnchor"/>
          <w:rtl w:val="true"/>
        </w:rPr>
        <w:footnoteReference w:id="2579"/>
      </w:r>
      <w:r>
        <w:rPr>
          <w:rFonts w:ascii="Amiri" w:hAnsi="Amiri" w:eastAsia="Amiri" w:cs="Amiri"/>
          <w:color w:val="111111"/>
          <w:sz w:val="28"/>
          <w:sz w:val="28"/>
          <w:szCs w:val="28"/>
          <w:rtl w:val="true"/>
          <w:lang w:bidi="ar-SA"/>
        </w:rPr>
        <w:t>بَعدَ وفاتِه علىٰ قومِه فيما يَقومُ به الأئمّةُ ؛ فلا بُدَّ أن يَكونَ مُرادُكَ بالكلامِ الأوّلِ ما ذَكرناه</w:t>
      </w:r>
      <w:r>
        <w:rPr>
          <w:rFonts w:eastAsia="Amiri" w:cs="Amiri" w:ascii="Amiri" w:hAnsi="Amiri"/>
          <w:color w:val="111111"/>
          <w:sz w:val="28"/>
          <w:szCs w:val="28"/>
          <w:rtl w:val="true"/>
          <w:lang w:bidi="ar-SA"/>
        </w:rPr>
        <w:t xml:space="preserve">. </w:t>
      </w:r>
      <w:bookmarkStart w:id="463" w:name="pg20017_202649"/>
    </w:p>
    <w:p>
      <w:pPr>
        <w:pStyle w:val="BookText"/>
        <w:rPr/>
      </w:pPr>
      <w:bookmarkEnd w:id="463"/>
      <w:r>
        <w:rPr>
          <w:rFonts w:ascii="Amiri" w:hAnsi="Amiri" w:eastAsia="Amiri" w:cs="Amiri"/>
          <w:color w:val="111111"/>
          <w:sz w:val="28"/>
          <w:sz w:val="28"/>
          <w:szCs w:val="28"/>
          <w:rtl w:val="true"/>
          <w:lang w:bidi="ar-SA"/>
        </w:rPr>
        <w:t xml:space="preserve">ثُمّ نَقولُ لكَ </w:t>
      </w:r>
      <w:r>
        <w:rPr>
          <w:rStyle w:val="FootnoteAnchor"/>
          <w:rtl w:val="true"/>
        </w:rPr>
        <w:footnoteReference w:id="2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انفرادِ موسىٰ بما يَقومُ به الأئمّةُ دونَ هارونَ ، و</w:t>
      </w:r>
      <w:r>
        <w:rPr>
          <w:rStyle w:val="FootnoteAnchor"/>
          <w:rtl w:val="true"/>
        </w:rPr>
        <w:footnoteReference w:id="2581"/>
      </w:r>
      <w:r>
        <w:rPr>
          <w:rFonts w:ascii="Amiri" w:hAnsi="Amiri" w:eastAsia="Amiri" w:cs="Amiri"/>
          <w:color w:val="111111"/>
          <w:sz w:val="28"/>
          <w:sz w:val="28"/>
          <w:szCs w:val="28"/>
          <w:rtl w:val="true"/>
          <w:lang w:bidi="ar-SA"/>
        </w:rPr>
        <w:t>أنّه غيرُ واجبٍ فيمن</w:t>
      </w:r>
      <w:r>
        <w:rPr>
          <w:rStyle w:val="FootnoteAnchor"/>
          <w:rtl w:val="true"/>
        </w:rPr>
        <w:footnoteReference w:id="2582"/>
      </w:r>
      <w:r>
        <w:rPr>
          <w:rFonts w:ascii="Amiri" w:hAnsi="Amiri" w:eastAsia="Amiri" w:cs="Amiri"/>
          <w:color w:val="111111"/>
          <w:sz w:val="28"/>
          <w:sz w:val="28"/>
          <w:szCs w:val="28"/>
          <w:rtl w:val="true"/>
          <w:lang w:bidi="ar-SA"/>
        </w:rPr>
        <w:t xml:space="preserve">كانَ شَريكَه في النبوّةِ أن يَكونَ شَريكَه في القيامِ بهذهِ الأُمورِ في حياتِه و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سَديدٌ، غيرَ أنّه و إن كانَ غيرَ واجبٍ في الابتداءِ لِما ذَكرتَه، فلَيسَ يَجوزُ بَعدَ حصولِه لهارونَ أن يُخرَجَ عنه و يُصرَفَ عن تولّيهِ ؛ لِما ذَكرناه مِن اقتضائه التنفيرَ الذي تَمنَعُ </w:t>
      </w:r>
      <w:r>
        <w:rPr>
          <w:rStyle w:val="FootnoteAnchor"/>
          <w:rtl w:val="true"/>
        </w:rPr>
        <w:footnoteReference w:id="2583"/>
      </w:r>
      <w:r>
        <w:rPr>
          <w:rFonts w:ascii="Amiri" w:hAnsi="Amiri" w:eastAsia="Amiri" w:cs="Amiri"/>
          <w:color w:val="111111"/>
          <w:sz w:val="28"/>
          <w:sz w:val="28"/>
          <w:szCs w:val="28"/>
          <w:rtl w:val="true"/>
          <w:lang w:bidi="ar-SA"/>
        </w:rPr>
        <w:t>النبوّةُ منه</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4" w:name="__RefHeading___Toc964323_2320776876"/>
      <w:bookmarkStart w:id="465" w:name="_Toc165"/>
      <w:bookmarkEnd w:id="464"/>
      <w:r>
        <w:rPr>
          <w:rtl w:val="true"/>
        </w:rPr>
        <w:t>مناقشة ما ذكره القاضي من أنّ سبب الاستخلاف هو الغَيبة</w:t>
      </w:r>
      <w:bookmarkEnd w:id="465"/>
    </w:p>
    <w:p>
      <w:pPr>
        <w:pStyle w:val="BookText"/>
        <w:rPr/>
      </w:pPr>
      <w:r>
        <w:rPr>
          <w:rFonts w:ascii="Amiri" w:hAnsi="Amiri" w:eastAsia="Amiri" w:cs="Amiri"/>
          <w:color w:val="111111"/>
          <w:sz w:val="28"/>
          <w:sz w:val="28"/>
          <w:szCs w:val="28"/>
          <w:rtl w:val="true"/>
          <w:lang w:bidi="ar-SA"/>
        </w:rPr>
        <w:t>فأمّا التعلُّقُ بالسببِ و أنّه كانَ الغَيبةَ‌</w:t>
      </w:r>
      <w:r>
        <w:rPr>
          <w:rStyle w:val="FootnoteAnchor"/>
          <w:rtl w:val="true"/>
        </w:rPr>
        <w:footnoteReference w:id="2585"/>
      </w:r>
      <w:r>
        <w:rPr>
          <w:rFonts w:ascii="Amiri" w:hAnsi="Amiri" w:eastAsia="Amiri" w:cs="Amiri"/>
          <w:color w:val="111111"/>
          <w:sz w:val="28"/>
          <w:sz w:val="28"/>
          <w:szCs w:val="28"/>
          <w:rtl w:val="true"/>
          <w:lang w:bidi="ar-SA"/>
        </w:rPr>
        <w:t>، فغَيرُ مؤثِّرٍ؛ لأنّ أكثَرَ ما يَقتَضيهِ السببُ تَعلُّقُ الكلامِ به و مطابَقتُه له، و لَيسَ بموجِبٍ أن لا يَتعدّاه و يَتجاوَزَه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 أنّ الغَيبةَ كانَت السببَ في استخلافِ‌</w:t>
      </w:r>
      <w:r>
        <w:rPr>
          <w:rStyle w:val="FootnoteAnchor"/>
          <w:rtl w:val="true"/>
        </w:rPr>
        <w:footnoteReference w:id="2586"/>
      </w:r>
      <w:r>
        <w:rPr>
          <w:rFonts w:ascii="Amiri" w:hAnsi="Amiri" w:eastAsia="Amiri" w:cs="Amiri"/>
          <w:color w:val="111111"/>
          <w:sz w:val="28"/>
          <w:sz w:val="28"/>
          <w:szCs w:val="28"/>
          <w:rtl w:val="true"/>
          <w:lang w:bidi="ar-SA"/>
        </w:rPr>
        <w:t>هارونَ ، لم يُنكَرْ ثُبوتُ الخِلافةِ له بَعدَها؛ لِما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موسىٰ عليه السلامُ لَو قالَ لأخيه مع أنّ السببَ كانَ الغَيبةَ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اخلُفْني في قومي في الغَيبةِ </w:t>
      </w:r>
      <w:r>
        <w:rPr>
          <w:rStyle w:val="FootnoteAnchor"/>
          <w:rtl w:val="true"/>
        </w:rPr>
        <w:footnoteReference w:id="2587"/>
      </w:r>
      <w:r>
        <w:rPr>
          <w:rFonts w:ascii="Amiri" w:hAnsi="Amiri" w:eastAsia="Amiri" w:cs="Amiri"/>
          <w:color w:val="111111"/>
          <w:sz w:val="28"/>
          <w:sz w:val="28"/>
          <w:szCs w:val="28"/>
          <w:rtl w:val="true"/>
          <w:lang w:bidi="ar-SA"/>
        </w:rPr>
        <w:t>و الحُضورِ، و في حَياتي</w:t>
      </w:r>
      <w:r>
        <w:rPr>
          <w:rStyle w:val="FootnoteAnchor"/>
          <w:rtl w:val="true"/>
        </w:rPr>
        <w:footnoteReference w:id="2588"/>
      </w:r>
      <w:r>
        <w:rPr>
          <w:rFonts w:ascii="Amiri" w:hAnsi="Amiri" w:eastAsia="Amiri" w:cs="Amiri"/>
          <w:color w:val="111111"/>
          <w:sz w:val="28"/>
          <w:sz w:val="28"/>
          <w:szCs w:val="28"/>
          <w:rtl w:val="true"/>
          <w:lang w:bidi="ar-SA"/>
        </w:rPr>
        <w:t xml:space="preserve">و بَعدَ وفاتي، و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كلامُه مُنافياً للسببِ؟</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رُويَ مِن استخلافِ النبيِّ صَلَّى اللّٰهُ عليه و آلِه ابنَ أُمِّ مكتومٍ و عُثمانَ و مَن </w:t>
      </w:r>
      <w:bookmarkStart w:id="466" w:name="pg20017_202650"/>
    </w:p>
    <w:p>
      <w:pPr>
        <w:pStyle w:val="BookText"/>
        <w:rPr/>
      </w:pPr>
      <w:bookmarkEnd w:id="466"/>
      <w:r>
        <w:rPr>
          <w:rFonts w:ascii="Amiri" w:hAnsi="Amiri" w:eastAsia="Amiri" w:cs="Amiri"/>
          <w:color w:val="111111"/>
          <w:sz w:val="28"/>
          <w:sz w:val="28"/>
          <w:szCs w:val="28"/>
          <w:rtl w:val="true"/>
          <w:lang w:bidi="ar-SA"/>
        </w:rPr>
        <w:t>جَرىٰ مَجراهُما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 نَعلَمْ زَوالَ وِلايتِهم و انقطاعَها باعتبارِ زَوالِ السببِ‌</w:t>
      </w:r>
      <w:r>
        <w:rPr>
          <w:rStyle w:val="FootnoteAnchor"/>
          <w:rtl w:val="true"/>
        </w:rPr>
        <w:footnoteReference w:id="2589"/>
      </w:r>
      <w:r>
        <w:rPr>
          <w:rFonts w:ascii="Amiri" w:hAnsi="Amiri" w:eastAsia="Amiri" w:cs="Amiri"/>
          <w:color w:val="111111"/>
          <w:sz w:val="28"/>
          <w:sz w:val="28"/>
          <w:szCs w:val="28"/>
          <w:rtl w:val="true"/>
          <w:lang w:bidi="ar-SA"/>
        </w:rPr>
        <w:t>علىٰ ما ظَنَّه، بَل لأمرٍ زائدٍ؛ لأنّه لا خِلافَ بَينَ الأُمّةِ في انقطاعِ وِلايةِ هؤلاءِ و عدمِ استمرارِها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لا نَتعلَّقُ عَلىٰ هذه الطريقةِ باستخلافِ أميرِ المؤمنينَ عليه السلامُ علَى المَدينةِ‌</w:t>
      </w:r>
      <w:r>
        <w:rPr>
          <w:rStyle w:val="FootnoteAnchor"/>
          <w:rtl w:val="true"/>
        </w:rPr>
        <w:footnoteReference w:id="2590"/>
      </w:r>
      <w:r>
        <w:rPr>
          <w:rFonts w:ascii="Amiri" w:hAnsi="Amiri" w:eastAsia="Amiri" w:cs="Amiri"/>
          <w:color w:val="111111"/>
          <w:sz w:val="28"/>
          <w:sz w:val="28"/>
          <w:szCs w:val="28"/>
          <w:rtl w:val="true"/>
          <w:lang w:bidi="ar-SA"/>
        </w:rPr>
        <w:t>في وجوبِ الإمامةِ له</w:t>
      </w:r>
      <w:r>
        <w:rPr>
          <w:rStyle w:val="FootnoteAnchor"/>
          <w:rtl w:val="true"/>
        </w:rPr>
        <w:footnoteReference w:id="2591"/>
      </w:r>
      <w:r>
        <w:rPr>
          <w:rFonts w:ascii="Amiri" w:hAnsi="Amiri" w:eastAsia="Amiri" w:cs="Amiri"/>
          <w:color w:val="111111"/>
          <w:sz w:val="28"/>
          <w:sz w:val="28"/>
          <w:szCs w:val="28"/>
          <w:rtl w:val="true"/>
          <w:lang w:bidi="ar-SA"/>
        </w:rPr>
        <w:t>فيما بَعدُ، بَل بما بيّنّاه مِن مُقتَضَى الخبرِ و وجهِ دَلالتِه</w:t>
      </w:r>
      <w:r>
        <w:rPr>
          <w:rStyle w:val="FootnoteAnchor"/>
          <w:rtl w:val="true"/>
        </w:rPr>
        <w:footnoteReference w:id="2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صاحبُ الكتابِ بما</w:t>
      </w:r>
      <w:r>
        <w:rPr>
          <w:rStyle w:val="FootnoteAnchor"/>
          <w:rtl w:val="true"/>
        </w:rPr>
        <w:footnoteReference w:id="2593"/>
      </w:r>
      <w:r>
        <w:rPr>
          <w:rFonts w:ascii="Amiri" w:hAnsi="Amiri" w:eastAsia="Amiri" w:cs="Amiri"/>
          <w:color w:val="111111"/>
          <w:sz w:val="28"/>
          <w:sz w:val="28"/>
          <w:szCs w:val="28"/>
          <w:rtl w:val="true"/>
          <w:lang w:bidi="ar-SA"/>
        </w:rPr>
        <w:t>ادَّعاه</w:t>
      </w:r>
      <w:r>
        <w:rPr>
          <w:rStyle w:val="FootnoteAnchor"/>
          <w:rtl w:val="true"/>
        </w:rPr>
        <w:footnoteReference w:id="2594"/>
      </w:r>
      <w:r>
        <w:rPr>
          <w:rFonts w:ascii="Amiri" w:hAnsi="Amiri" w:eastAsia="Amiri" w:cs="Amiri"/>
          <w:color w:val="111111"/>
          <w:sz w:val="28"/>
          <w:sz w:val="28"/>
          <w:szCs w:val="28"/>
          <w:rtl w:val="true"/>
          <w:lang w:bidi="ar-SA"/>
        </w:rPr>
        <w:t xml:space="preserve">مِن سببِ </w:t>
      </w:r>
      <w:r>
        <w:rPr>
          <w:rStyle w:val="FootnoteAnchor"/>
          <w:rtl w:val="true"/>
        </w:rPr>
        <w:footnoteReference w:id="2595"/>
      </w:r>
      <w:r>
        <w:rPr>
          <w:rFonts w:ascii="Amiri" w:hAnsi="Amiri" w:eastAsia="Amiri" w:cs="Amiri"/>
          <w:color w:val="111111"/>
          <w:sz w:val="28"/>
          <w:sz w:val="28"/>
          <w:szCs w:val="28"/>
          <w:rtl w:val="true"/>
          <w:lang w:bidi="ar-SA"/>
        </w:rPr>
        <w:t>الاستخلافِ استخلافَ الرسولِ صَلَّى اللّٰهُ عليه و آلِه</w:t>
      </w:r>
      <w:r>
        <w:rPr>
          <w:rStyle w:val="FootnoteAnchor"/>
          <w:rtl w:val="true"/>
        </w:rPr>
        <w:footnoteReference w:id="2596"/>
      </w:r>
      <w:r>
        <w:rPr>
          <w:rFonts w:ascii="Amiri" w:hAnsi="Amiri" w:eastAsia="Amiri" w:cs="Amiri"/>
          <w:color w:val="111111"/>
          <w:sz w:val="28"/>
          <w:sz w:val="28"/>
          <w:szCs w:val="28"/>
          <w:rtl w:val="true"/>
          <w:lang w:bidi="ar-SA"/>
        </w:rPr>
        <w:t>أميرَ المؤمنينَ عليه السلامُ علَى المَدينةِ ، فقَد بيّنّا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أرادَ استخلافَ موسىٰ أخاه، فقَد ذَكَرنا ما يَخُصُّ </w:t>
      </w:r>
      <w:r>
        <w:rPr>
          <w:rStyle w:val="FootnoteAnchor"/>
          <w:rtl w:val="true"/>
        </w:rPr>
        <w:footnoteReference w:id="2597"/>
      </w:r>
      <w:r>
        <w:rPr>
          <w:rFonts w:ascii="Amiri" w:hAnsi="Amiri" w:eastAsia="Amiri" w:cs="Amiri"/>
          <w:color w:val="111111"/>
          <w:sz w:val="28"/>
          <w:sz w:val="28"/>
          <w:szCs w:val="28"/>
          <w:rtl w:val="true"/>
          <w:lang w:bidi="ar-SA"/>
        </w:rPr>
        <w:t xml:space="preserve">هذا الوجهَ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عامّاً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السببَ لا يَقتَضي قَصرَ الكلامِ عليه</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964325_2320776876"/>
      <w:bookmarkStart w:id="468" w:name="_Toc166"/>
      <w:bookmarkEnd w:id="467"/>
      <w:r>
        <w:rPr>
          <w:rtl w:val="true"/>
        </w:rPr>
        <w:t>بيان أنّ إثبات الإمامة المخصوصة بحال دون حال يستلزم الإمامة العامّة</w:t>
      </w:r>
      <w:bookmarkEnd w:id="46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الاستخلافَ في الغَيبةِ يَقتَضي أنّه خَليفةٌ في مَوضِعٍ دونَ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الفَصلِ ، فلَو</w:t>
      </w:r>
      <w:r>
        <w:rPr>
          <w:rStyle w:val="FootnoteAnchor"/>
          <w:rtl w:val="true"/>
        </w:rPr>
        <w:footnoteReference w:id="2598"/>
      </w:r>
      <w:r>
        <w:rPr>
          <w:rFonts w:ascii="Amiri" w:hAnsi="Amiri" w:eastAsia="Amiri" w:cs="Amiri"/>
          <w:color w:val="111111"/>
          <w:sz w:val="28"/>
          <w:sz w:val="28"/>
          <w:szCs w:val="28"/>
          <w:rtl w:val="true"/>
          <w:lang w:bidi="ar-SA"/>
        </w:rPr>
        <w:t xml:space="preserve">سَلَّمنا اختصاصَ الاستخلافِ في الغَيبةِ علىٰ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لَثَبتَ أيضاً ما نُريدُه؛ لأنّه إذا ثَبَتَ لهارونَ بَعدَ أخيه مِن الإمامةِ </w:t>
      </w:r>
    </w:p>
    <w:p>
      <w:pPr>
        <w:pStyle w:val="BookText"/>
        <w:rPr/>
      </w:pPr>
      <w:r>
        <w:rPr>
          <w:rFonts w:ascii="Amiri" w:hAnsi="Amiri" w:eastAsia="Amiri" w:cs="Amiri"/>
          <w:color w:val="111111"/>
          <w:sz w:val="28"/>
          <w:sz w:val="28"/>
          <w:szCs w:val="28"/>
          <w:rtl w:val="true"/>
          <w:lang w:bidi="ar-SA"/>
        </w:rPr>
        <w:t xml:space="preserve">و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كانَتا مخصوصتَينِ ما كانَ ضائراً</w:t>
      </w:r>
      <w:r>
        <w:rPr>
          <w:rStyle w:val="FootnoteAnchor"/>
          <w:rtl w:val="true"/>
        </w:rPr>
        <w:footnoteReference w:id="2599"/>
      </w:r>
      <w:r>
        <w:rPr>
          <w:rFonts w:ascii="Amiri" w:hAnsi="Amiri" w:eastAsia="Amiri" w:cs="Amiri"/>
          <w:color w:val="111111"/>
          <w:sz w:val="28"/>
          <w:sz w:val="28"/>
          <w:szCs w:val="28"/>
          <w:rtl w:val="true"/>
          <w:lang w:bidi="ar-SA"/>
        </w:rPr>
        <w:t xml:space="preserve">لِما دَلَّلنا عليه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أوجَبَ‌</w:t>
      </w:r>
      <w:r>
        <w:rPr>
          <w:rStyle w:val="FootnoteAnchor"/>
          <w:rtl w:val="true"/>
        </w:rPr>
        <w:footnoteReference w:id="2600"/>
      </w:r>
      <w:r>
        <w:rPr>
          <w:rFonts w:ascii="Amiri" w:hAnsi="Amiri" w:eastAsia="Amiri" w:cs="Amiri"/>
          <w:color w:val="111111"/>
          <w:sz w:val="28"/>
          <w:sz w:val="28"/>
          <w:szCs w:val="28"/>
          <w:rtl w:val="true"/>
          <w:lang w:bidi="ar-SA"/>
        </w:rPr>
        <w:t>الخبرُ لأميرِ المؤمنينَ عليه السلامُ مِثلَ هذه المَنزِلةِ‌، صَحَّ ما نَقصِدُه</w:t>
      </w:r>
      <w:r>
        <w:rPr>
          <w:rStyle w:val="FootnoteAnchor"/>
          <w:rtl w:val="true"/>
        </w:rPr>
        <w:footnoteReference w:id="2601"/>
      </w:r>
      <w:r>
        <w:rPr>
          <w:rFonts w:ascii="Amiri" w:hAnsi="Amiri" w:eastAsia="Amiri" w:cs="Amiri"/>
          <w:color w:val="111111"/>
          <w:sz w:val="28"/>
          <w:sz w:val="28"/>
          <w:szCs w:val="28"/>
          <w:rtl w:val="true"/>
          <w:lang w:bidi="ar-SA"/>
        </w:rPr>
        <w:t>لأنّ الأُمّةَ مُجمِعةٌ علىٰ أنّ كُلَّ مَن وَجَبَ له بنَصِّ الرسولِ صَلَّى اللّٰهُ عليه و آلِه</w:t>
      </w:r>
      <w:r>
        <w:rPr>
          <w:rStyle w:val="FootnoteAnchor"/>
          <w:rtl w:val="true"/>
        </w:rPr>
        <w:footnoteReference w:id="2602"/>
      </w:r>
      <w:r>
        <w:rPr>
          <w:rFonts w:ascii="Amiri" w:hAnsi="Amiri" w:eastAsia="Amiri" w:cs="Amiri"/>
          <w:color w:val="111111"/>
          <w:sz w:val="28"/>
          <w:sz w:val="28"/>
          <w:szCs w:val="28"/>
          <w:rtl w:val="true"/>
          <w:lang w:bidi="ar-SA"/>
        </w:rPr>
        <w:t xml:space="preserve">بَعدَ وفاتِه إمامةٌ في بعضِ المَواضعِ فهو الإمامُ </w:t>
      </w:r>
      <w:r>
        <w:rPr>
          <w:rStyle w:val="FootnoteAnchor"/>
          <w:rtl w:val="true"/>
        </w:rPr>
        <w:footnoteReference w:id="2603"/>
      </w:r>
      <w:r>
        <w:rPr>
          <w:rFonts w:ascii="Amiri" w:hAnsi="Amiri" w:eastAsia="Amiri" w:cs="Amiri"/>
          <w:color w:val="111111"/>
          <w:sz w:val="28"/>
          <w:sz w:val="28"/>
          <w:szCs w:val="28"/>
          <w:rtl w:val="true"/>
          <w:lang w:bidi="ar-SA"/>
        </w:rPr>
        <w:t>في جميعِها علىٰ سَبيلِ العمومِ ، فلَو</w:t>
      </w:r>
      <w:r>
        <w:rPr>
          <w:rStyle w:val="FootnoteAnchor"/>
          <w:rtl w:val="true"/>
        </w:rPr>
        <w:footnoteReference w:id="2604"/>
      </w:r>
      <w:r>
        <w:rPr>
          <w:rFonts w:ascii="Amiri" w:hAnsi="Amiri" w:eastAsia="Amiri" w:cs="Amiri"/>
          <w:color w:val="111111"/>
          <w:sz w:val="28"/>
          <w:sz w:val="28"/>
          <w:szCs w:val="28"/>
          <w:rtl w:val="true"/>
          <w:lang w:bidi="ar-SA"/>
        </w:rPr>
        <w:t xml:space="preserve">لَم يَكُنِ اللفظُ يَقتَضي ما ذَكرناه لَكانَ هذا الاعتبارُ يَقتَضيهِ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سُئلنا عن نَظيرِ هذا السؤالِ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إنّما كانَ خَليفةً لموسىٰ عليه السلامُ علىٰ بعضِ قومِه دونَ بعضٍ ؛ لأنّه كانَ خَليفةً له علىٰ مَن</w:t>
      </w:r>
      <w:r>
        <w:rPr>
          <w:rStyle w:val="FootnoteAnchor"/>
          <w:rtl w:val="true"/>
        </w:rPr>
        <w:footnoteReference w:id="2605"/>
      </w:r>
      <w:r>
        <w:rPr>
          <w:rFonts w:ascii="Amiri" w:hAnsi="Amiri" w:eastAsia="Amiri" w:cs="Amiri"/>
          <w:color w:val="111111"/>
          <w:sz w:val="28"/>
          <w:sz w:val="28"/>
          <w:szCs w:val="28"/>
          <w:rtl w:val="true"/>
          <w:lang w:bidi="ar-SA"/>
        </w:rPr>
        <w:t xml:space="preserve">خَلَّفَه و لَم يَستَصحِبْه، فكَيفَ توجِبونَ </w:t>
      </w:r>
      <w:r>
        <w:rPr>
          <w:rStyle w:val="FootnoteAnchor"/>
          <w:rtl w:val="true"/>
        </w:rPr>
        <w:footnoteReference w:id="2606"/>
      </w:r>
      <w:r>
        <w:rPr>
          <w:rFonts w:ascii="Amiri" w:hAnsi="Amiri" w:eastAsia="Amiri" w:cs="Amiri"/>
          <w:color w:val="111111"/>
          <w:sz w:val="28"/>
          <w:sz w:val="28"/>
          <w:szCs w:val="28"/>
          <w:rtl w:val="true"/>
          <w:lang w:bidi="ar-SA"/>
        </w:rPr>
        <w:t>بنَظيرِ هذه المَنزِلةِ الإمامةَ علىٰ جميعِ الناسِ؟</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الجوابُ عن الأوّلِ بعَينهِ‌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هذا الكلامِ إنّما نَتكلَّفُه</w:t>
      </w:r>
      <w:r>
        <w:rPr>
          <w:rStyle w:val="FootnoteAnchor"/>
          <w:rtl w:val="true"/>
        </w:rPr>
        <w:footnoteReference w:id="2607"/>
      </w:r>
      <w:r>
        <w:rPr>
          <w:rFonts w:ascii="Amiri" w:hAnsi="Amiri" w:eastAsia="Amiri" w:cs="Amiri"/>
          <w:color w:val="111111"/>
          <w:sz w:val="28"/>
          <w:sz w:val="28"/>
          <w:szCs w:val="28"/>
          <w:rtl w:val="true"/>
          <w:lang w:bidi="ar-SA"/>
        </w:rPr>
        <w:t>إذا كانَ تَعلُّقُنا باستخلافِ موسىٰ لهارونَ‌، فأمّا إذا رَجَعنا</w:t>
      </w:r>
      <w:r>
        <w:rPr>
          <w:rStyle w:val="FootnoteAnchor"/>
          <w:rtl w:val="true"/>
        </w:rPr>
        <w:footnoteReference w:id="2608"/>
      </w:r>
      <w:r>
        <w:rPr>
          <w:rFonts w:ascii="Amiri" w:hAnsi="Amiri" w:eastAsia="Amiri" w:cs="Amiri"/>
          <w:color w:val="111111"/>
          <w:sz w:val="28"/>
          <w:sz w:val="28"/>
          <w:szCs w:val="28"/>
          <w:rtl w:val="true"/>
          <w:lang w:bidi="ar-SA"/>
        </w:rPr>
        <w:t xml:space="preserve">إلىٰ ما يَقتَضيهِ </w:t>
      </w:r>
      <w:r>
        <w:rPr>
          <w:rStyle w:val="FootnoteAnchor"/>
          <w:rtl w:val="true"/>
        </w:rPr>
        <w:footnoteReference w:id="2609"/>
      </w:r>
      <w:r>
        <w:rPr>
          <w:rFonts w:ascii="Amiri" w:hAnsi="Amiri" w:eastAsia="Amiri" w:cs="Amiri"/>
          <w:color w:val="111111"/>
          <w:sz w:val="28"/>
          <w:sz w:val="28"/>
          <w:szCs w:val="28"/>
          <w:rtl w:val="true"/>
          <w:lang w:bidi="ar-SA"/>
        </w:rPr>
        <w:t xml:space="preserve">نُبوّتُه مِن فَرضِ الطاعةِ و عمومِها لجميعِ المَواضعِ </w:t>
      </w:r>
    </w:p>
    <w:p>
      <w:pPr>
        <w:pStyle w:val="BookText"/>
        <w:rPr/>
      </w:pPr>
      <w:r>
        <w:rPr>
          <w:rFonts w:ascii="Amiri" w:hAnsi="Amiri" w:eastAsia="Amiri" w:cs="Amiri"/>
          <w:color w:val="111111"/>
          <w:sz w:val="28"/>
          <w:sz w:val="28"/>
          <w:szCs w:val="28"/>
          <w:rtl w:val="true"/>
          <w:lang w:bidi="ar-SA"/>
        </w:rPr>
        <w:t xml:space="preserve">و لسائرِ أُمّةِ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الطريقةِ التي بيّنّا فيما سَلَفَ </w:t>
      </w:r>
      <w:r>
        <w:rPr>
          <w:rStyle w:val="FootnoteAnchor"/>
          <w:rtl w:val="true"/>
        </w:rPr>
        <w:footnoteReference w:id="2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يَلزَمْنا شَيءٌ مِن كلامِه، و لَم نَحتَجْ </w:t>
      </w:r>
      <w:r>
        <w:rPr>
          <w:rStyle w:val="FootnoteAnchor"/>
          <w:rtl w:val="true"/>
        </w:rPr>
        <w:footnoteReference w:id="2611"/>
      </w:r>
      <w:r>
        <w:rPr>
          <w:rFonts w:ascii="Amiri" w:hAnsi="Amiri" w:eastAsia="Amiri" w:cs="Amiri"/>
          <w:color w:val="111111"/>
          <w:sz w:val="28"/>
          <w:sz w:val="28"/>
          <w:szCs w:val="28"/>
          <w:rtl w:val="true"/>
          <w:lang w:bidi="ar-SA"/>
        </w:rPr>
        <w:t>إلىٰ أكثَرِ ما تَكلَّفناه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لَو عاشَ بَعدَ موسىٰ لَكانَ الذي يَثبُتُ له أن يَكونَ كَما كانَ مِن قَبلُ‌، و قد كانَ مِن قَبلُ له أن يَقومَ بهذه الأُمورِ لنُبوّتهِ‌، فيَجِبُ إذا لَم تَبطُلْ‌</w:t>
      </w:r>
      <w:r>
        <w:rPr>
          <w:rStyle w:val="FootnoteAnchor"/>
          <w:rtl w:val="true"/>
        </w:rPr>
        <w:footnoteReference w:id="2612"/>
      </w:r>
      <w:r>
        <w:rPr>
          <w:rFonts w:ascii="Amiri" w:hAnsi="Amiri" w:eastAsia="Amiri" w:cs="Amiri"/>
          <w:color w:val="111111"/>
          <w:sz w:val="28"/>
          <w:sz w:val="28"/>
          <w:szCs w:val="28"/>
          <w:rtl w:val="true"/>
          <w:lang w:bidi="ar-SA"/>
        </w:rPr>
        <w:t>نُبوّتُه بمَوتِ موسىٰ أن يَكونَ له أن يَقومَ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توجِبونَ لعليٍّ عليه السلامُ مِثلَ ذلكَ‌، فيَجِبُ أن يَكونَ بَعدَ مَوتِه عليه السلامُ حالُه كَما كانَ‌</w:t>
      </w:r>
      <w:r>
        <w:rPr>
          <w:rStyle w:val="FootnoteAnchor"/>
          <w:rtl w:val="true"/>
        </w:rPr>
        <w:footnoteReference w:id="2613"/>
      </w:r>
      <w:r>
        <w:rPr>
          <w:rFonts w:ascii="Amiri" w:hAnsi="Amiri" w:eastAsia="Amiri" w:cs="Amiri"/>
          <w:color w:val="111111"/>
          <w:sz w:val="28"/>
          <w:sz w:val="28"/>
          <w:szCs w:val="28"/>
          <w:rtl w:val="true"/>
          <w:lang w:bidi="ar-SA"/>
        </w:rPr>
        <w:t>، و قد عَلِمنا أنّه لم يَكُن إماماً في حياةِ الرسولِ عليه السلامُ‌</w:t>
      </w:r>
      <w:r>
        <w:rPr>
          <w:rStyle w:val="FootnoteAnchor"/>
          <w:rtl w:val="true"/>
        </w:rPr>
        <w:footnoteReference w:id="2614"/>
      </w:r>
      <w:r>
        <w:rPr>
          <w:rFonts w:ascii="Amiri" w:hAnsi="Amiri" w:eastAsia="Amiri" w:cs="Amiri"/>
          <w:color w:val="111111"/>
          <w:sz w:val="28"/>
          <w:sz w:val="28"/>
          <w:szCs w:val="28"/>
          <w:rtl w:val="true"/>
          <w:lang w:bidi="ar-SA"/>
        </w:rPr>
        <w:t>، و لا كانَ له أن يَقومَ بهذه الأُمورِ علَى الوجهِ الذي يَقومُ به الإمامُ‌؛ فيَجِبُ أن يَكونَ حالُه بَعدَ مَوتِه كما كانَ‌؛ لأنّ هذه المَنزِلةَ هي التي كانَت لهارونَ مِن موسىٰ عليه السلامُ‌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حياتِه</w:t>
      </w:r>
      <w:r>
        <w:rPr>
          <w:rStyle w:val="FootnoteAnchor"/>
          <w:rtl w:val="true"/>
        </w:rPr>
        <w:footnoteReference w:id="2615"/>
      </w:r>
      <w:r>
        <w:rPr>
          <w:rFonts w:ascii="Amiri" w:hAnsi="Amiri" w:eastAsia="Amiri" w:cs="Amiri"/>
          <w:color w:val="111111"/>
          <w:sz w:val="28"/>
          <w:sz w:val="28"/>
          <w:szCs w:val="28"/>
          <w:rtl w:val="true"/>
          <w:lang w:bidi="ar-SA"/>
        </w:rPr>
        <w:t xml:space="preserve">كانَ له أن يَقومَ بهذهِ الأُمورِ و الحالُ حالُ شِركةٍ ، فبأنْ </w:t>
      </w:r>
      <w:r>
        <w:rPr>
          <w:rStyle w:val="FootnoteAnchor"/>
          <w:rtl w:val="true"/>
        </w:rPr>
        <w:footnoteReference w:id="2616"/>
      </w:r>
      <w:r>
        <w:rPr>
          <w:rFonts w:ascii="Amiri" w:hAnsi="Amiri" w:eastAsia="Amiri" w:cs="Amiri"/>
          <w:color w:val="111111"/>
          <w:sz w:val="28"/>
          <w:sz w:val="28"/>
          <w:szCs w:val="28"/>
          <w:rtl w:val="true"/>
          <w:lang w:bidi="ar-SA"/>
        </w:rPr>
        <w:t>يَكونَ له أن يَقومَ بذلكَ بَعدَ وفاتِه</w:t>
      </w:r>
      <w:r>
        <w:rPr>
          <w:rStyle w:val="FootnoteAnchor"/>
          <w:rtl w:val="true"/>
        </w:rPr>
        <w:footnoteReference w:id="2617"/>
      </w:r>
      <w:r>
        <w:rPr>
          <w:rFonts w:ascii="Amiri" w:hAnsi="Amiri" w:eastAsia="Amiri" w:cs="Amiri"/>
          <w:color w:val="111111"/>
          <w:sz w:val="28"/>
          <w:sz w:val="28"/>
          <w:szCs w:val="28"/>
          <w:rtl w:val="true"/>
          <w:lang w:bidi="ar-SA"/>
        </w:rPr>
        <w:t xml:space="preserve">أَولىٰ ؛ </w:t>
      </w:r>
      <w:bookmarkStart w:id="469" w:name="pg20017_202653"/>
    </w:p>
    <w:p>
      <w:pPr>
        <w:pStyle w:val="BookText"/>
        <w:rPr/>
      </w:pPr>
      <w:bookmarkEnd w:id="469"/>
      <w:r>
        <w:rPr>
          <w:rFonts w:ascii="Amiri" w:hAnsi="Amiri" w:eastAsia="Amiri" w:cs="Amiri"/>
          <w:color w:val="111111"/>
          <w:sz w:val="28"/>
          <w:sz w:val="28"/>
          <w:szCs w:val="28"/>
          <w:rtl w:val="true"/>
          <w:lang w:bidi="ar-SA"/>
        </w:rPr>
        <w:t>فلمّا</w:t>
      </w:r>
      <w:r>
        <w:rPr>
          <w:rStyle w:val="FootnoteAnchor"/>
          <w:rtl w:val="true"/>
        </w:rPr>
        <w:footnoteReference w:id="2618"/>
      </w:r>
      <w:r>
        <w:rPr>
          <w:rFonts w:ascii="Amiri" w:hAnsi="Amiri" w:eastAsia="Amiri" w:cs="Amiri"/>
          <w:color w:val="111111"/>
          <w:sz w:val="28"/>
          <w:sz w:val="28"/>
          <w:szCs w:val="28"/>
          <w:rtl w:val="true"/>
          <w:lang w:bidi="ar-SA"/>
        </w:rPr>
        <w:t>ثَبَتَ ذلكَ له</w:t>
      </w:r>
      <w:r>
        <w:rPr>
          <w:rStyle w:val="FootnoteAnchor"/>
          <w:rtl w:val="true"/>
        </w:rPr>
        <w:footnoteReference w:id="2619"/>
      </w:r>
      <w:r>
        <w:rPr>
          <w:rFonts w:ascii="Amiri" w:hAnsi="Amiri" w:eastAsia="Amiri" w:cs="Amiri"/>
          <w:color w:val="111111"/>
          <w:sz w:val="28"/>
          <w:sz w:val="28"/>
          <w:szCs w:val="28"/>
          <w:rtl w:val="true"/>
          <w:lang w:bidi="ar-SA"/>
        </w:rPr>
        <w:t xml:space="preserve">علَى الحَدِّ الذي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وجهٍ مُخالِفٍ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مِثلُه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بأن يَقتَضيَ نفيَ الإمامةِ أَولىٰ </w:t>
      </w:r>
      <w:r>
        <w:rPr>
          <w:rStyle w:val="FootnoteAnchor"/>
          <w:rtl w:val="true"/>
        </w:rPr>
        <w:footnoteReference w:id="2620"/>
      </w:r>
      <w:r>
        <w:rPr>
          <w:rFonts w:ascii="Amiri" w:hAnsi="Amiri" w:eastAsia="Amiri" w:cs="Amiri"/>
          <w:color w:val="111111"/>
          <w:sz w:val="28"/>
          <w:sz w:val="28"/>
          <w:szCs w:val="28"/>
          <w:rtl w:val="true"/>
          <w:lang w:bidi="ar-SA"/>
        </w:rPr>
        <w:t>مِن أن يَقتَضيَ إثباتَها</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0" w:name="__RefHeading___Toc964327_2320776876"/>
      <w:bookmarkStart w:id="471" w:name="_Toc167"/>
      <w:bookmarkEnd w:id="470"/>
      <w:r>
        <w:rPr>
          <w:rtl w:val="true"/>
        </w:rPr>
        <w:t>بيان انفصال منزلة الإمامة عن النبوّة</w:t>
      </w:r>
      <w:bookmarkEnd w:id="471"/>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 أنّ هارونَ لَو بَقيَ بَعدَ موسىٰ لَكانَ إنّما</w:t>
      </w:r>
      <w:r>
        <w:rPr>
          <w:rStyle w:val="FootnoteAnchor"/>
          <w:rtl w:val="true"/>
        </w:rPr>
        <w:footnoteReference w:id="2622"/>
      </w:r>
      <w:r>
        <w:rPr>
          <w:rFonts w:ascii="Amiri" w:hAnsi="Amiri" w:eastAsia="Amiri" w:cs="Amiri"/>
          <w:color w:val="111111"/>
          <w:sz w:val="28"/>
          <w:sz w:val="28"/>
          <w:szCs w:val="28"/>
          <w:rtl w:val="true"/>
          <w:lang w:bidi="ar-SA"/>
        </w:rPr>
        <w:t>يَجِبُ أن يَقومَ بما يَقومُ به الأئمّةُ لِمَوضِعِ نُبوّتِه‌؟ أوَ لَيسَ قد بيّنّا فيما سَلَفَ مِن كلامِنا أنّ هذه المَنزِلةَ مُنفَصِلةٌ مِن النبوّةِ‌</w:t>
      </w:r>
      <w:r>
        <w:rPr>
          <w:rStyle w:val="FootnoteAnchor"/>
          <w:rtl w:val="true"/>
        </w:rPr>
        <w:footnoteReference w:id="2623"/>
      </w:r>
      <w:r>
        <w:rPr>
          <w:rFonts w:ascii="Amiri" w:hAnsi="Amiri" w:eastAsia="Amiri" w:cs="Amiri"/>
          <w:color w:val="111111"/>
          <w:sz w:val="28"/>
          <w:sz w:val="28"/>
          <w:szCs w:val="28"/>
          <w:rtl w:val="true"/>
          <w:lang w:bidi="ar-SA"/>
        </w:rPr>
        <w:t>، و أنّه لا يَمتَنِعُ أن يَكونَ النبيُّ صَلَّى اللّٰهُ عليه و آلِه</w:t>
      </w:r>
      <w:r>
        <w:rPr>
          <w:rStyle w:val="FootnoteAnchor"/>
          <w:rtl w:val="true"/>
        </w:rPr>
        <w:footnoteReference w:id="2624"/>
      </w:r>
      <w:r>
        <w:rPr>
          <w:rFonts w:ascii="Amiri" w:hAnsi="Amiri" w:eastAsia="Amiri" w:cs="Amiri"/>
          <w:color w:val="111111"/>
          <w:sz w:val="28"/>
          <w:sz w:val="28"/>
          <w:szCs w:val="28"/>
          <w:rtl w:val="true"/>
          <w:lang w:bidi="ar-SA"/>
        </w:rPr>
        <w:t>مِن حَيثُ كانَ نَبيّاً لا يَتوَلّاها و لا يَجِبُ له القيامُ بها</w:t>
      </w:r>
      <w:r>
        <w:rPr>
          <w:rStyle w:val="FootnoteAnchor"/>
          <w:rtl w:val="true"/>
        </w:rPr>
        <w:footnoteReference w:id="2625"/>
      </w:r>
      <w:r>
        <w:rPr>
          <w:rFonts w:ascii="Amiri" w:hAnsi="Amiri" w:eastAsia="Amiri" w:cs="Amiri"/>
          <w:color w:val="111111"/>
          <w:sz w:val="28"/>
          <w:sz w:val="28"/>
          <w:szCs w:val="28"/>
          <w:rtl w:val="true"/>
          <w:lang w:bidi="ar-SA"/>
        </w:rPr>
        <w:t xml:space="preserve">، و اعتَرَفتَ في بعضِ ما حَكَيناه مِن كلامِكَ بذلكَ ،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غيرُ واجبٍ فيمن يَكونُ </w:t>
      </w:r>
      <w:r>
        <w:rPr>
          <w:rStyle w:val="FootnoteAnchor"/>
          <w:rtl w:val="true"/>
        </w:rPr>
        <w:footnoteReference w:id="2626"/>
      </w:r>
      <w:r>
        <w:rPr>
          <w:rFonts w:ascii="Amiri" w:hAnsi="Amiri" w:eastAsia="Amiri" w:cs="Amiri"/>
          <w:color w:val="111111"/>
          <w:sz w:val="28"/>
          <w:sz w:val="28"/>
          <w:szCs w:val="28"/>
          <w:rtl w:val="true"/>
          <w:lang w:bidi="ar-SA"/>
        </w:rPr>
        <w:t xml:space="preserve">شَريكاً لموسىٰ في النبوّةِ أن يَكونَ هو القيِّمَ بَعدَ وفاتِه بما يَقومُ به الإمامُ </w:t>
      </w:r>
      <w:r>
        <w:rPr>
          <w:rFonts w:eastAsia="Amiri" w:cs="Amiri" w:ascii="Amiri" w:hAnsi="Amiri"/>
          <w:color w:val="111111"/>
          <w:sz w:val="28"/>
          <w:szCs w:val="28"/>
          <w:rtl w:val="true"/>
          <w:lang w:bidi="ar-SA"/>
        </w:rPr>
        <w:t>»</w:t>
      </w:r>
      <w:r>
        <w:rPr>
          <w:rStyle w:val="FootnoteAnchor"/>
          <w:rtl w:val="true"/>
        </w:rPr>
        <w:footnoteReference w:id="2627"/>
      </w:r>
      <w:r>
        <w:rPr>
          <w:rFonts w:ascii="IRNazanin" w:hAnsi="IRNazanin" w:eastAsia="IRNazanin"/>
          <w:color w:val="111111"/>
          <w:sz w:val="28"/>
          <w:sz w:val="28"/>
          <w:szCs w:val="28"/>
          <w:rtl w:val="true"/>
          <w:lang w:bidi="fa-IR"/>
        </w:rPr>
        <w:t>؟</w:t>
      </w:r>
    </w:p>
    <w:p>
      <w:pPr>
        <w:pStyle w:val="Heading6"/>
        <w:numPr>
          <w:ilvl w:val="5"/>
          <w:numId w:val="1"/>
        </w:numPr>
        <w:rPr/>
      </w:pPr>
      <w:bookmarkStart w:id="472" w:name="__RefHeading___Toc964329_2320776876"/>
      <w:bookmarkStart w:id="473" w:name="_Toc168"/>
      <w:bookmarkEnd w:id="472"/>
      <w:r>
        <w:rPr>
          <w:rtl w:val="true"/>
        </w:rPr>
        <w:t>بيان انفصال منزلة خلافة هارون لموسىٰ في حياته، عن منزلة خلافته له بعد وفاته</w:t>
      </w:r>
      <w:bookmarkEnd w:id="47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الذي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لَيسَ بصحيحٍ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r>
        <w:rPr>
          <w:rStyle w:val="FootnoteAnchor"/>
          <w:rtl w:val="true"/>
        </w:rPr>
        <w:footnoteReference w:id="2628"/>
      </w:r>
      <w:r>
        <w:rPr>
          <w:rFonts w:ascii="Amiri" w:hAnsi="Amiri" w:eastAsia="Amiri" w:cs="Amiri"/>
          <w:color w:val="111111"/>
          <w:sz w:val="28"/>
          <w:sz w:val="28"/>
          <w:szCs w:val="28"/>
          <w:rtl w:val="true"/>
          <w:lang w:bidi="ar-SA"/>
        </w:rPr>
        <w:t>أن يُرتَّبَ الكلامُ عليه</w:t>
      </w:r>
      <w:r>
        <w:rPr>
          <w:rStyle w:val="FootnoteAnchor"/>
          <w:rtl w:val="true"/>
        </w:rPr>
        <w:footnoteReference w:id="2629"/>
      </w:r>
    </w:p>
    <w:p>
      <w:pPr>
        <w:pStyle w:val="BookText"/>
        <w:rPr/>
      </w:pPr>
      <w:r>
        <w:rPr>
          <w:rFonts w:ascii="Amiri" w:hAnsi="Amiri" w:eastAsia="Amiri" w:cs="Amiri"/>
          <w:color w:val="111111"/>
          <w:sz w:val="28"/>
          <w:sz w:val="28"/>
          <w:szCs w:val="28"/>
          <w:rtl w:val="true"/>
          <w:lang w:bidi="ar-SA"/>
        </w:rPr>
        <w:t>علىٰ وجهٍ يَلزَمُ معه الانفصالُ‌، فيُقالَ‌</w:t>
      </w:r>
      <w:r>
        <w:rPr>
          <w:rStyle w:val="FootnoteAnchor"/>
          <w:rtl w:val="true"/>
        </w:rPr>
        <w:footnoteReference w:id="2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قد صَرَّحتم فيما مَضىٰ مِن كلامِكم بأنّ استخلافَ موسىٰ لأخيه هارونَ لَو لَم يَثبُتْ لَكانَ استدلالُكم علَى النَّصِّ مع فَقدِه</w:t>
      </w:r>
      <w:r>
        <w:rPr>
          <w:rStyle w:val="FootnoteAnchor"/>
          <w:rtl w:val="true"/>
        </w:rPr>
        <w:footnoteReference w:id="2631"/>
      </w:r>
      <w:r>
        <w:rPr>
          <w:rFonts w:ascii="Amiri" w:hAnsi="Amiri" w:eastAsia="Amiri" w:cs="Amiri"/>
          <w:color w:val="111111"/>
          <w:sz w:val="28"/>
          <w:sz w:val="28"/>
          <w:szCs w:val="28"/>
          <w:rtl w:val="true"/>
          <w:lang w:bidi="ar-SA"/>
        </w:rPr>
        <w:t>متوَجِّهاً؛ باعتبارِ ما يَجِبُ لهارونَ مِن فَرضِ الطاعةِ علىٰ أُمّةِ موسىٰ في حياتِه، و وجوبِ استمرارِ ذلكَ لَو بَقيَ إلىٰ بَعدِ وفاتِه، و إن كانَ مِن مُقتَضَى النبوّةِ‌</w:t>
      </w:r>
      <w:r>
        <w:rPr>
          <w:rFonts w:eastAsia="Amiri" w:cs="Amiri" w:ascii="Amiri" w:hAnsi="Amiri"/>
          <w:color w:val="111111"/>
          <w:sz w:val="28"/>
          <w:szCs w:val="28"/>
          <w:rtl w:val="true"/>
          <w:lang w:bidi="ar-SA"/>
        </w:rPr>
        <w:t>.</w:t>
      </w:r>
      <w:r>
        <w:rPr>
          <w:rStyle w:val="FootnoteAnchor"/>
          <w:rtl w:val="true"/>
        </w:rPr>
        <w:footnoteReference w:id="2632"/>
      </w:r>
    </w:p>
    <w:p>
      <w:pPr>
        <w:pStyle w:val="BookText"/>
        <w:rPr/>
      </w:pPr>
      <w:r>
        <w:rPr>
          <w:rFonts w:ascii="Amiri" w:hAnsi="Amiri" w:eastAsia="Amiri" w:cs="Amiri"/>
          <w:color w:val="111111"/>
          <w:sz w:val="28"/>
          <w:sz w:val="28"/>
          <w:szCs w:val="28"/>
          <w:rtl w:val="true"/>
          <w:lang w:bidi="ar-SA"/>
        </w:rPr>
        <w:t>و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غيرُ واجبٍ فيمن جُعِلَ له مِثلُ مَنزِلةِ هارونَ مِن موسىٰ في بابِ فَرضِ الطاعةِ أن يَكونَ مُشارِكاً له في سببِ 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مِن هذا الوجهِ أنّ هارونَ كانَ يَجِبُ له فَرضُ الطاعةِ بَعدَ موسىٰ لِمكانِ نُبوّتِه علىٰ سَبيلِ الاستمرارِ لا التجدُّدِ، و يَلزَمُكم الجوابُ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يَتوجَّهَ مِن وَجهٍ آخَرَ؛ و هو أنّ هارونَ إذا كانَ خَليفةً لِموسىٰ في حياتِه</w:t>
      </w:r>
      <w:r>
        <w:rPr>
          <w:rStyle w:val="FootnoteAnchor"/>
          <w:rtl w:val="true"/>
        </w:rPr>
        <w:footnoteReference w:id="2633"/>
      </w:r>
      <w:r>
        <w:rPr>
          <w:rFonts w:ascii="Amiri" w:hAnsi="Amiri" w:eastAsia="Amiri" w:cs="Amiri"/>
          <w:color w:val="111111"/>
          <w:sz w:val="28"/>
          <w:sz w:val="28"/>
          <w:szCs w:val="28"/>
          <w:rtl w:val="true"/>
          <w:lang w:bidi="ar-SA"/>
        </w:rPr>
        <w:t>، و أوجَبتم</w:t>
      </w:r>
      <w:r>
        <w:rPr>
          <w:rStyle w:val="FootnoteAnchor"/>
          <w:rtl w:val="true"/>
        </w:rPr>
        <w:footnoteReference w:id="2634"/>
      </w:r>
      <w:r>
        <w:rPr>
          <w:rFonts w:ascii="Amiri" w:hAnsi="Amiri" w:eastAsia="Amiri" w:cs="Amiri"/>
          <w:color w:val="111111"/>
          <w:sz w:val="28"/>
          <w:sz w:val="28"/>
          <w:szCs w:val="28"/>
          <w:rtl w:val="true"/>
          <w:lang w:bidi="ar-SA"/>
        </w:rPr>
        <w:t>خِلافتَه لَو بَقيَ بَعدَه لِما ذَكرتموه مِن التنفيرِ</w:t>
      </w:r>
      <w:r>
        <w:rPr>
          <w:rStyle w:val="FootnoteAnchor"/>
          <w:rtl w:val="true"/>
        </w:rPr>
        <w:footnoteReference w:id="2635"/>
      </w:r>
      <w:r>
        <w:rPr>
          <w:rFonts w:ascii="Amiri" w:hAnsi="Amiri" w:eastAsia="Amiri" w:cs="Amiri"/>
          <w:color w:val="111111"/>
          <w:sz w:val="28"/>
          <w:sz w:val="28"/>
          <w:szCs w:val="28"/>
          <w:rtl w:val="true"/>
          <w:lang w:bidi="ar-SA"/>
        </w:rPr>
        <w:t xml:space="preserve">، فلا بُدَّ مِن ثُبوتِ الخِلافةِ في جميعِ أحوالِ الحياةِ علَى استقبالِ استخلافِ أخيه له بالوجهِ الذي أوجَبتم به حصولَها بَعدَ الوفاةِ ؛ و إذا حَصَلَت هذه المَنزِلةُ لهارونَ مُستَمِرّةً غيرَ مُتجدِّدةٍ </w:t>
      </w:r>
      <w:r>
        <w:rPr>
          <w:rStyle w:val="FootnoteAnchor"/>
          <w:rtl w:val="true"/>
        </w:rPr>
        <w:footnoteReference w:id="2636"/>
      </w:r>
      <w:r>
        <w:rPr>
          <w:rFonts w:ascii="Amiri" w:hAnsi="Amiri" w:eastAsia="Amiri" w:cs="Amiri"/>
          <w:color w:val="111111"/>
          <w:sz w:val="28"/>
          <w:sz w:val="28"/>
          <w:szCs w:val="28"/>
          <w:rtl w:val="true"/>
          <w:lang w:bidi="ar-SA"/>
        </w:rPr>
        <w:t>، و لَم يُمكِنْ بأن تَجعَلوا</w:t>
      </w:r>
      <w:r>
        <w:rPr>
          <w:rStyle w:val="FootnoteAnchor"/>
          <w:rtl w:val="true"/>
        </w:rPr>
        <w:footnoteReference w:id="2637"/>
      </w:r>
      <w:r>
        <w:rPr>
          <w:rFonts w:ascii="Amiri" w:hAnsi="Amiri" w:eastAsia="Amiri" w:cs="Amiri"/>
          <w:color w:val="111111"/>
          <w:sz w:val="28"/>
          <w:sz w:val="28"/>
          <w:szCs w:val="28"/>
          <w:rtl w:val="true"/>
          <w:lang w:bidi="ar-SA"/>
        </w:rPr>
        <w:t xml:space="preserve">حالَ أميرِالمؤمنينَ عليه السلامُ فيها كحالِه، لَزِمَكم الكلامُ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الجوابُ عن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رُتِّبَ الترتيبَ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لا مُعتَبَرَ في ثُبوتِ مَنزِلةِ الخِلافةِ لهارونَ بَعدَ وفاةِ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باستمرارِ هذه المَنزِلةِ أو تَجدُّدِها؛ فلا فَرقَ في الوجهِ الذي قَصَدناه</w:t>
      </w:r>
      <w:r>
        <w:rPr>
          <w:rStyle w:val="FootnoteAnchor"/>
          <w:rtl w:val="true"/>
        </w:rPr>
        <w:footnoteReference w:id="2638"/>
      </w:r>
      <w:r>
        <w:rPr>
          <w:rFonts w:ascii="Amiri" w:hAnsi="Amiri" w:eastAsia="Amiri" w:cs="Amiri"/>
          <w:color w:val="111111"/>
          <w:sz w:val="28"/>
          <w:sz w:val="28"/>
          <w:szCs w:val="28"/>
          <w:rtl w:val="true"/>
          <w:lang w:bidi="ar-SA"/>
        </w:rPr>
        <w:t>بَينَ الأمرَينِ‌؛ لأنّ مَنزِلةَ الخِلافةِ‌</w:t>
      </w:r>
      <w:r>
        <w:rPr>
          <w:rStyle w:val="FootnoteAnchor"/>
          <w:rtl w:val="true"/>
        </w:rPr>
        <w:footnoteReference w:id="2639"/>
      </w:r>
      <w:r>
        <w:rPr>
          <w:rFonts w:ascii="Amiri" w:hAnsi="Amiri" w:eastAsia="Amiri" w:cs="Amiri"/>
          <w:color w:val="111111"/>
          <w:sz w:val="28"/>
          <w:sz w:val="28"/>
          <w:szCs w:val="28"/>
          <w:rtl w:val="true"/>
          <w:lang w:bidi="ar-SA"/>
        </w:rPr>
        <w:t>في الحياةِ كالمُنفَصِلةِ مِن مَنزِلةِ الخِلافةِ بَعدَ الوفاةِ‌، بَل حصولُها في كُلِّ حالٍ كالمُنفَصِلِ مِن الحالِ الأُخرىٰ‌؛ لِجَوازِ أن يَثبُتَ‌</w:t>
      </w:r>
      <w:r>
        <w:rPr>
          <w:rStyle w:val="FootnoteAnchor"/>
          <w:rtl w:val="true"/>
        </w:rPr>
        <w:footnoteReference w:id="2640"/>
      </w:r>
      <w:r>
        <w:rPr>
          <w:rFonts w:ascii="Amiri" w:hAnsi="Amiri" w:eastAsia="Amiri" w:cs="Amiri"/>
          <w:color w:val="111111"/>
          <w:sz w:val="28"/>
          <w:sz w:val="28"/>
          <w:szCs w:val="28"/>
          <w:rtl w:val="true"/>
          <w:lang w:bidi="ar-SA"/>
        </w:rPr>
        <w:t>في إحدَى الحالتَينِ و لا يَثبُتَ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حالُ الخِلافةِ في الحالَينِ علىٰ ما ذَكرناه مِن الانفصالِ‌، لَم يَمتَنِعْ أن يَقَعَ التشبيهُ بإحداهُما دونَ الأُخرىٰ‌، و يُجعَلَ للمُشبَّهِ بهارونَ‌</w:t>
      </w:r>
      <w:r>
        <w:rPr>
          <w:rStyle w:val="FootnoteAnchor"/>
          <w:rtl w:val="true"/>
        </w:rPr>
        <w:footnoteReference w:id="2641"/>
      </w:r>
      <w:r>
        <w:rPr>
          <w:rFonts w:ascii="Amiri" w:hAnsi="Amiri" w:eastAsia="Amiri" w:cs="Amiri"/>
          <w:color w:val="111111"/>
          <w:sz w:val="28"/>
          <w:sz w:val="28"/>
          <w:szCs w:val="28"/>
          <w:rtl w:val="true"/>
          <w:lang w:bidi="ar-SA"/>
        </w:rPr>
        <w:t>عليه السلامُ مَنزِلةُ الوفاةِ دونَ ما يَجِبُ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هارونَ لَو بَقيَ لَوَجَبَ أن يَكونَ كما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مَنزِلةَ الخِلافةِ كانَت تَثبُتُ له في الحالَينِ ، و يَنضافُ إلىٰ ثُبوتِها</w:t>
      </w:r>
    </w:p>
    <w:p>
      <w:pPr>
        <w:pStyle w:val="BookText"/>
        <w:rPr/>
      </w:pPr>
      <w:r>
        <w:rPr>
          <w:rFonts w:ascii="Amiri" w:hAnsi="Amiri" w:eastAsia="Amiri" w:cs="Amiri"/>
          <w:color w:val="111111"/>
          <w:sz w:val="28"/>
          <w:sz w:val="28"/>
          <w:szCs w:val="28"/>
          <w:rtl w:val="true"/>
          <w:lang w:bidi="ar-SA"/>
        </w:rPr>
        <w:t xml:space="preserve">في الحياةِ ثُبوتُها بَعدَ الوفاةِ ، و غيرُ واجبٍ فيمن جُعِلَ بمَثابةِ هارونَ أن لا يَصِحَّ ذلكَ فيه إلّابَعدَ ثُبوتِ المَنزِلتَينِ له في كِلتا الحالتَينِ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يَكشِفُ عن</w:t>
      </w:r>
      <w:r>
        <w:rPr>
          <w:rStyle w:val="FootnoteAnchor"/>
          <w:rtl w:val="true"/>
        </w:rPr>
        <w:footnoteReference w:id="2642"/>
      </w:r>
      <w:r>
        <w:rPr>
          <w:rFonts w:ascii="Amiri" w:hAnsi="Amiri" w:eastAsia="Amiri" w:cs="Amiri"/>
          <w:color w:val="111111"/>
          <w:sz w:val="28"/>
          <w:sz w:val="28"/>
          <w:szCs w:val="28"/>
          <w:rtl w:val="true"/>
          <w:lang w:bidi="ar-SA"/>
        </w:rPr>
        <w:t>صِحّةِ قولِنا و بُطلانِ‌</w:t>
      </w:r>
      <w:r>
        <w:rPr>
          <w:rStyle w:val="FootnoteAnchor"/>
          <w:rtl w:val="true"/>
        </w:rPr>
        <w:footnoteReference w:id="2643"/>
      </w:r>
      <w:r>
        <w:rPr>
          <w:rFonts w:ascii="Amiri" w:hAnsi="Amiri" w:eastAsia="Amiri" w:cs="Amiri"/>
          <w:color w:val="111111"/>
          <w:sz w:val="28"/>
          <w:sz w:val="28"/>
          <w:szCs w:val="28"/>
          <w:rtl w:val="true"/>
          <w:lang w:bidi="ar-SA"/>
        </w:rPr>
        <w:t xml:space="preserve">ما اعتَبَرَه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أحَدَنا لَو قالَ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اليَومَ بمَنزِلةِ فُلانٍ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أحَدُ اللذَينِ أشارَ إليهما وَكيلاً لصاحِبِه وَكالةً مُتقدِّمةً مُستَمِرّةً إلَى الوقتِ الذي وَقَعَ فيه القولُ الذي حَكَيناه، لَكانَ قد</w:t>
      </w:r>
      <w:r>
        <w:rPr>
          <w:rStyle w:val="FootnoteAnchor"/>
          <w:rtl w:val="true"/>
        </w:rPr>
        <w:footnoteReference w:id="2644"/>
      </w:r>
      <w:r>
        <w:rPr>
          <w:rFonts w:ascii="Amiri" w:hAnsi="Amiri" w:eastAsia="Amiri" w:cs="Amiri"/>
          <w:color w:val="111111"/>
          <w:sz w:val="28"/>
          <w:sz w:val="28"/>
          <w:szCs w:val="28"/>
          <w:rtl w:val="true"/>
          <w:lang w:bidi="ar-SA"/>
        </w:rPr>
        <w:t xml:space="preserve">أوجَبَ بكلامِه كَونَ </w:t>
      </w:r>
      <w:r>
        <w:rPr>
          <w:rStyle w:val="FootnoteAnchor"/>
          <w:rtl w:val="true"/>
        </w:rPr>
        <w:footnoteReference w:id="2645"/>
      </w:r>
      <w:r>
        <w:rPr>
          <w:rFonts w:ascii="Amiri" w:hAnsi="Amiri" w:eastAsia="Amiri" w:cs="Amiri"/>
          <w:color w:val="111111"/>
          <w:sz w:val="28"/>
          <w:sz w:val="28"/>
          <w:szCs w:val="28"/>
          <w:rtl w:val="true"/>
          <w:lang w:bidi="ar-SA"/>
        </w:rPr>
        <w:t xml:space="preserve">مَن جَعَلَ له مَنزِلةَ الوكيلِ وَكيلاً له علَى استقبالِ </w:t>
      </w:r>
    </w:p>
    <w:p>
      <w:pPr>
        <w:pStyle w:val="BookText"/>
        <w:rPr/>
      </w:pPr>
      <w:r>
        <w:rPr>
          <w:rFonts w:ascii="Amiri" w:hAnsi="Amiri" w:eastAsia="Amiri" w:cs="Amiri"/>
          <w:color w:val="111111"/>
          <w:sz w:val="28"/>
          <w:sz w:val="28"/>
          <w:szCs w:val="28"/>
          <w:rtl w:val="true"/>
          <w:lang w:bidi="ar-SA"/>
        </w:rPr>
        <w:t>الوقتِ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لأحَدٍ أن يَنفيَ وَكالتَه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جُعِلَ له مِثلُ مَنزِلتِه</w:t>
      </w:r>
      <w:r>
        <w:rPr>
          <w:rStyle w:val="FootnoteAnchor"/>
          <w:rtl w:val="true"/>
        </w:rPr>
        <w:footnoteReference w:id="2646"/>
      </w:r>
      <w:r>
        <w:rPr>
          <w:rFonts w:ascii="Amiri" w:hAnsi="Amiri" w:eastAsia="Amiri" w:cs="Amiri"/>
          <w:color w:val="111111"/>
          <w:sz w:val="28"/>
          <w:sz w:val="28"/>
          <w:szCs w:val="28"/>
          <w:rtl w:val="true"/>
          <w:lang w:bidi="ar-SA"/>
        </w:rPr>
        <w:t>حالُه اليَومَ كحالِه فيما تَقدَّمَ‌، فيَجِبُ إذا جَعَلنا حالَ الآخَرِ كحالِه أن لا يَكونَ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المُعتَرِضُ بمِثلِ هذا القولِ عندَ جميعِ العقلاءِ مُستَنقَصَ الفَهمِ و الفِطنةِ‌، لا لِشَيءٍ إلّالِما ذَكرناه مِن أنّه لا اعتبارَ باستمرارِ الوَكالةِ و تَجدُّدِها</w:t>
      </w:r>
      <w:r>
        <w:rPr>
          <w:rStyle w:val="FootnoteAnchor"/>
          <w:rtl w:val="true"/>
        </w:rPr>
        <w:footnoteReference w:id="2647"/>
      </w:r>
      <w:r>
        <w:rPr>
          <w:rFonts w:ascii="Amiri" w:hAnsi="Amiri" w:eastAsia="Amiri" w:cs="Amiri"/>
          <w:color w:val="111111"/>
          <w:sz w:val="28"/>
          <w:sz w:val="28"/>
          <w:szCs w:val="28"/>
          <w:rtl w:val="true"/>
          <w:lang w:bidi="ar-SA"/>
        </w:rPr>
        <w:t>، و المُعتَبَرُ بأن يَثبُتَ لِمَن جُعِلَ لغَيرِه مِثلُ مَنزِلتِه في الحالِ التي أُشيرَ إليها، و ثُبوتُها فيما تَقدَّمَ هذه الحالَ كانتفائها في الوجهِ المقصودِ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أنّه لا مُعتَبَرَ باستمرارِ المَنزِلةِ و تَجدُّدِها، فكذلكَ لا مُعتَبَرَ باختلافِ سببِها؛ لأنّا قد بيّنّا فيما مضىٰ أنّ التسويةَ بَينَ الاثنَينِ في العَطيّةِ لا توجِبُ اتّفاقَ جِهةِ عَطيّتِهما</w:t>
      </w:r>
      <w:r>
        <w:rPr>
          <w:rStyle w:val="FootnoteAnchor"/>
          <w:rtl w:val="true"/>
        </w:rPr>
        <w:footnoteReference w:id="2648"/>
      </w:r>
      <w:r>
        <w:rPr>
          <w:rFonts w:ascii="Amiri" w:hAnsi="Amiri" w:eastAsia="Amiri" w:cs="Amiri"/>
          <w:color w:val="111111"/>
          <w:sz w:val="28"/>
          <w:sz w:val="28"/>
          <w:szCs w:val="28"/>
          <w:rtl w:val="true"/>
          <w:lang w:bidi="ar-SA"/>
        </w:rPr>
        <w:t xml:space="preserve">، بَل لا يَمتَنِعُ أن يَختَلِفا في الجِهةِ و السببِ و إنِ اتَّفَقا في العَطيّةِ </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أوجَبنا لأميرِ المؤمنينَ عليه السلامُ مِن المَنازِلِ مَنزِلةَ الخِلافةِ بَعدَ الوفاةِ ، و لَم نوجِبِ استمرارَ الخِلافةِ في الحياةِ ؛ لأنّ ما يَمنَعُ مِن إثباتِ إحدَى المَنزِلتَينِ لا يَمنَعُ مِن الأُخرىٰ ؛ فأوجَبنا ما لا يَمنَعُ الدليلُ منه باللفظِ، و أخرَجنا ما مَنَعَ منه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في أصحابِنا مَن ذَهَبَ إلَى استمرارِ خِلافةِ أميرِ المؤمنينَ عليه السلامُ و استحقاقِه التصرُّفَ </w:t>
      </w:r>
      <w:r>
        <w:rPr>
          <w:rStyle w:val="FootnoteAnchor"/>
          <w:rtl w:val="true"/>
        </w:rPr>
        <w:footnoteReference w:id="2650"/>
      </w:r>
      <w:r>
        <w:rPr>
          <w:rFonts w:ascii="Amiri" w:hAnsi="Amiri" w:eastAsia="Amiri" w:cs="Amiri"/>
          <w:color w:val="111111"/>
          <w:sz w:val="28"/>
          <w:sz w:val="28"/>
          <w:szCs w:val="28"/>
          <w:rtl w:val="true"/>
          <w:lang w:bidi="ar-SA"/>
        </w:rPr>
        <w:t>فيما يَتصرَّفُ فيه الأئمّةُ في الحالِ ، مِن ابتداءِ وقوعِ النَّصِّ عليه إلىٰ آخِرِ مُدّةِ حَياتِه عليه السلامُ ؛ غيرَ أنّهم يَمتَنِعونَ مِن أنْ يُسَمّوه</w:t>
      </w:r>
      <w:r>
        <w:rPr>
          <w:rStyle w:val="FootnoteAnchor"/>
          <w:rtl w:val="true"/>
        </w:rPr>
        <w:footnoteReference w:id="2651"/>
      </w:r>
      <w:r>
        <w:rPr>
          <w:rFonts w:ascii="Amiri" w:hAnsi="Amiri" w:eastAsia="Amiri" w:cs="Amiri"/>
          <w:color w:val="111111"/>
          <w:sz w:val="28"/>
          <w:sz w:val="28"/>
          <w:szCs w:val="28"/>
          <w:rtl w:val="true"/>
          <w:lang w:bidi="ar-SA"/>
        </w:rPr>
        <w:t xml:space="preserve">إماماً؛ لأنّ الإمامَ هو الذي لا يَدَ فوقَ يَدِه، و لا يَتصرَّفُ فيما يَتصرَّفُ فيه الأئمّةُ علىٰ </w:t>
      </w:r>
    </w:p>
    <w:p>
      <w:pPr>
        <w:pStyle w:val="BookText"/>
        <w:rPr/>
      </w:pPr>
      <w:r>
        <w:rPr>
          <w:rFonts w:ascii="Amiri" w:hAnsi="Amiri" w:eastAsia="Amiri" w:cs="Amiri"/>
          <w:color w:val="111111"/>
          <w:sz w:val="28"/>
          <w:sz w:val="28"/>
          <w:szCs w:val="28"/>
          <w:rtl w:val="true"/>
          <w:lang w:bidi="ar-SA"/>
        </w:rPr>
        <w:t>سَبيلِ الخِلافةِ لغَيرِه و النيابةِ عنه و هو حَيٌّ‌، فيَمتَنِعونَ مِن تَسميتِه عليه السلامُ بالإمامِ‌</w:t>
      </w:r>
      <w:r>
        <w:rPr>
          <w:rStyle w:val="FootnoteAnchor"/>
          <w:rtl w:val="true"/>
        </w:rPr>
        <w:footnoteReference w:id="2652"/>
      </w:r>
      <w:r>
        <w:rPr>
          <w:rFonts w:ascii="Amiri" w:hAnsi="Amiri" w:eastAsia="Amiri" w:cs="Amiri"/>
          <w:color w:val="111111"/>
          <w:sz w:val="28"/>
          <w:sz w:val="28"/>
          <w:szCs w:val="28"/>
          <w:rtl w:val="true"/>
          <w:lang w:bidi="ar-SA"/>
        </w:rPr>
        <w:t>في حالِ حياةِ الرسولِ صَلَّى اللّٰهُ عليه و آلِه</w:t>
      </w:r>
      <w:r>
        <w:rPr>
          <w:rStyle w:val="FootnoteAnchor"/>
          <w:rtl w:val="true"/>
        </w:rPr>
        <w:footnoteReference w:id="2653"/>
      </w:r>
      <w:r>
        <w:rPr>
          <w:rFonts w:ascii="Amiri" w:hAnsi="Amiri" w:eastAsia="Amiri" w:cs="Amiri"/>
          <w:color w:val="111111"/>
          <w:sz w:val="28"/>
          <w:sz w:val="28"/>
          <w:szCs w:val="28"/>
          <w:rtl w:val="true"/>
          <w:lang w:bidi="ar-SA"/>
        </w:rPr>
        <w:t>لِما ذَكرناه، و يُجرونَ‌</w:t>
      </w:r>
      <w:r>
        <w:rPr>
          <w:rStyle w:val="FootnoteAnchor"/>
          <w:rtl w:val="true"/>
        </w:rPr>
        <w:footnoteReference w:id="2654"/>
      </w:r>
      <w:r>
        <w:rPr>
          <w:rFonts w:ascii="Amiri" w:hAnsi="Amiri" w:eastAsia="Amiri" w:cs="Amiri"/>
          <w:color w:val="111111"/>
          <w:sz w:val="28"/>
          <w:sz w:val="28"/>
          <w:szCs w:val="28"/>
          <w:rtl w:val="true"/>
          <w:lang w:bidi="ar-SA"/>
        </w:rPr>
        <w:t xml:space="preserve">الاسمَ بَعدَ الوفاةِ لزوالِ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ذَهَبَ إلىٰ هذا المَذهبِ فقَد أثبَتَ لأميرِ المؤمنينَ عليه السلامُ مِثلَ ما ثَبَتَ </w:t>
      </w:r>
      <w:r>
        <w:rPr>
          <w:rStyle w:val="FootnoteAnchor"/>
          <w:rtl w:val="true"/>
        </w:rPr>
        <w:footnoteReference w:id="2655"/>
      </w:r>
      <w:r>
        <w:rPr>
          <w:rFonts w:ascii="Amiri" w:hAnsi="Amiri" w:eastAsia="Amiri" w:cs="Amiri"/>
          <w:color w:val="111111"/>
          <w:sz w:val="28"/>
          <w:sz w:val="28"/>
          <w:szCs w:val="28"/>
          <w:rtl w:val="true"/>
          <w:lang w:bidi="ar-SA"/>
        </w:rPr>
        <w:t xml:space="preserve">لهارونَ مِن استمرارِ الخِلافةِ ، و سَقَطَ عنه تَكلُّفُ ما ذَكرناه في أوّلِ الفَصلِ </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فلَو ثَبَتَ لعَليٍّ عليه السلامُ بالاستخلافِ ما يَقتَضي كَونَه إماماً بَعدَه، لَوَجَبَ أن يَكونَ له أن يُقيمَ الحدودَ، و يَقومَ بسائرِ</w:t>
      </w:r>
      <w:r>
        <w:rPr>
          <w:rStyle w:val="FootnoteAnchor"/>
          <w:rtl w:val="true"/>
        </w:rPr>
        <w:footnoteReference w:id="2657"/>
      </w:r>
      <w:r>
        <w:rPr>
          <w:rFonts w:ascii="Amiri" w:hAnsi="Amiri" w:eastAsia="Amiri" w:cs="Amiri"/>
          <w:color w:val="111111"/>
          <w:sz w:val="28"/>
          <w:sz w:val="28"/>
          <w:szCs w:val="28"/>
          <w:rtl w:val="true"/>
          <w:lang w:bidi="ar-SA"/>
        </w:rPr>
        <w:t xml:space="preserve">ما يَقومُ به الأئمّةُ في حياتِه صَلَّى اللّٰهُ عليه و آلِه مِن غيرِ إذنٍ و أمرٍ؛ و نَحنُ نَعلَمُ أنّ ذلكَ لَم يَكُن له عليه السلامُ في حياتِه، و أنّ حالَه في أنّه كانَ يَفعَلُ ذلكَ بأمرٍ حالُ غيرِه؛ فكَيفَ </w:t>
      </w:r>
      <w:r>
        <w:rPr>
          <w:rStyle w:val="FootnoteAnchor"/>
          <w:rtl w:val="true"/>
        </w:rPr>
        <w:footnoteReference w:id="2658"/>
      </w:r>
      <w:r>
        <w:rPr>
          <w:rFonts w:ascii="Amiri" w:hAnsi="Amiri" w:eastAsia="Amiri" w:cs="Amiri"/>
          <w:color w:val="111111"/>
          <w:sz w:val="28"/>
          <w:sz w:val="28"/>
          <w:szCs w:val="28"/>
          <w:rtl w:val="true"/>
          <w:lang w:bidi="ar-SA"/>
        </w:rPr>
        <w:t>يُمكِنُهم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بحَقِّ الاستخلافِ يَكونُ </w:t>
      </w:r>
      <w:r>
        <w:rPr>
          <w:rStyle w:val="FootnoteAnchor"/>
          <w:rtl w:val="true"/>
        </w:rPr>
        <w:footnoteReference w:id="2659"/>
      </w:r>
      <w:r>
        <w:rPr>
          <w:rFonts w:ascii="Amiri" w:hAnsi="Amiri" w:eastAsia="Amiri" w:cs="Amiri"/>
          <w:color w:val="111111"/>
          <w:sz w:val="28"/>
          <w:sz w:val="28"/>
          <w:szCs w:val="28"/>
          <w:rtl w:val="true"/>
          <w:lang w:bidi="ar-SA"/>
        </w:rPr>
        <w:t>إماماً بَعدَه ؟</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في ذلكَ ما تَقولونَ في الإمامِ إذا استَخلَفَ غيرَه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الاستخلافِ مُعتَبَرٌ عندَنا؛ فإذا كانَ السببُ الغَيبةَ </w:t>
      </w:r>
      <w:r>
        <w:rPr>
          <w:rStyle w:val="FootnoteAnchor"/>
          <w:rtl w:val="true"/>
        </w:rPr>
        <w:footnoteReference w:id="2660"/>
      </w:r>
    </w:p>
    <w:p>
      <w:pPr>
        <w:pStyle w:val="BookText"/>
        <w:rPr/>
      </w:pPr>
      <w:r>
        <w:rPr>
          <w:rFonts w:ascii="Amiri" w:hAnsi="Amiri" w:eastAsia="Amiri" w:cs="Amiri"/>
          <w:color w:val="111111"/>
          <w:sz w:val="28"/>
          <w:sz w:val="28"/>
          <w:szCs w:val="28"/>
          <w:rtl w:val="true"/>
          <w:lang w:bidi="ar-SA"/>
        </w:rPr>
        <w:t>كانَ له أن يَقومَ بهذه الأُمورِ بَعدَ الغَيبةِ‌، و إذا كانَ السببُ خَوفَ‌</w:t>
      </w:r>
      <w:r>
        <w:rPr>
          <w:rStyle w:val="FootnoteAnchor"/>
          <w:rtl w:val="true"/>
        </w:rPr>
        <w:footnoteReference w:id="2661"/>
      </w:r>
      <w:r>
        <w:rPr>
          <w:rFonts w:ascii="Amiri" w:hAnsi="Amiri" w:eastAsia="Amiri" w:cs="Amiri"/>
          <w:color w:val="111111"/>
          <w:sz w:val="28"/>
          <w:sz w:val="28"/>
          <w:szCs w:val="28"/>
          <w:rtl w:val="true"/>
          <w:lang w:bidi="ar-SA"/>
        </w:rPr>
        <w:t>المَوتِ فإنّما يَكونُ له ذلكَ بَعدَ المَوتِ‌، و يَكونُ حالُ حياتِه</w:t>
      </w:r>
      <w:r>
        <w:rPr>
          <w:rStyle w:val="FootnoteAnchor"/>
          <w:rtl w:val="true"/>
        </w:rPr>
        <w:footnoteReference w:id="2662"/>
      </w:r>
      <w:r>
        <w:rPr>
          <w:rFonts w:ascii="Amiri" w:hAnsi="Amiri" w:eastAsia="Amiri" w:cs="Amiri"/>
          <w:color w:val="111111"/>
          <w:sz w:val="28"/>
          <w:sz w:val="28"/>
          <w:szCs w:val="28"/>
          <w:rtl w:val="true"/>
          <w:lang w:bidi="ar-SA"/>
        </w:rPr>
        <w:t>خارجةً مِن الاستخلافِ‌، كَما أنّ حالَ المُقامِ‌</w:t>
      </w:r>
      <w:r>
        <w:rPr>
          <w:rStyle w:val="FootnoteAnchor"/>
          <w:rtl w:val="true"/>
        </w:rPr>
        <w:footnoteReference w:id="2663"/>
      </w:r>
      <w:r>
        <w:rPr>
          <w:rFonts w:ascii="Amiri" w:hAnsi="Amiri" w:eastAsia="Amiri" w:cs="Amiri"/>
          <w:color w:val="111111"/>
          <w:sz w:val="28"/>
          <w:sz w:val="28"/>
          <w:szCs w:val="28"/>
          <w:rtl w:val="true"/>
          <w:lang w:bidi="ar-SA"/>
        </w:rPr>
        <w:t>خارجةٌ مِن الاستخلافِ‌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قولُكم؛ لأنّكم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استَخلَفَه عليه السلامُ في حالِ الحياةِ‌</w:t>
      </w:r>
      <w:r>
        <w:rPr>
          <w:rStyle w:val="FootnoteAnchor"/>
          <w:rtl w:val="true"/>
        </w:rPr>
        <w:footnoteReference w:id="2664"/>
      </w:r>
      <w:r>
        <w:rPr>
          <w:rFonts w:ascii="Amiri" w:hAnsi="Amiri" w:eastAsia="Amiri" w:cs="Amiri"/>
          <w:color w:val="111111"/>
          <w:sz w:val="28"/>
          <w:sz w:val="28"/>
          <w:szCs w:val="28"/>
          <w:rtl w:val="true"/>
          <w:lang w:bidi="ar-SA"/>
        </w:rPr>
        <w:t>مُطلَقاً وَجَبَ أن يَكونَ مُستَمِرّاً إلىٰ بَعدِ المَوتِ‌، و ذلكَ يوجِبُ أن يَكونَ إماماً؛ فلَزِمَكم ما أورَدناه عليكم؛ لأنّه لا يُمكِنُكم أن تَقولوا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استَفادَ</w:t>
      </w:r>
      <w:r>
        <w:rPr>
          <w:rStyle w:val="FootnoteAnchor"/>
          <w:rtl w:val="true"/>
        </w:rPr>
        <w:footnoteReference w:id="2665"/>
      </w:r>
      <w:r>
        <w:rPr>
          <w:rFonts w:ascii="Amiri" w:hAnsi="Amiri" w:eastAsia="Amiri" w:cs="Amiri"/>
          <w:color w:val="111111"/>
          <w:sz w:val="28"/>
          <w:sz w:val="28"/>
          <w:szCs w:val="28"/>
          <w:rtl w:val="true"/>
          <w:lang w:bidi="ar-SA"/>
        </w:rPr>
        <w:t>بالمَوتِ ما لَم يَحصُلْ له</w:t>
      </w:r>
      <w:r>
        <w:rPr>
          <w:rStyle w:val="FootnoteAnchor"/>
          <w:rtl w:val="true"/>
        </w:rPr>
        <w:footnoteReference w:id="2666"/>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إنّما ثَبَتَ‌</w:t>
      </w:r>
      <w:r>
        <w:rPr>
          <w:rStyle w:val="FootnoteAnchor"/>
          <w:rtl w:val="true"/>
        </w:rPr>
        <w:footnoteReference w:id="2667"/>
      </w:r>
      <w:r>
        <w:rPr>
          <w:rFonts w:ascii="Amiri" w:hAnsi="Amiri" w:eastAsia="Amiri" w:cs="Amiri"/>
          <w:color w:val="111111"/>
          <w:sz w:val="28"/>
          <w:sz w:val="28"/>
          <w:szCs w:val="28"/>
          <w:rtl w:val="true"/>
          <w:lang w:bidi="ar-SA"/>
        </w:rPr>
        <w:t>له الوِلايةُ باستمرارِ الوِلايةِ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r>
        <w:rPr>
          <w:rStyle w:val="FootnoteAnchor"/>
          <w:rtl w:val="true"/>
        </w:rPr>
        <w:footnoteReference w:id="2668"/>
      </w:r>
      <w:r>
        <w:rPr>
          <w:rFonts w:ascii="Amiri" w:hAnsi="Amiri" w:eastAsia="Amiri" w:cs="Amiri"/>
          <w:color w:val="111111"/>
          <w:sz w:val="28"/>
          <w:sz w:val="28"/>
          <w:szCs w:val="28"/>
          <w:rtl w:val="true"/>
          <w:lang w:bidi="ar-SA"/>
        </w:rPr>
        <w:t>نَحنُ فإنّما أوجَبنا الوِلايةَ بالمَوتِ كَما أوجَبناها بالغَيبةِ‌؛ فصَحَّ لنا ما ذَكرناه، دونَكم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الوجهِ ألزَمَ شَيخُنا أبو عليٍّ مَن استَدَلَّ بهذا الخبرِ</w:t>
      </w:r>
      <w:r>
        <w:rPr>
          <w:rStyle w:val="FootnoteAnchor"/>
          <w:rtl w:val="true"/>
        </w:rPr>
        <w:footnoteReference w:id="2669"/>
      </w:r>
      <w:r>
        <w:rPr>
          <w:rFonts w:ascii="Amiri" w:hAnsi="Amiri" w:eastAsia="Amiri" w:cs="Amiri"/>
          <w:color w:val="111111"/>
          <w:sz w:val="28"/>
          <w:sz w:val="28"/>
          <w:szCs w:val="28"/>
          <w:rtl w:val="true"/>
          <w:lang w:bidi="ar-SA"/>
        </w:rPr>
        <w:t>إثباتَ‌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إمامةِ أميرِ المؤمنينَ عليه السلامُ </w:t>
      </w:r>
      <w:r>
        <w:rPr>
          <w:rStyle w:val="FootnoteAnchor"/>
          <w:rtl w:val="true"/>
        </w:rPr>
        <w:footnoteReference w:id="2670"/>
      </w:r>
      <w:r>
        <w:rPr>
          <w:rFonts w:ascii="Amiri" w:hAnsi="Amiri" w:eastAsia="Amiri" w:cs="Amiri"/>
          <w:color w:val="111111"/>
          <w:sz w:val="28"/>
          <w:sz w:val="28"/>
          <w:szCs w:val="28"/>
          <w:rtl w:val="true"/>
          <w:lang w:bidi="ar-SA"/>
        </w:rPr>
        <w:t xml:space="preserve">في الحالِ ؛ لأنّه عليه السلامُ أثبَتَ </w:t>
      </w:r>
      <w:r>
        <w:rPr>
          <w:rStyle w:val="FootnoteAnchor"/>
          <w:rtl w:val="true"/>
        </w:rPr>
        <w:footnoteReference w:id="2671"/>
      </w:r>
    </w:p>
    <w:p>
      <w:pPr>
        <w:pStyle w:val="BookText"/>
        <w:rPr/>
      </w:pPr>
      <w:r>
        <w:rPr>
          <w:rFonts w:ascii="Amiri" w:hAnsi="Amiri" w:eastAsia="Amiri" w:cs="Amiri"/>
          <w:color w:val="111111"/>
          <w:sz w:val="28"/>
          <w:sz w:val="28"/>
          <w:szCs w:val="28"/>
          <w:rtl w:val="true"/>
          <w:lang w:bidi="ar-SA"/>
        </w:rPr>
        <w:t>المَنزِلةَ في الوقتِ‌، و إنّما تَثبُتُ‌</w:t>
      </w:r>
      <w:r>
        <w:rPr>
          <w:rStyle w:val="FootnoteAnchor"/>
          <w:rtl w:val="true"/>
        </w:rPr>
        <w:footnoteReference w:id="2672"/>
      </w:r>
      <w:r>
        <w:rPr>
          <w:rFonts w:ascii="Amiri" w:hAnsi="Amiri" w:eastAsia="Amiri" w:cs="Amiri"/>
          <w:color w:val="111111"/>
          <w:sz w:val="28"/>
          <w:sz w:val="28"/>
          <w:szCs w:val="28"/>
          <w:rtl w:val="true"/>
          <w:lang w:bidi="ar-SA"/>
        </w:rPr>
        <w:t>فيما بَعدُ</w:t>
      </w:r>
      <w:r>
        <w:rPr>
          <w:rStyle w:val="FootnoteAnchor"/>
          <w:rtl w:val="true"/>
        </w:rPr>
        <w:footnoteReference w:id="2673"/>
      </w:r>
      <w:r>
        <w:rPr>
          <w:rFonts w:ascii="Amiri" w:hAnsi="Amiri" w:eastAsia="Amiri" w:cs="Amiri"/>
          <w:color w:val="111111"/>
          <w:sz w:val="28"/>
          <w:sz w:val="28"/>
          <w:szCs w:val="28"/>
          <w:rtl w:val="true"/>
          <w:lang w:bidi="ar-SA"/>
        </w:rPr>
        <w:t>علىٰ جِهةِ الدَّوامِ و الاستمرارِ، لا علىٰ وجهِ التجَدُّدِ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r>
        <w:rPr>
          <w:rStyle w:val="FootnoteAnchor"/>
          <w:rtl w:val="true"/>
        </w:rPr>
        <w:footnoteReference w:id="2674"/>
      </w:r>
      <w:r>
        <w:rPr>
          <w:rFonts w:ascii="Amiri" w:hAnsi="Amiri" w:eastAsia="Amiri" w:cs="Amiri"/>
          <w:color w:val="111111"/>
          <w:sz w:val="28"/>
          <w:sz w:val="28"/>
          <w:szCs w:val="28"/>
          <w:rtl w:val="true"/>
          <w:lang w:bidi="ar-SA"/>
        </w:rPr>
        <w:t xml:space="preserve">لَم يَصِحَّ كَونُه إماماً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قَدَّمناه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إماماً مِن بَعدُ؟ و نَحنُ نَعلَمُ أنّه لمّا خَلَّفَه عليه السلامُ بالمَدينةِ‌</w:t>
      </w:r>
      <w:r>
        <w:rPr>
          <w:rStyle w:val="FootnoteAnchor"/>
          <w:rtl w:val="true"/>
        </w:rPr>
        <w:footnoteReference w:id="2675"/>
      </w:r>
      <w:r>
        <w:rPr>
          <w:rFonts w:ascii="Amiri" w:hAnsi="Amiri" w:eastAsia="Amiri" w:cs="Amiri"/>
          <w:color w:val="111111"/>
          <w:sz w:val="28"/>
          <w:sz w:val="28"/>
          <w:szCs w:val="28"/>
          <w:rtl w:val="true"/>
          <w:lang w:bidi="ar-SA"/>
        </w:rPr>
        <w:t>لَم يَجُز أن يُقيمَ الحدودَ في غيرِها، و لا بحَيثُ حَضَرَه</w:t>
      </w:r>
      <w:r>
        <w:rPr>
          <w:rStyle w:val="FootnoteAnchor"/>
          <w:rtl w:val="true"/>
        </w:rPr>
        <w:footnoteReference w:id="2676"/>
      </w:r>
      <w:r>
        <w:rPr>
          <w:rFonts w:ascii="Amiri" w:hAnsi="Amiri" w:eastAsia="Amiri" w:cs="Amiri"/>
          <w:color w:val="111111"/>
          <w:sz w:val="28"/>
          <w:sz w:val="28"/>
          <w:szCs w:val="28"/>
          <w:rtl w:val="true"/>
          <w:lang w:bidi="ar-SA"/>
        </w:rPr>
        <w:t>الرسولُ‌، و لا علَى الذينَ كانوا معه عليه السلامُ‌؛ فكَيفَ يَجوزُ أن يُعَدَّ ذلكَ إمامةً؟</w:t>
      </w:r>
    </w:p>
    <w:p>
      <w:pPr>
        <w:pStyle w:val="BookText"/>
        <w:rPr/>
      </w:pPr>
      <w:r>
        <w:rPr>
          <w:rFonts w:ascii="Amiri" w:hAnsi="Amiri" w:eastAsia="Amiri" w:cs="Amiri"/>
          <w:color w:val="111111"/>
          <w:sz w:val="28"/>
          <w:sz w:val="28"/>
          <w:szCs w:val="28"/>
          <w:rtl w:val="true"/>
          <w:lang w:bidi="ar-SA"/>
        </w:rPr>
        <w:t>و لَو أنّ قائلاً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ثَبَتَ لأميرِ المؤمنينَ عليه السلامُ بحُكمِ هذا القولِ الإِمارةُ المخصوصةُ‌</w:t>
      </w:r>
      <w:r>
        <w:rPr>
          <w:rStyle w:val="FootnoteAnchor"/>
          <w:rtl w:val="true"/>
        </w:rPr>
        <w:footnoteReference w:id="2677"/>
      </w:r>
      <w:r>
        <w:rPr>
          <w:rFonts w:ascii="Amiri" w:hAnsi="Amiri" w:eastAsia="Amiri" w:cs="Amiri"/>
          <w:color w:val="111111"/>
          <w:sz w:val="28"/>
          <w:sz w:val="28"/>
          <w:szCs w:val="28"/>
          <w:rtl w:val="true"/>
          <w:lang w:bidi="ar-SA"/>
        </w:rPr>
        <w:t>، فيَجِبُ بَعدَ وفاتِه عليه السلامُ أن يَكونَ أميراً لا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أقرَبَ‌، و لَيس يَجِبُ إذا لَم يَثبُتْ أميراً أن</w:t>
      </w:r>
      <w:r>
        <w:rPr>
          <w:rStyle w:val="FootnoteAnchor"/>
          <w:rtl w:val="true"/>
        </w:rPr>
        <w:footnoteReference w:id="2678"/>
      </w:r>
      <w:r>
        <w:rPr>
          <w:rFonts w:ascii="Amiri" w:hAnsi="Amiri" w:eastAsia="Amiri" w:cs="Amiri"/>
          <w:color w:val="111111"/>
          <w:sz w:val="28"/>
          <w:sz w:val="28"/>
          <w:szCs w:val="28"/>
          <w:rtl w:val="true"/>
          <w:lang w:bidi="ar-SA"/>
        </w:rPr>
        <w:t>يَجِبَ أن يَكونَ إماماً</w:t>
      </w:r>
      <w:r>
        <w:rPr>
          <w:rStyle w:val="FootnoteAnchor"/>
          <w:rtl w:val="true"/>
        </w:rPr>
        <w:footnoteReference w:id="2679"/>
      </w:r>
      <w:r>
        <w:rPr>
          <w:rFonts w:ascii="Amiri" w:hAnsi="Amiri" w:eastAsia="Amiri" w:cs="Amiri"/>
          <w:color w:val="111111"/>
          <w:sz w:val="28"/>
          <w:sz w:val="28"/>
          <w:szCs w:val="28"/>
          <w:rtl w:val="true"/>
          <w:lang w:bidi="ar-SA"/>
        </w:rPr>
        <w:t>لأنّ نفيَ أحَدِهما لا يوجِبُ إثباتَ الآخَرِ؛ لأنّ‌</w:t>
      </w:r>
      <w:r>
        <w:rPr>
          <w:rStyle w:val="FootnoteAnchor"/>
          <w:rtl w:val="true"/>
        </w:rPr>
        <w:footnoteReference w:id="2680"/>
      </w:r>
      <w:r>
        <w:rPr>
          <w:rFonts w:ascii="Amiri" w:hAnsi="Amiri" w:eastAsia="Amiri" w:cs="Amiri"/>
          <w:color w:val="111111"/>
          <w:sz w:val="28"/>
          <w:sz w:val="28"/>
          <w:szCs w:val="28"/>
          <w:rtl w:val="true"/>
          <w:lang w:bidi="ar-SA"/>
        </w:rPr>
        <w:t>لكُلِّ واحدٍ منهما سبباً يَقتَضيهِ‌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عندَهم أنّ الإمامَ إذا أمَّرَ أميراً علىٰ بلدٍ ثُمَّ حَضَرَته الوفاةُ فلَم يَنُصَّ عليه، فغَيرُ واجبٍ أن يَكونَ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يَجوزُ أن يَستَخلِفَ جماعةً ، و لا يَجوزُ عندَهم أن يَنُصَّ في الإمامةِ علىٰ جماعةٍ </w:t>
      </w:r>
      <w:r>
        <w:rPr>
          <w:rFonts w:eastAsia="Amiri" w:cs="Amiri" w:ascii="Amiri" w:hAnsi="Amiri"/>
          <w:color w:val="111111"/>
          <w:sz w:val="28"/>
          <w:szCs w:val="28"/>
          <w:rtl w:val="true"/>
          <w:lang w:bidi="ar-SA"/>
        </w:rPr>
        <w:t xml:space="preserve">. </w:t>
      </w:r>
      <w:bookmarkStart w:id="474" w:name="pg20017_202660"/>
    </w:p>
    <w:p>
      <w:pPr>
        <w:pStyle w:val="BookText"/>
        <w:rPr/>
      </w:pPr>
      <w:bookmarkEnd w:id="474"/>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مَن تَعلَّقَ باستخلافِه عليه السلامُ في ثُبوتِ الإمامةِ له بَعدَ مَوتِه، فهو غيرُ</w:t>
      </w:r>
      <w:r>
        <w:rPr>
          <w:rStyle w:val="FootnoteAnchor"/>
          <w:rtl w:val="true"/>
        </w:rPr>
        <w:footnoteReference w:id="2681"/>
      </w:r>
      <w:r>
        <w:rPr>
          <w:rFonts w:ascii="Amiri" w:hAnsi="Amiri" w:eastAsia="Amiri" w:cs="Amiri"/>
          <w:color w:val="111111"/>
          <w:sz w:val="28"/>
          <w:sz w:val="28"/>
          <w:szCs w:val="28"/>
          <w:rtl w:val="true"/>
          <w:lang w:bidi="ar-SA"/>
        </w:rPr>
        <w:t xml:space="preserve">مُستَدِلٍّ بالخبرِ؛ لأنّ الخبرَ لَو لَم يَثبُتْ لَكانَ يُمكِنُه التعلُّقُ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أنّه عليه السلامُ قد استَخلَفَه مُطلَقاً، فيَجِبُ أن يَكونَ خَليفةً أبَداً، و لا يَجِبُ أن يَكونَ كذلكَ إلّاو هو إمامٌ بَعدَ وفاتِه</w:t>
      </w:r>
      <w:r>
        <w:rPr>
          <w:rFonts w:eastAsia="Amiri" w:cs="Amiri" w:ascii="Amiri" w:hAnsi="Amiri"/>
          <w:color w:val="111111"/>
          <w:sz w:val="28"/>
          <w:szCs w:val="28"/>
          <w:rtl w:val="true"/>
          <w:lang w:bidi="ar-SA"/>
        </w:rPr>
        <w:t>]</w:t>
      </w:r>
      <w:r>
        <w:rPr>
          <w:rStyle w:val="FootnoteAnchor"/>
          <w:rtl w:val="true"/>
        </w:rPr>
        <w:footnoteReference w:id="2682"/>
      </w:r>
      <w:r>
        <w:rPr>
          <w:rFonts w:ascii="Amiri" w:hAnsi="Amiri" w:eastAsia="Amiri" w:cs="Amiri"/>
          <w:color w:val="111111"/>
          <w:sz w:val="28"/>
          <w:sz w:val="28"/>
          <w:szCs w:val="28"/>
          <w:rtl w:val="true"/>
          <w:lang w:bidi="ar-SA"/>
        </w:rPr>
        <w:t>، و إنّما يَكونُ مُتعلِّقاً بالخبرِ متَى احتاجَ إليه علىٰ وجهٍ لَولاه لَما تَمَّ استدلالُه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 يَكونُ إلّابأن يُبيِّنَ أنّ مِن مَنازِلِ هارونَ </w:t>
      </w:r>
      <w:r>
        <w:rPr>
          <w:rStyle w:val="FootnoteAnchor"/>
          <w:rtl w:val="true"/>
        </w:rPr>
        <w:footnoteReference w:id="2683"/>
      </w:r>
      <w:r>
        <w:rPr>
          <w:rFonts w:ascii="Amiri" w:hAnsi="Amiri" w:eastAsia="Amiri" w:cs="Amiri"/>
          <w:color w:val="111111"/>
          <w:sz w:val="28"/>
          <w:sz w:val="28"/>
          <w:szCs w:val="28"/>
          <w:rtl w:val="true"/>
          <w:lang w:bidi="ar-SA"/>
        </w:rPr>
        <w:t>مِن موسَى الإمامةَ ، في المعنىٰ أو اللفظِ؛ كائناً أو مُقدَّراً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بيّنّا الكلامَ في جميعِ ذلكَ ، فيَجِبُ فيمن تَكلَّمَ مع القومِ أن لا تَختَلِطَ عليه إحدَى الطريقتَينِ بالأُخرىٰ </w:t>
      </w:r>
      <w:r>
        <w:rPr>
          <w:rFonts w:eastAsia="Amiri" w:cs="Amiri" w:ascii="Amiri" w:hAnsi="Amiri"/>
          <w:color w:val="111111"/>
          <w:sz w:val="28"/>
          <w:szCs w:val="28"/>
          <w:rtl w:val="true"/>
          <w:lang w:bidi="ar-SA"/>
        </w:rPr>
        <w:t>]</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5" w:name="__RefHeading___Toc964331_2320776876"/>
      <w:bookmarkStart w:id="476" w:name="_Toc169"/>
      <w:bookmarkEnd w:id="475"/>
      <w:r>
        <w:rPr>
          <w:rtl w:val="true"/>
        </w:rPr>
        <w:t>خلط القاضي بين الاستدلال بالاستخلاف على المدينة، و الاستدلال بحديث المنزلة</w:t>
      </w:r>
      <w:bookmarkEnd w:id="47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 قد خَلَطتَ في كلامِكَ هذا بَينَ الكلامِ علىٰ مَن تَعلَّقَ بالاستخلافِ علَى المَدينةِ و أوجَبَ استمرارَه، و بَينَ الكلامِ علَى الخبرِ الذي نَحنُ في تأويلِه؛ و قَد</w:t>
      </w:r>
      <w:r>
        <w:rPr>
          <w:rStyle w:val="FootnoteAnchor"/>
          <w:rtl w:val="true"/>
        </w:rPr>
        <w:footnoteReference w:id="2685"/>
      </w:r>
      <w:r>
        <w:rPr>
          <w:rFonts w:ascii="Amiri" w:hAnsi="Amiri" w:eastAsia="Amiri" w:cs="Amiri"/>
          <w:color w:val="111111"/>
          <w:sz w:val="28"/>
          <w:sz w:val="28"/>
          <w:szCs w:val="28"/>
          <w:rtl w:val="true"/>
          <w:lang w:bidi="ar-SA"/>
        </w:rPr>
        <w:t>بيّنّا أنّه لا تَعلُّقَ لأحَدِ الأمرَينِ بالآخَرِ</w:t>
      </w:r>
      <w:r>
        <w:rPr>
          <w:rStyle w:val="FootnoteAnchor"/>
          <w:rtl w:val="true"/>
        </w:rPr>
        <w:footnoteReference w:id="2686"/>
      </w:r>
      <w:r>
        <w:rPr>
          <w:rFonts w:ascii="Amiri" w:hAnsi="Amiri" w:eastAsia="Amiri" w:cs="Amiri"/>
          <w:color w:val="111111"/>
          <w:sz w:val="28"/>
          <w:sz w:val="28"/>
          <w:szCs w:val="28"/>
          <w:rtl w:val="true"/>
          <w:lang w:bidi="ar-SA"/>
        </w:rPr>
        <w:t xml:space="preserve">، فما الذي أرَدتَ بقَولِكَ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اقتَضَى الاستخلافُ كَونَه</w:t>
      </w:r>
      <w:r>
        <w:rPr>
          <w:rStyle w:val="FootnoteAnchor"/>
          <w:rtl w:val="true"/>
        </w:rPr>
        <w:footnoteReference w:id="2687"/>
      </w:r>
      <w:r>
        <w:rPr>
          <w:rFonts w:ascii="Amiri" w:hAnsi="Amiri" w:eastAsia="Amiri" w:cs="Amiri"/>
          <w:color w:val="111111"/>
          <w:sz w:val="28"/>
          <w:sz w:val="28"/>
          <w:szCs w:val="28"/>
          <w:rtl w:val="true"/>
          <w:lang w:bidi="ar-SA"/>
        </w:rPr>
        <w:t>إماماً بَعدَه لَكانَ له أن يُقيمَ الحدودَ و غيرَها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كُنتَ تُريدُ أنّ الاستخلافَ علَى المَدينةِ كان يَقتَضي ما ذَكَرتَه، فقَد عَلِمتَ أنّ كلامَنا الآنَ معكَ علىٰ غيرِه؛ لأنّا في تأويلِ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مَوضِعِ النَّصِّ فيه</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أرَدتَ أنّ الخبرَ لَو اقتَضَى الإمامةَ بَعدَ الوفاةِ لَوَجَبَ ما ادَّعَيتَه، فمِن أينَ تَوهَّمتَ ذلكَ‌، و قد كانَ يَجِبُ أن تُبيِّنَ‌</w:t>
      </w:r>
      <w:r>
        <w:rPr>
          <w:rStyle w:val="FootnoteAnchor"/>
          <w:rtl w:val="true"/>
        </w:rPr>
        <w:footnoteReference w:id="2689"/>
      </w:r>
      <w:r>
        <w:rPr>
          <w:rFonts w:ascii="Amiri" w:hAnsi="Amiri" w:eastAsia="Amiri" w:cs="Amiri"/>
          <w:color w:val="111111"/>
          <w:sz w:val="28"/>
          <w:sz w:val="28"/>
          <w:szCs w:val="28"/>
          <w:rtl w:val="true"/>
          <w:lang w:bidi="ar-SA"/>
        </w:rPr>
        <w:t>الوجهَ فيما ظَنَنتَه‌؟ أوَ لَيسَ قد بيّنّا أنّ مَنزِلةَ الإمامةِ تَثبُتُ‌</w:t>
      </w:r>
      <w:r>
        <w:rPr>
          <w:rStyle w:val="FootnoteAnchor"/>
          <w:rtl w:val="true"/>
        </w:rPr>
        <w:footnoteReference w:id="2690"/>
      </w:r>
      <w:r>
        <w:rPr>
          <w:rFonts w:ascii="Amiri" w:hAnsi="Amiri" w:eastAsia="Amiri" w:cs="Amiri"/>
          <w:color w:val="111111"/>
          <w:sz w:val="28"/>
          <w:sz w:val="28"/>
          <w:szCs w:val="28"/>
          <w:rtl w:val="true"/>
          <w:lang w:bidi="ar-SA"/>
        </w:rPr>
        <w:t>لأميرِ المؤمنينَ عليه السلامُ بالخبرِ بَعدَ وفاةِ الرسولِ صَلَّى اللّٰهُ عليه و آلِه</w:t>
      </w:r>
      <w:r>
        <w:rPr>
          <w:rStyle w:val="FootnoteAnchor"/>
          <w:rtl w:val="true"/>
        </w:rPr>
        <w:footnoteReference w:id="2691"/>
      </w:r>
      <w:r>
        <w:rPr>
          <w:rFonts w:ascii="Amiri" w:hAnsi="Amiri" w:eastAsia="Amiri" w:cs="Amiri"/>
          <w:color w:val="111111"/>
          <w:sz w:val="28"/>
          <w:sz w:val="28"/>
          <w:szCs w:val="28"/>
          <w:rtl w:val="true"/>
          <w:lang w:bidi="ar-SA"/>
        </w:rPr>
        <w:t>علىٰ سَبيلِ التجدُّدِ لا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عليه السلامُ إن</w:t>
      </w:r>
      <w:r>
        <w:rPr>
          <w:rStyle w:val="FootnoteAnchor"/>
          <w:rtl w:val="true"/>
        </w:rPr>
        <w:footnoteReference w:id="2692"/>
      </w:r>
      <w:r>
        <w:rPr>
          <w:rFonts w:ascii="Amiri" w:hAnsi="Amiri" w:eastAsia="Amiri" w:cs="Amiri"/>
          <w:color w:val="111111"/>
          <w:sz w:val="28"/>
          <w:sz w:val="28"/>
          <w:szCs w:val="28"/>
          <w:rtl w:val="true"/>
          <w:lang w:bidi="ar-SA"/>
        </w:rPr>
        <w:t>كانَ مُفتَرَضَ الطاعةِ في حياةِ موسىٰ عليه السلامُ لأجلِ نُبوّتِه أو</w:t>
      </w:r>
      <w:r>
        <w:rPr>
          <w:rStyle w:val="FootnoteAnchor"/>
          <w:rtl w:val="true"/>
        </w:rPr>
        <w:footnoteReference w:id="2693"/>
      </w:r>
      <w:r>
        <w:rPr>
          <w:rFonts w:ascii="Amiri" w:hAnsi="Amiri" w:eastAsia="Amiri" w:cs="Amiri"/>
          <w:color w:val="111111"/>
          <w:sz w:val="28"/>
          <w:sz w:val="28"/>
          <w:szCs w:val="28"/>
          <w:rtl w:val="true"/>
          <w:lang w:bidi="ar-SA"/>
        </w:rPr>
        <w:t>لاستخلافِ أخيه له، ثَبَتَت</w:t>
      </w:r>
      <w:r>
        <w:rPr>
          <w:rStyle w:val="FootnoteAnchor"/>
          <w:rtl w:val="true"/>
        </w:rPr>
        <w:footnoteReference w:id="2694"/>
      </w:r>
      <w:r>
        <w:rPr>
          <w:rFonts w:ascii="Amiri" w:hAnsi="Amiri" w:eastAsia="Amiri" w:cs="Amiri"/>
          <w:color w:val="111111"/>
          <w:sz w:val="28"/>
          <w:sz w:val="28"/>
          <w:szCs w:val="28"/>
          <w:rtl w:val="true"/>
          <w:lang w:bidi="ar-SA"/>
        </w:rPr>
        <w:t xml:space="preserve">له الخِلافةُ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ثُبوتِها فيما مَضىٰ علىٰ‌</w:t>
      </w:r>
      <w:r>
        <w:rPr>
          <w:rStyle w:val="FootnoteAnchor"/>
          <w:rtl w:val="true"/>
        </w:rPr>
        <w:footnoteReference w:id="2695"/>
      </w:r>
      <w:r>
        <w:rPr>
          <w:rFonts w:ascii="Amiri" w:hAnsi="Amiri" w:eastAsia="Amiri" w:cs="Amiri"/>
          <w:color w:val="111111"/>
          <w:sz w:val="28"/>
          <w:sz w:val="28"/>
          <w:szCs w:val="28"/>
          <w:rtl w:val="true"/>
          <w:lang w:bidi="ar-SA"/>
        </w:rPr>
        <w:t xml:space="preserve">سَبيلِ الاستمرارِ؛ و لَيسَ </w:t>
      </w:r>
      <w:r>
        <w:rPr>
          <w:rStyle w:val="FootnoteAnchor"/>
          <w:rtl w:val="true"/>
        </w:rPr>
        <w:footnoteReference w:id="2696"/>
      </w:r>
      <w:r>
        <w:rPr>
          <w:rFonts w:ascii="Amiri" w:hAnsi="Amiri" w:eastAsia="Amiri" w:cs="Amiri"/>
          <w:color w:val="111111"/>
          <w:sz w:val="28"/>
          <w:sz w:val="28"/>
          <w:szCs w:val="28"/>
          <w:rtl w:val="true"/>
          <w:lang w:bidi="ar-SA"/>
        </w:rPr>
        <w:t xml:space="preserve">يَجِبُ مِثلُ ذلكَ في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ما في البابِ أن تَكونَ </w:t>
      </w:r>
      <w:r>
        <w:rPr>
          <w:rStyle w:val="FootnoteAnchor"/>
          <w:rtl w:val="true"/>
        </w:rPr>
        <w:footnoteReference w:id="2697"/>
      </w:r>
      <w:r>
        <w:rPr>
          <w:rFonts w:ascii="Amiri" w:hAnsi="Amiri" w:eastAsia="Amiri" w:cs="Amiri"/>
          <w:color w:val="111111"/>
          <w:sz w:val="28"/>
          <w:sz w:val="28"/>
          <w:szCs w:val="28"/>
          <w:rtl w:val="true"/>
          <w:lang w:bidi="ar-SA"/>
        </w:rPr>
        <w:t>الخِلافةُ في أحوالِ الحياةِ علىٰ سَبيلِ الاستمرارِ مَنزِلةً مِن مَنازِلِ هارونَ مَنَعَ مِن إثباتِها لأميرِ المؤمنينَ عليه السلامُ دليلٌ كما مَنَعَ مِن غيرِها</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قُلنا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ذَهَبَ مِن أصحابِنا إلَى استمرارِ خِلافةِ أميرِ المؤمنينَ عليه السلامُ في حالِ حياةِ الرسولِ صَلَّى اللّٰهُ عليه و آلِه يَسقُطُ عنه هذا الكلامُ جُملةً‌؛ لأنّه يَذهَبُ إلى أنّ إقامةَ الحدودِ و ما جَرىٰ مَجراها، ممّا كانَ له عليه السلامُ أن يَقومَ به في تلكَ الحالِ علىٰ سَبيلِ الخِلافةِ للرسولِ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w:t>
      </w:r>
      <w:r>
        <w:rPr>
          <w:rStyle w:val="FootnoteAnchor"/>
          <w:rtl w:val="true"/>
        </w:rPr>
        <w:footnoteReference w:id="2699"/>
      </w:r>
      <w:r>
        <w:rPr>
          <w:rFonts w:ascii="Amiri" w:hAnsi="Amiri" w:eastAsia="Amiri" w:cs="Amiri"/>
          <w:color w:val="111111"/>
          <w:sz w:val="28"/>
          <w:sz w:val="28"/>
          <w:szCs w:val="28"/>
          <w:rtl w:val="true"/>
          <w:lang w:bidi="ar-SA"/>
        </w:rPr>
        <w:t xml:space="preserve">قولُ صاحبِ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نَعلَمُ أنّ ذلكَ لَم يَكُن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علىٰ مَن قالَ به ممّن ذَكرناه؛ لأنّه لَم يُبيِّنْ </w:t>
      </w:r>
      <w:r>
        <w:rPr>
          <w:rStyle w:val="FootnoteAnchor"/>
          <w:rtl w:val="true"/>
        </w:rPr>
        <w:footnoteReference w:id="2700"/>
      </w:r>
      <w:r>
        <w:rPr>
          <w:rFonts w:ascii="Amiri" w:hAnsi="Amiri" w:eastAsia="Amiri" w:cs="Amiri"/>
          <w:color w:val="111111"/>
          <w:sz w:val="28"/>
          <w:sz w:val="28"/>
          <w:szCs w:val="28"/>
          <w:rtl w:val="true"/>
          <w:lang w:bidi="ar-SA"/>
        </w:rPr>
        <w:t>مِن أينَ عَلِمَ ما ادَّعاه ؟</w:t>
      </w:r>
    </w:p>
    <w:p>
      <w:pPr>
        <w:pStyle w:val="BookText"/>
        <w:rPr/>
      </w:pPr>
      <w:r>
        <w:rPr>
          <w:rFonts w:ascii="Amiri" w:hAnsi="Amiri" w:eastAsia="Amiri" w:cs="Amiri"/>
          <w:color w:val="111111"/>
          <w:sz w:val="28"/>
          <w:sz w:val="28"/>
          <w:szCs w:val="28"/>
          <w:rtl w:val="true"/>
          <w:lang w:bidi="ar-SA"/>
        </w:rPr>
        <w:t>فلَيسَ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عليه السلامُ </w:t>
      </w:r>
      <w:r>
        <w:rPr>
          <w:rStyle w:val="FootnoteAnchor"/>
          <w:rtl w:val="true"/>
        </w:rPr>
        <w:footnoteReference w:id="2701"/>
      </w:r>
      <w:r>
        <w:rPr>
          <w:rFonts w:ascii="Amiri" w:hAnsi="Amiri" w:eastAsia="Amiri" w:cs="Amiri"/>
          <w:color w:val="111111"/>
          <w:sz w:val="28"/>
          <w:sz w:val="28"/>
          <w:szCs w:val="28"/>
          <w:rtl w:val="true"/>
          <w:lang w:bidi="ar-SA"/>
        </w:rPr>
        <w:t xml:space="preserve">في تلكَ الأحوالِ القائمَ </w:t>
      </w:r>
      <w:r>
        <w:rPr>
          <w:rStyle w:val="FootnoteAnchor"/>
          <w:rtl w:val="true"/>
        </w:rPr>
        <w:footnoteReference w:id="2702"/>
      </w:r>
      <w:r>
        <w:rPr>
          <w:rFonts w:ascii="Amiri" w:hAnsi="Amiri" w:eastAsia="Amiri" w:cs="Amiri"/>
          <w:color w:val="111111"/>
          <w:sz w:val="28"/>
          <w:sz w:val="28"/>
          <w:szCs w:val="28"/>
          <w:rtl w:val="true"/>
          <w:lang w:bidi="ar-SA"/>
        </w:rPr>
        <w:t>بالحُدودِ و تنفيذِ الأحكامِ ، لَوَجَبَ أن يَنفُذَ تَوَلّيه</w:t>
      </w:r>
      <w:r>
        <w:rPr>
          <w:rStyle w:val="FootnoteAnchor"/>
          <w:rtl w:val="true"/>
        </w:rPr>
        <w:footnoteReference w:id="2703"/>
      </w:r>
      <w:r>
        <w:rPr>
          <w:rFonts w:ascii="Amiri" w:hAnsi="Amiri" w:eastAsia="Amiri" w:cs="Amiri"/>
          <w:color w:val="111111"/>
          <w:sz w:val="28"/>
          <w:sz w:val="28"/>
          <w:szCs w:val="28"/>
          <w:rtl w:val="true"/>
          <w:lang w:bidi="ar-SA"/>
        </w:rPr>
        <w:t>لها و فِعلُه فيها، و أن يَظهَرَ ظُهوراً يَشتَرِكُ سامِعو</w:t>
      </w:r>
    </w:p>
    <w:p>
      <w:pPr>
        <w:pStyle w:val="BookText"/>
        <w:rPr/>
      </w:pPr>
      <w:r>
        <w:rPr>
          <w:rFonts w:ascii="Amiri" w:hAnsi="Amiri" w:eastAsia="Amiri" w:cs="Amiri"/>
          <w:color w:val="111111"/>
          <w:sz w:val="28"/>
          <w:sz w:val="28"/>
          <w:szCs w:val="28"/>
          <w:rtl w:val="true"/>
          <w:lang w:bidi="ar-SA"/>
        </w:rPr>
        <w:t>الأخبارِ في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بسَديدٍ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غيرُ مُمتَنِعٍ أن يَكونَ عليه السلامُ إليه القيامُ بهذه الأُمورِ و يُمسِكُ </w:t>
      </w:r>
      <w:r>
        <w:rPr>
          <w:rStyle w:val="FootnoteAnchor"/>
          <w:rtl w:val="true"/>
        </w:rPr>
        <w:footnoteReference w:id="2704"/>
      </w:r>
      <w:r>
        <w:rPr>
          <w:rFonts w:ascii="Amiri" w:hAnsi="Amiri" w:eastAsia="Amiri" w:cs="Amiri"/>
          <w:color w:val="111111"/>
          <w:sz w:val="28"/>
          <w:sz w:val="28"/>
          <w:szCs w:val="28"/>
          <w:rtl w:val="true"/>
          <w:lang w:bidi="ar-SA"/>
        </w:rPr>
        <w:t>عن تَوَلّيها</w:t>
      </w:r>
      <w:r>
        <w:rPr>
          <w:rStyle w:val="FootnoteAnchor"/>
          <w:rtl w:val="true"/>
        </w:rPr>
        <w:footnoteReference w:id="2705"/>
      </w:r>
      <w:r>
        <w:rPr>
          <w:rFonts w:ascii="Amiri" w:hAnsi="Amiri" w:eastAsia="Amiri" w:cs="Amiri"/>
          <w:color w:val="111111"/>
          <w:sz w:val="28"/>
          <w:sz w:val="28"/>
          <w:szCs w:val="28"/>
          <w:rtl w:val="true"/>
          <w:lang w:bidi="ar-SA"/>
        </w:rPr>
        <w:t xml:space="preserve">في تلكَ الحالِ لبعضِ الأغراضِ و الأسبابِ المانعةِ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إليه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w:t>
      </w:r>
      <w:r>
        <w:rPr>
          <w:rStyle w:val="FootnoteAnchor"/>
          <w:rtl w:val="true"/>
        </w:rPr>
        <w:footnoteReference w:id="2706"/>
      </w:r>
      <w:r>
        <w:rPr>
          <w:rFonts w:ascii="Amiri" w:hAnsi="Amiri" w:eastAsia="Amiri" w:cs="Amiri"/>
          <w:color w:val="111111"/>
          <w:sz w:val="28"/>
          <w:sz w:val="28"/>
          <w:szCs w:val="28"/>
          <w:rtl w:val="true"/>
          <w:lang w:bidi="ar-SA"/>
        </w:rPr>
        <w:t>أن يَقومَ بذلكَ الأمرِ و يَتولَّى التصرُّفَ فيه، و إنّما معناه أنّ التصرُّفَ متىٰ وَقَعَ منه كانَ مُستَحَقّاً حَسَناً، و لهذا نَجِدُ</w:t>
      </w:r>
      <w:r>
        <w:rPr>
          <w:rStyle w:val="FootnoteAnchor"/>
          <w:rtl w:val="true"/>
        </w:rPr>
        <w:footnoteReference w:id="2707"/>
      </w:r>
      <w:r>
        <w:rPr>
          <w:rFonts w:ascii="Amiri" w:hAnsi="Amiri" w:eastAsia="Amiri" w:cs="Amiri"/>
          <w:color w:val="111111"/>
          <w:sz w:val="28"/>
          <w:sz w:val="28"/>
          <w:szCs w:val="28"/>
          <w:rtl w:val="true"/>
          <w:lang w:bidi="ar-SA"/>
        </w:rPr>
        <w:t>بعضَ الأئمّةِ و</w:t>
      </w:r>
      <w:r>
        <w:rPr>
          <w:rStyle w:val="FootnoteAnchor"/>
          <w:rtl w:val="true"/>
        </w:rPr>
        <w:footnoteReference w:id="2708"/>
      </w:r>
      <w:bookmarkStart w:id="477" w:name="pg20017_202663"/>
    </w:p>
    <w:p>
      <w:pPr>
        <w:pStyle w:val="BookText"/>
        <w:rPr/>
      </w:pPr>
      <w:bookmarkEnd w:id="477"/>
      <w:r>
        <w:rPr>
          <w:rFonts w:ascii="Amiri" w:hAnsi="Amiri" w:eastAsia="Amiri" w:cs="Amiri"/>
          <w:color w:val="111111"/>
          <w:sz w:val="28"/>
          <w:sz w:val="28"/>
          <w:szCs w:val="28"/>
          <w:rtl w:val="true"/>
          <w:lang w:bidi="ar-SA"/>
        </w:rPr>
        <w:t xml:space="preserve">الأُمَراءِ يَمتَنِعونَ مِن التصرُّفِ في بعضِ الأحوالِ لعارِضٍ </w:t>
      </w:r>
      <w:r>
        <w:rPr>
          <w:rStyle w:val="FootnoteAnchor"/>
          <w:rtl w:val="true"/>
        </w:rPr>
        <w:footnoteReference w:id="2709"/>
      </w:r>
      <w:r>
        <w:rPr>
          <w:rFonts w:ascii="Amiri" w:hAnsi="Amiri" w:eastAsia="Amiri" w:cs="Amiri"/>
          <w:color w:val="111111"/>
          <w:sz w:val="28"/>
          <w:sz w:val="28"/>
          <w:szCs w:val="28"/>
          <w:rtl w:val="true"/>
          <w:lang w:bidi="ar-SA"/>
        </w:rPr>
        <w:t>، و يَكونُ ما يَستَحِقّونَه مِن الوِلايةِ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حَكاه عن شَيخِه أبي عليٍّ مِن الإلزامِ قد سَقَطَ بجُملةِ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يَصِحَّ كَونُه إماماً في الوقتِ‌، فكَيفَ يَكونُ إماماً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في غيرِ مَوضِعِه؛ لأنّ ما ذَكرناه مِنَ الفَرقِ بَينَ الحالَينِ ، و أنّ ما مَنَعَ مِن إثباتِ الإمامةِ في أحَدِهما لا يَمنَعُ مِن إثباتِها في الأُخرىٰ ، يُزيلُ التعجُّبَ </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964333_2320776876"/>
      <w:bookmarkStart w:id="479" w:name="_Toc170"/>
      <w:bookmarkEnd w:id="478"/>
      <w:r>
        <w:rPr>
          <w:rtl w:val="true"/>
        </w:rPr>
        <w:t>بيان أنّ فرض الطاعة و عموم الولاية يستلزمان إثبات الإمامة</w:t>
      </w:r>
      <w:bookmarkEnd w:id="47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عليه السلامُ لمّا خَلَّفَه بالمَدينةِ لَم يَكُن له أن يُقيمَ الحُدودَ في غيرِها، و إنّ مِثلَ ذلكَ لا يُعَدُّ 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كلامٌ‌</w:t>
      </w:r>
      <w:r>
        <w:rPr>
          <w:rStyle w:val="FootnoteAnchor"/>
          <w:rtl w:val="true"/>
        </w:rPr>
        <w:footnoteReference w:id="2710"/>
      </w:r>
      <w:r>
        <w:rPr>
          <w:rFonts w:ascii="Amiri" w:hAnsi="Amiri" w:eastAsia="Amiri" w:cs="Amiri"/>
          <w:color w:val="111111"/>
          <w:sz w:val="28"/>
          <w:sz w:val="28"/>
          <w:szCs w:val="28"/>
          <w:rtl w:val="true"/>
          <w:lang w:bidi="ar-SA"/>
        </w:rPr>
        <w:t>علىٰ مَن تَعلَّقَ بالاستخلافِ‌</w:t>
      </w:r>
      <w:r>
        <w:rPr>
          <w:rStyle w:val="FootnoteAnchor"/>
          <w:rtl w:val="true"/>
        </w:rPr>
        <w:footnoteReference w:id="2711"/>
      </w:r>
      <w:r>
        <w:rPr>
          <w:rFonts w:ascii="Amiri" w:hAnsi="Amiri" w:eastAsia="Amiri" w:cs="Amiri"/>
          <w:color w:val="111111"/>
          <w:sz w:val="28"/>
          <w:sz w:val="28"/>
          <w:szCs w:val="28"/>
          <w:rtl w:val="true"/>
          <w:lang w:bidi="ar-SA"/>
        </w:rPr>
        <w:t>، لا في تأويلِ الخبرِ، و قد بيّنّا</w:t>
      </w:r>
      <w:r>
        <w:rPr>
          <w:rStyle w:val="FootnoteAnchor"/>
          <w:rtl w:val="true"/>
        </w:rPr>
        <w:footnoteReference w:id="2712"/>
      </w:r>
      <w:r>
        <w:rPr>
          <w:rFonts w:ascii="Amiri" w:hAnsi="Amiri" w:eastAsia="Amiri" w:cs="Amiri"/>
          <w:color w:val="111111"/>
          <w:sz w:val="28"/>
          <w:sz w:val="28"/>
          <w:szCs w:val="28"/>
          <w:rtl w:val="true"/>
          <w:lang w:bidi="ar-SA"/>
        </w:rPr>
        <w:t>ما هو جوابٌ عنه فيما تَقدَّمَ‌</w:t>
      </w:r>
      <w:r>
        <w:rPr>
          <w:rStyle w:val="FootnoteAnchor"/>
          <w:rtl w:val="true"/>
        </w:rPr>
        <w:footnoteReference w:id="2713"/>
      </w:r>
      <w:r>
        <w:rPr>
          <w:rFonts w:ascii="Amiri" w:hAnsi="Amiri" w:eastAsia="Amiri" w:cs="Amiri"/>
          <w:color w:val="111111"/>
          <w:sz w:val="28"/>
          <w:sz w:val="28"/>
          <w:szCs w:val="28"/>
          <w:rtl w:val="true"/>
          <w:lang w:bidi="ar-SA"/>
        </w:rPr>
        <w:t>و قُلنا إنّه إذا ثَبَتَ له عليه السلامُ بَعدَ وفاةِ الرسولِ صَلَّى اللّٰهُ عليه و آلِه</w:t>
      </w:r>
      <w:r>
        <w:rPr>
          <w:rStyle w:val="FootnoteAnchor"/>
          <w:rtl w:val="true"/>
        </w:rPr>
        <w:footnoteReference w:id="2714"/>
      </w:r>
      <w:r>
        <w:rPr>
          <w:rFonts w:ascii="Amiri" w:hAnsi="Amiri" w:eastAsia="Amiri" w:cs="Amiri"/>
          <w:color w:val="111111"/>
          <w:sz w:val="28"/>
          <w:sz w:val="28"/>
          <w:szCs w:val="28"/>
          <w:rtl w:val="true"/>
          <w:lang w:bidi="ar-SA"/>
        </w:rPr>
        <w:t>فَرضُ الطاعةِ‌، و استحقاقُ التصرُّفِ‌</w:t>
      </w:r>
      <w:r>
        <w:rPr>
          <w:rStyle w:val="FootnoteAnchor"/>
          <w:rtl w:val="true"/>
        </w:rPr>
        <w:footnoteReference w:id="2715"/>
      </w:r>
      <w:r>
        <w:rPr>
          <w:rFonts w:ascii="Amiri" w:hAnsi="Amiri" w:eastAsia="Amiri" w:cs="Amiri"/>
          <w:color w:val="111111"/>
          <w:sz w:val="28"/>
          <w:sz w:val="28"/>
          <w:szCs w:val="28"/>
          <w:rtl w:val="true"/>
          <w:lang w:bidi="ar-SA"/>
        </w:rPr>
        <w:t>بالأمرِ و النهيِ في بعضِ الأُمّةِ‌، وَجَبَ أن يَكونَ إماماً علَى الكُلِّ‌؛ لأنّه لا أحَدَ مِن الأُمّةِ ذَهَبَ إلَى اختصاصِ ما يَجِبُ له في هذه الحالِ‌، بَل كُلُّ‌</w:t>
      </w:r>
      <w:r>
        <w:rPr>
          <w:rStyle w:val="FootnoteAnchor"/>
          <w:rtl w:val="true"/>
        </w:rPr>
        <w:footnoteReference w:id="2716"/>
      </w:r>
      <w:r>
        <w:rPr>
          <w:rFonts w:ascii="Amiri" w:hAnsi="Amiri" w:eastAsia="Amiri" w:cs="Amiri"/>
          <w:color w:val="111111"/>
          <w:sz w:val="28"/>
          <w:sz w:val="28"/>
          <w:szCs w:val="28"/>
          <w:rtl w:val="true"/>
          <w:lang w:bidi="ar-SA"/>
        </w:rPr>
        <w:t>مَن أثَبَتَ له هذه المَنزِلةَ أثبَتَها عامّةً علىٰ وجهِ الإمامةِ لا الإمارةِ ؛ فكانَ الإجماعُ مانعاً مِن قولِه</w:t>
      </w:r>
      <w:r>
        <w:rPr>
          <w:rFonts w:eastAsia="Amiri" w:cs="Amiri" w:ascii="Amiri" w:hAnsi="Amiri"/>
          <w:color w:val="111111"/>
          <w:sz w:val="28"/>
          <w:szCs w:val="28"/>
          <w:rtl w:val="true"/>
          <w:lang w:bidi="ar-SA"/>
        </w:rPr>
        <w:t xml:space="preserve">: </w:t>
      </w:r>
      <w:bookmarkStart w:id="480" w:name="pg20017_202664"/>
    </w:p>
    <w:p>
      <w:pPr>
        <w:pStyle w:val="BookText"/>
        <w:rPr/>
      </w:pPr>
      <w:bookmarkEnd w:id="4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أن يَكونَ بَعدَ وفاتِه صَلَّى اللّٰهُ عليه و آلِه أميراً، لا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نَقُلْ‌</w:t>
      </w:r>
      <w:r>
        <w:rPr>
          <w:rStyle w:val="FootnoteAnchor"/>
          <w:rtl w:val="true"/>
        </w:rPr>
        <w:footnoteReference w:id="2717"/>
      </w:r>
      <w:r>
        <w:rPr>
          <w:rFonts w:ascii="Amiri" w:hAnsi="Amiri" w:eastAsia="Amiri" w:cs="Amiri"/>
          <w:color w:val="111111"/>
          <w:sz w:val="28"/>
          <w:sz w:val="28"/>
          <w:szCs w:val="28"/>
          <w:rtl w:val="true"/>
          <w:lang w:bidi="ar-SA"/>
        </w:rPr>
        <w:t xml:space="preserve">ما ذَكرناه مِن جِهةِ أنّ نفيَ الإمارةِ يقتضي إثباتَ الإمامةِ كما ظَنَّ ، بل لِما بيّنّاه مِن أنّ وجوبَ فَرضِ الطاعةِ إذا ثَبَتَ و بَطَلَ </w:t>
      </w:r>
      <w:r>
        <w:rPr>
          <w:rStyle w:val="FootnoteAnchor"/>
          <w:rtl w:val="true"/>
        </w:rPr>
        <w:footnoteReference w:id="2718"/>
      </w:r>
      <w:r>
        <w:rPr>
          <w:rFonts w:ascii="Amiri" w:hAnsi="Amiri" w:eastAsia="Amiri" w:cs="Amiri"/>
          <w:color w:val="111111"/>
          <w:sz w:val="28"/>
          <w:sz w:val="28"/>
          <w:szCs w:val="28"/>
          <w:rtl w:val="true"/>
          <w:lang w:bidi="ar-SA"/>
        </w:rPr>
        <w:t xml:space="preserve">أن يَكونَ أميراً مُختَصَّ الوِلايةِ بالإجماعِ ، فلا بُدَّ مِن أن يَكونَ إماماً؛ لأنّ الإمارةَ أو ما جَرىٰ مَجراها مِن الوِلاياتِ المُختَصّةِ إذا انتَفَت مع ثُبوتِ وجوبِ الطاعةِ فلا بُدَّ مِن ثُبوتِ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التعلُّقَ بالاستخلافِ علَى المَدينةِ خارجٌ عن الاستدلالِ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فصَحيحٌ ، و قد ذَكرنا فيما مَضىٰ أنّه لا نِسبةَ بَينَ الأمرَينِ </w:t>
      </w:r>
      <w:r>
        <w:rPr>
          <w:rStyle w:val="FootnoteAnchor"/>
          <w:rtl w:val="true"/>
        </w:rPr>
        <w:footnoteReference w:id="2719"/>
      </w:r>
      <w:r>
        <w:rPr>
          <w:rFonts w:ascii="Amiri" w:hAnsi="Amiri" w:eastAsia="Amiri" w:cs="Amiri"/>
          <w:color w:val="111111"/>
          <w:sz w:val="28"/>
          <w:sz w:val="28"/>
          <w:szCs w:val="28"/>
          <w:rtl w:val="true"/>
          <w:lang w:bidi="ar-SA"/>
        </w:rPr>
        <w:t>، و عَجِبنا مِن إيرادِه ذلكَ في جُملةِ ما حَكاه عن أصحابِنا مِن الطرُقِ في الاستدلالِ بالخبرِ</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1" w:name="__RefHeading___Toc964335_2320776876"/>
      <w:bookmarkStart w:id="482" w:name="_Toc171"/>
      <w:bookmarkEnd w:id="481"/>
      <w:r>
        <w:rPr>
          <w:rtl w:val="true"/>
        </w:rPr>
        <w:t>بيان وجه الاستدلال بالاستخلاف على المدينة علىٰ إمامة أمير المؤمنين عليه السلام</w:t>
      </w:r>
      <w:bookmarkEnd w:id="482"/>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ذَكرتم أنّ التعلُّقَ بالاستخلافِ علَى المَدينةِ طريقةٌ مُعتَمَدةٌ لأصحابِكم</w:t>
      </w:r>
      <w:r>
        <w:rPr>
          <w:rStyle w:val="FootnoteAnchor"/>
          <w:rtl w:val="true"/>
        </w:rPr>
        <w:footnoteReference w:id="2721"/>
      </w:r>
      <w:r>
        <w:rPr>
          <w:rFonts w:ascii="Amiri" w:hAnsi="Amiri" w:eastAsia="Amiri" w:cs="Amiri"/>
          <w:color w:val="111111"/>
          <w:sz w:val="28"/>
          <w:sz w:val="28"/>
          <w:szCs w:val="28"/>
          <w:rtl w:val="true"/>
          <w:lang w:bidi="ar-SA"/>
        </w:rPr>
        <w:t>، فبيِّنوا وجهَ الاستدلالِ بها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دَلالتِها أنّه قد ثَبَتَ استخلافُ النبيِّ صَلَّى اللّٰهُ عليه و آلِه لأميرِ المؤمنينَ عليه السلامُ لمّا تَوجَّهَ إلىٰ غَزوةِ تَبوكَ ، و لَم يَثبُتْ عَزلُه عن هذه الوِلايةِ بقَولٍ مِن الرسولِ صَلَّى اللّٰهُ عليه و آلِه</w:t>
      </w:r>
      <w:r>
        <w:rPr>
          <w:rStyle w:val="FootnoteAnchor"/>
          <w:rtl w:val="true"/>
        </w:rPr>
        <w:footnoteReference w:id="2722"/>
      </w:r>
      <w:r>
        <w:rPr>
          <w:rFonts w:ascii="Amiri" w:hAnsi="Amiri" w:eastAsia="Amiri" w:cs="Amiri"/>
          <w:color w:val="111111"/>
          <w:sz w:val="28"/>
          <w:sz w:val="28"/>
          <w:szCs w:val="28"/>
          <w:rtl w:val="true"/>
          <w:lang w:bidi="ar-SA"/>
        </w:rPr>
        <w:t>و لا دليلٍ ، فوَجَبَ أن يَكونَ الإمامَ بَعدَ وفاتِه؛ لأنّ حالَه لَم تَتغيَّرْ</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مِن</w:t>
      </w:r>
      <w:r>
        <w:rPr>
          <w:rStyle w:val="FootnoteAnchor"/>
          <w:rtl w:val="true"/>
        </w:rPr>
        <w:footnoteReference w:id="2724"/>
      </w:r>
      <w:r>
        <w:rPr>
          <w:rFonts w:ascii="Amiri" w:hAnsi="Amiri" w:eastAsia="Amiri" w:cs="Amiri"/>
          <w:color w:val="111111"/>
          <w:sz w:val="28"/>
          <w:sz w:val="28"/>
          <w:szCs w:val="28"/>
          <w:rtl w:val="true"/>
          <w:lang w:bidi="ar-SA"/>
        </w:rPr>
        <w:t>أن يَكونَ رُجوعُ النبيِّ صَلَّى اللّٰهُ عليه و آلِه إلَى المَدينةِ يَقتَضي عَزلَه و إن لَم يَقَعِ العَزلُ بالقَولِ؟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الرجوعَ لَيسَ بعَزلٍ عن الوِلايةِ في عادةٍ و لا عُرفٍ‌؛ و كَيفَ يَكونُ العَودُ مِن الغَيبةِ عَزلاً أو مُقتَضِياً للعَزلِ‌؛ و قد يَجتَمِعُ الخَليفةُ و المُستَخلِفُ في البَلَدِ الواحدِ و لا يَنفي حضورُه الخِلافةَ له‌؟ و إنّما يَثبُتُ في بعضِ الأحوالِ العَزلُ بعَودِ المُستَخلِفِ </w:t>
      </w:r>
      <w:r>
        <w:rPr>
          <w:rStyle w:val="FootnoteAnchor"/>
          <w:rtl w:val="true"/>
        </w:rPr>
        <w:footnoteReference w:id="2725"/>
      </w:r>
      <w:r>
        <w:rPr>
          <w:rFonts w:ascii="Amiri" w:hAnsi="Amiri" w:eastAsia="Amiri" w:cs="Amiri"/>
          <w:color w:val="111111"/>
          <w:sz w:val="28"/>
          <w:sz w:val="28"/>
          <w:szCs w:val="28"/>
          <w:rtl w:val="true"/>
          <w:lang w:bidi="ar-SA"/>
        </w:rPr>
        <w:t>إذا كُنّا</w:t>
      </w:r>
      <w:r>
        <w:rPr>
          <w:rStyle w:val="FootnoteAnchor"/>
          <w:rtl w:val="true"/>
        </w:rPr>
        <w:footnoteReference w:id="2726"/>
      </w:r>
      <w:r>
        <w:rPr>
          <w:rFonts w:ascii="Amiri" w:hAnsi="Amiri" w:eastAsia="Amiri" w:cs="Amiri"/>
          <w:color w:val="111111"/>
          <w:sz w:val="28"/>
          <w:sz w:val="28"/>
          <w:szCs w:val="28"/>
          <w:rtl w:val="true"/>
          <w:lang w:bidi="ar-SA"/>
        </w:rPr>
        <w:t xml:space="preserve">قد عَلِمنا أنّ الاستخلافَ تَعلَّقَ بحالِ الغَيبةِ دونَ غيرِها؛ فتَكونُ </w:t>
      </w:r>
      <w:r>
        <w:rPr>
          <w:rStyle w:val="FootnoteAnchor"/>
          <w:rtl w:val="true"/>
        </w:rPr>
        <w:footnoteReference w:id="2727"/>
      </w:r>
      <w:r>
        <w:rPr>
          <w:rFonts w:ascii="Amiri" w:hAnsi="Amiri" w:eastAsia="Amiri" w:cs="Amiri"/>
          <w:color w:val="111111"/>
          <w:sz w:val="28"/>
          <w:sz w:val="28"/>
          <w:szCs w:val="28"/>
          <w:rtl w:val="true"/>
          <w:lang w:bidi="ar-SA"/>
        </w:rPr>
        <w:t>الغَيبةُ كالشرطِ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يُعلَمْ </w:t>
      </w:r>
      <w:r>
        <w:rPr>
          <w:rStyle w:val="FootnoteAnchor"/>
          <w:rtl w:val="true"/>
        </w:rPr>
        <w:footnoteReference w:id="2728"/>
      </w:r>
      <w:r>
        <w:rPr>
          <w:rFonts w:ascii="Amiri" w:hAnsi="Amiri" w:eastAsia="Amiri" w:cs="Amiri"/>
          <w:color w:val="111111"/>
          <w:sz w:val="28"/>
          <w:sz w:val="28"/>
          <w:szCs w:val="28"/>
          <w:rtl w:val="true"/>
          <w:lang w:bidi="ar-SA"/>
        </w:rPr>
        <w:t xml:space="preserve">مِثلُ ذلكَ في استخلافِ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عارَضَ مُعارِضٌ بمَن رُوِي أنّ النبيَّ صَلَّى اللّٰهُ عليه و آلِه استَخلَفَه، كمُعاذٍ</w:t>
      </w:r>
      <w:r>
        <w:rPr>
          <w:rStyle w:val="FootnoteAnchor"/>
          <w:rtl w:val="true"/>
        </w:rPr>
        <w:footnoteReference w:id="2729"/>
      </w:r>
      <w:r>
        <w:rPr>
          <w:rFonts w:ascii="Amiri" w:hAnsi="Amiri" w:eastAsia="Amiri" w:cs="Amiri"/>
          <w:color w:val="111111"/>
          <w:sz w:val="28"/>
          <w:sz w:val="28"/>
          <w:szCs w:val="28"/>
          <w:rtl w:val="true"/>
          <w:lang w:bidi="ar-SA"/>
        </w:rPr>
        <w:t>و ابنِ أُمِّ مكتومٍ و غيرِهما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عنه قد تَقدَّمَ </w:t>
      </w:r>
      <w:r>
        <w:rPr>
          <w:rStyle w:val="FootnoteAnchor"/>
          <w:rtl w:val="true"/>
        </w:rPr>
        <w:footnoteReference w:id="2730"/>
      </w:r>
      <w:r>
        <w:rPr>
          <w:rFonts w:ascii="Amiri" w:hAnsi="Amiri" w:eastAsia="Amiri" w:cs="Amiri"/>
          <w:color w:val="111111"/>
          <w:sz w:val="28"/>
          <w:sz w:val="28"/>
          <w:szCs w:val="28"/>
          <w:rtl w:val="true"/>
          <w:lang w:bidi="ar-SA"/>
        </w:rPr>
        <w:t xml:space="preserve">و هو أنّ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حَظَّ لهؤلاءِ بَعدَ الرسولِ </w:t>
      </w:r>
      <w:r>
        <w:rPr>
          <w:rStyle w:val="FootnoteAnchor"/>
          <w:rtl w:val="true"/>
        </w:rPr>
        <w:footnoteReference w:id="2731"/>
      </w:r>
    </w:p>
    <w:p>
      <w:pPr>
        <w:pStyle w:val="BookText"/>
        <w:rPr/>
      </w:pPr>
      <w:r>
        <w:rPr>
          <w:rFonts w:ascii="Amiri" w:hAnsi="Amiri" w:eastAsia="Amiri" w:cs="Amiri"/>
          <w:color w:val="111111"/>
          <w:sz w:val="28"/>
          <w:sz w:val="28"/>
          <w:szCs w:val="28"/>
          <w:rtl w:val="true"/>
          <w:lang w:bidi="ar-SA"/>
        </w:rPr>
        <w:t xml:space="preserve">صَلَّى اللّٰهُ عليه و آلِه في إمامةٍ و لا فَرضِ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w:t>
      </w:r>
      <w:r>
        <w:rPr>
          <w:rStyle w:val="FootnoteAnchor"/>
          <w:rtl w:val="true"/>
        </w:rPr>
        <w:footnoteReference w:id="2732"/>
      </w:r>
      <w:r>
        <w:rPr>
          <w:rFonts w:ascii="Amiri" w:hAnsi="Amiri" w:eastAsia="Amiri" w:cs="Amiri"/>
          <w:color w:val="111111"/>
          <w:sz w:val="28"/>
          <w:sz w:val="28"/>
          <w:szCs w:val="28"/>
          <w:rtl w:val="true"/>
          <w:lang w:bidi="ar-SA"/>
        </w:rPr>
        <w:t>علىٰ ثُبوتِ عَزلِهم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تَعلَّقَ باختصاصِ هذه الوِلايةِ‌</w:t>
      </w:r>
      <w:r>
        <w:rPr>
          <w:rStyle w:val="FootnoteAnchor"/>
          <w:rtl w:val="true"/>
        </w:rPr>
        <w:footnoteReference w:id="2733"/>
      </w:r>
      <w:r>
        <w:rPr>
          <w:rFonts w:ascii="Amiri" w:hAnsi="Amiri" w:eastAsia="Amiri" w:cs="Amiri"/>
          <w:color w:val="111111"/>
          <w:sz w:val="28"/>
          <w:sz w:val="28"/>
          <w:szCs w:val="28"/>
          <w:rtl w:val="true"/>
          <w:lang w:bidi="ar-SA"/>
        </w:rPr>
        <w:t>، و أنّها لا يَجوزُ</w:t>
      </w:r>
      <w:r>
        <w:rPr>
          <w:rStyle w:val="FootnoteAnchor"/>
          <w:rtl w:val="true"/>
        </w:rPr>
        <w:footnoteReference w:id="2734"/>
      </w:r>
      <w:r>
        <w:rPr>
          <w:rFonts w:ascii="Amiri" w:hAnsi="Amiri" w:eastAsia="Amiri" w:cs="Amiri"/>
          <w:color w:val="111111"/>
          <w:sz w:val="28"/>
          <w:sz w:val="28"/>
          <w:szCs w:val="28"/>
          <w:rtl w:val="true"/>
          <w:lang w:bidi="ar-SA"/>
        </w:rPr>
        <w:t>أن تَقتَضيَ‌</w:t>
      </w:r>
      <w:r>
        <w:rPr>
          <w:rStyle w:val="FootnoteAnchor"/>
          <w:rtl w:val="true"/>
        </w:rPr>
        <w:footnoteReference w:id="2735"/>
      </w:r>
      <w:r>
        <w:rPr>
          <w:rFonts w:ascii="Amiri" w:hAnsi="Amiri" w:eastAsia="Amiri" w:cs="Amiri"/>
          <w:color w:val="111111"/>
          <w:sz w:val="28"/>
          <w:sz w:val="28"/>
          <w:szCs w:val="28"/>
          <w:rtl w:val="true"/>
          <w:lang w:bidi="ar-SA"/>
        </w:rPr>
        <w:t>الإمامةَ التي تَعُمُّ‌، فقَد مَضَى الكلامُ علَى الاختصاصِ في هذا الفَصلِ مُستَقصىً‌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مَضىٰ أيضاً فيه الكلامُ علىٰ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هذه</w:t>
      </w:r>
      <w:r>
        <w:rPr>
          <w:rStyle w:val="FootnoteAnchor"/>
          <w:rtl w:val="true"/>
        </w:rPr>
        <w:footnoteReference w:id="2736"/>
      </w:r>
      <w:r>
        <w:rPr>
          <w:rFonts w:ascii="Amiri" w:hAnsi="Amiri" w:eastAsia="Amiri" w:cs="Amiri"/>
          <w:color w:val="111111"/>
          <w:sz w:val="28"/>
          <w:sz w:val="28"/>
          <w:szCs w:val="28"/>
          <w:rtl w:val="true"/>
          <w:lang w:bidi="ar-SA"/>
        </w:rPr>
        <w:t>الوِلايةُ مُستَمِرّةً لَوَجَبَ أن يُقيمَ الحدودَ في حياةِ الرسولِ صَلَّى اللّٰهُ عليه و آلِه</w:t>
      </w:r>
      <w:r>
        <w:rPr>
          <w:rStyle w:val="FootnoteAnchor"/>
          <w:rtl w:val="true"/>
        </w:rPr>
        <w:footnoteReference w:id="2737"/>
      </w:r>
      <w:r>
        <w:rPr>
          <w:rFonts w:ascii="Amiri" w:hAnsi="Amiri" w:eastAsia="Amiri" w:cs="Amiri"/>
          <w:color w:val="111111"/>
          <w:sz w:val="28"/>
          <w:sz w:val="28"/>
          <w:szCs w:val="28"/>
          <w:rtl w:val="true"/>
          <w:lang w:bidi="ar-SA"/>
        </w:rPr>
        <w:t>و يَتصرَّفَ في حقوقِ الخِلافةِ بغَيرِ إذنٍ ، و لَو فَعَلَ لَنُقِلَ و عَلِمناه</w:t>
      </w:r>
      <w:r>
        <w:rPr>
          <w:rStyle w:val="FootnoteAnchor"/>
          <w:rtl w:val="true"/>
        </w:rPr>
        <w:footnoteReference w:id="2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w:t>
      </w:r>
      <w:r>
        <w:rPr>
          <w:rStyle w:val="FootnoteAnchor"/>
          <w:rtl w:val="true"/>
        </w:rPr>
        <w:footnoteReference w:id="2739"/>
      </w:r>
      <w:r>
        <w:rPr>
          <w:rFonts w:ascii="Amiri" w:hAnsi="Amiri" w:eastAsia="Amiri" w:cs="Amiri"/>
          <w:color w:val="111111"/>
          <w:sz w:val="28"/>
          <w:sz w:val="28"/>
          <w:szCs w:val="28"/>
          <w:rtl w:val="true"/>
          <w:lang w:bidi="ar-SA"/>
        </w:rPr>
        <w:t xml:space="preserve">لأحَدٍ أن يَتعلَّقَ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يَستَخلِفْ موسىٰ هارونَ و عاشَ بَعدَه، أ كانَت تَجِبُ‌</w:t>
      </w:r>
      <w:r>
        <w:rPr>
          <w:rStyle w:val="FootnoteAnchor"/>
          <w:rtl w:val="true"/>
        </w:rPr>
        <w:footnoteReference w:id="2740"/>
      </w:r>
      <w:r>
        <w:rPr>
          <w:rFonts w:ascii="Amiri" w:hAnsi="Amiri" w:eastAsia="Amiri" w:cs="Amiri"/>
          <w:color w:val="111111"/>
          <w:sz w:val="28"/>
          <w:sz w:val="28"/>
          <w:szCs w:val="28"/>
          <w:rtl w:val="true"/>
          <w:lang w:bidi="ar-SA"/>
        </w:rPr>
        <w:t>له الإمامةُ و القيامُ بالأُمورِ التي يَقومُ‌</w:t>
      </w:r>
      <w:r>
        <w:rPr>
          <w:rStyle w:val="FootnoteAnchor"/>
          <w:rtl w:val="true"/>
        </w:rPr>
        <w:footnoteReference w:id="2741"/>
      </w:r>
      <w:r>
        <w:rPr>
          <w:rFonts w:ascii="Amiri" w:hAnsi="Amiri" w:eastAsia="Amiri" w:cs="Amiri"/>
          <w:color w:val="111111"/>
          <w:sz w:val="28"/>
          <w:sz w:val="28"/>
          <w:szCs w:val="28"/>
          <w:rtl w:val="true"/>
          <w:lang w:bidi="ar-SA"/>
        </w:rPr>
        <w:t>بها الأئمّةُ ، أو لا يَجِبُ ذلكَ؟</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يَجِبُ له ذلكَ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جازَ مع</w:t>
      </w:r>
      <w:r>
        <w:rPr>
          <w:rStyle w:val="FootnoteAnchor"/>
          <w:rtl w:val="true"/>
        </w:rPr>
        <w:footnoteReference w:id="2742"/>
      </w:r>
      <w:r>
        <w:rPr>
          <w:rFonts w:ascii="Amiri" w:hAnsi="Amiri" w:eastAsia="Amiri" w:cs="Amiri"/>
          <w:color w:val="111111"/>
          <w:sz w:val="28"/>
          <w:sz w:val="28"/>
          <w:szCs w:val="28"/>
          <w:rtl w:val="true"/>
          <w:lang w:bidi="ar-SA"/>
        </w:rPr>
        <w:t xml:space="preserve">كَونِه شَريكاً له في النبوّةِ التي هي مِن قِبَلِ اللّٰهِ </w:t>
      </w:r>
      <w:bookmarkStart w:id="483" w:name="pg20017_202667"/>
    </w:p>
    <w:p>
      <w:pPr>
        <w:pStyle w:val="BookText"/>
        <w:rPr/>
      </w:pPr>
      <w:bookmarkEnd w:id="483"/>
      <w:r>
        <w:rPr>
          <w:rFonts w:ascii="Amiri" w:hAnsi="Amiri" w:eastAsia="Amiri" w:cs="Amiri"/>
          <w:color w:val="111111"/>
          <w:sz w:val="28"/>
          <w:sz w:val="28"/>
          <w:szCs w:val="28"/>
          <w:rtl w:val="true"/>
          <w:lang w:bidi="ar-SA"/>
        </w:rPr>
        <w:t>تَعالىٰ‌</w:t>
      </w:r>
      <w:r>
        <w:rPr>
          <w:rStyle w:val="FootnoteAnchor"/>
          <w:rtl w:val="true"/>
        </w:rPr>
        <w:footnoteReference w:id="2743"/>
      </w:r>
      <w:r>
        <w:rPr>
          <w:rFonts w:ascii="Amiri" w:hAnsi="Amiri" w:eastAsia="Amiri" w:cs="Amiri"/>
          <w:color w:val="111111"/>
          <w:sz w:val="28"/>
          <w:sz w:val="28"/>
          <w:szCs w:val="28"/>
          <w:rtl w:val="true"/>
          <w:lang w:bidi="ar-SA"/>
        </w:rPr>
        <w:t xml:space="preserve">أن يَبقىٰ </w:t>
      </w:r>
      <w:r>
        <w:rPr>
          <w:rStyle w:val="FootnoteAnchor"/>
          <w:rtl w:val="true"/>
        </w:rPr>
        <w:footnoteReference w:id="2744"/>
      </w:r>
      <w:r>
        <w:rPr>
          <w:rFonts w:ascii="Amiri" w:hAnsi="Amiri" w:eastAsia="Amiri" w:cs="Amiri"/>
          <w:color w:val="111111"/>
          <w:sz w:val="28"/>
          <w:sz w:val="28"/>
          <w:szCs w:val="28"/>
          <w:rtl w:val="true"/>
          <w:lang w:bidi="ar-SA"/>
        </w:rPr>
        <w:t>بَعدَه و لا يَكونَ له ذلكَ ، لِيَجوزَنَّ أن لا يَكونَ له ذلكَ و إنِ استَخلَفَه؛ لأنّ استخلافَ موسىٰ له</w:t>
      </w:r>
      <w:r>
        <w:rPr>
          <w:rStyle w:val="FootnoteAnchor"/>
          <w:rtl w:val="true"/>
        </w:rPr>
        <w:footnoteReference w:id="2745"/>
      </w:r>
      <w:r>
        <w:rPr>
          <w:rFonts w:ascii="Amiri" w:hAnsi="Amiri" w:eastAsia="Amiri" w:cs="Amiri"/>
          <w:color w:val="111111"/>
          <w:sz w:val="28"/>
          <w:sz w:val="28"/>
          <w:szCs w:val="28"/>
          <w:rtl w:val="true"/>
          <w:lang w:bidi="ar-SA"/>
        </w:rPr>
        <w:t xml:space="preserve">لا يَكونُ أَوكَدَ مِن إرسالِ اللّٰهِ تَعالىٰ إيّاهُ </w:t>
      </w:r>
      <w:r>
        <w:rPr>
          <w:rStyle w:val="FootnoteAnchor"/>
          <w:rtl w:val="true"/>
        </w:rPr>
        <w:footnoteReference w:id="2746"/>
      </w:r>
      <w:r>
        <w:rPr>
          <w:rFonts w:ascii="Amiri" w:hAnsi="Amiri" w:eastAsia="Amiri" w:cs="Amiri"/>
          <w:color w:val="111111"/>
          <w:sz w:val="28"/>
          <w:sz w:val="28"/>
          <w:szCs w:val="28"/>
          <w:rtl w:val="true"/>
          <w:lang w:bidi="ar-SA"/>
        </w:rPr>
        <w:t>معه رَسولاً</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4" w:name="__RefHeading___Toc964337_2320776876"/>
      <w:bookmarkStart w:id="485" w:name="_Toc172"/>
      <w:bookmarkEnd w:id="484"/>
      <w:r>
        <w:rPr>
          <w:rtl w:val="true"/>
        </w:rPr>
        <w:t>بيان الفرق بين النبوّة و الاستخلاف في اقتضاء الإمامة</w:t>
      </w:r>
      <w:bookmarkEnd w:id="485"/>
    </w:p>
    <w:p>
      <w:pPr>
        <w:pStyle w:val="BookText"/>
        <w:rPr/>
      </w:pPr>
      <w:r>
        <w:rPr>
          <w:rFonts w:ascii="Amiri" w:hAnsi="Amiri" w:eastAsia="Amiri" w:cs="Amiri"/>
          <w:color w:val="111111"/>
          <w:sz w:val="28"/>
          <w:sz w:val="28"/>
          <w:szCs w:val="28"/>
          <w:rtl w:val="true"/>
          <w:lang w:bidi="ar-SA"/>
        </w:rPr>
        <w:t>و هذا ممّا قد مَضَى الكلامُ عليه، و بيّنّا</w:t>
      </w:r>
      <w:r>
        <w:rPr>
          <w:rStyle w:val="FootnoteAnchor"/>
          <w:rtl w:val="true"/>
        </w:rPr>
        <w:footnoteReference w:id="2748"/>
      </w:r>
      <w:r>
        <w:rPr>
          <w:rFonts w:ascii="Amiri" w:hAnsi="Amiri" w:eastAsia="Amiri" w:cs="Amiri"/>
          <w:color w:val="111111"/>
          <w:sz w:val="28"/>
          <w:sz w:val="28"/>
          <w:szCs w:val="28"/>
          <w:rtl w:val="true"/>
          <w:lang w:bidi="ar-SA"/>
        </w:rPr>
        <w:t>أنّ الذي يَقومُ به الأئمّةُ وِلايةٌ مُنفَصِلةٌ مِن النبوّةِ‌</w:t>
      </w:r>
      <w:r>
        <w:rPr>
          <w:rStyle w:val="FootnoteAnchor"/>
          <w:rtl w:val="true"/>
        </w:rPr>
        <w:footnoteReference w:id="2749"/>
      </w:r>
      <w:r>
        <w:rPr>
          <w:rFonts w:ascii="Amiri" w:hAnsi="Amiri" w:eastAsia="Amiri" w:cs="Amiri"/>
          <w:color w:val="111111"/>
          <w:sz w:val="28"/>
          <w:sz w:val="28"/>
          <w:szCs w:val="28"/>
          <w:rtl w:val="true"/>
          <w:lang w:bidi="ar-SA"/>
        </w:rPr>
        <w:t>، و أنّه غيرُ مُمتَنِعٍ أن تَثبُتَ‌</w:t>
      </w:r>
      <w:r>
        <w:rPr>
          <w:rStyle w:val="FootnoteAnchor"/>
          <w:rtl w:val="true"/>
        </w:rPr>
        <w:footnoteReference w:id="2750"/>
      </w:r>
      <w:r>
        <w:rPr>
          <w:rFonts w:ascii="Amiri" w:hAnsi="Amiri" w:eastAsia="Amiri" w:cs="Amiri"/>
          <w:color w:val="111111"/>
          <w:sz w:val="28"/>
          <w:sz w:val="28"/>
          <w:szCs w:val="28"/>
          <w:rtl w:val="true"/>
          <w:lang w:bidi="ar-SA"/>
        </w:rPr>
        <w:t>النبوّةُ لِمَن لا تَثُبتُ‌</w:t>
      </w:r>
      <w:r>
        <w:rPr>
          <w:rStyle w:val="FootnoteAnchor"/>
          <w:rtl w:val="true"/>
        </w:rPr>
        <w:footnoteReference w:id="2751"/>
      </w:r>
      <w:r>
        <w:rPr>
          <w:rFonts w:ascii="Amiri" w:hAnsi="Amiri" w:eastAsia="Amiri" w:cs="Amiri"/>
          <w:color w:val="111111"/>
          <w:sz w:val="28"/>
          <w:sz w:val="28"/>
          <w:szCs w:val="28"/>
          <w:rtl w:val="true"/>
          <w:lang w:bidi="ar-SA"/>
        </w:rPr>
        <w:t>له هذه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فهو تصريحٌ أيضاً منه بالمُناقَضةِ‌؛ لأنّه قالَ فيما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غيرُ واجبٍ‌</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فيمن يَكونُ شَريكاً لموسىٰ عليه السلامُ في النبوّةِ أن يَكونَ هو القَيِّمَ بَعدَ وفاتِه بما يَقومُ به الإمامُ </w:t>
      </w:r>
      <w:r>
        <w:rPr>
          <w:rFonts w:eastAsia="Amiri" w:cs="Amiri" w:ascii="Amiri" w:hAnsi="Amiri"/>
          <w:color w:val="111111"/>
          <w:sz w:val="28"/>
          <w:szCs w:val="28"/>
          <w:rtl w:val="true"/>
          <w:lang w:bidi="ar-SA"/>
        </w:rPr>
        <w:t>»</w:t>
      </w:r>
      <w:r>
        <w:rPr>
          <w:rStyle w:val="FootnoteAnchor"/>
          <w:rtl w:val="true"/>
        </w:rPr>
        <w:footnoteReference w:id="2752"/>
      </w:r>
      <w:r>
        <w:rPr>
          <w:rFonts w:ascii="Amiri" w:hAnsi="Amiri" w:eastAsia="Amiri" w:cs="Amiri"/>
          <w:color w:val="111111"/>
          <w:sz w:val="28"/>
          <w:sz w:val="28"/>
          <w:szCs w:val="28"/>
          <w:rtl w:val="true"/>
          <w:lang w:bidi="ar-SA"/>
        </w:rPr>
        <w:t xml:space="preserve">و قالَ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الشِّركةَ في النبوّةِ تَقتَضي القيامَ بذلكَ </w:t>
      </w:r>
      <w:r>
        <w:rPr>
          <w:rFonts w:eastAsia="Amiri" w:cs="Amiri" w:ascii="Amiri" w:hAnsi="Amiri"/>
          <w:color w:val="111111"/>
          <w:sz w:val="28"/>
          <w:szCs w:val="28"/>
          <w:rtl w:val="true"/>
          <w:lang w:bidi="ar-SA"/>
        </w:rPr>
        <w:t>»</w:t>
      </w:r>
      <w:r>
        <w:rPr>
          <w:rStyle w:val="FootnoteAnchor"/>
          <w:rtl w:val="true"/>
        </w:rPr>
        <w:footnoteReference w:id="2753"/>
      </w:r>
      <w:r>
        <w:rPr>
          <w:rFonts w:ascii="Amiri" w:hAnsi="Amiri" w:eastAsia="Amiri" w:cs="Amiri"/>
          <w:color w:val="111111"/>
          <w:sz w:val="28"/>
          <w:sz w:val="28"/>
          <w:szCs w:val="28"/>
          <w:rtl w:val="true"/>
          <w:lang w:bidi="ar-SA"/>
        </w:rPr>
        <w:t>و تَجاوَزَ هذا إلىٰ أن جَعَلَ اقتضاءَ النبوّةِ لهذه المَنزِلةِ كاقتضاءِ الاستخلافِ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الفَرقُ بَينَ الاستخلافِ في اقتضائه هذه الوِلايةَ و بَينَ النبوّةِ واضحٌ ؛ لأنّه إذا بانَ بما قَدَّمنا ذِكرَه أنّ الذي يَقومُ به الأئمّةُ لَيسَ مِن مُقتَضَى النبوّةِ لَم يَجِب بثُبوتِها ثُبوتُه، و الاستخلافُ لا شَكَّ في أنّه سببُ القيامِ بما يُسنِدُه المُستَخلِفُ إلى خَليفتِه مِن جُملةِ ما يَتوَلّاه و يَكونُ إليه التصرُّفُ فيه</w:t>
      </w:r>
      <w:r>
        <w:rPr>
          <w:rStyle w:val="FootnoteAnchor"/>
          <w:rtl w:val="true"/>
        </w:rPr>
        <w:footnoteReference w:id="2754"/>
      </w:r>
      <w:r>
        <w:rPr>
          <w:rFonts w:ascii="Amiri" w:hAnsi="Amiri" w:eastAsia="Amiri" w:cs="Amiri"/>
          <w:color w:val="111111"/>
          <w:sz w:val="28"/>
          <w:sz w:val="28"/>
          <w:szCs w:val="28"/>
          <w:rtl w:val="true"/>
          <w:lang w:bidi="ar-SA"/>
        </w:rPr>
        <w:t xml:space="preserve">فكَيفَ يَصِحُّ أن يُدخِلَ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أَوكَدَ</w:t>
      </w:r>
      <w:r>
        <w:rPr>
          <w:rFonts w:eastAsia="Amiri" w:cs="Amiri" w:ascii="Amiri" w:hAnsi="Amiri"/>
          <w:color w:val="111111"/>
          <w:sz w:val="28"/>
          <w:szCs w:val="28"/>
          <w:rtl w:val="true"/>
          <w:lang w:bidi="ar-SA"/>
        </w:rPr>
        <w:t>»</w:t>
      </w:r>
      <w:r>
        <w:rPr>
          <w:rStyle w:val="FootnoteAnchor"/>
          <w:rtl w:val="true"/>
        </w:rPr>
        <w:footnoteReference w:id="2755"/>
      </w:r>
      <w:r>
        <w:rPr>
          <w:rFonts w:ascii="Amiri" w:hAnsi="Amiri" w:eastAsia="Amiri" w:cs="Amiri"/>
          <w:color w:val="111111"/>
          <w:sz w:val="28"/>
          <w:sz w:val="28"/>
          <w:szCs w:val="28"/>
          <w:rtl w:val="true"/>
          <w:lang w:bidi="ar-SA"/>
        </w:rPr>
        <w:t xml:space="preserve">بَينَ هذَينِ </w:t>
      </w:r>
      <w:r>
        <w:rPr>
          <w:rStyle w:val="FootnoteAnchor"/>
          <w:rtl w:val="true"/>
        </w:rPr>
        <w:footnoteReference w:id="2756"/>
      </w:r>
      <w:r>
        <w:rPr>
          <w:rFonts w:ascii="Amiri" w:hAnsi="Amiri" w:eastAsia="Amiri" w:cs="Amiri"/>
          <w:color w:val="111111"/>
          <w:sz w:val="28"/>
          <w:sz w:val="28"/>
          <w:szCs w:val="28"/>
          <w:rtl w:val="true"/>
          <w:lang w:bidi="ar-SA"/>
        </w:rPr>
        <w:t>، و أحَدُهما لا تأثيرَ له جُملةً ، و الآخَرُ معلومٌ تأثيرُه و كَونُه سبباً؟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w:t>
      </w:r>
      <w:r>
        <w:rPr>
          <w:rStyle w:val="FootnoteAnchor"/>
          <w:rtl w:val="true"/>
        </w:rPr>
        <w:footnoteReference w:id="2757"/>
      </w:r>
      <w:r>
        <w:rPr>
          <w:rFonts w:ascii="Amiri" w:hAnsi="Amiri" w:eastAsia="Amiri" w:cs="Amiri"/>
          <w:color w:val="111111"/>
          <w:sz w:val="28"/>
          <w:sz w:val="28"/>
          <w:szCs w:val="28"/>
          <w:rtl w:val="true"/>
          <w:lang w:bidi="ar-SA"/>
        </w:rPr>
        <w:t>تَرَكنا حِكايَتَه؛ لأنّ جُملةَ ما تَقدَّمَ مِن كلامِنا قد أتَت عليه؛ فقَد بيّنّا أنّه لا مُعتَبَرَ في تشبيهِ إحدَى المَنزِلتَينِ بالأُخرىٰ بأسبابِهما و بما هو كالمُقتَضي لهُما،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عليه السلامُ لَو ثَبَتَ‌</w:t>
      </w:r>
      <w:r>
        <w:rPr>
          <w:rStyle w:val="FootnoteAnchor"/>
          <w:rtl w:val="true"/>
        </w:rPr>
        <w:footnoteReference w:id="2758"/>
      </w:r>
      <w:r>
        <w:rPr>
          <w:rFonts w:ascii="Amiri" w:hAnsi="Amiri" w:eastAsia="Amiri" w:cs="Amiri"/>
          <w:color w:val="111111"/>
          <w:sz w:val="28"/>
          <w:sz w:val="28"/>
          <w:szCs w:val="28"/>
          <w:rtl w:val="true"/>
          <w:lang w:bidi="ar-SA"/>
        </w:rPr>
        <w:t>أنّ وِلايتَه علىٰ قومِ أخيه عليه السلامُ‌</w:t>
      </w:r>
      <w:r>
        <w:rPr>
          <w:rStyle w:val="FootnoteAnchor"/>
          <w:rtl w:val="true"/>
        </w:rPr>
        <w:footnoteReference w:id="2759"/>
      </w:r>
      <w:r>
        <w:rPr>
          <w:rFonts w:ascii="Amiri" w:hAnsi="Amiri" w:eastAsia="Amiri" w:cs="Amiri"/>
          <w:color w:val="111111"/>
          <w:sz w:val="28"/>
          <w:sz w:val="28"/>
          <w:szCs w:val="28"/>
          <w:rtl w:val="true"/>
          <w:lang w:bidi="ar-SA"/>
        </w:rPr>
        <w:t>كانَت</w:t>
      </w:r>
      <w:r>
        <w:rPr>
          <w:rStyle w:val="FootnoteAnchor"/>
          <w:rtl w:val="true"/>
        </w:rPr>
        <w:footnoteReference w:id="2760"/>
      </w:r>
      <w:r>
        <w:rPr>
          <w:rFonts w:ascii="Amiri" w:hAnsi="Amiri" w:eastAsia="Amiri" w:cs="Amiri"/>
          <w:color w:val="111111"/>
          <w:sz w:val="28"/>
          <w:sz w:val="28"/>
          <w:szCs w:val="28"/>
          <w:rtl w:val="true"/>
          <w:lang w:bidi="ar-SA"/>
        </w:rPr>
        <w:t xml:space="preserve">بغَيرِ استخلافٍ ، بَل لأجلِ نُبوّتِه، لَم يَلزَمْ فيمن جُعِلَ له مِثلُ مَنزِلتِه أن يَكونَ مُشارِكاً له في سببِ المَنزِلةِ و كَيفيّةِ حُصولِها، و دَلَّلنا علىٰ أنّ هارونَ لَو بَقيَ بَعدَ وفاةِ أخيه لَوَجَبَ أن يَكونَ حالُه في الإمامةِ باقيةً غيرَ مُتغيِّرةٍ ؛ و فَرَّقنا بَينَ أن لا يَكونَ إليه ذلكَ في الابتداءِ ، و بَينَ أن يَتوَلّاه ثُم يُعزَلَ </w:t>
      </w:r>
      <w:r>
        <w:rPr>
          <w:rStyle w:val="FootnoteAnchor"/>
          <w:rtl w:val="true"/>
        </w:rPr>
        <w:footnoteReference w:id="2761"/>
      </w:r>
      <w:r>
        <w:rPr>
          <w:rFonts w:ascii="Amiri" w:hAnsi="Amiri" w:eastAsia="Amiri" w:cs="Amiri"/>
          <w:color w:val="111111"/>
          <w:sz w:val="28"/>
          <w:sz w:val="28"/>
          <w:szCs w:val="28"/>
          <w:rtl w:val="true"/>
          <w:lang w:bidi="ar-SA"/>
        </w:rPr>
        <w:t>عنه؛ بأنّ الأوّلَ لا تنفيرَ فيه، و الثانيَ موجِبٌ للتنفيرِ</w:t>
      </w:r>
      <w:r>
        <w:rPr>
          <w:rStyle w:val="FootnoteAnchor"/>
          <w:rtl w:val="true"/>
        </w:rPr>
        <w:footnoteReference w:id="2762"/>
      </w:r>
      <w:r>
        <w:rPr>
          <w:rFonts w:ascii="Amiri" w:hAnsi="Amiri" w:eastAsia="Amiri" w:cs="Amiri"/>
          <w:color w:val="111111"/>
          <w:sz w:val="28"/>
          <w:sz w:val="28"/>
          <w:szCs w:val="28"/>
          <w:rtl w:val="true"/>
          <w:lang w:bidi="ar-SA"/>
        </w:rPr>
        <w:t>الذي لا بُدَّ أن يُجَنَّبَه</w:t>
      </w:r>
      <w:r>
        <w:rPr>
          <w:rStyle w:val="FootnoteAnchor"/>
          <w:rtl w:val="true"/>
        </w:rPr>
        <w:footnoteReference w:id="2763"/>
      </w:r>
    </w:p>
    <w:p>
      <w:pPr>
        <w:pStyle w:val="BookText"/>
        <w:rPr/>
      </w:pPr>
      <w:r>
        <w:rPr>
          <w:rFonts w:ascii="Amiri" w:hAnsi="Amiri" w:eastAsia="Amiri" w:cs="Amiri"/>
          <w:color w:val="111111"/>
          <w:sz w:val="28"/>
          <w:sz w:val="28"/>
          <w:szCs w:val="28"/>
          <w:rtl w:val="true"/>
          <w:lang w:bidi="ar-SA"/>
        </w:rPr>
        <w:t xml:space="preserve">عليه السلامُ </w:t>
      </w:r>
      <w:r>
        <w:rPr>
          <w:rStyle w:val="FootnoteAnchor"/>
          <w:rtl w:val="true"/>
        </w:rPr>
        <w:footnoteReference w:id="2764"/>
      </w:r>
      <w:r>
        <w:rPr>
          <w:rFonts w:ascii="Amiri" w:hAnsi="Amiri" w:eastAsia="Amiri" w:cs="Amiri"/>
          <w:color w:val="111111"/>
          <w:sz w:val="28"/>
          <w:sz w:val="28"/>
          <w:szCs w:val="28"/>
          <w:rtl w:val="true"/>
          <w:lang w:bidi="ar-SA"/>
        </w:rPr>
        <w:t>و لَيسَ يَخرُجُ عمّا</w:t>
      </w:r>
      <w:r>
        <w:rPr>
          <w:rStyle w:val="FootnoteAnchor"/>
          <w:rtl w:val="true"/>
        </w:rPr>
        <w:footnoteReference w:id="2765"/>
      </w:r>
      <w:r>
        <w:rPr>
          <w:rFonts w:ascii="Amiri" w:hAnsi="Amiri" w:eastAsia="Amiri" w:cs="Amiri"/>
          <w:color w:val="111111"/>
          <w:sz w:val="28"/>
          <w:sz w:val="28"/>
          <w:szCs w:val="28"/>
          <w:rtl w:val="true"/>
          <w:lang w:bidi="ar-SA"/>
        </w:rPr>
        <w:t>أشَرنا إليه</w:t>
      </w:r>
      <w:r>
        <w:rPr>
          <w:rStyle w:val="FootnoteAnchor"/>
          <w:rtl w:val="true"/>
        </w:rPr>
        <w:footnoteReference w:id="2766"/>
      </w:r>
      <w:r>
        <w:rPr>
          <w:rFonts w:ascii="Amiri" w:hAnsi="Amiri" w:eastAsia="Amiri" w:cs="Amiri"/>
          <w:color w:val="111111"/>
          <w:sz w:val="28"/>
          <w:sz w:val="28"/>
          <w:szCs w:val="28"/>
          <w:rtl w:val="true"/>
          <w:lang w:bidi="ar-SA"/>
        </w:rPr>
        <w:t>شَيءٌ مِن كلامِه الذي تَجاوَزناه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المُرادُ عندَكم بهذا الخبرِ؟</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لمّا استَخلَفَه علَى المَدينةِ و تَكلَّمَ المُنافِقونَ فيه، قالَ هذا القولَ دالاًّ به</w:t>
      </w:r>
      <w:r>
        <w:rPr>
          <w:rStyle w:val="FootnoteAnchor"/>
          <w:rtl w:val="true"/>
        </w:rPr>
        <w:footnoteReference w:id="2767"/>
      </w:r>
      <w:r>
        <w:rPr>
          <w:rFonts w:ascii="Amiri" w:hAnsi="Amiri" w:eastAsia="Amiri" w:cs="Amiri"/>
          <w:color w:val="111111"/>
          <w:sz w:val="28"/>
          <w:sz w:val="28"/>
          <w:szCs w:val="28"/>
          <w:rtl w:val="true"/>
          <w:lang w:bidi="ar-SA"/>
        </w:rPr>
        <w:t>علىٰ لُطفِ مَحَلِّه منه، و قُوّةِ‌</w:t>
      </w:r>
      <w:r>
        <w:rPr>
          <w:rStyle w:val="FootnoteAnchor"/>
          <w:rtl w:val="true"/>
        </w:rPr>
        <w:footnoteReference w:id="2768"/>
      </w:r>
      <w:r>
        <w:rPr>
          <w:rFonts w:ascii="Amiri" w:hAnsi="Amiri" w:eastAsia="Amiri" w:cs="Amiri"/>
          <w:color w:val="111111"/>
          <w:sz w:val="28"/>
          <w:sz w:val="28"/>
          <w:szCs w:val="28"/>
          <w:rtl w:val="true"/>
          <w:lang w:bidi="ar-SA"/>
        </w:rPr>
        <w:t>سُكونِه إليه،</w:t>
      </w:r>
    </w:p>
    <w:p>
      <w:pPr>
        <w:pStyle w:val="BookText"/>
        <w:rPr/>
      </w:pPr>
      <w:r>
        <w:rPr>
          <w:rFonts w:ascii="Amiri" w:hAnsi="Amiri" w:eastAsia="Amiri" w:cs="Amiri"/>
          <w:color w:val="111111"/>
          <w:sz w:val="28"/>
          <w:sz w:val="28"/>
          <w:szCs w:val="28"/>
          <w:rtl w:val="true"/>
          <w:lang w:bidi="ar-SA"/>
        </w:rPr>
        <w:t>و اشتدادِ</w:t>
      </w:r>
      <w:r>
        <w:rPr>
          <w:rStyle w:val="FootnoteAnchor"/>
          <w:rtl w:val="true"/>
        </w:rPr>
        <w:footnoteReference w:id="2769"/>
      </w:r>
      <w:r>
        <w:rPr>
          <w:rFonts w:ascii="Amiri" w:hAnsi="Amiri" w:eastAsia="Amiri" w:cs="Amiri"/>
          <w:color w:val="111111"/>
          <w:sz w:val="28"/>
          <w:sz w:val="28"/>
          <w:szCs w:val="28"/>
          <w:rtl w:val="true"/>
          <w:lang w:bidi="ar-SA"/>
        </w:rPr>
        <w:t>ظَهرِه به؛ ليُزيلَ ما خامَرَ</w:t>
      </w:r>
      <w:r>
        <w:rPr>
          <w:rStyle w:val="FootnoteAnchor"/>
          <w:rtl w:val="true"/>
        </w:rPr>
        <w:footnoteReference w:id="2770"/>
      </w:r>
      <w:r>
        <w:rPr>
          <w:rFonts w:ascii="Amiri" w:hAnsi="Amiri" w:eastAsia="Amiri" w:cs="Amiri"/>
          <w:color w:val="111111"/>
          <w:sz w:val="28"/>
          <w:sz w:val="28"/>
          <w:szCs w:val="28"/>
          <w:rtl w:val="true"/>
          <w:lang w:bidi="ar-SA"/>
        </w:rPr>
        <w:t>القُلوبَ مِن الشُّبهةِ في أمرِه، و لِيُعلِمَ أنّه عليه السلامُ‌</w:t>
      </w:r>
      <w:r>
        <w:rPr>
          <w:rStyle w:val="FootnoteAnchor"/>
          <w:rtl w:val="true"/>
        </w:rPr>
        <w:footnoteReference w:id="2771"/>
      </w:r>
      <w:r>
        <w:rPr>
          <w:rFonts w:ascii="Amiri" w:hAnsi="Amiri" w:eastAsia="Amiri" w:cs="Amiri"/>
          <w:color w:val="111111"/>
          <w:sz w:val="28"/>
          <w:sz w:val="28"/>
          <w:szCs w:val="28"/>
          <w:rtl w:val="true"/>
          <w:lang w:bidi="ar-SA"/>
        </w:rPr>
        <w:t>إنّما استَخلَفَه لهذه الأحوالِ التي تَقتَضي نِهايةَ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الأغلبُ في العُرفِ و العادةِ أنّ الإنسانَ إنّما يَستَعمِلُ ذِكرَ المَنزِلةِ بمعنَى المَحَلِّ و المَوقِعِ‌</w:t>
      </w:r>
      <w:r>
        <w:rPr>
          <w:rStyle w:val="FootnoteAnchor"/>
          <w:rtl w:val="true"/>
        </w:rPr>
        <w:footnoteReference w:id="2772"/>
      </w:r>
      <w:r>
        <w:rPr>
          <w:rFonts w:ascii="Amiri" w:hAnsi="Amiri" w:eastAsia="Amiri" w:cs="Amiri"/>
          <w:color w:val="111111"/>
          <w:sz w:val="28"/>
          <w:sz w:val="28"/>
          <w:szCs w:val="28"/>
          <w:rtl w:val="true"/>
          <w:lang w:bidi="ar-SA"/>
        </w:rPr>
        <w:t>لأنّه لا فَرقَ بَينَ قولِ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مِنّي بمَحَلِّ فُلانٍ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فُلانٍ مِن فُلانٍ‌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عَلِمنا أنّ الظاهرَ مِن ذلكَ المَوقِعُ‌</w:t>
      </w:r>
      <w:r>
        <w:rPr>
          <w:rStyle w:val="FootnoteAnchor"/>
          <w:rtl w:val="true"/>
        </w:rPr>
        <w:footnoteReference w:id="2773"/>
      </w:r>
      <w:r>
        <w:rPr>
          <w:rFonts w:ascii="Amiri" w:hAnsi="Amiri" w:eastAsia="Amiri" w:cs="Amiri"/>
          <w:color w:val="111111"/>
          <w:sz w:val="28"/>
          <w:sz w:val="28"/>
          <w:szCs w:val="28"/>
          <w:rtl w:val="true"/>
          <w:lang w:bidi="ar-SA"/>
        </w:rPr>
        <w:t xml:space="preserve">مِن القَلبِ </w:t>
      </w:r>
      <w:r>
        <w:rPr>
          <w:rStyle w:val="FootnoteAnchor"/>
          <w:rtl w:val="true"/>
        </w:rPr>
        <w:footnoteReference w:id="2774"/>
      </w:r>
      <w:r>
        <w:rPr>
          <w:rFonts w:ascii="Amiri" w:hAnsi="Amiri" w:eastAsia="Amiri" w:cs="Amiri"/>
          <w:color w:val="111111"/>
          <w:sz w:val="28"/>
          <w:sz w:val="28"/>
          <w:szCs w:val="28"/>
          <w:rtl w:val="true"/>
          <w:lang w:bidi="ar-SA"/>
        </w:rPr>
        <w:t xml:space="preserve">في الاختصاصِ </w:t>
      </w:r>
    </w:p>
    <w:p>
      <w:pPr>
        <w:pStyle w:val="BookText"/>
        <w:rPr/>
      </w:pPr>
      <w:r>
        <w:rPr>
          <w:rFonts w:ascii="Amiri" w:hAnsi="Amiri" w:eastAsia="Amiri" w:cs="Amiri"/>
          <w:color w:val="111111"/>
          <w:sz w:val="28"/>
          <w:sz w:val="28"/>
          <w:szCs w:val="28"/>
          <w:rtl w:val="true"/>
          <w:lang w:bidi="ar-SA"/>
        </w:rPr>
        <w:t xml:space="preserve">و السُّكونِ و الاعتمادِ، دونَ ما يَرجِعُ إلَى الوِلاياتِ‌؛ فيَجِبُ أن يَكونَ الخبرُ محمولاً عليه، لِشهادةِ </w:t>
      </w:r>
      <w:r>
        <w:rPr>
          <w:rStyle w:val="FootnoteAnchor"/>
          <w:rtl w:val="true"/>
        </w:rPr>
        <w:footnoteReference w:id="2775"/>
      </w:r>
      <w:r>
        <w:rPr>
          <w:rFonts w:ascii="Amiri" w:hAnsi="Amiri" w:eastAsia="Amiri" w:cs="Amiri"/>
          <w:color w:val="111111"/>
          <w:sz w:val="28"/>
          <w:sz w:val="28"/>
          <w:szCs w:val="28"/>
          <w:rtl w:val="true"/>
          <w:lang w:bidi="ar-SA"/>
        </w:rPr>
        <w:t xml:space="preserve">التعارُفِ </w:t>
      </w:r>
      <w:r>
        <w:rPr>
          <w:rStyle w:val="FootnoteAnchor"/>
          <w:rtl w:val="true"/>
        </w:rPr>
        <w:footnoteReference w:id="2776"/>
      </w:r>
      <w:r>
        <w:rPr>
          <w:rFonts w:ascii="Amiri" w:hAnsi="Amiri" w:eastAsia="Amiri" w:cs="Amiri"/>
          <w:color w:val="111111"/>
          <w:sz w:val="28"/>
          <w:sz w:val="28"/>
          <w:szCs w:val="28"/>
          <w:rtl w:val="true"/>
          <w:lang w:bidi="ar-SA"/>
        </w:rPr>
        <w:t xml:space="preserve">و لِشهادةِ </w:t>
      </w:r>
      <w:r>
        <w:rPr>
          <w:rStyle w:val="FootnoteAnchor"/>
          <w:rtl w:val="true"/>
        </w:rPr>
        <w:footnoteReference w:id="2777"/>
      </w:r>
      <w:r>
        <w:rPr>
          <w:rFonts w:ascii="Amiri" w:hAnsi="Amiri" w:eastAsia="Amiri" w:cs="Amiri"/>
          <w:color w:val="111111"/>
          <w:sz w:val="28"/>
          <w:sz w:val="28"/>
          <w:szCs w:val="28"/>
          <w:rtl w:val="true"/>
          <w:lang w:bidi="ar-SA"/>
        </w:rPr>
        <w:t>السببِ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ما ذَكرتم، فما الوجهُ في استثناءِ النبوّةِ مِن هذا القولِ ، و لَيسَ لها به تَعلُّقٌ؟</w:t>
      </w:r>
    </w:p>
    <w:p>
      <w:pPr>
        <w:pStyle w:val="BookText"/>
        <w:rPr/>
      </w:pPr>
      <w:r>
        <w:rPr>
          <w:rFonts w:ascii="Amiri" w:hAnsi="Amiri" w:eastAsia="Amiri" w:cs="Amiri"/>
          <w:color w:val="111111"/>
          <w:sz w:val="28"/>
          <w:sz w:val="28"/>
          <w:szCs w:val="28"/>
          <w:rtl w:val="true"/>
          <w:lang w:bidi="ar-SA"/>
        </w:rPr>
        <w:t>قيلَ له</w:t>
      </w:r>
      <w:r>
        <w:rPr>
          <w:rStyle w:val="FootnoteAnchor"/>
          <w:rtl w:val="true"/>
        </w:rPr>
        <w:footnoteReference w:id="2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المُتَعالَمَ مِن حالِ هارونَ أنّه كانَ مَوقِعُه مِن قَلبِ موسىٰ لمَكانِ النبوّةِ أعظَمَ‌، و أنّ النبوّةَ أوجَبَت مَزِيّةً في هذا البابِ‌</w:t>
      </w:r>
      <w:r>
        <w:rPr>
          <w:rStyle w:val="FootnoteAnchor"/>
          <w:rtl w:val="true"/>
        </w:rPr>
        <w:footnoteReference w:id="2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w:t>
      </w:r>
      <w:r>
        <w:rPr>
          <w:rStyle w:val="FootnoteAnchor"/>
          <w:rtl w:val="true"/>
        </w:rPr>
        <w:footnoteReference w:id="2780"/>
      </w:r>
      <w:r>
        <w:rPr>
          <w:rFonts w:ascii="Amiri" w:hAnsi="Amiri" w:eastAsia="Amiri" w:cs="Amiri"/>
          <w:color w:val="111111"/>
          <w:sz w:val="28"/>
          <w:sz w:val="28"/>
          <w:szCs w:val="28"/>
          <w:rtl w:val="true"/>
          <w:lang w:bidi="ar-SA"/>
        </w:rPr>
        <w:t xml:space="preserve">يَجوزُ لَو لَم يَستَثنِ عليه السلامُ النبوّةَ أن يُتوهَّمَ </w:t>
      </w:r>
      <w:r>
        <w:rPr>
          <w:rStyle w:val="FootnoteAnchor"/>
          <w:rtl w:val="true"/>
        </w:rPr>
        <w:footnoteReference w:id="2781"/>
      </w:r>
      <w:r>
        <w:rPr>
          <w:rFonts w:ascii="Amiri" w:hAnsi="Amiri" w:eastAsia="Amiri" w:cs="Amiri"/>
          <w:color w:val="111111"/>
          <w:sz w:val="28"/>
          <w:sz w:val="28"/>
          <w:szCs w:val="28"/>
          <w:rtl w:val="true"/>
          <w:lang w:bidi="ar-SA"/>
        </w:rPr>
        <w:t xml:space="preserve">أنّ مَنزِلةَ أميرِ المؤمنينَ عليه السلامُ </w:t>
      </w:r>
      <w:r>
        <w:rPr>
          <w:rStyle w:val="FootnoteAnchor"/>
          <w:rtl w:val="true"/>
        </w:rPr>
        <w:footnoteReference w:id="2782"/>
      </w:r>
      <w:r>
        <w:rPr>
          <w:rFonts w:ascii="Amiri" w:hAnsi="Amiri" w:eastAsia="Amiri" w:cs="Amiri"/>
          <w:color w:val="111111"/>
          <w:sz w:val="28"/>
          <w:sz w:val="28"/>
          <w:szCs w:val="28"/>
          <w:rtl w:val="true"/>
          <w:lang w:bidi="ar-SA"/>
        </w:rPr>
        <w:t>تُماثِلُ هذه المَنزِلةَ ، فأرادَ أن يُبيِّنَ باستثنائه</w:t>
      </w:r>
      <w:r>
        <w:rPr>
          <w:rStyle w:val="FootnoteAnchor"/>
          <w:rtl w:val="true"/>
        </w:rPr>
        <w:footnoteReference w:id="2783"/>
      </w:r>
      <w:r>
        <w:rPr>
          <w:rFonts w:ascii="Amiri" w:hAnsi="Amiri" w:eastAsia="Amiri" w:cs="Amiri"/>
          <w:color w:val="111111"/>
          <w:sz w:val="28"/>
          <w:sz w:val="28"/>
          <w:szCs w:val="28"/>
          <w:rtl w:val="true"/>
          <w:lang w:bidi="ar-SA"/>
        </w:rPr>
        <w:t>النبوّةَ أنّها مُقصِّرةٌ عن هذه المَنزِلةِ القَدْرَ الذي يَقتَضيهِ نَفيُ نُبوّتِه</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كَما يَقولُ أحَدُنا لرَفيعِ المَحَلِّ في قَلبِه</w:t>
      </w:r>
      <w:r>
        <w:rPr>
          <w:rStyle w:val="FootnoteAnchor"/>
          <w:rtl w:val="true"/>
        </w:rPr>
        <w:footnoteReference w:id="27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مَحَلَّكَ و مَنزِلتَكَ </w:t>
      </w:r>
    </w:p>
    <w:p>
      <w:pPr>
        <w:pStyle w:val="BookText"/>
        <w:rPr/>
      </w:pPr>
      <w:r>
        <w:rPr>
          <w:rFonts w:ascii="Amiri" w:hAnsi="Amiri" w:eastAsia="Amiri" w:cs="Amiri"/>
          <w:color w:val="111111"/>
          <w:sz w:val="28"/>
          <w:sz w:val="28"/>
          <w:szCs w:val="28"/>
          <w:rtl w:val="true"/>
          <w:lang w:bidi="ar-SA"/>
        </w:rPr>
        <w:t>مِنّي مَحَلُّ وَلَدي، و إن لَم تَكُن لي</w:t>
      </w:r>
      <w:r>
        <w:rPr>
          <w:rStyle w:val="FootnoteAnchor"/>
          <w:rtl w:val="true"/>
        </w:rPr>
        <w:footnoteReference w:id="2786"/>
      </w:r>
      <w:r>
        <w:rPr>
          <w:rFonts w:ascii="Amiri" w:hAnsi="Amiri" w:eastAsia="Amiri" w:cs="Amiri"/>
          <w:color w:val="111111"/>
          <w:sz w:val="28"/>
          <w:sz w:val="28"/>
          <w:szCs w:val="28"/>
          <w:rtl w:val="true"/>
          <w:lang w:bidi="ar-SA"/>
        </w:rPr>
        <w:t>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يُستَعمَلُ ما يَجري مَجرَى الاستثناءِ في هذا البابِ في الوجهِ الذي مِن حَقِّه أن يؤكِّدَ تلكَ المَنزِلةَ‌، و يُعظِّمَ أمرَها، و يُفخِّمَ شأنَها</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بَعدَ كلامٍ‌</w:t>
      </w:r>
      <w:r>
        <w:rPr>
          <w:rStyle w:val="FootnoteAnchor"/>
          <w:rtl w:val="true"/>
        </w:rPr>
        <w:footnoteReference w:id="2788"/>
      </w:r>
      <w:r>
        <w:rPr>
          <w:rFonts w:ascii="Amiri" w:hAnsi="Amiri" w:eastAsia="Amiri" w:cs="Amiri"/>
          <w:color w:val="111111"/>
          <w:sz w:val="28"/>
          <w:sz w:val="28"/>
          <w:szCs w:val="28"/>
          <w:rtl w:val="true"/>
          <w:lang w:bidi="ar-SA"/>
        </w:rPr>
        <w:t>تَرَكناه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أنّ ذلكَ كذلكَ‌، لَم يَكُن في هذا القولِ إزالةٌ عن القُلوبِ ما تَحدَّثَ‌</w:t>
      </w:r>
      <w:r>
        <w:rPr>
          <w:rStyle w:val="FootnoteAnchor"/>
          <w:rtl w:val="true"/>
        </w:rPr>
        <w:footnoteReference w:id="2789"/>
      </w:r>
      <w:r>
        <w:rPr>
          <w:rFonts w:ascii="Amiri" w:hAnsi="Amiri" w:eastAsia="Amiri" w:cs="Amiri"/>
          <w:color w:val="111111"/>
          <w:sz w:val="28"/>
          <w:sz w:val="28"/>
          <w:szCs w:val="28"/>
          <w:rtl w:val="true"/>
          <w:lang w:bidi="ar-SA"/>
        </w:rPr>
        <w:t>به المُنافِقونَ مِن شَكِّه عليه السلامُ في أمرِه، و أنّه إنّما خَلَّفَه تَحرُّزاً؛ لأنّ كُلَّ‌</w:t>
      </w:r>
      <w:r>
        <w:rPr>
          <w:rStyle w:val="FootnoteAnchor"/>
          <w:rtl w:val="true"/>
        </w:rPr>
        <w:footnoteReference w:id="2790"/>
      </w:r>
      <w:r>
        <w:rPr>
          <w:rFonts w:ascii="Amiri" w:hAnsi="Amiri" w:eastAsia="Amiri" w:cs="Amiri"/>
          <w:color w:val="111111"/>
          <w:sz w:val="28"/>
          <w:sz w:val="28"/>
          <w:szCs w:val="28"/>
          <w:rtl w:val="true"/>
          <w:lang w:bidi="ar-SA"/>
        </w:rPr>
        <w:t>ذلكَ لا يَزولُ بالاستخلافِ ، الذي هو الوِلايةُ في</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 و</w:t>
      </w:r>
      <w:r>
        <w:rPr>
          <w:rStyle w:val="FootnoteAnchor"/>
          <w:rtl w:val="true"/>
        </w:rPr>
        <w:footnoteReference w:id="2791"/>
      </w:r>
      <w:r>
        <w:rPr>
          <w:rFonts w:ascii="Amiri" w:hAnsi="Amiri" w:eastAsia="Amiri" w:cs="Amiri"/>
          <w:color w:val="111111"/>
          <w:sz w:val="28"/>
          <w:sz w:val="28"/>
          <w:szCs w:val="28"/>
          <w:rtl w:val="true"/>
          <w:lang w:bidi="ar-SA"/>
        </w:rPr>
        <w:t>مِن بَعدُ، و إنّما يَزولُ ذلكَ بما وَصَفناه مِن الإخبارِ بنِهايةِ السُّكونِ إليه و الاستقامةِ منه</w:t>
      </w:r>
      <w:r>
        <w:rPr>
          <w:rStyle w:val="FootnoteAnchor"/>
          <w:rtl w:val="true"/>
        </w:rPr>
        <w:footnoteReference w:id="2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السببُ في الاعتمادِ عليه في </w:t>
      </w:r>
      <w:bookmarkStart w:id="486" w:name="pg20017_202672"/>
    </w:p>
    <w:p>
      <w:pPr>
        <w:pStyle w:val="BookText"/>
        <w:rPr/>
      </w:pPr>
      <w:bookmarkEnd w:id="486"/>
      <w:r>
        <w:rPr>
          <w:rFonts w:ascii="Amiri" w:hAnsi="Amiri" w:eastAsia="Amiri" w:cs="Amiri"/>
          <w:color w:val="111111"/>
          <w:sz w:val="28"/>
          <w:sz w:val="28"/>
          <w:szCs w:val="28"/>
          <w:rtl w:val="true"/>
          <w:lang w:bidi="ar-SA"/>
        </w:rPr>
        <w:t>خِلافةِ الأهلِ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ذلكَ يَشهَدُ لِما تأوَّلنا الخبرَ عليه بالصحّةِ </w:t>
      </w:r>
      <w:r>
        <w:rPr>
          <w:rFonts w:eastAsia="Amiri" w:cs="Amiri" w:ascii="Amiri" w:hAnsi="Amiri"/>
          <w:color w:val="111111"/>
          <w:sz w:val="28"/>
          <w:szCs w:val="28"/>
          <w:rtl w:val="true"/>
          <w:lang w:bidi="ar-SA"/>
        </w:rPr>
        <w:t>]</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7" w:name="__RefHeading___Toc964339_2320776876"/>
      <w:bookmarkStart w:id="488" w:name="_Toc173"/>
      <w:bookmarkEnd w:id="487"/>
      <w:r>
        <w:rPr>
          <w:rtl w:val="true"/>
        </w:rPr>
        <w:t>مناقشة أن يكون سبب صدور حديث المنزلة هو إرجاف المنافقين</w:t>
      </w:r>
      <w:bookmarkEnd w:id="488"/>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w:t>
      </w:r>
      <w:r>
        <w:rPr>
          <w:rStyle w:val="FootnoteAnchor"/>
          <w:rtl w:val="true"/>
        </w:rPr>
        <w:footnoteReference w:id="2794"/>
      </w:r>
      <w:r>
        <w:rPr>
          <w:rFonts w:ascii="Amiri" w:hAnsi="Amiri" w:eastAsia="Amiri" w:cs="Amiri"/>
          <w:color w:val="111111"/>
          <w:sz w:val="28"/>
          <w:sz w:val="28"/>
          <w:szCs w:val="28"/>
          <w:rtl w:val="true"/>
          <w:lang w:bidi="ar-SA"/>
        </w:rPr>
        <w:t>فيما سَلَفَ مِن كلامِنا أنّ الذي يُدَّعىٰ مِن السببِ في أنّه كانَ إرجافَ المُنافِقينَ غيرُ معلومٍ‌</w:t>
      </w:r>
      <w:r>
        <w:rPr>
          <w:rStyle w:val="FootnoteAnchor"/>
          <w:rtl w:val="true"/>
        </w:rPr>
        <w:footnoteReference w:id="2795"/>
      </w:r>
      <w:r>
        <w:rPr>
          <w:rFonts w:ascii="Amiri" w:hAnsi="Amiri" w:eastAsia="Amiri" w:cs="Amiri"/>
          <w:color w:val="111111"/>
          <w:sz w:val="28"/>
          <w:sz w:val="28"/>
          <w:szCs w:val="28"/>
          <w:rtl w:val="true"/>
          <w:lang w:bidi="ar-SA"/>
        </w:rPr>
        <w:t>، و ذَكرنا ورودَ الرواياتِ بأنّه صَلَّى اللّٰهُ عليه و آلِه</w:t>
      </w:r>
      <w:r>
        <w:rPr>
          <w:rStyle w:val="FootnoteAnchor"/>
          <w:rtl w:val="true"/>
        </w:rPr>
        <w:footnoteReference w:id="27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مَواطِنَ مُختَلِفةٍ‌</w:t>
      </w:r>
      <w:r>
        <w:rPr>
          <w:rStyle w:val="FootnoteAnchor"/>
          <w:rtl w:val="true"/>
        </w:rPr>
        <w:footnoteReference w:id="279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التخاصم في ابنة حمزة، كما في الخصائص للنسائي،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آخىٰ بين أصحابه، كما في كنز العمّال،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 و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للنبيّ صلّى اللّٰه عليه و آله مع عقيل و جعفر و عليّ عليهم السلام أخرجه في كنز العمّال،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صلّى اللّٰه عليه و آله مع عليّ عليه السلام و هو متّكئ عليه، أخرجه المتّقي أيضاً في الكنز،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صلّى اللّٰه عليه و آله مع عليّ عليه السلام يوم وُلد الحسن سلام اللّٰه عليه، كما في ذخائر العقبىٰ ،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ذَكرنا أيضاً أنّ أكثَرَ الأخبارِ واردةٌ في السببِ بخِلافِ‌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 ادَّعاه الخُصومُ ، و أنّه عليه السلامُ خَرَجَ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مُخبِراً بما هو عليه مِن الوَحشةِ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الكَراهةِ لِمُفارَقتهِ ، فقالَ له صَلَّى اللّٰهُ عليه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القولَ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يُنكَرُ</w:t>
      </w:r>
      <w:r>
        <w:rPr>
          <w:rStyle w:val="FootnoteAnchor"/>
          <w:rtl w:val="true"/>
        </w:rPr>
        <w:footnoteReference w:id="2798"/>
      </w:r>
      <w:r>
        <w:rPr>
          <w:rFonts w:ascii="Amiri" w:hAnsi="Amiri" w:eastAsia="Amiri" w:cs="Amiri"/>
          <w:color w:val="111111"/>
          <w:sz w:val="28"/>
          <w:sz w:val="28"/>
          <w:szCs w:val="28"/>
          <w:rtl w:val="true"/>
          <w:lang w:bidi="ar-SA"/>
        </w:rPr>
        <w:t>ورودُ بعضِ الأخبارِ بما ذَكَروه، غيرَ أنّ ورودَها بخِلافِه أظهَرُ و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يَكونُ ما حُكِيَ مِن السببِ الذي هو إرجافُ المُنافِقينَ مُستَبعَداً، بَل مقطوعاً علىٰ بُطلانِه، و نَحنُ نَعلَمُ أنّه لا يَصِحُّ أن تَدخُلَ‌</w:t>
      </w:r>
      <w:r>
        <w:rPr>
          <w:rStyle w:val="FootnoteAnchor"/>
          <w:rtl w:val="true"/>
        </w:rPr>
        <w:footnoteReference w:id="2799"/>
      </w:r>
      <w:r>
        <w:rPr>
          <w:rFonts w:ascii="Amiri" w:hAnsi="Amiri" w:eastAsia="Amiri" w:cs="Amiri"/>
          <w:color w:val="111111"/>
          <w:sz w:val="28"/>
          <w:sz w:val="28"/>
          <w:szCs w:val="28"/>
          <w:rtl w:val="true"/>
          <w:lang w:bidi="ar-SA"/>
        </w:rPr>
        <w:t>شُبهةٌ‌</w:t>
      </w:r>
      <w:r>
        <w:rPr>
          <w:rStyle w:val="FootnoteAnchor"/>
          <w:rtl w:val="true"/>
        </w:rPr>
        <w:footnoteReference w:id="2800"/>
      </w:r>
      <w:r>
        <w:rPr>
          <w:rFonts w:ascii="Amiri" w:hAnsi="Amiri" w:eastAsia="Amiri" w:cs="Amiri"/>
          <w:color w:val="111111"/>
          <w:sz w:val="28"/>
          <w:sz w:val="28"/>
          <w:szCs w:val="28"/>
          <w:rtl w:val="true"/>
          <w:lang w:bidi="ar-SA"/>
        </w:rPr>
        <w:t>علىٰ عاقلٍ تُوهِمُهُ تُهَمَةَ النبيِّ صَلَّى اللّٰهُ عَليه و آلِه لأميرِ المؤمنينَ عليه السلامُ و خَوفَه منه، و تَحرُّزَه مِن 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كانَ ظاهراً منه عليه السلامُ مِن الأقوالِ و الأفعالِ الدالّةِ علىٰ عِظَمِ مَحَلِّه و شِدّةِ اختصاصِه، و أنّه قد بَلَغَ النهايةَ في النَّصيحةِ و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ما ظَهَرَ ممّا ذَكرناه أمراً يُشكِلُ مِثلُه، فيُحتاجُ فيه إلَى الاستدلالِ و النظَرِ؛ بَل كانَ ممّا يَضطَرُّ</w:t>
      </w:r>
      <w:r>
        <w:rPr>
          <w:rStyle w:val="FootnoteAnchor"/>
          <w:rtl w:val="true"/>
        </w:rPr>
        <w:footnoteReference w:id="2801"/>
      </w:r>
      <w:r>
        <w:rPr>
          <w:rFonts w:ascii="Amiri" w:hAnsi="Amiri" w:eastAsia="Amiri" w:cs="Amiri"/>
          <w:color w:val="111111"/>
          <w:sz w:val="28"/>
          <w:sz w:val="28"/>
          <w:szCs w:val="28"/>
          <w:rtl w:val="true"/>
          <w:lang w:bidi="ar-SA"/>
        </w:rPr>
        <w:t xml:space="preserve">العقلاءَ و غيرَ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ممّن يَجوزُ أن</w:t>
      </w:r>
    </w:p>
    <w:p>
      <w:pPr>
        <w:pStyle w:val="BookText"/>
        <w:rPr/>
      </w:pPr>
      <w:r>
        <w:rPr>
          <w:rFonts w:ascii="Amiri" w:hAnsi="Amiri" w:eastAsia="Amiri" w:cs="Amiri"/>
          <w:color w:val="111111"/>
          <w:sz w:val="28"/>
          <w:sz w:val="28"/>
          <w:szCs w:val="28"/>
          <w:rtl w:val="true"/>
          <w:lang w:bidi="ar-SA"/>
        </w:rPr>
        <w:t xml:space="preserve">يُضطَرَّ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لا يَتطرَّقُ معه تُهَمَةٌ و لا تَتوجَّهُ ظِنّةٌ‌</w:t>
      </w:r>
      <w:r>
        <w:rPr>
          <w:rStyle w:val="FootnoteAnchor"/>
          <w:rtl w:val="true"/>
        </w:rPr>
        <w:footnoteReference w:id="2802"/>
      </w:r>
      <w:r>
        <w:rPr>
          <w:rFonts w:ascii="Amiri" w:hAnsi="Amiri" w:eastAsia="Amiri" w:cs="Amiri"/>
          <w:color w:val="111111"/>
          <w:sz w:val="28"/>
          <w:sz w:val="28"/>
          <w:szCs w:val="28"/>
          <w:rtl w:val="true"/>
          <w:lang w:bidi="ar-SA"/>
        </w:rPr>
        <w:t>فلَيسَ يَخلُو المُنافِقونَ‌، الذين ادَّعىٰ عليهم الإرجافَ‌، مِن أن يَكونوا عُقلاءَ مُميِّزينَ‌، أو نُقَصاءَ 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كانوا عُقلاءَ‌، فالعاقلُ لا يَصِحُّ دُخولُ الشُّبهةِ عليه في الضروريّاتِ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مِن أهلِ الجُنونِ و النقصِ ، فإرجافُهم غيرُ مؤثِّرٍ، و لا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النبيُّ صَلَّى اللّٰهُ عليهِ و آلِه غَيرَ مُحتاجٍ إلَى الردِّ عليهم، و الإبطالِ لقَولِهم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الجُملةُ تَكشِفُ عن بُطلانِ قولِ مَنِ ادَّعىٰ أنّ السببَ كانَ إرجافَ المُنافِقينَ ، و تَقتَضي</w:t>
      </w:r>
      <w:r>
        <w:rPr>
          <w:rStyle w:val="FootnoteAnchor"/>
          <w:rtl w:val="true"/>
        </w:rPr>
        <w:footnoteReference w:id="2803"/>
      </w:r>
      <w:r>
        <w:rPr>
          <w:rFonts w:ascii="Amiri" w:hAnsi="Amiri" w:eastAsia="Amiri" w:cs="Amiri"/>
          <w:color w:val="111111"/>
          <w:sz w:val="28"/>
          <w:sz w:val="28"/>
          <w:szCs w:val="28"/>
          <w:rtl w:val="true"/>
          <w:lang w:bidi="ar-SA"/>
        </w:rPr>
        <w:t xml:space="preserve">القَطعَ علىٰ كَذِبِ الروايةِ الواردةِ بذلكَ </w:t>
      </w:r>
      <w:r>
        <w:rPr>
          <w:rFonts w:eastAsia="Amiri" w:cs="Amiri" w:ascii="Amiri" w:hAnsi="Amiri"/>
          <w:color w:val="111111"/>
          <w:sz w:val="28"/>
          <w:szCs w:val="28"/>
          <w:rtl w:val="true"/>
          <w:lang w:bidi="ar-SA"/>
        </w:rPr>
        <w:t xml:space="preserve">. </w:t>
      </w:r>
      <w:bookmarkStart w:id="489" w:name="pg20017_202674"/>
    </w:p>
    <w:p>
      <w:pPr>
        <w:pStyle w:val="Heading6"/>
        <w:numPr>
          <w:ilvl w:val="5"/>
          <w:numId w:val="1"/>
        </w:numPr>
        <w:rPr/>
      </w:pPr>
      <w:bookmarkStart w:id="490" w:name="__RefHeading___Toc964341_2320776876"/>
      <w:bookmarkStart w:id="491" w:name="_Toc174"/>
      <w:bookmarkEnd w:id="489"/>
      <w:bookmarkEnd w:id="490"/>
      <w:r>
        <w:rPr>
          <w:rtl w:val="true"/>
        </w:rPr>
        <w:t>عدم المنافاة بين تأويل الإماميّة للحديث، و تأويل القاضي</w:t>
      </w:r>
      <w:bookmarkEnd w:id="491"/>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علىٰ أنّ السببَ ما ذَكرتَه و اقتَرَحتَه، و أنّ المُرادَ ما وَصَفتَه مِن إفادةِ لُطفِ المَحلِّ‌، و قُوّةِ السُّكونِ‌، و شِدّةِ الاختصاصِ ، فما المانِعُ ممّا قُلناه</w:t>
      </w:r>
      <w:r>
        <w:rPr>
          <w:rStyle w:val="FootnoteAnchor"/>
          <w:rtl w:val="true"/>
        </w:rPr>
        <w:footnoteReference w:id="2804"/>
      </w:r>
      <w:r>
        <w:rPr>
          <w:rFonts w:ascii="Amiri" w:hAnsi="Amiri" w:eastAsia="Amiri" w:cs="Amiri"/>
          <w:color w:val="111111"/>
          <w:sz w:val="28"/>
          <w:sz w:val="28"/>
          <w:szCs w:val="28"/>
          <w:rtl w:val="true"/>
          <w:lang w:bidi="ar-SA"/>
        </w:rPr>
        <w:t>و تأوَّلنا الخبرَ عليه ؟ و أيُّ تَنافٍ بَينَ تأويلِكَ و تأويلِنا؟ و إنّما</w:t>
      </w:r>
      <w:r>
        <w:rPr>
          <w:rStyle w:val="FootnoteAnchor"/>
          <w:rtl w:val="true"/>
        </w:rPr>
        <w:footnoteReference w:id="2805"/>
      </w:r>
      <w:r>
        <w:rPr>
          <w:rFonts w:ascii="Amiri" w:hAnsi="Amiri" w:eastAsia="Amiri" w:cs="Amiri"/>
          <w:color w:val="111111"/>
          <w:sz w:val="28"/>
          <w:sz w:val="28"/>
          <w:szCs w:val="28"/>
          <w:rtl w:val="true"/>
          <w:lang w:bidi="ar-SA"/>
        </w:rPr>
        <w:t>يَكونُ كَلامُكَ مُشتَبِهاً و لكَ فيه أدنىٰ تَعلُّقٍ لَو كانَ ما وَصَفتَه مِن المُرادِ مانِعاً ممّا ذَهَبنا إلىٰ أنّه المُرادُ حتّىٰ لا يَصِحَّ أن يُرادا</w:t>
      </w:r>
      <w:r>
        <w:rPr>
          <w:rStyle w:val="FootnoteAnchor"/>
          <w:rtl w:val="true"/>
        </w:rPr>
        <w:footnoteReference w:id="2806"/>
      </w:r>
      <w:r>
        <w:rPr>
          <w:rFonts w:ascii="Amiri" w:hAnsi="Amiri" w:eastAsia="Amiri" w:cs="Amiri"/>
          <w:color w:val="111111"/>
          <w:sz w:val="28"/>
          <w:sz w:val="28"/>
          <w:szCs w:val="28"/>
          <w:rtl w:val="true"/>
          <w:lang w:bidi="ar-SA"/>
        </w:rPr>
        <w:t xml:space="preserve">جميعاً؛ فأمّا و الأمرُ بخِلافِ ذلكَ ، فلا شُبهةَ في كَلامِكَ </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964343_2320776876"/>
      <w:bookmarkStart w:id="493" w:name="_Toc175"/>
      <w:bookmarkEnd w:id="492"/>
      <w:r>
        <w:rPr>
          <w:rtl w:val="true"/>
        </w:rPr>
        <w:t xml:space="preserve">نفي دلالة العرف على استعمال لفظة </w:t>
      </w:r>
      <w:r>
        <w:rPr>
          <w:rtl w:val="true"/>
        </w:rPr>
        <w:t>«</w:t>
      </w:r>
      <w:r>
        <w:rPr>
          <w:rtl w:val="true"/>
        </w:rPr>
        <w:t>المنزلة</w:t>
      </w:r>
      <w:r>
        <w:rPr>
          <w:rtl w:val="true"/>
        </w:rPr>
        <w:t xml:space="preserve">» </w:t>
      </w:r>
      <w:r>
        <w:rPr>
          <w:rtl w:val="true"/>
        </w:rPr>
        <w:t xml:space="preserve">في معنى </w:t>
      </w:r>
      <w:r>
        <w:rPr>
          <w:rtl w:val="true"/>
        </w:rPr>
        <w:t>«</w:t>
      </w:r>
      <w:r>
        <w:rPr>
          <w:rtl w:val="true"/>
        </w:rPr>
        <w:t>الموقع من القلب</w:t>
      </w:r>
      <w:r>
        <w:rPr>
          <w:rtl w:val="true"/>
        </w:rPr>
        <w:t xml:space="preserve">» </w:t>
      </w:r>
      <w:r>
        <w:rPr>
          <w:rtl w:val="true"/>
        </w:rPr>
        <w:t>فقط</w:t>
      </w:r>
      <w:bookmarkEnd w:id="493"/>
    </w:p>
    <w:p>
      <w:pPr>
        <w:pStyle w:val="BookText"/>
        <w:rPr/>
      </w:pPr>
      <w:r>
        <w:rPr>
          <w:rFonts w:ascii="Amiri" w:hAnsi="Amiri" w:eastAsia="Amiri" w:cs="Amiri"/>
          <w:color w:val="111111"/>
          <w:sz w:val="28"/>
          <w:sz w:val="28"/>
          <w:szCs w:val="28"/>
          <w:rtl w:val="true"/>
          <w:lang w:bidi="ar-SA"/>
        </w:rPr>
        <w:t>فأمّا تَعلُّقُه بالعادةِ في استعمالِ لَفظةِ‌</w:t>
      </w:r>
      <w:r>
        <w:rPr>
          <w:rStyle w:val="FootnoteAnchor"/>
          <w:rtl w:val="true"/>
        </w:rPr>
        <w:footnoteReference w:id="2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لا تَكونُ إلّابمعنَى المَحلِّ و المَوقِعِ مِن القَلبِ‌، دونَ ما يَرجِعُ إلَى الوِلاياتِ‌، فباطِلٌ‌، و ما وَجَدناه زادَ في ادّعاءِ‌</w:t>
      </w:r>
      <w:r>
        <w:rPr>
          <w:rStyle w:val="FootnoteAnchor"/>
          <w:rtl w:val="true"/>
        </w:rPr>
        <w:footnoteReference w:id="2808"/>
      </w:r>
      <w:r>
        <w:rPr>
          <w:rFonts w:ascii="Amiri" w:hAnsi="Amiri" w:eastAsia="Amiri" w:cs="Amiri"/>
          <w:color w:val="111111"/>
          <w:sz w:val="28"/>
          <w:sz w:val="28"/>
          <w:szCs w:val="28"/>
          <w:rtl w:val="true"/>
          <w:lang w:bidi="ar-SA"/>
        </w:rPr>
        <w:t>ذلكَ علىٰ مُجرَّدِ الدَّعوىٰ‌، و قد كانَ يَجِبُ له</w:t>
      </w:r>
      <w:r>
        <w:rPr>
          <w:rStyle w:val="FootnoteAnchor"/>
          <w:rtl w:val="true"/>
        </w:rPr>
        <w:footnoteReference w:id="2809"/>
      </w:r>
      <w:r>
        <w:rPr>
          <w:rFonts w:ascii="Amiri" w:hAnsi="Amiri" w:eastAsia="Amiri" w:cs="Amiri"/>
          <w:color w:val="111111"/>
          <w:sz w:val="28"/>
          <w:sz w:val="28"/>
          <w:szCs w:val="28"/>
          <w:rtl w:val="true"/>
          <w:lang w:bidi="ar-SA"/>
        </w:rPr>
        <w:t>أن يَذكُرَ ما يَجري مَجرَى الدَّلالةِ علىٰ صِحّةِ قولِه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عادةٍ و لا عُرفٍ بَينَ استِعمالِ لفظةِ‌</w:t>
      </w:r>
      <w:r>
        <w:rPr>
          <w:rStyle w:val="FootnoteAnchor"/>
          <w:rtl w:val="true"/>
        </w:rPr>
        <w:footnoteReference w:id="2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المَوقِعِ مِن القَلبِ‌، و بَينَ استعمالِها في الوِلاياتِ و 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كما يَصِحُّ‌</w:t>
      </w:r>
      <w:r>
        <w:rPr>
          <w:rStyle w:val="FootnoteAnchor"/>
          <w:rtl w:val="true"/>
        </w:rPr>
        <w:footnoteReference w:id="2811"/>
      </w:r>
      <w:r>
        <w:rPr>
          <w:rFonts w:ascii="Amiri" w:hAnsi="Amiri" w:eastAsia="Amiri" w:cs="Amiri"/>
          <w:color w:val="111111"/>
          <w:sz w:val="28"/>
          <w:sz w:val="28"/>
          <w:szCs w:val="28"/>
          <w:rtl w:val="true"/>
          <w:lang w:bidi="ar-SA"/>
        </w:rPr>
        <w:t>أن يَقولَ أحَدُنا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فُلانٌ مِنّي بمَنزِلةِ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المَحبّةِ و الاستقامةِ و السُّكونِ </w:t>
      </w:r>
      <w:bookmarkStart w:id="494" w:name="pg20017_202675"/>
    </w:p>
    <w:p>
      <w:pPr>
        <w:pStyle w:val="BookText"/>
        <w:rPr/>
      </w:pPr>
      <w:bookmarkEnd w:id="494"/>
      <w:r>
        <w:rPr>
          <w:rFonts w:ascii="Amiri" w:hAnsi="Amiri" w:eastAsia="Amiri" w:cs="Amiri"/>
          <w:color w:val="111111"/>
          <w:sz w:val="28"/>
          <w:sz w:val="28"/>
          <w:szCs w:val="28"/>
          <w:rtl w:val="true"/>
          <w:lang w:bidi="ar-SA"/>
        </w:rPr>
        <w:t>إليه</w:t>
      </w:r>
      <w:r>
        <w:rPr>
          <w:rStyle w:val="FootnoteAnchor"/>
          <w:rtl w:val="true"/>
        </w:rPr>
        <w:footnoteReference w:id="2812"/>
      </w:r>
      <w:r>
        <w:rPr>
          <w:rFonts w:ascii="Amiri" w:hAnsi="Amiri" w:eastAsia="Amiri" w:cs="Amiri"/>
          <w:color w:val="111111"/>
          <w:sz w:val="28"/>
          <w:sz w:val="28"/>
          <w:szCs w:val="28"/>
          <w:rtl w:val="true"/>
          <w:lang w:bidi="ar-SA"/>
        </w:rPr>
        <w:t>، كذلكَ يَصِحُّ أن يَقولَ مِثلَ هذا القولِ و هو يُريدُ أنّه بمَنزِلةِ فُلانٍ في الوَكالةِ أو الوَصيّةِ أو الخِلافةِ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الأمرُ علىٰ ما ظَنَّه صاحبُ الكتابِ ، لَكانَ قولُ أحَدِنا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فُلانٌ مِنّي بمَنزِلةِ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وَكالتِه</w:t>
      </w:r>
      <w:r>
        <w:rPr>
          <w:rStyle w:val="FootnoteAnchor"/>
          <w:rtl w:val="true"/>
        </w:rPr>
        <w:footnoteReference w:id="2813"/>
      </w:r>
      <w:r>
        <w:rPr>
          <w:rFonts w:ascii="Amiri" w:hAnsi="Amiri" w:eastAsia="Amiri" w:cs="Amiri"/>
          <w:color w:val="111111"/>
          <w:sz w:val="28"/>
          <w:sz w:val="28"/>
          <w:szCs w:val="28"/>
          <w:rtl w:val="true"/>
          <w:lang w:bidi="ar-SA"/>
        </w:rPr>
        <w:t>أو وَصيّتِه مَجازاً؛ مِن حَيثُ وَضَعَ اللفظَ</w:t>
      </w:r>
    </w:p>
    <w:p>
      <w:pPr>
        <w:pStyle w:val="BookText"/>
        <w:rPr/>
      </w:pPr>
      <w:r>
        <w:rPr>
          <w:rFonts w:ascii="Amiri" w:hAnsi="Amiri" w:eastAsia="Amiri" w:cs="Amiri"/>
          <w:color w:val="111111"/>
          <w:sz w:val="28"/>
          <w:sz w:val="28"/>
          <w:szCs w:val="28"/>
          <w:rtl w:val="true"/>
          <w:lang w:bidi="ar-SA"/>
        </w:rPr>
        <w:t>خِلافَ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مَن ادَّعىٰ أنّ اللفظَ في هذا المَوضِعِ مَجازٌ، و بَينَ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المَحبّةِ و ما أشبَهَها أيضاً مَجازٌ؛ لأنّ الاستعمالَ لا يُفرِّقُ بَينَ الأمرَينِ </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964345_2320776876"/>
      <w:bookmarkStart w:id="496" w:name="_Toc176"/>
      <w:bookmarkEnd w:id="495"/>
      <w:r>
        <w:rPr>
          <w:rtl w:val="true"/>
        </w:rPr>
        <w:t xml:space="preserve">بيان دلالة لفظ </w:t>
      </w:r>
      <w:r>
        <w:rPr>
          <w:rtl w:val="true"/>
        </w:rPr>
        <w:t>«</w:t>
      </w:r>
      <w:r>
        <w:rPr>
          <w:rtl w:val="true"/>
        </w:rPr>
        <w:t xml:space="preserve">المحلّ </w:t>
      </w:r>
      <w:r>
        <w:rPr>
          <w:rtl w:val="true"/>
        </w:rPr>
        <w:t xml:space="preserve">» </w:t>
      </w:r>
      <w:r>
        <w:rPr>
          <w:rtl w:val="true"/>
        </w:rPr>
        <w:t xml:space="preserve">و </w:t>
      </w:r>
      <w:r>
        <w:rPr>
          <w:rtl w:val="true"/>
        </w:rPr>
        <w:t>«</w:t>
      </w:r>
      <w:r>
        <w:rPr>
          <w:rtl w:val="true"/>
        </w:rPr>
        <w:t>الموقع</w:t>
      </w:r>
      <w:r>
        <w:rPr>
          <w:rtl w:val="true"/>
        </w:rPr>
        <w:t xml:space="preserve">» </w:t>
      </w:r>
      <w:r>
        <w:rPr>
          <w:rtl w:val="true"/>
        </w:rPr>
        <w:t>على الولاية</w:t>
      </w:r>
      <w:bookmarkEnd w:id="49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المَنزِلةَ تُستَعمَلُ بمعنَى المَحَلِّ و 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أصابَ فيه، إلّاأنّه ظَنَّ‌</w:t>
      </w:r>
      <w:r>
        <w:rPr>
          <w:rStyle w:val="FootnoteAnchor"/>
          <w:rtl w:val="true"/>
        </w:rPr>
        <w:footnoteReference w:id="2814"/>
      </w:r>
      <w:r>
        <w:rPr>
          <w:rFonts w:ascii="Amiri" w:hAnsi="Amiri" w:eastAsia="Amiri" w:cs="Amiri"/>
          <w:color w:val="111111"/>
          <w:sz w:val="28"/>
          <w:sz w:val="28"/>
          <w:szCs w:val="28"/>
          <w:rtl w:val="true"/>
          <w:lang w:bidi="ar-SA"/>
        </w:rPr>
        <w:t xml:space="preserve">أنّا لا 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نَقولُه</w:t>
      </w:r>
      <w:r>
        <w:rPr>
          <w:rStyle w:val="FootnoteAnchor"/>
          <w:rtl w:val="true"/>
        </w:rPr>
        <w:footnoteReference w:id="281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تَوَهَّمَ أنّه لا يُستَفادُ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ظَنَّ ظَنّاً بَعيداً؛ لأنّه لا فَرقَ بَينَ سائرِ هذه الألفاظِ في صِحّةِ استعمالِها في الوِلايةِ و غيرِ الوِلايةِ‌؛ لأنّه غيرُ مُمتَنِعٍ عندَ أحَدٍ أن يَقولَ الأميرُ في بعضِ أصحابِه عندَ مَوتِ وزيرِه أو عَزلِه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فُلانٌ مِنّي بمَحَلِّ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إليه وِزارتُه، أو</w:t>
      </w:r>
      <w:r>
        <w:rPr>
          <w:rStyle w:val="FootnoteAnchor"/>
          <w:rtl w:val="true"/>
        </w:rPr>
        <w:footnoteReference w:id="2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أحلَلتُ فُلاناً مَحَلَّ فُلانٍ ، و أنزَلتُه 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w:t>
      </w:r>
      <w:r>
        <w:rPr>
          <w:rStyle w:val="FootnoteAnchor"/>
          <w:rtl w:val="true"/>
        </w:rPr>
        <w:footnoteReference w:id="2817"/>
      </w:r>
      <w:r>
        <w:rPr>
          <w:rFonts w:ascii="Amiri" w:hAnsi="Amiri" w:eastAsia="Amiri" w:cs="Amiri"/>
          <w:color w:val="111111"/>
          <w:sz w:val="28"/>
          <w:sz w:val="28"/>
          <w:szCs w:val="28"/>
          <w:rtl w:val="true"/>
          <w:lang w:bidi="ar-SA"/>
        </w:rPr>
        <w:t xml:space="preserve">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فائدةِ هذه الألفاظِ بشَيءٍ دونَ شَيءٍ؟ </w:t>
      </w:r>
      <w:bookmarkStart w:id="497" w:name="pg20017_202676"/>
    </w:p>
    <w:p>
      <w:pPr>
        <w:pStyle w:val="Heading6"/>
        <w:numPr>
          <w:ilvl w:val="5"/>
          <w:numId w:val="1"/>
        </w:numPr>
        <w:rPr/>
      </w:pPr>
      <w:bookmarkStart w:id="498" w:name="__RefHeading___Toc964347_2320776876"/>
      <w:bookmarkStart w:id="499" w:name="_Toc177"/>
      <w:bookmarkEnd w:id="497"/>
      <w:bookmarkEnd w:id="498"/>
      <w:r>
        <w:rPr>
          <w:rtl w:val="true"/>
        </w:rPr>
        <w:t xml:space="preserve">في بيان كون الاستثناء في الحديث </w:t>
      </w:r>
      <w:r>
        <w:rPr>
          <w:rtl w:val="true"/>
        </w:rPr>
        <w:t xml:space="preserve">- </w:t>
      </w:r>
      <w:r>
        <w:rPr>
          <w:rtl w:val="true"/>
        </w:rPr>
        <w:t xml:space="preserve">بناءً علىٰ تأويل القاضي </w:t>
      </w:r>
      <w:r>
        <w:rPr>
          <w:rtl w:val="true"/>
        </w:rPr>
        <w:t xml:space="preserve">- </w:t>
      </w:r>
      <w:r>
        <w:rPr>
          <w:rtl w:val="true"/>
        </w:rPr>
        <w:t>استثناءً مجازيّاً</w:t>
      </w:r>
      <w:bookmarkEnd w:id="499"/>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2818"/>
      </w:r>
      <w:r>
        <w:rPr>
          <w:rFonts w:ascii="Amiri" w:hAnsi="Amiri" w:eastAsia="Amiri" w:cs="Amiri"/>
          <w:color w:val="111111"/>
          <w:sz w:val="28"/>
          <w:sz w:val="28"/>
          <w:szCs w:val="28"/>
          <w:rtl w:val="true"/>
          <w:lang w:bidi="ar-SA"/>
        </w:rPr>
        <w:t>ما اعتَذَرَ به في الاستثناءِ‌، فإنّه لا يُخرِجُ الاستثناءَ مِن أن يَكونَ جارياً علىٰ غيرِ وجهِ الحقيقةِ‌، و لهذا قالَ في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استُعمِلَ ما يَجري مَجرَى الاستثناءِ‌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مِن حقِّ الاستثناءِ عندَه إذا كانَ حَقيقةً أن يُخرِجَ مِن الكلامِ </w:t>
      </w:r>
      <w:r>
        <w:rPr>
          <w:rStyle w:val="FootnoteAnchor"/>
          <w:rtl w:val="true"/>
        </w:rPr>
        <w:footnoteReference w:id="2819"/>
      </w:r>
      <w:r>
        <w:rPr>
          <w:rFonts w:ascii="Amiri" w:hAnsi="Amiri" w:eastAsia="Amiri" w:cs="Amiri"/>
          <w:color w:val="111111"/>
          <w:sz w:val="28"/>
          <w:sz w:val="28"/>
          <w:szCs w:val="28"/>
          <w:rtl w:val="true"/>
          <w:lang w:bidi="ar-SA"/>
        </w:rPr>
        <w:t>ما يَجِبُ دخولُه فيه بمقتَضَى اللفظِ، و عندَنا أنّه يُخرِجُ مِن الكلامِ ما يَقتَضيهِ اللفظُ احتمالاً، لا إيجاباً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المَذهبَينِ لا بُدَّ أن يَكونَ الاستثناءُ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مَوضوعاً</w:t>
      </w:r>
      <w:r>
        <w:rPr>
          <w:rStyle w:val="FootnoteAnchor"/>
          <w:rtl w:val="true"/>
        </w:rPr>
        <w:footnoteReference w:id="2820"/>
      </w:r>
      <w:r>
        <w:rPr>
          <w:rFonts w:ascii="Amiri" w:hAnsi="Amiri" w:eastAsia="Amiri" w:cs="Amiri"/>
          <w:color w:val="111111"/>
          <w:sz w:val="28"/>
          <w:sz w:val="28"/>
          <w:szCs w:val="28"/>
          <w:rtl w:val="true"/>
          <w:lang w:bidi="ar-SA"/>
        </w:rPr>
        <w:t>في غيرِ مَوضِعِه؛ لأنّ اللفظَ الأوّلَ لا يَتناوَلُ النبوّةَ ، لا إيجاباً و لا احتمالاً؛ فكَيفَ يَجوزُ استثناؤها حقيقةً؟</w:t>
      </w:r>
    </w:p>
    <w:p>
      <w:pPr>
        <w:pStyle w:val="BookText"/>
        <w:rPr/>
      </w:pPr>
      <w:r>
        <w:rPr>
          <w:rFonts w:ascii="Amiri" w:hAnsi="Amiri" w:eastAsia="Amiri" w:cs="Amiri"/>
          <w:color w:val="111111"/>
          <w:sz w:val="28"/>
          <w:sz w:val="28"/>
          <w:szCs w:val="28"/>
          <w:rtl w:val="true"/>
          <w:lang w:bidi="ar-SA"/>
        </w:rPr>
        <w:t xml:space="preserve">و نَحنُ نَعلَمُ أنّ القائلَ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غِلماني إلّازَيداً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ظاهرُ استثنائه علىٰ أنّ زَيداً مِن جُملةِ غِلمانِه، و لَو لَم يَكُن مِن جُملتِهم لَما جازَ استثناؤه؛ فلَو</w:t>
      </w:r>
      <w:r>
        <w:rPr>
          <w:rStyle w:val="FootnoteAnchor"/>
          <w:rtl w:val="true"/>
        </w:rPr>
        <w:footnoteReference w:id="2821"/>
      </w:r>
      <w:r>
        <w:rPr>
          <w:rFonts w:ascii="Amiri" w:hAnsi="Amiri" w:eastAsia="Amiri" w:cs="Amiri"/>
          <w:color w:val="111111"/>
          <w:sz w:val="28"/>
          <w:sz w:val="28"/>
          <w:szCs w:val="28"/>
          <w:rtl w:val="true"/>
          <w:lang w:bidi="ar-SA"/>
        </w:rPr>
        <w:t>أنّه استَثنىٰ زَيداً و لَم يَكُن مِن غِلمانِه إلّاأنّه اعتَقَدَ</w:t>
      </w:r>
      <w:r>
        <w:rPr>
          <w:rStyle w:val="FootnoteAnchor"/>
          <w:rtl w:val="true"/>
        </w:rPr>
        <w:footnoteReference w:id="2822"/>
      </w:r>
      <w:r>
        <w:rPr>
          <w:rFonts w:ascii="Amiri" w:hAnsi="Amiri" w:eastAsia="Amiri" w:cs="Amiri"/>
          <w:color w:val="111111"/>
          <w:sz w:val="28"/>
          <w:sz w:val="28"/>
          <w:szCs w:val="28"/>
          <w:rtl w:val="true"/>
          <w:lang w:bidi="ar-SA"/>
        </w:rPr>
        <w:t>أنّ في الناسِ مَن يَتَوهَّمُ أنّه غُلامُه، و قَصَدَ</w:t>
      </w:r>
      <w:r>
        <w:rPr>
          <w:rStyle w:val="FootnoteAnchor"/>
          <w:rtl w:val="true"/>
        </w:rPr>
        <w:footnoteReference w:id="2823"/>
      </w:r>
      <w:r>
        <w:rPr>
          <w:rFonts w:ascii="Amiri" w:hAnsi="Amiri" w:eastAsia="Amiri" w:cs="Amiri"/>
          <w:color w:val="111111"/>
          <w:sz w:val="28"/>
          <w:sz w:val="28"/>
          <w:szCs w:val="28"/>
          <w:rtl w:val="true"/>
          <w:lang w:bidi="ar-SA"/>
        </w:rPr>
        <w:t>إزالةَ الشُّبهةِ ، لَم يُخرِجْه ذلكَ مِن أن يَكونَ مُتجوِّزاً في الاستثناءِ مُوقِعاً له في غيرِ مَوقِعِه</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964349_2320776876"/>
      <w:bookmarkStart w:id="501" w:name="_Toc178"/>
      <w:bookmarkEnd w:id="500"/>
      <w:r>
        <w:rPr>
          <w:rtl w:val="true"/>
        </w:rPr>
        <w:t>بيان زوال شكّ المنافقين و إرجافهم بناءً علىٰ تأويل المنزلة بالولاية</w:t>
      </w:r>
      <w:bookmarkEnd w:id="50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تأوَّلنا</w:t>
      </w:r>
      <w:r>
        <w:rPr>
          <w:rStyle w:val="FootnoteAnchor"/>
          <w:rtl w:val="true"/>
        </w:rPr>
        <w:footnoteReference w:id="2824"/>
      </w:r>
      <w:r>
        <w:rPr>
          <w:rFonts w:ascii="Amiri" w:hAnsi="Amiri" w:eastAsia="Amiri" w:cs="Amiri"/>
          <w:color w:val="111111"/>
          <w:sz w:val="28"/>
          <w:sz w:val="28"/>
          <w:szCs w:val="28"/>
          <w:rtl w:val="true"/>
          <w:lang w:bidi="ar-SA"/>
        </w:rPr>
        <w:t>الخبرَ عليه</w:t>
      </w:r>
      <w:r>
        <w:rPr>
          <w:rStyle w:val="FootnoteAnchor"/>
          <w:rtl w:val="true"/>
        </w:rPr>
        <w:footnoteReference w:id="2825"/>
      </w:r>
      <w:r>
        <w:rPr>
          <w:rFonts w:ascii="Amiri" w:hAnsi="Amiri" w:eastAsia="Amiri" w:cs="Amiri"/>
          <w:color w:val="111111"/>
          <w:sz w:val="28"/>
          <w:sz w:val="28"/>
          <w:szCs w:val="28"/>
          <w:rtl w:val="true"/>
          <w:lang w:bidi="ar-SA"/>
        </w:rPr>
        <w:t>لا يُزيلُ شَكَّ المُنافِقينَ و لا يُبطِلُ إرجافَهم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فعَجيبٌ ؛ لأنّا لا نُنكِرُ دُخولَ المَنزِلةِ التي ذَكَرها صاحِبُ الكتابِ </w:t>
      </w:r>
      <w:r>
        <w:rPr>
          <w:rStyle w:val="FootnoteAnchor"/>
          <w:rtl w:val="true"/>
        </w:rPr>
        <w:footnoteReference w:id="2826"/>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جُملةِ المَنازِلِ‌، و إنّما أضَفنا إليها غيرَها</w:t>
      </w:r>
      <w:r>
        <w:rPr>
          <w:rStyle w:val="FootnoteAnchor"/>
          <w:rtl w:val="true"/>
        </w:rPr>
        <w:footnoteReference w:id="2827"/>
      </w:r>
      <w:r>
        <w:rPr>
          <w:rFonts w:ascii="Amiri" w:hAnsi="Amiri" w:eastAsia="Amiri" w:cs="Amiri"/>
          <w:color w:val="111111"/>
          <w:sz w:val="28"/>
          <w:sz w:val="28"/>
          <w:szCs w:val="28"/>
          <w:rtl w:val="true"/>
          <w:lang w:bidi="ar-SA"/>
        </w:rPr>
        <w:t>، و قد ذَكرنا في صَدرِ الاستدلالِ بالخبرِ</w:t>
      </w:r>
      <w:r>
        <w:rPr>
          <w:rStyle w:val="FootnoteAnchor"/>
          <w:rtl w:val="true"/>
        </w:rPr>
        <w:footnoteReference w:id="2828"/>
      </w:r>
      <w:r>
        <w:rPr>
          <w:rFonts w:ascii="Amiri" w:hAnsi="Amiri" w:eastAsia="Amiri" w:cs="Amiri"/>
          <w:color w:val="111111"/>
          <w:sz w:val="28"/>
          <w:sz w:val="28"/>
          <w:szCs w:val="28"/>
          <w:rtl w:val="true"/>
          <w:lang w:bidi="ar-SA"/>
        </w:rPr>
        <w:t>أنّه يَتناوَلُ كُلَّ مَنازِلِ هارونَ مِن موسىٰ‌؛ مِن فَضلٍ‌، و مَحبّةٍ‌، و اختصاصٍ‌، و تَقدُّمٍ‌، إلىٰ‌</w:t>
      </w:r>
      <w:r>
        <w:rPr>
          <w:rStyle w:val="FootnoteAnchor"/>
          <w:rtl w:val="true"/>
        </w:rPr>
        <w:footnoteReference w:id="2829"/>
      </w:r>
      <w:r>
        <w:rPr>
          <w:rFonts w:ascii="Amiri" w:hAnsi="Amiri" w:eastAsia="Amiri" w:cs="Amiri"/>
          <w:color w:val="111111"/>
          <w:sz w:val="28"/>
          <w:sz w:val="28"/>
          <w:szCs w:val="28"/>
          <w:rtl w:val="true"/>
          <w:lang w:bidi="ar-SA"/>
        </w:rPr>
        <w:t>غيرِ ذلكَ‌، سِوىٰ ما أخرَجَه الاستثناءُ مِن النبوّةِ‌، و أخرَجَه العُرفُ مِن أُخوّةِ النسَبِ‌</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يَكفي في زَوالِ إرجافِ المُنافِقينَ حصولُ مَنزِلةِ الخِلافةِ في الحياةِ و بَعدَ المَماتِ‌؛ لأنّ هذه المَنزِلةَ لا تُسنَدُ</w:t>
      </w:r>
      <w:r>
        <w:rPr>
          <w:rStyle w:val="FootnoteAnchor"/>
          <w:rtl w:val="true"/>
        </w:rPr>
        <w:footnoteReference w:id="2831"/>
      </w:r>
      <w:r>
        <w:rPr>
          <w:rFonts w:ascii="Amiri" w:hAnsi="Amiri" w:eastAsia="Amiri" w:cs="Amiri"/>
          <w:color w:val="111111"/>
          <w:sz w:val="28"/>
          <w:sz w:val="28"/>
          <w:szCs w:val="28"/>
          <w:rtl w:val="true"/>
          <w:lang w:bidi="ar-SA"/>
        </w:rPr>
        <w:t>إلىٰ مُستَثقَلٍ‌</w:t>
      </w:r>
      <w:r>
        <w:rPr>
          <w:rStyle w:val="FootnoteAnchor"/>
          <w:rtl w:val="true"/>
        </w:rPr>
        <w:footnoteReference w:id="2832"/>
      </w:r>
      <w:r>
        <w:rPr>
          <w:rFonts w:ascii="Amiri" w:hAnsi="Amiri" w:eastAsia="Amiri" w:cs="Amiri"/>
          <w:color w:val="111111"/>
          <w:sz w:val="28"/>
          <w:sz w:val="28"/>
          <w:szCs w:val="28"/>
          <w:rtl w:val="true"/>
          <w:lang w:bidi="ar-SA"/>
        </w:rPr>
        <w:t xml:space="preserve">مُبغَضٍ مَخُوفِ الناحيةِ </w:t>
      </w:r>
      <w:r>
        <w:rPr>
          <w:rStyle w:val="FootnoteAnchor"/>
          <w:rtl w:val="true"/>
        </w:rPr>
        <w:footnoteReference w:id="2833"/>
      </w:r>
      <w:r>
        <w:rPr>
          <w:rFonts w:ascii="Amiri" w:hAnsi="Amiri" w:eastAsia="Amiri" w:cs="Amiri"/>
          <w:color w:val="111111"/>
          <w:sz w:val="28"/>
          <w:sz w:val="28"/>
          <w:szCs w:val="28"/>
          <w:rtl w:val="true"/>
          <w:lang w:bidi="ar-SA"/>
        </w:rPr>
        <w:t>، بَل إلىٰ مَن له نِهايةُ الاختصاصِ ، و قد</w:t>
      </w:r>
      <w:r>
        <w:rPr>
          <w:rStyle w:val="FootnoteAnchor"/>
          <w:rtl w:val="true"/>
        </w:rPr>
        <w:footnoteReference w:id="2834"/>
      </w:r>
      <w:r>
        <w:rPr>
          <w:rFonts w:ascii="Amiri" w:hAnsi="Amiri" w:eastAsia="Amiri" w:cs="Amiri"/>
          <w:color w:val="111111"/>
          <w:sz w:val="28"/>
          <w:sz w:val="28"/>
          <w:szCs w:val="28"/>
          <w:rtl w:val="true"/>
          <w:lang w:bidi="ar-SA"/>
        </w:rPr>
        <w:t xml:space="preserve">بَلَغَ الغايةَ في الثِّقةِ و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لِمَن تأمَّلَه</w:t>
      </w:r>
      <w:r>
        <w:rPr>
          <w:rStyle w:val="FootnoteAnchor"/>
          <w:rtl w:val="true"/>
        </w:rPr>
        <w:footnoteReference w:id="2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الكتابِ‌ بَعدَ كلامٍ </w:t>
      </w:r>
      <w:r>
        <w:rPr>
          <w:rStyle w:val="FootnoteAnchor"/>
          <w:rtl w:val="true"/>
        </w:rPr>
        <w:footnoteReference w:id="2836"/>
      </w:r>
      <w:r>
        <w:rPr>
          <w:rFonts w:ascii="Amiri" w:hAnsi="Amiri" w:eastAsia="Amiri" w:cs="Amiri"/>
          <w:color w:val="111111"/>
          <w:sz w:val="28"/>
          <w:sz w:val="28"/>
          <w:szCs w:val="28"/>
          <w:rtl w:val="true"/>
          <w:lang w:bidi="ar-SA"/>
        </w:rPr>
        <w:t>لا طائلَ في حكايتِه</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مُلزِماً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عليه السلامُ </w:t>
      </w:r>
      <w:r>
        <w:rPr>
          <w:rStyle w:val="FootnoteAnchor"/>
          <w:rtl w:val="true"/>
        </w:rPr>
        <w:footnoteReference w:id="2838"/>
      </w:r>
      <w:r>
        <w:rPr>
          <w:rFonts w:ascii="Amiri" w:hAnsi="Amiri" w:eastAsia="Amiri" w:cs="Amiri"/>
          <w:color w:val="111111"/>
          <w:sz w:val="28"/>
          <w:sz w:val="28"/>
          <w:szCs w:val="28"/>
          <w:rtl w:val="true"/>
          <w:lang w:bidi="ar-SA"/>
        </w:rPr>
        <w:t xml:space="preserve">إنّما أرادَ بهذا </w:t>
      </w:r>
    </w:p>
    <w:p>
      <w:pPr>
        <w:pStyle w:val="BookText"/>
        <w:rPr/>
      </w:pPr>
      <w:r>
        <w:rPr>
          <w:rFonts w:ascii="Amiri" w:hAnsi="Amiri" w:eastAsia="Amiri" w:cs="Amiri"/>
          <w:color w:val="111111"/>
          <w:sz w:val="28"/>
          <w:sz w:val="28"/>
          <w:szCs w:val="28"/>
          <w:rtl w:val="true"/>
          <w:lang w:bidi="ar-SA"/>
        </w:rPr>
        <w:t>الخبرِ إثباتَ الإمامةِ لأميرِ المؤمنينَ عليه السلامُ‌، فيَجِبُ لَو ماتَ في حياةِ النبيِّ عليه السلامُ أن لا يَكونَ منه بمَنزِلةِ هارونَ مِن موسىٰ‌، و لَو كانَ كذلكَ لَوَجَبَ عندَ سَماعِ هذا الخبرِ أن يُقطَعَ علىٰ أنّه يَبقىٰ بَعدَه عليه السلامُ‌، و لَوَجَبَ أن لا يُستَفادَ بِه</w:t>
      </w:r>
      <w:r>
        <w:rPr>
          <w:rStyle w:val="FootnoteAnchor"/>
          <w:rtl w:val="true"/>
        </w:rPr>
        <w:footnoteReference w:id="2839"/>
      </w:r>
      <w:r>
        <w:rPr>
          <w:rFonts w:ascii="Amiri" w:hAnsi="Amiri" w:eastAsia="Amiri" w:cs="Amiri"/>
          <w:color w:val="111111"/>
          <w:sz w:val="28"/>
          <w:sz w:val="28"/>
          <w:szCs w:val="28"/>
          <w:rtl w:val="true"/>
          <w:lang w:bidi="ar-SA"/>
        </w:rPr>
        <w:t>في الحالِ فَضيلةٌ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ألزَمَهم أن لا يَجوزَ منه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يُوَلّيَ أحَداً علىٰ عليٍّ عليه السلامُ في حياتِه، كما لا يَجوزُ أن يُوَلّيَ عليه أحَداً بَعدَ وفاتِه؛ لأنّ‌</w:t>
      </w:r>
      <w:r>
        <w:rPr>
          <w:rStyle w:val="FootnoteAnchor"/>
          <w:rtl w:val="true"/>
        </w:rPr>
        <w:footnoteReference w:id="2840"/>
      </w:r>
      <w:r>
        <w:rPr>
          <w:rFonts w:ascii="Amiri" w:hAnsi="Amiri" w:eastAsia="Amiri" w:cs="Amiri"/>
          <w:color w:val="111111"/>
          <w:sz w:val="28"/>
          <w:sz w:val="28"/>
          <w:szCs w:val="28"/>
          <w:rtl w:val="true"/>
          <w:lang w:bidi="ar-SA"/>
        </w:rPr>
        <w:t>الخبرَ فيما يُفيدُه</w:t>
      </w:r>
      <w:r>
        <w:rPr>
          <w:rStyle w:val="FootnoteAnchor"/>
          <w:rtl w:val="true"/>
        </w:rPr>
        <w:footnoteReference w:id="2841"/>
      </w:r>
      <w:r>
        <w:rPr>
          <w:rFonts w:ascii="Amiri" w:hAnsi="Amiri" w:eastAsia="Amiri" w:cs="Amiri"/>
          <w:color w:val="111111"/>
          <w:sz w:val="28"/>
          <w:sz w:val="28"/>
          <w:szCs w:val="28"/>
          <w:rtl w:val="true"/>
          <w:lang w:bidi="ar-SA"/>
        </w:rPr>
        <w:t>لفظاً و معنىً‌</w:t>
      </w:r>
      <w:r>
        <w:rPr>
          <w:rStyle w:val="FootnoteAnchor"/>
          <w:rtl w:val="true"/>
        </w:rPr>
        <w:footnoteReference w:id="2842"/>
      </w:r>
      <w:r>
        <w:rPr>
          <w:rFonts w:ascii="Amiri" w:hAnsi="Amiri" w:eastAsia="Amiri" w:cs="Amiri"/>
          <w:color w:val="111111"/>
          <w:sz w:val="28"/>
          <w:sz w:val="28"/>
          <w:szCs w:val="28"/>
          <w:rtl w:val="true"/>
          <w:lang w:bidi="ar-SA"/>
        </w:rPr>
        <w:t>لا يَفصِلُ بَينَ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يَبطُلُ بما</w:t>
      </w:r>
      <w:r>
        <w:rPr>
          <w:rStyle w:val="FootnoteAnchor"/>
          <w:rtl w:val="true"/>
        </w:rPr>
        <w:footnoteReference w:id="2843"/>
      </w:r>
      <w:r>
        <w:rPr>
          <w:rFonts w:ascii="Amiri" w:hAnsi="Amiri" w:eastAsia="Amiri" w:cs="Amiri"/>
          <w:color w:val="111111"/>
          <w:sz w:val="28"/>
          <w:sz w:val="28"/>
          <w:szCs w:val="28"/>
          <w:rtl w:val="true"/>
          <w:lang w:bidi="ar-SA"/>
        </w:rPr>
        <w:t>قد ثَبَتَ مِن أنّه عليه السلامُ وَلّىٰ أبا بَكرٍ علىٰ عَليٍّ أميرِ المؤمنينَ‌</w:t>
      </w:r>
      <w:r>
        <w:rPr>
          <w:rStyle w:val="FootnoteAnchor"/>
          <w:rtl w:val="true"/>
        </w:rPr>
        <w:footnoteReference w:id="2844"/>
      </w:r>
      <w:r>
        <w:rPr>
          <w:rFonts w:ascii="Amiri" w:hAnsi="Amiri" w:eastAsia="Amiri" w:cs="Amiri"/>
          <w:color w:val="111111"/>
          <w:sz w:val="28"/>
          <w:sz w:val="28"/>
          <w:szCs w:val="28"/>
          <w:rtl w:val="true"/>
          <w:lang w:bidi="ar-SA"/>
        </w:rPr>
        <w:t>عليه السلامُ في الحَجّةِ التي حَجَّها المؤمنونَ قَبلَ حَجّةِ الوَداعِ‌، و وَلّاه الصلاةَ في مرضِه،</w:t>
      </w:r>
      <w:r>
        <w:rPr>
          <w:rStyle w:val="FootnoteAnchor"/>
          <w:rtl w:val="true"/>
        </w:rPr>
        <w:footnoteReference w:id="284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الخبرُ يَدُلُّ علَى الإمامةِ‌، التي لا يَجوزُ معها أن يَتقدَّمَه</w:t>
      </w:r>
      <w:r>
        <w:rPr>
          <w:rStyle w:val="FootnoteAnchor"/>
          <w:rtl w:val="true"/>
        </w:rPr>
        <w:footnoteReference w:id="2846"/>
      </w:r>
      <w:r>
        <w:rPr>
          <w:rFonts w:ascii="Amiri" w:hAnsi="Amiri" w:eastAsia="Amiri" w:cs="Amiri"/>
          <w:color w:val="111111"/>
          <w:sz w:val="28"/>
          <w:sz w:val="28"/>
          <w:szCs w:val="28"/>
          <w:rtl w:val="true"/>
          <w:lang w:bidi="ar-SA"/>
        </w:rPr>
        <w:t>أحَدٌ في الصلاةِ ، فكَيفَ جازَ منه عليه السلامُ أن يُقدِّمَه عليه في الصلاةِ؟</w:t>
      </w:r>
    </w:p>
    <w:p>
      <w:pPr>
        <w:pStyle w:val="BookText"/>
        <w:rPr/>
      </w:pPr>
      <w:r>
        <w:rPr>
          <w:rFonts w:ascii="Amiri" w:hAnsi="Amiri" w:eastAsia="Amiri" w:cs="Amiri"/>
          <w:color w:val="111111"/>
          <w:sz w:val="28"/>
          <w:sz w:val="28"/>
          <w:szCs w:val="28"/>
          <w:rtl w:val="true"/>
          <w:lang w:bidi="ar-SA"/>
        </w:rPr>
        <w:t>و قالَ حاكياً عنه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استخلافُه صَلَّى اللّٰهُ عليه و آلِه عليّاً عليه السلامُ في المَدينةِ </w:t>
      </w:r>
      <w:r>
        <w:rPr>
          <w:rStyle w:val="FootnoteAnchor"/>
          <w:rtl w:val="true"/>
        </w:rPr>
        <w:footnoteReference w:id="2847"/>
      </w:r>
      <w:bookmarkStart w:id="502" w:name="pg20017_202679"/>
    </w:p>
    <w:p>
      <w:pPr>
        <w:pStyle w:val="BookText"/>
        <w:rPr/>
      </w:pPr>
      <w:bookmarkEnd w:id="502"/>
      <w:r>
        <w:rPr>
          <w:rFonts w:ascii="Amiri" w:hAnsi="Amiri" w:eastAsia="Amiri" w:cs="Amiri"/>
          <w:color w:val="111111"/>
          <w:sz w:val="28"/>
          <w:sz w:val="28"/>
          <w:szCs w:val="28"/>
          <w:rtl w:val="true"/>
          <w:lang w:bidi="ar-SA"/>
        </w:rPr>
        <w:t>يَقتَضي استمرارَ الخِلافةِ إلىٰ بَعدِ المَوتِ فيَكونَ إماماً، فتقديمُه عليه السلامُ أبا بَكرٍ في الصلاةِ‌</w:t>
      </w:r>
      <w:r>
        <w:rPr>
          <w:rStyle w:val="FootnoteAnchor"/>
          <w:rtl w:val="true"/>
        </w:rPr>
        <w:footnoteReference w:id="2848"/>
      </w:r>
      <w:r>
        <w:rPr>
          <w:rFonts w:ascii="Amiri" w:hAnsi="Amiri" w:eastAsia="Amiri" w:cs="Amiri"/>
          <w:color w:val="111111"/>
          <w:sz w:val="28"/>
          <w:sz w:val="28"/>
          <w:szCs w:val="28"/>
          <w:rtl w:val="true"/>
          <w:lang w:bidi="ar-SA"/>
        </w:rPr>
        <w:t>في أيّامِ مرضِه يَقتَضي كَونَه إماماً بَعدَ وفاتِه</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w:t>
      </w:r>
      <w:r>
        <w:rPr>
          <w:rStyle w:val="FootnoteAnchor"/>
          <w:rtl w:val="true"/>
        </w:rPr>
        <w:footnoteReference w:id="2850"/>
      </w:r>
      <w:r>
        <w:rPr>
          <w:rFonts w:ascii="Amiri" w:hAnsi="Amiri" w:eastAsia="Amiri" w:cs="Amiri"/>
          <w:color w:val="111111"/>
          <w:sz w:val="28"/>
          <w:sz w:val="28"/>
          <w:szCs w:val="28"/>
          <w:rtl w:val="true"/>
          <w:lang w:bidi="ar-SA"/>
        </w:rPr>
        <w:t>ذَكَرَه لَم نَحكِه؛ لأنّ نَقضَه</w:t>
      </w:r>
      <w:r>
        <w:rPr>
          <w:rStyle w:val="FootnoteAnchor"/>
          <w:rtl w:val="true"/>
        </w:rPr>
        <w:footnoteReference w:id="2851"/>
      </w:r>
      <w:r>
        <w:rPr>
          <w:rFonts w:ascii="Amiri" w:hAnsi="Amiri" w:eastAsia="Amiri" w:cs="Amiri"/>
          <w:color w:val="111111"/>
          <w:sz w:val="28"/>
          <w:sz w:val="28"/>
          <w:szCs w:val="28"/>
          <w:rtl w:val="true"/>
          <w:lang w:bidi="ar-SA"/>
        </w:rPr>
        <w:t>قد تَقدَّمَ‌</w:t>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ثَبَتَ أنّه عليه السلامُ بَعدَما استَخلَفَ عليّاً عليه السلامُ علَى المَدينةِ بَعَثَه إلَى اليَمَنِ‌، و استَخلَفَ </w:t>
      </w:r>
      <w:r>
        <w:rPr>
          <w:rStyle w:val="FootnoteAnchor"/>
          <w:rtl w:val="true"/>
        </w:rPr>
        <w:footnoteReference w:id="2853"/>
      </w:r>
      <w:r>
        <w:rPr>
          <w:rFonts w:ascii="Amiri" w:hAnsi="Amiri" w:eastAsia="Amiri" w:cs="Amiri"/>
          <w:color w:val="111111"/>
          <w:sz w:val="28"/>
          <w:sz w:val="28"/>
          <w:szCs w:val="28"/>
          <w:rtl w:val="true"/>
          <w:lang w:bidi="ar-SA"/>
        </w:rPr>
        <w:t xml:space="preserve">علَى المَدينةِ غيرَه عندَ خروجِه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يُبطِلُ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الاستخلافَ قائمٌ إلىٰ </w:t>
      </w:r>
      <w:r>
        <w:rPr>
          <w:rStyle w:val="FootnoteAnchor"/>
          <w:rtl w:val="true"/>
        </w:rPr>
        <w:footnoteReference w:id="2854"/>
      </w:r>
      <w:r>
        <w:rPr>
          <w:rFonts w:ascii="Amiri" w:hAnsi="Amiri" w:eastAsia="Amiri" w:cs="Amiri"/>
          <w:color w:val="111111"/>
          <w:sz w:val="28"/>
          <w:sz w:val="28"/>
          <w:szCs w:val="28"/>
          <w:rtl w:val="true"/>
          <w:lang w:bidi="ar-SA"/>
        </w:rPr>
        <w:t xml:space="preserve">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يُوجِبُ كَونَه إماماً</w:t>
      </w:r>
      <w:r>
        <w:rPr>
          <w:rFonts w:eastAsia="Amiri" w:cs="Amiri" w:ascii="Amiri" w:hAnsi="Amiri"/>
          <w:color w:val="111111"/>
          <w:sz w:val="28"/>
          <w:szCs w:val="28"/>
          <w:rtl w:val="true"/>
          <w:lang w:bidi="ar-SA"/>
        </w:rPr>
        <w:t>]</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3" w:name="__RefHeading___Toc964351_2320776876"/>
      <w:bookmarkStart w:id="504" w:name="_Toc179"/>
      <w:bookmarkEnd w:id="503"/>
      <w:r>
        <w:rPr>
          <w:rtl w:val="true"/>
        </w:rPr>
        <w:t>دلالة الحديث علىٰ منزلة خلافة أمير المؤمنين عليه السلام و إن مات في حياة الرسول صلى الله عليه و آله</w:t>
      </w:r>
      <w:bookmarkEnd w:id="50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 ما ظَنَنتَه مِن أنّ أميرَ المؤمنينَ عليه السلامُ لَو ماتَ في حياةِ النبيِّ صَلَّى اللّٰهُ عليه و آلِه لَوَجَبَ أن لا يَكونَ منه بمَنزِلةِ هارونَ مِن موسىٰ‌، بَل لَو ماتَ عليه السلامُ لَم يَخرُجْ مِن أن يَكونَ بمَنزِلتِه</w:t>
      </w:r>
      <w:r>
        <w:rPr>
          <w:rStyle w:val="FootnoteAnchor"/>
          <w:rtl w:val="true"/>
        </w:rPr>
        <w:footnoteReference w:id="2856"/>
      </w:r>
      <w:r>
        <w:rPr>
          <w:rFonts w:ascii="Amiri" w:hAnsi="Amiri" w:eastAsia="Amiri" w:cs="Amiri"/>
          <w:color w:val="111111"/>
          <w:sz w:val="28"/>
          <w:sz w:val="28"/>
          <w:szCs w:val="28"/>
          <w:rtl w:val="true"/>
          <w:lang w:bidi="ar-SA"/>
        </w:rPr>
        <w:t>في الخِلافةِ له عليه السلامُ في الحياةِ‌، و</w:t>
      </w:r>
      <w:r>
        <w:rPr>
          <w:rStyle w:val="FootnoteAnchor"/>
          <w:rtl w:val="true"/>
        </w:rPr>
        <w:footnoteReference w:id="2857"/>
      </w:r>
      <w:r>
        <w:rPr>
          <w:rFonts w:ascii="Amiri" w:hAnsi="Amiri" w:eastAsia="Amiri" w:cs="Amiri"/>
          <w:color w:val="111111"/>
          <w:sz w:val="28"/>
          <w:sz w:val="28"/>
          <w:szCs w:val="28"/>
          <w:rtl w:val="true"/>
          <w:lang w:bidi="ar-SA"/>
        </w:rPr>
        <w:t xml:space="preserve">استحقاقِ الخلافةِ بَعدَ الوفاةِ‌، إلىٰ سائرِ ما ذَكَرناه مِن المنازِلِ </w:t>
      </w:r>
      <w:r>
        <w:rPr>
          <w:rFonts w:eastAsia="Amiri" w:cs="Amiri" w:ascii="Amiri" w:hAnsi="Amiri"/>
          <w:color w:val="111111"/>
          <w:sz w:val="28"/>
          <w:szCs w:val="28"/>
          <w:rtl w:val="true"/>
          <w:lang w:bidi="ar-SA"/>
        </w:rPr>
        <w:t xml:space="preserve">. </w:t>
      </w:r>
      <w:bookmarkStart w:id="505" w:name="pg20017_202680"/>
    </w:p>
    <w:p>
      <w:pPr>
        <w:pStyle w:val="Heading6"/>
        <w:numPr>
          <w:ilvl w:val="5"/>
          <w:numId w:val="1"/>
        </w:numPr>
        <w:rPr/>
      </w:pPr>
      <w:bookmarkStart w:id="506" w:name="__RefHeading___Toc964353_2320776876"/>
      <w:bookmarkStart w:id="507" w:name="_Toc180"/>
      <w:bookmarkEnd w:id="505"/>
      <w:bookmarkEnd w:id="506"/>
      <w:r>
        <w:rPr>
          <w:rtl w:val="true"/>
        </w:rPr>
        <w:t>بيان وجه القطع علىٰ بقاء أمير المؤمنين عليه السلام حيّاً بعد وفاة الرسول صلى الله عليه و آله</w:t>
      </w:r>
      <w:bookmarkEnd w:id="507"/>
    </w:p>
    <w:p>
      <w:pPr>
        <w:pStyle w:val="BookText"/>
        <w:rPr/>
      </w:pPr>
      <w:r>
        <w:rPr>
          <w:rFonts w:ascii="Amiri" w:hAnsi="Amiri" w:eastAsia="Amiri" w:cs="Amiri"/>
          <w:color w:val="111111"/>
          <w:sz w:val="28"/>
          <w:sz w:val="28"/>
          <w:szCs w:val="28"/>
          <w:rtl w:val="true"/>
          <w:lang w:bidi="ar-SA"/>
        </w:rPr>
        <w:t>غيرَ أنّا نَقطَعُ علىٰ بَقائِه إلىٰ بَعدِ وفاةِ الرسولِ‌، و نَمنَعُ مِن وفاتِه قَبلَ وفاتِه صَلَّى اللّٰهُ عليه و آلِه؛ فإنّه</w:t>
      </w:r>
      <w:r>
        <w:rPr>
          <w:rStyle w:val="FootnoteAnchor"/>
          <w:rtl w:val="true"/>
        </w:rPr>
        <w:footnoteReference w:id="2858"/>
      </w:r>
      <w:r>
        <w:rPr>
          <w:rFonts w:ascii="Amiri" w:hAnsi="Amiri" w:eastAsia="Amiri" w:cs="Amiri"/>
          <w:color w:val="111111"/>
          <w:sz w:val="28"/>
          <w:sz w:val="28"/>
          <w:szCs w:val="28"/>
          <w:rtl w:val="true"/>
          <w:lang w:bidi="ar-SA"/>
        </w:rPr>
        <w:t>لَيسَ لهذا الوجهِ‌، لكِنْ لأنّ النبيَّ صَلَّى اللّٰهُ عليه و آلِه إذا كانَ بهذا الخبرِ قد نَصَّ علىٰ إمامتِه بَعدَه، و أشارَ لنا به إلىٰ مَن يَكونُ فَزَعُنا إليه عندَ فَقدِه عليه السلامُ‌، و لَم يَقُلْ في غيرِه ما يَقتَضي النَّصَّ عليه و حصولَ الإمامةِ له مِن بَعدِه، فلا بُدَّ مِن أن يُستَدلَّ بهذا الخبرِ مِن هذه الجِهةِ‌</w:t>
      </w:r>
      <w:r>
        <w:rPr>
          <w:rStyle w:val="FootnoteAnchor"/>
          <w:rtl w:val="true"/>
        </w:rPr>
        <w:footnoteReference w:id="2859"/>
      </w:r>
      <w:r>
        <w:rPr>
          <w:rFonts w:ascii="Amiri" w:hAnsi="Amiri" w:eastAsia="Amiri" w:cs="Amiri"/>
          <w:color w:val="111111"/>
          <w:sz w:val="28"/>
          <w:sz w:val="28"/>
          <w:szCs w:val="28"/>
          <w:rtl w:val="true"/>
          <w:lang w:bidi="ar-SA"/>
        </w:rPr>
        <w:t>علىٰ أنّ أميرَ المؤمنينَ عليه السلامُ هو الإمامُ مِن بَعدِه، و إلّالَم يَكُنِ النبيُّ صَلَّى اللّٰهُ عليه و آلِه قد</w:t>
      </w:r>
      <w:r>
        <w:rPr>
          <w:rStyle w:val="FootnoteAnchor"/>
          <w:rtl w:val="true"/>
        </w:rPr>
        <w:footnoteReference w:id="2860"/>
      </w:r>
      <w:r>
        <w:rPr>
          <w:rFonts w:ascii="Amiri" w:hAnsi="Amiri" w:eastAsia="Amiri" w:cs="Amiri"/>
          <w:color w:val="111111"/>
          <w:sz w:val="28"/>
          <w:sz w:val="28"/>
          <w:szCs w:val="28"/>
          <w:rtl w:val="true"/>
          <w:lang w:bidi="ar-SA"/>
        </w:rPr>
        <w:t>خَرَجَ ممّا قد وَجَبَ عليه مِن النَّصِّ علىٰ خَليفتِه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نَعلَمُ مِن أيِّ وجهٍ استَبعَدَ صاحبُ الكتابِ القَطعَ علىٰ بقائِه عليه السلامُ‌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أَرسَلَه إرسالَ مَن يَنُصُّ بأنّه مُنكَرٌ مُستَبعَدٌ لا خِلافَ عليه فيه‌؟ و نَحنُ نَعلَمُ أنّه لَيسَ في القَطعِ علىٰ بَقائِه عليه السلامُ بَعدَ وفاةِ الرسولِ صَلَّى اللّٰهُ عليه و آلِه ما يَقتَضي فَساداً، أو خروجاً عن أصلٍ‌، أو مُفارَقةً لحَقٍّ‌</w:t>
      </w:r>
      <w:r>
        <w:rPr>
          <w:rStyle w:val="FootnoteAnchor"/>
          <w:rtl w:val="true"/>
        </w:rPr>
        <w:footnoteReference w:id="2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مِن أقوالِه عليه السلامُ فيه</w:t>
      </w:r>
      <w:r>
        <w:rPr>
          <w:rStyle w:val="FootnoteAnchor"/>
          <w:rtl w:val="true"/>
        </w:rPr>
        <w:footnoteReference w:id="2862"/>
      </w:r>
      <w:r>
        <w:rPr>
          <w:rFonts w:ascii="Amiri" w:hAnsi="Amiri" w:eastAsia="Amiri" w:cs="Amiri"/>
          <w:color w:val="111111"/>
          <w:sz w:val="28"/>
          <w:sz w:val="28"/>
          <w:szCs w:val="28"/>
          <w:rtl w:val="true"/>
          <w:lang w:bidi="ar-SA"/>
        </w:rPr>
        <w:t>ما يَدُلُّ علىٰ بقائه بَعدَه، و تَظاهَرَت</w:t>
      </w:r>
      <w:r>
        <w:rPr>
          <w:rStyle w:val="FootnoteAnchor"/>
          <w:rtl w:val="true"/>
        </w:rPr>
        <w:footnoteReference w:id="2863"/>
      </w:r>
      <w:r>
        <w:rPr>
          <w:rFonts w:ascii="Amiri" w:hAnsi="Amiri" w:eastAsia="Amiri" w:cs="Amiri"/>
          <w:color w:val="111111"/>
          <w:sz w:val="28"/>
          <w:sz w:val="28"/>
          <w:szCs w:val="28"/>
          <w:rtl w:val="true"/>
          <w:lang w:bidi="ar-SA"/>
        </w:rPr>
        <w:t>الروايةُ‌</w:t>
      </w:r>
      <w:r>
        <w:rPr>
          <w:rStyle w:val="FootnoteAnchor"/>
          <w:rtl w:val="true"/>
        </w:rPr>
        <w:footnoteReference w:id="2864"/>
      </w:r>
      <w:r>
        <w:rPr>
          <w:rFonts w:ascii="Amiri" w:hAnsi="Amiri" w:eastAsia="Amiri" w:cs="Amiri"/>
          <w:color w:val="111111"/>
          <w:sz w:val="28"/>
          <w:sz w:val="28"/>
          <w:szCs w:val="28"/>
          <w:rtl w:val="true"/>
          <w:lang w:bidi="ar-SA"/>
        </w:rPr>
        <w:t xml:space="preserve">بذلكَ‌؛ فمِن جُملتِه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تُقاتِلُ بَعديَ الناكِثينَ و القاسِطينَ و المارِقينَ </w:t>
      </w:r>
      <w:r>
        <w:rPr>
          <w:rFonts w:eastAsia="Amiri" w:cs="Amiri" w:ascii="Amiri" w:hAnsi="Amiri"/>
          <w:color w:val="111111"/>
          <w:sz w:val="28"/>
          <w:szCs w:val="28"/>
          <w:rtl w:val="true"/>
          <w:lang w:bidi="ar-SA"/>
        </w:rPr>
        <w:t>»</w:t>
      </w:r>
      <w:r>
        <w:rPr>
          <w:rStyle w:val="FootnoteAnchor"/>
          <w:rtl w:val="true"/>
        </w:rPr>
        <w:footnoteReference w:id="2865"/>
      </w:r>
      <w:r>
        <w:rPr>
          <w:rFonts w:ascii="Amiri" w:hAnsi="Amiri" w:eastAsia="Amiri" w:cs="Amiri"/>
          <w:color w:val="111111"/>
          <w:sz w:val="28"/>
          <w:sz w:val="28"/>
          <w:szCs w:val="28"/>
          <w:rtl w:val="true"/>
          <w:lang w:bidi="ar-SA"/>
        </w:rPr>
        <w:t xml:space="preserve">، إلىٰ </w:t>
      </w:r>
      <w:bookmarkStart w:id="508" w:name="pg20017_202681"/>
    </w:p>
    <w:p>
      <w:pPr>
        <w:pStyle w:val="BookText"/>
        <w:rPr/>
      </w:pPr>
      <w:bookmarkEnd w:id="508"/>
      <w:r>
        <w:rPr>
          <w:rFonts w:ascii="Amiri" w:hAnsi="Amiri" w:eastAsia="Amiri" w:cs="Amiri"/>
          <w:color w:val="111111"/>
          <w:sz w:val="28"/>
          <w:sz w:val="28"/>
          <w:szCs w:val="28"/>
          <w:rtl w:val="true"/>
          <w:lang w:bidi="ar-SA"/>
        </w:rPr>
        <w:t>غيرِ هذا</w:t>
      </w:r>
      <w:r>
        <w:rPr>
          <w:rStyle w:val="FootnoteAnchor"/>
          <w:rtl w:val="true"/>
        </w:rPr>
        <w:footnoteReference w:id="2866"/>
      </w:r>
      <w:r>
        <w:rPr>
          <w:rFonts w:ascii="Amiri" w:hAnsi="Amiri" w:eastAsia="Amiri" w:cs="Amiri"/>
          <w:color w:val="111111"/>
          <w:sz w:val="28"/>
          <w:sz w:val="28"/>
          <w:szCs w:val="28"/>
          <w:rtl w:val="true"/>
          <w:lang w:bidi="ar-SA"/>
        </w:rPr>
        <w:t xml:space="preserve">ممّا لَو ذَكرناه لَطالَ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يَجِبُ أن لا يُستَفادَ به فَضيلةٌ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كلامُنا عليه، و بيّنّا ترتيبَ القولِ فيه علىٰ طريقةِ الاستثناءِ التي يُتعلَّقُ فيها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Style w:val="FootnoteAnchor"/>
          <w:rtl w:val="true"/>
        </w:rPr>
        <w:footnoteReference w:id="2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الطريقةُ الأُولىٰ </w:t>
      </w:r>
      <w:r>
        <w:rPr>
          <w:rStyle w:val="FootnoteAnchor"/>
          <w:rtl w:val="true"/>
        </w:rPr>
        <w:footnoteReference w:id="2868"/>
      </w:r>
      <w:r>
        <w:rPr>
          <w:rFonts w:ascii="Amiri" w:hAnsi="Amiri" w:eastAsia="Amiri" w:cs="Amiri"/>
          <w:color w:val="111111"/>
          <w:sz w:val="28"/>
          <w:sz w:val="28"/>
          <w:szCs w:val="28"/>
          <w:rtl w:val="true"/>
          <w:lang w:bidi="ar-SA"/>
        </w:rPr>
        <w:t xml:space="preserve">فلا شُبهةَ في أنّها تَقتَضي حصولَ جميعِ المَنازِلِ الموجِبةِ للفَضيلةِ في الحالِ </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964355_2320776876"/>
      <w:bookmarkStart w:id="510" w:name="_Toc181"/>
      <w:bookmarkEnd w:id="509"/>
      <w:r>
        <w:rPr>
          <w:rtl w:val="true"/>
        </w:rPr>
        <w:t>إبطال تولية أبي بكر علىٰ أمير المؤمنين عليه السلام في الحجّ ، و تقديمه عليه في الصلاة</w:t>
      </w:r>
      <w:bookmarkEnd w:id="510"/>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تأوُّلَنا</w:t>
      </w:r>
      <w:r>
        <w:rPr>
          <w:rStyle w:val="FootnoteAnchor"/>
          <w:rtl w:val="true"/>
        </w:rPr>
        <w:footnoteReference w:id="2869"/>
      </w:r>
      <w:r>
        <w:rPr>
          <w:rFonts w:ascii="Amiri" w:hAnsi="Amiri" w:eastAsia="Amiri" w:cs="Amiri"/>
          <w:color w:val="111111"/>
          <w:sz w:val="28"/>
          <w:sz w:val="28"/>
          <w:szCs w:val="28"/>
          <w:rtl w:val="true"/>
          <w:lang w:bidi="ar-SA"/>
        </w:rPr>
        <w:t>يَقتَضي أن لا يُوَلّيَ أحَداً علىٰ أميرِ المؤمنينَ عليه السلامُ في حياتِه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ادّعاؤه</w:t>
      </w:r>
      <w:r>
        <w:rPr>
          <w:rStyle w:val="FootnoteAnchor"/>
          <w:rtl w:val="true"/>
        </w:rPr>
        <w:footnoteReference w:id="2870"/>
      </w:r>
      <w:r>
        <w:rPr>
          <w:rFonts w:ascii="Amiri" w:hAnsi="Amiri" w:eastAsia="Amiri" w:cs="Amiri"/>
          <w:color w:val="111111"/>
          <w:sz w:val="28"/>
          <w:sz w:val="28"/>
          <w:szCs w:val="28"/>
          <w:rtl w:val="true"/>
          <w:lang w:bidi="ar-SA"/>
        </w:rPr>
        <w:t xml:space="preserve">أنّه وَلّىٰ عليه أبا بَكرٍ في الحَجّةِ التي حَجَّها المُسلِمونَ قَبلَ حَجّةِ الوَداعِ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صَحَّت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مِنّا في تأويلِ الخبرِ إلىٰ إيجابِه في حالِ الحياةِ الخِلافةَ </w:t>
      </w:r>
      <w:r>
        <w:rPr>
          <w:rStyle w:val="FootnoteAnchor"/>
          <w:rtl w:val="true"/>
        </w:rPr>
        <w:footnoteReference w:id="2871"/>
      </w:r>
      <w:r>
        <w:rPr>
          <w:rFonts w:ascii="Amiri" w:hAnsi="Amiri" w:eastAsia="Amiri" w:cs="Amiri"/>
          <w:color w:val="111111"/>
          <w:sz w:val="28"/>
          <w:sz w:val="28"/>
          <w:szCs w:val="28"/>
          <w:rtl w:val="true"/>
          <w:lang w:bidi="ar-SA"/>
        </w:rPr>
        <w:t xml:space="preserve">علَى المَدينةِ مِن غيرِ استمرارٍ، و استحقاقَ الخِلافةِ </w:t>
      </w:r>
      <w:r>
        <w:rPr>
          <w:rStyle w:val="FootnoteAnchor"/>
          <w:rtl w:val="true"/>
        </w:rPr>
        <w:footnoteReference w:id="2872"/>
      </w:r>
      <w:r>
        <w:rPr>
          <w:rFonts w:ascii="Amiri" w:hAnsi="Amiri" w:eastAsia="Amiri" w:cs="Amiri"/>
          <w:color w:val="111111"/>
          <w:sz w:val="28"/>
          <w:sz w:val="28"/>
          <w:szCs w:val="28"/>
          <w:rtl w:val="true"/>
          <w:lang w:bidi="ar-SA"/>
        </w:rPr>
        <w:t xml:space="preserve">مِن بَعدِ الوفاةِ </w:t>
      </w:r>
      <w:r>
        <w:rPr>
          <w:rStyle w:val="FootnoteAnchor"/>
          <w:rtl w:val="true"/>
        </w:rPr>
        <w:footnoteReference w:id="2873"/>
      </w:r>
      <w:r>
        <w:rPr>
          <w:rFonts w:ascii="Amiri" w:hAnsi="Amiri" w:eastAsia="Amiri" w:cs="Amiri"/>
          <w:color w:val="111111"/>
          <w:sz w:val="28"/>
          <w:sz w:val="28"/>
          <w:szCs w:val="28"/>
          <w:rtl w:val="true"/>
          <w:lang w:bidi="ar-SA"/>
        </w:rPr>
        <w:t>و إنّما يَلزَمُ أن يُجِيبَ عنه مَن ذَهَبَ إلىٰ أنّ الخِلافةَ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4049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10054</w:t>
      </w:r>
      <w:r>
        <w:rPr>
          <w:rFonts w:ascii="Amiri" w:hAnsi="Amiri" w:eastAsia="Amiri" w:cs="Amiri"/>
          <w:color w:val="111111"/>
          <w:sz w:val="28"/>
          <w:sz w:val="28"/>
          <w:szCs w:val="28"/>
          <w:rtl w:val="true"/>
          <w:lang w:bidi="ar-SA"/>
        </w:rPr>
        <w:t xml:space="preserve">؛ مسند أبي يعلىٰ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 xml:space="preserve">؛ مسند البزّار،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36361</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36367</w:t>
      </w:r>
      <w:r>
        <w:rPr>
          <w:rFonts w:ascii="Amiri" w:hAnsi="Amiri" w:eastAsia="Amiri" w:cs="Amiri"/>
          <w:color w:val="111111"/>
          <w:sz w:val="28"/>
          <w:sz w:val="28"/>
          <w:szCs w:val="28"/>
          <w:rtl w:val="true"/>
          <w:lang w:bidi="ar-SA"/>
        </w:rPr>
        <w:t>، مع اختلاف يسير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الحياةِ استَمَرَّت إلىٰ بَعدِ الوفاةِ‌</w:t>
      </w:r>
      <w:r>
        <w:rPr>
          <w:rStyle w:val="FootnoteAnchor"/>
          <w:rtl w:val="true"/>
        </w:rPr>
        <w:footnoteReference w:id="2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w:t>
      </w:r>
      <w:r>
        <w:rPr>
          <w:rStyle w:val="FootnoteAnchor"/>
          <w:rtl w:val="true"/>
        </w:rPr>
        <w:footnoteReference w:id="2875"/>
      </w:r>
      <w:r>
        <w:rPr>
          <w:rFonts w:ascii="Amiri" w:hAnsi="Amiri" w:eastAsia="Amiri" w:cs="Amiri"/>
          <w:color w:val="111111"/>
          <w:sz w:val="28"/>
          <w:sz w:val="28"/>
          <w:szCs w:val="28"/>
          <w:rtl w:val="true"/>
          <w:lang w:bidi="ar-SA"/>
        </w:rPr>
        <w:t>ذَهَبَ‌</w:t>
      </w:r>
      <w:r>
        <w:rPr>
          <w:rStyle w:val="FootnoteAnchor"/>
          <w:rtl w:val="true"/>
        </w:rPr>
        <w:footnoteReference w:id="2876"/>
      </w:r>
      <w:r>
        <w:rPr>
          <w:rFonts w:ascii="Amiri" w:hAnsi="Amiri" w:eastAsia="Amiri" w:cs="Amiri"/>
          <w:color w:val="111111"/>
          <w:sz w:val="28"/>
          <w:sz w:val="28"/>
          <w:szCs w:val="28"/>
          <w:rtl w:val="true"/>
          <w:lang w:bidi="ar-SA"/>
        </w:rPr>
        <w:t>إلىٰ ذلكَ أن يَقولَ‌</w:t>
      </w:r>
      <w:r>
        <w:rPr>
          <w:rStyle w:val="FootnoteAnchor"/>
          <w:rtl w:val="true"/>
        </w:rPr>
        <w:footnoteReference w:id="2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أَعلَمُ صِحّةَ ما ادُّعيَ مِن وِلايةِ أبي بَكرٍ عليه في الوقتِ المذكورِ؛ لأنّه كما رُويَ مِن</w:t>
      </w:r>
      <w:r>
        <w:rPr>
          <w:rStyle w:val="FootnoteAnchor"/>
          <w:rtl w:val="true"/>
        </w:rPr>
        <w:footnoteReference w:id="2878"/>
      </w:r>
      <w:r>
        <w:rPr>
          <w:rFonts w:ascii="Amiri" w:hAnsi="Amiri" w:eastAsia="Amiri" w:cs="Amiri"/>
          <w:color w:val="111111"/>
          <w:sz w:val="28"/>
          <w:sz w:val="28"/>
          <w:szCs w:val="28"/>
          <w:rtl w:val="true"/>
          <w:lang w:bidi="ar-SA"/>
        </w:rPr>
        <w:t xml:space="preserve">بعضِ الطرُقِ أنّ أبا بَكرٍ بَعدَ أخذِ السورةِ منه كانَ والياً علَى المَوسِمِ‌، فقَد رُويَ أنّه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أميرُ المؤمنينَ عليه السلامُ السورةَ </w:t>
      </w:r>
      <w:r>
        <w:rPr>
          <w:rStyle w:val="FootnoteAnchor"/>
          <w:rtl w:val="true"/>
        </w:rPr>
        <w:footnoteReference w:id="2879"/>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صَلَّى اللّٰهُ عليه</w:t>
      </w:r>
    </w:p>
    <w:p>
      <w:pPr>
        <w:pStyle w:val="BookText"/>
        <w:rPr/>
      </w:pPr>
      <w:r>
        <w:rPr>
          <w:rFonts w:ascii="Amiri" w:hAnsi="Amiri" w:eastAsia="Amiri" w:cs="Amiri"/>
          <w:color w:val="111111"/>
          <w:sz w:val="28"/>
          <w:sz w:val="28"/>
          <w:szCs w:val="28"/>
          <w:rtl w:val="true"/>
          <w:lang w:bidi="ar-SA"/>
        </w:rPr>
        <w:t xml:space="preserve">و آلِه، و كانَ الوالي علَى الحَجيجِ و المَوسِمِ و المؤدّي للسورةِ </w:t>
      </w:r>
      <w:r>
        <w:rPr>
          <w:rStyle w:val="FootnoteAnchor"/>
          <w:rtl w:val="true"/>
        </w:rPr>
        <w:footnoteReference w:id="2880"/>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ممّا يَنفَرِدُ</w:t>
      </w:r>
      <w:r>
        <w:rPr>
          <w:rStyle w:val="FootnoteAnchor"/>
          <w:rtl w:val="true"/>
        </w:rPr>
        <w:footnoteReference w:id="2881"/>
      </w:r>
      <w:r>
        <w:rPr>
          <w:rFonts w:ascii="Amiri" w:hAnsi="Amiri" w:eastAsia="Amiri" w:cs="Amiri"/>
          <w:color w:val="111111"/>
          <w:sz w:val="28"/>
          <w:sz w:val="28"/>
          <w:szCs w:val="28"/>
          <w:rtl w:val="true"/>
          <w:lang w:bidi="ar-SA"/>
        </w:rPr>
        <w:t>الشيعةُ بنَقلِه</w:t>
      </w:r>
      <w:r>
        <w:rPr>
          <w:rStyle w:val="FootnoteAnchor"/>
          <w:rtl w:val="true"/>
        </w:rPr>
        <w:footnoteReference w:id="2882"/>
      </w:r>
      <w:r>
        <w:rPr>
          <w:rFonts w:ascii="Amiri" w:hAnsi="Amiri" w:eastAsia="Amiri" w:cs="Amiri"/>
          <w:color w:val="111111"/>
          <w:sz w:val="28"/>
          <w:sz w:val="28"/>
          <w:szCs w:val="28"/>
          <w:rtl w:val="true"/>
          <w:lang w:bidi="ar-SA"/>
        </w:rPr>
        <w:t>لأنّ كَثيراً مِن أصحابِ الحديثِ قد رَوَوه</w:t>
      </w:r>
      <w:r>
        <w:rPr>
          <w:rStyle w:val="FootnoteAnchor"/>
          <w:rtl w:val="true"/>
        </w:rPr>
        <w:footnoteReference w:id="2883"/>
      </w:r>
      <w:r>
        <w:rPr>
          <w:rFonts w:ascii="Amiri" w:hAnsi="Amiri" w:eastAsia="Amiri" w:cs="Amiri"/>
          <w:color w:val="111111"/>
          <w:sz w:val="28"/>
          <w:sz w:val="28"/>
          <w:szCs w:val="28"/>
          <w:rtl w:val="true"/>
          <w:lang w:bidi="ar-SA"/>
        </w:rPr>
        <w:t>، و مَن تأمَّلَ كُتُبَهم وَجَدَه فيها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تَقابَلَت الروايتانِ وَجَبَ الشكُّ في مُوجَبِهما</w:t>
      </w:r>
      <w:r>
        <w:rPr>
          <w:rStyle w:val="FootnoteAnchor"/>
          <w:rtl w:val="true"/>
        </w:rPr>
        <w:footnoteReference w:id="2884"/>
      </w:r>
      <w:r>
        <w:rPr>
          <w:rFonts w:ascii="Amiri" w:hAnsi="Amiri" w:eastAsia="Amiri" w:cs="Amiri"/>
          <w:color w:val="111111"/>
          <w:sz w:val="28"/>
          <w:sz w:val="28"/>
          <w:szCs w:val="28"/>
          <w:rtl w:val="true"/>
          <w:lang w:bidi="ar-SA"/>
        </w:rPr>
        <w:t xml:space="preserve">، بَل يَجِبُ القَطعُ علىٰ </w:t>
      </w:r>
    </w:p>
    <w:p>
      <w:pPr>
        <w:pStyle w:val="BookText"/>
        <w:rPr/>
      </w:pPr>
      <w:r>
        <w:rPr>
          <w:rFonts w:ascii="Amiri" w:hAnsi="Amiri" w:eastAsia="Amiri" w:cs="Amiri"/>
          <w:color w:val="111111"/>
          <w:sz w:val="28"/>
          <w:sz w:val="28"/>
          <w:szCs w:val="28"/>
          <w:rtl w:val="true"/>
          <w:lang w:bidi="ar-SA"/>
        </w:rPr>
        <w:t>بُطلانِ ما يُنافي منهما</w:t>
      </w:r>
      <w:r>
        <w:rPr>
          <w:rStyle w:val="FootnoteAnchor"/>
          <w:rtl w:val="true"/>
        </w:rPr>
        <w:footnoteReference w:id="2885"/>
      </w:r>
      <w:r>
        <w:rPr>
          <w:rFonts w:ascii="Amiri" w:hAnsi="Amiri" w:eastAsia="Amiri" w:cs="Amiri"/>
          <w:color w:val="111111"/>
          <w:sz w:val="28"/>
          <w:sz w:val="28"/>
          <w:szCs w:val="28"/>
          <w:rtl w:val="true"/>
          <w:lang w:bidi="ar-SA"/>
        </w:rPr>
        <w:t>مُقتَضَى الخبرِ المعلومِ الذي لا شَكَّ‌</w:t>
      </w:r>
      <w:r>
        <w:rPr>
          <w:rStyle w:val="FootnoteAnchor"/>
          <w:rtl w:val="true"/>
        </w:rPr>
        <w:footnoteReference w:id="2886"/>
      </w:r>
      <w:r>
        <w:rPr>
          <w:rFonts w:ascii="Amiri" w:hAnsi="Amiri" w:eastAsia="Amiri" w:cs="Amiri"/>
          <w:color w:val="111111"/>
          <w:sz w:val="28"/>
          <w:sz w:val="28"/>
          <w:szCs w:val="28"/>
          <w:rtl w:val="true"/>
          <w:lang w:bidi="ar-SA"/>
        </w:rPr>
        <w:t>فيه، و هو قولُه صَلَّى اللّٰهُ عليه و آلِه</w:t>
      </w:r>
      <w:r>
        <w:rPr>
          <w:rStyle w:val="FootnoteAnchor"/>
          <w:rtl w:val="true"/>
        </w:rPr>
        <w:footnoteReference w:id="28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إذا دَلَّ الدليلُ علَى اقتضاءِ هذا الخبرِ الخِلافةَ‌</w:t>
      </w:r>
      <w:r>
        <w:rPr>
          <w:rStyle w:val="FootnoteAnchor"/>
          <w:rtl w:val="true"/>
        </w:rPr>
        <w:footnoteReference w:id="2888"/>
      </w:r>
      <w:r>
        <w:rPr>
          <w:rFonts w:ascii="Amiri" w:hAnsi="Amiri" w:eastAsia="Amiri" w:cs="Amiri"/>
          <w:color w:val="111111"/>
          <w:sz w:val="28"/>
          <w:sz w:val="28"/>
          <w:szCs w:val="28"/>
          <w:rtl w:val="true"/>
          <w:lang w:bidi="ar-SA"/>
        </w:rPr>
        <w:t>في الغَيبةِ‌</w:t>
      </w:r>
      <w:r>
        <w:rPr>
          <w:rStyle w:val="FootnoteAnchor"/>
          <w:rtl w:val="true"/>
        </w:rPr>
        <w:footnoteReference w:id="2889"/>
      </w:r>
      <w:r>
        <w:rPr>
          <w:rFonts w:ascii="Amiri" w:hAnsi="Amiri" w:eastAsia="Amiri" w:cs="Amiri"/>
          <w:color w:val="111111"/>
          <w:sz w:val="28"/>
          <w:sz w:val="28"/>
          <w:szCs w:val="28"/>
          <w:rtl w:val="true"/>
          <w:lang w:bidi="ar-SA"/>
        </w:rPr>
        <w:t>علىٰ سَبيلِ الاستمرارِ، وَجَبَ القَطعُ علىٰ بُطلانِ الروايةِ المُنافيةِ لِما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لَم يروِ أحَدٌ</w:t>
      </w:r>
      <w:r>
        <w:rPr>
          <w:rStyle w:val="FootnoteAnchor"/>
          <w:rtl w:val="true"/>
        </w:rPr>
        <w:footnoteReference w:id="2890"/>
      </w:r>
      <w:r>
        <w:rPr>
          <w:rFonts w:ascii="Amiri" w:hAnsi="Amiri" w:eastAsia="Amiri" w:cs="Amiri"/>
          <w:color w:val="111111"/>
          <w:sz w:val="28"/>
          <w:sz w:val="28"/>
          <w:szCs w:val="28"/>
          <w:rtl w:val="true"/>
          <w:lang w:bidi="ar-SA"/>
        </w:rPr>
        <w:t>أنّ أبا بَكرٍ كانَ والياً علىٰ أميرِ المؤمنينَ عليه السلامُ‌، و إنّما رُوِيَ أنّه كانَ‌</w:t>
      </w:r>
      <w:r>
        <w:rPr>
          <w:rStyle w:val="FootnoteAnchor"/>
          <w:rtl w:val="true"/>
        </w:rPr>
        <w:footnoteReference w:id="2891"/>
      </w:r>
      <w:r>
        <w:rPr>
          <w:rFonts w:ascii="Amiri" w:hAnsi="Amiri" w:eastAsia="Amiri" w:cs="Amiri"/>
          <w:color w:val="111111"/>
          <w:sz w:val="28"/>
          <w:sz w:val="28"/>
          <w:szCs w:val="28"/>
          <w:rtl w:val="true"/>
          <w:lang w:bidi="ar-SA"/>
        </w:rPr>
        <w:t xml:space="preserve">أميراً علَى الحَجيجِ‌، و قد يَجوزُ أن تَكونَ </w:t>
      </w:r>
      <w:r>
        <w:rPr>
          <w:rStyle w:val="FootnoteAnchor"/>
          <w:rtl w:val="true"/>
        </w:rPr>
        <w:footnoteReference w:id="2892"/>
      </w:r>
      <w:r>
        <w:rPr>
          <w:rFonts w:ascii="Amiri" w:hAnsi="Amiri" w:eastAsia="Amiri" w:cs="Amiri"/>
          <w:color w:val="111111"/>
          <w:sz w:val="28"/>
          <w:sz w:val="28"/>
          <w:szCs w:val="28"/>
          <w:rtl w:val="true"/>
          <w:lang w:bidi="ar-SA"/>
        </w:rPr>
        <w:t xml:space="preserve">وِلايتُه علىٰ مَن عَدا أميرَ المؤمنينَ عليه السلامُ ؛ فلَو صَحَّت الروايةُ التي يَرجِعونَ </w:t>
      </w:r>
      <w:r>
        <w:rPr>
          <w:rStyle w:val="FootnoteAnchor"/>
          <w:rtl w:val="true"/>
        </w:rPr>
        <w:footnoteReference w:id="2893"/>
      </w:r>
      <w:r>
        <w:rPr>
          <w:rFonts w:ascii="Amiri" w:hAnsi="Amiri" w:eastAsia="Amiri" w:cs="Amiri"/>
          <w:color w:val="111111"/>
          <w:sz w:val="28"/>
          <w:sz w:val="28"/>
          <w:szCs w:val="28"/>
          <w:rtl w:val="true"/>
          <w:lang w:bidi="ar-SA"/>
        </w:rPr>
        <w:t xml:space="preserve">إليها لَما صَحَّ قولُ صاحبِ الكتابِ أنّه وَلّىٰ أبا بَكرٍ علىٰ أميرِ المؤمنينَ عليه السلامُ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حديثُ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بيّنّا فيما تَقدَّمَ أنّ النبيَّ صَلَّى اللّٰهُ عليه و آلِه لَم يُوَلِّها أبا بَكرٍ، و شَرَحنا الحالَ التي جَرَت عليها، و بيّنّا أنّ وِلايةَ الصلاةِ لَو ثَبَتَت لَم تَدُلَّ علَى الإمامةِ </w:t>
      </w:r>
      <w:r>
        <w:rPr>
          <w:rStyle w:val="FootnoteAnchor"/>
          <w:rtl w:val="true"/>
        </w:rPr>
        <w:footnoteReference w:id="2894"/>
      </w:r>
      <w:r>
        <w:rPr>
          <w:rFonts w:ascii="Amiri" w:hAnsi="Amiri" w:eastAsia="Amiri" w:cs="Amiri"/>
          <w:color w:val="111111"/>
          <w:sz w:val="28"/>
          <w:sz w:val="28"/>
          <w:szCs w:val="28"/>
          <w:rtl w:val="true"/>
          <w:lang w:bidi="ar-SA"/>
        </w:rPr>
        <w:t xml:space="preserve">و ذلكَ يُسقِطُ التعلُّقَ بالصلاةِ في المَوضِعَينِ </w:t>
      </w:r>
      <w:r>
        <w:rPr>
          <w:rStyle w:val="FootnoteAnchor"/>
          <w:rtl w:val="true"/>
        </w:rPr>
        <w:footnoteReference w:id="2895"/>
      </w:r>
      <w:r>
        <w:rPr>
          <w:rFonts w:eastAsia="Times New Roman" w:cs="Times New Roman" w:ascii="Times New Roman" w:hAnsi="Times New Roman"/>
          <w:color w:val="111111"/>
          <w:sz w:val="28"/>
          <w:szCs w:val="28"/>
          <w:rtl w:val="true"/>
          <w:lang w:val="en-US" w:bidi="en-US"/>
        </w:rPr>
        <w:t xml:space="preserve">. </w:t>
      </w:r>
      <w:bookmarkStart w:id="511" w:name="pg20017_202684"/>
    </w:p>
    <w:p>
      <w:pPr>
        <w:pStyle w:val="Heading6"/>
        <w:numPr>
          <w:ilvl w:val="5"/>
          <w:numId w:val="1"/>
        </w:numPr>
        <w:rPr/>
      </w:pPr>
      <w:bookmarkStart w:id="512" w:name="__RefHeading___Toc964357_2320776876"/>
      <w:bookmarkStart w:id="513" w:name="_Toc182"/>
      <w:bookmarkEnd w:id="511"/>
      <w:bookmarkEnd w:id="512"/>
      <w:r>
        <w:rPr>
          <w:rtl w:val="true"/>
        </w:rPr>
        <w:t>نفي أن يكون استخلاف غير أمير المؤمنين على المدينة عزلاً له</w:t>
      </w:r>
      <w:bookmarkEnd w:id="513"/>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صَلَّى اللّٰهُ عليه و آلِه لَمّا بَعَثَ أميرَ المؤمنينَ عليه السلامُ إلَى اليَمَنِ استَخلَفَ علَى المَدينةِ غيرَه عندَ خروجِه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غيرُ مُنافٍ للطريقَينِ معاً في تأويلِ الخبرِ</w:t>
      </w:r>
      <w:r>
        <w:rPr>
          <w:rStyle w:val="FootnoteAnchor"/>
          <w:rtl w:val="true"/>
        </w:rPr>
        <w:footnoteReference w:id="2896"/>
      </w:r>
      <w:r>
        <w:rPr>
          <w:rFonts w:ascii="Amiri" w:hAnsi="Amiri" w:eastAsia="Amiri" w:cs="Amiri"/>
          <w:color w:val="111111"/>
          <w:sz w:val="28"/>
          <w:sz w:val="28"/>
          <w:szCs w:val="28"/>
          <w:rtl w:val="true"/>
          <w:lang w:bidi="ar-SA"/>
        </w:rPr>
        <w:t>لأنَّ مَن ذَهَبَ إلىٰ أنّ الخِلافةَ في الحياةِ لَم تَستَمِرَّ إلىٰ بَعدِ الوفاةِ لا شُبهةَ في سُقوطِ هذا الكلامِ عنه، و مَن ذَهَبَ إلَى استمرارِها إلىٰ بَعدِ الوفاةِ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يَقتَضي استخلافُه عليه السلامُ في المَدينةِ أكثَرَ مِن أن يَكونَ‌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عليه السلامُ أن يَتصرَّفَ في أهلِها بالأمرِ و النهيِ و ما جَرىٰ مَجراهما علَى الحَدِّ الذي كانَ يَتصرَّفُ عليه</w:t>
      </w:r>
      <w:r>
        <w:rPr>
          <w:rStyle w:val="FootnoteAnchor"/>
          <w:rtl w:val="true"/>
        </w:rPr>
        <w:footnoteReference w:id="2897"/>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يَقتَضي هذا المعنَى المنعَ مِن تَصرُّفِ غيرِه علىٰ وجهٍ مِن الوجوهِ‌؛ لأنّه إذا جازَ للمُستَخلِفِ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يَتصرَّفَ فيه مع استخلافِه عليه، و لا يَمنَعُ‌</w:t>
      </w:r>
      <w:r>
        <w:rPr>
          <w:rStyle w:val="FootnoteAnchor"/>
          <w:rtl w:val="true"/>
        </w:rPr>
        <w:footnoteReference w:id="2898"/>
      </w:r>
      <w:r>
        <w:rPr>
          <w:rFonts w:ascii="Amiri" w:hAnsi="Amiri" w:eastAsia="Amiri" w:cs="Amiri"/>
          <w:color w:val="111111"/>
          <w:sz w:val="28"/>
          <w:sz w:val="28"/>
          <w:szCs w:val="28"/>
          <w:rtl w:val="true"/>
          <w:lang w:bidi="ar-SA"/>
        </w:rPr>
        <w:t xml:space="preserve">استخلافُه مِن تَصرُّفِه في أهلِه بالأمرِ و النهيِ ، جازَ للمُستَخلِفِ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أن يَستخلِفَ عَمراً علىٰ ذلكَ المَوضِعِ ؛ إمّا في حالِ غَيبةِ زَيدٍ، أو مع حُضورِه</w:t>
      </w:r>
      <w:r>
        <w:rPr>
          <w:rStyle w:val="FootnoteAnchor"/>
          <w:rtl w:val="true"/>
        </w:rPr>
        <w:footnoteReference w:id="2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استخلافُه للثاني</w:t>
      </w:r>
      <w:r>
        <w:rPr>
          <w:rStyle w:val="FootnoteAnchor"/>
          <w:rtl w:val="true"/>
        </w:rPr>
        <w:footnoteReference w:id="2900"/>
      </w:r>
      <w:r>
        <w:rPr>
          <w:rFonts w:ascii="Amiri" w:hAnsi="Amiri" w:eastAsia="Amiri" w:cs="Amiri"/>
          <w:color w:val="111111"/>
          <w:sz w:val="28"/>
          <w:sz w:val="28"/>
          <w:szCs w:val="28"/>
          <w:rtl w:val="true"/>
          <w:lang w:bidi="ar-SA"/>
        </w:rPr>
        <w:t>عَزلاً للأوّلِ ، كَما لا يَكونُ تَصرُّفُه نَفسُه عَزلاً له عن المَوضِعِ الذي جَعَلَ إليه</w:t>
      </w:r>
      <w:r>
        <w:rPr>
          <w:rStyle w:val="FootnoteAnchor"/>
          <w:rtl w:val="true"/>
        </w:rPr>
        <w:footnoteReference w:id="2901"/>
      </w:r>
      <w:r>
        <w:rPr>
          <w:rFonts w:ascii="Amiri" w:hAnsi="Amiri" w:eastAsia="Amiri" w:cs="Amiri"/>
          <w:color w:val="111111"/>
          <w:sz w:val="28"/>
          <w:sz w:val="28"/>
          <w:szCs w:val="28"/>
          <w:rtl w:val="true"/>
          <w:lang w:bidi="ar-SA"/>
        </w:rPr>
        <w:t xml:space="preserve">التصرُّفَ فيه؛ و تَكونُ </w:t>
      </w:r>
      <w:r>
        <w:rPr>
          <w:rStyle w:val="FootnoteAnchor"/>
          <w:rtl w:val="true"/>
        </w:rPr>
        <w:footnoteReference w:id="2902"/>
      </w:r>
      <w:r>
        <w:rPr>
          <w:rFonts w:ascii="Amiri" w:hAnsi="Amiri" w:eastAsia="Amiri" w:cs="Amiri"/>
          <w:color w:val="111111"/>
          <w:sz w:val="28"/>
          <w:sz w:val="28"/>
          <w:szCs w:val="28"/>
          <w:rtl w:val="true"/>
          <w:lang w:bidi="ar-SA"/>
        </w:rPr>
        <w:t xml:space="preserve">فائدةُ استخلافِه لكُلِّ واحدٍ </w:t>
      </w:r>
    </w:p>
    <w:p>
      <w:pPr>
        <w:pStyle w:val="BookText"/>
        <w:rPr/>
      </w:pPr>
      <w:r>
        <w:rPr>
          <w:rFonts w:ascii="Amiri" w:hAnsi="Amiri" w:eastAsia="Amiri" w:cs="Amiri"/>
          <w:color w:val="111111"/>
          <w:sz w:val="28"/>
          <w:sz w:val="28"/>
          <w:szCs w:val="28"/>
          <w:rtl w:val="true"/>
          <w:lang w:bidi="ar-SA"/>
        </w:rPr>
        <w:t>مِن هذَينِ أن يَكونَ له التصرُّفُ فيما استُخلِفَ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يَكونُ إيجابُ تَصرُّفِ أحَدِهما بَعدَ الآخَرِ عَزلاً للأوّلِ و مانعاً مِن جَوازِ تَصرُّفِه، و نَحنُ نَعلَمُ أنّه قد يَجوزُ أن يُستَخلَفَ علَى المَوضِعِ الواحدِ الاثنانُ </w:t>
      </w:r>
      <w:r>
        <w:rPr>
          <w:rStyle w:val="FootnoteAnchor"/>
          <w:rtl w:val="true"/>
        </w:rPr>
        <w:footnoteReference w:id="2903"/>
      </w:r>
      <w:r>
        <w:rPr>
          <w:rFonts w:ascii="Amiri" w:hAnsi="Amiri" w:eastAsia="Amiri" w:cs="Amiri"/>
          <w:color w:val="111111"/>
          <w:sz w:val="28"/>
          <w:sz w:val="28"/>
          <w:szCs w:val="28"/>
          <w:rtl w:val="true"/>
          <w:lang w:bidi="ar-SA"/>
        </w:rPr>
        <w:t>و الجَماعةُ؟</w:t>
      </w:r>
    </w:p>
    <w:p>
      <w:pPr>
        <w:pStyle w:val="BookText"/>
        <w:rPr/>
      </w:pPr>
      <w:r>
        <w:rPr>
          <w:rFonts w:ascii="Amiri" w:hAnsi="Amiri" w:eastAsia="Amiri" w:cs="Amiri"/>
          <w:color w:val="111111"/>
          <w:sz w:val="28"/>
          <w:sz w:val="28"/>
          <w:szCs w:val="28"/>
          <w:rtl w:val="true"/>
          <w:lang w:bidi="ar-SA"/>
        </w:rPr>
        <w:t>و هذه الجُملةُ تأتي علىٰ جَميعِ ما حَكَيناه في الفَصلِ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له</w:t>
      </w:r>
      <w:r>
        <w:rPr>
          <w:rStyle w:val="FootnoteAnchor"/>
          <w:rtl w:val="true"/>
        </w:rPr>
        <w:footnoteReference w:id="2904"/>
      </w:r>
      <w:r>
        <w:rPr>
          <w:rFonts w:ascii="Amiri" w:hAnsi="Amiri" w:eastAsia="Amiri" w:cs="Amiri"/>
          <w:color w:val="111111"/>
          <w:sz w:val="28"/>
          <w:sz w:val="28"/>
          <w:szCs w:val="28"/>
          <w:rtl w:val="true"/>
          <w:lang w:bidi="ar-SA"/>
        </w:rPr>
        <w:t>لَم نورِدْه</w:t>
      </w:r>
      <w:r>
        <w:rPr>
          <w:rStyle w:val="FootnoteAnchor"/>
          <w:rtl w:val="true"/>
        </w:rPr>
        <w:footnoteReference w:id="2905"/>
      </w:r>
      <w:r>
        <w:rPr>
          <w:rFonts w:ascii="Amiri" w:hAnsi="Amiri" w:eastAsia="Amiri" w:cs="Amiri"/>
          <w:color w:val="111111"/>
          <w:sz w:val="28"/>
          <w:sz w:val="28"/>
          <w:szCs w:val="28"/>
          <w:rtl w:val="true"/>
          <w:lang w:bidi="ar-SA"/>
        </w:rPr>
        <w:t>لأنّ نَقضَه</w:t>
      </w:r>
      <w:r>
        <w:rPr>
          <w:rStyle w:val="FootnoteAnchor"/>
          <w:rtl w:val="true"/>
        </w:rPr>
        <w:footnoteReference w:id="2906"/>
      </w:r>
      <w:r>
        <w:rPr>
          <w:rFonts w:ascii="Amiri" w:hAnsi="Amiri" w:eastAsia="Amiri" w:cs="Amiri"/>
          <w:color w:val="111111"/>
          <w:sz w:val="28"/>
          <w:sz w:val="28"/>
          <w:szCs w:val="28"/>
          <w:rtl w:val="true"/>
          <w:lang w:bidi="ar-SA"/>
        </w:rPr>
        <w:t>قد مَضىٰ في كلامِنا</w:t>
      </w:r>
      <w:r>
        <w:rPr>
          <w:rStyle w:val="FootnoteAnchor"/>
          <w:rtl w:val="true"/>
        </w:rPr>
        <w:footnoteReference w:id="290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لا يَمتَنِعُ أن يَكونَ استخلافُ موسىٰ لهارونَ محمولاً علىٰ وجهٍ يَصِحُّ‌؛ لأنّه سببٌ للقيامِ بالأمرِ، كما أنّ النبوّةَ سببٌ لذلكَ‌؛ و لَيسَ يَمتَنِعُ في كَثيرٍ مِن الأحكامِ أن يَحصُلَ فيها</w:t>
      </w:r>
      <w:r>
        <w:rPr>
          <w:rStyle w:val="FootnoteAnchor"/>
          <w:rtl w:val="true"/>
        </w:rPr>
        <w:footnoteReference w:id="2908"/>
      </w:r>
      <w:r>
        <w:rPr>
          <w:rFonts w:ascii="Amiri" w:hAnsi="Amiri" w:eastAsia="Amiri" w:cs="Amiri"/>
          <w:color w:val="111111"/>
          <w:sz w:val="28"/>
          <w:sz w:val="28"/>
          <w:szCs w:val="28"/>
          <w:rtl w:val="true"/>
          <w:lang w:bidi="ar-SA"/>
        </w:rPr>
        <w:t>سببانِ و عِلّتانِ‌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r>
        <w:rPr>
          <w:rStyle w:val="FootnoteAnchor"/>
          <w:rtl w:val="true"/>
        </w:rPr>
        <w:footnoteReference w:id="2909"/>
      </w:r>
      <w:r>
        <w:rPr>
          <w:rFonts w:ascii="Amiri" w:hAnsi="Amiri" w:eastAsia="Amiri" w:cs="Amiri"/>
          <w:color w:val="111111"/>
          <w:sz w:val="28"/>
          <w:sz w:val="28"/>
          <w:szCs w:val="28"/>
          <w:rtl w:val="true"/>
          <w:lang w:bidi="ar-SA"/>
        </w:rPr>
        <w:t xml:space="preserve">عَلِمنا أنّه لَولا النبوّةُ لَكانَ له أن يَقومَ بالأمرِ لِمكانِ الاستخلافِ‌، و لَولا الاستخلافُ لَكانَ له أن يَقومَ بالأمرِ لِمكانِ النبوّةِ‌، فقَد أفادَ الاستخلافُ ضَرباً مِن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أضافَ </w:t>
      </w:r>
      <w:r>
        <w:rPr>
          <w:rStyle w:val="FootnoteAnchor"/>
          <w:rtl w:val="true"/>
        </w:rPr>
        <w:footnoteReference w:id="2910"/>
      </w:r>
      <w:r>
        <w:rPr>
          <w:rFonts w:ascii="Amiri" w:hAnsi="Amiri" w:eastAsia="Amiri" w:cs="Amiri"/>
          <w:color w:val="111111"/>
          <w:sz w:val="28"/>
          <w:sz w:val="28"/>
          <w:szCs w:val="28"/>
          <w:rtl w:val="true"/>
          <w:lang w:bidi="ar-SA"/>
        </w:rPr>
        <w:t xml:space="preserve">إلىٰ ذلكَ أن يَدخُلَ في الاستخلافِ ما لا يَكونُ له أن يَقومَ به لِمكانِ النبوّةِ ، فهو أقوىٰ في بابِ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لَسنا </w:t>
      </w:r>
    </w:p>
    <w:p>
      <w:pPr>
        <w:pStyle w:val="BookText"/>
        <w:rPr/>
      </w:pPr>
      <w:r>
        <w:rPr>
          <w:rFonts w:ascii="Amiri" w:hAnsi="Amiri" w:eastAsia="Amiri" w:cs="Amiri"/>
          <w:color w:val="111111"/>
          <w:sz w:val="28"/>
          <w:sz w:val="28"/>
          <w:szCs w:val="28"/>
          <w:rtl w:val="true"/>
          <w:lang w:bidi="ar-SA"/>
        </w:rPr>
        <w:t>نَعلَمُ كَيفَ كانَ حالُ‌</w:t>
      </w:r>
      <w:r>
        <w:rPr>
          <w:rStyle w:val="FootnoteAnchor"/>
          <w:rtl w:val="true"/>
        </w:rPr>
        <w:footnoteReference w:id="2911"/>
      </w:r>
      <w:r>
        <w:rPr>
          <w:rFonts w:ascii="Amiri" w:hAnsi="Amiri" w:eastAsia="Amiri" w:cs="Amiri"/>
          <w:color w:val="111111"/>
          <w:sz w:val="28"/>
          <w:sz w:val="28"/>
          <w:szCs w:val="28"/>
          <w:rtl w:val="true"/>
          <w:lang w:bidi="ar-SA"/>
        </w:rPr>
        <w:t>موسىٰ و هارونَ فيما يَتعلَّقُ بالإمامةِ؟ و كيفَ كانَت الشريعةُ في ذلكَ الوقتِ؟ و لا نَعلَمُ أيضاً أنّ حالَهما في النبوّةِ إذا</w:t>
      </w:r>
    </w:p>
    <w:p>
      <w:pPr>
        <w:pStyle w:val="BookText"/>
        <w:rPr/>
      </w:pPr>
      <w:r>
        <w:rPr>
          <w:rFonts w:ascii="Amiri" w:hAnsi="Amiri" w:eastAsia="Amiri" w:cs="Amiri"/>
          <w:color w:val="111111"/>
          <w:sz w:val="28"/>
          <w:sz w:val="28"/>
          <w:szCs w:val="28"/>
          <w:rtl w:val="true"/>
          <w:lang w:bidi="ar-SA"/>
        </w:rPr>
        <w:t>كانَت مُتَّفِقةً‌</w:t>
      </w:r>
      <w:r>
        <w:rPr>
          <w:rStyle w:val="FootnoteAnchor"/>
          <w:rtl w:val="true"/>
        </w:rPr>
        <w:footnoteReference w:id="2912"/>
      </w:r>
      <w:r>
        <w:rPr>
          <w:rFonts w:ascii="Amiri" w:hAnsi="Amiri" w:eastAsia="Amiri" w:cs="Amiri"/>
          <w:color w:val="111111"/>
          <w:sz w:val="28"/>
          <w:sz w:val="28"/>
          <w:szCs w:val="28"/>
          <w:rtl w:val="true"/>
          <w:lang w:bidi="ar-SA"/>
        </w:rPr>
        <w:t>أنّ حالَهما فيما يَقومُ به الأئمّةُ أيضاً مُتَّفِقةٌ‌؛ بَل لا يَمتَنِعُ‌</w:t>
      </w:r>
      <w:r>
        <w:rPr>
          <w:rStyle w:val="FootnoteAnchor"/>
          <w:rtl w:val="true"/>
        </w:rPr>
        <w:footnoteReference w:id="2913"/>
      </w:r>
      <w:r>
        <w:rPr>
          <w:rFonts w:ascii="Amiri" w:hAnsi="Amiri" w:eastAsia="Amiri" w:cs="Amiri"/>
          <w:color w:val="111111"/>
          <w:sz w:val="28"/>
          <w:sz w:val="28"/>
          <w:szCs w:val="28"/>
          <w:rtl w:val="true"/>
          <w:lang w:bidi="ar-SA"/>
        </w:rPr>
        <w:t>أن يَكونَ لأحَدِهما مِن الاختصاصِ ما لَيسَ للآخَرِ، كَما لا يَمتَنِعُ أن لا يَدخُلَ في شَريعتِهما ما تَقتَضيهِ‌</w:t>
      </w:r>
      <w:r>
        <w:rPr>
          <w:rStyle w:val="FootnoteAnchor"/>
          <w:rtl w:val="true"/>
        </w:rPr>
        <w:footnoteReference w:id="2914"/>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الحالُ في هذا البابِ ممّا يَختَلِفُ بالشرائعِ‌، فإنّما نَقطَعُ علىٰ وجهٍ دونَ وجهٍ‌</w:t>
      </w:r>
      <w:r>
        <w:rPr>
          <w:rStyle w:val="FootnoteAnchor"/>
          <w:rtl w:val="true"/>
        </w:rPr>
        <w:footnoteReference w:id="2915"/>
      </w:r>
      <w:r>
        <w:rPr>
          <w:rFonts w:ascii="Amiri" w:hAnsi="Amiri" w:eastAsia="Amiri" w:cs="Amiri"/>
          <w:color w:val="111111"/>
          <w:sz w:val="28"/>
          <w:sz w:val="28"/>
          <w:szCs w:val="28"/>
          <w:rtl w:val="true"/>
          <w:lang w:bidi="ar-SA"/>
        </w:rPr>
        <w:t>بدَلالةٍ سَمعيّةٍ ثَمَّ يَصِحُّ‌</w:t>
      </w:r>
      <w:r>
        <w:rPr>
          <w:rStyle w:val="FootnoteAnchor"/>
          <w:rtl w:val="true"/>
        </w:rPr>
        <w:footnoteReference w:id="2916"/>
      </w:r>
      <w:r>
        <w:rPr>
          <w:rFonts w:ascii="Amiri" w:hAnsi="Amiri" w:eastAsia="Amiri" w:cs="Amiri"/>
          <w:color w:val="111111"/>
          <w:sz w:val="28"/>
          <w:sz w:val="28"/>
          <w:szCs w:val="28"/>
          <w:rtl w:val="true"/>
          <w:lang w:bidi="ar-SA"/>
        </w:rPr>
        <w:t>الاعتمادُ علىٰ ذلكَ‌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يَجِبُ أن يُقطَعَ‌</w:t>
      </w:r>
      <w:r>
        <w:rPr>
          <w:rStyle w:val="FootnoteAnchor"/>
          <w:rtl w:val="true"/>
        </w:rPr>
        <w:footnoteReference w:id="2917"/>
      </w:r>
      <w:r>
        <w:rPr>
          <w:rFonts w:ascii="Amiri" w:hAnsi="Amiri" w:eastAsia="Amiri" w:cs="Amiri"/>
          <w:color w:val="111111"/>
          <w:sz w:val="28"/>
          <w:sz w:val="28"/>
          <w:szCs w:val="28"/>
          <w:rtl w:val="true"/>
          <w:lang w:bidi="ar-SA"/>
        </w:rPr>
        <w:t>به لا مَحالةَ أنّه كانَ نَبيّاً مع موسىٰ‌، فلا بُدَّ مِن</w:t>
      </w:r>
      <w:r>
        <w:rPr>
          <w:rStyle w:val="FootnoteAnchor"/>
          <w:rtl w:val="true"/>
        </w:rPr>
        <w:footnoteReference w:id="2918"/>
      </w:r>
      <w:r>
        <w:rPr>
          <w:rFonts w:ascii="Amiri" w:hAnsi="Amiri" w:eastAsia="Amiri" w:cs="Amiri"/>
          <w:color w:val="111111"/>
          <w:sz w:val="28"/>
          <w:sz w:val="28"/>
          <w:szCs w:val="28"/>
          <w:rtl w:val="true"/>
          <w:lang w:bidi="ar-SA"/>
        </w:rPr>
        <w:t>أن يَتحمَّلَ شَريعةً مُتجَدِّدةً‌</w:t>
      </w:r>
      <w:r>
        <w:rPr>
          <w:rStyle w:val="FootnoteAnchor"/>
          <w:rtl w:val="true"/>
        </w:rPr>
        <w:footnoteReference w:id="2919"/>
      </w:r>
      <w:r>
        <w:rPr>
          <w:rFonts w:ascii="Amiri" w:hAnsi="Amiri" w:eastAsia="Amiri" w:cs="Amiri"/>
          <w:color w:val="111111"/>
          <w:sz w:val="28"/>
          <w:sz w:val="28"/>
          <w:szCs w:val="28"/>
          <w:rtl w:val="true"/>
          <w:lang w:bidi="ar-SA"/>
        </w:rPr>
        <w:t>، أو يَتحمَّلا شَريعةً بَعدَ ظُهورِ المُعجِزِ عليهما مُتَجَدِّدةً‌، و لا</w:t>
      </w:r>
      <w:r>
        <w:rPr>
          <w:rStyle w:val="FootnoteAnchor"/>
          <w:rtl w:val="true"/>
        </w:rPr>
        <w:footnoteReference w:id="2920"/>
      </w:r>
      <w:r>
        <w:rPr>
          <w:rFonts w:ascii="Amiri" w:hAnsi="Amiri" w:eastAsia="Amiri" w:cs="Amiri"/>
          <w:color w:val="111111"/>
          <w:sz w:val="28"/>
          <w:sz w:val="28"/>
          <w:szCs w:val="28"/>
          <w:rtl w:val="true"/>
          <w:lang w:bidi="ar-SA"/>
        </w:rPr>
        <w:t>يَجِبُ مِن حَيثُ اشتَرَكا</w:t>
      </w:r>
      <w:r>
        <w:rPr>
          <w:rStyle w:val="FootnoteAnchor"/>
          <w:rtl w:val="true"/>
        </w:rPr>
        <w:footnoteReference w:id="2921"/>
      </w:r>
      <w:r>
        <w:rPr>
          <w:rFonts w:ascii="Amiri" w:hAnsi="Amiri" w:eastAsia="Amiri" w:cs="Amiri"/>
          <w:color w:val="111111"/>
          <w:sz w:val="28"/>
          <w:sz w:val="28"/>
          <w:szCs w:val="28"/>
          <w:rtl w:val="true"/>
          <w:lang w:bidi="ar-SA"/>
        </w:rPr>
        <w:t>في النبوّةِ أن يَكونَ كُلُّ شَريعةِ‌</w:t>
      </w:r>
      <w:r>
        <w:rPr>
          <w:rStyle w:val="FootnoteAnchor"/>
          <w:rtl w:val="true"/>
        </w:rPr>
        <w:footnoteReference w:id="2922"/>
      </w:r>
      <w:r>
        <w:rPr>
          <w:rFonts w:ascii="Amiri" w:hAnsi="Amiri" w:eastAsia="Amiri" w:cs="Amiri"/>
          <w:color w:val="111111"/>
          <w:sz w:val="28"/>
          <w:sz w:val="28"/>
          <w:szCs w:val="28"/>
          <w:rtl w:val="true"/>
          <w:lang w:bidi="ar-SA"/>
        </w:rPr>
        <w:t>أحَدِهما شَريعةً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جازَ ذلكَ ، فما الذي يَمنَعُ إن دَخَلَ </w:t>
      </w:r>
      <w:r>
        <w:rPr>
          <w:rStyle w:val="FootnoteAnchor"/>
          <w:rtl w:val="true"/>
        </w:rPr>
        <w:footnoteReference w:id="2923"/>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جُملةِ شَرائعِهم</w:t>
      </w:r>
      <w:r>
        <w:rPr>
          <w:rStyle w:val="FootnoteAnchor"/>
          <w:rtl w:val="true"/>
        </w:rPr>
        <w:footnoteReference w:id="2924"/>
      </w:r>
      <w:r>
        <w:rPr>
          <w:rFonts w:ascii="Amiri" w:hAnsi="Amiri" w:eastAsia="Amiri" w:cs="Amiri"/>
          <w:color w:val="111111"/>
          <w:sz w:val="28"/>
          <w:sz w:val="28"/>
          <w:szCs w:val="28"/>
          <w:rtl w:val="true"/>
          <w:lang w:bidi="ar-SA"/>
        </w:rPr>
        <w:t>ما يَتَّصِلُ بالحُدودِ و الأحكامِ أن يَختَصَّ بذلكَ أحَدُهما دونَ الآخَرِ؟ و كما يَجوزُ ذلكَ‌، فقَد يَجوزُ أن يَكونَ مِن</w:t>
      </w:r>
      <w:r>
        <w:rPr>
          <w:rStyle w:val="FootnoteAnchor"/>
          <w:rtl w:val="true"/>
        </w:rPr>
        <w:footnoteReference w:id="2925"/>
      </w:r>
      <w:r>
        <w:rPr>
          <w:rFonts w:ascii="Amiri" w:hAnsi="Amiri" w:eastAsia="Amiri" w:cs="Amiri"/>
          <w:color w:val="111111"/>
          <w:sz w:val="28"/>
          <w:sz w:val="28"/>
          <w:szCs w:val="28"/>
          <w:rtl w:val="true"/>
          <w:lang w:bidi="ar-SA"/>
        </w:rPr>
        <w:t>تَعبُّدِ اللّٰهِ تَعالىٰ في ذلكَ الوقتِ أن لا يَجوزَ للرسولِ أن يَستَخلِفَ فيما هذه</w:t>
      </w:r>
      <w:r>
        <w:rPr>
          <w:rStyle w:val="FootnoteAnchor"/>
          <w:rtl w:val="true"/>
        </w:rPr>
        <w:footnoteReference w:id="2926"/>
      </w:r>
      <w:r>
        <w:rPr>
          <w:rFonts w:ascii="Amiri" w:hAnsi="Amiri" w:eastAsia="Amiri" w:cs="Amiri"/>
          <w:color w:val="111111"/>
          <w:sz w:val="28"/>
          <w:sz w:val="28"/>
          <w:szCs w:val="28"/>
          <w:rtl w:val="true"/>
          <w:lang w:bidi="ar-SA"/>
        </w:rPr>
        <w:t>حالُه في حالِ حياتِه</w:t>
      </w:r>
      <w:r>
        <w:rPr>
          <w:rStyle w:val="FootnoteAnchor"/>
          <w:rtl w:val="true"/>
        </w:rPr>
        <w:footnoteReference w:id="2927"/>
      </w:r>
      <w:r>
        <w:rPr>
          <w:rFonts w:ascii="Amiri" w:hAnsi="Amiri" w:eastAsia="Amiri" w:cs="Amiri"/>
          <w:color w:val="111111"/>
          <w:sz w:val="28"/>
          <w:sz w:val="28"/>
          <w:szCs w:val="28"/>
          <w:rtl w:val="true"/>
          <w:lang w:bidi="ar-SA"/>
        </w:rPr>
        <w:t>و لا بَعدَ وفاتِه، أو</w:t>
      </w:r>
      <w:r>
        <w:rPr>
          <w:rStyle w:val="FootnoteAnchor"/>
          <w:rtl w:val="true"/>
        </w:rPr>
        <w:footnoteReference w:id="2928"/>
      </w:r>
      <w:r>
        <w:rPr>
          <w:rFonts w:ascii="Amiri" w:hAnsi="Amiri" w:eastAsia="Amiri" w:cs="Amiri"/>
          <w:color w:val="111111"/>
          <w:sz w:val="28"/>
          <w:sz w:val="28"/>
          <w:szCs w:val="28"/>
          <w:rtl w:val="true"/>
          <w:lang w:bidi="ar-SA"/>
        </w:rPr>
        <w:t>يَجوزَ له أن يَستخلِفَ في حالٍ دونَ حالٍ‌، أو مَن يَشرَكُه في النبوّةِ دونَ مَن لا يَشرَكُه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الوجهِ يَجِبُ أن يَجريَ القولُ في هذا البابِ‌، و لا يُجعَلَ لعليٍّ عليه السلامُ مِن المَنازِلِ إلّاما ثَبَتَ معلوماً لهارونَ مِن مُوسىٰ‌، دونَ ما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w:t>
      </w:r>
      <w:r>
        <w:rPr>
          <w:rStyle w:val="FootnoteAnchor"/>
          <w:rtl w:val="true"/>
        </w:rPr>
        <w:footnoteReference w:id="2929"/>
      </w:r>
      <w:r>
        <w:rPr>
          <w:rFonts w:ascii="Amiri" w:hAnsi="Amiri" w:eastAsia="Amiri" w:cs="Amiri"/>
          <w:color w:val="111111"/>
          <w:sz w:val="28"/>
          <w:sz w:val="28"/>
          <w:szCs w:val="28"/>
          <w:rtl w:val="true"/>
          <w:lang w:bidi="ar-SA"/>
        </w:rPr>
        <w:t xml:space="preserve">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شَريعةُ موسىٰ في الاستخلافِ؟ و هَل كانَ يَجِبُ أن يَستَخلِفَ‌</w:t>
      </w:r>
      <w:r>
        <w:rPr>
          <w:rStyle w:val="FootnoteAnchor"/>
          <w:rtl w:val="true"/>
        </w:rPr>
        <w:footnoteReference w:id="2930"/>
      </w:r>
      <w:r>
        <w:rPr>
          <w:rFonts w:ascii="Amiri" w:hAnsi="Amiri" w:eastAsia="Amiri" w:cs="Amiri"/>
          <w:color w:val="111111"/>
          <w:sz w:val="28"/>
          <w:sz w:val="28"/>
          <w:szCs w:val="28"/>
          <w:rtl w:val="true"/>
          <w:lang w:bidi="ar-SA"/>
        </w:rPr>
        <w:t>بَعدَ مَوتِه، أو في حالِ غَيبتِه</w:t>
      </w:r>
      <w:r>
        <w:rPr>
          <w:rStyle w:val="FootnoteAnchor"/>
          <w:rtl w:val="true"/>
        </w:rPr>
        <w:footnoteReference w:id="2931"/>
      </w:r>
      <w:r>
        <w:rPr>
          <w:rFonts w:ascii="Amiri" w:hAnsi="Amiri" w:eastAsia="Amiri" w:cs="Amiri"/>
          <w:color w:val="111111"/>
          <w:sz w:val="28"/>
          <w:sz w:val="28"/>
          <w:szCs w:val="28"/>
          <w:rtl w:val="true"/>
          <w:lang w:bidi="ar-SA"/>
        </w:rPr>
        <w:t xml:space="preserve">، في كُلِّ شيءٍ‌، أو في بعضِ الأشياءِ؟ و أنّه لَو ماتَ قَبلَ هارونَ‌، هَل كانَ يَجِبُ أن يَكونَ خَليفتَه، أو يَبعَثُ اللّٰهُ تَعالىٰ </w:t>
      </w:r>
      <w:r>
        <w:rPr>
          <w:rStyle w:val="FootnoteAnchor"/>
          <w:rtl w:val="true"/>
        </w:rPr>
        <w:footnoteReference w:id="2932"/>
      </w:r>
      <w:r>
        <w:rPr>
          <w:rFonts w:ascii="Amiri" w:hAnsi="Amiri" w:eastAsia="Amiri" w:cs="Amiri"/>
          <w:color w:val="111111"/>
          <w:sz w:val="28"/>
          <w:sz w:val="28"/>
          <w:szCs w:val="28"/>
          <w:rtl w:val="true"/>
          <w:lang w:bidi="ar-SA"/>
        </w:rPr>
        <w:t>نَبيّاً يَقومُ مَقامَه مع هارونَ ، أو يَصيرُ القَيِّمُ بأمرِ الحُدودِ</w:t>
      </w:r>
      <w:r>
        <w:rPr>
          <w:rStyle w:val="FootnoteAnchor"/>
          <w:rtl w:val="true"/>
        </w:rPr>
        <w:footnoteReference w:id="2933"/>
      </w:r>
      <w:r>
        <w:rPr>
          <w:rFonts w:ascii="Amiri" w:hAnsi="Amiri" w:eastAsia="Amiri" w:cs="Amiri"/>
          <w:color w:val="111111"/>
          <w:sz w:val="28"/>
          <w:sz w:val="28"/>
          <w:szCs w:val="28"/>
          <w:rtl w:val="true"/>
          <w:lang w:bidi="ar-SA"/>
        </w:rPr>
        <w:t xml:space="preserve">غيرَ هارونَ مِمّن يَنُصُّ عليه ؟ إلىٰ غيرِ ذلكَ مِن الوجوهِ </w:t>
      </w:r>
      <w:bookmarkStart w:id="514" w:name="pg20017_202688"/>
    </w:p>
    <w:p>
      <w:pPr>
        <w:pStyle w:val="BookText"/>
        <w:rPr/>
      </w:pPr>
      <w:bookmarkEnd w:id="514"/>
      <w:r>
        <w:rPr>
          <w:rFonts w:ascii="Amiri" w:hAnsi="Amiri" w:eastAsia="Amiri" w:cs="Amiri"/>
          <w:color w:val="111111"/>
          <w:sz w:val="28"/>
          <w:sz w:val="28"/>
          <w:szCs w:val="28"/>
          <w:rtl w:val="true"/>
          <w:lang w:bidi="ar-SA"/>
        </w:rPr>
        <w:t xml:space="preserve">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r>
        <w:rPr>
          <w:rStyle w:val="FootnoteAnchor"/>
          <w:rtl w:val="true"/>
        </w:rPr>
        <w:footnoteReference w:id="2934"/>
      </w:r>
      <w:r>
        <w:rPr>
          <w:rFonts w:ascii="Amiri" w:hAnsi="Amiri" w:eastAsia="Amiri" w:cs="Amiri"/>
          <w:color w:val="111111"/>
          <w:sz w:val="28"/>
          <w:sz w:val="28"/>
          <w:szCs w:val="28"/>
          <w:rtl w:val="true"/>
          <w:lang w:bidi="ar-SA"/>
        </w:rPr>
        <w:t>يَصِحُّ للقومِ أن يعتَمِدوا علىٰ ذلكَ في الإمامةِ؟</w:t>
      </w:r>
      <w:r>
        <w:rPr>
          <w:rFonts w:eastAsia="Amiri" w:cs="Amiri" w:ascii="Amiri" w:hAnsi="Amiri"/>
          <w:color w:val="111111"/>
          <w:sz w:val="28"/>
          <w:szCs w:val="28"/>
          <w:rtl w:val="true"/>
          <w:lang w:bidi="ar-SA"/>
        </w:rPr>
        <w:t>!</w:t>
      </w:r>
      <w:r>
        <w:rPr>
          <w:rStyle w:val="FootnoteAnchor"/>
          <w:rtl w:val="true"/>
        </w:rPr>
        <w:footnoteReference w:id="2935"/>
      </w:r>
    </w:p>
    <w:p>
      <w:pPr>
        <w:pStyle w:val="Heading6"/>
        <w:numPr>
          <w:ilvl w:val="5"/>
          <w:numId w:val="1"/>
        </w:numPr>
        <w:rPr/>
      </w:pPr>
      <w:bookmarkStart w:id="515" w:name="__RefHeading___Toc964359_2320776876"/>
      <w:bookmarkStart w:id="516" w:name="_Toc183"/>
      <w:bookmarkEnd w:id="515"/>
      <w:r>
        <w:rPr>
          <w:rtl w:val="true"/>
        </w:rPr>
        <w:t>تهافت كلمات القاضي حول تولّي هارون لشؤون الإمامة</w:t>
      </w:r>
      <w:bookmarkEnd w:id="516"/>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اختلافَ كلامِكَ في هذا البابِ و أظهَرَ رُجوعَكَ فيه مِن قَولٍ إلىٰ ضِدِّه و خِلافِه؛ لأنّكَ قُلتَ أوّلاً فيما حَكَيناه عنكَ‌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هارونَ مِن حَيثُ كانَ شَريكاً لِموسىٰ في النبوّةِ‌، يَلزَمُه القيامُ فيهم بما يَقومُ‌</w:t>
      </w:r>
      <w:r>
        <w:rPr>
          <w:rStyle w:val="FootnoteAnchor"/>
          <w:rtl w:val="true"/>
        </w:rPr>
        <w:footnoteReference w:id="2936"/>
      </w:r>
      <w:r>
        <w:rPr>
          <w:rFonts w:ascii="Amiri" w:hAnsi="Amiri" w:eastAsia="Amiri" w:cs="Amiri"/>
          <w:color w:val="111111"/>
          <w:sz w:val="28"/>
          <w:sz w:val="28"/>
          <w:szCs w:val="28"/>
          <w:rtl w:val="true"/>
          <w:lang w:bidi="ar-SA"/>
        </w:rPr>
        <w:t>به الأئمّةُ‌، و إن لَم يَستَخلِفْه</w:t>
      </w:r>
      <w:r>
        <w:rPr>
          <w:rFonts w:eastAsia="Amiri" w:cs="Amiri" w:ascii="Amiri" w:hAnsi="Amiri"/>
          <w:color w:val="111111"/>
          <w:sz w:val="28"/>
          <w:szCs w:val="28"/>
          <w:rtl w:val="true"/>
          <w:lang w:bidi="ar-SA"/>
        </w:rPr>
        <w:t>»</w:t>
      </w:r>
      <w:r>
        <w:rPr>
          <w:rStyle w:val="FootnoteAnchor"/>
          <w:rtl w:val="true"/>
        </w:rPr>
        <w:footnoteReference w:id="2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عَقَّبتَ ذلكَ بأن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واجبٍ فيمن كانَ شَريكاً لموسىٰ في النبوّةِ أن يَكونَ إليه ما إلَى الأئمّةِ‌</w:t>
      </w:r>
      <w:r>
        <w:rPr>
          <w:rFonts w:eastAsia="Amiri" w:cs="Amiri" w:ascii="Amiri" w:hAnsi="Amiri"/>
          <w:color w:val="111111"/>
          <w:sz w:val="28"/>
          <w:szCs w:val="28"/>
          <w:rtl w:val="true"/>
          <w:lang w:bidi="ar-SA"/>
        </w:rPr>
        <w:t>»</w:t>
      </w:r>
      <w:r>
        <w:rPr>
          <w:rStyle w:val="FootnoteAnchor"/>
          <w:rtl w:val="true"/>
        </w:rPr>
        <w:footnoteReference w:id="2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2939"/>
      </w:r>
      <w:r>
        <w:rPr>
          <w:rFonts w:ascii="Amiri" w:hAnsi="Amiri" w:eastAsia="Amiri" w:cs="Amiri"/>
          <w:color w:val="111111"/>
          <w:sz w:val="28"/>
          <w:sz w:val="28"/>
          <w:szCs w:val="28"/>
          <w:rtl w:val="true"/>
          <w:lang w:bidi="ar-SA"/>
        </w:rPr>
        <w:t>رَجَعتَ عن ذلكَ في فَصلٍ آخَرَ،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هارونَ لَو عاشَ بَعدَ موسىٰ‌، لَكانَ الذي</w:t>
      </w:r>
      <w:r>
        <w:rPr>
          <w:rStyle w:val="FootnoteAnchor"/>
          <w:rtl w:val="true"/>
        </w:rPr>
        <w:footnoteReference w:id="2940"/>
      </w:r>
      <w:r>
        <w:rPr>
          <w:rFonts w:ascii="Amiri" w:hAnsi="Amiri" w:eastAsia="Amiri" w:cs="Amiri"/>
          <w:color w:val="111111"/>
          <w:sz w:val="28"/>
          <w:sz w:val="28"/>
          <w:szCs w:val="28"/>
          <w:rtl w:val="true"/>
          <w:lang w:bidi="ar-SA"/>
        </w:rPr>
        <w:t>ثَبَتَ له أن يَكونَ كَما كانَ مِن قَبلُ‌، و قد كانَ مِن قَبلُ له أن يَقومَ بهذه الأُمورِ لنُبوّتِه</w:t>
      </w:r>
      <w:r>
        <w:rPr>
          <w:rFonts w:eastAsia="Amiri" w:cs="Amiri" w:ascii="Amiri" w:hAnsi="Amiri"/>
          <w:color w:val="111111"/>
          <w:sz w:val="28"/>
          <w:szCs w:val="28"/>
          <w:rtl w:val="true"/>
          <w:lang w:bidi="ar-SA"/>
        </w:rPr>
        <w:t>»</w:t>
      </w:r>
      <w:r>
        <w:rPr>
          <w:rStyle w:val="FootnoteAnchor"/>
          <w:rtl w:val="true"/>
        </w:rPr>
        <w:footnoteReference w:id="2941"/>
      </w:r>
      <w:r>
        <w:rPr>
          <w:rFonts w:ascii="Amiri" w:hAnsi="Amiri" w:eastAsia="Amiri" w:cs="Amiri"/>
          <w:color w:val="111111"/>
          <w:sz w:val="28"/>
          <w:sz w:val="28"/>
          <w:szCs w:val="28"/>
          <w:rtl w:val="true"/>
          <w:lang w:bidi="ar-SA"/>
        </w:rPr>
        <w:t xml:space="preserve">فجَعَلتَ القيامَ بهذهِ الأُمورِ مِن مُقتَضَى النبوّةِ ، كَما تَرىٰ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أَكَّدتَ ذَلكَ في فَصلٍ آخَرَ حَكَيناهُ أيضاً؛ بأن قُلتَ لِمَن خَالَفَكَ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Style w:val="FootnoteAnchor"/>
          <w:rtl w:val="true"/>
        </w:rPr>
        <w:footnoteReference w:id="2942"/>
      </w:r>
      <w:r>
        <w:rPr>
          <w:rFonts w:ascii="Amiri" w:hAnsi="Amiri" w:eastAsia="Amiri" w:cs="Amiri"/>
          <w:color w:val="111111"/>
          <w:sz w:val="28"/>
          <w:sz w:val="28"/>
          <w:szCs w:val="28"/>
          <w:rtl w:val="true"/>
          <w:lang w:bidi="ar-SA"/>
        </w:rPr>
        <w:t>أنّ موسىٰ لَو لَم يَستخلِفْ هارونَ بَعدَه</w:t>
      </w:r>
      <w:r>
        <w:rPr>
          <w:rStyle w:val="FootnoteAnchor"/>
          <w:rtl w:val="true"/>
        </w:rPr>
        <w:footnoteReference w:id="2943"/>
      </w:r>
      <w:r>
        <w:rPr>
          <w:rFonts w:ascii="Amiri" w:hAnsi="Amiri" w:eastAsia="Amiri" w:cs="Amiri"/>
          <w:color w:val="111111"/>
          <w:sz w:val="28"/>
          <w:sz w:val="28"/>
          <w:szCs w:val="28"/>
          <w:rtl w:val="true"/>
          <w:lang w:bidi="ar-SA"/>
        </w:rPr>
        <w:t xml:space="preserve">، ما كانَ يَجِبُ له القيامُ بَعدَه بما يَقومُ </w:t>
      </w:r>
      <w:bookmarkStart w:id="517" w:name="pg20017_202689"/>
    </w:p>
    <w:p>
      <w:pPr>
        <w:pStyle w:val="BookText"/>
        <w:rPr/>
      </w:pPr>
      <w:bookmarkEnd w:id="517"/>
      <w:r>
        <w:rPr>
          <w:rFonts w:ascii="Amiri" w:hAnsi="Amiri" w:eastAsia="Amiri" w:cs="Amiri"/>
          <w:color w:val="111111"/>
          <w:sz w:val="28"/>
          <w:sz w:val="28"/>
          <w:szCs w:val="28"/>
          <w:rtl w:val="true"/>
          <w:lang w:bidi="ar-SA"/>
        </w:rPr>
        <w:t xml:space="preserve">به الأئمّةُ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شَريكاً له في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يَبقىٰ بَعدَه و لا يَكونَ له ذلكَ‌، لِيَجوزَنَّ و إنِ استَخلَفَه أن لا يَكونَ له ذلكَ‌</w:t>
      </w:r>
      <w:r>
        <w:rPr>
          <w:rFonts w:eastAsia="Amiri" w:cs="Amiri" w:ascii="Amiri" w:hAnsi="Amiri"/>
          <w:color w:val="111111"/>
          <w:sz w:val="28"/>
          <w:szCs w:val="28"/>
          <w:rtl w:val="true"/>
          <w:lang w:bidi="ar-SA"/>
        </w:rPr>
        <w:t>»</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خَتَمتَ جميعَ ما تَقدَّمَ بهذا</w:t>
      </w:r>
      <w:r>
        <w:rPr>
          <w:rStyle w:val="FootnoteAnchor"/>
          <w:rtl w:val="true"/>
        </w:rPr>
        <w:footnoteReference w:id="2945"/>
      </w:r>
      <w:r>
        <w:rPr>
          <w:rFonts w:ascii="Amiri" w:hAnsi="Amiri" w:eastAsia="Amiri" w:cs="Amiri"/>
          <w:color w:val="111111"/>
          <w:sz w:val="28"/>
          <w:sz w:val="28"/>
          <w:szCs w:val="28"/>
          <w:rtl w:val="true"/>
          <w:lang w:bidi="ar-SA"/>
        </w:rPr>
        <w:t>الكلامِ‌، الذي هو رُجوعٌ عن أكثَرِ ما تَقدَّمَ‌، و تصريحٌ بأنّ النبوّةَ لا تَقتَضي القيامَ بهذه الأُمورِ، و أنّ الفَرضَ علَى المُتأمِّلِ في هذا</w:t>
      </w:r>
      <w:r>
        <w:rPr>
          <w:rStyle w:val="FootnoteAnchor"/>
          <w:rtl w:val="true"/>
        </w:rPr>
        <w:footnoteReference w:id="2946"/>
      </w:r>
      <w:r>
        <w:rPr>
          <w:rFonts w:ascii="Amiri" w:hAnsi="Amiri" w:eastAsia="Amiri" w:cs="Amiri"/>
          <w:color w:val="111111"/>
          <w:sz w:val="28"/>
          <w:sz w:val="28"/>
          <w:szCs w:val="28"/>
          <w:rtl w:val="true"/>
          <w:lang w:bidi="ar-SA"/>
        </w:rPr>
        <w:t xml:space="preserve">هو الشكُّ و تَركُ القَطعِ علىٰ أحَدِ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أيِّ شَيءٍ يُحصَلُ مِن كلامِكَ المُختَلِفِ؟ و علىٰ أيِّ الأقوالِ نُعَوِّلُ؟</w:t>
      </w:r>
    </w:p>
    <w:p>
      <w:pPr>
        <w:pStyle w:val="BookText"/>
        <w:rPr/>
      </w:pPr>
      <w:r>
        <w:rPr>
          <w:rFonts w:ascii="Amiri" w:hAnsi="Amiri" w:eastAsia="Amiri" w:cs="Amiri"/>
          <w:color w:val="111111"/>
          <w:sz w:val="28"/>
          <w:sz w:val="28"/>
          <w:szCs w:val="28"/>
          <w:rtl w:val="true"/>
          <w:lang w:bidi="ar-SA"/>
        </w:rPr>
        <w:t xml:space="preserve">و ما نَظُنُّ </w:t>
      </w:r>
      <w:r>
        <w:rPr>
          <w:rStyle w:val="FootnoteAnchor"/>
          <w:rtl w:val="true"/>
        </w:rPr>
        <w:footnoteReference w:id="2947"/>
      </w:r>
      <w:r>
        <w:rPr>
          <w:rFonts w:ascii="Amiri" w:hAnsi="Amiri" w:eastAsia="Amiri" w:cs="Amiri"/>
          <w:color w:val="111111"/>
          <w:sz w:val="28"/>
          <w:sz w:val="28"/>
          <w:szCs w:val="28"/>
          <w:rtl w:val="true"/>
          <w:lang w:bidi="ar-SA"/>
        </w:rPr>
        <w:t>أنّ الاعتمادَ و الاستقرارَ إلّاعلىٰ هذا الفصلِ المُتأخِّرِ؛ فإنّه بتأخُّرِه</w:t>
      </w:r>
      <w:r>
        <w:rPr>
          <w:rStyle w:val="FootnoteAnchor"/>
          <w:rtl w:val="true"/>
        </w:rPr>
        <w:footnoteReference w:id="2948"/>
      </w:r>
      <w:r>
        <w:rPr>
          <w:rFonts w:ascii="Amiri" w:hAnsi="Amiri" w:eastAsia="Amiri" w:cs="Amiri"/>
          <w:color w:val="111111"/>
          <w:sz w:val="28"/>
          <w:sz w:val="28"/>
          <w:szCs w:val="28"/>
          <w:rtl w:val="true"/>
          <w:lang w:bidi="ar-SA"/>
        </w:rPr>
        <w:t>كالناسِخِ و الماحي</w:t>
      </w:r>
      <w:r>
        <w:rPr>
          <w:rStyle w:val="FootnoteAnchor"/>
          <w:rtl w:val="true"/>
        </w:rPr>
        <w:footnoteReference w:id="2949"/>
      </w:r>
      <w:r>
        <w:rPr>
          <w:rFonts w:ascii="Amiri" w:hAnsi="Amiri" w:eastAsia="Amiri" w:cs="Amiri"/>
          <w:color w:val="111111"/>
          <w:sz w:val="28"/>
          <w:sz w:val="28"/>
          <w:szCs w:val="28"/>
          <w:rtl w:val="true"/>
          <w:lang w:bidi="ar-SA"/>
        </w:rPr>
        <w:t>لِما قَبلَه، و الذي تَضمَّنَه مِن أنّ النبوّةَ لا توجِبُ بمُجرَّدِها القيامَ بالأُمورِ التي ذَكَرتَها</w:t>
      </w:r>
      <w:r>
        <w:rPr>
          <w:rStyle w:val="FootnoteAnchor"/>
          <w:rtl w:val="true"/>
        </w:rPr>
        <w:footnoteReference w:id="2950"/>
      </w:r>
      <w:r>
        <w:rPr>
          <w:rFonts w:ascii="Amiri" w:hAnsi="Amiri" w:eastAsia="Amiri" w:cs="Amiri"/>
          <w:color w:val="111111"/>
          <w:sz w:val="28"/>
          <w:sz w:val="28"/>
          <w:szCs w:val="28"/>
          <w:rtl w:val="true"/>
          <w:lang w:bidi="ar-SA"/>
        </w:rPr>
        <w:t>، و إنّما يُحتاجُ في ثُبوتِ هذه الأُمورِ مُضافةً إلَى النبوّةِ إلىٰ دليلٍ صحيحٍ ، و قد بيّنّاه فيما تَقدَّمَ مِن كلامِنا</w:t>
      </w:r>
      <w:r>
        <w:rPr>
          <w:rStyle w:val="FootnoteAnchor"/>
          <w:rtl w:val="true"/>
        </w:rPr>
        <w:footnoteReference w:id="29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8" w:name="__RefHeading___Toc964361_2320776876"/>
      <w:bookmarkStart w:id="519" w:name="_Toc184"/>
      <w:bookmarkEnd w:id="518"/>
      <w:r>
        <w:rPr>
          <w:rtl w:val="true"/>
        </w:rPr>
        <w:t>إشارة إلىٰ ما تقدّم من أنّ إمامة هارون كانت لاستخلاف موسىٰ له، لا لنبوّته</w:t>
      </w:r>
      <w:bookmarkEnd w:id="51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شَكُّه في حالِ موسىٰ و هارونَ عليهما السلامُ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نَعلَمُ كَيفَ كانَت</w:t>
      </w:r>
      <w:r>
        <w:rPr>
          <w:rStyle w:val="FootnoteAnchor"/>
          <w:rtl w:val="true"/>
        </w:rPr>
        <w:footnoteReference w:id="2952"/>
      </w:r>
      <w:r>
        <w:rPr>
          <w:rFonts w:ascii="Amiri" w:hAnsi="Amiri" w:eastAsia="Amiri" w:cs="Amiri"/>
          <w:color w:val="111111"/>
          <w:sz w:val="28"/>
          <w:sz w:val="28"/>
          <w:szCs w:val="28"/>
          <w:rtl w:val="true"/>
          <w:lang w:bidi="ar-SA"/>
        </w:rPr>
        <w:t>الحالُ فيما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بيّنّا أنّه لا يَجِبُ الشكُّ في ذلكَ ؛ لا مِن حَيثُ كانَت نُبوّةُ </w:t>
      </w:r>
      <w:bookmarkStart w:id="520" w:name="pg20017_202690"/>
    </w:p>
    <w:p>
      <w:pPr>
        <w:pStyle w:val="BookText"/>
        <w:rPr/>
      </w:pPr>
      <w:bookmarkEnd w:id="520"/>
      <w:r>
        <w:rPr>
          <w:rFonts w:ascii="Amiri" w:hAnsi="Amiri" w:eastAsia="Amiri" w:cs="Amiri"/>
          <w:color w:val="111111"/>
          <w:sz w:val="28"/>
          <w:sz w:val="28"/>
          <w:szCs w:val="28"/>
          <w:rtl w:val="true"/>
          <w:lang w:bidi="ar-SA"/>
        </w:rPr>
        <w:t>هارونَ‌</w:t>
      </w:r>
      <w:r>
        <w:rPr>
          <w:rStyle w:val="FootnoteAnchor"/>
          <w:rtl w:val="true"/>
        </w:rPr>
        <w:footnoteReference w:id="2953"/>
      </w:r>
      <w:r>
        <w:rPr>
          <w:rFonts w:ascii="Amiri" w:hAnsi="Amiri" w:eastAsia="Amiri" w:cs="Amiri"/>
          <w:color w:val="111111"/>
          <w:sz w:val="28"/>
          <w:sz w:val="28"/>
          <w:szCs w:val="28"/>
          <w:rtl w:val="true"/>
          <w:lang w:bidi="ar-SA"/>
        </w:rPr>
        <w:t>تَقتَضي قيامَه بما يَقومُ به الأئمّةُ‌، بَل مِن حَيثُ ثَبَتَ بدليلِ الآيةِ التي تَلَوناها، و الإجماعِ الذي ذَكَرناه</w:t>
      </w:r>
      <w:r>
        <w:rPr>
          <w:rStyle w:val="FootnoteAnchor"/>
          <w:rtl w:val="true"/>
        </w:rPr>
        <w:footnoteReference w:id="2954"/>
      </w:r>
      <w:r>
        <w:rPr>
          <w:rFonts w:ascii="Amiri" w:hAnsi="Amiri" w:eastAsia="Amiri" w:cs="Amiri"/>
          <w:color w:val="111111"/>
          <w:sz w:val="28"/>
          <w:sz w:val="28"/>
          <w:szCs w:val="28"/>
          <w:rtl w:val="true"/>
          <w:lang w:bidi="ar-SA"/>
        </w:rPr>
        <w:t>مِن كَونِ هارونَ خَليفةً لأخيه موسىٰ‌، و نائباً عنه في سياسةِ‌</w:t>
      </w:r>
    </w:p>
    <w:p>
      <w:pPr>
        <w:pStyle w:val="BookText"/>
        <w:rPr/>
      </w:pPr>
      <w:r>
        <w:rPr>
          <w:rFonts w:ascii="Amiri" w:hAnsi="Amiri" w:eastAsia="Amiri" w:cs="Amiri"/>
          <w:color w:val="111111"/>
          <w:sz w:val="28"/>
          <w:sz w:val="28"/>
          <w:szCs w:val="28"/>
          <w:rtl w:val="true"/>
          <w:lang w:bidi="ar-SA"/>
        </w:rPr>
        <w:t>قَومِه و القيامِ بأُمورِهم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يَجوزُ أن يَكونَ خَليفةً له إلّافيما ثَبَتَ‌</w:t>
      </w:r>
      <w:r>
        <w:rPr>
          <w:rStyle w:val="FootnoteAnchor"/>
          <w:rtl w:val="true"/>
        </w:rPr>
        <w:footnoteReference w:id="2955"/>
      </w:r>
      <w:r>
        <w:rPr>
          <w:rFonts w:ascii="Amiri" w:hAnsi="Amiri" w:eastAsia="Amiri" w:cs="Amiri"/>
          <w:color w:val="111111"/>
          <w:sz w:val="28"/>
          <w:sz w:val="28"/>
          <w:szCs w:val="28"/>
          <w:rtl w:val="true"/>
          <w:lang w:bidi="ar-SA"/>
        </w:rPr>
        <w:t>له بالاستخلافِ‌، و كانَ له التصرُّفُ فيه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العُرفُ المعقولُ في الاستخلافِ‌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ثُبوتِ هذه الجُملةِ ما يَقتَضي كَونَ هارونَ خَليفةً لأخيه في هذه الأُمورِ، و أنّ يَدَه إنّما تَثبُتُ عليها في حالِ حياتِه لِمكانِ استخلافِه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كُنّا قد بيّنّا أنّه</w:t>
      </w:r>
      <w:r>
        <w:rPr>
          <w:rStyle w:val="FootnoteAnchor"/>
          <w:rtl w:val="true"/>
        </w:rPr>
        <w:footnoteReference w:id="2956"/>
      </w:r>
      <w:r>
        <w:rPr>
          <w:rFonts w:ascii="Amiri" w:hAnsi="Amiri" w:eastAsia="Amiri" w:cs="Amiri"/>
          <w:color w:val="111111"/>
          <w:sz w:val="28"/>
          <w:sz w:val="28"/>
          <w:szCs w:val="28"/>
          <w:rtl w:val="true"/>
          <w:lang w:bidi="ar-SA"/>
        </w:rPr>
        <w:t>لَو بَقيَ بَعدَه لَوَجَبَ أن تَستِمرَّ</w:t>
      </w:r>
      <w:r>
        <w:rPr>
          <w:rStyle w:val="FootnoteAnchor"/>
          <w:rtl w:val="true"/>
        </w:rPr>
        <w:footnoteReference w:id="2957"/>
      </w:r>
      <w:r>
        <w:rPr>
          <w:rFonts w:ascii="Amiri" w:hAnsi="Amiri" w:eastAsia="Amiri" w:cs="Amiri"/>
          <w:color w:val="111111"/>
          <w:sz w:val="28"/>
          <w:sz w:val="28"/>
          <w:szCs w:val="28"/>
          <w:rtl w:val="true"/>
          <w:lang w:bidi="ar-SA"/>
        </w:rPr>
        <w:t>حالُه في هذه الوِلايةِ‌، و أنّ تَغيُّرَها و انتقالَها عنه يَقتَضي ما يَمنَعُ نُبوَّتُه</w:t>
      </w:r>
      <w:r>
        <w:rPr>
          <w:rStyle w:val="FootnoteAnchor"/>
          <w:rtl w:val="true"/>
        </w:rPr>
        <w:footnoteReference w:id="2958"/>
      </w:r>
      <w:r>
        <w:rPr>
          <w:rFonts w:ascii="IRNazanin" w:hAnsi="IRNazanin" w:eastAsia="IRNazanin"/>
          <w:color w:val="111111"/>
          <w:sz w:val="28"/>
          <w:sz w:val="28"/>
          <w:szCs w:val="28"/>
          <w:rtl w:val="true"/>
          <w:lang w:bidi="fa-IR"/>
        </w:rPr>
        <w:t>منه</w:t>
      </w:r>
      <w:r>
        <w:rPr>
          <w:rStyle w:val="FootnoteAnchor"/>
          <w:rtl w:val="true"/>
        </w:rPr>
        <w:footnoteReference w:id="2959"/>
      </w:r>
      <w:r>
        <w:rPr>
          <w:rFonts w:ascii="Amiri" w:hAnsi="Amiri" w:eastAsia="Amiri" w:cs="Amiri"/>
          <w:color w:val="111111"/>
          <w:sz w:val="28"/>
          <w:sz w:val="28"/>
          <w:szCs w:val="28"/>
          <w:rtl w:val="true"/>
          <w:lang w:bidi="ar-SA"/>
        </w:rPr>
        <w:t>، فقَد تَمَّ ما قَصَدناه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نَجعَلْ </w:t>
      </w:r>
      <w:r>
        <w:rPr>
          <w:rStyle w:val="FootnoteAnchor"/>
          <w:rtl w:val="true"/>
        </w:rPr>
        <w:footnoteReference w:id="2960"/>
      </w:r>
      <w:r>
        <w:rPr>
          <w:rFonts w:ascii="Amiri" w:hAnsi="Amiri" w:eastAsia="Amiri" w:cs="Amiri"/>
          <w:color w:val="111111"/>
          <w:sz w:val="28"/>
          <w:sz w:val="28"/>
          <w:szCs w:val="28"/>
          <w:rtl w:val="true"/>
          <w:lang w:bidi="ar-SA"/>
        </w:rPr>
        <w:t xml:space="preserve">لأميرِ المؤمنينَ عليه السلامُ مَنزِلةً لَم يُعلَمْ </w:t>
      </w:r>
      <w:r>
        <w:rPr>
          <w:rStyle w:val="FootnoteAnchor"/>
          <w:rtl w:val="true"/>
        </w:rPr>
        <w:footnoteReference w:id="2961"/>
      </w:r>
      <w:r>
        <w:rPr>
          <w:rFonts w:ascii="Amiri" w:hAnsi="Amiri" w:eastAsia="Amiri" w:cs="Amiri"/>
          <w:color w:val="111111"/>
          <w:sz w:val="28"/>
          <w:sz w:val="28"/>
          <w:szCs w:val="28"/>
          <w:rtl w:val="true"/>
          <w:lang w:bidi="ar-SA"/>
        </w:rPr>
        <w:t xml:space="preserve">ثُبوتُها لهارونَ مِن موسىٰ عليه السلامُ علىٰ ما ظَنَّ ، و لَم يَبقَ في كلامِه شُبهةٌ تَتعلَّقُ </w:t>
      </w:r>
      <w:r>
        <w:rPr>
          <w:rStyle w:val="FootnoteAnchor"/>
          <w:rtl w:val="true"/>
        </w:rPr>
        <w:footnoteReference w:id="2962"/>
      </w:r>
      <w:r>
        <w:rPr>
          <w:rFonts w:ascii="Amiri" w:hAnsi="Amiri" w:eastAsia="Amiri" w:cs="Amiri"/>
          <w:color w:val="111111"/>
          <w:sz w:val="28"/>
          <w:sz w:val="28"/>
          <w:szCs w:val="28"/>
          <w:rtl w:val="true"/>
          <w:lang w:bidi="ar-SA"/>
        </w:rPr>
        <w:t>بها نفسُ أحَدٍ</w:t>
      </w:r>
      <w:r>
        <w:rPr>
          <w:rStyle w:val="FootnoteAnchor"/>
          <w:rtl w:val="true"/>
        </w:rPr>
        <w:footnoteReference w:id="29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1" w:name="__RefHeading___Toc964363_2320776876"/>
      <w:bookmarkStart w:id="522" w:name="_Toc185"/>
      <w:bookmarkEnd w:id="521"/>
      <w:r>
        <w:rPr>
          <w:rtl w:val="true"/>
        </w:rPr>
        <w:t>بيان زوال أثر الاستخلاف علىٰ فرض تأثير النبوّة في القيام بشؤون الإمامة</w:t>
      </w:r>
      <w:bookmarkEnd w:id="52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ابتَدأَ كلامَه في الفَصلِ بما لَيسَ بصَحيحٍ ؛ و ذلكَ أنّه جَعَلَ الاستخلافَ مؤثِّراً و إنِ انضَمَّ إلَى النبوّةِ المُقتَضيةِ لِما تَضمَّنَه،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يَمتَنِعُ‌</w:t>
      </w:r>
      <w:r>
        <w:rPr>
          <w:rStyle w:val="FootnoteAnchor"/>
          <w:rtl w:val="true"/>
        </w:rPr>
        <w:footnoteReference w:id="2964"/>
      </w:r>
      <w:r>
        <w:rPr>
          <w:rFonts w:ascii="Amiri" w:hAnsi="Amiri" w:eastAsia="Amiri" w:cs="Amiri"/>
          <w:color w:val="111111"/>
          <w:sz w:val="28"/>
          <w:sz w:val="28"/>
          <w:szCs w:val="28"/>
          <w:rtl w:val="true"/>
          <w:lang w:bidi="ar-SA"/>
        </w:rPr>
        <w:t>أن يَكونَ للحُكمِ الواحدِ سببانِ و عِلّتانِ‌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الفَسادِ</w:t>
      </w:r>
      <w:r>
        <w:rPr>
          <w:rStyle w:val="FootnoteAnchor"/>
          <w:rtl w:val="true"/>
        </w:rPr>
        <w:footnoteReference w:id="2965"/>
      </w:r>
      <w:r>
        <w:rPr>
          <w:rFonts w:ascii="Amiri" w:hAnsi="Amiri" w:eastAsia="Amiri" w:cs="Amiri"/>
          <w:color w:val="111111"/>
          <w:sz w:val="28"/>
          <w:sz w:val="28"/>
          <w:szCs w:val="28"/>
          <w:rtl w:val="true"/>
          <w:lang w:bidi="ar-SA"/>
        </w:rPr>
        <w:t>لأنّ الاستخلافَ و إن كانَ متىٰ لَم يَكُن</w:t>
      </w:r>
      <w:r>
        <w:rPr>
          <w:rStyle w:val="FootnoteAnchor"/>
          <w:rtl w:val="true"/>
        </w:rPr>
        <w:footnoteReference w:id="2966"/>
      </w:r>
      <w:r>
        <w:rPr>
          <w:rFonts w:ascii="Amiri" w:hAnsi="Amiri" w:eastAsia="Amiri" w:cs="Amiri"/>
          <w:color w:val="111111"/>
          <w:sz w:val="28"/>
          <w:sz w:val="28"/>
          <w:szCs w:val="28"/>
          <w:rtl w:val="true"/>
          <w:lang w:bidi="ar-SA"/>
        </w:rPr>
        <w:t xml:space="preserve">نُبوّةٌ مؤثِّراً، فإنّه لا تأثيرَ له مع النبوّةِ على وجهٍ مِن الوجوهِ‌، و وجودُه كعدمِه؛ لأنّ فائدةَ الاستخلافِ هي حصولُ وِلايةٍ للمُستَخلَفِ يَجِبُ به و يَصِحُّ فيها تَصرُّفُ المُستَخلِفِ بالعَزلِ و التبديلِ و رَفعِ اليدِ، فكَيفَ يَكونُ علىٰ هذا مَن له لِمَكانِ النبوّةِ القيامُ بأمرٍ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ما يَقومُ به الأئمّةُ أو غيرَه مِن حقوقِ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لِغَيرِه في ذلكَ الأمرِ و مُتَصرِّفاً فيه لِمَكانِ استخلافِه‌؟ و كَما أنّ الاستخلافَ لا تأثيرَ له إذا طَرأَ علىٰ أمرٍ تُوجِبُه</w:t>
      </w:r>
      <w:r>
        <w:rPr>
          <w:rStyle w:val="FootnoteAnchor"/>
          <w:rtl w:val="true"/>
        </w:rPr>
        <w:footnoteReference w:id="2967"/>
      </w:r>
      <w:r>
        <w:rPr>
          <w:rFonts w:ascii="Amiri" w:hAnsi="Amiri" w:eastAsia="Amiri" w:cs="Amiri"/>
          <w:color w:val="111111"/>
          <w:sz w:val="28"/>
          <w:sz w:val="28"/>
          <w:szCs w:val="28"/>
          <w:rtl w:val="true"/>
          <w:lang w:bidi="ar-SA"/>
        </w:rPr>
        <w:t xml:space="preserve">النبوّةُ‌، كذلكَ لَو تَقدَّمَ فأثَّرَ ثُمَّ طَرَأَت عليه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اقتَضَت التصرُّفَ في مُوجَبِه لِمَكانِها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لَزالَ </w:t>
      </w:r>
      <w:r>
        <w:rPr>
          <w:rStyle w:val="FootnoteAnchor"/>
          <w:rtl w:val="true"/>
        </w:rPr>
        <w:footnoteReference w:id="2968"/>
      </w:r>
      <w:r>
        <w:rPr>
          <w:rFonts w:ascii="Amiri" w:hAnsi="Amiri" w:eastAsia="Amiri" w:cs="Amiri"/>
          <w:color w:val="111111"/>
          <w:sz w:val="28"/>
          <w:sz w:val="28"/>
          <w:szCs w:val="28"/>
          <w:rtl w:val="true"/>
          <w:lang w:bidi="ar-SA"/>
        </w:rPr>
        <w:t>تأثيرُه، و ارتَفَعَ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أنّ في الأحكامِ ما له سببانِ و عِلّتانِ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الأسبابِ و العِلَلِ ما يَكونُ مؤثِّراً إذا انفَرَدَ، و إذا انضَمَّ إلىٰ ما هو أقوىٰ منه بَطَلَ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الجُملةُ تُبيِّنُ أنّ استخلافَ موسىٰ </w:t>
      </w:r>
      <w:r>
        <w:rPr>
          <w:rStyle w:val="FootnoteAnchor"/>
          <w:rtl w:val="true"/>
        </w:rPr>
        <w:footnoteReference w:id="2969"/>
      </w:r>
      <w:r>
        <w:rPr>
          <w:rFonts w:ascii="Amiri" w:hAnsi="Amiri" w:eastAsia="Amiri" w:cs="Amiri"/>
          <w:color w:val="111111"/>
          <w:sz w:val="28"/>
          <w:sz w:val="28"/>
          <w:szCs w:val="28"/>
          <w:rtl w:val="true"/>
          <w:lang w:bidi="ar-SA"/>
        </w:rPr>
        <w:t>لأخيه لا بُدَّ أن يَكونَ</w:t>
      </w:r>
    </w:p>
    <w:p>
      <w:pPr>
        <w:pStyle w:val="BookText"/>
        <w:rPr/>
      </w:pPr>
      <w:r>
        <w:rPr>
          <w:rFonts w:ascii="Amiri" w:hAnsi="Amiri" w:eastAsia="Amiri" w:cs="Amiri"/>
          <w:color w:val="111111"/>
          <w:sz w:val="28"/>
          <w:sz w:val="28"/>
          <w:szCs w:val="28"/>
          <w:rtl w:val="true"/>
          <w:lang w:bidi="ar-SA"/>
        </w:rPr>
        <w:t xml:space="preserve">محمولاً علىٰ أمرٍ وَجَبَ </w:t>
      </w:r>
      <w:r>
        <w:rPr>
          <w:rStyle w:val="FootnoteAnchor"/>
          <w:rtl w:val="true"/>
        </w:rPr>
        <w:footnoteReference w:id="2970"/>
      </w:r>
      <w:r>
        <w:rPr>
          <w:rFonts w:ascii="Amiri" w:hAnsi="Amiri" w:eastAsia="Amiri" w:cs="Amiri"/>
          <w:color w:val="111111"/>
          <w:sz w:val="28"/>
          <w:sz w:val="28"/>
          <w:szCs w:val="28"/>
          <w:rtl w:val="true"/>
          <w:lang w:bidi="ar-SA"/>
        </w:rPr>
        <w:t>له التصرُّفُ فيه باستخلافِه، و ثَبَتَت</w:t>
      </w:r>
      <w:r>
        <w:rPr>
          <w:rStyle w:val="FootnoteAnchor"/>
          <w:rtl w:val="true"/>
        </w:rPr>
        <w:footnoteReference w:id="2971"/>
      </w:r>
      <w:r>
        <w:rPr>
          <w:rFonts w:ascii="Amiri" w:hAnsi="Amiri" w:eastAsia="Amiri" w:cs="Amiri"/>
          <w:color w:val="111111"/>
          <w:sz w:val="28"/>
          <w:sz w:val="28"/>
          <w:szCs w:val="28"/>
          <w:rtl w:val="true"/>
          <w:lang w:bidi="ar-SA"/>
        </w:rPr>
        <w:t>يدُه عليه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 وجودَ الشيءِ لا يَقتَضي وجوبَه؛ فَلو ثَبَتَ أنّ موسىٰ </w:t>
      </w:r>
      <w:bookmarkStart w:id="523" w:name="pg20017_202692"/>
    </w:p>
    <w:p>
      <w:pPr>
        <w:pStyle w:val="BookText"/>
        <w:rPr/>
      </w:pPr>
      <w:bookmarkEnd w:id="523"/>
      <w:r>
        <w:rPr>
          <w:rFonts w:ascii="Amiri" w:hAnsi="Amiri" w:eastAsia="Amiri" w:cs="Amiri"/>
          <w:color w:val="111111"/>
          <w:sz w:val="28"/>
          <w:sz w:val="28"/>
          <w:szCs w:val="28"/>
          <w:rtl w:val="true"/>
          <w:lang w:bidi="ar-SA"/>
        </w:rPr>
        <w:t>عليه السلامُ لَو ماتَ لَكانَ الذي يَخلُفُه هارونَ‌، لَم يَدُلَّ ذلكَ علىٰ وجوبِه</w:t>
      </w:r>
      <w:r>
        <w:rPr>
          <w:rStyle w:val="FootnoteAnchor"/>
          <w:rtl w:val="true"/>
        </w:rPr>
        <w:footnoteReference w:id="2972"/>
      </w:r>
      <w:r>
        <w:rPr>
          <w:rFonts w:ascii="Amiri" w:hAnsi="Amiri" w:eastAsia="Amiri" w:cs="Amiri"/>
          <w:color w:val="111111"/>
          <w:sz w:val="28"/>
          <w:sz w:val="28"/>
          <w:szCs w:val="28"/>
          <w:rtl w:val="true"/>
          <w:lang w:bidi="ar-SA"/>
        </w:rPr>
        <w:t>بَل كانَ لا يَمتَنِعُ أن يَكونَ مُخيَّراً؛ إن شاءَ استَخلَفَه، و إن شاءَ استَخلَفَ غيرَه، أو جَمَعَ بَينَ الكُلِّ‌، و إن شاءَ تَرَكَ‌</w:t>
      </w:r>
      <w:r>
        <w:rPr>
          <w:rStyle w:val="FootnoteAnchor"/>
          <w:rtl w:val="true"/>
        </w:rPr>
        <w:footnoteReference w:id="2973"/>
      </w:r>
      <w:r>
        <w:rPr>
          <w:rFonts w:ascii="Amiri" w:hAnsi="Amiri" w:eastAsia="Amiri" w:cs="Amiri"/>
          <w:color w:val="111111"/>
          <w:sz w:val="28"/>
          <w:sz w:val="28"/>
          <w:szCs w:val="28"/>
          <w:rtl w:val="true"/>
          <w:lang w:bidi="ar-SA"/>
        </w:rPr>
        <w:t>الأمرَ شُورىٰ لِيَختارَ صالِحو</w:t>
      </w:r>
      <w:r>
        <w:rPr>
          <w:rStyle w:val="FootnoteAnchor"/>
          <w:rtl w:val="true"/>
        </w:rPr>
        <w:footnoteReference w:id="2974"/>
      </w:r>
      <w:r>
        <w:rPr>
          <w:rFonts w:ascii="Amiri" w:hAnsi="Amiri" w:eastAsia="Amiri" w:cs="Amiri"/>
          <w:color w:val="111111"/>
          <w:sz w:val="28"/>
          <w:sz w:val="28"/>
          <w:szCs w:val="28"/>
          <w:rtl w:val="true"/>
          <w:lang w:bidi="ar-SA"/>
        </w:rPr>
        <w:t>أصحابِه مَن يَقومُ بالحُدودِ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كُلُّ ذلكَ يَجوزُ</w:t>
      </w:r>
      <w:r>
        <w:rPr>
          <w:rStyle w:val="FootnoteAnchor"/>
          <w:rtl w:val="true"/>
        </w:rPr>
        <w:footnoteReference w:id="2975"/>
      </w:r>
      <w:r>
        <w:rPr>
          <w:rFonts w:ascii="Amiri" w:hAnsi="Amiri" w:eastAsia="Amiri" w:cs="Amiri"/>
          <w:color w:val="111111"/>
          <w:sz w:val="28"/>
          <w:sz w:val="28"/>
          <w:szCs w:val="28"/>
          <w:rtl w:val="true"/>
          <w:lang w:bidi="ar-SA"/>
        </w:rPr>
        <w:t>عندَنا، فكَيفَ يَصِحُّ الاعتمادُ عليه في وجوبِ النَّصِّ‌، علَى الوجهِ الذي يَذهَبونَ‌</w:t>
      </w:r>
      <w:r>
        <w:rPr>
          <w:rStyle w:val="FootnoteAnchor"/>
          <w:rtl w:val="true"/>
        </w:rPr>
        <w:footnoteReference w:id="2976"/>
      </w:r>
      <w:r>
        <w:rPr>
          <w:rFonts w:ascii="Amiri" w:hAnsi="Amiri" w:eastAsia="Amiri" w:cs="Amiri"/>
          <w:color w:val="111111"/>
          <w:sz w:val="28"/>
          <w:sz w:val="28"/>
          <w:szCs w:val="28"/>
          <w:rtl w:val="true"/>
          <w:lang w:bidi="ar-SA"/>
        </w:rPr>
        <w:t>إليه‌؟ و إنّما يوصَفُ الاستخلافُ بأنّه مَنزِلةٌ متىٰ وَجَبَ‌</w:t>
      </w:r>
      <w:r>
        <w:rPr>
          <w:rStyle w:val="FootnoteAnchor"/>
          <w:rtl w:val="true"/>
        </w:rPr>
        <w:footnoteReference w:id="2977"/>
      </w:r>
      <w:r>
        <w:rPr>
          <w:rFonts w:ascii="Amiri" w:hAnsi="Amiri" w:eastAsia="Amiri" w:cs="Amiri"/>
          <w:color w:val="111111"/>
          <w:sz w:val="28"/>
          <w:sz w:val="28"/>
          <w:szCs w:val="28"/>
          <w:rtl w:val="true"/>
          <w:lang w:bidi="ar-SA"/>
        </w:rPr>
        <w:t>لسببٍ‌</w:t>
      </w:r>
      <w:r>
        <w:rPr>
          <w:rStyle w:val="FootnoteAnchor"/>
          <w:rtl w:val="true"/>
        </w:rPr>
        <w:footnoteReference w:id="2978"/>
      </w:r>
      <w:r>
        <w:rPr>
          <w:rFonts w:ascii="Amiri" w:hAnsi="Amiri" w:eastAsia="Amiri" w:cs="Amiri"/>
          <w:color w:val="111111"/>
          <w:sz w:val="28"/>
          <w:sz w:val="28"/>
          <w:szCs w:val="28"/>
          <w:rtl w:val="true"/>
          <w:lang w:bidi="ar-SA"/>
        </w:rPr>
        <w:t xml:space="preserve">، فأمّا إذا وَقَعَ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كانَ يَجوزُ أن لا يَحصُلَ ، و يَحصُلَ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w:t>
      </w:r>
      <w:r>
        <w:rPr>
          <w:rStyle w:val="FootnoteAnchor"/>
          <w:rtl w:val="true"/>
        </w:rPr>
        <w:footnoteReference w:id="2979"/>
      </w:r>
      <w:r>
        <w:rPr>
          <w:rFonts w:ascii="Amiri" w:hAnsi="Amiri" w:eastAsia="Amiri" w:cs="Amiri"/>
          <w:color w:val="111111"/>
          <w:sz w:val="28"/>
          <w:sz w:val="28"/>
          <w:szCs w:val="28"/>
          <w:rtl w:val="true"/>
          <w:lang w:bidi="ar-SA"/>
        </w:rPr>
        <w:t>يَدخُلُ ما جَرىٰ هذا المَجرىٰ تَحتَ الخبرِ؟</w:t>
      </w:r>
    </w:p>
    <w:p>
      <w:pPr>
        <w:pStyle w:val="BookText"/>
        <w:rPr/>
      </w:pPr>
      <w:r>
        <w:rPr>
          <w:rFonts w:ascii="Amiri" w:hAnsi="Amiri" w:eastAsia="Amiri" w:cs="Amiri"/>
          <w:color w:val="111111"/>
          <w:sz w:val="28"/>
          <w:sz w:val="28"/>
          <w:szCs w:val="28"/>
          <w:rtl w:val="true"/>
          <w:lang w:bidi="ar-SA"/>
        </w:rPr>
        <w:t>و كُلُّ ذلكَ يُقوّي أنّ المُرادَ بالخبرِ ما ذَكَرناه</w:t>
      </w:r>
      <w:r>
        <w:rPr>
          <w:rStyle w:val="FootnoteAnchor"/>
          <w:rtl w:val="true"/>
        </w:rPr>
        <w:footnoteReference w:id="29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4" w:name="__RefHeading___Toc964365_2320776876"/>
      <w:bookmarkStart w:id="525" w:name="_Toc186"/>
      <w:bookmarkEnd w:id="524"/>
      <w:r>
        <w:rPr>
          <w:rtl w:val="true"/>
        </w:rPr>
        <w:t>عدم توقّف الاستدلال بحديث المنزلة على الإمامة، علىٰ كون الاستخلاف واجباً أو مخيَّراً فيه</w:t>
      </w:r>
      <w:bookmarkEnd w:id="52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مَن هو ساهٍ عمّا نَحنُ معه فيه</w:t>
      </w:r>
      <w:r>
        <w:rPr>
          <w:rStyle w:val="FootnoteAnchor"/>
          <w:rtl w:val="true"/>
        </w:rPr>
        <w:footnoteReference w:id="2981"/>
      </w:r>
      <w:r>
        <w:rPr>
          <w:rFonts w:ascii="Amiri" w:hAnsi="Amiri" w:eastAsia="Amiri" w:cs="Amiri"/>
          <w:color w:val="111111"/>
          <w:sz w:val="28"/>
          <w:sz w:val="28"/>
          <w:szCs w:val="28"/>
          <w:rtl w:val="true"/>
          <w:lang w:bidi="ar-SA"/>
        </w:rPr>
        <w:t xml:space="preserve">لأنّ كلامَنا إنّما هو في أنّ </w:t>
      </w:r>
      <w:bookmarkStart w:id="526" w:name="pg20017_202693"/>
    </w:p>
    <w:p>
      <w:pPr>
        <w:pStyle w:val="BookText"/>
        <w:rPr/>
      </w:pPr>
      <w:bookmarkEnd w:id="526"/>
      <w:r>
        <w:rPr>
          <w:rFonts w:ascii="Amiri" w:hAnsi="Amiri" w:eastAsia="Amiri" w:cs="Amiri"/>
          <w:color w:val="111111"/>
          <w:sz w:val="28"/>
          <w:sz w:val="28"/>
          <w:szCs w:val="28"/>
          <w:rtl w:val="true"/>
          <w:lang w:bidi="ar-SA"/>
        </w:rPr>
        <w:t>النبيَّ صَلَّى اللّٰهُ عليه و آلهِ نَصَّ علىٰ أميرِ المؤمنينَ عليه السلامُ بالخِلافةِ بَعدَه، و جَعَلَ الإمامةَ فيه و له، دونَ غيرِه، و أنّ هذه منزِلةٌ له</w:t>
      </w:r>
      <w:r>
        <w:rPr>
          <w:rStyle w:val="FootnoteAnchor"/>
          <w:rtl w:val="true"/>
        </w:rPr>
        <w:footnoteReference w:id="2982"/>
      </w:r>
      <w:r>
        <w:rPr>
          <w:rFonts w:ascii="Amiri" w:hAnsi="Amiri" w:eastAsia="Amiri" w:cs="Amiri"/>
          <w:color w:val="111111"/>
          <w:sz w:val="28"/>
          <w:sz w:val="28"/>
          <w:szCs w:val="28"/>
          <w:rtl w:val="true"/>
          <w:lang w:bidi="ar-SA"/>
        </w:rPr>
        <w:t>منه؛ كما أنّ هارونَ لَو بَقيَ بَعدَ أخيه موسىٰ لَكانَ خَليفتَه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الكلامُ في أنّ النَّصَّ بالإمامةِ حَصَلَ علىٰ جِهةِ الوجوبِ‌، و أنّه ممّا كانَ يَجوزُ أن يَحصُلَ خِلافُه، و هَل كانَ‌</w:t>
      </w:r>
      <w:r>
        <w:rPr>
          <w:rStyle w:val="FootnoteAnchor"/>
          <w:rtl w:val="true"/>
        </w:rPr>
        <w:footnoteReference w:id="2983"/>
      </w:r>
      <w:r>
        <w:rPr>
          <w:rFonts w:ascii="Amiri" w:hAnsi="Amiri" w:eastAsia="Amiri" w:cs="Amiri"/>
          <w:color w:val="111111"/>
          <w:sz w:val="28"/>
          <w:sz w:val="28"/>
          <w:szCs w:val="28"/>
          <w:rtl w:val="true"/>
          <w:lang w:bidi="ar-SA"/>
        </w:rPr>
        <w:t>النبيُّ صَلَّى اللّٰهُ عليه و آله في ذلكَ مُخيَّراً أو غيرَ مُخيَّرٍ؟ فهو غيرُ ما نَحنُ فيه الآنَ‌، و غيرُ ما شَرَعتَ في حكايةِ أدِلّةِ أصحابِنا عليه؛ و الكلامُ فيه كلامٌ في مَسألةٍ أُخرىٰ‌</w:t>
      </w:r>
      <w:r>
        <w:rPr>
          <w:rStyle w:val="FootnoteAnchor"/>
          <w:rtl w:val="true"/>
        </w:rPr>
        <w:footnoteReference w:id="2984"/>
      </w:r>
      <w:r>
        <w:rPr>
          <w:rFonts w:ascii="Amiri" w:hAnsi="Amiri" w:eastAsia="Amiri" w:cs="Amiri"/>
          <w:color w:val="111111"/>
          <w:sz w:val="28"/>
          <w:sz w:val="28"/>
          <w:szCs w:val="28"/>
          <w:rtl w:val="true"/>
          <w:lang w:bidi="ar-SA"/>
        </w:rPr>
        <w:t>كالمُنفَصِلةِ عن النَّصِّ و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أصحابَنا</w:t>
      </w:r>
      <w:r>
        <w:rPr>
          <w:rStyle w:val="FootnoteAnchor"/>
          <w:rtl w:val="true"/>
        </w:rPr>
        <w:footnoteReference w:id="2985"/>
      </w:r>
      <w:r>
        <w:rPr>
          <w:rFonts w:ascii="Amiri" w:hAnsi="Amiri" w:eastAsia="Amiri" w:cs="Amiri"/>
          <w:color w:val="111111"/>
          <w:sz w:val="28"/>
          <w:sz w:val="28"/>
          <w:szCs w:val="28"/>
          <w:rtl w:val="true"/>
          <w:lang w:bidi="ar-SA"/>
        </w:rPr>
        <w:t>فيما قَصَدوه بأدِلّتِهم التي حَكَيتَها</w:t>
      </w:r>
      <w:r>
        <w:rPr>
          <w:rStyle w:val="FootnoteAnchor"/>
          <w:rtl w:val="true"/>
        </w:rPr>
        <w:footnoteReference w:id="2986"/>
      </w:r>
      <w:r>
        <w:rPr>
          <w:rFonts w:ascii="Amiri" w:hAnsi="Amiri" w:eastAsia="Amiri" w:cs="Amiri"/>
          <w:color w:val="111111"/>
          <w:sz w:val="28"/>
          <w:sz w:val="28"/>
          <w:szCs w:val="28"/>
          <w:rtl w:val="true"/>
          <w:lang w:bidi="ar-SA"/>
        </w:rPr>
        <w:t>أن يَثبُتَ‌</w:t>
      </w:r>
      <w:r>
        <w:rPr>
          <w:rStyle w:val="FootnoteAnchor"/>
          <w:rtl w:val="true"/>
        </w:rPr>
        <w:footnoteReference w:id="2987"/>
      </w:r>
      <w:r>
        <w:rPr>
          <w:rFonts w:ascii="Amiri" w:hAnsi="Amiri" w:eastAsia="Amiri" w:cs="Amiri"/>
          <w:color w:val="111111"/>
          <w:sz w:val="28"/>
          <w:sz w:val="28"/>
          <w:szCs w:val="28"/>
          <w:rtl w:val="true"/>
          <w:lang w:bidi="ar-SA"/>
        </w:rPr>
        <w:t xml:space="preserve">لأميرِ المؤمنينَ عليه السلامُ بَعدَ الرسولِ صَلَّى اللّٰهُ عليه و آلِه الإمامةُ و التصرُّفُ في تدبيرِ الأُمّةِ ؛ فبذلكَ </w:t>
      </w:r>
      <w:r>
        <w:rPr>
          <w:rStyle w:val="FootnoteAnchor"/>
          <w:rtl w:val="true"/>
        </w:rPr>
        <w:footnoteReference w:id="2988"/>
      </w:r>
      <w:r>
        <w:rPr>
          <w:rFonts w:ascii="Amiri" w:hAnsi="Amiri" w:eastAsia="Amiri" w:cs="Amiri"/>
          <w:color w:val="111111"/>
          <w:sz w:val="28"/>
          <w:sz w:val="28"/>
          <w:szCs w:val="28"/>
          <w:rtl w:val="true"/>
          <w:lang w:bidi="ar-SA"/>
        </w:rPr>
        <w:t xml:space="preserve">يَتِمُّ غرضُهم المقصودُ، و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ذلكَ أو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تَشاغُلَ </w:t>
      </w:r>
      <w:r>
        <w:rPr>
          <w:rStyle w:val="FootnoteAnchor"/>
          <w:rtl w:val="true"/>
        </w:rPr>
        <w:footnoteReference w:id="2989"/>
      </w:r>
      <w:r>
        <w:rPr>
          <w:rFonts w:ascii="Amiri" w:hAnsi="Amiri" w:eastAsia="Amiri" w:cs="Amiri"/>
          <w:color w:val="111111"/>
          <w:sz w:val="28"/>
          <w:sz w:val="28"/>
          <w:szCs w:val="28"/>
          <w:rtl w:val="true"/>
          <w:lang w:bidi="ar-SA"/>
        </w:rPr>
        <w:t xml:space="preserve">لهم به في هذا المَوضِعِ </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964367_2320776876"/>
      <w:bookmarkStart w:id="528" w:name="_Toc187"/>
      <w:bookmarkEnd w:id="527"/>
      <w:r>
        <w:rPr>
          <w:rtl w:val="true"/>
        </w:rPr>
        <w:t>بيان عدم وجوب الإمامة لشخصٍ بعينه</w:t>
      </w:r>
      <w:bookmarkEnd w:id="52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نُنزِّلُ خِلافةَ أميرِ المؤمنينَ عليه السلامُ للرسولِ صَلَّى اللّٰهُ </w:t>
      </w:r>
      <w:bookmarkStart w:id="529" w:name="pg20017_202694"/>
    </w:p>
    <w:p>
      <w:pPr>
        <w:pStyle w:val="BookText"/>
        <w:rPr/>
      </w:pPr>
      <w:bookmarkEnd w:id="529"/>
      <w:r>
        <w:rPr>
          <w:rFonts w:ascii="Amiri" w:hAnsi="Amiri" w:eastAsia="Amiri" w:cs="Amiri"/>
          <w:color w:val="111111"/>
          <w:sz w:val="28"/>
          <w:sz w:val="28"/>
          <w:szCs w:val="28"/>
          <w:rtl w:val="true"/>
          <w:lang w:bidi="ar-SA"/>
        </w:rPr>
        <w:t>عليه و آلِه علىٰ أُمّتِه بَعدَه</w:t>
      </w:r>
      <w:r>
        <w:rPr>
          <w:rStyle w:val="FootnoteAnchor"/>
          <w:rtl w:val="true"/>
        </w:rPr>
        <w:footnoteReference w:id="2990"/>
      </w:r>
      <w:r>
        <w:rPr>
          <w:rFonts w:ascii="Amiri" w:hAnsi="Amiri" w:eastAsia="Amiri" w:cs="Amiri"/>
          <w:color w:val="111111"/>
          <w:sz w:val="28"/>
          <w:sz w:val="28"/>
          <w:szCs w:val="28"/>
          <w:rtl w:val="true"/>
          <w:lang w:bidi="ar-SA"/>
        </w:rPr>
        <w:t>مَنزِلةَ نُبوّةِ موسىٰ مِن</w:t>
      </w:r>
      <w:r>
        <w:rPr>
          <w:rStyle w:val="FootnoteAnchor"/>
          <w:rtl w:val="true"/>
        </w:rPr>
        <w:footnoteReference w:id="2991"/>
      </w:r>
      <w:r>
        <w:rPr>
          <w:rFonts w:ascii="Amiri" w:hAnsi="Amiri" w:eastAsia="Amiri" w:cs="Amiri"/>
          <w:color w:val="111111"/>
          <w:sz w:val="28"/>
          <w:sz w:val="28"/>
          <w:szCs w:val="28"/>
          <w:rtl w:val="true"/>
          <w:lang w:bidi="ar-SA"/>
        </w:rPr>
        <w:t>هارونَ عندَكَ‌، و نَقولُ فيها ما تَقولُه أنتَ في نُبوّتِهما و نُبوّةِ غيرِهما مِن الأنبياءِ عليهم السلامُ‌؛ لأنّكَ لا تَقطَعُ في النبوّةِ علىٰ أنّ زَيداً بعَينِه كُلِّفَها علىٰ سَبيلِ الوجوبِ‌، بَل تُجَوِّزُ</w:t>
      </w:r>
      <w:r>
        <w:rPr>
          <w:rStyle w:val="FootnoteAnchor"/>
          <w:rtl w:val="true"/>
        </w:rPr>
        <w:footnoteReference w:id="2992"/>
      </w:r>
      <w:r>
        <w:rPr>
          <w:rFonts w:ascii="Amiri" w:hAnsi="Amiri" w:eastAsia="Amiri" w:cs="Amiri"/>
          <w:color w:val="111111"/>
          <w:sz w:val="28"/>
          <w:sz w:val="28"/>
          <w:szCs w:val="28"/>
          <w:rtl w:val="true"/>
          <w:lang w:bidi="ar-SA"/>
        </w:rPr>
        <w:t>أن يَتَساوَى اثنانِ أو جماعةٌ في حُسنِ أداءِ الشريعةِ و القيامِ بها</w:t>
      </w:r>
      <w:r>
        <w:rPr>
          <w:rStyle w:val="FootnoteAnchor"/>
          <w:rtl w:val="true"/>
        </w:rPr>
        <w:footnoteReference w:id="2993"/>
      </w:r>
      <w:r>
        <w:rPr>
          <w:rFonts w:ascii="Amiri" w:hAnsi="Amiri" w:eastAsia="Amiri" w:cs="Amiri"/>
          <w:color w:val="111111"/>
          <w:sz w:val="28"/>
          <w:sz w:val="28"/>
          <w:szCs w:val="28"/>
          <w:rtl w:val="true"/>
          <w:lang w:bidi="ar-SA"/>
        </w:rPr>
        <w:t>، و فيما يَتعلَّقُ بِهم مِن مَصلَحةِ المُكلَّفينَ‌، فيُكَلَّفَ أحَدُهم النبوّةَ‌</w:t>
      </w:r>
      <w:r>
        <w:rPr>
          <w:rStyle w:val="FootnoteAnchor"/>
          <w:rtl w:val="true"/>
        </w:rPr>
        <w:footnoteReference w:id="2994"/>
      </w:r>
      <w:r>
        <w:rPr>
          <w:rFonts w:ascii="Amiri" w:hAnsi="Amiri" w:eastAsia="Amiri" w:cs="Amiri"/>
          <w:color w:val="111111"/>
          <w:sz w:val="28"/>
          <w:sz w:val="28"/>
          <w:szCs w:val="28"/>
          <w:rtl w:val="true"/>
          <w:lang w:bidi="ar-SA"/>
        </w:rPr>
        <w:t>، و لا يَكونُ ذلكَ واجباً</w:t>
      </w:r>
      <w:r>
        <w:rPr>
          <w:rStyle w:val="FootnoteAnchor"/>
          <w:rtl w:val="true"/>
        </w:rPr>
        <w:footnoteReference w:id="2995"/>
      </w:r>
      <w:r>
        <w:rPr>
          <w:rFonts w:ascii="Amiri" w:hAnsi="Amiri" w:eastAsia="Amiri" w:cs="Amiri"/>
          <w:color w:val="111111"/>
          <w:sz w:val="28"/>
          <w:sz w:val="28"/>
          <w:szCs w:val="28"/>
          <w:rtl w:val="true"/>
          <w:lang w:bidi="ar-SA"/>
        </w:rPr>
        <w:t>لأنّ تكليفَ غيرِه مِمّن ساواه كتكليفهِ‌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قولُنا في الإمامةِ </w:t>
      </w:r>
      <w:r>
        <w:rPr>
          <w:rStyle w:val="FootnoteAnchor"/>
          <w:rtl w:val="true"/>
        </w:rPr>
        <w:footnoteReference w:id="2996"/>
      </w:r>
      <w:r>
        <w:rPr>
          <w:rFonts w:ascii="Amiri" w:hAnsi="Amiri" w:eastAsia="Amiri" w:cs="Amiri"/>
          <w:color w:val="111111"/>
          <w:sz w:val="28"/>
          <w:sz w:val="28"/>
          <w:szCs w:val="28"/>
          <w:rtl w:val="true"/>
          <w:lang w:bidi="ar-SA"/>
        </w:rPr>
        <w:t>بعَينِه؛ لأنّا لا نَرىٰ أنّ الإمامةَ مُستَحَقّةٌ بعملٍ و لا النبوّةَ ، كَما يَرىٰ ذلكَ بَعضُ مَن تَقدَّمَ مِن أصحابِنا</w:t>
      </w:r>
      <w:r>
        <w:rPr>
          <w:rStyle w:val="FootnoteAnchor"/>
          <w:rtl w:val="true"/>
        </w:rPr>
        <w:footnoteReference w:id="2997"/>
      </w:r>
      <w:r>
        <w:rPr>
          <w:rFonts w:ascii="Amiri" w:hAnsi="Amiri" w:eastAsia="Amiri" w:cs="Amiri"/>
          <w:color w:val="111111"/>
          <w:sz w:val="28"/>
          <w:sz w:val="28"/>
          <w:szCs w:val="28"/>
          <w:rtl w:val="true"/>
          <w:lang w:bidi="ar-SA"/>
        </w:rPr>
        <w:t xml:space="preserve">رَحِمَهم اللّٰهُ </w:t>
      </w:r>
      <w:r>
        <w:rPr>
          <w:rStyle w:val="FootnoteAnchor"/>
          <w:rtl w:val="true"/>
        </w:rPr>
        <w:footnoteReference w:id="29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0" w:name="__RefHeading___Toc964369_2320776876"/>
      <w:bookmarkStart w:id="531" w:name="_Toc188"/>
      <w:bookmarkEnd w:id="530"/>
      <w:r>
        <w:rPr>
          <w:rtl w:val="true"/>
        </w:rPr>
        <w:t>عدم دلالة حديث المنزلة علىٰ نظريّة الإمامة بكلّ تفاصيلها</w:t>
      </w:r>
      <w:bookmarkEnd w:id="53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بما ذَكرتُه أنّ الخبرَ لَو سَلِمَ لخُصومي أنّه دالٌّ علَى النَّصِّ بالإمامةِ ، لَكانَ غيرَ دالٍّ </w:t>
      </w:r>
      <w:r>
        <w:rPr>
          <w:rStyle w:val="FootnoteAnchor"/>
          <w:rtl w:val="true"/>
        </w:rPr>
        <w:footnoteReference w:id="2999"/>
      </w:r>
      <w:r>
        <w:rPr>
          <w:rFonts w:ascii="Amiri" w:hAnsi="Amiri" w:eastAsia="Amiri" w:cs="Amiri"/>
          <w:color w:val="111111"/>
          <w:sz w:val="28"/>
          <w:sz w:val="28"/>
          <w:szCs w:val="28"/>
          <w:rtl w:val="true"/>
          <w:lang w:bidi="ar-SA"/>
        </w:rPr>
        <w:t>مِن الوجهِ الذي تَذهَبونَ إليه في وجوبِ الإمامةِ لِمَن</w:t>
      </w:r>
      <w:r>
        <w:rPr>
          <w:rStyle w:val="FootnoteAnchor"/>
          <w:rtl w:val="true"/>
        </w:rPr>
        <w:footnoteReference w:id="3000"/>
      </w:r>
    </w:p>
    <w:p>
      <w:pPr>
        <w:pStyle w:val="BookText"/>
        <w:rPr/>
      </w:pPr>
      <w:r>
        <w:rPr>
          <w:rFonts w:ascii="Amiri" w:hAnsi="Amiri" w:eastAsia="Amiri" w:cs="Amiri"/>
          <w:color w:val="111111"/>
          <w:sz w:val="28"/>
          <w:sz w:val="28"/>
          <w:szCs w:val="28"/>
          <w:rtl w:val="true"/>
          <w:lang w:bidi="ar-SA"/>
        </w:rPr>
        <w:t>يَحصُلُ له علىٰ وجهٍ لا يَجوزُ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مَذهَبَنا بخِلافِ ذلكَ‌</w:t>
      </w:r>
      <w:r>
        <w:rPr>
          <w:rStyle w:val="FootnoteAnchor"/>
          <w:rtl w:val="true"/>
        </w:rPr>
        <w:footnoteReference w:id="3001"/>
      </w:r>
      <w:r>
        <w:rPr>
          <w:rFonts w:ascii="Amiri" w:hAnsi="Amiri" w:eastAsia="Amiri" w:cs="Amiri"/>
          <w:color w:val="111111"/>
          <w:sz w:val="28"/>
          <w:sz w:val="28"/>
          <w:szCs w:val="28"/>
          <w:rtl w:val="true"/>
          <w:lang w:bidi="ar-SA"/>
        </w:rPr>
        <w:t>، و هو مَذهبُ أكثَرِ الطائفةِ و المُحقِّقينَ منها</w:t>
      </w:r>
      <w:r>
        <w:rPr>
          <w:rStyle w:val="FootnoteAnchor"/>
          <w:rtl w:val="true"/>
        </w:rPr>
        <w:footnoteReference w:id="3002"/>
      </w:r>
      <w:r>
        <w:rPr>
          <w:rFonts w:ascii="Amiri" w:hAnsi="Amiri" w:eastAsia="Amiri" w:cs="Amiri"/>
          <w:color w:val="111111"/>
          <w:sz w:val="28"/>
          <w:sz w:val="28"/>
          <w:szCs w:val="28"/>
          <w:rtl w:val="true"/>
          <w:lang w:bidi="ar-SA"/>
        </w:rPr>
        <w:t>، و لنا فيه تفصيلٌ سنَذكُرُه</w:t>
      </w:r>
      <w:r>
        <w:rPr>
          <w:rStyle w:val="FootnoteAnchor"/>
          <w:rtl w:val="true"/>
        </w:rPr>
        <w:footnoteReference w:id="3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أنّ الكلامَ تَوجَّهَ إلىٰ مَن ذَهَبَ إلىٰ ذلكَ‌، أو أنّ الجماعةَ تَذهَبُ إليه</w:t>
      </w:r>
      <w:r>
        <w:rPr>
          <w:rStyle w:val="FootnoteAnchor"/>
          <w:rtl w:val="true"/>
        </w:rPr>
        <w:footnoteReference w:id="3004"/>
      </w:r>
      <w:r>
        <w:rPr>
          <w:rFonts w:ascii="Amiri" w:hAnsi="Amiri" w:eastAsia="Amiri" w:cs="Amiri"/>
          <w:color w:val="111111"/>
          <w:sz w:val="28"/>
          <w:sz w:val="28"/>
          <w:szCs w:val="28"/>
          <w:rtl w:val="true"/>
          <w:lang w:bidi="ar-SA"/>
        </w:rPr>
        <w:t>، كَيفَ يَكونُ واقعاً مَوقِعَه‌؟ و مَن هذا الذي ضَمِنَ لكَ‌</w:t>
      </w:r>
      <w:r>
        <w:rPr>
          <w:rStyle w:val="FootnoteAnchor"/>
          <w:rtl w:val="true"/>
        </w:rPr>
        <w:footnoteReference w:id="3005"/>
      </w:r>
      <w:r>
        <w:rPr>
          <w:rFonts w:ascii="Amiri" w:hAnsi="Amiri" w:eastAsia="Amiri" w:cs="Amiri"/>
          <w:color w:val="111111"/>
          <w:sz w:val="28"/>
          <w:sz w:val="28"/>
          <w:szCs w:val="28"/>
          <w:rtl w:val="true"/>
          <w:lang w:bidi="ar-SA"/>
        </w:rPr>
        <w:t xml:space="preserve">و تَكفَّلَ بأنّه يَدُلُّ بهذا الخبرِ المخصوصِ علىٰ جميعِ مَذاهبِه في الإمامةِ‌، حتّىٰ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ذَهَبَ في الإمامةِ إلىٰ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يَستفيدَ ذلكَ بالخبرِ، و يَكونَ الخبرُ دالاًّ عليه‌؟</w:t>
      </w:r>
    </w:p>
    <w:p>
      <w:pPr>
        <w:pStyle w:val="BookText"/>
        <w:rPr/>
      </w:pPr>
      <w:r>
        <w:rPr>
          <w:rFonts w:ascii="Amiri" w:hAnsi="Amiri" w:eastAsia="Amiri" w:cs="Amiri"/>
          <w:color w:val="111111"/>
          <w:sz w:val="28"/>
          <w:sz w:val="28"/>
          <w:szCs w:val="28"/>
          <w:rtl w:val="true"/>
          <w:lang w:bidi="ar-SA"/>
        </w:rPr>
        <w:t>و لِمَن ذَهَبَ إلَى المَذهبِ الذي ذَكَرتَه</w:t>
      </w:r>
      <w:r>
        <w:rPr>
          <w:rStyle w:val="FootnoteAnchor"/>
          <w:rtl w:val="true"/>
        </w:rPr>
        <w:footnoteReference w:id="3006"/>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إن اعتَقَدتُ في وجوبِ الإمامةِ ما حَكَيتَه، فلي عليه دَلالةٌ غيرُ هذا الخبرِ، و إنّما أستَدِلُّ بالخبر علَى النَّصِّ بالإمامةِ علىٰ أميرِ المؤمنينَ عليه السلامُ ، و أنّه الإمامُ بَعدَ الرسولِ عليه السلامُ ؛ و ما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هذه المَنزِلةِ أو جَوازِها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إليه غيرُ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لَزِمَني هذا لَلَزِمَكَ مِثلُه، إذا قيلَ لكَ </w:t>
      </w:r>
      <w:r>
        <w:rPr>
          <w:rStyle w:val="FootnoteAnchor"/>
          <w:rtl w:val="true"/>
        </w:rPr>
        <w:footnoteReference w:id="30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w:t>
      </w:r>
      <w:r>
        <w:rPr>
          <w:rStyle w:val="FootnoteAnchor"/>
          <w:rtl w:val="true"/>
        </w:rPr>
        <w:footnoteReference w:id="3008"/>
      </w:r>
      <w:r>
        <w:rPr>
          <w:rFonts w:ascii="Amiri" w:hAnsi="Amiri" w:eastAsia="Amiri" w:cs="Amiri"/>
          <w:color w:val="111111"/>
          <w:sz w:val="28"/>
          <w:sz w:val="28"/>
          <w:szCs w:val="28"/>
          <w:rtl w:val="true"/>
          <w:lang w:bidi="ar-SA"/>
        </w:rPr>
        <w:t>إذا كُنتَ تَعتَقِدُ أنّ القَديمَ تَعالىٰ قادرٌ لنفسِه</w:t>
      </w:r>
      <w:r>
        <w:rPr>
          <w:rStyle w:val="FootnoteAnchor"/>
          <w:rtl w:val="true"/>
        </w:rPr>
        <w:footnoteReference w:id="3009"/>
      </w:r>
      <w:r>
        <w:rPr>
          <w:rFonts w:ascii="Amiri" w:hAnsi="Amiri" w:eastAsia="Amiri" w:cs="Amiri"/>
          <w:color w:val="111111"/>
          <w:sz w:val="28"/>
          <w:sz w:val="28"/>
          <w:szCs w:val="28"/>
          <w:rtl w:val="true"/>
          <w:lang w:bidi="ar-SA"/>
        </w:rPr>
        <w:t>، فصِحّةُ الفِعلِ منه لَيسَ تَدُلُّ علىٰ كَونِه بهذه</w:t>
      </w:r>
      <w:r>
        <w:rPr>
          <w:rStyle w:val="FootnoteAnchor"/>
          <w:rtl w:val="true"/>
        </w:rPr>
        <w:footnoteReference w:id="3010"/>
      </w:r>
      <w:r>
        <w:rPr>
          <w:rFonts w:ascii="Amiri" w:hAnsi="Amiri" w:eastAsia="Amiri" w:cs="Amiri"/>
          <w:color w:val="111111"/>
          <w:sz w:val="28"/>
          <w:sz w:val="28"/>
          <w:szCs w:val="28"/>
          <w:rtl w:val="true"/>
          <w:lang w:bidi="ar-SA"/>
        </w:rPr>
        <w:t xml:space="preserve">الصفةِ علىٰ ما ذهبتُم إليه، </w:t>
      </w:r>
      <w:bookmarkStart w:id="532" w:name="pg20017_202696"/>
    </w:p>
    <w:p>
      <w:pPr>
        <w:pStyle w:val="BookText"/>
        <w:rPr/>
      </w:pPr>
      <w:bookmarkEnd w:id="532"/>
      <w:r>
        <w:rPr>
          <w:rFonts w:ascii="Amiri" w:hAnsi="Amiri" w:eastAsia="Amiri" w:cs="Amiri"/>
          <w:color w:val="111111"/>
          <w:sz w:val="28"/>
          <w:sz w:val="28"/>
          <w:szCs w:val="28"/>
          <w:rtl w:val="true"/>
          <w:lang w:bidi="ar-SA"/>
        </w:rPr>
        <w:t>و أكثَرُ ما تَدُلُّ‌</w:t>
      </w:r>
      <w:r>
        <w:rPr>
          <w:rStyle w:val="FootnoteAnchor"/>
          <w:rtl w:val="true"/>
        </w:rPr>
        <w:footnoteReference w:id="3011"/>
      </w:r>
      <w:r>
        <w:rPr>
          <w:rFonts w:ascii="Amiri" w:hAnsi="Amiri" w:eastAsia="Amiri" w:cs="Amiri"/>
          <w:color w:val="111111"/>
          <w:sz w:val="28"/>
          <w:sz w:val="28"/>
          <w:szCs w:val="28"/>
          <w:rtl w:val="true"/>
          <w:lang w:bidi="ar-SA"/>
        </w:rPr>
        <w:t>صِحّةُ الفِعلِ علىٰ كَونِه قادراً؛ فأمّا الوجهُ الذي كانَ قادراً منه، و</w:t>
      </w:r>
      <w:r>
        <w:rPr>
          <w:rStyle w:val="FootnoteAnchor"/>
          <w:rtl w:val="true"/>
        </w:rPr>
        <w:footnoteReference w:id="3012"/>
      </w:r>
      <w:r>
        <w:rPr>
          <w:rFonts w:ascii="Amiri" w:hAnsi="Amiri" w:eastAsia="Amiri" w:cs="Amiri"/>
          <w:color w:val="111111"/>
          <w:sz w:val="28"/>
          <w:sz w:val="28"/>
          <w:szCs w:val="28"/>
          <w:rtl w:val="true"/>
          <w:lang w:bidi="ar-SA"/>
        </w:rPr>
        <w:t xml:space="preserve">أنّه النفسُ دونَ المعنىٰ </w:t>
      </w:r>
      <w:r>
        <w:rPr>
          <w:rStyle w:val="FootnoteAnchor"/>
          <w:rtl w:val="true"/>
        </w:rPr>
        <w:footnoteReference w:id="3013"/>
      </w:r>
      <w:r>
        <w:rPr>
          <w:rFonts w:ascii="Amiri" w:hAnsi="Amiri" w:eastAsia="Amiri" w:cs="Amiri"/>
          <w:color w:val="111111"/>
          <w:sz w:val="28"/>
          <w:sz w:val="28"/>
          <w:szCs w:val="28"/>
          <w:rtl w:val="true"/>
          <w:lang w:bidi="ar-SA"/>
        </w:rPr>
        <w:t xml:space="preserve">، فغَيرُ مُستَفادٍ مِن صِحّةِ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ذلك قَدحاً في مَذهبِكَ و طريقتِكَ ، ما كانَ يُمكِنُكَ أن تَعتَمِدَ إلّاعلىٰ ما اعتَمَدناه بعَينِه</w:t>
      </w:r>
      <w:r>
        <w:rPr>
          <w:rStyle w:val="FootnoteAnchor"/>
          <w:rtl w:val="true"/>
        </w:rPr>
        <w:footnoteReference w:id="3014"/>
      </w:r>
      <w:r>
        <w:rPr>
          <w:rFonts w:ascii="Amiri" w:hAnsi="Amiri" w:eastAsia="Amiri" w:cs="Amiri"/>
          <w:color w:val="111111"/>
          <w:sz w:val="28"/>
          <w:sz w:val="28"/>
          <w:szCs w:val="28"/>
          <w:rtl w:val="true"/>
          <w:lang w:bidi="ar-SA"/>
        </w:rPr>
        <w:t xml:space="preserve">، و تُبيِّنَ أنّ صِحّةَ الفِعلِ دَلالةُ إثباتِه قادراً، و الطريقَ إلَى استنادِ هذه الصفةِ إلَى النفسِ أو المعنىٰ غيرُ هذا، و أنّه لَيسَ يَجِبُ مِن حَيثُ كانَ المَذهبُ يَشمَلُ </w:t>
      </w:r>
      <w:r>
        <w:rPr>
          <w:rStyle w:val="FootnoteAnchor"/>
          <w:rtl w:val="true"/>
        </w:rPr>
        <w:footnoteReference w:id="3015"/>
      </w:r>
      <w:r>
        <w:rPr>
          <w:rFonts w:ascii="Amiri" w:hAnsi="Amiri" w:eastAsia="Amiri" w:cs="Amiri"/>
          <w:color w:val="111111"/>
          <w:sz w:val="28"/>
          <w:sz w:val="28"/>
          <w:szCs w:val="28"/>
          <w:rtl w:val="true"/>
          <w:lang w:bidi="ar-SA"/>
        </w:rPr>
        <w:t xml:space="preserve">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قادراً، و أنّه كذلكَ للنفسِ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يُعلَما بدليلٍ واحدٍ مِن</w:t>
      </w:r>
      <w:r>
        <w:rPr>
          <w:rStyle w:val="FootnoteAnchor"/>
          <w:rtl w:val="true"/>
        </w:rPr>
        <w:footnoteReference w:id="3016"/>
      </w:r>
      <w:r>
        <w:rPr>
          <w:rFonts w:ascii="Amiri" w:hAnsi="Amiri" w:eastAsia="Amiri" w:cs="Amiri"/>
          <w:color w:val="111111"/>
          <w:sz w:val="28"/>
          <w:sz w:val="28"/>
          <w:szCs w:val="28"/>
          <w:rtl w:val="true"/>
          <w:lang w:bidi="ar-SA"/>
        </w:rPr>
        <w:t>طريقٍ واحدٍ</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964371_2320776876"/>
      <w:bookmarkStart w:id="534" w:name="_Toc189"/>
      <w:bookmarkEnd w:id="533"/>
      <w:r>
        <w:rPr>
          <w:rtl w:val="true"/>
        </w:rPr>
        <w:t>نفي وجود مَن يساوي الرسول صلى الله عليه و آله و أمير المؤمنين عليه السلام في أيّام ولايتهما</w:t>
      </w:r>
      <w:bookmarkEnd w:id="534"/>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مَذهبُكم في النبوّةِ و الإمامةِ ما شَرَحتموه، و رَغِبتم عن قولِ مَن ذَهَبَ فيهما</w:t>
      </w:r>
      <w:r>
        <w:rPr>
          <w:rStyle w:val="FootnoteAnchor"/>
          <w:rtl w:val="true"/>
        </w:rPr>
        <w:footnoteReference w:id="3017"/>
      </w:r>
      <w:r>
        <w:rPr>
          <w:rFonts w:ascii="Amiri" w:hAnsi="Amiri" w:eastAsia="Amiri" w:cs="Amiri"/>
          <w:color w:val="111111"/>
          <w:sz w:val="28"/>
          <w:sz w:val="28"/>
          <w:szCs w:val="28"/>
          <w:rtl w:val="true"/>
          <w:lang w:bidi="ar-SA"/>
        </w:rPr>
        <w:t>إلَى الاستحقاقِ ، أفتُجَوِّزونَ أن يَكونَ في زَمانِ النبيِّ صَلَّى اللّٰهُ عليه و آلِه و زمانِ أميرِ المؤمنينَ عليه السلامُ مَن</w:t>
      </w:r>
      <w:r>
        <w:rPr>
          <w:rStyle w:val="FootnoteAnchor"/>
          <w:rtl w:val="true"/>
        </w:rPr>
        <w:footnoteReference w:id="3018"/>
      </w:r>
      <w:r>
        <w:rPr>
          <w:rFonts w:ascii="Amiri" w:hAnsi="Amiri" w:eastAsia="Amiri" w:cs="Amiri"/>
          <w:color w:val="111111"/>
          <w:sz w:val="28"/>
          <w:sz w:val="28"/>
          <w:szCs w:val="28"/>
          <w:rtl w:val="true"/>
          <w:lang w:bidi="ar-SA"/>
        </w:rPr>
        <w:t>يُساوي كُلَّ واحدٍ منهما في القيامِ بما أُسنِدَ إليه، حتّىٰ لَو عُدِلَ بالأمرِ إليه لَقامَ به</w:t>
      </w:r>
      <w:r>
        <w:rPr>
          <w:rStyle w:val="FootnoteAnchor"/>
          <w:rtl w:val="true"/>
        </w:rPr>
        <w:footnoteReference w:id="3019"/>
      </w:r>
      <w:r>
        <w:rPr>
          <w:rFonts w:ascii="Amiri" w:hAnsi="Amiri" w:eastAsia="Amiri" w:cs="Amiri"/>
          <w:color w:val="111111"/>
          <w:sz w:val="28"/>
          <w:sz w:val="28"/>
          <w:szCs w:val="28"/>
          <w:rtl w:val="true"/>
          <w:lang w:bidi="ar-SA"/>
        </w:rPr>
        <w:t>هذا المَقامَ بعَينِه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جائزاً، و إنّما عَلِمنا أنّه لَم يَقَعْ لدليلٍ مَنَعَ </w:t>
      </w:r>
      <w:r>
        <w:rPr>
          <w:rStyle w:val="FootnoteAnchor"/>
          <w:rtl w:val="true"/>
        </w:rPr>
        <w:footnoteReference w:id="3020"/>
      </w:r>
      <w:r>
        <w:rPr>
          <w:rFonts w:ascii="Amiri" w:hAnsi="Amiri" w:eastAsia="Amiri" w:cs="Amiri"/>
          <w:color w:val="111111"/>
          <w:sz w:val="28"/>
          <w:sz w:val="28"/>
          <w:szCs w:val="28"/>
          <w:rtl w:val="true"/>
          <w:lang w:bidi="ar-SA"/>
        </w:rPr>
        <w:t xml:space="preserve">منه، لا مِن حَيثُ </w:t>
      </w:r>
    </w:p>
    <w:p>
      <w:pPr>
        <w:pStyle w:val="BookText"/>
        <w:rPr/>
      </w:pPr>
      <w:r>
        <w:rPr>
          <w:rFonts w:ascii="Amiri" w:hAnsi="Amiri" w:eastAsia="Amiri" w:cs="Amiri"/>
          <w:color w:val="111111"/>
          <w:sz w:val="28"/>
          <w:sz w:val="28"/>
          <w:szCs w:val="28"/>
          <w:rtl w:val="true"/>
          <w:lang w:bidi="ar-SA"/>
        </w:rPr>
        <w:t>الاستحقاقِ‌، و لا لأنّ‌</w:t>
      </w:r>
      <w:r>
        <w:rPr>
          <w:rStyle w:val="FootnoteAnchor"/>
          <w:rtl w:val="true"/>
        </w:rPr>
        <w:footnoteReference w:id="3021"/>
      </w:r>
      <w:r>
        <w:rPr>
          <w:rFonts w:ascii="Amiri" w:hAnsi="Amiri" w:eastAsia="Amiri" w:cs="Amiri"/>
          <w:color w:val="111111"/>
          <w:sz w:val="28"/>
          <w:sz w:val="28"/>
          <w:szCs w:val="28"/>
          <w:rtl w:val="true"/>
          <w:lang w:bidi="ar-SA"/>
        </w:rPr>
        <w:t xml:space="preserve">تَساويَ صفةِ مَن يَصلُحُ لهذه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تكليفُ هذا كتكليفِ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في زمنِ النبيِّ صَلَّى اللّٰهُ عليه و آلِه مَن يُساويهِ في شَرائطِ النبوّةِ‌، و لا كانَ في زمانِ إمامةِ‌</w:t>
      </w:r>
      <w:r>
        <w:rPr>
          <w:rStyle w:val="FootnoteAnchor"/>
          <w:rtl w:val="true"/>
        </w:rPr>
        <w:footnoteReference w:id="3022"/>
      </w:r>
      <w:r>
        <w:rPr>
          <w:rFonts w:ascii="Amiri" w:hAnsi="Amiri" w:eastAsia="Amiri" w:cs="Amiri"/>
          <w:color w:val="111111"/>
          <w:sz w:val="28"/>
          <w:sz w:val="28"/>
          <w:szCs w:val="28"/>
          <w:rtl w:val="true"/>
          <w:lang w:bidi="ar-SA"/>
        </w:rPr>
        <w:t>أميرِ المؤمنينَ عليه السلامُ مَن يُساويهِ في جَميعِ شرائطِ الإمامةِ‌، و إن جازَ أن يَكونَ قَبلَ إمامتِه مَن يُساويهِ في ذلكَ في أيّامِ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المَنعِ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ما مَنَعنا منه مِن الأمرَينِ‌، لَوَجَبَ في ذلكَ المُساوي للرسولِ أو الإمامِ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رَعيّةً لِمَن هو مُساوٍ له، أو خارجاً عن رَعيّتِه و مُستَثنىً به عليه</w:t>
      </w:r>
      <w:r>
        <w:rPr>
          <w:rStyle w:val="FootnoteAnchor"/>
          <w:rtl w:val="true"/>
        </w:rPr>
        <w:footnoteReference w:id="3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يَجوزُ أن يَكونَ رَعيّةً لِمَن يُساويهِ‌، كَما لا يَجوزُ أن يَكونَ رَعيّةً لِمَن يَفضُلُه، و قُبحُ أحَدِ الأمرَينِ كقُبحِ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قد مَضىٰ فيما تَقدَّمَ مِن الكلامِ عندَ دَلالتِنا علىٰ أنّ إمامةَ المفضولِ لا تَجوزُ</w:t>
      </w:r>
      <w:r>
        <w:rPr>
          <w:rStyle w:val="FootnoteAnchor"/>
          <w:rtl w:val="true"/>
        </w:rPr>
        <w:footnoteReference w:id="302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يَجوزُ أن يَكونَ خارجاً عن رَعيّتِه؛ لأنّا قد عَلِمنا أنّ النبيَّ صَلَّى اللّٰهُ عليه و آلِه بُعِثَ إلىٰ سائرِ المُكلَّفينَ‌، و أنّه لا أحَدَ منهم إلّاو تَجِبُ </w:t>
      </w:r>
      <w:r>
        <w:rPr>
          <w:rStyle w:val="FootnoteAnchor"/>
          <w:rtl w:val="true"/>
        </w:rPr>
        <w:footnoteReference w:id="3025"/>
      </w:r>
      <w:r>
        <w:rPr>
          <w:rFonts w:ascii="Amiri" w:hAnsi="Amiri" w:eastAsia="Amiri" w:cs="Amiri"/>
          <w:color w:val="111111"/>
          <w:sz w:val="28"/>
          <w:sz w:val="28"/>
          <w:szCs w:val="28"/>
          <w:rtl w:val="true"/>
          <w:lang w:bidi="ar-SA"/>
        </w:rPr>
        <w:t xml:space="preserve">طاعتُه عليه و التصرُّفُ علىٰ أمرِه و نَهيِه، و كذلكَ نَعلَمُ </w:t>
      </w:r>
      <w:r>
        <w:rPr>
          <w:rStyle w:val="FootnoteAnchor"/>
          <w:rtl w:val="true"/>
        </w:rPr>
        <w:footnoteReference w:id="3026"/>
      </w:r>
      <w:r>
        <w:rPr>
          <w:rFonts w:ascii="Amiri" w:hAnsi="Amiri" w:eastAsia="Amiri" w:cs="Amiri"/>
          <w:color w:val="111111"/>
          <w:sz w:val="28"/>
          <w:sz w:val="28"/>
          <w:szCs w:val="28"/>
          <w:rtl w:val="true"/>
          <w:lang w:bidi="ar-SA"/>
        </w:rPr>
        <w:t>أنّ إمامةَ أميرِ المؤمنينَ عليه السلامُ عامّةٌ لسائرِ المُكلَّفينَ ، و أنّ أحَداً منهم لا يَخرُجُ عنها</w:t>
      </w:r>
      <w:r>
        <w:rPr>
          <w:rStyle w:val="FootnoteAnchor"/>
          <w:rtl w:val="true"/>
        </w:rPr>
        <w:footnoteReference w:id="3027"/>
      </w:r>
      <w:r>
        <w:rPr>
          <w:rFonts w:ascii="Amiri" w:hAnsi="Amiri" w:eastAsia="Amiri" w:cs="Amiri"/>
          <w:color w:val="111111"/>
          <w:sz w:val="28"/>
          <w:sz w:val="28"/>
          <w:szCs w:val="28"/>
          <w:rtl w:val="true"/>
          <w:lang w:bidi="ar-SA"/>
        </w:rPr>
        <w:t xml:space="preserve">لأنّ كُلَّ مَن أوجَبَها بَعدَ </w:t>
      </w:r>
      <w:bookmarkStart w:id="535" w:name="pg20017_202698"/>
    </w:p>
    <w:p>
      <w:pPr>
        <w:pStyle w:val="BookText"/>
        <w:rPr/>
      </w:pPr>
      <w:bookmarkEnd w:id="535"/>
      <w:r>
        <w:rPr>
          <w:rFonts w:ascii="Amiri" w:hAnsi="Amiri" w:eastAsia="Amiri" w:cs="Amiri"/>
          <w:color w:val="111111"/>
          <w:sz w:val="28"/>
          <w:sz w:val="28"/>
          <w:szCs w:val="28"/>
          <w:rtl w:val="true"/>
          <w:lang w:bidi="ar-SA"/>
        </w:rPr>
        <w:t>الرسولِ صَلَّى اللّٰهُ عليه و آلِه</w:t>
      </w:r>
      <w:r>
        <w:rPr>
          <w:rStyle w:val="FootnoteAnchor"/>
          <w:rtl w:val="true"/>
        </w:rPr>
        <w:footnoteReference w:id="3028"/>
      </w:r>
      <w:r>
        <w:rPr>
          <w:rFonts w:ascii="Amiri" w:hAnsi="Amiri" w:eastAsia="Amiri" w:cs="Amiri"/>
          <w:color w:val="111111"/>
          <w:sz w:val="28"/>
          <w:sz w:val="28"/>
          <w:szCs w:val="28"/>
          <w:rtl w:val="true"/>
          <w:lang w:bidi="ar-SA"/>
        </w:rPr>
        <w:t>أوجَبَها علىٰ هذهِ الصفةِ ، و الإجماعُ يَمنَعُ مِن</w:t>
      </w:r>
      <w:r>
        <w:rPr>
          <w:rStyle w:val="FootnoteAnchor"/>
          <w:rtl w:val="true"/>
        </w:rPr>
        <w:footnoteReference w:id="3029"/>
      </w:r>
      <w:r>
        <w:rPr>
          <w:rFonts w:ascii="Amiri" w:hAnsi="Amiri" w:eastAsia="Amiri" w:cs="Amiri"/>
          <w:color w:val="111111"/>
          <w:sz w:val="28"/>
          <w:sz w:val="28"/>
          <w:szCs w:val="28"/>
          <w:rtl w:val="true"/>
          <w:lang w:bidi="ar-SA"/>
        </w:rPr>
        <w:t>تخصيصِها بَعدَ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فبهذا عَلِمنا أنّه لَم يَكُن في أزمانِهما عليهما السلامُ </w:t>
      </w:r>
      <w:r>
        <w:rPr>
          <w:rStyle w:val="FootnoteAnchor"/>
          <w:rtl w:val="true"/>
        </w:rPr>
        <w:footnoteReference w:id="3030"/>
      </w:r>
      <w:r>
        <w:rPr>
          <w:rFonts w:ascii="Amiri" w:hAnsi="Amiri" w:eastAsia="Amiri" w:cs="Amiri"/>
          <w:color w:val="111111"/>
          <w:sz w:val="28"/>
          <w:sz w:val="28"/>
          <w:szCs w:val="28"/>
          <w:rtl w:val="true"/>
          <w:lang w:bidi="ar-SA"/>
        </w:rPr>
        <w:t>مَن يُساويهِما، لا مِن الوجوهِ الفاسدةِ التي اعتمَدَها</w:t>
      </w:r>
      <w:r>
        <w:rPr>
          <w:rStyle w:val="FootnoteAnchor"/>
          <w:rtl w:val="true"/>
        </w:rPr>
        <w:footnoteReference w:id="3031"/>
      </w:r>
      <w:r>
        <w:rPr>
          <w:rFonts w:ascii="Amiri" w:hAnsi="Amiri" w:eastAsia="Amiri" w:cs="Amiri"/>
          <w:color w:val="111111"/>
          <w:sz w:val="28"/>
          <w:sz w:val="28"/>
          <w:szCs w:val="28"/>
          <w:rtl w:val="true"/>
          <w:lang w:bidi="ar-SA"/>
        </w:rPr>
        <w:t>غيرُنا</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964373_2320776876"/>
      <w:bookmarkStart w:id="537" w:name="_Toc190"/>
      <w:bookmarkEnd w:id="536"/>
      <w:r>
        <w:rPr>
          <w:rtl w:val="true"/>
        </w:rPr>
        <w:t>بيان الفرق بين الاستخلاف في حياة الرسول صلى الله عليه و آله، و بعد وفاته</w:t>
      </w:r>
      <w:bookmarkEnd w:id="53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r>
        <w:rPr>
          <w:rStyle w:val="FootnoteAnchor"/>
          <w:rtl w:val="true"/>
        </w:rPr>
        <w:footnoteReference w:id="3032"/>
      </w:r>
      <w:r>
        <w:rPr>
          <w:rFonts w:ascii="Amiri" w:hAnsi="Amiri" w:eastAsia="Amiri" w:cs="Amiri"/>
          <w:color w:val="111111"/>
          <w:sz w:val="28"/>
          <w:sz w:val="28"/>
          <w:szCs w:val="28"/>
          <w:rtl w:val="true"/>
          <w:lang w:bidi="ar-SA"/>
        </w:rPr>
        <w:t xml:space="preserve">كانت خِلافةُ هارونَ لموسىٰ عليه السلامُ في حياتِه إنّما ثَبَتَت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توجِبونَ فيما جَرىٰ‌</w:t>
      </w:r>
      <w:r>
        <w:rPr>
          <w:rStyle w:val="FootnoteAnchor"/>
          <w:rtl w:val="true"/>
        </w:rPr>
        <w:footnoteReference w:id="3033"/>
      </w:r>
      <w:r>
        <w:rPr>
          <w:rFonts w:ascii="Amiri" w:hAnsi="Amiri" w:eastAsia="Amiri" w:cs="Amiri"/>
          <w:color w:val="111111"/>
          <w:sz w:val="28"/>
          <w:sz w:val="28"/>
          <w:szCs w:val="28"/>
          <w:rtl w:val="true"/>
          <w:lang w:bidi="ar-SA"/>
        </w:rPr>
        <w:t>هذا المَجرىٰ مِن الاستخلافِ أن</w:t>
      </w:r>
      <w:r>
        <w:rPr>
          <w:rStyle w:val="FootnoteAnchor"/>
          <w:rtl w:val="true"/>
        </w:rPr>
        <w:footnoteReference w:id="3034"/>
      </w:r>
      <w:r>
        <w:rPr>
          <w:rFonts w:ascii="Amiri" w:hAnsi="Amiri" w:eastAsia="Amiri" w:cs="Amiri"/>
          <w:color w:val="111111"/>
          <w:sz w:val="28"/>
          <w:sz w:val="28"/>
          <w:szCs w:val="28"/>
          <w:rtl w:val="true"/>
          <w:lang w:bidi="ar-SA"/>
        </w:rPr>
        <w:t xml:space="preserve">يَكونَ بأمرِ اللّٰهِ تَعالىٰ ؛ لأنّ ذلكَ يوجِبُ عليكم أن يَكونَ اللّٰهُ تَعالىٰ هو الذي يَنُصُّ علىٰ أُمَراءِ الإمامِ و حُكّامِه و قُضاتِه و جميعِ خُلَفائه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استمرارُها إلىٰ بَعدِ الوفاةِ إنّما وَجَبَ أيضاً مِن حَيثُ ثَبَتَت</w:t>
      </w:r>
      <w:r>
        <w:rPr>
          <w:rStyle w:val="FootnoteAnchor"/>
          <w:rtl w:val="true"/>
        </w:rPr>
        <w:footnoteReference w:id="3035"/>
      </w:r>
      <w:r>
        <w:rPr>
          <w:rFonts w:ascii="Amiri" w:hAnsi="Amiri" w:eastAsia="Amiri" w:cs="Amiri"/>
          <w:color w:val="111111"/>
          <w:sz w:val="28"/>
          <w:sz w:val="28"/>
          <w:szCs w:val="28"/>
          <w:rtl w:val="true"/>
          <w:lang w:bidi="ar-SA"/>
        </w:rPr>
        <w:t>له في الحياةِ ، و لَم يَجُز له صَرفُه عنها، فهو عائدٌ في المعنىٰ إلىٰ أمرٍ غيرِ واجبٍ ، بَل تابعٍ للاختيارِ؛ فيَجِبُ أن تَقولوا</w:t>
      </w:r>
      <w:r>
        <w:rPr>
          <w:rStyle w:val="FootnoteAnchor"/>
          <w:rtl w:val="true"/>
        </w:rPr>
        <w:footnoteReference w:id="3036"/>
      </w:r>
      <w:r>
        <w:rPr>
          <w:rFonts w:ascii="Amiri" w:hAnsi="Amiri" w:eastAsia="Amiri" w:cs="Amiri"/>
          <w:color w:val="111111"/>
          <w:sz w:val="28"/>
          <w:sz w:val="28"/>
          <w:szCs w:val="28"/>
          <w:rtl w:val="true"/>
          <w:lang w:bidi="ar-SA"/>
        </w:rPr>
        <w:t>في إمامةِ أميرِ المؤمنينَ عليه السلامُ بَعدَ الرسولِ صَلَّى اللّٰهُ عليه و آلِه مِثلَ ذلكَ ، و تَجعَلوها</w:t>
      </w:r>
      <w:r>
        <w:rPr>
          <w:rStyle w:val="FootnoteAnchor"/>
          <w:rtl w:val="true"/>
        </w:rPr>
        <w:footnoteReference w:id="3037"/>
      </w:r>
      <w:r>
        <w:rPr>
          <w:rFonts w:ascii="Amiri" w:hAnsi="Amiri" w:eastAsia="Amiri" w:cs="Amiri"/>
          <w:color w:val="111111"/>
          <w:sz w:val="28"/>
          <w:sz w:val="28"/>
          <w:szCs w:val="28"/>
          <w:rtl w:val="true"/>
          <w:lang w:bidi="ar-SA"/>
        </w:rPr>
        <w:t xml:space="preserve">راجعةً إلَى </w:t>
      </w:r>
      <w:bookmarkStart w:id="538" w:name="pg20017_202699"/>
    </w:p>
    <w:p>
      <w:pPr>
        <w:pStyle w:val="BookText"/>
        <w:rPr/>
      </w:pPr>
      <w:bookmarkEnd w:id="538"/>
      <w:r>
        <w:rPr>
          <w:rFonts w:ascii="Amiri" w:hAnsi="Amiri" w:eastAsia="Amiri" w:cs="Amiri"/>
          <w:color w:val="111111"/>
          <w:sz w:val="28"/>
          <w:sz w:val="28"/>
          <w:szCs w:val="28"/>
          <w:rtl w:val="true"/>
          <w:lang w:bidi="ar-SA"/>
        </w:rPr>
        <w:t xml:space="preserve">اختيارِ الرسولِ ؛ لأنّها مُشَبَّهةٌ </w:t>
      </w:r>
      <w:r>
        <w:rPr>
          <w:rStyle w:val="FootnoteAnchor"/>
          <w:rtl w:val="true"/>
        </w:rPr>
        <w:footnoteReference w:id="3038"/>
      </w:r>
      <w:r>
        <w:rPr>
          <w:rFonts w:ascii="Amiri" w:hAnsi="Amiri" w:eastAsia="Amiri" w:cs="Amiri"/>
          <w:color w:val="111111"/>
          <w:sz w:val="28"/>
          <w:sz w:val="28"/>
          <w:szCs w:val="28"/>
          <w:rtl w:val="true"/>
          <w:lang w:bidi="ar-SA"/>
        </w:rPr>
        <w:t xml:space="preserve">بها و محمولةٌ عليها، و مَذهبُكم يُخالِفُ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بيّنّا فيما تَقدَّمَ أنّه لا مُعتَبَرَ</w:t>
      </w:r>
      <w:r>
        <w:rPr>
          <w:rStyle w:val="FootnoteAnchor"/>
          <w:rtl w:val="true"/>
        </w:rPr>
        <w:footnoteReference w:id="3039"/>
      </w:r>
      <w:r>
        <w:rPr>
          <w:rFonts w:ascii="Amiri" w:hAnsi="Amiri" w:eastAsia="Amiri" w:cs="Amiri"/>
          <w:color w:val="111111"/>
          <w:sz w:val="28"/>
          <w:sz w:val="28"/>
          <w:szCs w:val="28"/>
          <w:rtl w:val="true"/>
          <w:lang w:bidi="ar-SA"/>
        </w:rPr>
        <w:t>في بابِ حَملِ مَنازِلِه عليه السلامُ علىٰ مَنازِلِ هارونَ مِن موسىٰ بالأسبابِ و العِلَلِ و الجِهاتِ‌، و أنّ التشبيهَ وَقَعَ بَينَ المَنازِلِ و ثُبوتِها</w:t>
      </w:r>
      <w:r>
        <w:rPr>
          <w:rStyle w:val="FootnoteAnchor"/>
          <w:rtl w:val="true"/>
        </w:rPr>
        <w:footnoteReference w:id="3040"/>
      </w:r>
      <w:r>
        <w:rPr>
          <w:rFonts w:ascii="Amiri" w:hAnsi="Amiri" w:eastAsia="Amiri" w:cs="Amiri"/>
          <w:color w:val="111111"/>
          <w:sz w:val="28"/>
          <w:sz w:val="28"/>
          <w:szCs w:val="28"/>
          <w:rtl w:val="true"/>
          <w:lang w:bidi="ar-SA"/>
        </w:rPr>
        <w:t>، لا بَينَ جِهاتِها، و أشبَعنا القولَ في ذلكَ؟</w:t>
      </w:r>
      <w:r>
        <w:rPr>
          <w:rStyle w:val="FootnoteAnchor"/>
          <w:rtl w:val="true"/>
        </w:rPr>
        <w:footnoteReference w:id="3041"/>
      </w:r>
      <w:r>
        <w:rPr>
          <w:rFonts w:ascii="Amiri" w:hAnsi="Amiri" w:eastAsia="Amiri" w:cs="Amiri"/>
          <w:color w:val="111111"/>
          <w:sz w:val="28"/>
          <w:sz w:val="28"/>
          <w:szCs w:val="28"/>
          <w:rtl w:val="true"/>
          <w:lang w:bidi="ar-SA"/>
        </w:rPr>
        <w:t>فكَيفَ يَلزَمُنا ما ظَنَنتَه‌؟</w:t>
      </w:r>
    </w:p>
    <w:p>
      <w:pPr>
        <w:pStyle w:val="BookText"/>
        <w:rPr/>
      </w:pPr>
      <w:r>
        <w:rPr>
          <w:rFonts w:ascii="Amiri" w:hAnsi="Amiri" w:eastAsia="Amiri" w:cs="Amiri"/>
          <w:color w:val="111111"/>
          <w:sz w:val="28"/>
          <w:sz w:val="28"/>
          <w:szCs w:val="28"/>
          <w:rtl w:val="true"/>
          <w:lang w:bidi="ar-SA"/>
        </w:rPr>
        <w:t>و إنّما جازَ أن يَكونَ استخلافُ النبيِّ صَلَّى اللّٰهُ عليه و آلِه في حياتِه مَوقوفاً علَى اختيارِه، و استخلافُه بَعدَ وفاتِه بنَصٍّ مِن اللّٰهِ تَعالىٰ‌؛ لأنّ خَليفتَه في حياتِه لا يَجِبُ</w:t>
      </w:r>
    </w:p>
    <w:p>
      <w:pPr>
        <w:pStyle w:val="BookText"/>
        <w:rPr/>
      </w:pPr>
      <w:r>
        <w:rPr>
          <w:rFonts w:ascii="Amiri" w:hAnsi="Amiri" w:eastAsia="Amiri" w:cs="Amiri"/>
          <w:color w:val="111111"/>
          <w:sz w:val="28"/>
          <w:sz w:val="28"/>
          <w:szCs w:val="28"/>
          <w:rtl w:val="true"/>
          <w:lang w:bidi="ar-SA"/>
        </w:rPr>
        <w:t>أن يَكونَ مَعصوماً و لا حُجَّةً ، و خَليفتَه بَعدَ مَوتِه</w:t>
      </w:r>
      <w:r>
        <w:rPr>
          <w:rStyle w:val="FootnoteAnchor"/>
          <w:rtl w:val="true"/>
        </w:rPr>
        <w:footnoteReference w:id="3042"/>
      </w:r>
      <w:r>
        <w:rPr>
          <w:rFonts w:ascii="Amiri" w:hAnsi="Amiri" w:eastAsia="Amiri" w:cs="Amiri"/>
          <w:color w:val="111111"/>
          <w:sz w:val="28"/>
          <w:sz w:val="28"/>
          <w:szCs w:val="28"/>
          <w:rtl w:val="true"/>
          <w:lang w:bidi="ar-SA"/>
        </w:rPr>
        <w:t xml:space="preserve">لا بُدَّ مِن كَونِه كذلكَ ؛ فالنصُّ عليه مِن اللّٰهِ تَعالىٰ واجبٌ </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964375_2320776876"/>
      <w:bookmarkStart w:id="540" w:name="_Toc191"/>
      <w:bookmarkEnd w:id="539"/>
      <w:r>
        <w:rPr>
          <w:rtl w:val="true"/>
        </w:rPr>
        <w:t>بيان عموم وصف الاستخلاف بأنّه منزلة، سواء كان الاستخلاف واجباً أو اختياريّاً</w:t>
      </w:r>
      <w:bookmarkEnd w:id="540"/>
    </w:p>
    <w:p>
      <w:pPr>
        <w:pStyle w:val="BookText"/>
        <w:rPr/>
      </w:pPr>
      <w:r>
        <w:rPr>
          <w:rFonts w:ascii="Amiri" w:hAnsi="Amiri" w:eastAsia="Amiri" w:cs="Amiri"/>
          <w:color w:val="111111"/>
          <w:sz w:val="28"/>
          <w:sz w:val="28"/>
          <w:szCs w:val="28"/>
          <w:rtl w:val="true"/>
          <w:lang w:bidi="ar-SA"/>
        </w:rPr>
        <w:t>فأمّا قولُ صاحبِ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الاستخلافَ إنّما يوصَفُ بأنّه مَنزِلةٌ متىٰ وَجَبَ لسببٍ‌</w:t>
      </w:r>
      <w:r>
        <w:rPr>
          <w:rStyle w:val="FootnoteAnchor"/>
          <w:rtl w:val="true"/>
        </w:rPr>
        <w:footnoteReference w:id="3043"/>
      </w:r>
      <w:r>
        <w:rPr>
          <w:rFonts w:ascii="Amiri" w:hAnsi="Amiri" w:eastAsia="Amiri" w:cs="Amiri"/>
          <w:color w:val="111111"/>
          <w:sz w:val="28"/>
          <w:sz w:val="28"/>
          <w:szCs w:val="28"/>
          <w:rtl w:val="true"/>
          <w:lang w:bidi="ar-SA"/>
        </w:rPr>
        <w:t xml:space="preserve">فأمّا إذا وَقَعَ بالاختيارِ علىٰ وجهٍ كانَ يَجوزُ أن لا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يَحصُلَ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مَنزِلةٌ‌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w:t>
      </w:r>
      <w:r>
        <w:rPr>
          <w:rStyle w:val="FootnoteAnchor"/>
          <w:rtl w:val="true"/>
        </w:rPr>
        <w:footnoteReference w:id="3044"/>
      </w:r>
      <w:r>
        <w:rPr>
          <w:rFonts w:ascii="Amiri" w:hAnsi="Amiri" w:eastAsia="Amiri" w:cs="Amiri"/>
          <w:color w:val="111111"/>
          <w:sz w:val="28"/>
          <w:sz w:val="28"/>
          <w:szCs w:val="28"/>
          <w:rtl w:val="true"/>
          <w:lang w:bidi="ar-SA"/>
        </w:rPr>
        <w:t>كَثيراً ما يَدَّعي في</w:t>
      </w:r>
      <w:r>
        <w:rPr>
          <w:rStyle w:val="FootnoteAnchor"/>
          <w:rtl w:val="true"/>
        </w:rPr>
        <w:footnoteReference w:id="3045"/>
      </w:r>
      <w:r>
        <w:rPr>
          <w:rFonts w:ascii="Amiri" w:hAnsi="Amiri" w:eastAsia="Amiri" w:cs="Amiri"/>
          <w:color w:val="111111"/>
          <w:sz w:val="28"/>
          <w:sz w:val="28"/>
          <w:szCs w:val="28"/>
          <w:rtl w:val="true"/>
          <w:lang w:bidi="ar-SA"/>
        </w:rPr>
        <w:t xml:space="preserve">هذه الطريقةِ بما لا يَزيدُ فيه علَى الدَّعوىٰ ، و يَتحجَّرُ في قَصرِها علىٰ أمرٍ واحدٍ مِن غيرِ دليلٍ و 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يُشبِهُ ما ذَكرَه مُتَقدِّماً </w:t>
      </w:r>
    </w:p>
    <w:p>
      <w:pPr>
        <w:pStyle w:val="BookText"/>
        <w:rPr/>
      </w:pPr>
      <w:r>
        <w:rPr>
          <w:rFonts w:ascii="Amiri" w:hAnsi="Amiri" w:eastAsia="Amiri" w:cs="Amiri"/>
          <w:color w:val="111111"/>
          <w:sz w:val="28"/>
          <w:sz w:val="28"/>
          <w:szCs w:val="28"/>
          <w:rtl w:val="true"/>
          <w:lang w:bidi="ar-SA"/>
        </w:rPr>
        <w:t>مِن أنّ المَنزِلةَ لا تُستَعمَلُ إلّابمعنَى المَحَلِّ و المَوقِعِ‌</w:t>
      </w:r>
      <w:r>
        <w:rPr>
          <w:rStyle w:val="FootnoteAnchor"/>
          <w:rtl w:val="true"/>
        </w:rPr>
        <w:footnoteReference w:id="3046"/>
      </w:r>
      <w:r>
        <w:rPr>
          <w:rFonts w:ascii="Amiri" w:hAnsi="Amiri" w:eastAsia="Amiri" w:cs="Amiri"/>
          <w:color w:val="111111"/>
          <w:sz w:val="28"/>
          <w:sz w:val="28"/>
          <w:szCs w:val="28"/>
          <w:rtl w:val="true"/>
          <w:lang w:bidi="ar-SA"/>
        </w:rPr>
        <w:t>مِن القَلبِ‌، دونَ ما يَرجِعُ إلَى الوِلاياتِ‌</w:t>
      </w:r>
      <w:r>
        <w:rPr>
          <w:rFonts w:eastAsia="Amiri" w:cs="Amiri" w:ascii="Amiri" w:hAnsi="Amiri"/>
          <w:color w:val="111111"/>
          <w:sz w:val="28"/>
          <w:szCs w:val="28"/>
          <w:rtl w:val="true"/>
          <w:lang w:bidi="ar-SA"/>
        </w:rPr>
        <w:t>.</w:t>
      </w:r>
      <w:r>
        <w:rPr>
          <w:rStyle w:val="FootnoteAnchor"/>
          <w:rtl w:val="true"/>
        </w:rPr>
        <w:footnoteReference w:id="3047"/>
      </w:r>
    </w:p>
    <w:p>
      <w:pPr>
        <w:pStyle w:val="BookText"/>
        <w:rPr/>
      </w:pPr>
      <w:r>
        <w:rPr>
          <w:rFonts w:ascii="Amiri" w:hAnsi="Amiri" w:eastAsia="Amiri" w:cs="Amiri"/>
          <w:color w:val="111111"/>
          <w:sz w:val="28"/>
          <w:sz w:val="28"/>
          <w:szCs w:val="28"/>
          <w:rtl w:val="true"/>
          <w:lang w:bidi="ar-SA"/>
        </w:rPr>
        <w:t>و قد بيّنّا بُطلانَ ما ظَنَّه</w:t>
      </w:r>
      <w:r>
        <w:rPr>
          <w:rStyle w:val="FootnoteAnchor"/>
          <w:rtl w:val="true"/>
        </w:rPr>
        <w:footnoteReference w:id="3048"/>
      </w:r>
      <w:r>
        <w:rPr>
          <w:rFonts w:ascii="Amiri" w:hAnsi="Amiri" w:eastAsia="Amiri" w:cs="Amiri"/>
          <w:color w:val="111111"/>
          <w:sz w:val="28"/>
          <w:sz w:val="28"/>
          <w:szCs w:val="28"/>
          <w:rtl w:val="true"/>
          <w:lang w:bidi="ar-SA"/>
        </w:rPr>
        <w:t>بما يُبيّنُ‌</w:t>
      </w:r>
      <w:r>
        <w:rPr>
          <w:rStyle w:val="FootnoteAnchor"/>
          <w:rtl w:val="true"/>
        </w:rPr>
        <w:footnoteReference w:id="3049"/>
      </w:r>
      <w:r>
        <w:rPr>
          <w:rFonts w:ascii="Amiri" w:hAnsi="Amiri" w:eastAsia="Amiri" w:cs="Amiri"/>
          <w:color w:val="111111"/>
          <w:sz w:val="28"/>
          <w:sz w:val="28"/>
          <w:szCs w:val="28"/>
          <w:rtl w:val="true"/>
          <w:lang w:bidi="ar-SA"/>
        </w:rPr>
        <w:t>أيضاً بُطلانَ دَعواه هذه؛ لأنّه 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بمَنزِلةِ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أنزَلتُ زَيداً مَنزِلةَ‌</w:t>
      </w:r>
      <w:r>
        <w:rPr>
          <w:rStyle w:val="FootnoteAnchor"/>
          <w:rtl w:val="true"/>
        </w:rPr>
        <w:footnoteReference w:id="3050"/>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و الوِلاياتِ التي لَيسَت بواجبةٍ‌، كنَحوِ الوَكالةِ‌، و الوَصيّةِ‌، و التفضُّلِ بالعَطيّةِ‌، و غيرِ ذلكَ ممّا لا سببَ يوجِبُه؛ فكَيفَ يَدَّعي</w:t>
      </w:r>
      <w:r>
        <w:rPr>
          <w:rStyle w:val="FootnoteAnchor"/>
          <w:rtl w:val="true"/>
        </w:rPr>
        <w:footnoteReference w:id="3051"/>
      </w:r>
      <w:r>
        <w:rPr>
          <w:rFonts w:ascii="Amiri" w:hAnsi="Amiri" w:eastAsia="Amiri" w:cs="Amiri"/>
          <w:color w:val="111111"/>
          <w:sz w:val="28"/>
          <w:sz w:val="28"/>
          <w:szCs w:val="28"/>
          <w:rtl w:val="true"/>
          <w:lang w:bidi="ar-SA"/>
        </w:rPr>
        <w:t>أنّ اللفظَ يَختَصُّ بما له سببُ وجوبٍ ، و العُرفُ يَشهَدُ باستعمالِها في الكُلِّ؟</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فيما قد أورَدناه كفايةٌ في فَسادِ جميعِ ما تَعلَّقَ به في هذا البابِ </w:t>
      </w:r>
      <w:r>
        <w:rPr>
          <w:rFonts w:eastAsia="Amiri" w:cs="Amiri" w:ascii="Amiri" w:hAnsi="Amiri"/>
          <w:color w:val="111111"/>
          <w:sz w:val="28"/>
          <w:szCs w:val="28"/>
          <w:rtl w:val="true"/>
          <w:lang w:bidi="ar-SA"/>
        </w:rPr>
        <w:t xml:space="preserve">. </w:t>
      </w:r>
      <w:bookmarkStart w:id="541" w:name="pg20017_202701"/>
    </w:p>
    <w:p>
      <w:pPr>
        <w:pStyle w:val="Heading4"/>
        <w:numPr>
          <w:ilvl w:val="3"/>
          <w:numId w:val="1"/>
        </w:numPr>
        <w:rPr/>
      </w:pPr>
      <w:bookmarkStart w:id="542" w:name="__RefHeading___Toc964377_2320776876"/>
      <w:bookmarkStart w:id="543" w:name="_Toc192"/>
      <w:bookmarkEnd w:id="541"/>
      <w:bookmarkEnd w:id="542"/>
      <w:r>
        <w:rPr>
          <w:rtl w:val="true"/>
        </w:rPr>
        <w:t>الدليل العاشر استخلافُ الرسولِ صلى الله عليه و آله عليّاً عليه السلام علَى المَدينةِ</w:t>
      </w:r>
      <w:bookmarkEnd w:id="543"/>
    </w:p>
    <w:p>
      <w:pPr>
        <w:pStyle w:val="Heading5"/>
        <w:numPr>
          <w:ilvl w:val="4"/>
          <w:numId w:val="1"/>
        </w:numPr>
        <w:rPr/>
      </w:pPr>
      <w:bookmarkStart w:id="544" w:name="__RefHeading___Toc964379_2320776876"/>
      <w:bookmarkStart w:id="545" w:name="_Toc193"/>
      <w:bookmarkEnd w:id="544"/>
      <w:r>
        <w:rPr>
          <w:rtl w:val="true"/>
        </w:rPr>
        <w:t>اشارة</w:t>
      </w:r>
      <w:bookmarkEnd w:id="545"/>
    </w:p>
    <w:p>
      <w:pPr>
        <w:pStyle w:val="BookText"/>
        <w:rPr/>
      </w:pPr>
      <w:r>
        <w:rPr>
          <w:rFonts w:ascii="Amiri" w:hAnsi="Amiri" w:eastAsia="Amiri" w:cs="Amiri"/>
          <w:color w:val="111111"/>
          <w:sz w:val="28"/>
          <w:sz w:val="28"/>
          <w:szCs w:val="28"/>
          <w:rtl w:val="true"/>
          <w:lang w:bidi="ar-SA"/>
        </w:rPr>
        <w:t xml:space="preserve">الدليل العاشر استخلافُ الرسولِ صلى الله عليه و آله عليّاً عليه السلام علَى المَدينةِ </w:t>
      </w:r>
      <w:r>
        <w:rPr>
          <w:rStyle w:val="FootnoteAnchor"/>
          <w:rtl w:val="true"/>
        </w:rPr>
        <w:footnoteReference w:id="3052"/>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لهم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استَدَلّوا باستخلافِه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إيّاه</w:t>
      </w:r>
      <w:r>
        <w:rPr>
          <w:rFonts w:eastAsia="Amiri" w:cs="Amiri" w:ascii="Amiri" w:hAnsi="Amiri"/>
          <w:color w:val="111111"/>
          <w:sz w:val="28"/>
          <w:szCs w:val="28"/>
          <w:rtl w:val="true"/>
          <w:lang w:bidi="ar-SA"/>
        </w:rPr>
        <w:t>]</w:t>
      </w:r>
      <w:r>
        <w:rPr>
          <w:rStyle w:val="FootnoteAnchor"/>
          <w:rtl w:val="true"/>
        </w:rPr>
        <w:footnoteReference w:id="3053"/>
      </w:r>
      <w:r>
        <w:rPr>
          <w:rFonts w:ascii="Amiri" w:hAnsi="Amiri" w:eastAsia="Amiri" w:cs="Amiri"/>
          <w:color w:val="111111"/>
          <w:sz w:val="28"/>
          <w:sz w:val="28"/>
          <w:szCs w:val="28"/>
          <w:rtl w:val="true"/>
          <w:lang w:bidi="ar-SA"/>
        </w:rPr>
        <w:t>بَعدَ الغَيبةِ‌</w:t>
      </w:r>
      <w:r>
        <w:rPr>
          <w:rStyle w:val="FootnoteAnchor"/>
          <w:rtl w:val="true"/>
        </w:rPr>
        <w:footnoteReference w:id="3054"/>
      </w:r>
      <w:r>
        <w:rPr>
          <w:rFonts w:ascii="Amiri" w:hAnsi="Amiri" w:eastAsia="Amiri" w:cs="Amiri"/>
          <w:color w:val="111111"/>
          <w:sz w:val="28"/>
          <w:sz w:val="28"/>
          <w:szCs w:val="28"/>
          <w:rtl w:val="true"/>
          <w:lang w:bidi="ar-SA"/>
        </w:rPr>
        <w:t>علَى المَدينةِ و نَصِّه علىٰ مَن يَخلُفُه</w:t>
      </w:r>
      <w:r>
        <w:rPr>
          <w:rStyle w:val="FootnoteAnchor"/>
          <w:rtl w:val="true"/>
        </w:rPr>
        <w:footnoteReference w:id="3055"/>
      </w:r>
      <w:r>
        <w:rPr>
          <w:rFonts w:ascii="Amiri" w:hAnsi="Amiri" w:eastAsia="Amiri" w:cs="Amiri"/>
          <w:color w:val="111111"/>
          <w:sz w:val="28"/>
          <w:sz w:val="28"/>
          <w:szCs w:val="28"/>
          <w:rtl w:val="true"/>
          <w:lang w:bidi="ar-SA"/>
        </w:rPr>
        <w:t>، علىٰ وجوبِ الاستخلافِ و النصِّ بَعدَ المَوتِ‌؛ لأنّ المَوتَ أقوىٰ في ذلكَ مِن الغَيبةِ‌، و لأنّ الغرضَ طلبُ الصلاحِ‌، و المَوتُ بذلكَ أَولىٰ مِن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إنّما كانَ يَجِبُ لَو</w:t>
      </w:r>
      <w:r>
        <w:rPr>
          <w:rStyle w:val="FootnoteAnchor"/>
          <w:rtl w:val="true"/>
        </w:rPr>
        <w:footnoteReference w:id="3056"/>
      </w:r>
      <w:r>
        <w:rPr>
          <w:rFonts w:ascii="Amiri" w:hAnsi="Amiri" w:eastAsia="Amiri" w:cs="Amiri"/>
          <w:color w:val="111111"/>
          <w:sz w:val="28"/>
          <w:sz w:val="28"/>
          <w:szCs w:val="28"/>
          <w:rtl w:val="true"/>
          <w:lang w:bidi="ar-SA"/>
        </w:rPr>
        <w:t>ثَبَتَ لهُم أنّه عليه السلامُ استَخلَفَ ، و كانَ لا بُدَّ مِن</w:t>
      </w:r>
      <w:r>
        <w:rPr>
          <w:rStyle w:val="FootnoteAnchor"/>
          <w:rtl w:val="true"/>
        </w:rPr>
        <w:footnoteReference w:id="3057"/>
      </w:r>
      <w:r>
        <w:rPr>
          <w:rFonts w:ascii="Amiri" w:hAnsi="Amiri" w:eastAsia="Amiri" w:cs="Amiri"/>
          <w:color w:val="111111"/>
          <w:sz w:val="28"/>
          <w:sz w:val="28"/>
          <w:szCs w:val="28"/>
          <w:rtl w:val="true"/>
          <w:lang w:bidi="ar-SA"/>
        </w:rPr>
        <w:t xml:space="preserve">أن يَستَخلِفَ ، فيُقاسُ حالُ المَوتِ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قُلنا</w:t>
      </w:r>
      <w:r>
        <w:rPr>
          <w:rFonts w:eastAsia="Amiri" w:cs="Amiri" w:ascii="Amiri" w:hAnsi="Amiri"/>
          <w:color w:val="111111"/>
          <w:sz w:val="28"/>
          <w:szCs w:val="28"/>
          <w:rtl w:val="true"/>
          <w:lang w:bidi="ar-SA"/>
        </w:rPr>
        <w:t xml:space="preserve">: </w:t>
      </w:r>
      <w:bookmarkStart w:id="546" w:name="pg20017_202702"/>
    </w:p>
    <w:p>
      <w:pPr>
        <w:pStyle w:val="BookText"/>
        <w:rPr/>
      </w:pPr>
      <w:bookmarkEnd w:id="546"/>
      <w:r>
        <w:rPr>
          <w:rFonts w:ascii="Amiri" w:hAnsi="Amiri" w:eastAsia="Amiri" w:cs="Amiri"/>
          <w:color w:val="111111"/>
          <w:sz w:val="28"/>
          <w:sz w:val="28"/>
          <w:szCs w:val="28"/>
          <w:rtl w:val="true"/>
          <w:lang w:bidi="ar-SA"/>
        </w:rPr>
        <w:t>إنّه كانَ يَجوزُ أن لا يَستَخلِفَ‌، و إنّما استَخلَفَ‌</w:t>
      </w:r>
      <w:r>
        <w:rPr>
          <w:rStyle w:val="FootnoteAnchor"/>
          <w:rtl w:val="true"/>
        </w:rPr>
        <w:footnoteReference w:id="3058"/>
      </w:r>
      <w:r>
        <w:rPr>
          <w:rFonts w:ascii="Amiri" w:hAnsi="Amiri" w:eastAsia="Amiri" w:cs="Amiri"/>
          <w:color w:val="111111"/>
          <w:sz w:val="28"/>
          <w:sz w:val="28"/>
          <w:szCs w:val="28"/>
          <w:rtl w:val="true"/>
          <w:lang w:bidi="ar-SA"/>
        </w:rPr>
        <w:t>باختيارِه، و</w:t>
      </w:r>
      <w:r>
        <w:rPr>
          <w:rStyle w:val="FootnoteAnchor"/>
          <w:rtl w:val="true"/>
        </w:rPr>
        <w:footnoteReference w:id="3059"/>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وجهِ الاستظهارِ، لا علىٰ وجهِ الوجوبِ‌؛ فيَجوزُ</w:t>
      </w:r>
      <w:r>
        <w:rPr>
          <w:rStyle w:val="FootnoteAnchor"/>
          <w:rtl w:val="true"/>
        </w:rPr>
        <w:footnoteReference w:id="3060"/>
      </w:r>
      <w:r>
        <w:rPr>
          <w:rFonts w:ascii="Amiri" w:hAnsi="Amiri" w:eastAsia="Amiri" w:cs="Amiri"/>
          <w:color w:val="111111"/>
          <w:sz w:val="28"/>
          <w:sz w:val="28"/>
          <w:szCs w:val="28"/>
          <w:rtl w:val="true"/>
          <w:lang w:bidi="ar-SA"/>
        </w:rPr>
        <w:t>أن يَكونَ المَوتُ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ذلكَ إنّما يَدُلُّ علىٰ أنّ الإمامَ عندَ الغَيبةِ يَجِبُ أن يَستخلِفَ‌؛ فمِن أينَ أنّه لا بُدَّ مِن إمامٍ بَعدَ المَوتِ؟</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المَوتَ أَوكَدُ مِن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Style w:val="FootnoteAnchor"/>
          <w:rtl w:val="true"/>
        </w:rPr>
        <w:footnoteReference w:id="3061"/>
      </w:r>
      <w:r>
        <w:rPr>
          <w:rFonts w:ascii="Amiri" w:hAnsi="Amiri" w:eastAsia="Amiri" w:cs="Amiri"/>
          <w:color w:val="111111"/>
          <w:sz w:val="28"/>
          <w:sz w:val="28"/>
          <w:szCs w:val="28"/>
          <w:rtl w:val="true"/>
          <w:lang w:bidi="ar-SA"/>
        </w:rPr>
        <w:t>لَو ثَبَتَ أنّه استَخلَفَ في حالِ الغَيبةِ مِن حيثُ لَم يَكُن مُقيماً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لَم يَثبُتْ ذلكَ ، فمِن أينَ أنّ المَوتَ أَوكَدُ في ذلكَ ، و قد كانَ يَجوزُ مِن جِهةِ المَصلَحةِ أن يُفارِقَ أحَدُهما الآخَرَ؟</w:t>
      </w:r>
      <w:r>
        <w:rPr>
          <w:rStyle w:val="FootnoteAnchor"/>
          <w:rtl w:val="true"/>
        </w:rPr>
        <w:footnoteReference w:id="3062"/>
      </w:r>
    </w:p>
    <w:p>
      <w:pPr>
        <w:pStyle w:val="Heading5"/>
        <w:numPr>
          <w:ilvl w:val="4"/>
          <w:numId w:val="1"/>
        </w:numPr>
        <w:rPr/>
      </w:pPr>
      <w:bookmarkStart w:id="547" w:name="__RefHeading___Toc964381_2320776876"/>
      <w:bookmarkStart w:id="548" w:name="_Toc194"/>
      <w:bookmarkEnd w:id="547"/>
      <w:r>
        <w:rPr>
          <w:rtl w:val="true"/>
        </w:rPr>
        <w:t>نفي دلالة الاستخلاف على المدينة، على النصّ علىٰ أمير المؤمنين عليه السلام</w:t>
      </w:r>
      <w:bookmarkEnd w:id="54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العَجَبِ إيرادُك ما حَكَيتَه علىٰ أنّه استدلالٌ لنا علَى النَّصِّ علىٰ أميرِ المؤمنينَ عليه السلامُ بعَينِه، و إدخالُكَ ذلكَ في جُملةِ الأدِلّةِ التي نَعتَمِدُها في هذا البابِ‌، و ما نَظُنُّ أنّ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مَعَنا بعضَ حُسنِ الظنِّ‌</w:t>
      </w:r>
      <w:r>
        <w:rPr>
          <w:rStyle w:val="FootnoteAnchor"/>
          <w:rtl w:val="true"/>
        </w:rPr>
        <w:footnoteReference w:id="3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يَتَّهِمُنا بمِثلِ هذا، و يَظُنُّ أنّا نَستَدِلُّ‌</w:t>
      </w:r>
      <w:r>
        <w:rPr>
          <w:rStyle w:val="FootnoteAnchor"/>
          <w:rtl w:val="true"/>
        </w:rPr>
        <w:footnoteReference w:id="3064"/>
      </w:r>
      <w:r>
        <w:rPr>
          <w:rFonts w:ascii="Amiri" w:hAnsi="Amiri" w:eastAsia="Amiri" w:cs="Amiri"/>
          <w:color w:val="111111"/>
          <w:sz w:val="28"/>
          <w:sz w:val="28"/>
          <w:szCs w:val="28"/>
          <w:rtl w:val="true"/>
          <w:lang w:bidi="ar-SA"/>
        </w:rPr>
        <w:t xml:space="preserve">علَى الشيءِ بما لا تَعلُّقَ له به علىٰ وجهٍ </w:t>
      </w:r>
      <w:r>
        <w:rPr>
          <w:rFonts w:eastAsia="Amiri" w:cs="Amiri" w:ascii="Amiri" w:hAnsi="Amiri"/>
          <w:color w:val="111111"/>
          <w:sz w:val="28"/>
          <w:szCs w:val="28"/>
          <w:rtl w:val="true"/>
          <w:lang w:bidi="ar-SA"/>
        </w:rPr>
        <w:t xml:space="preserve">! </w:t>
      </w:r>
      <w:bookmarkStart w:id="549" w:name="pg20017_202703"/>
    </w:p>
    <w:p>
      <w:pPr>
        <w:pStyle w:val="BookText"/>
        <w:rPr/>
      </w:pPr>
      <w:bookmarkEnd w:id="549"/>
      <w:r>
        <w:rPr>
          <w:rFonts w:ascii="Amiri" w:hAnsi="Amiri" w:eastAsia="Amiri" w:cs="Amiri"/>
          <w:color w:val="111111"/>
          <w:sz w:val="28"/>
          <w:sz w:val="28"/>
          <w:szCs w:val="28"/>
          <w:rtl w:val="true"/>
          <w:lang w:bidi="ar-SA"/>
        </w:rPr>
        <w:t>و ما نَشُكُّ في أن لَيسَ‌</w:t>
      </w:r>
      <w:r>
        <w:rPr>
          <w:rStyle w:val="FootnoteAnchor"/>
          <w:rtl w:val="true"/>
        </w:rPr>
        <w:footnoteReference w:id="3065"/>
      </w:r>
      <w:r>
        <w:rPr>
          <w:rFonts w:ascii="Amiri" w:hAnsi="Amiri" w:eastAsia="Amiri" w:cs="Amiri"/>
          <w:color w:val="111111"/>
          <w:sz w:val="28"/>
          <w:sz w:val="28"/>
          <w:szCs w:val="28"/>
          <w:rtl w:val="true"/>
          <w:lang w:bidi="ar-SA"/>
        </w:rPr>
        <w:t>سببُ إيرادِك هذا</w:t>
      </w:r>
      <w:r>
        <w:rPr>
          <w:rStyle w:val="FootnoteAnchor"/>
          <w:rtl w:val="true"/>
        </w:rPr>
        <w:footnoteReference w:id="3066"/>
      </w:r>
      <w:r>
        <w:rPr>
          <w:rFonts w:ascii="Amiri" w:hAnsi="Amiri" w:eastAsia="Amiri" w:cs="Amiri"/>
          <w:color w:val="111111"/>
          <w:sz w:val="28"/>
          <w:sz w:val="28"/>
          <w:szCs w:val="28"/>
          <w:rtl w:val="true"/>
          <w:lang w:bidi="ar-SA"/>
        </w:rPr>
        <w:t>إلّالأنْ تَقولَ ما قُلتَه في آخِرِ كلامِكَ‌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 تَعلُّقٍ لذلكَ بالنَّصِّ علىٰ فُلانٍ‌، و لَيسَ ذلكَ بأن يَدُلَّ علَى النَّصِّ علىٰ واحدٍ بأَولىٰ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Style w:val="FootnoteAnchor"/>
          <w:rtl w:val="true"/>
        </w:rPr>
        <w:footnoteReference w:id="3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w:t>
      </w:r>
      <w:r>
        <w:rPr>
          <w:rStyle w:val="FootnoteAnchor"/>
          <w:rtl w:val="true"/>
        </w:rPr>
        <w:footnoteReference w:id="3068"/>
      </w:r>
      <w:r>
        <w:rPr>
          <w:rFonts w:ascii="Amiri" w:hAnsi="Amiri" w:eastAsia="Amiri" w:cs="Amiri"/>
          <w:color w:val="111111"/>
          <w:sz w:val="28"/>
          <w:sz w:val="28"/>
          <w:szCs w:val="28"/>
          <w:rtl w:val="true"/>
          <w:lang w:bidi="ar-SA"/>
        </w:rPr>
        <w:t>، مع قولِكَ في أوّلِ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استَدَلّوا بكَذا و كَذا علىٰ وجوبِ الاستخلافِ 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يَقتَضي أن لا تَقولَ ما قُلتَه في آخِرِ الفَصلِ‌؛ لأنّك لَم تَحكِ عنّا الاستدلالَ‌</w:t>
      </w:r>
      <w:r>
        <w:rPr>
          <w:rStyle w:val="FootnoteAnchor"/>
          <w:rtl w:val="true"/>
        </w:rPr>
        <w:footnoteReference w:id="3069"/>
      </w:r>
      <w:r>
        <w:rPr>
          <w:rFonts w:ascii="Amiri" w:hAnsi="Amiri" w:eastAsia="Amiri" w:cs="Amiri"/>
          <w:color w:val="111111"/>
          <w:sz w:val="28"/>
          <w:sz w:val="28"/>
          <w:szCs w:val="28"/>
          <w:rtl w:val="true"/>
          <w:lang w:bidi="ar-SA"/>
        </w:rPr>
        <w:t>علىٰ منصوصٍ عليه مُعيَّنٍ‌، فتَعجَبَ مِن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معنىٰ لإيرادِكَ هذه الطريقةَ في هذا المَوضِعِ‌؛ لأنّها إن حُكِيَت علىٰ أنّها طَريقةٌ في وجوبِ النَّصِّ علَى الجُملةِ ، فلَيسَ هذا مَوضِعَه، و لا هو في حِكايةِ الأدِلّةِ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حُكِيَت علىٰ أنّها طَريقةٌ في النصِّ </w:t>
      </w:r>
      <w:r>
        <w:rPr>
          <w:rStyle w:val="FootnoteAnchor"/>
          <w:rtl w:val="true"/>
        </w:rPr>
        <w:footnoteReference w:id="3070"/>
      </w:r>
      <w:r>
        <w:rPr>
          <w:rFonts w:ascii="Amiri" w:hAnsi="Amiri" w:eastAsia="Amiri" w:cs="Amiri"/>
          <w:color w:val="111111"/>
          <w:sz w:val="28"/>
          <w:sz w:val="28"/>
          <w:szCs w:val="28"/>
          <w:rtl w:val="true"/>
          <w:lang w:bidi="ar-SA"/>
        </w:rPr>
        <w:t xml:space="preserve">علىٰ إنسانٍ بعَينِه، فلا أحَدَ يَستَدِلُّ بها علىٰ ذلكَ ، و نَفسُ ترتيبِه لها و حِكايتِه تَدُلُّ علىٰ خِلافِ هذا المعنىٰ </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964383_2320776876"/>
      <w:bookmarkStart w:id="551" w:name="_Toc195"/>
      <w:bookmarkEnd w:id="550"/>
      <w:r>
        <w:rPr>
          <w:rtl w:val="true"/>
        </w:rPr>
        <w:t>دلالة استخلاف الرسول صلى الله عليه و آله في حال غيبته في حياته، علىٰ وجوب النصّ بعد وفاته</w:t>
      </w:r>
      <w:bookmarkEnd w:id="55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بعضُ أصحابِنا بهذه الطريقةِ علىٰ وجوبِ النَّصِّ‌</w:t>
      </w:r>
      <w:r>
        <w:rPr>
          <w:rStyle w:val="FootnoteAnchor"/>
          <w:rtl w:val="true"/>
        </w:rPr>
        <w:footnoteReference w:id="3071"/>
      </w:r>
      <w:r>
        <w:rPr>
          <w:rFonts w:ascii="Amiri" w:hAnsi="Amiri" w:eastAsia="Amiri" w:cs="Amiri"/>
          <w:color w:val="111111"/>
          <w:sz w:val="28"/>
          <w:sz w:val="28"/>
          <w:szCs w:val="28"/>
          <w:rtl w:val="true"/>
          <w:lang w:bidi="ar-SA"/>
        </w:rPr>
        <w:t xml:space="preserve">بَعدَ الوفاةِ ، و هي طَريقةٌ قَريبةٌ </w:t>
      </w:r>
      <w:r>
        <w:rPr>
          <w:rStyle w:val="FootnoteAnchor"/>
          <w:rtl w:val="true"/>
        </w:rPr>
        <w:footnoteReference w:id="3072"/>
      </w:r>
      <w:r>
        <w:rPr>
          <w:rFonts w:ascii="Amiri" w:hAnsi="Amiri" w:eastAsia="Amiri" w:cs="Amiri"/>
          <w:color w:val="111111"/>
          <w:sz w:val="28"/>
          <w:sz w:val="28"/>
          <w:szCs w:val="28"/>
          <w:rtl w:val="true"/>
          <w:lang w:bidi="ar-SA"/>
        </w:rPr>
        <w:t>يُمكِنُ أن تُعتَمَدَ و تُنصَرَ؛ و الوجهُ في نُصرَتِها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إذا </w:t>
      </w:r>
    </w:p>
    <w:p>
      <w:pPr>
        <w:pStyle w:val="BookText"/>
        <w:rPr/>
      </w:pPr>
      <w:r>
        <w:rPr>
          <w:rFonts w:ascii="Amiri" w:hAnsi="Amiri" w:eastAsia="Amiri" w:cs="Amiri"/>
          <w:color w:val="111111"/>
          <w:sz w:val="28"/>
          <w:sz w:val="28"/>
          <w:szCs w:val="28"/>
          <w:rtl w:val="true"/>
          <w:lang w:bidi="ar-SA"/>
        </w:rPr>
        <w:t>رأيناه صَلَّى اللّٰهُ عليه و آلِه</w:t>
      </w:r>
      <w:r>
        <w:rPr>
          <w:rStyle w:val="FootnoteAnchor"/>
          <w:rtl w:val="true"/>
        </w:rPr>
        <w:footnoteReference w:id="3073"/>
      </w:r>
      <w:r>
        <w:rPr>
          <w:rFonts w:ascii="Amiri" w:hAnsi="Amiri" w:eastAsia="Amiri" w:cs="Amiri"/>
          <w:color w:val="111111"/>
          <w:sz w:val="28"/>
          <w:sz w:val="28"/>
          <w:szCs w:val="28"/>
          <w:rtl w:val="true"/>
          <w:lang w:bidi="ar-SA"/>
        </w:rPr>
        <w:t>يَستَخلِفُ في أحوالِ الغَيبةِ علَى الاستمرارِ و مع اختلافِ الأحوالِ‌، دَلَّنا ذلكَ علىٰ أنّه ما فَعَلَه إلّالسببٍ‌</w:t>
      </w:r>
      <w:r>
        <w:rPr>
          <w:rStyle w:val="FootnoteAnchor"/>
          <w:rtl w:val="true"/>
        </w:rPr>
        <w:footnoteReference w:id="3074"/>
      </w:r>
      <w:r>
        <w:rPr>
          <w:rFonts w:ascii="Amiri" w:hAnsi="Amiri" w:eastAsia="Amiri" w:cs="Amiri"/>
          <w:color w:val="111111"/>
          <w:sz w:val="28"/>
          <w:sz w:val="28"/>
          <w:szCs w:val="28"/>
          <w:rtl w:val="true"/>
          <w:lang w:bidi="ar-SA"/>
        </w:rPr>
        <w:t>يَقتَضيهِ‌؛ لأنّه لَو كانَ لغَيرِ</w:t>
      </w:r>
      <w:r>
        <w:rPr>
          <w:rStyle w:val="FootnoteAnchor"/>
          <w:rtl w:val="true"/>
        </w:rPr>
        <w:footnoteReference w:id="3075"/>
      </w:r>
      <w:r>
        <w:rPr>
          <w:rFonts w:ascii="Amiri" w:hAnsi="Amiri" w:eastAsia="Amiri" w:cs="Amiri"/>
          <w:color w:val="111111"/>
          <w:sz w:val="28"/>
          <w:sz w:val="28"/>
          <w:szCs w:val="28"/>
          <w:rtl w:val="true"/>
          <w:lang w:bidi="ar-SA"/>
        </w:rPr>
        <w:t>سببٍ و ممّا منه</w:t>
      </w:r>
      <w:r>
        <w:rPr>
          <w:rStyle w:val="FootnoteAnchor"/>
          <w:rtl w:val="true"/>
        </w:rPr>
        <w:footnoteReference w:id="3076"/>
      </w:r>
      <w:r>
        <w:rPr>
          <w:rFonts w:ascii="Amiri" w:hAnsi="Amiri" w:eastAsia="Amiri" w:cs="Amiri"/>
          <w:color w:val="111111"/>
          <w:sz w:val="28"/>
          <w:sz w:val="28"/>
          <w:szCs w:val="28"/>
          <w:rtl w:val="true"/>
          <w:lang w:bidi="ar-SA"/>
        </w:rPr>
        <w:t>بُدٌّ و عنه غِنىً‌، لَم تَستَمِرَّ الأحوالُ به، و لَجازَ</w:t>
      </w:r>
      <w:r>
        <w:rPr>
          <w:rStyle w:val="FootnoteAnchor"/>
          <w:rtl w:val="true"/>
        </w:rPr>
        <w:footnoteReference w:id="3077"/>
      </w:r>
      <w:r>
        <w:rPr>
          <w:rFonts w:ascii="Amiri" w:hAnsi="Amiri" w:eastAsia="Amiri" w:cs="Amiri"/>
          <w:color w:val="111111"/>
          <w:sz w:val="28"/>
          <w:sz w:val="28"/>
          <w:szCs w:val="28"/>
          <w:rtl w:val="true"/>
          <w:lang w:bidi="ar-SA"/>
        </w:rPr>
        <w:t>أن يَفعَلَ تارةً و لا يُفعَلَ أُخرىٰ‌، كسائرِ الأُمورِ التي كانَ صَلَّى اللّٰهُ عليه و آلِه يَفعَلُها مِن غيرِ سببِ 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استَقرَّت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تَأمَّلْنا</w:t>
      </w:r>
      <w:r>
        <w:rPr>
          <w:rStyle w:val="FootnoteAnchor"/>
          <w:rtl w:val="true"/>
        </w:rPr>
        <w:footnoteReference w:id="3078"/>
      </w:r>
      <w:r>
        <w:rPr>
          <w:rFonts w:ascii="Amiri" w:hAnsi="Amiri" w:eastAsia="Amiri" w:cs="Amiri"/>
          <w:color w:val="111111"/>
          <w:sz w:val="28"/>
          <w:sz w:val="28"/>
          <w:szCs w:val="28"/>
          <w:rtl w:val="true"/>
          <w:lang w:bidi="ar-SA"/>
        </w:rPr>
        <w:t xml:space="preserve">ما يَجوزُ أن يَكونَ مُقتَضياً لذلكَ و كالسببِ </w:t>
      </w:r>
      <w:r>
        <w:rPr>
          <w:rStyle w:val="FootnoteAnchor"/>
          <w:rtl w:val="true"/>
        </w:rPr>
        <w:footnoteReference w:id="3079"/>
      </w:r>
      <w:r>
        <w:rPr>
          <w:rFonts w:ascii="Amiri" w:hAnsi="Amiri" w:eastAsia="Amiri" w:cs="Amiri"/>
          <w:color w:val="111111"/>
          <w:sz w:val="28"/>
          <w:sz w:val="28"/>
          <w:szCs w:val="28"/>
          <w:rtl w:val="true"/>
          <w:lang w:bidi="ar-SA"/>
        </w:rPr>
        <w:t>فيه، فلَم نَجِدْه إلّاأنّه صَلَّى اللّٰهُ عليه و آلِه مع الغَيبةِ لا يُمكِنُه مِن</w:t>
      </w:r>
      <w:r>
        <w:rPr>
          <w:rStyle w:val="FootnoteAnchor"/>
          <w:rtl w:val="true"/>
        </w:rPr>
        <w:footnoteReference w:id="3080"/>
      </w:r>
      <w:r>
        <w:rPr>
          <w:rFonts w:ascii="Amiri" w:hAnsi="Amiri" w:eastAsia="Amiri" w:cs="Amiri"/>
          <w:color w:val="111111"/>
          <w:sz w:val="28"/>
          <w:sz w:val="28"/>
          <w:szCs w:val="28"/>
          <w:rtl w:val="true"/>
          <w:lang w:bidi="ar-SA"/>
        </w:rPr>
        <w:t xml:space="preserve">سياسةِ الأُمّةِ و تدبيرِهم و القيامِ بأُمورِهم ما كانَ يُمكِنُه مع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أن يَتَساوىٰ حالُ الغَيبةِ و حالُ المَوتِ في وجوبِ الاستخلافِ ؛ بَل كانَ لحالِ المَوتِ المَزيّةُ الظاهرةُ في عِلّةِ الاستخلافِ </w:t>
      </w:r>
      <w:r>
        <w:rPr>
          <w:rStyle w:val="FootnoteAnchor"/>
          <w:rtl w:val="true"/>
        </w:rPr>
        <w:footnoteReference w:id="3081"/>
      </w:r>
      <w:r>
        <w:rPr>
          <w:rFonts w:ascii="Amiri" w:hAnsi="Amiri" w:eastAsia="Amiri" w:cs="Amiri"/>
          <w:color w:val="111111"/>
          <w:sz w:val="28"/>
          <w:sz w:val="28"/>
          <w:szCs w:val="28"/>
          <w:rtl w:val="true"/>
          <w:lang w:bidi="ar-SA"/>
        </w:rPr>
        <w:t>و سببِه؛ لأنّ مع الغَيبةِ في أحوالِ الحياةِ قد يُمكِنُ مِن تدبيرِ الأُمّةِ و مُراعاةِ أُمورِهم ما لا يُمكِنُه</w:t>
      </w:r>
      <w:r>
        <w:rPr>
          <w:rStyle w:val="FootnoteAnchor"/>
          <w:rtl w:val="true"/>
        </w:rPr>
        <w:footnoteReference w:id="3082"/>
      </w:r>
      <w:r>
        <w:rPr>
          <w:rFonts w:ascii="Amiri" w:hAnsi="Amiri" w:eastAsia="Amiri" w:cs="Amiri"/>
          <w:color w:val="111111"/>
          <w:sz w:val="28"/>
          <w:sz w:val="28"/>
          <w:szCs w:val="28"/>
          <w:rtl w:val="true"/>
          <w:lang w:bidi="ar-SA"/>
        </w:rPr>
        <w:t xml:space="preserve">علىٰ وجهٍ بَعدَ الوفاةِ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صِحّةِ ما ذَكرناه سُقوطٌ لِما</w:t>
      </w:r>
      <w:r>
        <w:rPr>
          <w:rStyle w:val="FootnoteAnchor"/>
          <w:rtl w:val="true"/>
        </w:rPr>
        <w:footnoteReference w:id="3083"/>
      </w:r>
      <w:r>
        <w:rPr>
          <w:rFonts w:ascii="Amiri" w:hAnsi="Amiri" w:eastAsia="Amiri" w:cs="Amiri"/>
          <w:color w:val="111111"/>
          <w:sz w:val="28"/>
          <w:sz w:val="28"/>
          <w:szCs w:val="28"/>
          <w:rtl w:val="true"/>
          <w:lang w:bidi="ar-SA"/>
        </w:rPr>
        <w:t>اعتَرَضَ به، و بُطلانٌ لقَولِه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كانَ يَجوزُ مِن جِهةِ المَصلَحةِ أن يُفارِقَ أحَدُهما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إذا لَم يَكُن في </w:t>
      </w:r>
    </w:p>
    <w:p>
      <w:pPr>
        <w:pStyle w:val="BookText"/>
        <w:rPr/>
      </w:pPr>
      <w:r>
        <w:rPr>
          <w:rFonts w:ascii="Amiri" w:hAnsi="Amiri" w:eastAsia="Amiri" w:cs="Amiri"/>
          <w:color w:val="111111"/>
          <w:sz w:val="28"/>
          <w:sz w:val="28"/>
          <w:szCs w:val="28"/>
          <w:rtl w:val="true"/>
          <w:lang w:bidi="ar-SA"/>
        </w:rPr>
        <w:t xml:space="preserve">ذِكرِ وجهِ الاستخلافِ </w:t>
      </w:r>
      <w:r>
        <w:rPr>
          <w:rStyle w:val="FootnoteAnchor"/>
          <w:rtl w:val="true"/>
        </w:rPr>
        <w:footnoteReference w:id="3084"/>
      </w:r>
      <w:r>
        <w:rPr>
          <w:rFonts w:ascii="Amiri" w:hAnsi="Amiri" w:eastAsia="Amiri" w:cs="Amiri"/>
          <w:color w:val="111111"/>
          <w:sz w:val="28"/>
          <w:sz w:val="28"/>
          <w:szCs w:val="28"/>
          <w:rtl w:val="true"/>
          <w:lang w:bidi="ar-SA"/>
        </w:rPr>
        <w:t>في الغَيبةِ في أحوالِ الحياةِ إلّاما ذَكرناه ممّا تُساوي فيه أحوالُ الوفاةِ أحوالَ الحياةِ ، و تَزيدُ</w:t>
      </w:r>
      <w:r>
        <w:rPr>
          <w:rStyle w:val="FootnoteAnchor"/>
          <w:rtl w:val="true"/>
        </w:rPr>
        <w:footnoteReference w:id="3085"/>
      </w:r>
      <w:r>
        <w:rPr>
          <w:rFonts w:ascii="Amiri" w:hAnsi="Amiri" w:eastAsia="Amiri" w:cs="Amiri"/>
          <w:color w:val="111111"/>
          <w:sz w:val="28"/>
          <w:sz w:val="28"/>
          <w:szCs w:val="28"/>
          <w:rtl w:val="true"/>
          <w:lang w:bidi="ar-SA"/>
        </w:rPr>
        <w:t xml:space="preserve">تأكُّداً، لَم يَجُزْ أن يُفارِقَ أحَدُ الأمرَينِ الآخَرَ مِن جِهةِ المَصلَحةِ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أنَّ في حالِ الغَيبةِ يَجوزُ أن يَستَخلِفَ جماعةً‌، و قد كانَ النبيُّ عليه السلامُ‌</w:t>
      </w:r>
      <w:r>
        <w:rPr>
          <w:rStyle w:val="FootnoteAnchor"/>
          <w:rtl w:val="true"/>
        </w:rPr>
        <w:footnoteReference w:id="3086"/>
      </w:r>
      <w:r>
        <w:rPr>
          <w:rFonts w:ascii="Amiri" w:hAnsi="Amiri" w:eastAsia="Amiri" w:cs="Amiri"/>
          <w:color w:val="111111"/>
          <w:sz w:val="28"/>
          <w:sz w:val="28"/>
          <w:szCs w:val="28"/>
          <w:rtl w:val="true"/>
          <w:lang w:bidi="ar-SA"/>
        </w:rPr>
        <w:t>يَستَخلِفُ علَى البُلدانِ‌</w:t>
      </w:r>
      <w:r>
        <w:rPr>
          <w:rStyle w:val="FootnoteAnchor"/>
          <w:rtl w:val="true"/>
        </w:rPr>
        <w:footnoteReference w:id="3087"/>
      </w:r>
      <w:r>
        <w:rPr>
          <w:rFonts w:ascii="Amiri" w:hAnsi="Amiri" w:eastAsia="Amiri" w:cs="Amiri"/>
          <w:color w:val="111111"/>
          <w:sz w:val="28"/>
          <w:sz w:val="28"/>
          <w:szCs w:val="28"/>
          <w:rtl w:val="true"/>
          <w:lang w:bidi="ar-SA"/>
        </w:rPr>
        <w:t>التي هو غائبٌ عنها</w:t>
      </w:r>
      <w:r>
        <w:rPr>
          <w:rStyle w:val="FootnoteAnchor"/>
          <w:rtl w:val="true"/>
        </w:rPr>
        <w:footnoteReference w:id="3088"/>
      </w:r>
      <w:r>
        <w:rPr>
          <w:rFonts w:ascii="Amiri" w:hAnsi="Amiri" w:eastAsia="Amiri" w:cs="Amiri"/>
          <w:color w:val="111111"/>
          <w:sz w:val="28"/>
          <w:sz w:val="28"/>
          <w:szCs w:val="28"/>
          <w:rtl w:val="true"/>
          <w:lang w:bidi="ar-SA"/>
        </w:rPr>
        <w:t>جماعةً‌، و لا يَقتَصِرُ علىٰ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إذا كانَ آكَدَ</w:t>
      </w:r>
      <w:r>
        <w:rPr>
          <w:rStyle w:val="FootnoteAnchor"/>
          <w:rtl w:val="true"/>
        </w:rPr>
        <w:footnoteReference w:id="3089"/>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الغَيبةِ‌، فكانَ يَجِبُ‌</w:t>
      </w:r>
      <w:r>
        <w:rPr>
          <w:rStyle w:val="FootnoteAnchor"/>
          <w:rtl w:val="true"/>
        </w:rPr>
        <w:footnoteReference w:id="3090"/>
      </w:r>
      <w:r>
        <w:rPr>
          <w:rFonts w:ascii="Amiri" w:hAnsi="Amiri" w:eastAsia="Amiri" w:cs="Amiri"/>
          <w:color w:val="111111"/>
          <w:sz w:val="28"/>
          <w:sz w:val="28"/>
          <w:szCs w:val="28"/>
          <w:rtl w:val="true"/>
          <w:lang w:bidi="ar-SA"/>
        </w:rPr>
        <w:t>أن يَستَخلِفَ علىٰ كُلِّ بلدٍ واحداً، إذا كانَ يَجوزُ ذلكَ‌</w:t>
      </w:r>
      <w:r>
        <w:rPr>
          <w:rStyle w:val="FootnoteAnchor"/>
          <w:rtl w:val="true"/>
        </w:rPr>
        <w:footnoteReference w:id="3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النصُّ علىٰ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نَقَضَ ما اعتَمَدَ عليه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ثَبَتَ أنّه عليه السلامُ عندَ الغَيبةِ كانَ يَستَخلِفُ جماعةً كُلَّ مَرّةٍ غيرَ التي يَستَخلِفُ في غَيرِها، و ذلكَ </w:t>
      </w:r>
      <w:r>
        <w:rPr>
          <w:rStyle w:val="FootnoteAnchor"/>
          <w:rtl w:val="true"/>
        </w:rPr>
        <w:footnoteReference w:id="3092"/>
      </w:r>
      <w:r>
        <w:rPr>
          <w:rFonts w:ascii="Amiri" w:hAnsi="Amiri" w:eastAsia="Amiri" w:cs="Amiri"/>
          <w:color w:val="111111"/>
          <w:sz w:val="28"/>
          <w:sz w:val="28"/>
          <w:szCs w:val="28"/>
          <w:rtl w:val="true"/>
          <w:lang w:bidi="ar-SA"/>
        </w:rPr>
        <w:t xml:space="preserve">يَدُلُّ علىٰ أنّه كانَ يَفعَلُ ذلكَ باختيارٍ و اجتهادٍ، لا عن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عندَهم أنّ المَوتَ كالغَيبةِ ، فيَجِبُ أن </w:t>
      </w:r>
      <w:bookmarkStart w:id="552" w:name="pg20017_202706"/>
    </w:p>
    <w:p>
      <w:pPr>
        <w:pStyle w:val="BookText"/>
        <w:rPr/>
      </w:pPr>
      <w:bookmarkEnd w:id="552"/>
      <w:r>
        <w:rPr>
          <w:rFonts w:ascii="Amiri" w:hAnsi="Amiri" w:eastAsia="Amiri" w:cs="Amiri"/>
          <w:color w:val="111111"/>
          <w:sz w:val="28"/>
          <w:sz w:val="28"/>
          <w:szCs w:val="28"/>
          <w:rtl w:val="true"/>
          <w:lang w:bidi="ar-SA"/>
        </w:rPr>
        <w:t xml:space="preserve">يَكونَ الإمامُ بَعدَه ثابتَ الإمامةِ باختيارٍ و اجتهادٍ، لا عن نَصٍّ </w:t>
      </w:r>
      <w:r>
        <w:rPr>
          <w:rStyle w:val="FootnoteAnchor"/>
          <w:rtl w:val="true"/>
        </w:rPr>
        <w:footnoteReference w:id="3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فكَما أنّه عليه السلامُ استَخلَفَ في حالِ الغَيبةِ ، فقَد ثَبَتَ في أُمَرائِه أنّهم استَخلَفوا في حالِ الغَيبةِ و بَعدَ المَوتِ ؛ فيَجِبُ أن لا يَدُلَّ ذلكَ علىٰ أنّه المُختَصُّ بإقامةِ الإمامِ ، بَل قد يَجوزُ لغَيرِه أن يَشرَكَه فيه؛ و ذلكَ </w:t>
      </w:r>
      <w:r>
        <w:rPr>
          <w:rStyle w:val="FootnoteAnchor"/>
          <w:rtl w:val="true"/>
        </w:rPr>
        <w:footnoteReference w:id="3094"/>
      </w:r>
      <w:r>
        <w:rPr>
          <w:rFonts w:ascii="Amiri" w:hAnsi="Amiri" w:eastAsia="Amiri" w:cs="Amiri"/>
          <w:color w:val="111111"/>
          <w:sz w:val="28"/>
          <w:sz w:val="28"/>
          <w:szCs w:val="28"/>
          <w:rtl w:val="true"/>
          <w:lang w:bidi="ar-SA"/>
        </w:rPr>
        <w:t>يُصحِّح ما نَقولُه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ذلكَ لَيسَ بأن يَدُلَّ علَى النصِّ‌</w:t>
      </w:r>
      <w:r>
        <w:rPr>
          <w:rStyle w:val="FootnoteAnchor"/>
          <w:rtl w:val="true"/>
        </w:rPr>
        <w:footnoteReference w:id="3095"/>
      </w:r>
      <w:r>
        <w:rPr>
          <w:rFonts w:ascii="Amiri" w:hAnsi="Amiri" w:eastAsia="Amiri" w:cs="Amiri"/>
          <w:color w:val="111111"/>
          <w:sz w:val="28"/>
          <w:sz w:val="28"/>
          <w:szCs w:val="28"/>
          <w:rtl w:val="true"/>
          <w:lang w:bidi="ar-SA"/>
        </w:rPr>
        <w:t xml:space="preserve">علىٰ واحدٍ بأَولىٰ </w:t>
      </w:r>
      <w:r>
        <w:rPr>
          <w:rStyle w:val="FootnoteAnchor"/>
          <w:rtl w:val="true"/>
        </w:rPr>
        <w:footnoteReference w:id="3096"/>
      </w:r>
      <w:r>
        <w:rPr>
          <w:rFonts w:ascii="Amiri" w:hAnsi="Amiri" w:eastAsia="Amiri" w:cs="Amiri"/>
          <w:color w:val="111111"/>
          <w:sz w:val="28"/>
          <w:sz w:val="28"/>
          <w:szCs w:val="28"/>
          <w:rtl w:val="true"/>
          <w:lang w:bidi="ar-SA"/>
        </w:rPr>
        <w:t xml:space="preserve">مِن أن يَدُلَّ علىٰ غيرِه، فلا يُمكِنُهم أن يَتعلَّقوا بذلكَ في وجوبِ النصِّ علىٰ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أنّه لا يُمكِنُهم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Style w:val="FootnoteAnchor"/>
          <w:rtl w:val="true"/>
        </w:rPr>
        <w:footnoteReference w:id="3097"/>
      </w:r>
      <w:r>
        <w:rPr>
          <w:rFonts w:ascii="Amiri" w:hAnsi="Amiri" w:eastAsia="Amiri" w:cs="Amiri"/>
          <w:color w:val="111111"/>
          <w:sz w:val="28"/>
          <w:sz w:val="28"/>
          <w:szCs w:val="28"/>
          <w:rtl w:val="true"/>
          <w:lang w:bidi="ar-SA"/>
        </w:rPr>
        <w:t>ثَبَتَ النصُّ فلا قولَ إلّاما نَذهَبُ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لأنّا قد بيّنّا أنّ الجمعَ العظيمَ قد قالوا بالنصِّ علىٰ أبي بَكرٍ، و بيّنّا القولَ في ذلكَ </w:t>
      </w:r>
      <w:r>
        <w:rPr>
          <w:rStyle w:val="FootnoteAnchor"/>
          <w:rtl w:val="true"/>
        </w:rPr>
        <w:footnoteReference w:id="3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964385_2320776876"/>
      <w:bookmarkStart w:id="554" w:name="_Toc196"/>
      <w:bookmarkEnd w:id="553"/>
      <w:r>
        <w:rPr>
          <w:rtl w:val="true"/>
        </w:rPr>
        <w:t>بيان الفرق بين أصل الاستخلاف و بين عدد المستخلَفين في الوجوب و عدمه</w:t>
      </w:r>
      <w:bookmarkEnd w:id="554"/>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المَدينةُ ، التي تَضمَّنَ الدليلُ ذِكرَها بَعينِها، فلَم يَستَخلِفْ صَلَّى اللّٰهُ عليه و آلِه</w:t>
      </w:r>
      <w:r>
        <w:rPr>
          <w:rStyle w:val="FootnoteAnchor"/>
          <w:rtl w:val="true"/>
        </w:rPr>
        <w:footnoteReference w:id="3099"/>
      </w:r>
      <w:r>
        <w:rPr>
          <w:rFonts w:ascii="Amiri" w:hAnsi="Amiri" w:eastAsia="Amiri" w:cs="Amiri"/>
          <w:color w:val="111111"/>
          <w:sz w:val="28"/>
          <w:sz w:val="28"/>
          <w:szCs w:val="28"/>
          <w:rtl w:val="true"/>
          <w:lang w:bidi="ar-SA"/>
        </w:rPr>
        <w:t>عليها عندَ غَيبتِه عنها إلّاالواحدَ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 المُبتَغىٰ بهذه الطريقةِ مِن الاستدلالِ وجوبُ الاستخلافِ ، لا كَيفيّتُه </w:t>
      </w:r>
      <w:bookmarkStart w:id="555" w:name="pg20017_202707"/>
    </w:p>
    <w:p>
      <w:pPr>
        <w:pStyle w:val="BookText"/>
        <w:rPr/>
      </w:pPr>
      <w:bookmarkEnd w:id="555"/>
      <w:r>
        <w:rPr>
          <w:rFonts w:ascii="Amiri" w:hAnsi="Amiri" w:eastAsia="Amiri" w:cs="Amiri"/>
          <w:color w:val="111111"/>
          <w:sz w:val="28"/>
          <w:sz w:val="28"/>
          <w:szCs w:val="28"/>
          <w:rtl w:val="true"/>
          <w:lang w:bidi="ar-SA"/>
        </w:rPr>
        <w:t>و لا عَدَدُ المُستَخلَفين، و قد ثَبَتَ وجوبُ الاستخلافِ بما رَتَّبناه مِن الكلامِ‌</w:t>
      </w:r>
      <w:r>
        <w:rPr>
          <w:rStyle w:val="FootnoteAnchor"/>
          <w:rtl w:val="true"/>
        </w:rPr>
        <w:footnoteReference w:id="3100"/>
      </w:r>
      <w:r>
        <w:rPr>
          <w:rFonts w:ascii="Amiri" w:hAnsi="Amiri" w:eastAsia="Amiri" w:cs="Amiri"/>
          <w:color w:val="111111"/>
          <w:sz w:val="28"/>
          <w:sz w:val="28"/>
          <w:szCs w:val="28"/>
          <w:rtl w:val="true"/>
          <w:lang w:bidi="ar-SA"/>
        </w:rPr>
        <w:t>، و لَيسَ يَجري عَدَدُ المُستَخلَفينَ مَجرَى الاستخلافِ علَى الجُملةِ في الوجوبِ‌؛ أ لا تَرىٰ أنّه عليه السلامُ مع الغَيبةِ قد كانَ يَستَخلِفُ علَى البُلدانِ الواحدَ تارةً‌،</w:t>
      </w:r>
    </w:p>
    <w:p>
      <w:pPr>
        <w:pStyle w:val="BookText"/>
        <w:rPr/>
      </w:pPr>
      <w:r>
        <w:rPr>
          <w:rFonts w:ascii="Amiri" w:hAnsi="Amiri" w:eastAsia="Amiri" w:cs="Amiri"/>
          <w:color w:val="111111"/>
          <w:sz w:val="28"/>
          <w:sz w:val="28"/>
          <w:szCs w:val="28"/>
          <w:rtl w:val="true"/>
          <w:lang w:bidi="ar-SA"/>
        </w:rPr>
        <w:t>و الجماعةَ أُخرىٰ‌، و يَختَلِفُ فِعلُه عليه السلامُ في ذلكَ‌</w:t>
      </w:r>
      <w:r>
        <w:rPr>
          <w:rStyle w:val="FootnoteAnchor"/>
          <w:rtl w:val="true"/>
        </w:rPr>
        <w:footnoteReference w:id="3101"/>
      </w:r>
      <w:r>
        <w:rPr>
          <w:rFonts w:ascii="Amiri" w:hAnsi="Amiri" w:eastAsia="Amiri" w:cs="Amiri"/>
          <w:color w:val="111111"/>
          <w:sz w:val="28"/>
          <w:sz w:val="28"/>
          <w:szCs w:val="28"/>
          <w:rtl w:val="true"/>
          <w:lang w:bidi="ar-SA"/>
        </w:rPr>
        <w:t>بحَسَبِ اختلافِ المَصلَحةِ‌، و لَم يَختَلِفْ فِعلُه صَلَّى اللّٰهُ عليه و آلِه في الاستخلافِ المُطلَقِ؟ فأوجَبنا ما لَم يَختَلِفِ الحالُ فيه</w:t>
      </w:r>
      <w:r>
        <w:rPr>
          <w:rStyle w:val="FootnoteAnchor"/>
          <w:rtl w:val="true"/>
        </w:rPr>
        <w:footnoteReference w:id="3102"/>
      </w:r>
      <w:r>
        <w:rPr>
          <w:rFonts w:ascii="Amiri" w:hAnsi="Amiri" w:eastAsia="Amiri" w:cs="Amiri"/>
          <w:color w:val="111111"/>
          <w:sz w:val="28"/>
          <w:sz w:val="28"/>
          <w:szCs w:val="28"/>
          <w:rtl w:val="true"/>
          <w:lang w:bidi="ar-SA"/>
        </w:rPr>
        <w:t>مِن مُطلَقِ الاستخلافِ‌، و لَم نوجِبْ ما اختَلَفَ مِن عَدَدِ المُستَخلَفينَ ؛ فلَم يَلزَمْ علىٰ ما ذَكرناه أن يَنُصَّ علىٰ أميرِ كُلِّ بَلَدٍ</w:t>
      </w:r>
      <w:r>
        <w:rPr>
          <w:rStyle w:val="FootnoteAnchor"/>
          <w:rtl w:val="true"/>
        </w:rPr>
        <w:footnoteReference w:id="3103"/>
      </w:r>
      <w:r>
        <w:rPr>
          <w:rFonts w:ascii="Amiri" w:hAnsi="Amiri" w:eastAsia="Amiri" w:cs="Amiri"/>
          <w:color w:val="111111"/>
          <w:sz w:val="28"/>
          <w:sz w:val="28"/>
          <w:szCs w:val="28"/>
          <w:rtl w:val="true"/>
          <w:lang w:bidi="ar-SA"/>
        </w:rPr>
        <w:t>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صَلَّى اللّٰهُ عليه و آلِه في أحوالِ حياتِه قد كانَ يُوَلّي الأميرَ الكُورَةَ </w:t>
      </w:r>
      <w:r>
        <w:rPr>
          <w:rStyle w:val="FootnoteAnchor"/>
          <w:rtl w:val="true"/>
        </w:rPr>
        <w:footnoteReference w:id="3104"/>
      </w:r>
      <w:r>
        <w:rPr>
          <w:rFonts w:ascii="Amiri" w:hAnsi="Amiri" w:eastAsia="Amiri" w:cs="Amiri"/>
          <w:color w:val="111111"/>
          <w:sz w:val="28"/>
          <w:sz w:val="28"/>
          <w:szCs w:val="28"/>
          <w:rtl w:val="true"/>
          <w:lang w:bidi="ar-SA"/>
        </w:rPr>
        <w:t xml:space="preserve">و يَجعَلُ إليه الاستخلافَ في أطرافِها و بُلدانِها، فكذلكَ </w:t>
      </w:r>
      <w:r>
        <w:rPr>
          <w:rStyle w:val="FootnoteAnchor"/>
          <w:rtl w:val="true"/>
        </w:rPr>
        <w:footnoteReference w:id="3105"/>
      </w:r>
      <w:r>
        <w:rPr>
          <w:rFonts w:ascii="Amiri" w:hAnsi="Amiri" w:eastAsia="Amiri" w:cs="Amiri"/>
          <w:color w:val="111111"/>
          <w:sz w:val="28"/>
          <w:sz w:val="28"/>
          <w:szCs w:val="28"/>
          <w:rtl w:val="true"/>
          <w:lang w:bidi="ar-SA"/>
        </w:rPr>
        <w:t>لا يَمتَنِعُ أن يَنُصَّ علىٰ إمامةِ واحدٍ بَعدَه</w:t>
      </w:r>
      <w:r>
        <w:rPr>
          <w:rStyle w:val="FootnoteAnchor"/>
          <w:rtl w:val="true"/>
        </w:rPr>
        <w:footnoteReference w:id="3106"/>
      </w:r>
      <w:r>
        <w:rPr>
          <w:rFonts w:ascii="Amiri" w:hAnsi="Amiri" w:eastAsia="Amiri" w:cs="Amiri"/>
          <w:color w:val="111111"/>
          <w:sz w:val="28"/>
          <w:sz w:val="28"/>
          <w:szCs w:val="28"/>
          <w:rtl w:val="true"/>
          <w:lang w:bidi="ar-SA"/>
        </w:rPr>
        <w:t xml:space="preserve">، و يَجعَلَ إليه الاستخلافَ علَى الأمصارِ و البُلدانِ </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964387_2320776876"/>
      <w:bookmarkStart w:id="557" w:name="_Toc197"/>
      <w:bookmarkEnd w:id="556"/>
      <w:r>
        <w:rPr>
          <w:rtl w:val="true"/>
        </w:rPr>
        <w:t>نفي دلالة تبديل الخلفاء علىٰ عدم النصّ</w:t>
      </w:r>
      <w:bookmarkEnd w:id="55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تبديلُه الخُلَفاءَ و أنّ </w:t>
      </w:r>
      <w:r>
        <w:rPr>
          <w:rStyle w:val="FootnoteAnchor"/>
          <w:rtl w:val="true"/>
        </w:rPr>
        <w:footnoteReference w:id="3107"/>
      </w:r>
      <w:r>
        <w:rPr>
          <w:rFonts w:ascii="Amiri" w:hAnsi="Amiri" w:eastAsia="Amiri" w:cs="Amiri"/>
          <w:color w:val="111111"/>
          <w:sz w:val="28"/>
          <w:sz w:val="28"/>
          <w:szCs w:val="28"/>
          <w:rtl w:val="true"/>
          <w:lang w:bidi="ar-SA"/>
        </w:rPr>
        <w:t xml:space="preserve">ذلكَ يَدُلُّ علىٰ أنّه كانَ يَفعَلُ ذلكَ برأيِه و اجتهادِه لا </w:t>
      </w:r>
      <w:bookmarkStart w:id="558" w:name="pg20017_202708"/>
    </w:p>
    <w:p>
      <w:pPr>
        <w:pStyle w:val="BookText"/>
        <w:rPr/>
      </w:pPr>
      <w:bookmarkEnd w:id="558"/>
      <w:r>
        <w:rPr>
          <w:rFonts w:ascii="Amiri" w:hAnsi="Amiri" w:eastAsia="Amiri" w:cs="Amiri"/>
          <w:color w:val="111111"/>
          <w:sz w:val="28"/>
          <w:sz w:val="28"/>
          <w:szCs w:val="28"/>
          <w:rtl w:val="true"/>
          <w:lang w:bidi="ar-SA"/>
        </w:rPr>
        <w:t>عن نصٍّ‌؛ فلَيسَ يُعلَمُ‌</w:t>
      </w:r>
      <w:r>
        <w:rPr>
          <w:rStyle w:val="FootnoteAnchor"/>
          <w:rtl w:val="true"/>
        </w:rPr>
        <w:footnoteReference w:id="3108"/>
      </w:r>
      <w:r>
        <w:rPr>
          <w:rFonts w:ascii="Amiri" w:hAnsi="Amiri" w:eastAsia="Amiri" w:cs="Amiri"/>
          <w:color w:val="111111"/>
          <w:sz w:val="28"/>
          <w:sz w:val="28"/>
          <w:szCs w:val="28"/>
          <w:rtl w:val="true"/>
          <w:lang w:bidi="ar-SA"/>
        </w:rPr>
        <w:t>مِن أيِّ وجهٍ يَدُلُّ ما</w:t>
      </w:r>
      <w:r>
        <w:rPr>
          <w:rStyle w:val="FootnoteAnchor"/>
          <w:rtl w:val="true"/>
        </w:rPr>
        <w:footnoteReference w:id="3109"/>
      </w:r>
      <w:r>
        <w:rPr>
          <w:rFonts w:ascii="Amiri" w:hAnsi="Amiri" w:eastAsia="Amiri" w:cs="Amiri"/>
          <w:color w:val="111111"/>
          <w:sz w:val="28"/>
          <w:sz w:val="28"/>
          <w:szCs w:val="28"/>
          <w:rtl w:val="true"/>
          <w:lang w:bidi="ar-SA"/>
        </w:rPr>
        <w:t>ذَكرَه علىٰ ما ظَنَّه‌؟ و لَيسَ في إبدالِ الخُلفاءِ ما يَقتَضي أنّ استخلافَهم صادرٌ عن رأيٍ و اجتهادٍ، كَما أنّه لَيسَ في إبدالِ الشرائعِ بغَيرِها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يَمتَنِعُ أن تَختَلِفَ </w:t>
      </w:r>
      <w:r>
        <w:rPr>
          <w:rStyle w:val="FootnoteAnchor"/>
          <w:rtl w:val="true"/>
        </w:rPr>
        <w:footnoteReference w:id="3110"/>
      </w:r>
      <w:r>
        <w:rPr>
          <w:rFonts w:ascii="Amiri" w:hAnsi="Amiri" w:eastAsia="Amiri" w:cs="Amiri"/>
          <w:color w:val="111111"/>
          <w:sz w:val="28"/>
          <w:sz w:val="28"/>
          <w:szCs w:val="28"/>
          <w:rtl w:val="true"/>
          <w:lang w:bidi="ar-SA"/>
        </w:rPr>
        <w:t>المَصلَحةُ ، فيَختَلِفَ المُستَخلَفونَ و إن كانوا منصوصاً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الأمرُ علىٰ ما ظَنَّه و ادَّعاه، لَم يَكُن فيه علينا حُجّةٌ ؛ لأنّ مَن استَدَلَّ بهذه الطريقةِ مِن أصحابِنا، لَم يَرجِعْ إليها في أكثَرَ مِن أنّ النصَّ واجبٌ مِن الرسولِ صَلَّى اللّٰهُ عليه و آلِه؛ فأمّا كَونُه مفعولاً بأمرِ اللّٰهِ تَعالىٰ أو باختيارٍ و اجتهادٍ، فالمَرجِعُ فيه إلىٰ غيرِ ذلكَ </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964389_2320776876"/>
      <w:bookmarkStart w:id="560" w:name="_Toc198"/>
      <w:bookmarkEnd w:id="559"/>
      <w:r>
        <w:rPr>
          <w:rtl w:val="true"/>
        </w:rPr>
        <w:t>نفي دلالة استخلاف الأُمراء لغيرهم، علىٰ مشاركتهم للرسول صلى الله عليه و آله في إقامة الإمام</w:t>
      </w:r>
      <w:bookmarkEnd w:id="560"/>
    </w:p>
    <w:p>
      <w:pPr>
        <w:pStyle w:val="BookText"/>
        <w:rPr/>
      </w:pPr>
      <w:r>
        <w:rPr>
          <w:rFonts w:ascii="Amiri" w:hAnsi="Amiri" w:eastAsia="Amiri" w:cs="Amiri"/>
          <w:color w:val="111111"/>
          <w:sz w:val="28"/>
          <w:sz w:val="28"/>
          <w:szCs w:val="28"/>
          <w:rtl w:val="true"/>
          <w:lang w:bidi="ar-SA"/>
        </w:rPr>
        <w:t>فأمّا تَعلُّقُه باستخلافِ أُمَرائه، و تَوصُّلُه إلىٰ أن يَكونَ غيرُه مُشارِكاً له</w:t>
      </w:r>
      <w:r>
        <w:rPr>
          <w:rStyle w:val="FootnoteAnchor"/>
          <w:rtl w:val="true"/>
        </w:rPr>
        <w:footnoteReference w:id="3111"/>
      </w:r>
      <w:r>
        <w:rPr>
          <w:rFonts w:ascii="Amiri" w:hAnsi="Amiri" w:eastAsia="Amiri" w:cs="Amiri"/>
          <w:color w:val="111111"/>
          <w:sz w:val="28"/>
          <w:sz w:val="28"/>
          <w:szCs w:val="28"/>
          <w:rtl w:val="true"/>
          <w:lang w:bidi="ar-SA"/>
        </w:rPr>
        <w:t>في إقامةِ الإمامِ فباطلٌ ؛ لأنّ أُمَراءَه إنّما ساغَ لهم الاستخلافُ مِن حَيثُ جَعَلَ عليه السلامُ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إليهم، و استَخلَفَهم فيه كما استَخلَفَهم علَى التصرُّفِ في الأعمالِ ؛ فالأصلُ هو</w:t>
      </w:r>
      <w:r>
        <w:rPr>
          <w:rStyle w:val="FootnoteAnchor"/>
          <w:rtl w:val="true"/>
        </w:rPr>
        <w:footnoteReference w:id="3112"/>
      </w:r>
      <w:r>
        <w:rPr>
          <w:rFonts w:ascii="Amiri" w:hAnsi="Amiri" w:eastAsia="Amiri" w:cs="Amiri"/>
          <w:color w:val="111111"/>
          <w:sz w:val="28"/>
          <w:sz w:val="28"/>
          <w:szCs w:val="28"/>
          <w:rtl w:val="true"/>
          <w:lang w:bidi="ar-SA"/>
        </w:rPr>
        <w:t>استخلافُه عليهم، و عَروضُ ذلكَ أن يَستَخلِفَ صَلَّى اللّٰهُ عليه و آلِه</w:t>
      </w:r>
      <w:r>
        <w:rPr>
          <w:rStyle w:val="FootnoteAnchor"/>
          <w:rtl w:val="true"/>
        </w:rPr>
        <w:footnoteReference w:id="3113"/>
      </w:r>
      <w:r>
        <w:rPr>
          <w:rFonts w:ascii="Amiri" w:hAnsi="Amiri" w:eastAsia="Amiri" w:cs="Amiri"/>
          <w:color w:val="111111"/>
          <w:sz w:val="28"/>
          <w:sz w:val="28"/>
          <w:szCs w:val="28"/>
          <w:rtl w:val="true"/>
          <w:lang w:bidi="ar-SA"/>
        </w:rPr>
        <w:t>بَعدَه رئيساً يُشيرُ إليه بعَينِه، و يُفوِّضُ إليه الاستخلافَ ، فأمّا أن يَجعَلَ عَروضَه الإهمالَ و التعويلَ على اختيارِ الأُمّةِ فهو بَعيدٌ منه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لهُم أن يَجعَلوا النصَّ علىٰ صفةِ المُختارينَ يَجري مَجرَى النصِّ علىٰ عَينِ </w:t>
      </w:r>
      <w:r>
        <w:rPr>
          <w:rStyle w:val="FootnoteAnchor"/>
          <w:rtl w:val="true"/>
        </w:rPr>
        <w:footnoteReference w:id="3114"/>
      </w:r>
      <w:r>
        <w:rPr>
          <w:rFonts w:ascii="Amiri" w:hAnsi="Amiri" w:eastAsia="Amiri" w:cs="Amiri"/>
          <w:color w:val="111111"/>
          <w:sz w:val="28"/>
          <w:sz w:val="28"/>
          <w:szCs w:val="28"/>
          <w:rtl w:val="true"/>
          <w:lang w:bidi="ar-SA"/>
        </w:rPr>
        <w:t>الأميرِ في حالِ حياتِه، و اختيارَ مَن نَصَّ علىٰ صفتِه</w:t>
      </w:r>
      <w:r>
        <w:rPr>
          <w:rStyle w:val="FootnoteAnchor"/>
          <w:rtl w:val="true"/>
        </w:rPr>
        <w:footnoteReference w:id="3115"/>
      </w:r>
      <w:r>
        <w:rPr>
          <w:rFonts w:ascii="Amiri" w:hAnsi="Amiri" w:eastAsia="Amiri" w:cs="Amiri"/>
          <w:color w:val="111111"/>
          <w:sz w:val="28"/>
          <w:sz w:val="28"/>
          <w:szCs w:val="28"/>
          <w:rtl w:val="true"/>
          <w:lang w:bidi="ar-SA"/>
        </w:rPr>
        <w:t>لِمَن</w:t>
      </w:r>
      <w:r>
        <w:rPr>
          <w:rStyle w:val="FootnoteAnchor"/>
          <w:rtl w:val="true"/>
        </w:rPr>
        <w:footnoteReference w:id="3116"/>
      </w:r>
      <w:r>
        <w:rPr>
          <w:rFonts w:ascii="Amiri" w:hAnsi="Amiri" w:eastAsia="Amiri" w:cs="Amiri"/>
          <w:color w:val="111111"/>
          <w:sz w:val="28"/>
          <w:sz w:val="28"/>
          <w:szCs w:val="28"/>
          <w:rtl w:val="true"/>
          <w:lang w:bidi="ar-SA"/>
        </w:rPr>
        <w:t>يَختارونَه يَجري مَجرَى استخلافِ الأميرِ مَن يَستَخلِفُه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أنّا لَم نَجِدْه صَلَّى اللّٰهُ عليه و آلِه</w:t>
      </w:r>
      <w:r>
        <w:rPr>
          <w:rStyle w:val="FootnoteAnchor"/>
          <w:rtl w:val="true"/>
        </w:rPr>
        <w:footnoteReference w:id="3117"/>
      </w:r>
      <w:r>
        <w:rPr>
          <w:rFonts w:ascii="Amiri" w:hAnsi="Amiri" w:eastAsia="Amiri" w:cs="Amiri"/>
          <w:color w:val="111111"/>
          <w:sz w:val="28"/>
          <w:sz w:val="28"/>
          <w:szCs w:val="28"/>
          <w:rtl w:val="true"/>
          <w:lang w:bidi="ar-SA"/>
        </w:rPr>
        <w:t>، مع اختلافِ الأحوالِ و تَغيُّرِها، نَصَّ في حياتِه علىٰ صفةِ مَن استَخلَفَه علَى البُلدانِ دونَ عَينِه، و لَم نَرَ له</w:t>
      </w:r>
      <w:r>
        <w:rPr>
          <w:rStyle w:val="FootnoteAnchor"/>
          <w:rtl w:val="true"/>
        </w:rPr>
        <w:footnoteReference w:id="3118"/>
      </w:r>
      <w:r>
        <w:rPr>
          <w:rFonts w:ascii="Amiri" w:hAnsi="Amiri" w:eastAsia="Amiri" w:cs="Amiri"/>
          <w:color w:val="111111"/>
          <w:sz w:val="28"/>
          <w:sz w:val="28"/>
          <w:szCs w:val="28"/>
          <w:rtl w:val="true"/>
          <w:lang w:bidi="ar-SA"/>
        </w:rPr>
        <w:t xml:space="preserve">صَلَّى اللّٰهُ عليه و آلِه في حياتِه إلّاخَليفةً نَصَّ علَى استخلافِه، أو نَصَّ علىٰ عَينِ مُستَخلَفِه؛ 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الحالُ </w:t>
      </w:r>
      <w:r>
        <w:rPr>
          <w:rStyle w:val="FootnoteAnchor"/>
          <w:rtl w:val="true"/>
        </w:rPr>
        <w:footnoteReference w:id="3119"/>
      </w:r>
      <w:r>
        <w:rPr>
          <w:rFonts w:ascii="Amiri" w:hAnsi="Amiri" w:eastAsia="Amiri" w:cs="Amiri"/>
          <w:color w:val="111111"/>
          <w:sz w:val="28"/>
          <w:sz w:val="28"/>
          <w:szCs w:val="28"/>
          <w:rtl w:val="true"/>
          <w:lang w:bidi="ar-SA"/>
        </w:rPr>
        <w:t xml:space="preserve">الداعيةُ إلىٰ ذلك بَعدَ الوفاةِ آكَدَ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بأنّ الأمرَ جَرىٰ علىٰ ما كانَ جارياً عليه في الحياةِ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بَعدُ، فإنّ ذلكَ لَيسَ بأن يَدُلَّ علَى النصِّ علىٰ واحدٍ بأَولىٰ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ما ذَكرَه، و قد تَقدَّمَ مِن كلامِنا في هذا المعنىٰ ما فيه كِفايةٌ </w:t>
      </w:r>
      <w:r>
        <w:rPr>
          <w:rStyle w:val="FootnoteAnchor"/>
          <w:rtl w:val="true"/>
        </w:rPr>
        <w:footnoteReference w:id="3120"/>
      </w:r>
      <w:r>
        <w:rPr>
          <w:rFonts w:eastAsia="Times New Roman" w:cs="Times New Roman" w:ascii="Times New Roman" w:hAnsi="Times New Roman"/>
          <w:color w:val="111111"/>
          <w:sz w:val="28"/>
          <w:szCs w:val="28"/>
          <w:rtl w:val="true"/>
          <w:lang w:val="en-US" w:bidi="en-US"/>
        </w:rPr>
        <w:t xml:space="preserve">. </w:t>
      </w:r>
      <w:bookmarkStart w:id="561" w:name="pg20017_202710"/>
    </w:p>
    <w:p>
      <w:pPr>
        <w:pStyle w:val="Heading4"/>
        <w:numPr>
          <w:ilvl w:val="3"/>
          <w:numId w:val="1"/>
        </w:numPr>
        <w:rPr/>
      </w:pPr>
      <w:bookmarkStart w:id="562" w:name="__RefHeading___Toc964391_2320776876"/>
      <w:bookmarkStart w:id="563" w:name="_Toc199"/>
      <w:bookmarkEnd w:id="561"/>
      <w:bookmarkEnd w:id="562"/>
      <w:r>
        <w:rPr>
          <w:rtl w:val="true"/>
        </w:rPr>
        <w:t>الدليل الحادي عشر حديث</w:t>
      </w:r>
      <w:r>
        <w:rPr>
          <w:rtl w:val="true"/>
        </w:rPr>
        <w:t>: «</w:t>
      </w:r>
      <w:r>
        <w:rPr>
          <w:rtl w:val="true"/>
        </w:rPr>
        <w:t>أنتَ أخي، و وَصيّي، و خَليفَتي مِن بَعدي، و قاضي دَيني</w:t>
      </w:r>
      <w:r>
        <w:rPr>
          <w:rtl w:val="true"/>
        </w:rPr>
        <w:t>»</w:t>
      </w:r>
      <w:bookmarkEnd w:id="563"/>
    </w:p>
    <w:p>
      <w:pPr>
        <w:pStyle w:val="Heading5"/>
        <w:numPr>
          <w:ilvl w:val="4"/>
          <w:numId w:val="1"/>
        </w:numPr>
        <w:rPr/>
      </w:pPr>
      <w:bookmarkStart w:id="564" w:name="__RefHeading___Toc964393_2320776876"/>
      <w:bookmarkStart w:id="565" w:name="_Toc200"/>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لهم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احتَجّوا بما رَوَوا عنه</w:t>
      </w:r>
      <w:r>
        <w:rPr>
          <w:rStyle w:val="FootnoteAnchor"/>
          <w:rtl w:val="true"/>
        </w:rPr>
        <w:footnoteReference w:id="3121"/>
      </w:r>
      <w:r>
        <w:rPr>
          <w:rFonts w:ascii="Amiri" w:hAnsi="Amiri" w:eastAsia="Amiri" w:cs="Amiri"/>
          <w:color w:val="111111"/>
          <w:sz w:val="28"/>
          <w:sz w:val="28"/>
          <w:szCs w:val="28"/>
          <w:rtl w:val="true"/>
          <w:lang w:bidi="ar-SA"/>
        </w:rPr>
        <w:t>صَلَّى اللّٰهُ عليه و آلِه أنّه قالَ لأميرِ المؤمنينَ عليه السلامُ‌</w:t>
      </w:r>
      <w:r>
        <w:rPr>
          <w:rStyle w:val="FootnoteAnchor"/>
          <w:rtl w:val="true"/>
        </w:rPr>
        <w:footnoteReference w:id="31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 وَصيّي، و خَليفَتي مِن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بَعدي، و قاضي دَيني</w:t>
      </w:r>
      <w:r>
        <w:rPr>
          <w:rFonts w:eastAsia="Amiri" w:cs="Amiri" w:ascii="Amiri" w:hAnsi="Amiri"/>
          <w:color w:val="111111"/>
          <w:sz w:val="28"/>
          <w:szCs w:val="28"/>
          <w:rtl w:val="true"/>
          <w:lang w:bidi="ar-SA"/>
        </w:rPr>
        <w:t>»</w:t>
      </w:r>
      <w:r>
        <w:rPr>
          <w:rStyle w:val="FootnoteAnchor"/>
          <w:rtl w:val="true"/>
        </w:rPr>
        <w:footnoteReference w:id="312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w:t>
      </w:r>
      <w:r>
        <w:rPr>
          <w:rStyle w:val="FootnoteAnchor"/>
          <w:rtl w:val="true"/>
        </w:rPr>
        <w:footnoteReference w:id="3124"/>
      </w:r>
      <w:r>
        <w:rPr>
          <w:rFonts w:ascii="Amiri" w:hAnsi="Amiri" w:eastAsia="Amiri" w:cs="Amiri"/>
          <w:color w:val="111111"/>
          <w:sz w:val="28"/>
          <w:sz w:val="28"/>
          <w:szCs w:val="28"/>
          <w:rtl w:val="true"/>
          <w:lang w:bidi="ar-SA"/>
        </w:rPr>
        <w:t>في تفويضِ الأمرِ إليه دَلالةٌ‌</w:t>
      </w:r>
      <w:r>
        <w:rPr>
          <w:rStyle w:val="FootnoteAnchor"/>
          <w:rtl w:val="true"/>
        </w:rPr>
        <w:footnoteReference w:id="3125"/>
      </w:r>
      <w:r>
        <w:rPr>
          <w:rFonts w:ascii="Amiri" w:hAnsi="Amiri" w:eastAsia="Amiri" w:cs="Amiri"/>
          <w:color w:val="111111"/>
          <w:sz w:val="28"/>
          <w:sz w:val="28"/>
          <w:szCs w:val="28"/>
          <w:rtl w:val="true"/>
          <w:lang w:bidi="ar-SA"/>
        </w:rPr>
        <w:t>أوكَدُ مِن ذلكَ ؛ لأنّه لَو اقتَصَرَ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لَكَفىٰ ، و لَو اقتَصَرَ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لَكَفىٰ ،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قاضي </w:t>
      </w:r>
    </w:p>
    <w:p>
      <w:pPr>
        <w:pStyle w:val="BookText"/>
        <w:rPr/>
      </w:pPr>
      <w:r>
        <w:rPr>
          <w:rFonts w:ascii="Amiri" w:hAnsi="Amiri" w:eastAsia="Amiri" w:cs="Amiri"/>
          <w:color w:val="111111"/>
          <w:sz w:val="28"/>
          <w:sz w:val="28"/>
          <w:szCs w:val="28"/>
          <w:rtl w:val="true"/>
          <w:lang w:bidi="ar-SA"/>
        </w:rPr>
        <w:t>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يَكونُ كذلكَ إلّاو هو النائبُ عنه القائمُ مَقامَه</w:t>
      </w:r>
      <w:r>
        <w:rPr>
          <w:rStyle w:val="FootnoteAnchor"/>
          <w:rtl w:val="true"/>
        </w:rPr>
        <w:footnoteReference w:id="3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قاضي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 و ذلكَ يَدُلُّ علىٰ أنّه الإمامُ بَعدَه بأقوىٰ ممّا يَدُلُّ‌</w:t>
      </w:r>
      <w:r>
        <w:rPr>
          <w:rStyle w:val="FootnoteAnchor"/>
          <w:rtl w:val="true"/>
        </w:rPr>
        <w:footnoteReference w:id="3127"/>
      </w:r>
      <w:r>
        <w:rPr>
          <w:rFonts w:ascii="Amiri" w:hAnsi="Amiri" w:eastAsia="Amiri" w:cs="Amiri"/>
          <w:color w:val="111111"/>
          <w:sz w:val="28"/>
          <w:sz w:val="28"/>
          <w:szCs w:val="28"/>
          <w:rtl w:val="true"/>
          <w:lang w:bidi="ar-SA"/>
        </w:rPr>
        <w:t>ما تَقدَّمَ‌؛ لأنّه قد أبانَ بذلكَ أنّه الذي يَقومُ بأداءِ شَريعتِه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يُبيِّنُ ما قُلناه</w:t>
      </w:r>
      <w:r>
        <w:rPr>
          <w:rStyle w:val="FootnoteAnchor"/>
          <w:rtl w:val="true"/>
        </w:rPr>
        <w:footnoteReference w:id="3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عندَ شُيوخِنا</w:t>
      </w:r>
      <w:r>
        <w:rPr>
          <w:rStyle w:val="FootnoteAnchor"/>
          <w:rtl w:val="true"/>
        </w:rPr>
        <w:footnoteReference w:id="3129"/>
      </w:r>
      <w:r>
        <w:rPr>
          <w:rFonts w:ascii="Amiri" w:hAnsi="Amiri" w:eastAsia="Amiri" w:cs="Amiri"/>
          <w:color w:val="111111"/>
          <w:sz w:val="28"/>
          <w:sz w:val="28"/>
          <w:szCs w:val="28"/>
          <w:rtl w:val="true"/>
          <w:lang w:bidi="ar-SA"/>
        </w:rPr>
        <w:t>هذا الخبرُ يَجري مَجرىٰ أخبارِ الآحادِ، و الألفاظُ المذكورةُ فيه مُختَلِفةٌ‌؛ ففيها</w:t>
      </w:r>
      <w:r>
        <w:rPr>
          <w:rStyle w:val="FootnoteAnchor"/>
          <w:rtl w:val="true"/>
        </w:rPr>
        <w:footnoteReference w:id="3130"/>
      </w:r>
      <w:r>
        <w:rPr>
          <w:rFonts w:ascii="Amiri" w:hAnsi="Amiri" w:eastAsia="Amiri" w:cs="Amiri"/>
          <w:color w:val="111111"/>
          <w:sz w:val="28"/>
          <w:sz w:val="28"/>
          <w:szCs w:val="28"/>
          <w:rtl w:val="true"/>
          <w:lang w:bidi="ar-SA"/>
        </w:rPr>
        <w:t>ما هو أظهَرُ مِن بعضٍ‌؛ لأنّ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مِن غيرِه، و مع تسليمِ ذلكَ فإنّهم</w:t>
      </w:r>
      <w:r>
        <w:rPr>
          <w:rStyle w:val="FootnoteAnchor"/>
          <w:rtl w:val="true"/>
        </w:rPr>
        <w:footnoteReference w:id="3131"/>
      </w:r>
      <w:r>
        <w:rPr>
          <w:rFonts w:ascii="Amiri" w:hAnsi="Amiri" w:eastAsia="Amiri" w:cs="Amiri"/>
          <w:color w:val="111111"/>
          <w:sz w:val="28"/>
          <w:sz w:val="28"/>
          <w:szCs w:val="28"/>
          <w:rtl w:val="true"/>
          <w:lang w:bidi="ar-SA"/>
        </w:rPr>
        <w:t>قد تَكلَّموا عليه؛ 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فسنَذكُرُ</w:t>
      </w:r>
      <w:r>
        <w:rPr>
          <w:rStyle w:val="FootnoteAnchor"/>
          <w:rtl w:val="true"/>
        </w:rPr>
        <w:footnoteReference w:id="3132"/>
      </w:r>
      <w:r>
        <w:rPr>
          <w:rFonts w:ascii="Amiri" w:hAnsi="Amiri" w:eastAsia="Amiri" w:cs="Amiri"/>
          <w:color w:val="111111"/>
          <w:sz w:val="28"/>
          <w:sz w:val="28"/>
          <w:szCs w:val="28"/>
          <w:rtl w:val="true"/>
          <w:lang w:bidi="ar-SA"/>
        </w:rPr>
        <w:t>القولَ فيه في بابِ‌</w:t>
      </w:r>
      <w:r>
        <w:rPr>
          <w:rStyle w:val="FootnoteAnchor"/>
          <w:rtl w:val="true"/>
        </w:rPr>
        <w:footnoteReference w:id="3133"/>
      </w:r>
      <w:r>
        <w:rPr>
          <w:rFonts w:ascii="Amiri" w:hAnsi="Amiri" w:eastAsia="Amiri" w:cs="Amiri"/>
          <w:color w:val="111111"/>
          <w:sz w:val="28"/>
          <w:sz w:val="28"/>
          <w:szCs w:val="28"/>
          <w:rtl w:val="true"/>
          <w:lang w:bidi="ar-SA"/>
        </w:rPr>
        <w:t>حَديثِ المؤاخاةِ‌</w:t>
      </w:r>
      <w:r>
        <w:rPr>
          <w:rStyle w:val="FootnoteAnchor"/>
          <w:rtl w:val="true"/>
        </w:rPr>
        <w:footnoteReference w:id="313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Style w:val="FootnoteAnchor"/>
          <w:rtl w:val="true"/>
        </w:rPr>
        <w:footnoteReference w:id="3135"/>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يَدخُلُ تحتَ الوصيّةِ إلّاما يَختَصُّ المُوصيَ مِن الأحوالِ‌، دونَ </w:t>
      </w:r>
      <w:r>
        <w:rPr>
          <w:rStyle w:val="FootnoteAnchor"/>
          <w:rtl w:val="true"/>
        </w:rPr>
        <w:footnoteReference w:id="3136"/>
      </w:r>
      <w:r>
        <w:rPr>
          <w:rFonts w:ascii="Amiri" w:hAnsi="Amiri" w:eastAsia="Amiri" w:cs="Amiri"/>
          <w:color w:val="111111"/>
          <w:sz w:val="28"/>
          <w:sz w:val="28"/>
          <w:szCs w:val="28"/>
          <w:rtl w:val="true"/>
          <w:lang w:bidi="ar-SA"/>
        </w:rPr>
        <w:t xml:space="preserve">ما يَتعلَّقُ بالدِّينِ و الشَّرعِ </w:t>
      </w:r>
      <w:r>
        <w:rPr>
          <w:rStyle w:val="FootnoteAnchor"/>
          <w:rtl w:val="true"/>
        </w:rPr>
        <w:footnoteReference w:id="3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أطنبَ في ذلكَ بما جُملتُه أنّ الوصيّةَ لا يَدخُلُ تحتَها معنَى الإمامةِ‌</w:t>
      </w:r>
      <w:r>
        <w:rPr>
          <w:rStyle w:val="FootnoteAnchor"/>
          <w:rtl w:val="true"/>
        </w:rPr>
        <w:footnoteReference w:id="3138"/>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قاضي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بعضُ ما تَناوَلَته</w:t>
      </w:r>
      <w:r>
        <w:rPr>
          <w:rStyle w:val="FootnoteAnchor"/>
          <w:rtl w:val="true"/>
        </w:rPr>
        <w:footnoteReference w:id="3139"/>
      </w:r>
      <w:r>
        <w:rPr>
          <w:rFonts w:ascii="Amiri" w:hAnsi="Amiri" w:eastAsia="Amiri" w:cs="Amiri"/>
          <w:color w:val="111111"/>
          <w:sz w:val="28"/>
          <w:sz w:val="28"/>
          <w:szCs w:val="28"/>
          <w:rtl w:val="true"/>
          <w:lang w:bidi="ar-SA"/>
        </w:rPr>
        <w:t>الوصيّةُ‌، فإذا كانَت لا تَدُلُّ علَى الإمامةِ‌</w:t>
      </w:r>
      <w:r>
        <w:rPr>
          <w:rStyle w:val="FootnoteAnchor"/>
          <w:rtl w:val="true"/>
        </w:rPr>
        <w:footnoteReference w:id="3140"/>
      </w:r>
      <w:r>
        <w:rPr>
          <w:rFonts w:ascii="Amiri" w:hAnsi="Amiri" w:eastAsia="Amiri" w:cs="Amiri"/>
          <w:color w:val="111111"/>
          <w:sz w:val="28"/>
          <w:sz w:val="28"/>
          <w:szCs w:val="28"/>
          <w:rtl w:val="true"/>
          <w:lang w:bidi="ar-SA"/>
        </w:rPr>
        <w:t>فبأنْ لا يَدُلَّ ذلكَ عليها أَولىٰ‌</w:t>
      </w:r>
      <w:r>
        <w:rPr>
          <w:rStyle w:val="FootnoteAnchor"/>
          <w:rtl w:val="true"/>
        </w:rPr>
        <w:footnoteReference w:id="3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الشُّبهةُ في الوصيّةِ المُطلَقَةِ‌، فأمّا إذا خُصَّت</w:t>
      </w:r>
      <w:r>
        <w:rPr>
          <w:rStyle w:val="FootnoteAnchor"/>
          <w:rtl w:val="true"/>
        </w:rPr>
        <w:footnoteReference w:id="3142"/>
      </w:r>
      <w:r>
        <w:rPr>
          <w:rFonts w:ascii="Amiri" w:hAnsi="Amiri" w:eastAsia="Amiri" w:cs="Amiri"/>
          <w:color w:val="111111"/>
          <w:sz w:val="28"/>
          <w:sz w:val="28"/>
          <w:szCs w:val="28"/>
          <w:rtl w:val="true"/>
          <w:lang w:bidi="ar-SA"/>
        </w:rPr>
        <w:t>بأمرٍ مخصوصٍ فلا شُبهةَ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رَوىٰ ذلكَ بكَسرِ الدالِ فقَد أبعَدَ</w:t>
      </w:r>
      <w:r>
        <w:rPr>
          <w:rStyle w:val="FootnoteAnchor"/>
          <w:rtl w:val="true"/>
        </w:rPr>
        <w:footnoteReference w:id="3143"/>
      </w:r>
      <w:r>
        <w:rPr>
          <w:rFonts w:ascii="Amiri" w:hAnsi="Amiri" w:eastAsia="Amiri" w:cs="Amiri"/>
          <w:color w:val="111111"/>
          <w:sz w:val="28"/>
          <w:sz w:val="28"/>
          <w:szCs w:val="28"/>
          <w:rtl w:val="true"/>
          <w:lang w:bidi="ar-SA"/>
        </w:rPr>
        <w:t>مِن جِهةِ الروايةِ‌؛ لأنّ‌</w:t>
      </w:r>
      <w:r>
        <w:rPr>
          <w:rStyle w:val="FootnoteAnchor"/>
          <w:rtl w:val="true"/>
        </w:rPr>
        <w:footnoteReference w:id="3144"/>
      </w:r>
      <w:r>
        <w:rPr>
          <w:rFonts w:ascii="Amiri" w:hAnsi="Amiri" w:eastAsia="Amiri" w:cs="Amiri"/>
          <w:color w:val="111111"/>
          <w:sz w:val="28"/>
          <w:sz w:val="28"/>
          <w:szCs w:val="28"/>
          <w:rtl w:val="true"/>
          <w:lang w:bidi="ar-SA"/>
        </w:rPr>
        <w:t>المشهورَ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شَيخُنا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اللفظَ مُضطَرِبٌ‌؛ لأنّ‌</w:t>
      </w:r>
      <w:r>
        <w:rPr>
          <w:rStyle w:val="FootnoteAnchor"/>
          <w:rtl w:val="true"/>
        </w:rPr>
        <w:footnoteReference w:id="3145"/>
      </w:r>
      <w:r>
        <w:rPr>
          <w:rFonts w:ascii="Amiri" w:hAnsi="Amiri" w:eastAsia="Amiri" w:cs="Amiri"/>
          <w:color w:val="111111"/>
          <w:sz w:val="28"/>
          <w:sz w:val="28"/>
          <w:szCs w:val="28"/>
          <w:rtl w:val="true"/>
          <w:lang w:bidi="ar-SA"/>
        </w:rPr>
        <w:t xml:space="preserve">القَضاءَ لا يُستَعمَلُ إلّافي الدَّينِ ، فأمّا في أداءِ الشرائعِ </w:t>
      </w:r>
      <w:r>
        <w:rPr>
          <w:rStyle w:val="FootnoteAnchor"/>
          <w:rtl w:val="true"/>
        </w:rPr>
        <w:footnoteReference w:id="3146"/>
      </w:r>
      <w:r>
        <w:rPr>
          <w:rFonts w:ascii="Amiri" w:hAnsi="Amiri" w:eastAsia="Amiri" w:cs="Amiri"/>
          <w:color w:val="111111"/>
          <w:sz w:val="28"/>
          <w:sz w:val="28"/>
          <w:szCs w:val="28"/>
          <w:rtl w:val="true"/>
          <w:lang w:bidi="ar-SA"/>
        </w:rPr>
        <w:t>و الدِّينِ فلا يُستَعمَلُ ؛ فإذا أُريدَ به معنَى الإخبارِ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قَضَينا</w:t>
      </w:r>
      <w:r>
        <w:rPr>
          <w:rStyle w:val="FootnoteAnchor"/>
          <w:rtl w:val="true"/>
        </w:rPr>
        <w:footnoteReference w:id="3147"/>
      </w:r>
      <w:r>
        <w:rPr>
          <w:rFonts w:ascii="Amiri" w:hAnsi="Amiri" w:eastAsia="Amiri" w:cs="Amiri"/>
          <w:color w:val="111111"/>
          <w:sz w:val="28"/>
          <w:sz w:val="28"/>
          <w:szCs w:val="28"/>
          <w:rtl w:val="true"/>
          <w:lang w:bidi="ar-SA"/>
        </w:rPr>
        <w:t xml:space="preserve">إليه، كَما قالَ تَعالىٰ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قَضَيْنٰا إِلىٰ بَنِي إِسْرٰائِيلَ فِي الْكِتٰابِ </w:t>
      </w:r>
      <w:r>
        <w:rPr>
          <w:rFonts w:eastAsia="Amiri" w:cs="Amiri" w:ascii="Amiri" w:hAnsi="Amiri"/>
          <w:color w:val="111111"/>
          <w:sz w:val="28"/>
          <w:szCs w:val="28"/>
          <w:rtl w:val="true"/>
          <w:lang w:bidi="ar-SA"/>
        </w:rPr>
        <w:t xml:space="preserve">) </w:t>
      </w:r>
      <w:r>
        <w:rPr>
          <w:rStyle w:val="FootnoteAnchor"/>
          <w:rtl w:val="true"/>
        </w:rPr>
        <w:footnoteReference w:id="3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عليه السلامُ </w:t>
      </w:r>
      <w:r>
        <w:rPr>
          <w:rStyle w:val="FootnoteAnchor"/>
          <w:rtl w:val="true"/>
        </w:rPr>
        <w:footnoteReference w:id="3149"/>
      </w:r>
      <w:r>
        <w:rPr>
          <w:rFonts w:ascii="Amiri" w:hAnsi="Amiri" w:eastAsia="Amiri" w:cs="Amiri"/>
          <w:color w:val="111111"/>
          <w:sz w:val="28"/>
          <w:sz w:val="28"/>
          <w:szCs w:val="28"/>
          <w:rtl w:val="true"/>
          <w:lang w:bidi="ar-SA"/>
        </w:rPr>
        <w:t xml:space="preserve">أرادَ </w:t>
      </w:r>
    </w:p>
    <w:p>
      <w:pPr>
        <w:pStyle w:val="BookText"/>
        <w:rPr/>
      </w:pPr>
      <w:r>
        <w:rPr>
          <w:rFonts w:ascii="Amiri" w:hAnsi="Amiri" w:eastAsia="Amiri" w:cs="Amiri"/>
          <w:color w:val="111111"/>
          <w:sz w:val="28"/>
          <w:sz w:val="28"/>
          <w:szCs w:val="28"/>
          <w:rtl w:val="true"/>
          <w:lang w:bidi="ar-SA"/>
        </w:rPr>
        <w:t>ذلكَ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دِيني إلىٰ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في هذا المَوضِعِ أن يُحذَفَ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لَيسَ بمُختارٍ</w:t>
      </w:r>
      <w:r>
        <w:rPr>
          <w:rStyle w:val="FootnoteAnchor"/>
          <w:rtl w:val="true"/>
        </w:rPr>
        <w:footnoteReference w:id="3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الوجهُ أيضاً يُضعِّفُ الخبرَ مِن جِهةِ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بذلكَ إن كانَ أنّه يؤدّي</w:t>
      </w:r>
      <w:r>
        <w:rPr>
          <w:rStyle w:val="FootnoteAnchor"/>
          <w:rtl w:val="true"/>
        </w:rPr>
        <w:footnoteReference w:id="3151"/>
      </w:r>
      <w:r>
        <w:rPr>
          <w:rFonts w:ascii="IRNazanin" w:hAnsi="IRNazanin" w:eastAsia="IRNazanin"/>
          <w:color w:val="111111"/>
          <w:sz w:val="28"/>
          <w:sz w:val="28"/>
          <w:szCs w:val="28"/>
          <w:rtl w:val="true"/>
          <w:lang w:bidi="fa-IR"/>
        </w:rPr>
        <w:t>عنه</w:t>
      </w:r>
      <w:r>
        <w:rPr>
          <w:rStyle w:val="FootnoteAnchor"/>
          <w:rtl w:val="true"/>
        </w:rPr>
        <w:footnoteReference w:id="3152"/>
      </w:r>
      <w:r>
        <w:rPr>
          <w:rFonts w:ascii="Amiri" w:hAnsi="Amiri" w:eastAsia="Amiri" w:cs="Amiri"/>
          <w:color w:val="111111"/>
          <w:sz w:val="28"/>
          <w:sz w:val="28"/>
          <w:szCs w:val="28"/>
          <w:rtl w:val="true"/>
          <w:lang w:bidi="ar-SA"/>
        </w:rPr>
        <w:t>ما تَحمَّلَه مِن الشرائعِ غيرَ ما لَم يَتحمَّلْه مِن الشرائعِ‌</w:t>
      </w:r>
      <w:r>
        <w:rPr>
          <w:rStyle w:val="FootnoteAnchor"/>
          <w:rtl w:val="true"/>
        </w:rPr>
        <w:footnoteReference w:id="3153"/>
      </w:r>
      <w:r>
        <w:rPr>
          <w:rFonts w:ascii="Amiri" w:hAnsi="Amiri" w:eastAsia="Amiri" w:cs="Amiri"/>
          <w:color w:val="111111"/>
          <w:sz w:val="28"/>
          <w:sz w:val="28"/>
          <w:szCs w:val="28"/>
          <w:rtl w:val="true"/>
          <w:lang w:bidi="ar-SA"/>
        </w:rPr>
        <w:t>، فحُكمُ غيرِه مِن الصَّحابةِ حُكمُه؛ فكَيفَ يَدُلُّ علَى الإمامةِ؟</w:t>
      </w:r>
      <w:r>
        <w:rPr>
          <w:rStyle w:val="FootnoteAnchor"/>
          <w:rtl w:val="true"/>
        </w:rPr>
        <w:footnoteReference w:id="3154"/>
      </w:r>
    </w:p>
    <w:p>
      <w:pPr>
        <w:pStyle w:val="BookText"/>
        <w:rPr/>
      </w:pPr>
      <w:r>
        <w:rPr>
          <w:rFonts w:ascii="Amiri" w:hAnsi="Amiri" w:eastAsia="Amiri" w:cs="Amiri"/>
          <w:color w:val="111111"/>
          <w:sz w:val="28"/>
          <w:sz w:val="28"/>
          <w:szCs w:val="28"/>
          <w:rtl w:val="true"/>
          <w:lang w:bidi="ar-SA"/>
        </w:rPr>
        <w:t>ثُمّ أتبَعَ ذلكَ بكلامٍ في هذا المعنىٰ لا طائلَ في حِكايتِه</w:t>
      </w:r>
      <w:r>
        <w:rPr>
          <w:rStyle w:val="FootnoteAnchor"/>
          <w:rtl w:val="true"/>
        </w:rPr>
        <w:footnoteReference w:id="3155"/>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خَليفتي مِن بَعدي</w:t>
      </w:r>
      <w:r>
        <w:rPr>
          <w:rFonts w:eastAsia="Amiri" w:cs="Amiri" w:ascii="Amiri" w:hAnsi="Amiri"/>
          <w:color w:val="111111"/>
          <w:sz w:val="28"/>
          <w:szCs w:val="28"/>
          <w:rtl w:val="true"/>
          <w:lang w:bidi="ar-SA"/>
        </w:rPr>
        <w:t>»</w:t>
      </w:r>
      <w:r>
        <w:rPr>
          <w:rStyle w:val="FootnoteAnchor"/>
          <w:rtl w:val="true"/>
        </w:rPr>
        <w:footnoteReference w:id="3156"/>
      </w:r>
      <w:r>
        <w:rPr>
          <w:rFonts w:ascii="Amiri" w:hAnsi="Amiri" w:eastAsia="Amiri" w:cs="Amiri"/>
          <w:color w:val="111111"/>
          <w:sz w:val="28"/>
          <w:sz w:val="28"/>
          <w:szCs w:val="28"/>
          <w:rtl w:val="true"/>
          <w:lang w:bidi="ar-SA"/>
        </w:rPr>
        <w:t xml:space="preserve">فغَيرُ معروفٍ ، و المعروفُ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خَليفتي</w:t>
      </w:r>
      <w:r>
        <w:rPr>
          <w:rStyle w:val="FootnoteAnchor"/>
          <w:rtl w:val="true"/>
        </w:rPr>
        <w:footnoteReference w:id="3157"/>
      </w:r>
      <w:r>
        <w:rPr>
          <w:rFonts w:ascii="Amiri" w:hAnsi="Amiri" w:eastAsia="Amiri" w:cs="Amiri"/>
          <w:color w:val="111111"/>
          <w:sz w:val="28"/>
          <w:sz w:val="28"/>
          <w:szCs w:val="28"/>
          <w:rtl w:val="true"/>
          <w:lang w:bidi="ar-SA"/>
        </w:rPr>
        <w:t>في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 يَدُلُّ علَى الإمامةِ ، بَل تخصيصُه </w:t>
      </w:r>
      <w:bookmarkStart w:id="566" w:name="pg20017_202714"/>
    </w:p>
    <w:p>
      <w:pPr>
        <w:pStyle w:val="BookText"/>
        <w:rPr/>
      </w:pPr>
      <w:bookmarkEnd w:id="566"/>
      <w:r>
        <w:rPr>
          <w:rFonts w:ascii="Amiri" w:hAnsi="Amiri" w:eastAsia="Amiri" w:cs="Amiri"/>
          <w:color w:val="111111"/>
          <w:sz w:val="28"/>
          <w:sz w:val="28"/>
          <w:szCs w:val="28"/>
          <w:rtl w:val="true"/>
          <w:lang w:bidi="ar-SA"/>
        </w:rPr>
        <w:t>بالأهلِ يَدُلُّ علىٰ أنّه أرادَ عليه السلامُ‌</w:t>
      </w:r>
      <w:r>
        <w:rPr>
          <w:rStyle w:val="FootnoteAnchor"/>
          <w:rtl w:val="true"/>
        </w:rPr>
        <w:footnoteReference w:id="3158"/>
      </w:r>
      <w:r>
        <w:rPr>
          <w:rFonts w:ascii="Amiri" w:hAnsi="Amiri" w:eastAsia="Amiri" w:cs="Amiri"/>
          <w:color w:val="111111"/>
          <w:sz w:val="28"/>
          <w:sz w:val="28"/>
          <w:szCs w:val="28"/>
          <w:rtl w:val="true"/>
          <w:lang w:bidi="ar-SA"/>
        </w:rPr>
        <w:t xml:space="preserve">أن يَقومَ بأحوالِهم التي كانَ </w:t>
      </w:r>
      <w:r>
        <w:rPr>
          <w:rStyle w:val="FootnoteAnchor"/>
          <w:rtl w:val="true"/>
        </w:rPr>
        <w:footnoteReference w:id="3159"/>
      </w:r>
      <w:r>
        <w:rPr>
          <w:rFonts w:ascii="Amiri" w:hAnsi="Amiri" w:eastAsia="Amiri" w:cs="Amiri"/>
          <w:color w:val="111111"/>
          <w:sz w:val="28"/>
          <w:sz w:val="28"/>
          <w:szCs w:val="28"/>
          <w:rtl w:val="true"/>
          <w:lang w:bidi="ar-SA"/>
        </w:rPr>
        <w:t>يَقومُ بها النبيُّ صَلَّى اللّٰهُ عليه و آلِه</w:t>
      </w:r>
      <w:r>
        <w:rPr>
          <w:rStyle w:val="FootnoteAnchor"/>
          <w:rtl w:val="true"/>
        </w:rPr>
        <w:footnoteReference w:id="3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فلَو كانَ ما تَعلَّقوا به حَقّاً لقَد كانَ عليه السلامُ يَدَّعي به النصَّ ، و لا يَستَجيزُ تَركَ ذِكرِه عندَ اختلافِ الأحوالِ في بابِ الإمامةِ ، علىٰ ما قَدَّمنا</w:t>
      </w:r>
      <w:r>
        <w:rPr>
          <w:rStyle w:val="FootnoteAnchor"/>
          <w:rtl w:val="true"/>
        </w:rPr>
        <w:footnoteReference w:id="3161"/>
      </w:r>
      <w:r>
        <w:rPr>
          <w:rFonts w:ascii="Amiri" w:hAnsi="Amiri" w:eastAsia="Amiri" w:cs="Amiri"/>
          <w:color w:val="111111"/>
          <w:sz w:val="28"/>
          <w:sz w:val="28"/>
          <w:szCs w:val="28"/>
          <w:rtl w:val="true"/>
          <w:lang w:bidi="ar-SA"/>
        </w:rPr>
        <w:t>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أنّ ما ثَبَتَ مِن إمامةِ أبي بَكرٍ ثُمَّ عُمَرَ</w:t>
      </w:r>
      <w:r>
        <w:rPr>
          <w:rStyle w:val="FootnoteAnchor"/>
          <w:rtl w:val="true"/>
        </w:rPr>
        <w:footnoteReference w:id="3162"/>
      </w:r>
      <w:r>
        <w:rPr>
          <w:rFonts w:ascii="Amiri" w:hAnsi="Amiri" w:eastAsia="Amiri" w:cs="Amiri"/>
          <w:color w:val="111111"/>
          <w:sz w:val="28"/>
          <w:sz w:val="28"/>
          <w:szCs w:val="28"/>
          <w:rtl w:val="true"/>
          <w:lang w:bidi="ar-SA"/>
        </w:rPr>
        <w:t xml:space="preserve">يَقتَضي صَرْفَ ما ظاهرُه الإمامةُ عن ظاهرِه، فبأن يَجِبَ لأجلِ ذلكَ إبطالُ التعلُّقِ بالمُحتَمِلِ مِن القَولِ أَولىٰ </w:t>
      </w:r>
      <w:r>
        <w:rPr>
          <w:rStyle w:val="FootnoteAnchor"/>
          <w:rtl w:val="true"/>
        </w:rPr>
        <w:footnoteReference w:id="3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964395_2320776876"/>
      <w:bookmarkStart w:id="568" w:name="_Toc201"/>
      <w:bookmarkEnd w:id="567"/>
      <w:r>
        <w:rPr>
          <w:rtl w:val="true"/>
        </w:rPr>
        <w:t>بيان تواتر حديث</w:t>
      </w:r>
      <w:r>
        <w:rPr>
          <w:rtl w:val="true"/>
        </w:rPr>
        <w:t>: «</w:t>
      </w:r>
      <w:r>
        <w:rPr>
          <w:rtl w:val="true"/>
        </w:rPr>
        <w:t>خليفتي من بعدي</w:t>
      </w:r>
      <w:r>
        <w:rPr>
          <w:rtl w:val="true"/>
        </w:rPr>
        <w:t>»</w:t>
      </w:r>
      <w:bookmarkEnd w:id="56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فيما تَقدَّمَ أنّ هذا الخبرَ الذي يَتضمَّنُ ذِكرَ الاستخلافِ قد تَواتَرَ النقلُ به، و وَرَدَ مَورِدَ الحُجّةِ ، و أنّه أحَدُ ألفاظِ النصِّ الذي يُلقِّبُه أصحابُنا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الجَليِّ </w:t>
      </w:r>
      <w:r>
        <w:rPr>
          <w:rFonts w:eastAsia="Amiri" w:cs="Amiri" w:ascii="Amiri" w:hAnsi="Amiri"/>
          <w:color w:val="111111"/>
          <w:sz w:val="28"/>
          <w:szCs w:val="28"/>
          <w:rtl w:val="true"/>
          <w:lang w:bidi="ar-SA"/>
        </w:rPr>
        <w:t>»</w:t>
      </w:r>
      <w:r>
        <w:rPr>
          <w:rStyle w:val="FootnoteAnchor"/>
          <w:rtl w:val="true"/>
        </w:rPr>
        <w:footnoteReference w:id="3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مُعتَبَرَ</w:t>
      </w:r>
      <w:r>
        <w:rPr>
          <w:rStyle w:val="FootnoteAnchor"/>
          <w:rtl w:val="true"/>
        </w:rPr>
        <w:footnoteReference w:id="3165"/>
      </w:r>
      <w:r>
        <w:rPr>
          <w:rFonts w:ascii="Amiri" w:hAnsi="Amiri" w:eastAsia="Amiri" w:cs="Amiri"/>
          <w:color w:val="111111"/>
          <w:sz w:val="28"/>
          <w:sz w:val="28"/>
          <w:szCs w:val="28"/>
          <w:rtl w:val="true"/>
          <w:lang w:bidi="ar-SA"/>
        </w:rPr>
        <w:t>بقَولِ شُيوخِهم</w:t>
      </w:r>
      <w:r>
        <w:rPr>
          <w:rStyle w:val="FootnoteAnchor"/>
          <w:rtl w:val="true"/>
        </w:rPr>
        <w:footnoteReference w:id="3166"/>
      </w:r>
      <w:r>
        <w:rPr>
          <w:rFonts w:ascii="Amiri" w:hAnsi="Amiri" w:eastAsia="Amiri" w:cs="Amiri"/>
          <w:color w:val="111111"/>
          <w:sz w:val="28"/>
          <w:sz w:val="28"/>
          <w:szCs w:val="28"/>
          <w:rtl w:val="true"/>
          <w:lang w:bidi="ar-SA"/>
        </w:rPr>
        <w:t>و اعتقادِهم في الخبرِ أنّه جارٍ مَجرَى الآحادِ؛ لأنّ ذلكَ إذا لَم يَكُن مُستَنِداً</w:t>
      </w:r>
      <w:r>
        <w:rPr>
          <w:rStyle w:val="FootnoteAnchor"/>
          <w:rtl w:val="true"/>
        </w:rPr>
        <w:footnoteReference w:id="3167"/>
      </w:r>
      <w:r>
        <w:rPr>
          <w:rFonts w:ascii="Amiri" w:hAnsi="Amiri" w:eastAsia="Amiri" w:cs="Amiri"/>
          <w:color w:val="111111"/>
          <w:sz w:val="28"/>
          <w:sz w:val="28"/>
          <w:szCs w:val="28"/>
          <w:rtl w:val="true"/>
          <w:lang w:bidi="ar-SA"/>
        </w:rPr>
        <w:t>إلىٰ حُجّةٍ لَم يَكُن قادِحاً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الخبرُ ممّا </w:t>
      </w:r>
      <w:bookmarkStart w:id="569" w:name="pg20017_202715"/>
    </w:p>
    <w:p>
      <w:pPr>
        <w:pStyle w:val="BookText"/>
        <w:rPr/>
      </w:pPr>
      <w:bookmarkEnd w:id="569"/>
      <w:r>
        <w:rPr>
          <w:rFonts w:ascii="IRNazanin" w:hAnsi="IRNazanin" w:eastAsia="IRNazanin"/>
          <w:color w:val="111111"/>
          <w:sz w:val="28"/>
          <w:sz w:val="28"/>
          <w:szCs w:val="28"/>
          <w:rtl w:val="true"/>
          <w:lang w:bidi="fa-IR"/>
        </w:rPr>
        <w:t>قد</w:t>
      </w:r>
      <w:r>
        <w:rPr>
          <w:rStyle w:val="FootnoteAnchor"/>
          <w:rtl w:val="true"/>
        </w:rPr>
        <w:footnoteReference w:id="3168"/>
      </w:r>
      <w:r>
        <w:rPr>
          <w:rFonts w:ascii="Amiri" w:hAnsi="Amiri" w:eastAsia="Amiri" w:cs="Amiri"/>
          <w:color w:val="111111"/>
          <w:sz w:val="28"/>
          <w:sz w:val="28"/>
          <w:szCs w:val="28"/>
          <w:rtl w:val="true"/>
          <w:lang w:bidi="ar-SA"/>
        </w:rPr>
        <w:t>رَواه العامّةُ و الخاصّةُ ، و لَم يَتفرَّدْ</w:t>
      </w:r>
      <w:r>
        <w:rPr>
          <w:rStyle w:val="FootnoteAnchor"/>
          <w:rtl w:val="true"/>
        </w:rPr>
        <w:footnoteReference w:id="3169"/>
      </w:r>
      <w:r>
        <w:rPr>
          <w:rFonts w:ascii="Amiri" w:hAnsi="Amiri" w:eastAsia="Amiri" w:cs="Amiri"/>
          <w:color w:val="111111"/>
          <w:sz w:val="28"/>
          <w:sz w:val="28"/>
          <w:szCs w:val="28"/>
          <w:rtl w:val="true"/>
          <w:lang w:bidi="ar-SA"/>
        </w:rPr>
        <w:t xml:space="preserve">به الشيعةُ ؛ غيرَ أنّا لا نَدفَعُ أن يَكونَ تَواتُرُ النقلِ به، و ورودُه مورِدَ الحُجّةِ و ما يَقتَضي العِلمَ ، ممّا يَختَصُّ طُرُقَ الشيعةِ </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964397_2320776876"/>
      <w:bookmarkStart w:id="571" w:name="_Toc202"/>
      <w:bookmarkEnd w:id="570"/>
      <w:r>
        <w:rPr>
          <w:rtl w:val="true"/>
        </w:rPr>
        <w:t>بيان اللفظ الدالّ على الإمامة من بين ألفاظ الحديث الذي نقله القاضي</w:t>
      </w:r>
      <w:bookmarkEnd w:id="571"/>
    </w:p>
    <w:p>
      <w:pPr>
        <w:pStyle w:val="BookText"/>
        <w:rPr/>
      </w:pPr>
      <w:r>
        <w:rPr>
          <w:rFonts w:ascii="Amiri" w:hAnsi="Amiri" w:eastAsia="Amiri" w:cs="Amiri"/>
          <w:color w:val="111111"/>
          <w:sz w:val="28"/>
          <w:sz w:val="28"/>
          <w:szCs w:val="28"/>
          <w:rtl w:val="true"/>
          <w:lang w:bidi="ar-SA"/>
        </w:rPr>
        <w:t xml:space="preserve">و المُعتَمَدُ مِن لفظِ هذا الخبرِ في الدَّلالةِ علَى النصِّ بالإمامةِ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باقي الألفاظِ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فلا معنىٰ لتَشاغُلِه بالكلامِ علىٰ أنّ الوصيّةَ تَختَصُّ في العُرفِ بأُمورٍ مخصوصةٍ لا تَعلُّقَ للإمامةِ بها؛ فذلك مُسلَّمٌ لا خلافَ فيه،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الروايةُ بكَسرِ الدالِ فما نَعرِفُها</w:t>
      </w:r>
      <w:r>
        <w:rPr>
          <w:rStyle w:val="FootnoteAnchor"/>
          <w:rtl w:val="true"/>
        </w:rPr>
        <w:footnoteReference w:id="3170"/>
      </w:r>
      <w:r>
        <w:rPr>
          <w:rFonts w:ascii="Amiri" w:hAnsi="Amiri" w:eastAsia="Amiri" w:cs="Amiri"/>
          <w:color w:val="111111"/>
          <w:sz w:val="28"/>
          <w:sz w:val="28"/>
          <w:szCs w:val="28"/>
          <w:rtl w:val="true"/>
          <w:lang w:bidi="ar-SA"/>
        </w:rPr>
        <w:t>، و هي إذا كانَت معروفةً صَحيحةً دالّةٌ علىٰ معنَى الإمامةِ و الاستخلافِ ؛ لأنّ أحَدَ أقسامِ ما يَحتَمِلُه لفظُ</w:t>
      </w:r>
      <w:r>
        <w:rPr>
          <w:rStyle w:val="FootnoteAnchor"/>
          <w:rtl w:val="true"/>
        </w:rPr>
        <w:footnoteReference w:id="3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 و لهذا سُمِّيَ الحاكمُ قاضياً، و إذا</w:t>
      </w:r>
      <w:r>
        <w:rPr>
          <w:rStyle w:val="FootnoteAnchor"/>
          <w:rtl w:val="true"/>
        </w:rPr>
        <w:footnoteReference w:id="3172"/>
      </w:r>
      <w:r>
        <w:rPr>
          <w:rFonts w:ascii="Amiri" w:hAnsi="Amiri" w:eastAsia="Amiri" w:cs="Amiri"/>
          <w:color w:val="111111"/>
          <w:sz w:val="28"/>
          <w:sz w:val="28"/>
          <w:szCs w:val="28"/>
          <w:rtl w:val="true"/>
          <w:lang w:bidi="ar-SA"/>
        </w:rPr>
        <w:t>أُضيفَ ذلكَ إلَى الدِّينِ فكأنّه صَلَّى اللّٰهُ عليه و آلِه</w:t>
      </w:r>
      <w:r>
        <w:rPr>
          <w:rStyle w:val="FootnoteAnchor"/>
          <w:rtl w:val="true"/>
        </w:rPr>
        <w:footnoteReference w:id="31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حاكُم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الحاكمُ في دِينِه بَعدَه لا يَكونُ إلّاالإمامَ أو مَن يَجري مَجراه مِن وُلاتِه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 أبي هاشِمٍ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الكلامَ يَحتاجُ إلىٰ زيادةٍ ، و أنّه كانَ يَجِبُ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دِيني إلىٰ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إنّما كانَ </w:t>
      </w:r>
      <w:r>
        <w:rPr>
          <w:rStyle w:val="FootnoteAnchor"/>
          <w:rtl w:val="true"/>
        </w:rPr>
        <w:footnoteReference w:id="3174"/>
      </w:r>
      <w:r>
        <w:rPr>
          <w:rFonts w:ascii="Amiri" w:hAnsi="Amiri" w:eastAsia="Amiri" w:cs="Amiri"/>
          <w:color w:val="111111"/>
          <w:sz w:val="28"/>
          <w:sz w:val="28"/>
          <w:szCs w:val="28"/>
          <w:rtl w:val="true"/>
          <w:lang w:bidi="ar-SA"/>
        </w:rPr>
        <w:t xml:space="preserve">يَجِبُ لَو أرادَ بلفظِ القَضاءِ الإخبارَ؛ </w:t>
      </w:r>
    </w:p>
    <w:p>
      <w:pPr>
        <w:pStyle w:val="BookText"/>
        <w:rPr/>
      </w:pPr>
      <w:r>
        <w:rPr>
          <w:rFonts w:ascii="Amiri" w:hAnsi="Amiri" w:eastAsia="Amiri" w:cs="Amiri"/>
          <w:color w:val="111111"/>
          <w:sz w:val="28"/>
          <w:sz w:val="28"/>
          <w:szCs w:val="28"/>
          <w:rtl w:val="true"/>
          <w:lang w:bidi="ar-SA"/>
        </w:rPr>
        <w:t xml:space="preserve">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يُحتاجُ إليها مِن</w:t>
      </w:r>
      <w:r>
        <w:rPr>
          <w:rStyle w:val="FootnoteAnchor"/>
          <w:rtl w:val="true"/>
        </w:rPr>
        <w:footnoteReference w:id="3175"/>
      </w:r>
      <w:r>
        <w:rPr>
          <w:rFonts w:ascii="Amiri" w:hAnsi="Amiri" w:eastAsia="Amiri" w:cs="Amiri"/>
          <w:color w:val="111111"/>
          <w:sz w:val="28"/>
          <w:sz w:val="28"/>
          <w:szCs w:val="28"/>
          <w:rtl w:val="true"/>
          <w:lang w:bidi="ar-SA"/>
        </w:rPr>
        <w:t xml:space="preserve">هذا الوجهِ ، فأمّا إذا أُريدَ بالقَضاءِ الحُكمُ فذلكَ غيرُ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ادّعاؤه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معروفٍ‌، و أنّ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خَليفتي في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فيهما إلّامعروفٌ ظاهرٌ في الروايةِ‌، و لَيسَ في ثُبوتِ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خَليفتي في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لقَولِه في حالٍ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Style w:val="FootnoteAnchor"/>
          <w:rtl w:val="true"/>
        </w:rPr>
        <w:footnoteReference w:id="3176"/>
      </w:r>
      <w:r>
        <w:rPr>
          <w:rFonts w:ascii="Amiri" w:hAnsi="Amiri" w:eastAsia="Amiri" w:cs="Amiri"/>
          <w:color w:val="111111"/>
          <w:sz w:val="28"/>
          <w:sz w:val="28"/>
          <w:szCs w:val="28"/>
          <w:rtl w:val="true"/>
          <w:lang w:bidi="ar-SA"/>
        </w:rPr>
        <w:t>خَليفتي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عادةِ صاحبِ الكتابِ أن يُضَعِّفَ كُلَّ ما يُحِسُّ فيه بمكانِ الحُجّةِ‌، و لِهذا قالَ في أوّلِ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مِن سائرِ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 هذا</w:t>
      </w:r>
      <w:r>
        <w:rPr>
          <w:rStyle w:val="FootnoteAnchor"/>
          <w:rtl w:val="true"/>
        </w:rPr>
        <w:footnoteReference w:id="3177"/>
      </w:r>
      <w:r>
        <w:rPr>
          <w:rFonts w:ascii="Amiri" w:hAnsi="Amiri" w:eastAsia="Amiri" w:cs="Amiri"/>
          <w:color w:val="111111"/>
          <w:sz w:val="28"/>
          <w:sz w:val="28"/>
          <w:szCs w:val="28"/>
          <w:rtl w:val="true"/>
          <w:lang w:bidi="ar-SA"/>
        </w:rPr>
        <w:t>اللفظُ أبعَدَ مِن معنَى الإمامةِ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لَو صِرنا إلىٰ ما يُريدُ</w:t>
      </w:r>
      <w:r>
        <w:rPr>
          <w:rStyle w:val="FootnoteAnchor"/>
          <w:rtl w:val="true"/>
        </w:rPr>
        <w:footnoteReference w:id="3178"/>
      </w:r>
      <w:r>
        <w:rPr>
          <w:rFonts w:ascii="Amiri" w:hAnsi="Amiri" w:eastAsia="Amiri" w:cs="Amiri"/>
          <w:color w:val="111111"/>
          <w:sz w:val="28"/>
          <w:sz w:val="28"/>
          <w:szCs w:val="28"/>
          <w:rtl w:val="true"/>
          <w:lang w:bidi="ar-SA"/>
        </w:rPr>
        <w:t>، و فَرَضنَا أنّ الخبرَ لَم يَرِدْ إلّابقَولِه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Style w:val="FootnoteAnchor"/>
          <w:rtl w:val="true"/>
        </w:rPr>
        <w:footnoteReference w:id="3179"/>
      </w:r>
      <w:r>
        <w:rPr>
          <w:rFonts w:ascii="Amiri" w:hAnsi="Amiri" w:eastAsia="Amiri" w:cs="Amiri"/>
          <w:color w:val="111111"/>
          <w:sz w:val="28"/>
          <w:sz w:val="28"/>
          <w:szCs w:val="28"/>
          <w:rtl w:val="true"/>
          <w:lang w:bidi="ar-SA"/>
        </w:rPr>
        <w:t>خَليفتي في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نَصّاً في الإمامةِ </w:t>
      </w:r>
      <w:r>
        <w:rPr>
          <w:rStyle w:val="FootnoteAnchor"/>
          <w:rtl w:val="true"/>
        </w:rPr>
        <w:footnoteReference w:id="3180"/>
      </w:r>
      <w:r>
        <w:rPr>
          <w:rFonts w:ascii="Amiri" w:hAnsi="Amiri" w:eastAsia="Amiri" w:cs="Amiri"/>
          <w:color w:val="111111"/>
          <w:sz w:val="28"/>
          <w:sz w:val="28"/>
          <w:szCs w:val="28"/>
          <w:rtl w:val="true"/>
          <w:lang w:bidi="ar-SA"/>
        </w:rPr>
        <w:t>لأنّ مَن يَخلُفُ النبيَّ صَلَّى اللّٰهُ عليه و آلِه هو مَن يَقومُ فيمن كانَ خَليفةً عليه بما كانَ صَلَّى اللّٰهُ عليه و آلِه</w:t>
      </w:r>
      <w:r>
        <w:rPr>
          <w:rStyle w:val="FootnoteAnchor"/>
          <w:rtl w:val="true"/>
        </w:rPr>
        <w:footnoteReference w:id="3181"/>
      </w:r>
      <w:r>
        <w:rPr>
          <w:rFonts w:ascii="Amiri" w:hAnsi="Amiri" w:eastAsia="Amiri" w:cs="Amiri"/>
          <w:color w:val="111111"/>
          <w:sz w:val="28"/>
          <w:sz w:val="28"/>
          <w:szCs w:val="28"/>
          <w:rtl w:val="true"/>
          <w:lang w:bidi="ar-SA"/>
        </w:rPr>
        <w:t>يَقومُ به، و يَجِبُ له مِن امتثالِ أمرِه و فَرضِ طاعتِه ما وَجَبَ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ثَبَتَ هذا المعنىٰ بَعدَ النبيِّ صَلَّى اللّٰهُ عليه و آلِه لأميرِ المؤمنينَ عليه السلامُ في واحدٍ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ثَبَتَت</w:t>
      </w:r>
      <w:r>
        <w:rPr>
          <w:rStyle w:val="FootnoteAnchor"/>
          <w:rtl w:val="true"/>
        </w:rPr>
        <w:footnoteReference w:id="3182"/>
      </w:r>
      <w:r>
        <w:rPr>
          <w:rFonts w:ascii="Amiri" w:hAnsi="Amiri" w:eastAsia="Amiri" w:cs="Amiri"/>
          <w:color w:val="111111"/>
          <w:sz w:val="28"/>
          <w:sz w:val="28"/>
          <w:szCs w:val="28"/>
          <w:rtl w:val="true"/>
          <w:lang w:bidi="ar-SA"/>
        </w:rPr>
        <w:t xml:space="preserve">له الإمامةُ ؛ لأنّ </w:t>
      </w:r>
    </w:p>
    <w:p>
      <w:pPr>
        <w:pStyle w:val="BookText"/>
        <w:rPr/>
      </w:pPr>
      <w:r>
        <w:rPr>
          <w:rFonts w:ascii="Amiri" w:hAnsi="Amiri" w:eastAsia="Amiri" w:cs="Amiri"/>
          <w:color w:val="111111"/>
          <w:sz w:val="28"/>
          <w:sz w:val="28"/>
          <w:szCs w:val="28"/>
          <w:rtl w:val="true"/>
          <w:lang w:bidi="ar-SA"/>
        </w:rPr>
        <w:t>مَن تَجِبُ‌</w:t>
      </w:r>
      <w:r>
        <w:rPr>
          <w:rStyle w:val="FootnoteAnchor"/>
          <w:rtl w:val="true"/>
        </w:rPr>
        <w:footnoteReference w:id="3183"/>
      </w:r>
      <w:r>
        <w:rPr>
          <w:rFonts w:ascii="Amiri" w:hAnsi="Amiri" w:eastAsia="Amiri" w:cs="Amiri"/>
          <w:color w:val="111111"/>
          <w:sz w:val="28"/>
          <w:sz w:val="28"/>
          <w:szCs w:val="28"/>
          <w:rtl w:val="true"/>
          <w:lang w:bidi="ar-SA"/>
        </w:rPr>
        <w:t xml:space="preserve">طاعتُه و الانتهاءُ إلىٰ أمرِه و نهيِه لا بُدَّ أن يَكونَ إماماً أو والياً مِن قِبَلِ الإمامِ‌؛ لأنّ </w:t>
      </w:r>
      <w:r>
        <w:rPr>
          <w:rStyle w:val="FootnoteAnchor"/>
          <w:rtl w:val="true"/>
        </w:rPr>
        <w:footnoteReference w:id="3184"/>
      </w:r>
      <w:r>
        <w:rPr>
          <w:rFonts w:ascii="Amiri" w:hAnsi="Amiri" w:eastAsia="Amiri" w:cs="Amiri"/>
          <w:color w:val="111111"/>
          <w:sz w:val="28"/>
          <w:sz w:val="28"/>
          <w:szCs w:val="28"/>
          <w:rtl w:val="true"/>
          <w:lang w:bidi="ar-SA"/>
        </w:rPr>
        <w:t>حُكمَ الأهلِ في تدبيرِهم و القيامِ بأُمورِهم حُكمُ غيرِهم مِن الأُمّةِ ؛ فمَن وَجَبَ ذلكَ له علَى الأهلِ وَجَبَ له علَى الكُلِّ ، و مَن لَم يَجِبْ له أحَدُ الأمرَينِ لَم يَجِبْ له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بالخِلافةِ عليهم معنَى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الوصيّةَ‌</w:t>
      </w:r>
      <w:r>
        <w:rPr>
          <w:rStyle w:val="FootnoteAnchor"/>
          <w:rtl w:val="true"/>
        </w:rPr>
        <w:footnoteReference w:id="3185"/>
      </w:r>
      <w:r>
        <w:rPr>
          <w:rFonts w:ascii="Amiri" w:hAnsi="Amiri" w:eastAsia="Amiri" w:cs="Amiri"/>
          <w:color w:val="111111"/>
          <w:sz w:val="28"/>
          <w:sz w:val="28"/>
          <w:szCs w:val="28"/>
          <w:rtl w:val="true"/>
          <w:lang w:bidi="ar-SA"/>
        </w:rPr>
        <w:t>قد تَقدَّمَت في الكلامِ مُصرَّحاً بها</w:t>
      </w:r>
      <w:r>
        <w:rPr>
          <w:rStyle w:val="FootnoteAnchor"/>
          <w:rtl w:val="true"/>
        </w:rPr>
        <w:footnoteReference w:id="3186"/>
      </w:r>
      <w:r>
        <w:rPr>
          <w:rFonts w:ascii="Amiri" w:hAnsi="Amiri" w:eastAsia="Amiri" w:cs="Amiri"/>
          <w:color w:val="111111"/>
          <w:sz w:val="28"/>
          <w:sz w:val="28"/>
          <w:szCs w:val="28"/>
          <w:rtl w:val="true"/>
          <w:lang w:bidi="ar-SA"/>
        </w:rPr>
        <w:t>، فلا معنىٰ لإدخالِها تحتَ لفظٍ آخَرَ علىٰ سَبيلِ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فإنّ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مَقامَ المُستَخلِفِ في جميعِ ما كانَ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يَختَصُّ الاستخلافُ و الخِلافةِ </w:t>
      </w:r>
      <w:r>
        <w:rPr>
          <w:rStyle w:val="FootnoteAnchor"/>
          <w:rtl w:val="true"/>
        </w:rPr>
        <w:footnoteReference w:id="3187"/>
      </w:r>
      <w:r>
        <w:rPr>
          <w:rFonts w:ascii="Amiri" w:hAnsi="Amiri" w:eastAsia="Amiri" w:cs="Amiri"/>
          <w:color w:val="111111"/>
          <w:sz w:val="28"/>
          <w:sz w:val="28"/>
          <w:szCs w:val="28"/>
          <w:rtl w:val="true"/>
          <w:lang w:bidi="ar-SA"/>
        </w:rPr>
        <w:t xml:space="preserve">في بَعضِ الأحوالِ بإضافاتٍ تَدخُلُ علَى الكلامِ ، و إلّافالإطلاقُ </w:t>
      </w:r>
      <w:r>
        <w:rPr>
          <w:rStyle w:val="FootnoteAnchor"/>
          <w:rtl w:val="true"/>
        </w:rPr>
        <w:footnoteReference w:id="3188"/>
      </w:r>
      <w:r>
        <w:rPr>
          <w:rFonts w:ascii="Amiri" w:hAnsi="Amiri" w:eastAsia="Amiri" w:cs="Amiri"/>
          <w:color w:val="111111"/>
          <w:sz w:val="28"/>
          <w:sz w:val="28"/>
          <w:szCs w:val="28"/>
          <w:rtl w:val="true"/>
          <w:lang w:bidi="ar-SA"/>
        </w:rPr>
        <w:t>في العُرفِ يَقتَضي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كانَ ذلكَ حَقّاً، لَكانَ عليه السلامُ يَذكُرُه عندَ الاختلافِ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مَضىٰ فيما تَقدَّمَ مِن كلامِنا في هذا ما فيه كِفايةٌ ، و بيّنّا السببَ المانعَ مِن ذِكرِ ذلكَ ، و أنّه لا دَلالةَ في تَركِ ذِكرِه علىٰ أنّه لَم يَكُن</w:t>
      </w:r>
      <w:r>
        <w:rPr>
          <w:rStyle w:val="FootnoteAnchor"/>
          <w:rtl w:val="true"/>
        </w:rPr>
        <w:footnoteReference w:id="318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في آخِرِ الفَصلِ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ثُبوتَ إمامةِ فُلانٍ و فُلانٍ يَقتَضي</w:t>
      </w:r>
      <w:r>
        <w:rPr>
          <w:rStyle w:val="FootnoteAnchor"/>
          <w:rtl w:val="true"/>
        </w:rPr>
        <w:footnoteReference w:id="3190"/>
      </w:r>
      <w:r>
        <w:rPr>
          <w:rFonts w:ascii="Amiri" w:hAnsi="Amiri" w:eastAsia="Amiri" w:cs="Amiri"/>
          <w:color w:val="111111"/>
          <w:sz w:val="28"/>
          <w:sz w:val="28"/>
          <w:szCs w:val="28"/>
          <w:rtl w:val="true"/>
          <w:lang w:bidi="ar-SA"/>
        </w:rPr>
        <w:t xml:space="preserve">صَرفَ ما ظاهرُه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الإمامةُ عن ظاهرِه، فبأن يَجِبَ ذلكَ في المُحتَمِلِ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مَضىٰ أيضاً فيما سَلَفَ أنّ هذا الخبرَ و أمثالَه مِن ألفاظِ النصِّ غيرُ مُحتَمِلٍ‌، و أنّ ظَواهِرَها و حَقائقَها تَقتَضي النصَّ بالإمامةِ </w:t>
      </w:r>
      <w:r>
        <w:rPr>
          <w:rStyle w:val="FootnoteAnchor"/>
          <w:rtl w:val="true"/>
        </w:rPr>
        <w:footnoteReference w:id="3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يَثبُتْ ما ادَّعاه مِن إمامةِ مَن ذَكَرَه 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ثُبوتِها علىٰ وَجهٍ غيرِ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فيُنصَرَفَ لذلكَ عن ظواهرِ النُّصوصِ ؛ و إنّما يُحيلُ علىٰ ما يأتي مِن كلامِه في هذا المعنىٰ ، و إذا بَلَغنا إليه بيّنّا ما فيه، بعَونِ اللّٰهِ تَعالىٰ </w:t>
      </w:r>
      <w:r>
        <w:rPr>
          <w:rStyle w:val="FootnoteAnchor"/>
          <w:rtl w:val="true"/>
        </w:rPr>
        <w:footnoteReference w:id="3192"/>
      </w:r>
      <w:r>
        <w:rPr>
          <w:rFonts w:eastAsia="Times New Roman" w:cs="Times New Roman" w:ascii="Times New Roman" w:hAnsi="Times New Roman"/>
          <w:color w:val="111111"/>
          <w:sz w:val="28"/>
          <w:szCs w:val="28"/>
          <w:rtl w:val="true"/>
          <w:lang w:val="en-US" w:bidi="en-US"/>
        </w:rPr>
        <w:t xml:space="preserve">. </w:t>
      </w:r>
      <w:bookmarkStart w:id="572" w:name="pg20017_202719"/>
    </w:p>
    <w:p>
      <w:pPr>
        <w:pStyle w:val="Heading4"/>
        <w:numPr>
          <w:ilvl w:val="3"/>
          <w:numId w:val="1"/>
        </w:numPr>
        <w:rPr/>
      </w:pPr>
      <w:bookmarkStart w:id="573" w:name="__RefHeading___Toc964399_2320776876"/>
      <w:bookmarkStart w:id="574" w:name="_Toc203"/>
      <w:bookmarkEnd w:id="572"/>
      <w:bookmarkEnd w:id="573"/>
      <w:r>
        <w:rPr>
          <w:rtl w:val="true"/>
        </w:rPr>
        <w:t>الدليل الثاني عشر حديث المؤاخاة</w:t>
      </w:r>
      <w:bookmarkEnd w:id="574"/>
    </w:p>
    <w:p>
      <w:pPr>
        <w:pStyle w:val="Heading5"/>
        <w:numPr>
          <w:ilvl w:val="4"/>
          <w:numId w:val="1"/>
        </w:numPr>
        <w:rPr/>
      </w:pPr>
      <w:bookmarkStart w:id="575" w:name="__RefHeading___Toc964401_2320776876"/>
      <w:bookmarkStart w:id="576" w:name="_Toc204"/>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لهُم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الخَلقُ منهم بحَديثِ المؤاخاةِ‌، و أنّه عليه السلامُ‌</w:t>
      </w:r>
      <w:r>
        <w:rPr>
          <w:rStyle w:val="FootnoteAnchor"/>
          <w:rtl w:val="true"/>
        </w:rPr>
        <w:footnoteReference w:id="3193"/>
      </w:r>
      <w:r>
        <w:rPr>
          <w:rFonts w:ascii="Amiri" w:hAnsi="Amiri" w:eastAsia="Amiri" w:cs="Amiri"/>
          <w:color w:val="111111"/>
          <w:sz w:val="28"/>
          <w:sz w:val="28"/>
          <w:szCs w:val="28"/>
          <w:rtl w:val="true"/>
          <w:lang w:bidi="ar-SA"/>
        </w:rPr>
        <w:t>قَصَدَ إلىٰ أمرٍ زائدٍ علىٰ ما تَقتَضيهِ الأُخوّةُ في الدِّينِ ؛ لأنّه لَو أرادَ ذلكَ لَم يَكُن لِيَخُصَّ بعضاً دونَ بعضٍ بأُخوّةِ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صَحَّ أنّ المَقصَدَ أمرٌ زائدٌ، فلَيسَ إلّاإبانةَ الاختصاصِ و التقارُبِ بَينَ مَن آخىٰ بَينَهما؛ فإذا آخىٰ بَينَ عليٍّ عليه السلامُ و بَينَه</w:t>
      </w:r>
      <w:r>
        <w:rPr>
          <w:rStyle w:val="FootnoteAnchor"/>
          <w:rtl w:val="true"/>
        </w:rPr>
        <w:footnoteReference w:id="3194"/>
      </w:r>
      <w:r>
        <w:rPr>
          <w:rFonts w:ascii="Amiri" w:hAnsi="Amiri" w:eastAsia="Amiri" w:cs="Amiri"/>
          <w:color w:val="111111"/>
          <w:sz w:val="28"/>
          <w:sz w:val="28"/>
          <w:szCs w:val="28"/>
          <w:rtl w:val="true"/>
          <w:lang w:bidi="ar-SA"/>
        </w:rPr>
        <w:t xml:space="preserve">، فقَد دَلَّ علىٰ أنّه أخَصُّ الناسِ به، و أقرَبُهم إليه، و أفضَلُهم بَعدَه، و ذلكَ يَقتَضي أنّه أَولىٰ بالإمامةِ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إذا سُلِّمَ فإنّما يَدُلُّ علىٰ أنّه أفضَلُ مِن غيرِه، أو علىٰ </w:t>
      </w:r>
      <w:r>
        <w:rPr>
          <w:rStyle w:val="FootnoteAnchor"/>
          <w:rtl w:val="true"/>
        </w:rPr>
        <w:footnoteReference w:id="3195"/>
      </w:r>
      <w:r>
        <w:rPr>
          <w:rFonts w:ascii="Amiri" w:hAnsi="Amiri" w:eastAsia="Amiri" w:cs="Amiri"/>
          <w:color w:val="111111"/>
          <w:sz w:val="28"/>
          <w:sz w:val="28"/>
          <w:szCs w:val="28"/>
          <w:rtl w:val="true"/>
          <w:lang w:bidi="ar-SA"/>
        </w:rPr>
        <w:t xml:space="preserve">أنّه أقرَبُهم </w:t>
      </w:r>
    </w:p>
    <w:p>
      <w:pPr>
        <w:pStyle w:val="BookText"/>
        <w:rPr/>
      </w:pPr>
      <w:r>
        <w:rPr>
          <w:rFonts w:ascii="Amiri" w:hAnsi="Amiri" w:eastAsia="Amiri" w:cs="Amiri"/>
          <w:color w:val="111111"/>
          <w:sz w:val="28"/>
          <w:sz w:val="28"/>
          <w:szCs w:val="28"/>
          <w:rtl w:val="true"/>
          <w:lang w:bidi="ar-SA"/>
        </w:rPr>
        <w:t>إلىٰ قلبِه و</w:t>
      </w:r>
      <w:r>
        <w:rPr>
          <w:rStyle w:val="FootnoteAnchor"/>
          <w:rtl w:val="true"/>
        </w:rPr>
        <w:footnoteReference w:id="3196"/>
      </w:r>
      <w:r>
        <w:rPr>
          <w:rFonts w:ascii="Amiri" w:hAnsi="Amiri" w:eastAsia="Amiri" w:cs="Amiri"/>
          <w:color w:val="111111"/>
          <w:sz w:val="28"/>
          <w:sz w:val="28"/>
          <w:szCs w:val="28"/>
          <w:rtl w:val="true"/>
          <w:lang w:bidi="ar-SA"/>
        </w:rPr>
        <w:t>أحَبُّهم إليه، أو علىٰ جميعِ ذلكَ‌، فأمّا أن يَدُلَّ علَى الإمامةِ فبَعيدٌ؛ لأنّه</w:t>
      </w:r>
      <w:r>
        <w:rPr>
          <w:rStyle w:val="FootnoteAnchor"/>
          <w:rtl w:val="true"/>
        </w:rPr>
        <w:footnoteReference w:id="3197"/>
      </w:r>
      <w:r>
        <w:rPr>
          <w:rFonts w:ascii="Amiri" w:hAnsi="Amiri" w:eastAsia="Amiri" w:cs="Amiri"/>
          <w:color w:val="111111"/>
          <w:sz w:val="28"/>
          <w:sz w:val="28"/>
          <w:szCs w:val="28"/>
          <w:rtl w:val="true"/>
          <w:lang w:bidi="ar-SA"/>
        </w:rPr>
        <w:t>لَيسَ في ظاهرِ المؤاخاةِ و لا في مَعانيها ما يَقتَضي ذلكَ‌، و لَو كانَت المؤاخاةُ تَقتَضي هذا المعنىٰ لَكانَ‌</w:t>
      </w:r>
      <w:r>
        <w:rPr>
          <w:rStyle w:val="FootnoteAnchor"/>
          <w:rtl w:val="true"/>
        </w:rPr>
        <w:footnoteReference w:id="3198"/>
      </w:r>
      <w:r>
        <w:rPr>
          <w:rFonts w:ascii="Amiri" w:hAnsi="Amiri" w:eastAsia="Amiri" w:cs="Amiri"/>
          <w:color w:val="111111"/>
          <w:sz w:val="28"/>
          <w:sz w:val="28"/>
          <w:szCs w:val="28"/>
          <w:rtl w:val="true"/>
          <w:lang w:bidi="ar-SA"/>
        </w:rPr>
        <w:t>عليه السلامُ‌</w:t>
      </w:r>
      <w:r>
        <w:rPr>
          <w:rStyle w:val="FootnoteAnchor"/>
          <w:rtl w:val="true"/>
        </w:rPr>
        <w:footnoteReference w:id="3199"/>
      </w:r>
      <w:r>
        <w:rPr>
          <w:rFonts w:ascii="Amiri" w:hAnsi="Amiri" w:eastAsia="Amiri" w:cs="Amiri"/>
          <w:color w:val="111111"/>
          <w:sz w:val="28"/>
          <w:sz w:val="28"/>
          <w:szCs w:val="28"/>
          <w:rtl w:val="true"/>
          <w:lang w:bidi="ar-SA"/>
        </w:rPr>
        <w:t>مِن حيثُ آخىٰ بَينَ أبي بَكرٍ و عُمَرَ أن يَكونَ عُمَرُ خَليفتَه</w:t>
      </w:r>
      <w:r>
        <w:rPr>
          <w:rStyle w:val="FootnoteAnchor"/>
          <w:rtl w:val="true"/>
        </w:rPr>
        <w:footnoteReference w:id="3200"/>
      </w:r>
      <w:r>
        <w:rPr>
          <w:rFonts w:ascii="Amiri" w:hAnsi="Amiri" w:eastAsia="Amiri" w:cs="Amiri"/>
          <w:color w:val="111111"/>
          <w:sz w:val="28"/>
          <w:sz w:val="28"/>
          <w:szCs w:val="28"/>
          <w:rtl w:val="true"/>
          <w:lang w:bidi="ar-SA"/>
        </w:rPr>
        <w:t>مِن غيرِ عَهدٍ إليه، فلمّا طَلَبَت الصَّحابةُ منه</w:t>
      </w:r>
      <w:r>
        <w:rPr>
          <w:rStyle w:val="FootnoteAnchor"/>
          <w:rtl w:val="true"/>
        </w:rPr>
        <w:footnoteReference w:id="3201"/>
      </w:r>
      <w:r>
        <w:rPr>
          <w:rFonts w:ascii="Amiri" w:hAnsi="Amiri" w:eastAsia="Amiri" w:cs="Amiri"/>
          <w:color w:val="111111"/>
          <w:sz w:val="28"/>
          <w:sz w:val="28"/>
          <w:szCs w:val="28"/>
          <w:rtl w:val="true"/>
          <w:lang w:bidi="ar-SA"/>
        </w:rPr>
        <w:t>أن يَعهَدَ إلىٰ غيرِه بَطَلَ هذا القولُ‌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شَيخُنا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قَصَدَ عليه السلامُ بالمؤاخاةِ التآلُفَ‌</w:t>
      </w:r>
      <w:r>
        <w:rPr>
          <w:rStyle w:val="FootnoteAnchor"/>
          <w:rtl w:val="true"/>
        </w:rPr>
        <w:footnoteReference w:id="3202"/>
      </w:r>
      <w:r>
        <w:rPr>
          <w:rFonts w:ascii="Amiri" w:hAnsi="Amiri" w:eastAsia="Amiri" w:cs="Amiri"/>
          <w:color w:val="111111"/>
          <w:sz w:val="28"/>
          <w:sz w:val="28"/>
          <w:szCs w:val="28"/>
          <w:rtl w:val="true"/>
          <w:lang w:bidi="ar-SA"/>
        </w:rPr>
        <w:t>و الاستنابةَ‌</w:t>
      </w:r>
      <w:r>
        <w:rPr>
          <w:rStyle w:val="FootnoteAnchor"/>
          <w:rtl w:val="true"/>
        </w:rPr>
        <w:footnoteReference w:id="3203"/>
      </w:r>
      <w:r>
        <w:rPr>
          <w:rFonts w:ascii="Amiri" w:hAnsi="Amiri" w:eastAsia="Amiri" w:cs="Amiri"/>
          <w:color w:val="111111"/>
          <w:sz w:val="28"/>
          <w:sz w:val="28"/>
          <w:szCs w:val="28"/>
          <w:rtl w:val="true"/>
          <w:lang w:bidi="ar-SA"/>
        </w:rPr>
        <w:t>و البَعثَ‌</w:t>
      </w:r>
      <w:r>
        <w:rPr>
          <w:rStyle w:val="FootnoteAnchor"/>
          <w:rtl w:val="true"/>
        </w:rPr>
        <w:footnoteReference w:id="3204"/>
      </w:r>
      <w:r>
        <w:rPr>
          <w:rFonts w:ascii="Amiri" w:hAnsi="Amiri" w:eastAsia="Amiri" w:cs="Amiri"/>
          <w:color w:val="111111"/>
          <w:sz w:val="28"/>
          <w:sz w:val="28"/>
          <w:szCs w:val="28"/>
          <w:rtl w:val="true"/>
          <w:lang w:bidi="ar-SA"/>
        </w:rPr>
        <w:t xml:space="preserve">علَى المَعونةِ و المواساةِ‌؛ و لذلكَ لمّا آخىٰ بَينَ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Style w:val="FootnoteAnchor"/>
          <w:rtl w:val="true"/>
        </w:rPr>
        <w:footnoteReference w:id="3205"/>
      </w:r>
      <w:r>
        <w:rPr>
          <w:rFonts w:ascii="Amiri" w:hAnsi="Amiri" w:eastAsia="Amiri" w:cs="Amiri"/>
          <w:color w:val="111111"/>
          <w:sz w:val="28"/>
          <w:sz w:val="28"/>
          <w:szCs w:val="28"/>
          <w:rtl w:val="true"/>
          <w:lang w:bidi="ar-SA"/>
        </w:rPr>
        <w:t>غَيرِه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مالي، فخُذْ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رُويَ في هذا البابِ‌</w:t>
      </w:r>
      <w:r>
        <w:rPr>
          <w:rStyle w:val="FootnoteAnchor"/>
          <w:rtl w:val="true"/>
        </w:rPr>
        <w:footnoteReference w:id="3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المُهاجِرونَ في ابتداءِ الهِجرةِ في شِدّةٍ و ضيقٍ ، فأرادَ عليه السلامُ بالمؤاخاةِ بَينَ بعضِهم و بَينَ الأنصارِ طَريقةَ المَعونةِ ؛ و لمّا كانَ أميرُ المؤمنينَ عليه السلامُ أقرَبَهم إليه </w:t>
      </w:r>
      <w:bookmarkStart w:id="577" w:name="pg20017_202721"/>
    </w:p>
    <w:p>
      <w:pPr>
        <w:pStyle w:val="BookText"/>
        <w:rPr/>
      </w:pPr>
      <w:bookmarkEnd w:id="577"/>
      <w:r>
        <w:rPr>
          <w:rFonts w:ascii="Amiri" w:hAnsi="Amiri" w:eastAsia="Amiri" w:cs="Amiri"/>
          <w:color w:val="111111"/>
          <w:sz w:val="28"/>
          <w:sz w:val="28"/>
          <w:szCs w:val="28"/>
          <w:rtl w:val="true"/>
          <w:lang w:bidi="ar-SA"/>
        </w:rPr>
        <w:t xml:space="preserve">في هذه الوجوهِ </w:t>
      </w:r>
      <w:r>
        <w:rPr>
          <w:rStyle w:val="FootnoteAnchor"/>
          <w:rtl w:val="true"/>
        </w:rPr>
        <w:footnoteReference w:id="3207"/>
      </w:r>
      <w:r>
        <w:rPr>
          <w:rFonts w:ascii="Amiri" w:hAnsi="Amiri" w:eastAsia="Amiri" w:cs="Amiri"/>
          <w:color w:val="111111"/>
          <w:sz w:val="28"/>
          <w:sz w:val="28"/>
          <w:szCs w:val="28"/>
          <w:rtl w:val="true"/>
          <w:lang w:bidi="ar-SA"/>
        </w:rPr>
        <w:t>، آخىٰ بَينَه و بَينَ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أنّ ما يَدُلُّ علىٰ كَونِه أفضَلَ منهم</w:t>
      </w:r>
      <w:r>
        <w:rPr>
          <w:rStyle w:val="FootnoteAnchor"/>
          <w:rtl w:val="true"/>
        </w:rPr>
        <w:footnoteReference w:id="3208"/>
      </w:r>
      <w:r>
        <w:rPr>
          <w:rFonts w:ascii="Amiri" w:hAnsi="Amiri" w:eastAsia="Amiri" w:cs="Amiri"/>
          <w:color w:val="111111"/>
          <w:sz w:val="28"/>
          <w:sz w:val="28"/>
          <w:szCs w:val="28"/>
          <w:rtl w:val="true"/>
          <w:lang w:bidi="ar-SA"/>
        </w:rPr>
        <w:t>لا يَدُلُّ علَى الإمامةِ ؛ فإن</w:t>
      </w:r>
      <w:r>
        <w:rPr>
          <w:rStyle w:val="FootnoteAnchor"/>
          <w:rtl w:val="true"/>
        </w:rPr>
        <w:footnoteReference w:id="3209"/>
      </w:r>
      <w:r>
        <w:rPr>
          <w:rFonts w:ascii="Amiri" w:hAnsi="Amiri" w:eastAsia="Amiri" w:cs="Amiri"/>
          <w:color w:val="111111"/>
          <w:sz w:val="28"/>
          <w:sz w:val="28"/>
          <w:szCs w:val="28"/>
          <w:rtl w:val="true"/>
          <w:lang w:bidi="ar-SA"/>
        </w:rPr>
        <w:t>دَلَّ الخبرُ علىٰ كَونِه</w:t>
      </w:r>
      <w:r>
        <w:rPr>
          <w:rStyle w:val="FootnoteAnchor"/>
          <w:rtl w:val="true"/>
        </w:rPr>
        <w:footnoteReference w:id="3210"/>
      </w:r>
      <w:r>
        <w:rPr>
          <w:rFonts w:ascii="Amiri" w:hAnsi="Amiri" w:eastAsia="Amiri" w:cs="Amiri"/>
          <w:color w:val="111111"/>
          <w:sz w:val="28"/>
          <w:sz w:val="28"/>
          <w:szCs w:val="28"/>
          <w:rtl w:val="true"/>
          <w:lang w:bidi="ar-SA"/>
        </w:rPr>
        <w:t xml:space="preserve">أفضَلَ منهم، لَم يَجِبْ أن يَكونَ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قَدَّمناه</w:t>
      </w:r>
      <w:r>
        <w:rPr>
          <w:rFonts w:eastAsia="Amiri" w:cs="Amiri" w:ascii="Amiri" w:hAnsi="Amiri"/>
          <w:color w:val="111111"/>
          <w:sz w:val="28"/>
          <w:szCs w:val="28"/>
          <w:rtl w:val="true"/>
          <w:lang w:bidi="ar-SA"/>
        </w:rPr>
        <w:t>]</w:t>
      </w:r>
      <w:r>
        <w:rPr>
          <w:rStyle w:val="FootnoteAnchor"/>
          <w:rtl w:val="true"/>
        </w:rPr>
        <w:footnoteReference w:id="3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964403_2320776876"/>
      <w:bookmarkStart w:id="579" w:name="_Toc205"/>
      <w:bookmarkEnd w:id="578"/>
      <w:r>
        <w:rPr>
          <w:rtl w:val="true"/>
        </w:rPr>
        <w:t>بيان دلالة بعض الأفعال و الأقوال على الإمامة</w:t>
      </w:r>
      <w:bookmarkEnd w:id="579"/>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في ابتداءِ كلامِنا</w:t>
      </w:r>
      <w:r>
        <w:rPr>
          <w:rStyle w:val="FootnoteAnchor"/>
          <w:rtl w:val="true"/>
        </w:rPr>
        <w:footnoteReference w:id="3212"/>
      </w:r>
      <w:r>
        <w:rPr>
          <w:rFonts w:ascii="Amiri" w:hAnsi="Amiri" w:eastAsia="Amiri" w:cs="Amiri"/>
          <w:color w:val="111111"/>
          <w:sz w:val="28"/>
          <w:sz w:val="28"/>
          <w:szCs w:val="28"/>
          <w:rtl w:val="true"/>
          <w:lang w:bidi="ar-SA"/>
        </w:rPr>
        <w:t>في النصِّ‌</w:t>
      </w:r>
      <w:r>
        <w:rPr>
          <w:rStyle w:val="FootnoteAnchor"/>
          <w:rtl w:val="true"/>
        </w:rPr>
        <w:footnoteReference w:id="3213"/>
      </w:r>
      <w:r>
        <w:rPr>
          <w:rFonts w:ascii="Amiri" w:hAnsi="Amiri" w:eastAsia="Amiri" w:cs="Amiri"/>
          <w:color w:val="111111"/>
          <w:sz w:val="28"/>
          <w:sz w:val="28"/>
          <w:szCs w:val="28"/>
          <w:rtl w:val="true"/>
          <w:lang w:bidi="ar-SA"/>
        </w:rPr>
        <w:t>أنّ النصَّ مِن النبيِّ صَلَّى اللّٰهُ عليه و آلِه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ما يَدُلُّ بلفظِه و صَريحِه علَى الإمامةِ‌، و منه ما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كانَ أو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بضَربٍ مِن الترتيبِ و التنزيلِ‌؛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أمرٍ وَقَعَ منه عليه السلامُ مِن قولٍ أو فِعلٍ يَدُلُّ علىٰ تَميُّزِ أميرِ المؤمنينَ عليه السلامُ مِن الجماعةِ‌</w:t>
      </w:r>
      <w:r>
        <w:rPr>
          <w:rStyle w:val="FootnoteAnchor"/>
          <w:rtl w:val="true"/>
        </w:rPr>
        <w:footnoteReference w:id="3214"/>
      </w:r>
      <w:r>
        <w:rPr>
          <w:rFonts w:ascii="Amiri" w:hAnsi="Amiri" w:eastAsia="Amiri" w:cs="Amiri"/>
          <w:color w:val="111111"/>
          <w:sz w:val="28"/>
          <w:sz w:val="28"/>
          <w:szCs w:val="28"/>
          <w:rtl w:val="true"/>
          <w:lang w:bidi="ar-SA"/>
        </w:rPr>
        <w:t>، و اختصاصِه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الرُّتَبِ‌</w:t>
      </w:r>
      <w:r>
        <w:rPr>
          <w:rStyle w:val="FootnoteAnchor"/>
          <w:rtl w:val="true"/>
        </w:rPr>
        <w:footnoteReference w:id="3215"/>
      </w:r>
      <w:r>
        <w:rPr>
          <w:rFonts w:ascii="Amiri" w:hAnsi="Amiri" w:eastAsia="Amiri" w:cs="Amiri"/>
          <w:color w:val="111111"/>
          <w:sz w:val="28"/>
          <w:sz w:val="28"/>
          <w:szCs w:val="28"/>
          <w:rtl w:val="true"/>
          <w:lang w:bidi="ar-SA"/>
        </w:rPr>
        <w:t xml:space="preserve">العاليةِ و المَنازِلِ الساميةِ بما لَيسَ لهُم، فهو دالٌّ علَى النصِّ بالإمامةِ ؛ مِن حَيثُ كانَ دالاًّ علىٰ عِظَمِ المَنزِلةِ و قوّةِ الفَضلِ </w:t>
      </w:r>
      <w:r>
        <w:rPr>
          <w:rStyle w:val="FootnoteAnchor"/>
          <w:rtl w:val="true"/>
        </w:rPr>
        <w:footnoteReference w:id="3216"/>
      </w:r>
      <w:r>
        <w:rPr>
          <w:rFonts w:ascii="Amiri" w:hAnsi="Amiri" w:eastAsia="Amiri" w:cs="Amiri"/>
          <w:color w:val="111111"/>
          <w:sz w:val="28"/>
          <w:sz w:val="28"/>
          <w:szCs w:val="28"/>
          <w:rtl w:val="true"/>
          <w:lang w:bidi="ar-SA"/>
        </w:rPr>
        <w:t>، و الإمامةُ هي أعلىٰ مَنازِلِ الدِّينِ بَعدَ النبوّةِ ؛ فمَن كانَ أفضَلَ في الدِّينِ ، و أعظَمَ قَدْراً فيه</w:t>
      </w:r>
      <w:r>
        <w:rPr>
          <w:rStyle w:val="FootnoteAnchor"/>
          <w:rtl w:val="true"/>
        </w:rPr>
        <w:footnoteReference w:id="3217"/>
      </w:r>
      <w:r>
        <w:rPr>
          <w:rFonts w:ascii="Amiri" w:hAnsi="Amiri" w:eastAsia="Amiri" w:cs="Amiri"/>
          <w:color w:val="111111"/>
          <w:sz w:val="28"/>
          <w:sz w:val="28"/>
          <w:szCs w:val="28"/>
          <w:rtl w:val="true"/>
          <w:lang w:bidi="ar-SA"/>
        </w:rPr>
        <w:t>، و أثبَتَ قَدَماً</w:t>
      </w:r>
      <w:r>
        <w:rPr>
          <w:rStyle w:val="FootnoteAnchor"/>
          <w:rtl w:val="true"/>
        </w:rPr>
        <w:footnoteReference w:id="3218"/>
      </w:r>
      <w:r>
        <w:rPr>
          <w:rFonts w:ascii="Amiri" w:hAnsi="Amiri" w:eastAsia="Amiri" w:cs="Amiri"/>
          <w:color w:val="111111"/>
          <w:sz w:val="28"/>
          <w:sz w:val="28"/>
          <w:szCs w:val="28"/>
          <w:rtl w:val="true"/>
          <w:lang w:bidi="ar-SA"/>
        </w:rPr>
        <w:t xml:space="preserve">في </w:t>
      </w:r>
      <w:bookmarkStart w:id="580" w:name="pg20017_202722"/>
    </w:p>
    <w:p>
      <w:pPr>
        <w:pStyle w:val="BookText"/>
        <w:rPr/>
      </w:pPr>
      <w:bookmarkEnd w:id="580"/>
      <w:r>
        <w:rPr>
          <w:rFonts w:ascii="Amiri" w:hAnsi="Amiri" w:eastAsia="Amiri" w:cs="Amiri"/>
          <w:color w:val="111111"/>
          <w:sz w:val="28"/>
          <w:sz w:val="28"/>
          <w:szCs w:val="28"/>
          <w:rtl w:val="true"/>
          <w:lang w:bidi="ar-SA"/>
        </w:rPr>
        <w:t>مَنازِلِه، فهو أَولىٰ بها؛ و كانَ مَن دُلَّ علىٰ ذلكَ مِن حالِه</w:t>
      </w:r>
      <w:r>
        <w:rPr>
          <w:rStyle w:val="FootnoteAnchor"/>
          <w:rtl w:val="true"/>
        </w:rPr>
        <w:footnoteReference w:id="3219"/>
      </w:r>
      <w:r>
        <w:rPr>
          <w:rFonts w:ascii="Amiri" w:hAnsi="Amiri" w:eastAsia="Amiri" w:cs="Amiri"/>
          <w:color w:val="111111"/>
          <w:sz w:val="28"/>
          <w:sz w:val="28"/>
          <w:szCs w:val="28"/>
          <w:rtl w:val="true"/>
          <w:lang w:bidi="ar-SA"/>
        </w:rPr>
        <w:t>قد دُلَّ علىٰ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المُلوكِ لَو تابَعَ بَينَ أقوالٍ و 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عُمُرِه و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w:t>
      </w:r>
      <w:r>
        <w:rPr>
          <w:rStyle w:val="FootnoteAnchor"/>
          <w:rtl w:val="true"/>
        </w:rPr>
        <w:footnoteReference w:id="3220"/>
      </w:r>
      <w:r>
        <w:rPr>
          <w:rFonts w:ascii="Amiri" w:hAnsi="Amiri" w:eastAsia="Amiri" w:cs="Amiri"/>
          <w:color w:val="111111"/>
          <w:sz w:val="28"/>
          <w:sz w:val="28"/>
          <w:szCs w:val="28"/>
          <w:rtl w:val="true"/>
          <w:lang w:bidi="ar-SA"/>
        </w:rPr>
        <w:t>في بعضِ أصحابِه علىٰ فَضلٍ شديدٍ، و اختصاصٍ وَكيدٍ، و قُربٍ منه في المَودّةِ و النُّصرةِ و المُخالَصةِ‌</w:t>
      </w:r>
      <w:r>
        <w:rPr>
          <w:rStyle w:val="FootnoteAnchor"/>
          <w:rtl w:val="true"/>
        </w:rPr>
        <w:footnoteReference w:id="3221"/>
      </w:r>
      <w:r>
        <w:rPr>
          <w:rFonts w:ascii="Amiri" w:hAnsi="Amiri" w:eastAsia="Amiri" w:cs="Amiri"/>
          <w:color w:val="111111"/>
          <w:sz w:val="28"/>
          <w:sz w:val="28"/>
          <w:szCs w:val="28"/>
          <w:rtl w:val="true"/>
          <w:lang w:bidi="ar-SA"/>
        </w:rPr>
        <w:t>، لَكانَ ذلكَ عندَ ذَوي العاداتِ بهذه الأفعالِ مُرَشِّحاً له لأعلَى المَنازِلِ‌</w:t>
      </w:r>
      <w:r>
        <w:rPr>
          <w:rStyle w:val="FootnoteAnchor"/>
          <w:rtl w:val="true"/>
        </w:rPr>
        <w:footnoteReference w:id="3222"/>
      </w:r>
      <w:r>
        <w:rPr>
          <w:rFonts w:ascii="Amiri" w:hAnsi="Amiri" w:eastAsia="Amiri" w:cs="Amiri"/>
          <w:color w:val="111111"/>
          <w:sz w:val="28"/>
          <w:sz w:val="28"/>
          <w:szCs w:val="28"/>
          <w:rtl w:val="true"/>
          <w:lang w:bidi="ar-SA"/>
        </w:rPr>
        <w:t xml:space="preserve">بَعدَه، و كالدالِّ </w:t>
      </w:r>
      <w:r>
        <w:rPr>
          <w:rStyle w:val="FootnoteAnchor"/>
          <w:rtl w:val="true"/>
        </w:rPr>
        <w:footnoteReference w:id="3223"/>
      </w:r>
      <w:r>
        <w:rPr>
          <w:rFonts w:ascii="Amiri" w:hAnsi="Amiri" w:eastAsia="Amiri" w:cs="Amiri"/>
          <w:color w:val="111111"/>
          <w:sz w:val="28"/>
          <w:sz w:val="28"/>
          <w:szCs w:val="28"/>
          <w:rtl w:val="true"/>
          <w:lang w:bidi="ar-SA"/>
        </w:rPr>
        <w:t xml:space="preserve">علَى استحقاقِه لأفضَلِ الرُّتَبِ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كانَت دَلالةُ هذه الأفعالِ أقوىٰ مِن دَلالةِ الأقوالِ ؛ لأنّ الأقوالَ يَدخُلُها المَجازُ الذي لا يَدخُلُ هذه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3224"/>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 أنّ الخبرَ يَدُلُّ علَى الفَضلِ ، لَم يَكُن فيه</w:t>
      </w:r>
      <w:r>
        <w:rPr>
          <w:rStyle w:val="FootnoteAnchor"/>
          <w:rtl w:val="true"/>
        </w:rPr>
        <w:footnoteReference w:id="3225"/>
      </w:r>
      <w:r>
        <w:rPr>
          <w:rFonts w:ascii="Amiri" w:hAnsi="Amiri" w:eastAsia="Amiri" w:cs="Amiri"/>
          <w:color w:val="111111"/>
          <w:sz w:val="28"/>
          <w:sz w:val="28"/>
          <w:szCs w:val="28"/>
          <w:rtl w:val="true"/>
          <w:lang w:bidi="ar-SA"/>
        </w:rPr>
        <w:t>دَلالةٌ علَى الإمامةِ ؛ لأنّ الأفضَلَ لا يَجِبُ أن يَكونَ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ممّا قد بيّنّا فَسادَه فيما تَقدَّم، و دَلَّلنا علىٰ أنّ الإمامَ لا بُدَّ أن يَكونَ الأفضَلَ ، و أنّه لا يَجوزُ أن يَكونَ مفضولاً؛ فلا حاجةَ بنا إلىٰ إعادةِ ما قَدَّمناه في ذلكَ </w:t>
      </w:r>
      <w:r>
        <w:rPr>
          <w:rFonts w:eastAsia="Amiri" w:cs="Amiri" w:ascii="Amiri" w:hAnsi="Amiri"/>
          <w:color w:val="111111"/>
          <w:sz w:val="28"/>
          <w:szCs w:val="28"/>
          <w:rtl w:val="true"/>
          <w:lang w:bidi="ar-SA"/>
        </w:rPr>
        <w:t>.</w:t>
      </w:r>
      <w:r>
        <w:rPr>
          <w:rStyle w:val="FootnoteAnchor"/>
          <w:rtl w:val="true"/>
        </w:rPr>
        <w:footnoteReference w:id="3226"/>
      </w:r>
    </w:p>
    <w:p>
      <w:pPr>
        <w:pStyle w:val="Heading5"/>
        <w:numPr>
          <w:ilvl w:val="4"/>
          <w:numId w:val="1"/>
        </w:numPr>
        <w:rPr/>
      </w:pPr>
      <w:bookmarkStart w:id="581" w:name="__RefHeading___Toc964405_2320776876"/>
      <w:bookmarkStart w:id="582" w:name="_Toc206"/>
      <w:bookmarkEnd w:id="581"/>
      <w:r>
        <w:rPr>
          <w:rtl w:val="true"/>
        </w:rPr>
        <w:t>دلالة المؤاخاة على التقارب في المنزلة</w:t>
      </w:r>
      <w:bookmarkEnd w:id="58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ذِكرُ المؤاخاةِ بَينَ أبي بَكرٍ و عُمَرَ، و ظَنُّه أنّ ذلكَ يوجِبُ أن يَكونَ عُمَرُ خَليفتَه</w:t>
      </w:r>
      <w:r>
        <w:rPr>
          <w:rStyle w:val="FootnoteAnchor"/>
          <w:rtl w:val="true"/>
        </w:rPr>
        <w:footnoteReference w:id="3227"/>
      </w:r>
      <w:r>
        <w:rPr>
          <w:rFonts w:ascii="Amiri" w:hAnsi="Amiri" w:eastAsia="Amiri" w:cs="Amiri"/>
          <w:color w:val="111111"/>
          <w:sz w:val="28"/>
          <w:sz w:val="28"/>
          <w:szCs w:val="28"/>
          <w:rtl w:val="true"/>
          <w:lang w:bidi="ar-SA"/>
        </w:rPr>
        <w:t xml:space="preserve">مِن غيرِ عَهدٍ إليه، فنَحنُ نَقولُ في المؤاخاةِ بَينَ أبي بَكرٍ و عُمَرَ مِثلَ </w:t>
      </w:r>
      <w:bookmarkStart w:id="583" w:name="pg20017_202723"/>
    </w:p>
    <w:p>
      <w:pPr>
        <w:pStyle w:val="BookText"/>
        <w:rPr/>
      </w:pPr>
      <w:bookmarkEnd w:id="583"/>
      <w:r>
        <w:rPr>
          <w:rFonts w:ascii="Amiri" w:hAnsi="Amiri" w:eastAsia="Amiri" w:cs="Amiri"/>
          <w:color w:val="111111"/>
          <w:sz w:val="28"/>
          <w:sz w:val="28"/>
          <w:szCs w:val="28"/>
          <w:rtl w:val="true"/>
          <w:lang w:bidi="ar-SA"/>
        </w:rPr>
        <w:t xml:space="preserve">ما قُلناه في المؤاخاةِ بَينَ النبيِّ صَلَّى اللّٰهُ عليه و آلِه و بَينَ </w:t>
      </w:r>
      <w:r>
        <w:rPr>
          <w:rStyle w:val="FootnoteAnchor"/>
          <w:rtl w:val="true"/>
        </w:rPr>
        <w:footnoteReference w:id="3228"/>
      </w:r>
      <w:r>
        <w:rPr>
          <w:rFonts w:ascii="Amiri" w:hAnsi="Amiri" w:eastAsia="Amiri" w:cs="Amiri"/>
          <w:color w:val="111111"/>
          <w:sz w:val="28"/>
          <w:sz w:val="28"/>
          <w:szCs w:val="28"/>
          <w:rtl w:val="true"/>
          <w:lang w:bidi="ar-SA"/>
        </w:rPr>
        <w:t>أميرِ المؤمنينَ عليه السلامُ ، و المؤاخاةُ بَينَهما تَدُلُّ علىٰ تَقارُبِ مَنزِلتِهما و تَداني أحوالِهما، و أنّ ما يَصلُحُ له كُلُّ واحدٍ منهما يَصلُحُ له الآخَرُ، و أنّ عُمَرَ حَقيقٌ بمَقامِ أبي بَكرٍ و أَولىٰ مِن غيرِه به؛ و هذا هو المعنَى الذي أثبَتناه في المؤاخاةِ التي تَقدَّمَت</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964407_2320776876"/>
      <w:bookmarkStart w:id="585" w:name="_Toc207"/>
      <w:bookmarkEnd w:id="584"/>
      <w:r>
        <w:rPr>
          <w:rtl w:val="true"/>
        </w:rPr>
        <w:t>بيان تكرّر واقعة المؤاخاة، و تعيين المؤاخاة الدالّة على الإمامة</w:t>
      </w:r>
      <w:bookmarkEnd w:id="585"/>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المؤاخاةَ إنّما كانَ الغرضُ فيها</w:t>
      </w:r>
      <w:r>
        <w:rPr>
          <w:rStyle w:val="FootnoteAnchor"/>
          <w:rtl w:val="true"/>
        </w:rPr>
        <w:footnoteReference w:id="3229"/>
      </w:r>
      <w:r>
        <w:rPr>
          <w:rFonts w:ascii="Amiri" w:hAnsi="Amiri" w:eastAsia="Amiri" w:cs="Amiri"/>
          <w:color w:val="111111"/>
          <w:sz w:val="28"/>
          <w:sz w:val="28"/>
          <w:szCs w:val="28"/>
          <w:rtl w:val="true"/>
          <w:lang w:bidi="ar-SA"/>
        </w:rPr>
        <w:t>طريقةَ المَعونةِ و المواساةِ‌؛ للشدّةِ‌</w:t>
      </w:r>
    </w:p>
    <w:p>
      <w:pPr>
        <w:pStyle w:val="BookText"/>
        <w:rPr/>
      </w:pPr>
      <w:r>
        <w:rPr>
          <w:rFonts w:ascii="Amiri" w:hAnsi="Amiri" w:eastAsia="Amiri" w:cs="Amiri"/>
          <w:color w:val="111111"/>
          <w:sz w:val="28"/>
          <w:sz w:val="28"/>
          <w:szCs w:val="28"/>
          <w:rtl w:val="true"/>
          <w:lang w:bidi="ar-SA"/>
        </w:rPr>
        <w:t>التي كانَ المُهاجِرونَ فيها مِن ابتداءِ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فغَلَطٌ؛ و ذلكَ لأنّا</w:t>
      </w:r>
      <w:r>
        <w:rPr>
          <w:rStyle w:val="FootnoteAnchor"/>
          <w:rtl w:val="true"/>
        </w:rPr>
        <w:footnoteReference w:id="3230"/>
      </w:r>
      <w:r>
        <w:rPr>
          <w:rFonts w:ascii="Amiri" w:hAnsi="Amiri" w:eastAsia="Amiri" w:cs="Amiri"/>
          <w:color w:val="111111"/>
          <w:sz w:val="28"/>
          <w:sz w:val="28"/>
          <w:szCs w:val="28"/>
          <w:rtl w:val="true"/>
          <w:lang w:bidi="ar-SA"/>
        </w:rPr>
        <w:t>لَم نَستَدِلَّ بهذه المؤاخاةِ علَى الفَضلِ و التقدُّمِ‌، بَل لَم يؤاخِ النبيُّ صَلَّى اللّٰهُ عليه و آلِه في هذه المؤاخاةِ بَينَ أميرِ المؤمنينَ و بَينَ نفسِه، و إنّما</w:t>
      </w:r>
      <w:r>
        <w:rPr>
          <w:rStyle w:val="FootnoteAnchor"/>
          <w:rtl w:val="true"/>
        </w:rPr>
        <w:footnoteReference w:id="3231"/>
      </w:r>
      <w:r>
        <w:rPr>
          <w:rFonts w:ascii="Amiri" w:hAnsi="Amiri" w:eastAsia="Amiri" w:cs="Amiri"/>
          <w:color w:val="111111"/>
          <w:sz w:val="28"/>
          <w:sz w:val="28"/>
          <w:szCs w:val="28"/>
          <w:rtl w:val="true"/>
          <w:lang w:bidi="ar-SA"/>
        </w:rPr>
        <w:t>آخىٰ بَينَ كُلِّ رَجُلٍ مِن الأنصارِ و رَجُلٍ مِن المُهاجِرينَ‌؛</w:t>
      </w:r>
      <w:r>
        <w:rPr>
          <w:rStyle w:val="FootnoteAnchor"/>
          <w:rtl w:val="true"/>
        </w:rPr>
        <w:footnoteReference w:id="3232"/>
      </w:r>
      <w:r>
        <w:rPr>
          <w:rFonts w:ascii="Amiri" w:hAnsi="Amiri" w:eastAsia="Amiri" w:cs="Amiri"/>
          <w:color w:val="111111"/>
          <w:sz w:val="28"/>
          <w:sz w:val="28"/>
          <w:szCs w:val="28"/>
          <w:rtl w:val="true"/>
          <w:lang w:bidi="ar-SA"/>
        </w:rPr>
        <w:t xml:space="preserve">للمواساةِ و المَعونةِ ، و التساهُمِ و التشارُكِ </w:t>
      </w:r>
      <w:r>
        <w:rPr>
          <w:rStyle w:val="FootnoteAnchor"/>
          <w:rtl w:val="true"/>
        </w:rPr>
        <w:footnoteReference w:id="3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المؤاخاةُ نَسَخَت حُكمَها آياتُ المَواريثِ ، و لَم يَكُن فيها أبو بَكرٍ</w:t>
      </w:r>
      <w:r>
        <w:rPr>
          <w:rStyle w:val="FootnoteAnchor"/>
          <w:rtl w:val="true"/>
        </w:rPr>
        <w:footnoteReference w:id="3234"/>
      </w:r>
      <w:r>
        <w:rPr>
          <w:rFonts w:ascii="Amiri" w:hAnsi="Amiri" w:eastAsia="Amiri" w:cs="Amiri"/>
          <w:color w:val="111111"/>
          <w:sz w:val="28"/>
          <w:sz w:val="28"/>
          <w:szCs w:val="28"/>
          <w:rtl w:val="true"/>
          <w:lang w:bidi="ar-SA"/>
        </w:rPr>
        <w:t>أخاً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المؤاخاةُ الثانيةُ هي التي اعتَبَرناها، و استَدلَلنا بها علىٰ ما ذَكرناه، و لَم يَكُنِ الغرضُ فيها ما ظَنَّه مِن المواساةِ و المَعونةِ </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964409_2320776876"/>
      <w:bookmarkStart w:id="587" w:name="_Toc208"/>
      <w:bookmarkEnd w:id="586"/>
      <w:r>
        <w:rPr>
          <w:rtl w:val="true"/>
        </w:rPr>
        <w:t>بيان دلالة المؤاخاة على الفضل و الإمامة</w:t>
      </w:r>
      <w:bookmarkEnd w:id="58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يَدُلُّ علىٰ أنّ هذه المؤاخاةَ كانَت تَقتَضي تفضيلاً و تعظيماً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لَم </w:t>
      </w:r>
    </w:p>
    <w:p>
      <w:pPr>
        <w:pStyle w:val="BookText"/>
        <w:rPr/>
      </w:pPr>
      <w:r>
        <w:rPr>
          <w:rFonts w:ascii="Amiri" w:hAnsi="Amiri" w:eastAsia="Amiri" w:cs="Amiri"/>
          <w:color w:val="111111"/>
          <w:sz w:val="28"/>
          <w:sz w:val="28"/>
          <w:szCs w:val="28"/>
          <w:rtl w:val="true"/>
          <w:lang w:bidi="ar-SA"/>
        </w:rPr>
        <w:t>تَكُن علىٰ سَبيلِ المَعونةِ و المواساةِ‌</w:t>
      </w:r>
      <w:r>
        <w:rPr>
          <w:rStyle w:val="FootnoteAnchor"/>
          <w:rtl w:val="true"/>
        </w:rPr>
        <w:footnoteReference w:id="3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تَظاهُرُ</w:t>
      </w:r>
      <w:r>
        <w:rPr>
          <w:rStyle w:val="FootnoteAnchor"/>
          <w:rtl w:val="true"/>
        </w:rPr>
        <w:footnoteReference w:id="3236"/>
      </w:r>
      <w:r>
        <w:rPr>
          <w:rFonts w:ascii="Amiri" w:hAnsi="Amiri" w:eastAsia="Amiri" w:cs="Amiri"/>
          <w:color w:val="111111"/>
          <w:sz w:val="28"/>
          <w:sz w:val="28"/>
          <w:szCs w:val="28"/>
          <w:rtl w:val="true"/>
          <w:lang w:bidi="ar-SA"/>
        </w:rPr>
        <w:t>الخبرِ عن أميرِ المؤمنينَ عليه السلامُ في غيرِ مَقامٍ بقَولِه مُفتَخِراً مُتَبجِّحاً</w:t>
      </w:r>
      <w:r>
        <w:rPr>
          <w:rStyle w:val="FootnoteAnchor"/>
          <w:rtl w:val="true"/>
        </w:rPr>
        <w:footnoteReference w:id="32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 أخو رسولِه، لا يَقولُها بَعدي إلّاكَذّابٌ مُفتَرٍ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38"/>
      </w:r>
    </w:p>
    <w:p>
      <w:pPr>
        <w:pStyle w:val="BookText"/>
        <w:rPr/>
      </w:pPr>
      <w:r>
        <w:rPr>
          <w:rFonts w:ascii="Amiri" w:hAnsi="Amiri" w:eastAsia="Amiri" w:cs="Amiri"/>
          <w:color w:val="111111"/>
          <w:sz w:val="28"/>
          <w:sz w:val="28"/>
          <w:szCs w:val="28"/>
          <w:rtl w:val="true"/>
          <w:lang w:bidi="ar-SA"/>
        </w:rPr>
        <w:t xml:space="preserve">و قال الحمويني في فرائد السمطين،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سليمان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على المنبر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 أخو رسوله، لم يقلها أحد قبلي و لا يقولها أحد بعدي إلّاكذّاب أو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كما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به الأرض، فجاءه قومه، فغشّوه ثوباً،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هذا فيه قبل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المتّقي الهندي في كنز العمّال،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 أخو رسوله، لا يقولها أحد بعدي إلّاكاذب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رجل، فأصابته 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أنّ في الأُخوّةِ تَفضيلاً و تعظيماً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لَم يَفتَخِرْ عليه السلامُ بها، و لا أُمسِكَ عن مواقَفتِه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أنّه لا مُفتَخَرَ فيها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أيضاً بذلكَ ، و</w:t>
      </w:r>
      <w:r>
        <w:rPr>
          <w:rStyle w:val="FootnoteAnchor"/>
          <w:rtl w:val="true"/>
        </w:rPr>
        <w:footnoteReference w:id="3239"/>
      </w:r>
      <w:r>
        <w:rPr>
          <w:rFonts w:ascii="Amiri" w:hAnsi="Amiri" w:eastAsia="Amiri" w:cs="Amiri"/>
          <w:color w:val="111111"/>
          <w:sz w:val="28"/>
          <w:sz w:val="28"/>
          <w:szCs w:val="28"/>
          <w:rtl w:val="true"/>
          <w:lang w:bidi="ar-SA"/>
        </w:rPr>
        <w:t xml:space="preserve">أنّ هذه المؤاخاةَ ذَريعةٌ قَويّةٌ إلَى الإمامةِ ، و سببٌ وَكيدٌ </w:t>
      </w:r>
    </w:p>
    <w:p>
      <w:pPr>
        <w:pStyle w:val="BookText"/>
        <w:rPr/>
      </w:pPr>
      <w:r>
        <w:rPr>
          <w:rFonts w:ascii="Amiri" w:hAnsi="Amiri" w:eastAsia="Amiri" w:cs="Amiri"/>
          <w:color w:val="111111"/>
          <w:sz w:val="28"/>
          <w:sz w:val="28"/>
          <w:szCs w:val="28"/>
          <w:rtl w:val="true"/>
          <w:lang w:bidi="ar-SA"/>
        </w:rPr>
        <w:t>في استحقاقِها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الشُّورىٰ لمّا عدَّدَ فَضائلَه و مَناقِبَه و ذَرائعَه إلَى استحقاقِ الإمامةِ‌، قالَ في جُملةِ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فيكم أحَدٌ آخىٰ رسولُ اللّٰهِ صَلَّى اللّٰهُ عليه و آلِه بَينَه و بَينَ نفسِه غيري‌؟</w:t>
      </w:r>
      <w:r>
        <w:rPr>
          <w:rFonts w:eastAsia="Amiri" w:cs="Amiri" w:ascii="Amiri" w:hAnsi="Amiri"/>
          <w:color w:val="111111"/>
          <w:sz w:val="28"/>
          <w:szCs w:val="28"/>
          <w:rtl w:val="true"/>
          <w:lang w:bidi="ar-SA"/>
        </w:rPr>
        <w:t>»</w:t>
      </w:r>
      <w:r>
        <w:rPr>
          <w:rStyle w:val="FootnoteAnchor"/>
          <w:rtl w:val="true"/>
        </w:rPr>
        <w:footnoteReference w:id="3240"/>
      </w:r>
    </w:p>
    <w:p>
      <w:pPr>
        <w:pStyle w:val="BookText"/>
        <w:rPr/>
      </w:pPr>
      <w:r>
        <w:rPr>
          <w:rFonts w:ascii="Amiri" w:hAnsi="Amiri" w:eastAsia="Amiri" w:cs="Amiri"/>
          <w:color w:val="111111"/>
          <w:sz w:val="28"/>
          <w:sz w:val="28"/>
          <w:szCs w:val="28"/>
          <w:rtl w:val="true"/>
          <w:lang w:bidi="ar-SA"/>
        </w:rPr>
        <w:t>و يَشهَدُ أيضاً باقتضاءِ المؤاخاةِ الفَضلَ الباهرَ و المَزيّةَ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عيسَى بنُ عبدِ اللّٰهِ بنِ عُمَرَ بنِ عليِّ بنِ أبي طالبٍ‌، عن أبيه، عن جَدِّه،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فيكَ خَمساً، فمَنَعَني واحدةً و أعطاني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أن يَجمَعَ عليكَ أُمّتي،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أعطاني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 أوّلُ مَن تَنشَقُّ‌</w:t>
      </w:r>
      <w:r>
        <w:rPr>
          <w:rStyle w:val="FootnoteAnchor"/>
          <w:rtl w:val="true"/>
        </w:rPr>
        <w:footnoteReference w:id="3241"/>
      </w:r>
      <w:r>
        <w:rPr>
          <w:rFonts w:ascii="Amiri" w:hAnsi="Amiri" w:eastAsia="Amiri" w:cs="Amiri"/>
          <w:color w:val="111111"/>
          <w:sz w:val="28"/>
          <w:sz w:val="28"/>
          <w:szCs w:val="28"/>
          <w:rtl w:val="true"/>
          <w:lang w:bidi="ar-SA"/>
        </w:rPr>
        <w:t>عنه الأرضُ يَومَ القيامةِ و أنتَ مَعي، و مَعيَ لِواءُ الحَمدِ و أنتَ تَحمِلُه بَينَ يَدَيَّ تَسوقُ به الأوّلينَ و الآخِرينَ‌، و أعطاني أنّكَ أخي في الدنيا و الآخِرةِ و أنّ بيتَكَ مُقابِلُ بَيتي في الجَنّةِ‌، و أعطاني أنّكَ أَولىٰ بالمؤمِنينَ مِن</w:t>
      </w:r>
      <w:r>
        <w:rPr>
          <w:rStyle w:val="FootnoteAnchor"/>
          <w:rtl w:val="true"/>
        </w:rPr>
        <w:footnoteReference w:id="3242"/>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Style w:val="FootnoteAnchor"/>
          <w:rtl w:val="true"/>
        </w:rPr>
        <w:footnoteReference w:id="3243"/>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حَفصُ بنُ عُمَرَ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بنِ عليِّ بنِ الحُسَينِ بنِ عليِّ بنِ أبي طالبٍ عليهم السلامُ‌،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قالَ علَى المِنبَرِ بالكوفةِ </w:t>
      </w:r>
      <w:r>
        <w:rPr>
          <w:rStyle w:val="FootnoteAnchor"/>
          <w:rtl w:val="true"/>
        </w:rPr>
        <w:footnoteReference w:id="32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w:t>
      </w:r>
      <w:r>
        <w:rPr>
          <w:rStyle w:val="FootnoteAnchor"/>
          <w:rtl w:val="true"/>
        </w:rPr>
        <w:footnoteReference w:id="3245"/>
      </w:r>
      <w:r>
        <w:rPr>
          <w:rFonts w:ascii="Amiri" w:hAnsi="Amiri" w:eastAsia="Amiri" w:cs="Amiri"/>
          <w:color w:val="111111"/>
          <w:sz w:val="28"/>
          <w:sz w:val="28"/>
          <w:szCs w:val="28"/>
          <w:rtl w:val="true"/>
          <w:lang w:bidi="ar-SA"/>
        </w:rPr>
        <w:t xml:space="preserve">، إنّه كانَت لي مِن رسولِ اللّٰهِ صَلَّى </w:t>
      </w:r>
    </w:p>
    <w:p>
      <w:pPr>
        <w:pStyle w:val="BookText"/>
        <w:rPr/>
      </w:pPr>
      <w:r>
        <w:rPr>
          <w:rFonts w:ascii="Amiri" w:hAnsi="Amiri" w:eastAsia="Amiri" w:cs="Amiri"/>
          <w:color w:val="111111"/>
          <w:sz w:val="28"/>
          <w:sz w:val="28"/>
          <w:szCs w:val="28"/>
          <w:rtl w:val="true"/>
          <w:lang w:bidi="ar-SA"/>
        </w:rPr>
        <w:t>اللّٰهُ عليه و آلِه عَشرُ خِصالٍ‌، لَهُنَّ أحَبُّ إليَّ ممّا طَلَعَت عليه الشمسُ‌؛ قالَ لي</w:t>
      </w:r>
      <w:r>
        <w:rPr>
          <w:rStyle w:val="FootnoteAnchor"/>
          <w:rtl w:val="true"/>
        </w:rPr>
        <w:footnoteReference w:id="3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أنتَ أخي في الدُّنيا و الآخِرةِ‌، و أنتَ أقرَبُ الخَلقِ مِنّي يَومَ القيامةِ في المَوقِفِ بَينَ يَدَيِ الجَبّارِ، و مَنزِلُكَ في الجَنّةِ يُواجِهُ مَنزِلي كَما يَتواجَهُ مَنازِلُ الإخوانِ في اللّٰهِ‌، و أنتَ الوارثُ مِنّي، و أنتَ الوَصيُّ مِنّي في عِداتي و أمري و في كُلِّ غَيبةٍ‌</w:t>
      </w:r>
      <w:r>
        <w:rPr>
          <w:rFonts w:eastAsia="Amiri" w:cs="Amiri" w:ascii="Amiri" w:hAnsi="Amiri"/>
          <w:color w:val="111111"/>
          <w:sz w:val="28"/>
          <w:szCs w:val="28"/>
          <w:rtl w:val="true"/>
          <w:lang w:bidi="ar-SA"/>
        </w:rPr>
        <w:t>»</w:t>
      </w:r>
      <w:r>
        <w:rPr>
          <w:rStyle w:val="FootnoteAnchor"/>
          <w:rtl w:val="true"/>
        </w:rPr>
        <w:footnoteReference w:id="3247"/>
      </w:r>
      <w:r>
        <w:rPr>
          <w:rFonts w:ascii="Amiri" w:hAnsi="Amiri" w:eastAsia="Amiri" w:cs="Amiri"/>
          <w:color w:val="111111"/>
          <w:sz w:val="28"/>
          <w:sz w:val="28"/>
          <w:szCs w:val="28"/>
          <w:rtl w:val="true"/>
          <w:lang w:bidi="ar-SA"/>
        </w:rPr>
        <w:t>يَعني بذلكَ حِفظَه في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كَثيرُ بنُ إسماعيلَ‌، عن جُمَيعِ بنِ عُمَيرٍ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ابنَ عُمَرَ في المَسجِدِ</w:t>
      </w:r>
      <w:r>
        <w:rPr>
          <w:rStyle w:val="FootnoteAnchor"/>
          <w:rtl w:val="true"/>
        </w:rPr>
        <w:footnoteReference w:id="3248"/>
      </w:r>
      <w:r>
        <w:rPr>
          <w:rFonts w:ascii="Amiri" w:hAnsi="Amiri" w:eastAsia="Amiri" w:cs="Amiri"/>
          <w:color w:val="111111"/>
          <w:sz w:val="28"/>
          <w:sz w:val="28"/>
          <w:szCs w:val="28"/>
          <w:rtl w:val="true"/>
          <w:lang w:bidi="ar-SA"/>
        </w:rPr>
        <w:t>، فسألتُه عن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 رسولِ اللّٰهِ صَلَّى اللّٰهُ عليه و آلِه و هذا مَنزِلُ عليٍّ‌</w:t>
      </w:r>
      <w:r>
        <w:rPr>
          <w:rStyle w:val="FootnoteAnchor"/>
          <w:rtl w:val="true"/>
        </w:rPr>
        <w:footnoteReference w:id="3249"/>
      </w:r>
      <w:r>
        <w:rPr>
          <w:rFonts w:ascii="Amiri" w:hAnsi="Amiri" w:eastAsia="Amiri" w:cs="Amiri"/>
          <w:color w:val="111111"/>
          <w:sz w:val="28"/>
          <w:sz w:val="28"/>
          <w:szCs w:val="28"/>
          <w:rtl w:val="true"/>
          <w:lang w:bidi="ar-SA"/>
        </w:rPr>
        <w:t>، و إن شئتَ حَدَّثتُكَ؟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 آلِه بَينَ المُهاجِرينَ‌، حتّىٰ بَقيَ عليٌّ وَحدَه،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p>
    <w:p>
      <w:pPr>
        <w:pStyle w:val="BookText"/>
        <w:rPr/>
      </w:pPr>
      <w:r>
        <w:rPr>
          <w:rFonts w:ascii="Amiri" w:hAnsi="Amiri" w:eastAsia="Amiri" w:cs="Amiri"/>
          <w:color w:val="111111"/>
          <w:sz w:val="28"/>
          <w:sz w:val="28"/>
          <w:szCs w:val="28"/>
          <w:rtl w:val="true"/>
          <w:lang w:bidi="ar-SA"/>
        </w:rPr>
        <w:t>آخَيتَ بَينَ المُهاجِرينَ‌، فمَن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تَرضىٰ أن تَكونَ أخي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أخي في الدُّنيا و الآخِرةِ‌</w:t>
      </w:r>
      <w:r>
        <w:rPr>
          <w:rFonts w:eastAsia="Amiri" w:cs="Amiri" w:ascii="Amiri" w:hAnsi="Amiri"/>
          <w:color w:val="111111"/>
          <w:sz w:val="28"/>
          <w:szCs w:val="28"/>
          <w:rtl w:val="true"/>
          <w:lang w:bidi="ar-SA"/>
        </w:rPr>
        <w:t>»</w:t>
      </w:r>
      <w:r>
        <w:rPr>
          <w:rStyle w:val="FootnoteAnchor"/>
          <w:rtl w:val="true"/>
        </w:rPr>
        <w:footnoteReference w:id="325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هذا الذي أورَدناه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قَليلاً مِن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دَلالةِ المؤاخاةِ علَى الفَضلِ ، و بُطلانِ قولِ مَن ظَنَّ خِلافَ ذلكَ </w:t>
      </w:r>
      <w:r>
        <w:rPr>
          <w:rFonts w:eastAsia="Amiri" w:cs="Amiri" w:ascii="Amiri" w:hAnsi="Amiri"/>
          <w:color w:val="111111"/>
          <w:sz w:val="28"/>
          <w:szCs w:val="28"/>
          <w:rtl w:val="true"/>
          <w:lang w:bidi="ar-SA"/>
        </w:rPr>
        <w:t xml:space="preserve">. </w:t>
      </w:r>
      <w:bookmarkStart w:id="588" w:name="pg20017_202727"/>
    </w:p>
    <w:p>
      <w:pPr>
        <w:pStyle w:val="Heading4"/>
        <w:numPr>
          <w:ilvl w:val="3"/>
          <w:numId w:val="1"/>
        </w:numPr>
        <w:rPr/>
      </w:pPr>
      <w:bookmarkStart w:id="589" w:name="__RefHeading___Toc964411_2320776876"/>
      <w:bookmarkStart w:id="590" w:name="_Toc209"/>
      <w:bookmarkEnd w:id="588"/>
      <w:bookmarkEnd w:id="589"/>
      <w:r>
        <w:rPr>
          <w:rtl w:val="true"/>
        </w:rPr>
        <w:t>الدليل الثالث عشر و الرابع عشر حَديثُ الرايةِ ، و حَديثُ الطائرِ</w:t>
      </w:r>
      <w:bookmarkEnd w:id="590"/>
    </w:p>
    <w:p>
      <w:pPr>
        <w:pStyle w:val="Heading5"/>
        <w:numPr>
          <w:ilvl w:val="4"/>
          <w:numId w:val="1"/>
        </w:numPr>
        <w:rPr/>
      </w:pPr>
      <w:bookmarkStart w:id="591" w:name="__RefHeading___Toc964413_2320776876"/>
      <w:bookmarkStart w:id="592" w:name="_Toc210"/>
      <w:bookmarkEnd w:id="591"/>
      <w:r>
        <w:rPr>
          <w:rtl w:val="true"/>
        </w:rPr>
        <w:t>اشارة</w:t>
      </w:r>
      <w:bookmarkEnd w:id="592"/>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لهم آخَرُ</w:t>
      </w:r>
      <w:r>
        <w:rPr>
          <w:rStyle w:val="FootnoteAnchor"/>
          <w:rtl w:val="true"/>
        </w:rPr>
        <w:footnoteReference w:id="3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تَعلَّقُوا بقَولِه عليه السلامُ‌</w:t>
      </w:r>
      <w:r>
        <w:rPr>
          <w:rStyle w:val="FootnoteAnchor"/>
          <w:rtl w:val="true"/>
        </w:rPr>
        <w:footnoteReference w:id="32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 رسولَه، و يُحِبُّه اللّٰهُ و رسولُه</w:t>
      </w:r>
      <w:r>
        <w:rPr>
          <w:rFonts w:eastAsia="Amiri" w:cs="Amiri" w:ascii="Amiri" w:hAnsi="Amiri"/>
          <w:color w:val="111111"/>
          <w:sz w:val="28"/>
          <w:szCs w:val="28"/>
          <w:rtl w:val="true"/>
          <w:lang w:bidi="ar-SA"/>
        </w:rPr>
        <w:t>»</w:t>
      </w:r>
      <w:r>
        <w:rPr>
          <w:rStyle w:val="FootnoteAnchor"/>
          <w:rtl w:val="true"/>
        </w:rPr>
        <w:footnoteReference w:id="3253"/>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رُوِيَ مِن قولِه</w:t>
      </w:r>
      <w:r>
        <w:rPr>
          <w:rStyle w:val="FootnoteAnchor"/>
          <w:rtl w:val="true"/>
        </w:rPr>
        <w:footnoteReference w:id="3254"/>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ائتِني بأحَبِّ خَلقِكَ إليكَ ؛ يَأكُلْ </w:t>
      </w:r>
      <w:r>
        <w:rPr>
          <w:rStyle w:val="FootnoteAnchor"/>
          <w:rtl w:val="true"/>
        </w:rPr>
        <w:footnoteReference w:id="3255"/>
      </w:r>
      <w:r>
        <w:rPr>
          <w:rFonts w:ascii="Amiri" w:hAnsi="Amiri" w:eastAsia="Amiri" w:cs="Amiri"/>
          <w:color w:val="111111"/>
          <w:sz w:val="28"/>
          <w:sz w:val="28"/>
          <w:szCs w:val="28"/>
          <w:rtl w:val="true"/>
          <w:lang w:bidi="ar-SA"/>
        </w:rPr>
        <w:t>مَعيَ مِن هذا الطائرِ</w:t>
      </w:r>
      <w:r>
        <w:rPr>
          <w:rFonts w:eastAsia="Amiri" w:cs="Amiri" w:ascii="Amiri" w:hAnsi="Amiri"/>
          <w:color w:val="111111"/>
          <w:sz w:val="28"/>
          <w:szCs w:val="28"/>
          <w:rtl w:val="true"/>
          <w:lang w:bidi="ar-SA"/>
        </w:rPr>
        <w:t>»</w:t>
      </w:r>
      <w:r>
        <w:rPr>
          <w:rStyle w:val="FootnoteAnchor"/>
          <w:rtl w:val="true"/>
        </w:rPr>
        <w:footnoteReference w:id="3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دَلَّ ذلكَ‌</w:t>
      </w:r>
      <w:r>
        <w:rPr>
          <w:rStyle w:val="FootnoteAnchor"/>
          <w:rtl w:val="true"/>
        </w:rPr>
        <w:footnoteReference w:id="3257"/>
      </w:r>
      <w:r>
        <w:rPr>
          <w:rFonts w:ascii="Amiri" w:hAnsi="Amiri" w:eastAsia="Amiri" w:cs="Amiri"/>
          <w:color w:val="111111"/>
          <w:sz w:val="28"/>
          <w:sz w:val="28"/>
          <w:szCs w:val="28"/>
          <w:rtl w:val="true"/>
          <w:lang w:bidi="ar-SA"/>
        </w:rPr>
        <w:t>علىٰ أنّه أفضَلُ خَلقِ اللّٰهِ تَعالىٰ بَعدَه، و أحَبُّهم إلَى اللّٰهِ تَعالىٰ‌، فيَجِبُ أن يَكونَ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بَعيدٌ؛ لأنّه إنّما يُمكِنُ أن يُتعلَّقَ به في أنّه أفضَلُ‌؛ فأمّا في النصِّ علىٰ أنّه إمامٌ فغَيرُ جائزٍ التَعلُّقُ به</w:t>
      </w:r>
      <w:r>
        <w:rPr>
          <w:rStyle w:val="FootnoteAnchor"/>
          <w:rtl w:val="true"/>
        </w:rPr>
        <w:footnoteReference w:id="3258"/>
      </w:r>
      <w:r>
        <w:rPr>
          <w:rFonts w:ascii="Amiri" w:hAnsi="Amiri" w:eastAsia="Amiri" w:cs="Amiri"/>
          <w:color w:val="111111"/>
          <w:sz w:val="28"/>
          <w:sz w:val="28"/>
          <w:szCs w:val="28"/>
          <w:rtl w:val="true"/>
          <w:lang w:bidi="ar-SA"/>
        </w:rPr>
        <w:t>، إلّامِن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واجبةٌ للأفضلِ‌؛ و قد بيّنّا</w:t>
      </w:r>
      <w:r>
        <w:rPr>
          <w:rStyle w:val="FootnoteAnchor"/>
          <w:rtl w:val="true"/>
        </w:rPr>
        <w:footnoteReference w:id="3259"/>
      </w:r>
      <w:r>
        <w:rPr>
          <w:rFonts w:ascii="Amiri" w:hAnsi="Amiri" w:eastAsia="Amiri" w:cs="Amiri"/>
          <w:color w:val="111111"/>
          <w:sz w:val="28"/>
          <w:sz w:val="28"/>
          <w:szCs w:val="28"/>
          <w:rtl w:val="true"/>
          <w:lang w:bidi="ar-SA"/>
        </w:rPr>
        <w:t>أنّها غيرُ مُستَحَقّةٍ بالفَضلِ‌، و أنّه</w:t>
      </w:r>
      <w:r>
        <w:rPr>
          <w:rStyle w:val="FootnoteAnchor"/>
          <w:rtl w:val="true"/>
        </w:rPr>
        <w:footnoteReference w:id="3260"/>
      </w:r>
      <w:r>
        <w:rPr>
          <w:rFonts w:ascii="Amiri" w:hAnsi="Amiri" w:eastAsia="Amiri" w:cs="Amiri"/>
          <w:color w:val="111111"/>
          <w:sz w:val="28"/>
          <w:sz w:val="28"/>
          <w:szCs w:val="28"/>
          <w:rtl w:val="true"/>
          <w:lang w:bidi="ar-SA"/>
        </w:rPr>
        <w:t>لا يَمتَنِعُ في المفضولِ أن يَتَولّاها، أو فيمن</w:t>
      </w:r>
      <w:r>
        <w:rPr>
          <w:rStyle w:val="FootnoteAnchor"/>
          <w:rtl w:val="true"/>
        </w:rPr>
        <w:footnoteReference w:id="3261"/>
      </w:r>
      <w:r>
        <w:rPr>
          <w:rFonts w:ascii="Amiri" w:hAnsi="Amiri" w:eastAsia="Amiri" w:cs="Amiri"/>
          <w:color w:val="111111"/>
          <w:sz w:val="28"/>
          <w:sz w:val="28"/>
          <w:szCs w:val="28"/>
          <w:rtl w:val="true"/>
          <w:lang w:bidi="ar-SA"/>
        </w:rPr>
        <w:t>يُساويهِ غيرُه في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سَنُبيِّنُ القولَ في ذلكَ مِن بَعدُ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أنّه فاضلٌ‌</w:t>
      </w:r>
      <w:r>
        <w:rPr>
          <w:rStyle w:val="FootnoteAnchor"/>
          <w:rtl w:val="true"/>
        </w:rPr>
        <w:footnoteReference w:id="3262"/>
      </w:r>
      <w:r>
        <w:rPr>
          <w:rFonts w:ascii="Amiri" w:hAnsi="Amiri" w:eastAsia="Amiri" w:cs="Amiri"/>
          <w:color w:val="111111"/>
          <w:sz w:val="28"/>
          <w:sz w:val="28"/>
          <w:szCs w:val="28"/>
          <w:rtl w:val="true"/>
          <w:lang w:bidi="ar-SA"/>
        </w:rPr>
        <w:t>، و لا يَمتَنِعُ أن يَكونَ غيرُه مُوازياً له في ذلكَ‌</w:t>
      </w:r>
      <w:r>
        <w:rPr>
          <w:rStyle w:val="FootnoteAnchor"/>
          <w:rtl w:val="true"/>
        </w:rPr>
        <w:footnoteReference w:id="3263"/>
      </w:r>
      <w:r>
        <w:rPr>
          <w:rFonts w:ascii="Amiri" w:hAnsi="Amiri" w:eastAsia="Amiri" w:cs="Amiri"/>
          <w:color w:val="111111"/>
          <w:sz w:val="28"/>
          <w:sz w:val="28"/>
          <w:szCs w:val="28"/>
          <w:rtl w:val="true"/>
          <w:lang w:bidi="ar-SA"/>
        </w:rPr>
        <w:t>فالتعلُّقُ به في الإمامةِ و التفضيلِ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أن يُتعلَّقَ به مِن حيثُ يَقتَضي دفعُ الرايةِ الإمامةَ ؛ لأنّ ذلكَ لا يَقتَضيها، و لا يَدُلُّ </w:t>
      </w:r>
      <w:r>
        <w:rPr>
          <w:rStyle w:val="FootnoteAnchor"/>
          <w:rtl w:val="true"/>
        </w:rPr>
        <w:footnoteReference w:id="3264"/>
      </w:r>
      <w:r>
        <w:rPr>
          <w:rFonts w:ascii="Amiri" w:hAnsi="Amiri" w:eastAsia="Amiri" w:cs="Amiri"/>
          <w:color w:val="111111"/>
          <w:sz w:val="28"/>
          <w:sz w:val="28"/>
          <w:szCs w:val="28"/>
          <w:rtl w:val="true"/>
          <w:lang w:bidi="ar-SA"/>
        </w:rPr>
        <w:t>عليها، و قد كانَ عليه السلامُ يُعطي الرايةَ لِمَن</w:t>
      </w:r>
      <w:r>
        <w:rPr>
          <w:rStyle w:val="FootnoteAnchor"/>
          <w:rtl w:val="true"/>
        </w:rPr>
        <w:footnoteReference w:id="3265"/>
      </w:r>
      <w:r>
        <w:rPr>
          <w:rFonts w:ascii="Amiri" w:hAnsi="Amiri" w:eastAsia="Amiri" w:cs="Amiri"/>
          <w:color w:val="111111"/>
          <w:sz w:val="28"/>
          <w:sz w:val="28"/>
          <w:szCs w:val="28"/>
          <w:rtl w:val="true"/>
          <w:lang w:bidi="ar-SA"/>
        </w:rPr>
        <w:t xml:space="preserve">يؤدّيهِ اجتهادُه إليه في الوقتِ ، و لِمَن يَكونُ </w:t>
      </w:r>
      <w:r>
        <w:rPr>
          <w:rStyle w:val="FootnoteAnchor"/>
          <w:rtl w:val="true"/>
        </w:rPr>
        <w:footnoteReference w:id="3266"/>
      </w:r>
      <w:bookmarkStart w:id="593" w:name="pg20017_202729"/>
    </w:p>
    <w:p>
      <w:pPr>
        <w:pStyle w:val="BookText"/>
        <w:rPr/>
      </w:pPr>
      <w:bookmarkEnd w:id="593"/>
      <w:r>
        <w:rPr>
          <w:rFonts w:ascii="Amiri" w:hAnsi="Amiri" w:eastAsia="Amiri" w:cs="Amiri"/>
          <w:color w:val="111111"/>
          <w:sz w:val="28"/>
          <w:sz w:val="28"/>
          <w:szCs w:val="28"/>
          <w:rtl w:val="true"/>
          <w:lang w:bidi="ar-SA"/>
        </w:rPr>
        <w:t>ذلكَ فيه أصلَحَ ، كَما كانَ يَستَخلِفُ و يُوَلّي مَن هذه حالُه</w:t>
      </w:r>
      <w:r>
        <w:rPr>
          <w:rStyle w:val="FootnoteAnchor"/>
          <w:rtl w:val="true"/>
        </w:rPr>
        <w:footnoteReference w:id="3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 w:name="__RefHeading___Toc964415_2320776876"/>
      <w:bookmarkStart w:id="595" w:name="_Toc211"/>
      <w:bookmarkEnd w:id="594"/>
      <w:r>
        <w:rPr>
          <w:rtl w:val="true"/>
        </w:rPr>
        <w:t>تقرير دلالة الحديثَين على الإمامة</w:t>
      </w:r>
      <w:bookmarkEnd w:id="595"/>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الخبرانِ اللذانِ ذَكرتَهما</w:t>
      </w:r>
      <w:r>
        <w:rPr>
          <w:rStyle w:val="FootnoteAnchor"/>
          <w:rtl w:val="true"/>
        </w:rPr>
        <w:footnoteReference w:id="3268"/>
      </w:r>
      <w:r>
        <w:rPr>
          <w:rFonts w:ascii="Amiri" w:hAnsi="Amiri" w:eastAsia="Amiri" w:cs="Amiri"/>
          <w:color w:val="111111"/>
          <w:sz w:val="28"/>
          <w:sz w:val="28"/>
          <w:szCs w:val="28"/>
          <w:rtl w:val="true"/>
          <w:lang w:bidi="ar-SA"/>
        </w:rPr>
        <w:t>إنّما يَدُلّانِ عندَنا علَى الإمامةِ‌، كدَلالةِ حَديثِ‌</w:t>
      </w:r>
      <w:r>
        <w:rPr>
          <w:rStyle w:val="FootnoteAnchor"/>
          <w:rtl w:val="true"/>
        </w:rPr>
        <w:footnoteReference w:id="3269"/>
      </w:r>
      <w:r>
        <w:rPr>
          <w:rFonts w:ascii="Amiri" w:hAnsi="Amiri" w:eastAsia="Amiri" w:cs="Amiri"/>
          <w:color w:val="111111"/>
          <w:sz w:val="28"/>
          <w:sz w:val="28"/>
          <w:szCs w:val="28"/>
          <w:rtl w:val="true"/>
          <w:lang w:bidi="ar-SA"/>
        </w:rPr>
        <w:t>المؤاخاةِ و ما جَرىٰ مَجراها؛ لأنّا قد بيّنّا أنّ كُلَّ شَيءٍ دَلَّ علَى التفضيلِ و التعظيمِ فهو دَلالةٌ علَى استحقاقِ أعلَى</w:t>
      </w:r>
      <w:r>
        <w:rPr>
          <w:rStyle w:val="FootnoteAnchor"/>
          <w:rtl w:val="true"/>
        </w:rPr>
        <w:footnoteReference w:id="3270"/>
      </w:r>
      <w:r>
        <w:rPr>
          <w:rFonts w:ascii="Amiri" w:hAnsi="Amiri" w:eastAsia="Amiri" w:cs="Amiri"/>
          <w:color w:val="111111"/>
          <w:sz w:val="28"/>
          <w:sz w:val="28"/>
          <w:szCs w:val="28"/>
          <w:rtl w:val="true"/>
          <w:lang w:bidi="ar-SA"/>
        </w:rPr>
        <w:t>الرُّتَبِ و المَنازِلِ ، و أنّ أَولَى الناسِ بالإمامةِ مَن كانَ أفضَلَهم و أحَقَّهم بأعلىٰ مَنازِلِ التبجيلِ و التعظيمِ ؛ و قد مضىٰ طَرَفٌ مِن الكلامِ في أنّ المفضولَ لا يَحسُنُ إمامتُه</w:t>
      </w:r>
      <w:r>
        <w:rPr>
          <w:rStyle w:val="FootnoteAnchor"/>
          <w:rtl w:val="true"/>
        </w:rPr>
        <w:footnoteReference w:id="3271"/>
      </w:r>
      <w:r>
        <w:rPr>
          <w:rFonts w:ascii="Amiri" w:hAnsi="Amiri" w:eastAsia="Amiri" w:cs="Amiri"/>
          <w:color w:val="111111"/>
          <w:sz w:val="28"/>
          <w:sz w:val="28"/>
          <w:szCs w:val="28"/>
          <w:rtl w:val="true"/>
          <w:lang w:bidi="ar-SA"/>
        </w:rPr>
        <w:t xml:space="preserve">، و إن وَرَدَ مِن كلامِه في المُستَقبَلِ شَيءٌ مِن ذلكَ </w:t>
      </w:r>
      <w:r>
        <w:rPr>
          <w:rStyle w:val="FootnoteAnchor"/>
          <w:rtl w:val="true"/>
        </w:rPr>
        <w:footnoteReference w:id="3272"/>
      </w:r>
      <w:r>
        <w:rPr>
          <w:rFonts w:ascii="Amiri" w:hAnsi="Amiri" w:eastAsia="Amiri" w:cs="Amiri"/>
          <w:color w:val="111111"/>
          <w:sz w:val="28"/>
          <w:sz w:val="28"/>
          <w:szCs w:val="28"/>
          <w:rtl w:val="true"/>
          <w:lang w:bidi="ar-SA"/>
        </w:rPr>
        <w:t xml:space="preserve">أفسَدناه بعَونِ اللّٰهِ تَعالىٰ </w:t>
      </w:r>
      <w:r>
        <w:rPr>
          <w:rStyle w:val="FootnoteAnchor"/>
          <w:rtl w:val="true"/>
        </w:rPr>
        <w:footnoteReference w:id="3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6" w:name="__RefHeading___Toc964417_2320776876"/>
      <w:bookmarkStart w:id="597" w:name="_Toc212"/>
      <w:bookmarkEnd w:id="596"/>
      <w:r>
        <w:rPr>
          <w:rtl w:val="true"/>
        </w:rPr>
        <w:t>دلالة حديث الراية علىٰ أفضليّة أمير المؤمنين عليه السلام</w:t>
      </w:r>
      <w:bookmarkEnd w:id="59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w:t>
      </w:r>
      <w:r>
        <w:rPr>
          <w:rStyle w:val="FootnoteAnchor"/>
          <w:rtl w:val="true"/>
        </w:rPr>
        <w:footnoteReference w:id="3274"/>
      </w:r>
      <w:r>
        <w:rPr>
          <w:rFonts w:ascii="Amiri" w:hAnsi="Amiri" w:eastAsia="Amiri" w:cs="Amiri"/>
          <w:color w:val="111111"/>
          <w:sz w:val="28"/>
          <w:sz w:val="28"/>
          <w:szCs w:val="28"/>
          <w:rtl w:val="true"/>
          <w:lang w:bidi="ar-SA"/>
        </w:rPr>
        <w:t>ادّعاؤه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يَدُلُّ علىٰ أنّه فاضلٌ‌</w:t>
      </w:r>
      <w:r>
        <w:rPr>
          <w:rStyle w:val="FootnoteAnchor"/>
          <w:rtl w:val="true"/>
        </w:rPr>
        <w:footnoteReference w:id="3275"/>
      </w:r>
      <w:r>
        <w:rPr>
          <w:rFonts w:ascii="Amiri" w:hAnsi="Amiri" w:eastAsia="Amiri" w:cs="Amiri"/>
          <w:color w:val="111111"/>
          <w:sz w:val="28"/>
          <w:sz w:val="28"/>
          <w:szCs w:val="28"/>
          <w:rtl w:val="true"/>
          <w:lang w:bidi="ar-SA"/>
        </w:rPr>
        <w:t xml:space="preserve">، و لا يَمتَنِعُ أن يَكونَ غيرُه مُوازياً 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فباطلٌ ؛ لأنّه لا بُدَّ مِن</w:t>
      </w:r>
      <w:r>
        <w:rPr>
          <w:rStyle w:val="FootnoteAnchor"/>
          <w:rtl w:val="true"/>
        </w:rPr>
        <w:footnoteReference w:id="3276"/>
      </w:r>
      <w:r>
        <w:rPr>
          <w:rFonts w:ascii="Amiri" w:hAnsi="Amiri" w:eastAsia="Amiri" w:cs="Amiri"/>
          <w:color w:val="111111"/>
          <w:sz w:val="28"/>
          <w:sz w:val="28"/>
          <w:szCs w:val="28"/>
          <w:rtl w:val="true"/>
          <w:lang w:bidi="ar-SA"/>
        </w:rPr>
        <w:t xml:space="preserve">أن يَكونَ له مَزيّةٌ ظاهرةٌ في ذلكَ علىٰ غيرِه مِن المؤمِنينَ و سائرِ الصحابةِ ؛ مِن حَيثُ كانَت صورةُ </w:t>
      </w:r>
    </w:p>
    <w:p>
      <w:pPr>
        <w:pStyle w:val="BookText"/>
        <w:rPr/>
      </w:pPr>
      <w:r>
        <w:rPr>
          <w:rFonts w:ascii="Amiri" w:hAnsi="Amiri" w:eastAsia="Amiri" w:cs="Amiri"/>
          <w:color w:val="111111"/>
          <w:sz w:val="28"/>
          <w:sz w:val="28"/>
          <w:szCs w:val="28"/>
          <w:rtl w:val="true"/>
          <w:lang w:bidi="ar-SA"/>
        </w:rPr>
        <w:t>الحالِ و كَيفيّةُ خروجِ القولِ مِن النبيِّ صَلَّى اللّٰهُ عليه و آلِه يَقتَضي ذلكَ و يَدُلُّ عليه؛ لأنّ أبا سَعيدٍ الخُدْريَّ رَوىٰ أنّ رسولَ اللّٰهِ‌</w:t>
      </w:r>
      <w:r>
        <w:rPr>
          <w:rStyle w:val="FootnoteAnchor"/>
          <w:rtl w:val="true"/>
        </w:rPr>
        <w:footnoteReference w:id="3277"/>
      </w:r>
      <w:r>
        <w:rPr>
          <w:rFonts w:ascii="Amiri" w:hAnsi="Amiri" w:eastAsia="Amiri" w:cs="Amiri"/>
          <w:color w:val="111111"/>
          <w:sz w:val="28"/>
          <w:sz w:val="28"/>
          <w:szCs w:val="28"/>
          <w:rtl w:val="true"/>
          <w:lang w:bidi="ar-SA"/>
        </w:rPr>
        <w:t>صَلَّى اللّٰهُ عليه و آلِه أرسَلَ عُمَرَ إلىٰ خَيبَرَ، فانهَزَمَ هو</w:t>
      </w:r>
      <w:r>
        <w:rPr>
          <w:rStyle w:val="FootnoteAnchor"/>
          <w:rtl w:val="true"/>
        </w:rPr>
        <w:footnoteReference w:id="3278"/>
      </w:r>
      <w:r>
        <w:rPr>
          <w:rFonts w:ascii="Amiri" w:hAnsi="Amiri" w:eastAsia="Amiri" w:cs="Amiri"/>
          <w:color w:val="111111"/>
          <w:sz w:val="28"/>
          <w:sz w:val="28"/>
          <w:szCs w:val="28"/>
          <w:rtl w:val="true"/>
          <w:lang w:bidi="ar-SA"/>
        </w:rPr>
        <w:t>و مَن معه، فقَدِمَ علىٰ رسولِ اللّٰهِ صَلَّى اللّٰهُ عليه و آلِه يُجَبِّنُ أصحابَه و</w:t>
      </w:r>
      <w:r>
        <w:rPr>
          <w:rStyle w:val="FootnoteAnchor"/>
          <w:rtl w:val="true"/>
        </w:rPr>
        <w:footnoteReference w:id="3279"/>
      </w:r>
      <w:r>
        <w:rPr>
          <w:rFonts w:ascii="Amiri" w:hAnsi="Amiri" w:eastAsia="Amiri" w:cs="Amiri"/>
          <w:color w:val="111111"/>
          <w:sz w:val="28"/>
          <w:sz w:val="28"/>
          <w:szCs w:val="28"/>
          <w:rtl w:val="true"/>
          <w:lang w:bidi="ar-SA"/>
        </w:rPr>
        <w:t>يُجَبِّنونَه، فبَلَغَ ذلكَ مِن رسولِ اللّٰهِ صَلَّى اللّٰهُ عليه و آلِه كُلَّ مَبلَغٍ‌، فباتَ لَيلتَه مهموماً، فلمّا أصبَحَ خَرَجَ إلَى الناسِ و معه الرايةُ‌،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اليَومَ رَجُلاً يُحِبُّ اللّٰهَ و رسولَه، و يُحبُّه اللّٰهُ و رسولُه</w:t>
      </w:r>
      <w:r>
        <w:rPr>
          <w:rStyle w:val="FootnoteAnchor"/>
          <w:rtl w:val="true"/>
        </w:rPr>
        <w:footnoteReference w:id="3280"/>
      </w:r>
      <w:r>
        <w:rPr>
          <w:rFonts w:ascii="Amiri" w:hAnsi="Amiri" w:eastAsia="Amiri" w:cs="Amiri"/>
          <w:color w:val="111111"/>
          <w:sz w:val="28"/>
          <w:sz w:val="28"/>
          <w:szCs w:val="28"/>
          <w:rtl w:val="true"/>
          <w:lang w:bidi="ar-SA"/>
        </w:rPr>
        <w:t>، كَرّاراً</w:t>
      </w:r>
      <w:r>
        <w:rPr>
          <w:rStyle w:val="FootnoteAnchor"/>
          <w:rtl w:val="true"/>
        </w:rPr>
        <w:footnoteReference w:id="3281"/>
      </w:r>
      <w:r>
        <w:rPr>
          <w:rFonts w:ascii="Amiri" w:hAnsi="Amiri" w:eastAsia="Amiri" w:cs="Amiri"/>
          <w:color w:val="111111"/>
          <w:sz w:val="28"/>
          <w:sz w:val="28"/>
          <w:szCs w:val="28"/>
          <w:rtl w:val="true"/>
          <w:lang w:bidi="ar-SA"/>
        </w:rPr>
        <w:t>غيرَ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فتَعرَّضَ لها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المُهاجِرينَ و الأنصارِ، فقالَ عليه السلامُ‌</w:t>
      </w:r>
      <w:r>
        <w:rPr>
          <w:rStyle w:val="FootnoteAnchor"/>
          <w:rtl w:val="true"/>
        </w:rPr>
        <w:footnoteReference w:id="32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أرمَدُ؛ فبَعَثَ إليه أبا ذَرٍّ و سَلمانَ‌، فجاءا به يُقادُ</w:t>
      </w:r>
      <w:r>
        <w:rPr>
          <w:rStyle w:val="FootnoteAnchor"/>
          <w:rtl w:val="true"/>
        </w:rPr>
        <w:footnoteReference w:id="3283"/>
      </w:r>
      <w:r>
        <w:rPr>
          <w:rFonts w:ascii="Amiri" w:hAnsi="Amiri" w:eastAsia="Amiri" w:cs="Amiri"/>
          <w:color w:val="111111"/>
          <w:sz w:val="28"/>
          <w:sz w:val="28"/>
          <w:szCs w:val="28"/>
          <w:rtl w:val="true"/>
          <w:lang w:bidi="ar-SA"/>
        </w:rPr>
        <w:t>، لا يَقدِرُ علىٰ فَتحِ عينَيه مِن الرَّمَدِ؛ فلمّا دَنا مِن رسولِ اللّٰهِ صَلَّى اللّٰهُ عليه و آلِه تَفَلَ في عينَيه و قالَ‌</w:t>
      </w:r>
      <w:r>
        <w:rPr>
          <w:rStyle w:val="FootnoteAnchor"/>
          <w:rtl w:val="true"/>
        </w:rPr>
        <w:footnoteReference w:id="32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أذهِبْ عنه الحَرَّ و البَردَ، و انصُرْه علىٰ عدُوِّه؛ فإنّه عبدُكَ‌، يُحِبُّكَ و يُحِبُّ رسولَكَ‌، كَرّارٌ</w:t>
      </w:r>
      <w:r>
        <w:rPr>
          <w:rStyle w:val="FootnoteAnchor"/>
          <w:rtl w:val="true"/>
        </w:rPr>
        <w:footnoteReference w:id="3285"/>
      </w:r>
      <w:r>
        <w:rPr>
          <w:rFonts w:ascii="Amiri" w:hAnsi="Amiri" w:eastAsia="Amiri" w:cs="Amiri"/>
          <w:color w:val="111111"/>
          <w:sz w:val="28"/>
          <w:sz w:val="28"/>
          <w:szCs w:val="28"/>
          <w:rtl w:val="true"/>
          <w:lang w:bidi="ar-SA"/>
        </w:rPr>
        <w:t>غيرُ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إليه الرايةَ‌، فاستأذَنَه</w:t>
      </w:r>
      <w:r>
        <w:rPr>
          <w:rStyle w:val="FootnoteAnchor"/>
          <w:rtl w:val="true"/>
        </w:rPr>
        <w:footnoteReference w:id="3286"/>
      </w:r>
      <w:r>
        <w:rPr>
          <w:rFonts w:ascii="Amiri" w:hAnsi="Amiri" w:eastAsia="Amiri" w:cs="Amiri"/>
          <w:color w:val="111111"/>
          <w:sz w:val="28"/>
          <w:sz w:val="28"/>
          <w:szCs w:val="28"/>
          <w:rtl w:val="true"/>
          <w:lang w:bidi="ar-SA"/>
        </w:rPr>
        <w:t xml:space="preserve">حَسّانُ بنُ ثابتٍ أن يَقولَ فيه شِعراً،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Style w:val="FootnoteAnchor"/>
          <w:rtl w:val="true"/>
        </w:rPr>
        <w:footnoteReference w:id="3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فأنشأَ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عَليٌّ أرمَدَ العَينِ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 فلمّا لَم يُحِسَّ مُداوِيا</w:t>
      </w:r>
    </w:p>
    <w:p>
      <w:pPr>
        <w:pStyle w:val="BookText"/>
        <w:rPr/>
      </w:pPr>
      <w:r>
        <w:rPr>
          <w:rFonts w:ascii="Amiri" w:hAnsi="Amiri" w:eastAsia="Amiri" w:cs="Amiri"/>
          <w:color w:val="111111"/>
          <w:sz w:val="28"/>
          <w:sz w:val="28"/>
          <w:szCs w:val="28"/>
          <w:rtl w:val="true"/>
          <w:lang w:bidi="ar-SA"/>
        </w:rPr>
        <w:t xml:space="preserve">شَفاهُ رسولُ اللّٰهِ مِنهُ بِتَفْلَةٍ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 بورِكَ راقيا</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سَأُعطِي الرايةَ اليَومَ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w:t>
      </w:r>
      <w:r>
        <w:rPr>
          <w:rStyle w:val="FootnoteAnchor"/>
          <w:rtl w:val="true"/>
        </w:rPr>
        <w:footnoteReference w:id="3288"/>
      </w:r>
      <w:r>
        <w:rPr>
          <w:rFonts w:ascii="Amiri" w:hAnsi="Amiri" w:eastAsia="Amiri" w:cs="Amiri"/>
          <w:color w:val="111111"/>
          <w:sz w:val="28"/>
          <w:sz w:val="28"/>
          <w:szCs w:val="28"/>
          <w:rtl w:val="true"/>
          <w:lang w:bidi="ar-SA"/>
        </w:rPr>
        <w:t>مُحِبّاً للرسولِ مُوالِيا</w:t>
      </w:r>
    </w:p>
    <w:p>
      <w:pPr>
        <w:pStyle w:val="BookText"/>
        <w:rPr/>
      </w:pPr>
      <w:r>
        <w:rPr>
          <w:rFonts w:ascii="Amiri" w:hAnsi="Amiri" w:eastAsia="Amiri" w:cs="Amiri"/>
          <w:color w:val="111111"/>
          <w:sz w:val="28"/>
          <w:sz w:val="28"/>
          <w:szCs w:val="28"/>
          <w:rtl w:val="true"/>
          <w:lang w:bidi="ar-SA"/>
        </w:rPr>
        <w:t xml:space="preserve">يُحِبُّ إلهي، و الإلهُ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يَفتَحُ اللّٰهُ الحُصونَ الأَوابِيا</w:t>
      </w:r>
    </w:p>
    <w:p>
      <w:pPr>
        <w:pStyle w:val="BookText"/>
        <w:rPr/>
      </w:pPr>
      <w:r>
        <w:rPr>
          <w:rFonts w:ascii="Amiri" w:hAnsi="Amiri" w:eastAsia="Amiri" w:cs="Amiri"/>
          <w:color w:val="111111"/>
          <w:sz w:val="28"/>
          <w:sz w:val="28"/>
          <w:szCs w:val="28"/>
          <w:rtl w:val="true"/>
          <w:lang w:bidi="ar-SA"/>
        </w:rPr>
        <w:t xml:space="preserve">فَأَصفىٰ 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سَمّاهُ الوَزيرَ المُؤاخِيا</w:t>
      </w:r>
      <w:r>
        <w:rPr>
          <w:rStyle w:val="FootnoteAnchor"/>
          <w:rtl w:val="true"/>
        </w:rPr>
        <w:footnoteReference w:id="3289"/>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لَم يَجِدْ بَعدَ ذلكَ أذىٰ حَرٍّ و لا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سَعيدُ بنُ جُبَيرٍ عن ابنِ عبّاسٍ هذا الخبرَ بعَينِه</w:t>
      </w:r>
      <w:r>
        <w:rPr>
          <w:rStyle w:val="FootnoteAnchor"/>
          <w:rtl w:val="true"/>
        </w:rPr>
        <w:footnoteReference w:id="3290"/>
      </w:r>
      <w:r>
        <w:rPr>
          <w:rFonts w:ascii="Amiri" w:hAnsi="Amiri" w:eastAsia="Amiri" w:cs="Amiri"/>
          <w:color w:val="111111"/>
          <w:sz w:val="28"/>
          <w:sz w:val="28"/>
          <w:szCs w:val="28"/>
          <w:rtl w:val="true"/>
          <w:lang w:bidi="ar-SA"/>
        </w:rPr>
        <w:t>علىٰ وجهٍ 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أبا بَكرٍ إلىٰ خَيبَرَ، فرَجَعَ و قد انهَزَمَ و انهَزَمَ الناسُ معه؛ ثُمَّ بَعَثَ مِن الغَدِ عُمَرَ، فرَجَعَ و قد جُرِحَ في رِجلَيه، و انهَزَمَ الناسُ معه</w:t>
      </w:r>
      <w:r>
        <w:rPr>
          <w:rStyle w:val="FootnoteAnchor"/>
          <w:rtl w:val="true"/>
        </w:rPr>
        <w:footnoteReference w:id="3291"/>
      </w:r>
      <w:r>
        <w:rPr>
          <w:rFonts w:ascii="Amiri" w:hAnsi="Amiri" w:eastAsia="Amiri" w:cs="Amiri"/>
          <w:color w:val="111111"/>
          <w:sz w:val="28"/>
          <w:sz w:val="28"/>
          <w:szCs w:val="28"/>
          <w:rtl w:val="true"/>
          <w:lang w:bidi="ar-SA"/>
        </w:rPr>
        <w:t>، فهو يُجبِّنُ الناسَ و الناسُ يُجبِّنونَه</w:t>
      </w:r>
      <w:r>
        <w:rPr>
          <w:rStyle w:val="FootnoteAnchor"/>
          <w:rtl w:val="true"/>
        </w:rPr>
        <w:footnoteReference w:id="3292"/>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 لَيسَ بفَرّارٍ، و</w:t>
      </w:r>
      <w:r>
        <w:rPr>
          <w:rStyle w:val="FootnoteAnchor"/>
          <w:rtl w:val="true"/>
        </w:rPr>
        <w:footnoteReference w:id="3293"/>
      </w:r>
      <w:r>
        <w:rPr>
          <w:rFonts w:ascii="Amiri" w:hAnsi="Amiri" w:eastAsia="Amiri" w:cs="Amiri"/>
          <w:color w:val="111111"/>
          <w:sz w:val="28"/>
          <w:sz w:val="28"/>
          <w:szCs w:val="28"/>
          <w:rtl w:val="true"/>
          <w:lang w:bidi="ar-SA"/>
        </w:rPr>
        <w:t>لا يَرجِعُ حتّىٰ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فأصبَحنا مُتشوِّقينَ </w:t>
      </w:r>
      <w:r>
        <w:rPr>
          <w:rStyle w:val="FootnoteAnchor"/>
          <w:rtl w:val="true"/>
        </w:rPr>
        <w:footnoteReference w:id="3294"/>
      </w:r>
      <w:r>
        <w:rPr>
          <w:rFonts w:ascii="Amiri" w:hAnsi="Amiri" w:eastAsia="Amiri" w:cs="Amiri"/>
          <w:color w:val="111111"/>
          <w:sz w:val="28"/>
          <w:sz w:val="28"/>
          <w:szCs w:val="28"/>
          <w:rtl w:val="true"/>
          <w:lang w:bidi="ar-SA"/>
        </w:rPr>
        <w:t>، نُري</w:t>
      </w:r>
      <w:r>
        <w:rPr>
          <w:rStyle w:val="FootnoteAnchor"/>
          <w:rtl w:val="true"/>
        </w:rPr>
        <w:footnoteReference w:id="3295"/>
      </w:r>
    </w:p>
    <w:p>
      <w:pPr>
        <w:pStyle w:val="BookText"/>
        <w:rPr/>
      </w:pPr>
      <w:r>
        <w:rPr>
          <w:rFonts w:ascii="Amiri" w:hAnsi="Amiri" w:eastAsia="Amiri" w:cs="Amiri"/>
          <w:color w:val="111111"/>
          <w:sz w:val="28"/>
          <w:sz w:val="28"/>
          <w:szCs w:val="28"/>
          <w:rtl w:val="true"/>
          <w:lang w:bidi="ar-SA"/>
        </w:rPr>
        <w:t>وجوهَنا رَجاءَ أن يُدعىٰ رَجُلٌ‌</w:t>
      </w:r>
      <w:r>
        <w:rPr>
          <w:rStyle w:val="FootnoteAnchor"/>
          <w:rtl w:val="true"/>
        </w:rPr>
        <w:footnoteReference w:id="3296"/>
      </w:r>
      <w:r>
        <w:rPr>
          <w:rFonts w:ascii="Amiri" w:hAnsi="Amiri" w:eastAsia="Amiri" w:cs="Amiri"/>
          <w:color w:val="111111"/>
          <w:sz w:val="28"/>
          <w:sz w:val="28"/>
          <w:szCs w:val="28"/>
          <w:rtl w:val="true"/>
          <w:lang w:bidi="ar-SA"/>
        </w:rPr>
        <w:t>مِنّا، فدَعا رسولُ اللّٰهِ صَلَّى اللّٰهُ عليه و آلِه عَليّاً و هو أرمَدُ، فتَفَلَ في عينَيه، و دَفَعَ إليه الرايةَ‌، ففَتَحَ اللّٰهُ عليه</w:t>
      </w:r>
      <w:r>
        <w:rPr>
          <w:rStyle w:val="FootnoteAnchor"/>
          <w:rtl w:val="true"/>
        </w:rPr>
        <w:footnoteReference w:id="3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الأخبارُ، و جميعُ ما رُويَ في هذه القِصّةِ‌، و كَيفيّةُ ما جَرَت عليه، يَدُلُّ علىٰ‌</w:t>
      </w:r>
    </w:p>
    <w:p>
      <w:pPr>
        <w:pStyle w:val="BookText"/>
        <w:rPr/>
      </w:pPr>
      <w:r>
        <w:rPr>
          <w:rFonts w:ascii="Amiri" w:hAnsi="Amiri" w:eastAsia="Amiri" w:cs="Amiri"/>
          <w:color w:val="111111"/>
          <w:sz w:val="28"/>
          <w:sz w:val="28"/>
          <w:szCs w:val="28"/>
          <w:rtl w:val="true"/>
          <w:lang w:bidi="ar-SA"/>
        </w:rPr>
        <w:t>غايةِ التفضيلِ و التقديمِ‌؛ لأنّه لَو لَم يُفِدِ القولُ إلّاالمَحبّةَ التي هي حاصلةٌ للجَماعةِ‌</w:t>
      </w:r>
      <w:r>
        <w:rPr>
          <w:rStyle w:val="FootnoteAnchor"/>
          <w:rtl w:val="true"/>
        </w:rPr>
        <w:footnoteReference w:id="3298"/>
      </w:r>
      <w:r>
        <w:rPr>
          <w:rFonts w:ascii="Amiri" w:hAnsi="Amiri" w:eastAsia="Amiri" w:cs="Amiri"/>
          <w:color w:val="111111"/>
          <w:sz w:val="28"/>
          <w:sz w:val="28"/>
          <w:szCs w:val="28"/>
          <w:rtl w:val="true"/>
          <w:lang w:bidi="ar-SA"/>
        </w:rPr>
        <w:t>و موجودةٌ فيهم، لَما تَصَدَّوا لدَفعِ الرايةِ و تَشَوَّقوا إلىٰ دُعائهم إليها، و لا غُبِطَ أميرُ المؤمنينَ عليه السلامُ بها، و لا مَدَحَته الشعراءُ‌، و لا افتَخَرَت له بذلكَ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مجموعِ القِصّةِ و تفصيلِها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تُؤمِّلَت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يَكادُ يَضطَرُّ إلىٰ غاية التفضيلِ‌، و نِهايةِ التقديمِ‌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أصحابِنا مَن لَم يَرضَ بأن يَكونَ هذا القولُ مِن الرسولِ صَلَّى اللّٰهُ عليه و آلِه</w:t>
      </w:r>
      <w:r>
        <w:rPr>
          <w:rStyle w:val="FootnoteAnchor"/>
          <w:rtl w:val="true"/>
        </w:rPr>
        <w:footnoteReference w:id="3299"/>
      </w:r>
      <w:r>
        <w:rPr>
          <w:rFonts w:ascii="Amiri" w:hAnsi="Amiri" w:eastAsia="Amiri" w:cs="Amiri"/>
          <w:color w:val="111111"/>
          <w:sz w:val="28"/>
          <w:sz w:val="28"/>
          <w:szCs w:val="28"/>
          <w:rtl w:val="true"/>
          <w:lang w:bidi="ar-SA"/>
        </w:rPr>
        <w:t xml:space="preserve">يَدُلُّ علىٰ تفضيلِ أميرِ المؤمنينَ عليه السلامُ و تقديمِه علَى الجَماعةِ ، حتّىٰ بَيَّنَ </w:t>
      </w:r>
      <w:r>
        <w:rPr>
          <w:rStyle w:val="FootnoteAnchor"/>
          <w:rtl w:val="true"/>
        </w:rPr>
        <w:footnoteReference w:id="3300"/>
      </w:r>
      <w:r>
        <w:rPr>
          <w:rFonts w:ascii="Amiri" w:hAnsi="Amiri" w:eastAsia="Amiri" w:cs="Amiri"/>
          <w:color w:val="111111"/>
          <w:sz w:val="28"/>
          <w:sz w:val="28"/>
          <w:szCs w:val="28"/>
          <w:rtl w:val="true"/>
          <w:lang w:bidi="ar-SA"/>
        </w:rPr>
        <w:t>أنّه يَدُلُّ علىٰ أنّه</w:t>
      </w:r>
      <w:r>
        <w:rPr>
          <w:rStyle w:val="FootnoteAnchor"/>
          <w:rtl w:val="true"/>
        </w:rPr>
        <w:footnoteReference w:id="3301"/>
      </w:r>
      <w:r>
        <w:rPr>
          <w:rFonts w:ascii="Amiri" w:hAnsi="Amiri" w:eastAsia="Amiri" w:cs="Amiri"/>
          <w:color w:val="111111"/>
          <w:sz w:val="28"/>
          <w:sz w:val="28"/>
          <w:szCs w:val="28"/>
          <w:rtl w:val="true"/>
          <w:lang w:bidi="ar-SA"/>
        </w:rPr>
        <w:t>مُختَصٌّ مِن الأوصافِ المذكورةِ في الخبرِ بما لَيسَ موجوداً عندَ مَن تَقدَّمَه إلَى</w:t>
      </w:r>
      <w:r>
        <w:rPr>
          <w:rStyle w:val="FootnoteAnchor"/>
          <w:rtl w:val="true"/>
        </w:rPr>
        <w:footnoteReference w:id="3302"/>
      </w:r>
      <w:r>
        <w:rPr>
          <w:rFonts w:ascii="Amiri" w:hAnsi="Amiri" w:eastAsia="Amiri" w:cs="Amiri"/>
          <w:color w:val="111111"/>
          <w:sz w:val="28"/>
          <w:sz w:val="28"/>
          <w:szCs w:val="28"/>
          <w:rtl w:val="true"/>
          <w:lang w:bidi="ar-SA"/>
        </w:rPr>
        <w:t>الحَربِ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كانَ عندَهم ما عندَه، أو يَختَصّونَ بشَيءٍ </w:t>
      </w:r>
    </w:p>
    <w:p>
      <w:pPr>
        <w:pStyle w:val="BookText"/>
        <w:rPr/>
      </w:pPr>
      <w:r>
        <w:rPr>
          <w:rFonts w:ascii="Amiri" w:hAnsi="Amiri" w:eastAsia="Amiri" w:cs="Amiri"/>
          <w:color w:val="111111"/>
          <w:sz w:val="28"/>
          <w:sz w:val="28"/>
          <w:szCs w:val="28"/>
          <w:rtl w:val="true"/>
          <w:lang w:bidi="ar-SA"/>
        </w:rPr>
        <w:t>ممّا ذُكِرَ اختصاصُه به، لَكانَ القولُ عَبَثاً و خَلْفاً</w:t>
      </w:r>
      <w:r>
        <w:rPr>
          <w:rStyle w:val="FootnoteAnchor"/>
          <w:rtl w:val="true"/>
        </w:rPr>
        <w:footnoteReference w:id="3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هذا مِن دليلِ الخِطابِ‌</w:t>
      </w:r>
      <w:r>
        <w:rPr>
          <w:rStyle w:val="FootnoteAnchor"/>
          <w:rtl w:val="true"/>
        </w:rPr>
        <w:footnoteReference w:id="3304"/>
      </w:r>
      <w:r>
        <w:rPr>
          <w:rFonts w:ascii="Amiri" w:hAnsi="Amiri" w:eastAsia="Amiri" w:cs="Amiri"/>
          <w:color w:val="111111"/>
          <w:sz w:val="28"/>
          <w:sz w:val="28"/>
          <w:szCs w:val="28"/>
          <w:rtl w:val="true"/>
          <w:lang w:bidi="ar-SA"/>
        </w:rPr>
        <w:t>في شَيءٍ‌</w:t>
      </w:r>
      <w:r>
        <w:rPr>
          <w:rStyle w:val="FootnoteAnchor"/>
          <w:rtl w:val="true"/>
        </w:rPr>
        <w:footnoteReference w:id="3305"/>
      </w:r>
      <w:r>
        <w:rPr>
          <w:rFonts w:ascii="Amiri" w:hAnsi="Amiri" w:eastAsia="Amiri" w:cs="Amiri"/>
          <w:color w:val="111111"/>
          <w:sz w:val="28"/>
          <w:sz w:val="28"/>
          <w:szCs w:val="28"/>
          <w:rtl w:val="true"/>
          <w:lang w:bidi="ar-SA"/>
        </w:rPr>
        <w:t>لأنّهم لَم يَرجِعوا في نفيِ الصفةِ عن غيرِه إلىٰ مُجرَّدِ إثباتِها له، و إنّما استَدَلّوا بكَيفيّةِ ما جَرىٰ في الحالِ علىٰ ذلكَ‌؛ لأنّه صَلَّى اللّٰهُ عليه و آلِه</w:t>
      </w:r>
      <w:r>
        <w:rPr>
          <w:rStyle w:val="FootnoteAnchor"/>
          <w:rtl w:val="true"/>
        </w:rPr>
        <w:footnoteReference w:id="3306"/>
      </w:r>
      <w:r>
        <w:rPr>
          <w:rFonts w:ascii="Amiri" w:hAnsi="Amiri" w:eastAsia="Amiri" w:cs="Amiri"/>
          <w:color w:val="111111"/>
          <w:sz w:val="28"/>
          <w:sz w:val="28"/>
          <w:szCs w:val="28"/>
          <w:rtl w:val="true"/>
          <w:lang w:bidi="ar-SA"/>
        </w:rPr>
        <w:t>لا يَجوزُ أن يَغضَبَ مِن فِرارِ مَنَ فَرَّ و يُنكِرَه،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أدفَعُ الرايةَ غَداً</w:t>
      </w:r>
      <w:r>
        <w:rPr>
          <w:rStyle w:val="FootnoteAnchor"/>
          <w:rtl w:val="true"/>
        </w:rPr>
        <w:footnoteReference w:id="3307"/>
      </w:r>
      <w:r>
        <w:rPr>
          <w:rFonts w:ascii="Amiri" w:hAnsi="Amiri" w:eastAsia="Amiri" w:cs="Amiri"/>
          <w:color w:val="111111"/>
          <w:sz w:val="28"/>
          <w:sz w:val="28"/>
          <w:szCs w:val="28"/>
          <w:rtl w:val="true"/>
          <w:lang w:bidi="ar-SA"/>
        </w:rPr>
        <w:t>إلىٰ مَن عندَه كذا، و فيه كَذا</w:t>
      </w:r>
      <w:r>
        <w:rPr>
          <w:rStyle w:val="FootnoteAnchor"/>
          <w:rtl w:val="true"/>
        </w:rPr>
        <w:footnoteReference w:id="3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عندَ 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بعضَ حُصَفاءِ‌</w:t>
      </w:r>
      <w:r>
        <w:rPr>
          <w:rStyle w:val="FootnoteAnchor"/>
          <w:rtl w:val="true"/>
        </w:rPr>
        <w:footnoteReference w:id="3309"/>
      </w:r>
      <w:r>
        <w:rPr>
          <w:rFonts w:ascii="Amiri" w:hAnsi="Amiri" w:eastAsia="Amiri" w:cs="Amiri"/>
          <w:color w:val="111111"/>
          <w:sz w:val="28"/>
          <w:sz w:val="28"/>
          <w:szCs w:val="28"/>
          <w:rtl w:val="true"/>
          <w:lang w:bidi="ar-SA"/>
        </w:rPr>
        <w:t>المُلوكِ لَو أرسَلَ رسولاً إلىٰ غيرِه، ففَرَّطَ في أداءِ رسالتِه و حَرَّفَها، و لَم يؤدِّها علىٰ حَقِّها، فغَضِبَ لذلكَ المُرسِلُ و أنكَرَ فِعلَه،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لَأُرسِلَنَّ رسولاً حَصيفاً</w:t>
      </w:r>
      <w:r>
        <w:rPr>
          <w:rStyle w:val="FootnoteAnchor"/>
          <w:rtl w:val="true"/>
        </w:rPr>
        <w:footnoteReference w:id="3310"/>
      </w:r>
      <w:r>
        <w:rPr>
          <w:rFonts w:ascii="Amiri" w:hAnsi="Amiri" w:eastAsia="Amiri" w:cs="Amiri"/>
          <w:color w:val="111111"/>
          <w:sz w:val="28"/>
          <w:sz w:val="28"/>
          <w:szCs w:val="28"/>
          <w:rtl w:val="true"/>
          <w:lang w:bidi="ar-SA"/>
        </w:rPr>
        <w:t>، حَسَنَ الكلامِ و القيامِ‌</w:t>
      </w:r>
      <w:r>
        <w:rPr>
          <w:rStyle w:val="FootnoteAnchor"/>
          <w:rtl w:val="true"/>
        </w:rPr>
        <w:footnoteReference w:id="3311"/>
      </w:r>
      <w:r>
        <w:rPr>
          <w:rFonts w:ascii="Amiri" w:hAnsi="Amiri" w:eastAsia="Amiri" w:cs="Amiri"/>
          <w:color w:val="111111"/>
          <w:sz w:val="28"/>
          <w:sz w:val="28"/>
          <w:szCs w:val="28"/>
          <w:rtl w:val="true"/>
          <w:lang w:bidi="ar-SA"/>
        </w:rPr>
        <w:t>بأداءِ رسالتي، مُضطَلِعاً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نَعلَمُ أنّ الذي أثبَتَه مَنفيٌّ عن الأوّلِ‌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انتَفىٰ عمّن تَقدَّمَ فَتحُ الحِصنِ علىٰ أيديهِم، و الكَرُّ الذي لا فِرارَ معه، كَذلكَ يَجِبُ أن يَنتَفيَ سائرُ ما أُثبِتَ له عليه السلامُ‌</w:t>
      </w:r>
      <w:r>
        <w:rPr>
          <w:rStyle w:val="FootnoteAnchor"/>
          <w:rtl w:val="true"/>
        </w:rPr>
        <w:footnoteReference w:id="3312"/>
      </w:r>
      <w:r>
        <w:rPr>
          <w:rFonts w:ascii="Amiri" w:hAnsi="Amiri" w:eastAsia="Amiri" w:cs="Amiri"/>
          <w:color w:val="111111"/>
          <w:sz w:val="28"/>
          <w:sz w:val="28"/>
          <w:szCs w:val="28"/>
          <w:rtl w:val="true"/>
          <w:lang w:bidi="ar-SA"/>
        </w:rPr>
        <w:t xml:space="preserve">لأنّ الكُلَّ خَرَجَ </w:t>
      </w:r>
    </w:p>
    <w:p>
      <w:pPr>
        <w:pStyle w:val="BookText"/>
        <w:rPr/>
      </w:pPr>
      <w:r>
        <w:rPr>
          <w:rFonts w:ascii="Amiri" w:hAnsi="Amiri" w:eastAsia="Amiri" w:cs="Amiri"/>
          <w:color w:val="111111"/>
          <w:sz w:val="28"/>
          <w:sz w:val="28"/>
          <w:szCs w:val="28"/>
          <w:rtl w:val="true"/>
          <w:lang w:bidi="ar-SA"/>
        </w:rPr>
        <w:t xml:space="preserve">مَخرَجاً واحداً، و وَرَدَ علىٰ طريقةٍ واحدةٍ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وجهٌ ، و إن كانَ الذي لا يُمكِنُ أن يُدفَعَ و لا يُشغَبَ فيه هو</w:t>
      </w:r>
      <w:r>
        <w:rPr>
          <w:rStyle w:val="FootnoteAnchor"/>
          <w:rtl w:val="true"/>
        </w:rPr>
        <w:footnoteReference w:id="3313"/>
      </w:r>
      <w:r>
        <w:rPr>
          <w:rFonts w:ascii="Amiri" w:hAnsi="Amiri" w:eastAsia="Amiri" w:cs="Amiri"/>
          <w:color w:val="111111"/>
          <w:sz w:val="28"/>
          <w:sz w:val="28"/>
          <w:szCs w:val="28"/>
          <w:rtl w:val="true"/>
          <w:lang w:bidi="ar-SA"/>
        </w:rPr>
        <w:t>دَلالةُ الكلامِ و جُملةُ القِصّةِ علىٰ أنّه يَزيدُ علَى القومِ في جميعِ ما ذُكِرَ، و يَفضُلُ عليهم فيه فَضلاً ظاهراً لَن يُشارِكوه</w:t>
      </w:r>
      <w:r>
        <w:rPr>
          <w:rStyle w:val="FootnoteAnchor"/>
          <w:rtl w:val="true"/>
        </w:rPr>
        <w:footnoteReference w:id="3314"/>
      </w:r>
      <w:r>
        <w:rPr>
          <w:rFonts w:ascii="Amiri" w:hAnsi="Amiri" w:eastAsia="Amiri" w:cs="Amiri"/>
          <w:color w:val="111111"/>
          <w:sz w:val="28"/>
          <w:sz w:val="28"/>
          <w:szCs w:val="28"/>
          <w:rtl w:val="true"/>
          <w:lang w:bidi="ar-SA"/>
        </w:rPr>
        <w:t>في شَيءٍ منه؛ فإنّه لَيسَ في هذا مِن الشُّبهةِ ما في ادّعاءِ نفيِ المُشارَكةِ و إن قَلَّت و ضَعُفَت</w:t>
      </w:r>
      <w:r>
        <w:rPr>
          <w:rStyle w:val="FootnoteAnchor"/>
          <w:rtl w:val="true"/>
        </w:rPr>
        <w:footnoteReference w:id="3315"/>
      </w:r>
      <w:r>
        <w:rPr>
          <w:rFonts w:eastAsia="Times New Roman" w:cs="Times New Roman" w:ascii="Times New Roman" w:hAnsi="Times New Roman"/>
          <w:color w:val="111111"/>
          <w:sz w:val="28"/>
          <w:szCs w:val="28"/>
          <w:rtl w:val="true"/>
          <w:lang w:val="en-US" w:bidi="en-US"/>
        </w:rPr>
        <w:t xml:space="preserve">. </w:t>
      </w:r>
      <w:bookmarkStart w:id="598" w:name="pg20017_202735"/>
    </w:p>
    <w:p>
      <w:pPr>
        <w:pStyle w:val="Heading4"/>
        <w:numPr>
          <w:ilvl w:val="3"/>
          <w:numId w:val="1"/>
        </w:numPr>
        <w:rPr/>
      </w:pPr>
      <w:bookmarkStart w:id="599" w:name="__RefHeading___Toc964419_2320776876"/>
      <w:bookmarkStart w:id="600" w:name="_Toc213"/>
      <w:bookmarkEnd w:id="598"/>
      <w:bookmarkEnd w:id="599"/>
      <w:r>
        <w:rPr>
          <w:rtl w:val="true"/>
        </w:rPr>
        <w:t>الدليل الخامس عشر مجموعة من الأحاديث</w:t>
      </w:r>
      <w:bookmarkEnd w:id="600"/>
    </w:p>
    <w:p>
      <w:pPr>
        <w:pStyle w:val="Heading5"/>
        <w:numPr>
          <w:ilvl w:val="4"/>
          <w:numId w:val="1"/>
        </w:numPr>
        <w:rPr/>
      </w:pPr>
      <w:bookmarkStart w:id="601" w:name="__RefHeading___Toc964421_2320776876"/>
      <w:bookmarkStart w:id="602" w:name="_Toc214"/>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لهُم آخَرُ</w:t>
      </w:r>
      <w:r>
        <w:rPr>
          <w:rStyle w:val="FootnoteAnchor"/>
          <w:rtl w:val="true"/>
        </w:rPr>
        <w:footnoteReference w:id="3316"/>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تَعلَّقوا بأخبارٍ</w:t>
      </w:r>
      <w:r>
        <w:rPr>
          <w:rStyle w:val="FootnoteAnchor"/>
          <w:rtl w:val="true"/>
        </w:rPr>
        <w:footnoteReference w:id="3317"/>
      </w:r>
      <w:r>
        <w:rPr>
          <w:rFonts w:ascii="Amiri" w:hAnsi="Amiri" w:eastAsia="Amiri" w:cs="Amiri"/>
          <w:color w:val="111111"/>
          <w:sz w:val="28"/>
          <w:sz w:val="28"/>
          <w:szCs w:val="28"/>
          <w:rtl w:val="true"/>
          <w:lang w:bidi="ar-SA"/>
        </w:rPr>
        <w:t xml:space="preserve">يَدَّعونَها في هذا البابِ‌؛ منها ما طريقُه الآحادُ، و منها ما لا يُمكِنُ إثباتُه علىٰ شَرطِ الآحادِ أيضاً؛ نَحوُ ما يَدَّعونَ </w:t>
      </w:r>
      <w:r>
        <w:rPr>
          <w:rStyle w:val="FootnoteAnchor"/>
          <w:rtl w:val="true"/>
        </w:rPr>
        <w:footnoteReference w:id="3318"/>
      </w:r>
      <w:r>
        <w:rPr>
          <w:rFonts w:ascii="Amiri" w:hAnsi="Amiri" w:eastAsia="Amiri" w:cs="Amiri"/>
          <w:color w:val="111111"/>
          <w:sz w:val="28"/>
          <w:sz w:val="28"/>
          <w:szCs w:val="28"/>
          <w:rtl w:val="true"/>
          <w:lang w:bidi="ar-SA"/>
        </w:rPr>
        <w:t xml:space="preserve">مِن أنّه عليه السلامُ </w:t>
      </w:r>
      <w:r>
        <w:rPr>
          <w:rStyle w:val="FootnoteAnchor"/>
          <w:rtl w:val="true"/>
        </w:rPr>
        <w:footnoteReference w:id="3319"/>
      </w:r>
      <w:r>
        <w:rPr>
          <w:rFonts w:ascii="Amiri" w:hAnsi="Amiri" w:eastAsia="Amiri" w:cs="Amiri"/>
          <w:color w:val="111111"/>
          <w:sz w:val="28"/>
          <w:sz w:val="28"/>
          <w:szCs w:val="28"/>
          <w:rtl w:val="true"/>
          <w:lang w:bidi="ar-SA"/>
        </w:rPr>
        <w:t>تَقدَّمَ إلىٰ أصحابِه</w:t>
      </w:r>
      <w:r>
        <w:rPr>
          <w:rStyle w:val="FootnoteAnchor"/>
          <w:rtl w:val="true"/>
        </w:rPr>
        <w:footnoteReference w:id="3320"/>
      </w:r>
      <w:r>
        <w:rPr>
          <w:rFonts w:ascii="Amiri" w:hAnsi="Amiri" w:eastAsia="Amiri" w:cs="Amiri"/>
          <w:color w:val="111111"/>
          <w:sz w:val="28"/>
          <w:sz w:val="28"/>
          <w:szCs w:val="28"/>
          <w:rtl w:val="true"/>
          <w:lang w:bidi="ar-SA"/>
        </w:rPr>
        <w:t xml:space="preserve">بأن يُسلِّموا علىٰ عَليٍّ عليه السلامُ بإمرةِ </w:t>
      </w:r>
      <w:r>
        <w:rPr>
          <w:rStyle w:val="FootnoteAnchor"/>
          <w:rtl w:val="true"/>
        </w:rPr>
        <w:footnoteReference w:id="3321"/>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نَحوُ ما يَروونَ‌</w:t>
      </w:r>
      <w:r>
        <w:rPr>
          <w:rStyle w:val="FootnoteAnchor"/>
          <w:rtl w:val="true"/>
        </w:rPr>
        <w:footnoteReference w:id="3322"/>
      </w:r>
      <w:r>
        <w:rPr>
          <w:rFonts w:ascii="Amiri" w:hAnsi="Amiri" w:eastAsia="Amiri" w:cs="Amiri"/>
          <w:color w:val="111111"/>
          <w:sz w:val="28"/>
          <w:sz w:val="28"/>
          <w:szCs w:val="28"/>
          <w:rtl w:val="true"/>
          <w:lang w:bidi="ar-SA"/>
        </w:rPr>
        <w:t>مِن قولِه عليه السلامُ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سَيِّدُ المُسلِمينَ‌، و إمامُ المُتَّقينَ‌، 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لعَليٍّ‌</w:t>
      </w:r>
      <w:r>
        <w:rPr>
          <w:rStyle w:val="FootnoteAnchor"/>
          <w:rtl w:val="true"/>
        </w:rPr>
        <w:footnoteReference w:id="3323"/>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وَليُّ كُلِّ مؤمِنٍ و مؤمِنةٍ مِن بَعدي</w:t>
      </w:r>
      <w:r>
        <w:rPr>
          <w:rStyle w:val="FootnoteAnchor"/>
          <w:rtl w:val="true"/>
        </w:rPr>
        <w:footnoteReference w:id="3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مِنّي، و أنا مِنه، و هو وَليُّ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يَتعلَّقونَ به في الإمامةِ‌، أو في أنّه الأفضَلُ‌، أو في بابِ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شَيخُنا أبو عَليٍّ أنّ هذه الأخبارَ لَم تَثبُتْ مِن وجهٍ يوجِبُ العِلمَ‌، فلا يَصِحُّ‌</w:t>
      </w:r>
      <w:r>
        <w:rPr>
          <w:rStyle w:val="FootnoteAnchor"/>
          <w:rtl w:val="true"/>
        </w:rPr>
        <w:footnoteReference w:id="3325"/>
      </w:r>
      <w:r>
        <w:rPr>
          <w:rFonts w:ascii="Amiri" w:hAnsi="Amiri" w:eastAsia="Amiri" w:cs="Amiri"/>
          <w:color w:val="111111"/>
          <w:sz w:val="28"/>
          <w:sz w:val="28"/>
          <w:szCs w:val="28"/>
          <w:rtl w:val="true"/>
          <w:lang w:bidi="ar-SA"/>
        </w:rPr>
        <w:t>الاعتمادُ عليها في إثباتِ النصِّ‌</w:t>
      </w:r>
      <w:r>
        <w:rPr>
          <w:rStyle w:val="FootnoteAnchor"/>
          <w:rtl w:val="true"/>
        </w:rPr>
        <w:footnoteReference w:id="3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 أنّ ادّعاءَهم فيها أو في بعضِها أنّها ثابتةٌ بالتواتُرِ لا يَصِحُّ‌؛ لأنّ للتواتُرِ شَرائطَ لَيسَت حاصلةً فيها</w:t>
      </w:r>
      <w:r>
        <w:rPr>
          <w:rStyle w:val="FootnoteAnchor"/>
          <w:rtl w:val="true"/>
        </w:rPr>
        <w:footnoteReference w:id="3327"/>
      </w:r>
      <w:r>
        <w:rPr>
          <w:rFonts w:ascii="Amiri" w:hAnsi="Amiri" w:eastAsia="Amiri" w:cs="Amiri"/>
          <w:color w:val="111111"/>
          <w:sz w:val="28"/>
          <w:sz w:val="28"/>
          <w:szCs w:val="28"/>
          <w:rtl w:val="true"/>
          <w:lang w:bidi="ar-SA"/>
        </w:rPr>
        <w:t>، و لا يُمكِنُهم إثباتُ ذلكَ بأن يَقولوا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قد طَبَّقَت</w:t>
      </w:r>
      <w:r>
        <w:rPr>
          <w:rStyle w:val="FootnoteAnchor"/>
          <w:rtl w:val="true"/>
        </w:rPr>
        <w:footnoteReference w:id="3328"/>
      </w:r>
      <w:r>
        <w:rPr>
          <w:rFonts w:ascii="Amiri" w:hAnsi="Amiri" w:eastAsia="Amiri" w:cs="Amiri"/>
          <w:color w:val="111111"/>
          <w:sz w:val="28"/>
          <w:sz w:val="28"/>
          <w:szCs w:val="28"/>
          <w:rtl w:val="true"/>
          <w:lang w:bidi="ar-SA"/>
        </w:rPr>
        <w:t>البِلادَ عَصراً بَعدَ عَصرٍ، و حالاً بَعدَ حالٍ‌، فروايتُها يَجِبُ‌</w:t>
      </w:r>
      <w:r>
        <w:rPr>
          <w:rStyle w:val="FootnoteAnchor"/>
          <w:rtl w:val="true"/>
        </w:rPr>
        <w:footnoteReference w:id="3329"/>
      </w:r>
      <w:r>
        <w:rPr>
          <w:rFonts w:ascii="Amiri" w:hAnsi="Amiri" w:eastAsia="Amiri" w:cs="Amiri"/>
          <w:color w:val="111111"/>
          <w:sz w:val="28"/>
          <w:sz w:val="28"/>
          <w:szCs w:val="28"/>
          <w:rtl w:val="true"/>
          <w:lang w:bidi="ar-SA"/>
        </w:rPr>
        <w:t>أن تَبلُغَ حَدَّ التواتُرِ؛ لأنّ الخبرَ لا يَصيرُ داخلاً في جُملةِ التواتُرِ</w:t>
      </w:r>
      <w:r>
        <w:rPr>
          <w:rStyle w:val="FootnoteAnchor"/>
          <w:rtl w:val="true"/>
        </w:rPr>
        <w:footnoteReference w:id="3330"/>
      </w:r>
    </w:p>
    <w:p>
      <w:pPr>
        <w:pStyle w:val="BookText"/>
        <w:rPr/>
      </w:pPr>
      <w:r>
        <w:rPr>
          <w:rFonts w:ascii="Amiri" w:hAnsi="Amiri" w:eastAsia="Amiri" w:cs="Amiri"/>
          <w:color w:val="111111"/>
          <w:sz w:val="28"/>
          <w:sz w:val="28"/>
          <w:szCs w:val="28"/>
          <w:rtl w:val="true"/>
          <w:lang w:bidi="ar-SA"/>
        </w:rPr>
        <w:t>بهذه الطريقةِ‌، دونَ أن يُبيَّنَ حصولُ النقلِ فيه</w:t>
      </w:r>
      <w:r>
        <w:rPr>
          <w:rStyle w:val="FootnoteAnchor"/>
          <w:rtl w:val="true"/>
        </w:rPr>
        <w:footnoteReference w:id="3331"/>
      </w:r>
      <w:r>
        <w:rPr>
          <w:rFonts w:ascii="Amiri" w:hAnsi="Amiri" w:eastAsia="Amiri" w:cs="Amiri"/>
          <w:color w:val="111111"/>
          <w:sz w:val="28"/>
          <w:sz w:val="28"/>
          <w:szCs w:val="28"/>
          <w:rtl w:val="true"/>
          <w:lang w:bidi="ar-SA"/>
        </w:rPr>
        <w:t>علىٰ شَرطِ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لِمَن خالَفَهم أن يَدَّعوا</w:t>
      </w:r>
      <w:r>
        <w:rPr>
          <w:rStyle w:val="FootnoteAnchor"/>
          <w:rtl w:val="true"/>
        </w:rPr>
        <w:footnoteReference w:id="3332"/>
      </w:r>
      <w:r>
        <w:rPr>
          <w:rFonts w:ascii="Amiri" w:hAnsi="Amiri" w:eastAsia="Amiri" w:cs="Amiri"/>
          <w:color w:val="111111"/>
          <w:sz w:val="28"/>
          <w:sz w:val="28"/>
          <w:szCs w:val="28"/>
          <w:rtl w:val="true"/>
          <w:lang w:bidi="ar-SA"/>
        </w:rPr>
        <w:t>مِثلَ ذلكَ في النصِّ علىٰ أبي بَكرٍ؛ لأنّ أصحابَ الحَديثِ فيهم كَثيرةٌ‌</w:t>
      </w:r>
      <w:r>
        <w:rPr>
          <w:rStyle w:val="FootnoteAnchor"/>
          <w:rtl w:val="true"/>
        </w:rPr>
        <w:footnoteReference w:id="3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 أنّ ادّعاءَ النصِّ لا يُمكِنُ إثباتُه إلّاحَديثاً، فأمّا في الأعصارِ القَديمةِ فذلكَ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أنّ ادّعاءَهم أنّه قد كانَ لأميرِ المؤمنينَ عليه السلامُ شيعةٌ و مُتعصِّبونَ يَدَّعون له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ذَرٍّ، و عَمّارٍ، و المِقدادِ، و سَلمانَ‌، إلىٰ غيرِهم</w:t>
      </w:r>
      <w:r>
        <w:rPr>
          <w:rStyle w:val="FootnoteAnchor"/>
          <w:rtl w:val="true"/>
        </w:rPr>
        <w:footnoteReference w:id="3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إثباتُه، و إنّما يُمكِنُ أن يَثبُتَ انقطاعُهم إليه،</w:t>
      </w:r>
    </w:p>
    <w:p>
      <w:pPr>
        <w:pStyle w:val="BookText"/>
        <w:rPr/>
      </w:pPr>
      <w:r>
        <w:rPr>
          <w:rFonts w:ascii="Amiri" w:hAnsi="Amiri" w:eastAsia="Amiri" w:cs="Amiri"/>
          <w:color w:val="111111"/>
          <w:sz w:val="28"/>
          <w:sz w:val="28"/>
          <w:szCs w:val="28"/>
          <w:rtl w:val="true"/>
          <w:lang w:bidi="ar-SA"/>
        </w:rPr>
        <w:t>و قولُهم بفَضلِه، و بأنّه حَقيقٌ بالإمامةِ‌، و بأنّه قد كانَ يَجِبُ أن لا يُعدَلَ عنه و</w:t>
      </w:r>
      <w:r>
        <w:rPr>
          <w:rStyle w:val="FootnoteAnchor"/>
          <w:rtl w:val="true"/>
        </w:rPr>
        <w:footnoteReference w:id="3335"/>
      </w:r>
      <w:r>
        <w:rPr>
          <w:rFonts w:ascii="Amiri" w:hAnsi="Amiri" w:eastAsia="Amiri" w:cs="Amiri"/>
          <w:color w:val="111111"/>
          <w:sz w:val="28"/>
          <w:sz w:val="28"/>
          <w:szCs w:val="28"/>
          <w:rtl w:val="true"/>
          <w:lang w:bidi="ar-SA"/>
        </w:rPr>
        <w:t>عن رأيِه، إلىٰ ما يَجري هذا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ادّعاءُ </w:t>
      </w:r>
      <w:r>
        <w:rPr>
          <w:rStyle w:val="FootnoteAnchor"/>
          <w:rtl w:val="true"/>
        </w:rPr>
        <w:footnoteReference w:id="3336"/>
      </w:r>
      <w:r>
        <w:rPr>
          <w:rFonts w:ascii="Amiri" w:hAnsi="Amiri" w:eastAsia="Amiri" w:cs="Amiri"/>
          <w:color w:val="111111"/>
          <w:sz w:val="28"/>
          <w:sz w:val="28"/>
          <w:szCs w:val="28"/>
          <w:rtl w:val="true"/>
          <w:lang w:bidi="ar-SA"/>
        </w:rPr>
        <w:t xml:space="preserve">غيرِ ذلكَ فبَعيدٌ؛ لأنّ النصَّ غيرُ مذكورٍ عنهم علَى الوجهِ الذي يَدَّعونَ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 أنّهم إن رَضوا لأنفُسِهم في إثباتِ النَّصِّ أن يَعتَمِدوا علىٰ مِثلِ هذه الأخبارِ، فالمَرويُّ مِن الأخبارِ الدالّةِ علىٰ أنّه عليه السلامُ لَم يَستَخلِفْ أظهَرُ مِن ذلكَ ؛ لأنّه قد رُويَ عن أبي وائلٍ </w:t>
      </w:r>
      <w:r>
        <w:rPr>
          <w:rStyle w:val="FootnoteAnchor"/>
          <w:rtl w:val="true"/>
        </w:rPr>
        <w:footnoteReference w:id="3337"/>
      </w:r>
      <w:r>
        <w:rPr>
          <w:rFonts w:ascii="Amiri" w:hAnsi="Amiri" w:eastAsia="Amiri" w:cs="Amiri"/>
          <w:color w:val="111111"/>
          <w:sz w:val="28"/>
          <w:sz w:val="28"/>
          <w:szCs w:val="28"/>
          <w:rtl w:val="true"/>
          <w:lang w:bidi="ar-SA"/>
        </w:rPr>
        <w:t xml:space="preserve">و الحَكَمِ عن عَليِّ بن أبي </w:t>
      </w:r>
    </w:p>
    <w:p>
      <w:pPr>
        <w:pStyle w:val="BookText"/>
        <w:rPr/>
      </w:pPr>
      <w:r>
        <w:rPr>
          <w:rFonts w:ascii="Amiri" w:hAnsi="Amiri" w:eastAsia="Amiri" w:cs="Amiri"/>
          <w:color w:val="111111"/>
          <w:sz w:val="28"/>
          <w:sz w:val="28"/>
          <w:szCs w:val="28"/>
          <w:rtl w:val="true"/>
          <w:lang w:bidi="ar-SA"/>
        </w:rPr>
        <w:t>طالبٍ‌</w:t>
      </w:r>
      <w:r>
        <w:rPr>
          <w:rStyle w:val="FootnoteAnchor"/>
          <w:rtl w:val="true"/>
        </w:rPr>
        <w:footnoteReference w:id="3338"/>
      </w:r>
      <w:r>
        <w:rPr>
          <w:rFonts w:ascii="Amiri" w:hAnsi="Amiri" w:eastAsia="Amiri" w:cs="Amiri"/>
          <w:color w:val="111111"/>
          <w:sz w:val="28"/>
          <w:sz w:val="28"/>
          <w:szCs w:val="28"/>
          <w:rtl w:val="true"/>
          <w:lang w:bidi="ar-SA"/>
        </w:rPr>
        <w:t>عليه السلامُ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توصي‌؟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أَوصىٰ رسولُ اللّٰهِ فأُوصي، و لكِنْ إن أرادَ اللّٰهُ بالناسِ خَيراً فسَيَجمَعُهم</w:t>
      </w:r>
      <w:r>
        <w:rPr>
          <w:rStyle w:val="FootnoteAnchor"/>
          <w:rtl w:val="true"/>
        </w:rPr>
        <w:footnoteReference w:id="3339"/>
      </w:r>
      <w:r>
        <w:rPr>
          <w:rFonts w:ascii="Amiri" w:hAnsi="Amiri" w:eastAsia="Amiri" w:cs="Amiri"/>
          <w:color w:val="111111"/>
          <w:sz w:val="28"/>
          <w:sz w:val="28"/>
          <w:szCs w:val="28"/>
          <w:rtl w:val="true"/>
          <w:lang w:bidi="ar-SA"/>
        </w:rPr>
        <w:t>علىٰ خَيرِهم، كما جَمَعَهم بَعدَ نَبيِّهم علىٰ خَيرِهم</w:t>
      </w:r>
      <w:r>
        <w:rPr>
          <w:rStyle w:val="FootnoteAnchor"/>
          <w:rtl w:val="true"/>
        </w:rPr>
        <w:footnoteReference w:id="33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صَعصَعةُ بنُ صَوحانَ‌</w:t>
      </w:r>
      <w:r>
        <w:rPr>
          <w:rStyle w:val="FootnoteAnchor"/>
          <w:rtl w:val="true"/>
        </w:rPr>
        <w:footnoteReference w:id="3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مُلجَمٍ لَعَنَه اللّٰهُ </w:t>
      </w:r>
      <w:r>
        <w:rPr>
          <w:rStyle w:val="FootnoteAnchor"/>
          <w:rtl w:val="true"/>
        </w:rPr>
        <w:footnoteReference w:id="3343"/>
      </w:r>
      <w:r>
        <w:rPr>
          <w:rFonts w:ascii="Amiri" w:hAnsi="Amiri" w:eastAsia="Amiri" w:cs="Amiri"/>
          <w:color w:val="111111"/>
          <w:sz w:val="28"/>
          <w:sz w:val="28"/>
          <w:szCs w:val="28"/>
          <w:rtl w:val="true"/>
          <w:lang w:bidi="ar-SA"/>
        </w:rPr>
        <w:t>لمّا ضَرَبَه</w:t>
      </w:r>
      <w:r>
        <w:rPr>
          <w:rStyle w:val="FootnoteAnchor"/>
          <w:rtl w:val="true"/>
        </w:rPr>
        <w:footnoteReference w:id="3344"/>
      </w:r>
      <w:r>
        <w:rPr>
          <w:rFonts w:ascii="Amiri" w:hAnsi="Amiri" w:eastAsia="Amiri" w:cs="Amiri"/>
          <w:color w:val="111111"/>
          <w:sz w:val="28"/>
          <w:sz w:val="28"/>
          <w:szCs w:val="28"/>
          <w:rtl w:val="true"/>
          <w:lang w:bidi="ar-SA"/>
        </w:rPr>
        <w:t>عليه السلامُ دَخَلنا عليه</w:t>
      </w:r>
      <w:r>
        <w:rPr>
          <w:rStyle w:val="FootnoteAnchor"/>
          <w:rtl w:val="true"/>
        </w:rPr>
        <w:footnoteReference w:id="3345"/>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Style w:val="FootnoteAnchor"/>
          <w:rtl w:val="true"/>
        </w:rPr>
        <w:footnoteReference w:id="3346"/>
      </w:r>
      <w:r>
        <w:rPr>
          <w:rFonts w:ascii="Amiri" w:hAnsi="Amiri" w:eastAsia="Amiri" w:cs="Amiri"/>
          <w:color w:val="111111"/>
          <w:sz w:val="28"/>
          <w:sz w:val="28"/>
          <w:szCs w:val="28"/>
          <w:rtl w:val="true"/>
          <w:lang w:bidi="ar-SA"/>
        </w:rPr>
        <w:t xml:space="preserve">، استَخلِفْ علَينا،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فإنّا دَخَلنا علىٰ رسولِ اللّٰه صَلَّى اللّٰهُ عليه و آلهِ حينَ ثَقُلَ ،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أدرك زمان النبي صلّى اللّٰه عليه و آله و لم يره، و لم يسمع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سكن الكوفة، و ورد المدائن مع عليّ بن أبي طالب عليه السلام حين قاتل الخوارج بالنهروان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عليّ بن أبي طالب و عبد اللّٰه بن مسعود و عمّار بن ياسر و عدّةً أُخرى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تسع و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 معرفة الصحابة،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1449</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2834</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رسولَ اللّٰهِ‌، استَخلِفْ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3347"/>
      </w:r>
      <w:r>
        <w:rPr>
          <w:rFonts w:ascii="Amiri" w:hAnsi="Amiri" w:eastAsia="Amiri" w:cs="Amiri"/>
          <w:color w:val="111111"/>
          <w:sz w:val="28"/>
          <w:sz w:val="28"/>
          <w:szCs w:val="28"/>
          <w:rtl w:val="true"/>
          <w:lang w:bidi="ar-SA"/>
        </w:rPr>
        <w:t>، إنّي أخافُ أن تَتفرَّقوا</w:t>
      </w:r>
      <w:r>
        <w:rPr>
          <w:rStyle w:val="FootnoteAnchor"/>
          <w:rtl w:val="true"/>
        </w:rPr>
        <w:footnoteReference w:id="3348"/>
      </w:r>
      <w:r>
        <w:rPr>
          <w:rFonts w:ascii="Amiri" w:hAnsi="Amiri" w:eastAsia="Amiri" w:cs="Amiri"/>
          <w:color w:val="111111"/>
          <w:sz w:val="28"/>
          <w:sz w:val="28"/>
          <w:szCs w:val="28"/>
          <w:rtl w:val="true"/>
          <w:lang w:bidi="ar-SA"/>
        </w:rPr>
        <w:t>عنه كَما تَفرَّقَت بَنو إسرائيلَ عن هارونَ‌، و لكِنْ إن يَعلَمِ اللّٰهُ في قُلوبِكم خَيراً اختارَ لَكم</w:t>
      </w:r>
      <w:r>
        <w:rPr>
          <w:rFonts w:eastAsia="Amiri" w:cs="Amiri" w:ascii="Amiri" w:hAnsi="Amiri"/>
          <w:color w:val="111111"/>
          <w:sz w:val="28"/>
          <w:szCs w:val="28"/>
          <w:rtl w:val="true"/>
          <w:lang w:bidi="ar-SA"/>
        </w:rPr>
        <w:t>»</w:t>
      </w:r>
      <w:r>
        <w:rPr>
          <w:rStyle w:val="FootnoteAnchor"/>
          <w:rtl w:val="true"/>
        </w:rPr>
        <w:footnoteReference w:id="3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المَرويُّ عن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خاطَبَ أميرَ المؤمنينَ في مرضِ النبيِّ عليه السلامُ أن يَسألَه</w:t>
      </w:r>
      <w:r>
        <w:rPr>
          <w:rStyle w:val="FootnoteAnchor"/>
          <w:rtl w:val="true"/>
        </w:rPr>
        <w:footnoteReference w:id="3350"/>
      </w:r>
      <w:r>
        <w:rPr>
          <w:rFonts w:ascii="Amiri" w:hAnsi="Amiri" w:eastAsia="Amiri" w:cs="Amiri"/>
          <w:color w:val="111111"/>
          <w:sz w:val="28"/>
          <w:sz w:val="28"/>
          <w:szCs w:val="28"/>
          <w:rtl w:val="true"/>
          <w:lang w:bidi="ar-SA"/>
        </w:rPr>
        <w:t>عن القائمِ بالأمرِ</w:t>
      </w:r>
      <w:r>
        <w:rPr>
          <w:rStyle w:val="FootnoteAnchor"/>
          <w:rtl w:val="true"/>
        </w:rPr>
        <w:footnoteReference w:id="3351"/>
      </w:r>
      <w:r>
        <w:rPr>
          <w:rFonts w:ascii="Amiri" w:hAnsi="Amiri" w:eastAsia="Amiri" w:cs="Amiri"/>
          <w:color w:val="111111"/>
          <w:sz w:val="28"/>
          <w:sz w:val="28"/>
          <w:szCs w:val="28"/>
          <w:rtl w:val="true"/>
          <w:lang w:bidi="ar-SA"/>
        </w:rPr>
        <w:t>بَعدَه، و أنّه امتَنَعَ مِن ذلكَ خَوفاً أن يَصرِفَه عن أهلِ بَيتِه، فلا يَعودَ إليهم أبَداً</w:t>
      </w:r>
      <w:r>
        <w:rPr>
          <w:rStyle w:val="FootnoteAnchor"/>
          <w:rtl w:val="true"/>
        </w:rPr>
        <w:footnoteReference w:id="3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صاروا بأن</w:t>
      </w:r>
    </w:p>
    <w:p>
      <w:pPr>
        <w:pStyle w:val="BookText"/>
        <w:rPr/>
      </w:pPr>
      <w:r>
        <w:rPr>
          <w:rFonts w:ascii="Amiri" w:hAnsi="Amiri" w:eastAsia="Amiri" w:cs="Amiri"/>
          <w:color w:val="111111"/>
          <w:sz w:val="28"/>
          <w:sz w:val="28"/>
          <w:szCs w:val="28"/>
          <w:rtl w:val="true"/>
          <w:lang w:bidi="ar-SA"/>
        </w:rPr>
        <w:t>يَتعلَّقوا بتلكَ الأخبارِ، بأَولىٰ ممّن يُخالِفُهم بأن يَتعلَّقَ بهذه الأخبارِ</w:t>
      </w:r>
      <w:r>
        <w:rPr>
          <w:rStyle w:val="FootnoteAnchor"/>
          <w:rtl w:val="true"/>
        </w:rPr>
        <w:footnoteReference w:id="3353"/>
      </w:r>
      <w:r>
        <w:rPr>
          <w:rFonts w:ascii="Amiri" w:hAnsi="Amiri" w:eastAsia="Amiri" w:cs="Amiri"/>
          <w:color w:val="111111"/>
          <w:sz w:val="28"/>
          <w:sz w:val="28"/>
          <w:szCs w:val="28"/>
          <w:rtl w:val="true"/>
          <w:lang w:bidi="ar-SA"/>
        </w:rPr>
        <w:t>في أنّه صَلَّى اللّٰهُ عليه و آلِه لَم يَستَخلِفْ‌</w:t>
      </w:r>
      <w:r>
        <w:rPr>
          <w:rStyle w:val="FootnoteAnchor"/>
          <w:rtl w:val="true"/>
        </w:rPr>
        <w:footnoteReference w:id="3354"/>
      </w:r>
      <w:r>
        <w:rPr>
          <w:rFonts w:ascii="IRNazanin" w:hAnsi="IRNazanin" w:eastAsia="IRNazanin"/>
          <w:color w:val="111111"/>
          <w:sz w:val="28"/>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 ما يُعارَضونَ به ما رُويَ عنه عليه السلامُ في استخلافِ أبي بَكرٍ؛ فقَد رُويَ عن أنَسٍ أنّ رسولَ اللّٰهِ‌</w:t>
      </w:r>
      <w:r>
        <w:rPr>
          <w:rStyle w:val="FootnoteAnchor"/>
          <w:rtl w:val="true"/>
        </w:rPr>
        <w:footnoteReference w:id="3355"/>
      </w:r>
      <w:r>
        <w:rPr>
          <w:rFonts w:ascii="Amiri" w:hAnsi="Amiri" w:eastAsia="Amiri" w:cs="Amiri"/>
          <w:color w:val="111111"/>
          <w:sz w:val="28"/>
          <w:sz w:val="28"/>
          <w:szCs w:val="28"/>
          <w:rtl w:val="true"/>
          <w:lang w:bidi="ar-SA"/>
        </w:rPr>
        <w:t>صَلَّى اللّٰهُ عليه و آلِه</w:t>
      </w:r>
      <w:r>
        <w:rPr>
          <w:rStyle w:val="FootnoteAnchor"/>
          <w:rtl w:val="true"/>
        </w:rPr>
        <w:footnoteReference w:id="3356"/>
      </w:r>
      <w:r>
        <w:rPr>
          <w:rFonts w:ascii="Amiri" w:hAnsi="Amiri" w:eastAsia="Amiri" w:cs="Amiri"/>
          <w:color w:val="111111"/>
          <w:sz w:val="28"/>
          <w:sz w:val="28"/>
          <w:szCs w:val="28"/>
          <w:rtl w:val="true"/>
          <w:lang w:bidi="ar-SA"/>
        </w:rPr>
        <w:t>أمَرَه عند إقبالِ أبي بَكرٍ أن يُبشِّرَه بالجَنّةِ و بالخِلافةِ بَعدَه، و أن يُبشِّرَ عُمَرَ بالجَنّةِ و بالخِلافةِ بَعدَ أبي بَكرٍ</w:t>
      </w:r>
      <w:r>
        <w:rPr>
          <w:rStyle w:val="FootnoteAnchor"/>
          <w:rtl w:val="true"/>
        </w:rPr>
        <w:footnoteReference w:id="3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عن جُبَيرِ بنِ مُطعِمٍ‌</w:t>
      </w:r>
      <w:r>
        <w:rPr>
          <w:rStyle w:val="FootnoteAnchor"/>
          <w:rtl w:val="true"/>
        </w:rPr>
        <w:footnoteReference w:id="3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أتَت رسولَ اللّٰهِ عليه السلامُ فكَلَّمَته</w:t>
      </w:r>
      <w:r>
        <w:rPr>
          <w:rStyle w:val="FootnoteAnchor"/>
          <w:rtl w:val="true"/>
        </w:rPr>
        <w:footnoteReference w:id="3359"/>
      </w:r>
      <w:r>
        <w:rPr>
          <w:rFonts w:ascii="Amiri" w:hAnsi="Amiri" w:eastAsia="Amiri" w:cs="Amiri"/>
          <w:color w:val="111111"/>
          <w:sz w:val="28"/>
          <w:sz w:val="28"/>
          <w:szCs w:val="28"/>
          <w:rtl w:val="true"/>
          <w:lang w:bidi="ar-SA"/>
        </w:rPr>
        <w:t>في شَيءٍ مِن أمرِها</w:t>
      </w:r>
      <w:r>
        <w:rPr>
          <w:rStyle w:val="FootnoteAnchor"/>
          <w:rtl w:val="true"/>
        </w:rPr>
        <w:footnoteReference w:id="3360"/>
      </w:r>
      <w:r>
        <w:rPr>
          <w:rFonts w:ascii="Amiri" w:hAnsi="Amiri" w:eastAsia="Amiri" w:cs="Amiri"/>
          <w:color w:val="111111"/>
          <w:sz w:val="28"/>
          <w:sz w:val="28"/>
          <w:szCs w:val="28"/>
          <w:rtl w:val="true"/>
          <w:lang w:bidi="ar-SA"/>
        </w:rPr>
        <w:t>، فأمَرَها أن تَرجِعَ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w:t>
      </w:r>
      <w:r>
        <w:rPr>
          <w:rStyle w:val="FootnoteAnchor"/>
          <w:rtl w:val="true"/>
        </w:rPr>
        <w:footnoteReference w:id="3361"/>
      </w:r>
      <w:r>
        <w:rPr>
          <w:rFonts w:ascii="Amiri" w:hAnsi="Amiri" w:eastAsia="Amiri" w:cs="Amiri"/>
          <w:color w:val="111111"/>
          <w:sz w:val="28"/>
          <w:sz w:val="28"/>
          <w:szCs w:val="28"/>
          <w:rtl w:val="true"/>
          <w:lang w:bidi="ar-SA"/>
        </w:rPr>
        <w:t xml:space="preserve">إن رَجَعتُ فلَم أجِدْكَ؟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3362"/>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تَجِديني فائْتي أبا بَكرٍ</w:t>
      </w:r>
      <w:r>
        <w:rPr>
          <w:rFonts w:eastAsia="Amiri" w:cs="Amiri" w:ascii="Amiri" w:hAnsi="Amiri"/>
          <w:color w:val="111111"/>
          <w:sz w:val="28"/>
          <w:szCs w:val="28"/>
          <w:rtl w:val="true"/>
          <w:lang w:bidi="ar-SA"/>
        </w:rPr>
        <w:t>»</w:t>
      </w:r>
      <w:r>
        <w:rPr>
          <w:rStyle w:val="FootnoteAnchor"/>
          <w:rtl w:val="true"/>
        </w:rPr>
        <w:footnoteReference w:id="336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مالكٍ الأشجَعيُّ‌</w:t>
      </w:r>
      <w:r>
        <w:rPr>
          <w:rStyle w:val="FootnoteAnchor"/>
          <w:rtl w:val="true"/>
        </w:rPr>
        <w:footnoteReference w:id="3364"/>
      </w:r>
      <w:r>
        <w:rPr>
          <w:rFonts w:ascii="Amiri" w:hAnsi="Amiri" w:eastAsia="Amiri" w:cs="Amiri"/>
          <w:color w:val="111111"/>
          <w:sz w:val="28"/>
          <w:sz w:val="28"/>
          <w:szCs w:val="28"/>
          <w:rtl w:val="true"/>
          <w:lang w:bidi="ar-SA"/>
        </w:rPr>
        <w:t xml:space="preserve">عن أبي عَريضٍ </w:t>
      </w:r>
      <w:r>
        <w:rPr>
          <w:rStyle w:val="FootnoteAnchor"/>
          <w:rtl w:val="true"/>
        </w:rPr>
        <w:footnoteReference w:id="3365"/>
      </w:r>
      <w:r>
        <w:rPr>
          <w:rFonts w:ascii="Amiri" w:hAnsi="Amiri" w:eastAsia="Amiri" w:cs="Amiri"/>
          <w:color w:val="111111"/>
          <w:sz w:val="28"/>
          <w:sz w:val="28"/>
          <w:szCs w:val="28"/>
          <w:rtl w:val="true"/>
          <w:lang w:bidi="ar-SA"/>
        </w:rPr>
        <w:t>و كانَ رَجُلاً مِن أهلِ خَيبَرَ، و كانَ يُعطيهِ النبيُّ صَلَّى اللّٰهُ عليه و آلِه</w:t>
      </w:r>
      <w:r>
        <w:rPr>
          <w:rStyle w:val="FootnoteAnchor"/>
          <w:rtl w:val="true"/>
        </w:rPr>
        <w:footnoteReference w:id="3366"/>
      </w:r>
      <w:r>
        <w:rPr>
          <w:rFonts w:ascii="Amiri" w:hAnsi="Amiri" w:eastAsia="Amiri" w:cs="Amiri"/>
          <w:color w:val="111111"/>
          <w:sz w:val="28"/>
          <w:sz w:val="28"/>
          <w:szCs w:val="28"/>
          <w:rtl w:val="true"/>
          <w:lang w:bidi="ar-SA"/>
        </w:rPr>
        <w:t xml:space="preserve">في كُلِّ سَنةٍ مائةَ راحِلةٍ </w:t>
      </w:r>
    </w:p>
    <w:p>
      <w:pPr>
        <w:pStyle w:val="BookText"/>
        <w:rPr/>
      </w:pPr>
      <w:r>
        <w:rPr>
          <w:rFonts w:ascii="Amiri" w:hAnsi="Amiri" w:eastAsia="Amiri" w:cs="Amiri"/>
          <w:color w:val="111111"/>
          <w:sz w:val="28"/>
          <w:sz w:val="28"/>
          <w:szCs w:val="28"/>
          <w:rtl w:val="true"/>
          <w:lang w:bidi="ar-SA"/>
        </w:rPr>
        <w:t>تَمراً، فأعطاه سَنةً‌،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لا أُعطىٰ بَعدَكَ‌، فقالَ عليه السلامُ‌</w:t>
      </w:r>
      <w:r>
        <w:rPr>
          <w:rStyle w:val="FootnoteAnchor"/>
          <w:rtl w:val="true"/>
        </w:rPr>
        <w:footnoteReference w:id="33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فمَرَرتُ بعَليٍّ عليه السلامُ فأخبَرتُه،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فارجِعْ‌</w:t>
      </w:r>
      <w:r>
        <w:rPr>
          <w:rStyle w:val="FootnoteAnchor"/>
          <w:rtl w:val="true"/>
        </w:rPr>
        <w:footnoteReference w:id="3368"/>
      </w:r>
      <w:r>
        <w:rPr>
          <w:rFonts w:ascii="Amiri" w:hAnsi="Amiri" w:eastAsia="Amiri" w:cs="Amiri"/>
          <w:color w:val="111111"/>
          <w:sz w:val="28"/>
          <w:sz w:val="28"/>
          <w:szCs w:val="28"/>
          <w:rtl w:val="true"/>
          <w:lang w:bidi="ar-SA"/>
        </w:rPr>
        <w:t>إليه</w:t>
      </w:r>
      <w:r>
        <w:rPr>
          <w:rStyle w:val="FootnoteAnchor"/>
          <w:rtl w:val="true"/>
        </w:rPr>
        <w:footnoteReference w:id="3369"/>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يُعطينيها</w:t>
      </w:r>
      <w:r>
        <w:rPr>
          <w:rStyle w:val="FootnoteAnchor"/>
          <w:rtl w:val="true"/>
        </w:rPr>
        <w:footnoteReference w:id="3370"/>
      </w:r>
      <w:r>
        <w:rPr>
          <w:rFonts w:ascii="Amiri" w:hAnsi="Amiri" w:eastAsia="Amiri" w:cs="Amiri"/>
          <w:color w:val="111111"/>
          <w:sz w:val="28"/>
          <w:sz w:val="28"/>
          <w:szCs w:val="28"/>
          <w:rtl w:val="true"/>
          <w:lang w:bidi="ar-SA"/>
        </w:rPr>
        <w:t>بَعدَكَ؟</w:t>
      </w:r>
      <w:r>
        <w:rPr>
          <w:rStyle w:val="FootnoteAnchor"/>
          <w:rtl w:val="true"/>
        </w:rPr>
        <w:footnoteReference w:id="3371"/>
      </w:r>
      <w:r>
        <w:rPr>
          <w:rFonts w:ascii="Amiri" w:hAnsi="Amiri" w:eastAsia="Amiri" w:cs="Amiri"/>
          <w:color w:val="111111"/>
          <w:sz w:val="28"/>
          <w:sz w:val="28"/>
          <w:szCs w:val="28"/>
          <w:rtl w:val="true"/>
          <w:lang w:bidi="ar-SA"/>
        </w:rPr>
        <w:t>فرَجَعتُ‌، فقُلتُ‌،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Style w:val="FootnoteAnchor"/>
          <w:rtl w:val="true"/>
        </w:rPr>
        <w:footnoteReference w:id="3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عن الشَّعبيِّ عن بَني المُصطَلَقِ أنّهم بَعَثوا رَجُلاً إلَى النبيِّ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يَلي صَدَقاتِنا مِن بَعدِه‌؟ فانطَلَقَ فلَقيَ عليّاً عليه السلامُ و سَألَه،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انطَلِقْ إلىٰ رسولِ اللّٰهِ‌</w:t>
      </w:r>
    </w:p>
    <w:p>
      <w:pPr>
        <w:pStyle w:val="BookText"/>
        <w:rPr/>
      </w:pPr>
      <w:r>
        <w:rPr>
          <w:rFonts w:ascii="Amiri" w:hAnsi="Amiri" w:eastAsia="Amiri" w:cs="Amiri"/>
          <w:color w:val="111111"/>
          <w:sz w:val="28"/>
          <w:sz w:val="28"/>
          <w:szCs w:val="28"/>
          <w:rtl w:val="true"/>
          <w:lang w:bidi="ar-SA"/>
        </w:rPr>
        <w:t>فَسَلْه</w:t>
      </w:r>
      <w:r>
        <w:rPr>
          <w:rStyle w:val="FootnoteAnchor"/>
          <w:rtl w:val="true"/>
        </w:rPr>
        <w:footnoteReference w:id="3373"/>
      </w:r>
      <w:r>
        <w:rPr>
          <w:rFonts w:ascii="Amiri" w:hAnsi="Amiri" w:eastAsia="Amiri" w:cs="Amiri"/>
          <w:color w:val="111111"/>
          <w:sz w:val="28"/>
          <w:sz w:val="28"/>
          <w:szCs w:val="28"/>
          <w:rtl w:val="true"/>
          <w:lang w:bidi="ar-SA"/>
        </w:rPr>
        <w:t>، ثُمَّ ائتِني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عَليٍّ عليه السلامُ فأخبَرَه، ثُمَّ كذلكَ حتّىٰ ذَكَرَ عُمَرَ بَعدَه</w:t>
      </w:r>
      <w:r>
        <w:rPr>
          <w:rStyle w:val="FootnoteAnchor"/>
          <w:rtl w:val="true"/>
        </w:rPr>
        <w:footnoteReference w:id="3374"/>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سَفينةَ‌</w:t>
      </w:r>
      <w:r>
        <w:rPr>
          <w:rStyle w:val="FootnoteAnchor"/>
          <w:rtl w:val="true"/>
        </w:rPr>
        <w:footnoteReference w:id="3375"/>
      </w:r>
      <w:r>
        <w:rPr>
          <w:rFonts w:ascii="Amiri" w:hAnsi="Amiri" w:eastAsia="Amiri" w:cs="Amiri"/>
          <w:color w:val="111111"/>
          <w:sz w:val="28"/>
          <w:sz w:val="28"/>
          <w:szCs w:val="28"/>
          <w:rtl w:val="true"/>
          <w:lang w:bidi="ar-SA"/>
        </w:rPr>
        <w:t xml:space="preserve">مَولىٰ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الخِلافةَ بَعدي ثَلاثونَ </w:t>
      </w:r>
    </w:p>
    <w:p>
      <w:pPr>
        <w:pStyle w:val="BookText"/>
        <w:rPr/>
      </w:pPr>
      <w:r>
        <w:rPr>
          <w:rFonts w:ascii="Amiri" w:hAnsi="Amiri" w:eastAsia="Amiri" w:cs="Amiri"/>
          <w:color w:val="111111"/>
          <w:sz w:val="28"/>
          <w:sz w:val="28"/>
          <w:szCs w:val="28"/>
          <w:rtl w:val="true"/>
          <w:lang w:bidi="ar-SA"/>
        </w:rPr>
        <w:t>سَنةً‌</w:t>
      </w:r>
      <w:r>
        <w:rPr>
          <w:rStyle w:val="FootnoteAnchor"/>
          <w:rtl w:val="true"/>
        </w:rPr>
        <w:footnoteReference w:id="3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عليه السلامُ ذَكَرَ أبا بَكرٍ و عُمَرَ و عُثمانَ بالخِلافةِ‌</w:t>
      </w:r>
      <w:r>
        <w:rPr>
          <w:rStyle w:val="FootnoteAnchor"/>
          <w:rtl w:val="true"/>
        </w:rPr>
        <w:footnoteReference w:id="3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 كأنّ عَلَيَّ بُردَ حَبَرةٍ‌، و كأنّ فيه رَقْمَينِ‌</w:t>
      </w:r>
      <w:r>
        <w:rPr>
          <w:rStyle w:val="FootnoteAnchor"/>
          <w:rtl w:val="true"/>
        </w:rPr>
        <w:footnoteReference w:id="3378"/>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تَلي الخِلافةَ بَعدي سَنَتَينِ إن صَدَقَت رؤياكَ‌</w:t>
      </w:r>
      <w:r>
        <w:rPr>
          <w:rFonts w:eastAsia="Amiri" w:cs="Amiri" w:ascii="Amiri" w:hAnsi="Amiri"/>
          <w:color w:val="111111"/>
          <w:sz w:val="28"/>
          <w:szCs w:val="28"/>
          <w:rtl w:val="true"/>
          <w:lang w:bidi="ar-SA"/>
        </w:rPr>
        <w:t>»</w:t>
      </w:r>
      <w:r>
        <w:rPr>
          <w:rStyle w:val="FootnoteAnchor"/>
          <w:rtl w:val="true"/>
        </w:rPr>
        <w:footnoteReference w:id="3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أنّه قالَ‌</w:t>
      </w:r>
      <w:r>
        <w:rPr>
          <w:rStyle w:val="FootnoteAnchor"/>
          <w:rtl w:val="true"/>
        </w:rPr>
        <w:footnoteReference w:id="3380"/>
      </w:r>
      <w:r>
        <w:rPr>
          <w:rFonts w:ascii="Amiri" w:hAnsi="Amiri" w:eastAsia="Amiri" w:cs="Amiri"/>
          <w:color w:val="111111"/>
          <w:sz w:val="28"/>
          <w:sz w:val="28"/>
          <w:szCs w:val="28"/>
          <w:rtl w:val="true"/>
          <w:lang w:bidi="ar-SA"/>
        </w:rPr>
        <w:t>في أبي بَكرٍ و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سَيِّدا كُهولِ أهلِ الجَنّةِ‌</w:t>
      </w:r>
      <w:r>
        <w:rPr>
          <w:rFonts w:eastAsia="Amiri" w:cs="Amiri" w:ascii="Amiri" w:hAnsi="Amiri"/>
          <w:color w:val="111111"/>
          <w:sz w:val="28"/>
          <w:szCs w:val="28"/>
          <w:rtl w:val="true"/>
          <w:lang w:bidi="ar-SA"/>
        </w:rPr>
        <w:t>»</w:t>
      </w:r>
      <w:r>
        <w:rPr>
          <w:rStyle w:val="FootnoteAnchor"/>
          <w:rtl w:val="true"/>
        </w:rPr>
        <w:footnoteReference w:id="3381"/>
      </w:r>
      <w:r>
        <w:rPr>
          <w:rFonts w:ascii="Amiri" w:hAnsi="Amiri" w:eastAsia="Amiri" w:cs="Amiri"/>
          <w:color w:val="111111"/>
          <w:sz w:val="28"/>
          <w:sz w:val="28"/>
          <w:szCs w:val="28"/>
          <w:rtl w:val="true"/>
          <w:lang w:bidi="ar-SA"/>
        </w:rPr>
        <w:t>و المُرادُ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w:t>
      </w:r>
      <w:r>
        <w:rPr>
          <w:rStyle w:val="FootnoteAnchor"/>
          <w:rtl w:val="true"/>
        </w:rPr>
        <w:footnoteReference w:id="3382"/>
      </w:r>
      <w:r>
        <w:rPr>
          <w:rFonts w:ascii="Amiri" w:hAnsi="Amiri" w:eastAsia="Amiri" w:cs="Amiri"/>
          <w:color w:val="111111"/>
          <w:sz w:val="28"/>
          <w:sz w:val="28"/>
          <w:szCs w:val="28"/>
          <w:rtl w:val="true"/>
          <w:lang w:bidi="ar-SA"/>
        </w:rPr>
        <w:t xml:space="preserve">سَيِّدا مَن يَدخُلُ الجَنّةَ مِن كُهولِ الدنيا، كَما قالَ في الحَسَنِ و الحُسَينِ عليهما السلامُ </w:t>
      </w:r>
      <w:r>
        <w:rPr>
          <w:rStyle w:val="FootnoteAnchor"/>
          <w:rtl w:val="true"/>
        </w:rPr>
        <w:footnoteReference w:id="33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إنّهما سَيِّدا شَبابِ أهلِ الجَنّةِ </w:t>
      </w:r>
      <w:r>
        <w:rPr>
          <w:rFonts w:eastAsia="Amiri" w:cs="Amiri" w:ascii="Amiri" w:hAnsi="Amiri"/>
          <w:color w:val="111111"/>
          <w:sz w:val="28"/>
          <w:szCs w:val="28"/>
          <w:rtl w:val="true"/>
          <w:lang w:bidi="ar-SA"/>
        </w:rPr>
        <w:t>»</w:t>
      </w:r>
      <w:r>
        <w:rPr>
          <w:rStyle w:val="FootnoteAnchor"/>
          <w:rtl w:val="true"/>
        </w:rPr>
        <w:footnoteReference w:id="3384"/>
      </w:r>
      <w:r>
        <w:rPr>
          <w:rFonts w:ascii="Amiri" w:hAnsi="Amiri" w:eastAsia="Amiri" w:cs="Amiri"/>
          <w:color w:val="111111"/>
          <w:sz w:val="28"/>
          <w:sz w:val="28"/>
          <w:szCs w:val="28"/>
          <w:rtl w:val="true"/>
          <w:lang w:bidi="ar-SA"/>
        </w:rPr>
        <w:t>يَعني سَيِّدا مَن يَدخُلُ الجَنّةَ مِن شَبابِ الدُّنيا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صلّى اللّٰه عليه و آله في سفر، فكان بعض القوم إذا أعيا ألقىٰ عليّ ثوبه حتّىٰ حملت من ذلك شيئاً كثيراً،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إلّاسفينة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فلزمه ذلك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معرفة الصحابة،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 xml:space="preserve">؛ تاريخ مدينة دمشق،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 أنّه عليه السلامُ قالَ في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w:t>
      </w:r>
      <w:r>
        <w:rPr>
          <w:rStyle w:val="FootnoteAnchor"/>
          <w:rtl w:val="true"/>
        </w:rPr>
        <w:footnoteReference w:id="3385"/>
      </w:r>
      <w:r>
        <w:rPr>
          <w:rFonts w:ascii="Amiri" w:hAnsi="Amiri" w:eastAsia="Amiri" w:cs="Amiri"/>
          <w:color w:val="111111"/>
          <w:sz w:val="28"/>
          <w:sz w:val="28"/>
          <w:szCs w:val="28"/>
          <w:rtl w:val="true"/>
          <w:lang w:bidi="ar-SA"/>
        </w:rPr>
        <w:t>لي أخي و صاحبي؛ صَدَّقَني حَيثُ كَذَّبَنيَ الناسُ‌</w:t>
      </w:r>
      <w:r>
        <w:rPr>
          <w:rFonts w:eastAsia="Amiri" w:cs="Amiri" w:ascii="Amiri" w:hAnsi="Amiri"/>
          <w:color w:val="111111"/>
          <w:sz w:val="28"/>
          <w:szCs w:val="28"/>
          <w:rtl w:val="true"/>
          <w:lang w:bidi="ar-SA"/>
        </w:rPr>
        <w:t>»</w:t>
      </w:r>
      <w:r>
        <w:rPr>
          <w:rStyle w:val="FootnoteAnchor"/>
          <w:rtl w:val="true"/>
        </w:rPr>
        <w:footnoteReference w:id="3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w:t>
      </w:r>
      <w:r>
        <w:rPr>
          <w:rStyle w:val="FootnoteAnchor"/>
          <w:rtl w:val="true"/>
        </w:rPr>
        <w:footnoteReference w:id="3387"/>
      </w:r>
      <w:r>
        <w:rPr>
          <w:rFonts w:ascii="Amiri" w:hAnsi="Amiri" w:eastAsia="Amiri" w:cs="Amiri"/>
          <w:color w:val="111111"/>
          <w:sz w:val="28"/>
          <w:sz w:val="28"/>
          <w:szCs w:val="28"/>
          <w:rtl w:val="true"/>
          <w:lang w:bidi="ar-SA"/>
        </w:rPr>
        <w:t>بَعدي؛ أبي بَكرٍ و عُمَرَ</w:t>
      </w:r>
      <w:r>
        <w:rPr>
          <w:rFonts w:eastAsia="Amiri" w:cs="Amiri" w:ascii="Amiri" w:hAnsi="Amiri"/>
          <w:color w:val="111111"/>
          <w:sz w:val="28"/>
          <w:szCs w:val="28"/>
          <w:rtl w:val="true"/>
          <w:lang w:bidi="ar-SA"/>
        </w:rPr>
        <w:t>»</w:t>
      </w:r>
      <w:r>
        <w:rPr>
          <w:rStyle w:val="FootnoteAnchor"/>
          <w:rtl w:val="true"/>
        </w:rPr>
        <w:footnoteReference w:id="3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قُرَيشٍ جاءَ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تَقولُ في الخُطبةِ آنِفاً</w:t>
      </w:r>
      <w:r>
        <w:rPr>
          <w:rStyle w:val="FootnoteAnchor"/>
          <w:rtl w:val="true"/>
        </w:rPr>
        <w:footnoteReference w:id="33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أصلِحْنا بما أصلَحتَ به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حَبيبايَ و عَمّاكَ </w:t>
      </w:r>
      <w:r>
        <w:rPr>
          <w:rStyle w:val="FootnoteAnchor"/>
          <w:rtl w:val="true"/>
        </w:rPr>
        <w:footnoteReference w:id="3390"/>
      </w:r>
      <w:r>
        <w:rPr>
          <w:rFonts w:ascii="Amiri" w:hAnsi="Amiri" w:eastAsia="Amiri" w:cs="Amiri"/>
          <w:color w:val="111111"/>
          <w:sz w:val="28"/>
          <w:sz w:val="28"/>
          <w:szCs w:val="28"/>
          <w:rtl w:val="true"/>
          <w:lang w:bidi="ar-SA"/>
        </w:rPr>
        <w:t>، أبو بَكرٍ و عُمَرُ؛ إماما الهُدىٰ ، و شَيخا الإسلامِ ، و</w:t>
      </w:r>
      <w:r>
        <w:rPr>
          <w:rStyle w:val="FootnoteAnchor"/>
          <w:rtl w:val="true"/>
        </w:rPr>
        <w:footnoteReference w:id="3391"/>
      </w:r>
      <w:r>
        <w:rPr>
          <w:rFonts w:ascii="Amiri" w:hAnsi="Amiri" w:eastAsia="Amiri" w:cs="Amiri"/>
          <w:color w:val="111111"/>
          <w:sz w:val="28"/>
          <w:sz w:val="28"/>
          <w:szCs w:val="28"/>
          <w:rtl w:val="true"/>
          <w:lang w:bidi="ar-SA"/>
        </w:rPr>
        <w:t>رَجُلا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5923</w:t>
      </w:r>
      <w:r>
        <w:rPr>
          <w:rFonts w:ascii="Amiri" w:hAnsi="Amiri" w:eastAsia="Amiri" w:cs="Amiri"/>
          <w:color w:val="111111"/>
          <w:sz w:val="28"/>
          <w:sz w:val="28"/>
          <w:szCs w:val="28"/>
          <w:rtl w:val="true"/>
          <w:lang w:bidi="ar-SA"/>
        </w:rPr>
        <w:t xml:space="preserve">؛ الأمالي للصدوق،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الخصال،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عيون أخبار الرضا عليه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الأمالي للطوسي،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127/36</w:t>
      </w:r>
      <w:r>
        <w:rPr>
          <w:rFonts w:ascii="Amiri" w:hAnsi="Amiri" w:eastAsia="Amiri" w:cs="Amiri"/>
          <w:color w:val="111111"/>
          <w:sz w:val="28"/>
          <w:sz w:val="28"/>
          <w:szCs w:val="28"/>
          <w:rtl w:val="true"/>
          <w:lang w:bidi="ar-SA"/>
        </w:rPr>
        <w:t xml:space="preserve">؛ مسند أحمد،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11012</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11612</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11636</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11794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23378</w:t>
      </w:r>
      <w:r>
        <w:rPr>
          <w:rFonts w:ascii="Amiri" w:hAnsi="Amiri" w:eastAsia="Amiri" w:cs="Amiri"/>
          <w:color w:val="111111"/>
          <w:sz w:val="28"/>
          <w:sz w:val="28"/>
          <w:szCs w:val="28"/>
          <w:rtl w:val="true"/>
          <w:lang w:bidi="ar-SA"/>
        </w:rPr>
        <w:t xml:space="preserve">؛ سنن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الجامع الصحيح،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3768</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3781</w:t>
      </w:r>
      <w:r>
        <w:rPr>
          <w:rFonts w:ascii="Amiri" w:hAnsi="Amiri" w:eastAsia="Amiri" w:cs="Amiri"/>
          <w:color w:val="111111"/>
          <w:sz w:val="28"/>
          <w:sz w:val="28"/>
          <w:szCs w:val="28"/>
          <w:rtl w:val="true"/>
          <w:lang w:bidi="ar-SA"/>
        </w:rPr>
        <w:t xml:space="preserve">؛ المعجم الكبير،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2618</w:t>
      </w:r>
      <w:r>
        <w:rPr>
          <w:rFonts w:ascii="Amiri" w:hAnsi="Amiri" w:eastAsia="Amiri" w:cs="Amiri"/>
          <w:color w:val="111111"/>
          <w:sz w:val="28"/>
          <w:sz w:val="28"/>
          <w:szCs w:val="28"/>
          <w:rtl w:val="true"/>
          <w:lang w:bidi="ar-SA"/>
        </w:rPr>
        <w:t xml:space="preserve">؛ المستدرك على الصحيحين،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قُرَيشٍ‌، و المُقتَدىٰ بِهما بَعدَ رسولِ اللّٰهِ صَلَّى اللّٰهُ عليه و آلِه</w:t>
      </w:r>
      <w:r>
        <w:rPr>
          <w:rStyle w:val="FootnoteAnchor"/>
          <w:rtl w:val="true"/>
        </w:rPr>
        <w:footnoteReference w:id="3392"/>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اقتَدىٰ بِهما عُصِمَ‌، و مَن اتَّبَعَ آثارَهُما هُدِيَ إلىٰ صِراطٍ مُستَقيمٍ‌</w:t>
      </w:r>
      <w:r>
        <w:rPr>
          <w:rFonts w:eastAsia="Amiri" w:cs="Amiri" w:ascii="Amiri" w:hAnsi="Amiri"/>
          <w:color w:val="111111"/>
          <w:sz w:val="28"/>
          <w:szCs w:val="28"/>
          <w:rtl w:val="true"/>
          <w:lang w:bidi="ar-SA"/>
        </w:rPr>
        <w:t>»</w:t>
      </w:r>
      <w:r>
        <w:rPr>
          <w:rStyle w:val="FootnoteAnchor"/>
          <w:rtl w:val="true"/>
        </w:rPr>
        <w:footnoteReference w:id="3393"/>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جُحَيفةَ‌</w:t>
      </w:r>
      <w:r>
        <w:rPr>
          <w:rStyle w:val="FootnoteAnchor"/>
          <w:rtl w:val="true"/>
        </w:rPr>
        <w:footnoteReference w:id="3394"/>
      </w:r>
      <w:r>
        <w:rPr>
          <w:rFonts w:ascii="Amiri" w:hAnsi="Amiri" w:eastAsia="Amiri" w:cs="Amiri"/>
          <w:color w:val="111111"/>
          <w:sz w:val="28"/>
          <w:sz w:val="28"/>
          <w:szCs w:val="28"/>
          <w:rtl w:val="true"/>
          <w:lang w:bidi="ar-SA"/>
        </w:rPr>
        <w:t xml:space="preserve">و مُحمّدُ بنُ عَليٍّ </w:t>
      </w:r>
      <w:r>
        <w:rPr>
          <w:rStyle w:val="FootnoteAnchor"/>
          <w:rtl w:val="true"/>
        </w:rPr>
        <w:footnoteReference w:id="3395"/>
      </w:r>
      <w:r>
        <w:rPr>
          <w:rFonts w:ascii="Amiri" w:hAnsi="Amiri" w:eastAsia="Amiri" w:cs="Amiri"/>
          <w:color w:val="111111"/>
          <w:sz w:val="28"/>
          <w:sz w:val="28"/>
          <w:szCs w:val="28"/>
          <w:rtl w:val="true"/>
          <w:lang w:bidi="ar-SA"/>
        </w:rPr>
        <w:t>و عَبدُ خَيرٍ</w:t>
      </w:r>
      <w:r>
        <w:rPr>
          <w:rStyle w:val="FootnoteAnchor"/>
          <w:rtl w:val="true"/>
        </w:rPr>
        <w:footnoteReference w:id="3396"/>
      </w:r>
      <w:r>
        <w:rPr>
          <w:rFonts w:ascii="Amiri" w:hAnsi="Amiri" w:eastAsia="Amiri" w:cs="Amiri"/>
          <w:color w:val="111111"/>
          <w:sz w:val="28"/>
          <w:sz w:val="28"/>
          <w:szCs w:val="28"/>
          <w:rtl w:val="true"/>
          <w:lang w:bidi="ar-SA"/>
        </w:rPr>
        <w:t xml:space="preserve">و سُوَيدُ بنُ غَفَلةَ </w:t>
      </w:r>
      <w:r>
        <w:rPr>
          <w:rStyle w:val="FootnoteAnchor"/>
          <w:rtl w:val="true"/>
        </w:rPr>
        <w:footnoteReference w:id="3397"/>
      </w:r>
    </w:p>
    <w:p>
      <w:pPr>
        <w:pStyle w:val="BookText"/>
        <w:rPr/>
      </w:pPr>
      <w:r>
        <w:rPr>
          <w:rFonts w:ascii="Amiri" w:hAnsi="Amiri" w:eastAsia="Amiri" w:cs="Amiri"/>
          <w:color w:val="111111"/>
          <w:sz w:val="28"/>
          <w:sz w:val="28"/>
          <w:szCs w:val="28"/>
          <w:rtl w:val="true"/>
          <w:lang w:bidi="ar-SA"/>
        </w:rPr>
        <w:t>و أبو حُكَيمةَ‌</w:t>
      </w:r>
      <w:r>
        <w:rPr>
          <w:rStyle w:val="FootnoteAnchor"/>
          <w:rtl w:val="true"/>
        </w:rPr>
        <w:footnoteReference w:id="3398"/>
      </w:r>
      <w:r>
        <w:rPr>
          <w:rFonts w:ascii="Amiri" w:hAnsi="Amiri" w:eastAsia="Amiri" w:cs="Amiri"/>
          <w:color w:val="111111"/>
          <w:sz w:val="28"/>
          <w:sz w:val="28"/>
          <w:szCs w:val="28"/>
          <w:rtl w:val="true"/>
          <w:lang w:bidi="ar-SA"/>
        </w:rPr>
        <w:t xml:space="preserve">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أربَعةَ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 في خُطبةٍ‌</w:t>
      </w:r>
      <w:r>
        <w:rPr>
          <w:rStyle w:val="FootnoteAnchor"/>
          <w:rtl w:val="true"/>
        </w:rPr>
        <w:footnoteReference w:id="33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هذه الأُمّةِ بَعدَ نَبيِّها أبو بَكرٍ و عُمَرُ</w:t>
      </w:r>
      <w:r>
        <w:rPr>
          <w:rStyle w:val="FootnoteAnchor"/>
          <w:rtl w:val="true"/>
        </w:rPr>
        <w:footnoteReference w:id="34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شِئتُ‌</w:t>
      </w:r>
      <w:r>
        <w:rPr>
          <w:rStyle w:val="FootnoteAnchor"/>
          <w:rtl w:val="true"/>
        </w:rPr>
        <w:footnoteReference w:id="3402"/>
      </w:r>
      <w:r>
        <w:rPr>
          <w:rFonts w:ascii="Amiri" w:hAnsi="Amiri" w:eastAsia="Amiri" w:cs="Amiri"/>
          <w:color w:val="111111"/>
          <w:sz w:val="28"/>
          <w:sz w:val="28"/>
          <w:szCs w:val="28"/>
          <w:rtl w:val="true"/>
          <w:lang w:bidi="ar-SA"/>
        </w:rPr>
        <w:t>أن أُسَمِّيَ الثالِثَ لَفَعَلتُ‌</w:t>
      </w:r>
      <w:r>
        <w:rPr>
          <w:rStyle w:val="FootnoteAnchor"/>
          <w:rtl w:val="true"/>
        </w:rPr>
        <w:footnoteReference w:id="34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خَطَبَ بذلكَ بَعدَ ما انتَهىٰ‌</w:t>
      </w:r>
      <w:r>
        <w:rPr>
          <w:rStyle w:val="FootnoteAnchor"/>
          <w:rtl w:val="true"/>
        </w:rPr>
        <w:footnoteReference w:id="3405"/>
      </w:r>
      <w:r>
        <w:rPr>
          <w:rFonts w:ascii="Amiri" w:hAnsi="Amiri" w:eastAsia="Amiri" w:cs="Amiri"/>
          <w:color w:val="111111"/>
          <w:sz w:val="28"/>
          <w:sz w:val="28"/>
          <w:szCs w:val="28"/>
          <w:rtl w:val="true"/>
          <w:lang w:bidi="ar-SA"/>
        </w:rPr>
        <w:t>إليه أنّ رَجُلاً تَناوَلَ أبا بَكرٍ و عُمَرَ بالشَّتيمةِ‌، فدَعا به و تَقدَّمَ بعُقوبتِه</w:t>
      </w:r>
      <w:r>
        <w:rPr>
          <w:rStyle w:val="FootnoteAnchor"/>
          <w:rtl w:val="true"/>
        </w:rPr>
        <w:footnoteReference w:id="3406"/>
      </w:r>
      <w:r>
        <w:rPr>
          <w:rFonts w:ascii="Amiri" w:hAnsi="Amiri" w:eastAsia="Amiri" w:cs="Amiri"/>
          <w:color w:val="111111"/>
          <w:sz w:val="28"/>
          <w:sz w:val="28"/>
          <w:szCs w:val="28"/>
          <w:rtl w:val="true"/>
          <w:lang w:bidi="ar-SA"/>
        </w:rPr>
        <w:t>بَعدَ أن شَهِدوا عليه بذلكَ‌</w:t>
      </w:r>
      <w:r>
        <w:rPr>
          <w:rStyle w:val="FootnoteAnchor"/>
          <w:rtl w:val="true"/>
        </w:rPr>
        <w:footnoteReference w:id="3407"/>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جعفرُ بنُ مُحمّدٍ عن أبيهِ‌، عن جَدِّه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استُخلِفَ أبو بَكرٍ جاءَ أبو سُفيانَ ، فاستأذَنَ علىٰ عليٍّ عليه السلامُ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أُبايِعْكَ‌، فوَ اللّٰهِ لَأَملأنَّها</w:t>
      </w:r>
      <w:r>
        <w:rPr>
          <w:rStyle w:val="FootnoteAnchor"/>
          <w:rtl w:val="true"/>
        </w:rPr>
        <w:footnoteReference w:id="3408"/>
      </w:r>
      <w:r>
        <w:rPr>
          <w:rFonts w:ascii="Amiri" w:hAnsi="Amiri" w:eastAsia="Amiri" w:cs="Amiri"/>
          <w:color w:val="111111"/>
          <w:sz w:val="28"/>
          <w:sz w:val="28"/>
          <w:szCs w:val="28"/>
          <w:rtl w:val="true"/>
          <w:lang w:bidi="ar-SA"/>
        </w:rPr>
        <w:t>علىٰ أبي فَصيلٍ‌</w:t>
      </w:r>
      <w:r>
        <w:rPr>
          <w:rStyle w:val="FootnoteAnchor"/>
          <w:rtl w:val="true"/>
        </w:rPr>
        <w:footnoteReference w:id="3409"/>
      </w:r>
      <w:r>
        <w:rPr>
          <w:rFonts w:ascii="Amiri" w:hAnsi="Amiri" w:eastAsia="Amiri" w:cs="Amiri"/>
          <w:color w:val="111111"/>
          <w:sz w:val="28"/>
          <w:sz w:val="28"/>
          <w:szCs w:val="28"/>
          <w:rtl w:val="true"/>
          <w:lang w:bidi="ar-SA"/>
        </w:rPr>
        <w:t>خَيلاً</w:t>
      </w:r>
    </w:p>
    <w:p>
      <w:pPr>
        <w:pStyle w:val="BookText"/>
        <w:rPr/>
      </w:pPr>
      <w:r>
        <w:rPr>
          <w:rFonts w:ascii="Amiri" w:hAnsi="Amiri" w:eastAsia="Amiri" w:cs="Amiri"/>
          <w:color w:val="111111"/>
          <w:sz w:val="28"/>
          <w:sz w:val="28"/>
          <w:szCs w:val="28"/>
          <w:rtl w:val="true"/>
          <w:lang w:bidi="ar-SA"/>
        </w:rPr>
        <w:t>و رَجِلاً، فانزَوىٰ عنه عليٌّ‌</w:t>
      </w:r>
      <w:r>
        <w:rPr>
          <w:rStyle w:val="FootnoteAnchor"/>
          <w:rtl w:val="true"/>
        </w:rPr>
        <w:footnoteReference w:id="3410"/>
      </w:r>
      <w:r>
        <w:rPr>
          <w:rFonts w:ascii="Amiri" w:hAnsi="Amiri" w:eastAsia="Amiri" w:cs="Amiri"/>
          <w:color w:val="111111"/>
          <w:sz w:val="28"/>
          <w:sz w:val="28"/>
          <w:szCs w:val="28"/>
          <w:rtl w:val="true"/>
          <w:lang w:bidi="ar-SA"/>
        </w:rPr>
        <w:t>عليه السلامُ فقالَ‌</w:t>
      </w:r>
      <w:r>
        <w:rPr>
          <w:rStyle w:val="FootnoteAnchor"/>
          <w:rtl w:val="true"/>
        </w:rPr>
        <w:footnoteReference w:id="3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سُفيانَ‌، هذه مِن دَواهيكَ‌، و قد اجتَمَعَ الناسُ علىٰ أبي بَكرٍ، ما زِلتَ تَبغي للإسلامِ العِوَجَ في الجاهليّةِ و الإسلامِ‌، و وَ اللّٰهِ ما ضَرَّ الإسلامَ‌</w:t>
      </w:r>
      <w:r>
        <w:rPr>
          <w:rStyle w:val="FootnoteAnchor"/>
          <w:rtl w:val="true"/>
        </w:rPr>
        <w:footnoteReference w:id="3412"/>
      </w:r>
      <w:r>
        <w:rPr>
          <w:rFonts w:ascii="Amiri" w:hAnsi="Amiri" w:eastAsia="Amiri" w:cs="Amiri"/>
          <w:color w:val="111111"/>
          <w:sz w:val="28"/>
          <w:sz w:val="28"/>
          <w:szCs w:val="28"/>
          <w:rtl w:val="true"/>
          <w:lang w:bidi="ar-SA"/>
        </w:rPr>
        <w:t>ذلكَ شَيئاً حتّىٰ ما زِلتَ صاحبَ فِتنةٍ‌</w:t>
      </w:r>
      <w:r>
        <w:rPr>
          <w:rStyle w:val="FootnoteAnchor"/>
          <w:rtl w:val="true"/>
        </w:rPr>
        <w:footnoteReference w:id="34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جعفرُ بنُ محمّدٍ عن أبيهِ‌،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غُسِّلَ‌</w:t>
      </w:r>
      <w:r>
        <w:rPr>
          <w:rStyle w:val="FootnoteAnchor"/>
          <w:rtl w:val="true"/>
        </w:rPr>
        <w:footnoteReference w:id="3415"/>
      </w:r>
      <w:r>
        <w:rPr>
          <w:rFonts w:ascii="Amiri" w:hAnsi="Amiri" w:eastAsia="Amiri" w:cs="Amiri"/>
          <w:color w:val="111111"/>
          <w:sz w:val="28"/>
          <w:sz w:val="28"/>
          <w:szCs w:val="28"/>
          <w:rtl w:val="true"/>
          <w:lang w:bidi="ar-SA"/>
        </w:rPr>
        <w:t xml:space="preserve">عُمَرُ و كُفِّنَ دَخَلَ عَليٌّ عليه السلامُ </w:t>
      </w:r>
      <w:r>
        <w:rPr>
          <w:rStyle w:val="FootnoteAnchor"/>
          <w:rtl w:val="true"/>
        </w:rPr>
        <w:footnoteReference w:id="341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علَى الأرضِ أحَدٌ أحَبُّ إلَيَّ </w:t>
      </w:r>
      <w:r>
        <w:rPr>
          <w:rStyle w:val="FootnoteAnchor"/>
          <w:rtl w:val="true"/>
        </w:rPr>
        <w:footnoteReference w:id="3417"/>
      </w:r>
      <w:r>
        <w:rPr>
          <w:rFonts w:ascii="Amiri" w:hAnsi="Amiri" w:eastAsia="Amiri" w:cs="Amiri"/>
          <w:color w:val="111111"/>
          <w:sz w:val="28"/>
          <w:sz w:val="28"/>
          <w:szCs w:val="28"/>
          <w:rtl w:val="true"/>
          <w:lang w:bidi="ar-SA"/>
        </w:rPr>
        <w:t>أن ألقَى اللّٰهَ بصَحيفتِه</w:t>
      </w:r>
      <w:r>
        <w:rPr>
          <w:rStyle w:val="FootnoteAnchor"/>
          <w:rtl w:val="true"/>
        </w:rPr>
        <w:footnoteReference w:id="3418"/>
      </w:r>
      <w:r>
        <w:rPr>
          <w:rFonts w:ascii="Amiri" w:hAnsi="Amiri" w:eastAsia="Amiri" w:cs="Amiri"/>
          <w:color w:val="111111"/>
          <w:sz w:val="28"/>
          <w:sz w:val="28"/>
          <w:szCs w:val="28"/>
          <w:rtl w:val="true"/>
          <w:lang w:bidi="ar-SA"/>
        </w:rPr>
        <w:t>مِن هذا المُسَجّىٰ بَينَ أَظهُرِكم</w:t>
      </w:r>
      <w:r>
        <w:rPr>
          <w:rFonts w:eastAsia="Amiri" w:cs="Amiri" w:ascii="Amiri" w:hAnsi="Amiri"/>
          <w:color w:val="111111"/>
          <w:sz w:val="28"/>
          <w:szCs w:val="28"/>
          <w:rtl w:val="true"/>
          <w:lang w:bidi="ar-SA"/>
        </w:rPr>
        <w:t>»</w:t>
      </w:r>
      <w:r>
        <w:rPr>
          <w:rStyle w:val="FootnoteAnchor"/>
          <w:rtl w:val="true"/>
        </w:rPr>
        <w:footnoteReference w:id="3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مِثلُ ذلكَ عن ابنِ عبّاسٍ و ابنِ عُمَرَ</w:t>
      </w:r>
      <w:r>
        <w:rPr>
          <w:rStyle w:val="FootnoteAnchor"/>
          <w:rtl w:val="true"/>
        </w:rPr>
        <w:footnoteReference w:id="3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 أبي بَكرٍ و عُمَرَ</w:t>
      </w:r>
      <w:r>
        <w:rPr>
          <w:rFonts w:eastAsia="Amiri" w:cs="Amiri" w:ascii="Amiri" w:hAnsi="Amiri"/>
          <w:color w:val="111111"/>
          <w:sz w:val="28"/>
          <w:szCs w:val="28"/>
          <w:rtl w:val="true"/>
          <w:lang w:bidi="ar-SA"/>
        </w:rPr>
        <w:t>»</w:t>
      </w:r>
      <w:r>
        <w:rPr>
          <w:rStyle w:val="FootnoteAnchor"/>
          <w:rtl w:val="true"/>
        </w:rPr>
        <w:footnoteReference w:id="3421"/>
      </w:r>
      <w:r>
        <w:rPr>
          <w:rFonts w:ascii="IRNazanin" w:hAnsi="IRNazanin" w:eastAsia="IRNazanin"/>
          <w:color w:val="111111"/>
          <w:sz w:val="28"/>
          <w:sz w:val="28"/>
          <w:szCs w:val="28"/>
          <w:rtl w:val="true"/>
          <w:lang w:bidi="fa-IR"/>
        </w:rPr>
        <w:t>، و</w:t>
      </w:r>
      <w:r>
        <w:rPr>
          <w:rStyle w:val="FootnoteAnchor"/>
          <w:rtl w:val="true"/>
        </w:rPr>
        <w:footnoteReference w:id="3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أبا بَكرٍ خَليلاً</w:t>
      </w:r>
      <w:r>
        <w:rPr>
          <w:rFonts w:eastAsia="Amiri" w:cs="Amiri" w:ascii="Amiri" w:hAnsi="Amiri"/>
          <w:color w:val="111111"/>
          <w:sz w:val="28"/>
          <w:szCs w:val="28"/>
          <w:rtl w:val="true"/>
          <w:lang w:bidi="ar-SA"/>
        </w:rPr>
        <w:t>»</w:t>
      </w:r>
      <w:r>
        <w:rPr>
          <w:rStyle w:val="FootnoteAnchor"/>
          <w:rtl w:val="true"/>
        </w:rPr>
        <w:footnoteReference w:id="3423"/>
      </w:r>
      <w:r>
        <w:rPr>
          <w:rFonts w:ascii="Amiri" w:hAnsi="Amiri" w:eastAsia="Amiri" w:cs="Amiri"/>
          <w:color w:val="111111"/>
          <w:sz w:val="28"/>
          <w:sz w:val="28"/>
          <w:szCs w:val="28"/>
          <w:rtl w:val="true"/>
          <w:lang w:bidi="ar-SA"/>
        </w:rPr>
        <w:t>إلىٰ غيرِ ذلكَ ممّا يَطولُ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هذه الأخبارُ و غيرُها ممّا يَطولُ ذِكرُها منقولةً ظاهرةً‌</w:t>
      </w:r>
      <w:r>
        <w:rPr>
          <w:rStyle w:val="FootnoteAnchor"/>
          <w:rtl w:val="true"/>
        </w:rPr>
        <w:footnoteReference w:id="3424"/>
      </w:r>
      <w:r>
        <w:rPr>
          <w:rFonts w:ascii="Amiri" w:hAnsi="Amiri" w:eastAsia="Amiri" w:cs="Amiri"/>
          <w:color w:val="111111"/>
          <w:sz w:val="28"/>
          <w:sz w:val="28"/>
          <w:szCs w:val="28"/>
          <w:rtl w:val="true"/>
          <w:lang w:bidi="ar-SA"/>
        </w:rPr>
        <w:t>، فلِمَ صِرتُم بأن تَستَدِلّوا بما ذَكَرتموه علىٰ إمامةِ أميرِ المؤمنينَ عليه السلامُ و فَضلِه بأَولىٰ ممّن خالَفَكم و ادَّعَى النَّصَّ لأبي بَكرٍ و الفَضلَ له ؟</w:t>
      </w:r>
    </w:p>
    <w:p>
      <w:pPr>
        <w:pStyle w:val="BookText"/>
        <w:rPr/>
      </w:pPr>
      <w:r>
        <w:rPr>
          <w:rFonts w:ascii="Amiri" w:hAnsi="Amiri" w:eastAsia="Amiri" w:cs="Amiri"/>
          <w:color w:val="111111"/>
          <w:sz w:val="28"/>
          <w:sz w:val="28"/>
          <w:szCs w:val="28"/>
          <w:rtl w:val="true"/>
          <w:lang w:bidi="ar-SA"/>
        </w:rPr>
        <w:t xml:space="preserve">و نَبَّهَ </w:t>
      </w:r>
      <w:r>
        <w:rPr>
          <w:rStyle w:val="FootnoteAnchor"/>
          <w:rtl w:val="true"/>
        </w:rPr>
        <w:footnoteReference w:id="3425"/>
      </w:r>
      <w:r>
        <w:rPr>
          <w:rFonts w:ascii="Amiri" w:hAnsi="Amiri" w:eastAsia="Amiri" w:cs="Amiri"/>
          <w:color w:val="111111"/>
          <w:sz w:val="28"/>
          <w:sz w:val="28"/>
          <w:szCs w:val="28"/>
          <w:rtl w:val="true"/>
          <w:lang w:bidi="ar-SA"/>
        </w:rPr>
        <w:t xml:space="preserve">بذلكَ </w:t>
      </w:r>
      <w:r>
        <w:rPr>
          <w:rStyle w:val="FootnoteAnchor"/>
          <w:rtl w:val="true"/>
        </w:rPr>
        <w:footnoteReference w:id="3426"/>
      </w:r>
      <w:r>
        <w:rPr>
          <w:rFonts w:ascii="Amiri" w:hAnsi="Amiri" w:eastAsia="Amiri" w:cs="Amiri"/>
          <w:color w:val="111111"/>
          <w:sz w:val="28"/>
          <w:sz w:val="28"/>
          <w:szCs w:val="28"/>
          <w:rtl w:val="true"/>
          <w:lang w:bidi="ar-SA"/>
        </w:rPr>
        <w:t xml:space="preserve">علىٰ أنّ الواجبَ فيما هذا حالُه العُدولُ عن أخبارِ الآحادِ إلىٰ طريقةِ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نَذكُرُ هذه الأخبارَ لنُبيِّنَ لهُم الفَضلَ و أنّهم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الطبقات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أنساب الأشراف،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إمتاع الأسماع،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تاريخ الإسلام،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مع اختلاف يسير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الإمامةِ‌؛ لأنّه لا يُرجَعُ في ذلكَ إلىٰ ما طَريقُه القَطعُ‌، فأمّا</w:t>
      </w:r>
      <w:r>
        <w:rPr>
          <w:rStyle w:val="FootnoteAnchor"/>
          <w:rtl w:val="true"/>
        </w:rPr>
        <w:footnoteReference w:id="3427"/>
      </w:r>
      <w:r>
        <w:rPr>
          <w:rFonts w:ascii="Amiri" w:hAnsi="Amiri" w:eastAsia="Amiri" w:cs="Amiri"/>
          <w:color w:val="111111"/>
          <w:sz w:val="28"/>
          <w:sz w:val="28"/>
          <w:szCs w:val="28"/>
          <w:rtl w:val="true"/>
          <w:lang w:bidi="ar-SA"/>
        </w:rPr>
        <w:t>الاعتمادُ علىٰ ذلكَ في بابِ النَّصِّ‌</w:t>
      </w:r>
      <w:r>
        <w:rPr>
          <w:rStyle w:val="FootnoteAnchor"/>
          <w:rtl w:val="true"/>
        </w:rPr>
        <w:footnoteReference w:id="3428"/>
      </w:r>
      <w:r>
        <w:rPr>
          <w:rFonts w:ascii="Amiri" w:hAnsi="Amiri" w:eastAsia="Amiri" w:cs="Amiri"/>
          <w:color w:val="111111"/>
          <w:sz w:val="28"/>
          <w:sz w:val="28"/>
          <w:szCs w:val="28"/>
          <w:rtl w:val="true"/>
          <w:lang w:bidi="ar-SA"/>
        </w:rPr>
        <w:t>فبَعيدٌ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الأخبارَ لا تَقتَضي النَّصَّ‌، بَل هي مُحتَمِلةٌ‌</w:t>
      </w:r>
      <w:r>
        <w:rPr>
          <w:rStyle w:val="FootnoteAnchor"/>
          <w:rtl w:val="true"/>
        </w:rPr>
        <w:footnoteReference w:id="3429"/>
      </w:r>
      <w:r>
        <w:rPr>
          <w:rFonts w:ascii="Amiri" w:hAnsi="Amiri" w:eastAsia="Amiri" w:cs="Amiri"/>
          <w:color w:val="111111"/>
          <w:sz w:val="28"/>
          <w:sz w:val="28"/>
          <w:szCs w:val="28"/>
          <w:rtl w:val="true"/>
          <w:lang w:bidi="ar-SA"/>
        </w:rPr>
        <w:t>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التقوىٰ و الصَّلاحِ‌، و لَو أرادَ به الإمامةَ لَم يَكُن بأن يَكونَ إماماً للمُتَّقينَ‌</w:t>
      </w:r>
      <w:r>
        <w:rPr>
          <w:rStyle w:val="FootnoteAnchor"/>
          <w:rtl w:val="true"/>
        </w:rPr>
        <w:footnoteReference w:id="3430"/>
      </w:r>
      <w:r>
        <w:rPr>
          <w:rFonts w:ascii="Amiri" w:hAnsi="Amiri" w:eastAsia="Amiri" w:cs="Amiri"/>
          <w:color w:val="111111"/>
          <w:sz w:val="28"/>
          <w:sz w:val="28"/>
          <w:szCs w:val="28"/>
          <w:rtl w:val="true"/>
          <w:lang w:bidi="ar-SA"/>
        </w:rPr>
        <w:t>بأَولىٰ مِن أن يَكونَ إماماً للفاسِقينَ‌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الوجهِ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 عَزَّ</w:t>
      </w:r>
      <w:r>
        <w:rPr>
          <w:rStyle w:val="FootnoteAnchor"/>
          <w:rtl w:val="true"/>
        </w:rPr>
        <w:footnoteReference w:id="3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الصالحينَ‌</w:t>
      </w:r>
      <w:r>
        <w:rPr>
          <w:rStyle w:val="FootnoteAnchor"/>
          <w:rtl w:val="true"/>
        </w:rPr>
        <w:footnoteReference w:id="3432"/>
      </w:r>
      <w:r>
        <w:rPr>
          <w:rFonts w:ascii="Amiri" w:hAnsi="Amiri" w:eastAsia="Amiri" w:cs="Amiri"/>
          <w:color w:val="111111"/>
          <w:sz w:val="28"/>
          <w:sz w:val="28"/>
          <w:szCs w:val="28"/>
          <w:rtl w:val="true"/>
          <w:lang w:bidi="ar-SA"/>
        </w:rPr>
        <w:t>أنّهم</w:t>
      </w:r>
    </w:p>
    <w:p>
      <w:pPr>
        <w:pStyle w:val="BookText"/>
        <w:rPr/>
      </w:pPr>
      <w:r>
        <w:rPr>
          <w:rFonts w:ascii="Amiri" w:hAnsi="Amiri" w:eastAsia="Amiri" w:cs="Amiri"/>
          <w:color w:val="111111"/>
          <w:sz w:val="28"/>
          <w:sz w:val="28"/>
          <w:szCs w:val="28"/>
          <w:rtl w:val="true"/>
          <w:lang w:bidi="ar-SA"/>
        </w:rPr>
        <w:t>سَأَلوا اللّٰهَ عَزَّ و جَلَّ‌</w:t>
      </w:r>
      <w:r>
        <w:rPr>
          <w:rStyle w:val="FootnoteAnchor"/>
          <w:rtl w:val="true"/>
        </w:rPr>
        <w:footnoteReference w:id="3433"/>
      </w:r>
      <w:r>
        <w:rPr>
          <w:rFonts w:ascii="Amiri" w:hAnsi="Amiri" w:eastAsia="Amiri" w:cs="Amiri"/>
          <w:color w:val="111111"/>
          <w:sz w:val="28"/>
          <w:sz w:val="28"/>
          <w:szCs w:val="28"/>
          <w:rtl w:val="true"/>
          <w:lang w:bidi="ar-SA"/>
        </w:rPr>
        <w:t>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w:t>
      </w:r>
      <w:r>
        <w:rPr>
          <w:rStyle w:val="FootnoteAnchor"/>
          <w:rtl w:val="true"/>
        </w:rPr>
        <w:footnoteReference w:id="3434"/>
      </w:r>
      <w:r>
        <w:rPr>
          <w:rFonts w:ascii="Amiri" w:hAnsi="Amiri" w:eastAsia="Amiri" w:cs="Amiri"/>
          <w:color w:val="111111"/>
          <w:sz w:val="28"/>
          <w:sz w:val="28"/>
          <w:szCs w:val="28"/>
          <w:rtl w:val="true"/>
          <w:lang w:bidi="ar-SA"/>
        </w:rPr>
        <w:t>و إنّما</w:t>
      </w:r>
      <w:r>
        <w:rPr>
          <w:rStyle w:val="FootnoteAnchor"/>
          <w:rtl w:val="true"/>
        </w:rPr>
        <w:footnoteReference w:id="3435"/>
      </w:r>
      <w:r>
        <w:rPr>
          <w:rFonts w:ascii="Amiri" w:hAnsi="Amiri" w:eastAsia="Amiri" w:cs="Amiri"/>
          <w:color w:val="111111"/>
          <w:sz w:val="28"/>
          <w:sz w:val="28"/>
          <w:szCs w:val="28"/>
          <w:rtl w:val="true"/>
          <w:lang w:bidi="ar-SA"/>
        </w:rPr>
        <w:t>أرادوا أن يَبلُغوا في الصَّلاحِ و التقوَى المَبلَغَ الذي يُتأسّىٰ بهم</w:t>
      </w:r>
      <w:r>
        <w:rPr>
          <w:rStyle w:val="FootnoteAnchor"/>
          <w:rtl w:val="true"/>
        </w:rPr>
        <w:footnoteReference w:id="3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المُرادُ الإمامةَ لَكانَ إماماً في الوقتِ‌؛ لأنّه عليه السلامُ أثبَتَه كذلكَ في الحالِ‌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w:t>
      </w:r>
      <w:r>
        <w:rPr>
          <w:rStyle w:val="FootnoteAnchor"/>
          <w:rtl w:val="true"/>
        </w:rPr>
        <w:footnoteReference w:id="3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المُسلِمينَ‌، و 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أنّه لا يَدُلُّ علَى الإمامةِ‌، و قد بيّنّا أنّ وصفَ عليٍّ عليه السلامُ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 كُلِّ‌ </w:t>
      </w:r>
      <w:bookmarkStart w:id="603" w:name="pg20017_202749"/>
    </w:p>
    <w:p>
      <w:pPr>
        <w:pStyle w:val="BookText"/>
        <w:rPr/>
      </w:pPr>
      <w:bookmarkEnd w:id="603"/>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الإمامةِ‌</w:t>
      </w:r>
      <w:r>
        <w:rPr>
          <w:rStyle w:val="FootnoteAnchor"/>
          <w:rtl w:val="true"/>
        </w:rPr>
        <w:footnoteReference w:id="3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فإنّما يَدُلُّ </w:t>
      </w:r>
      <w:r>
        <w:rPr>
          <w:rStyle w:val="FootnoteAnchor"/>
          <w:rtl w:val="true"/>
        </w:rPr>
        <w:footnoteReference w:id="3439"/>
      </w:r>
      <w:r>
        <w:rPr>
          <w:rFonts w:ascii="Amiri" w:hAnsi="Amiri" w:eastAsia="Amiri" w:cs="Amiri"/>
          <w:color w:val="111111"/>
          <w:sz w:val="28"/>
          <w:sz w:val="28"/>
          <w:szCs w:val="28"/>
          <w:rtl w:val="true"/>
          <w:lang w:bidi="ar-SA"/>
        </w:rPr>
        <w:t xml:space="preserve">علَى الاختصاصِ و القُربِ ، و لا مَدخَلَ له في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ادّعاؤهُم أنّه عليه السلامُ تَقدَّمَ بأن يُسلَّمَ عليه</w:t>
      </w:r>
      <w:r>
        <w:rPr>
          <w:rStyle w:val="FootnoteAnchor"/>
          <w:rtl w:val="true"/>
        </w:rPr>
        <w:footnoteReference w:id="3440"/>
      </w:r>
      <w:r>
        <w:rPr>
          <w:rFonts w:ascii="Amiri" w:hAnsi="Amiri" w:eastAsia="Amiri" w:cs="Amiri"/>
          <w:color w:val="111111"/>
          <w:sz w:val="28"/>
          <w:sz w:val="28"/>
          <w:szCs w:val="28"/>
          <w:rtl w:val="true"/>
          <w:lang w:bidi="ar-SA"/>
        </w:rPr>
        <w:t>بإمرةِ المؤمنينَ فممّا لا أصلَ له، و لَو ثَبَتَ لَدَلَّ علىٰ أنّه الإمامُ في الحالِ لا في الثاني؛ علىٰ ما تَقدَّمَ القولُ فيه</w:t>
      </w:r>
      <w:r>
        <w:rPr>
          <w:rStyle w:val="FootnoteAnchor"/>
          <w:rtl w:val="true"/>
        </w:rPr>
        <w:footnoteReference w:id="3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964423_2320776876"/>
      <w:bookmarkStart w:id="605" w:name="_Toc215"/>
      <w:bookmarkEnd w:id="604"/>
      <w:r>
        <w:rPr>
          <w:rtl w:val="true"/>
        </w:rPr>
        <w:t>تواتر حديث التسليم بإمرة المؤمنين، و أحاديث أُخرىٰ</w:t>
      </w:r>
      <w:bookmarkEnd w:id="605"/>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فيما تَقدَّمَ أنّ الخبرَ الذي يَتضمَّنُ الأمرَ بالتسليمِ علىٰ أميرِ المؤمنينَ عليه السلامُ بإمرةِ المؤمنينَ تَتواتَرُ</w:t>
      </w:r>
      <w:r>
        <w:rPr>
          <w:rStyle w:val="FootnoteAnchor"/>
          <w:rtl w:val="true"/>
        </w:rPr>
        <w:footnoteReference w:id="3442"/>
      </w:r>
      <w:r>
        <w:rPr>
          <w:rFonts w:ascii="Amiri" w:hAnsi="Amiri" w:eastAsia="Amiri" w:cs="Amiri"/>
          <w:color w:val="111111"/>
          <w:sz w:val="28"/>
          <w:sz w:val="28"/>
          <w:szCs w:val="28"/>
          <w:rtl w:val="true"/>
          <w:lang w:bidi="ar-SA"/>
        </w:rPr>
        <w:t xml:space="preserve">الشيعةُ بنَقلِه، و أنّه أحَدُ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دَلَّلنا علىٰ حُصولِ شَرائطِ التواتُرِ فيه</w:t>
      </w:r>
      <w:r>
        <w:rPr>
          <w:rFonts w:eastAsia="Amiri" w:cs="Amiri" w:ascii="Amiri" w:hAnsi="Amiri"/>
          <w:color w:val="111111"/>
          <w:sz w:val="28"/>
          <w:szCs w:val="28"/>
          <w:rtl w:val="true"/>
          <w:lang w:bidi="ar-SA"/>
        </w:rPr>
        <w:t>.</w:t>
      </w:r>
      <w:r>
        <w:rPr>
          <w:rStyle w:val="FootnoteAnchor"/>
          <w:rtl w:val="true"/>
        </w:rPr>
        <w:footnoteReference w:id="3443"/>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سَيِّدُ المُسلِمينَ ، و إمامُ المُتَّقينَ ، و قائدُ الغُرِّ المُحَجَّلينَ </w:t>
      </w:r>
      <w:r>
        <w:rPr>
          <w:rFonts w:eastAsia="Amiri" w:cs="Amiri" w:ascii="Amiri" w:hAnsi="Amiri"/>
          <w:color w:val="111111"/>
          <w:sz w:val="28"/>
          <w:szCs w:val="28"/>
          <w:rtl w:val="true"/>
          <w:lang w:bidi="ar-SA"/>
        </w:rPr>
        <w:t>»</w:t>
      </w:r>
      <w:r>
        <w:rPr>
          <w:rStyle w:val="FootnoteAnchor"/>
          <w:rtl w:val="true"/>
        </w:rPr>
        <w:footnoteReference w:id="3444"/>
      </w:r>
      <w:bookmarkStart w:id="606" w:name="pg20017_202750"/>
    </w:p>
    <w:p>
      <w:pPr>
        <w:pStyle w:val="BookText"/>
        <w:rPr/>
      </w:pPr>
      <w:bookmarkEnd w:id="606"/>
      <w:r>
        <w:rPr>
          <w:rFonts w:ascii="Amiri" w:hAnsi="Amiri" w:eastAsia="Amiri" w:cs="Amiri"/>
          <w:color w:val="111111"/>
          <w:sz w:val="28"/>
          <w:sz w:val="28"/>
          <w:szCs w:val="28"/>
          <w:rtl w:val="true"/>
          <w:lang w:bidi="ar-SA"/>
        </w:rPr>
        <w:t>و قولُه فيه</w:t>
      </w:r>
      <w:r>
        <w:rPr>
          <w:rStyle w:val="FootnoteAnchor"/>
          <w:rtl w:val="true"/>
        </w:rPr>
        <w:footnoteReference w:id="34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وَليُّ كُلِّ مؤمِنٍ و مؤمِنةٍ بَعدي</w:t>
      </w:r>
      <w:r>
        <w:rPr>
          <w:rFonts w:eastAsia="Amiri" w:cs="Amiri" w:ascii="Amiri" w:hAnsi="Amiri"/>
          <w:color w:val="111111"/>
          <w:sz w:val="28"/>
          <w:szCs w:val="28"/>
          <w:rtl w:val="true"/>
          <w:lang w:bidi="ar-SA"/>
        </w:rPr>
        <w:t>»</w:t>
      </w:r>
      <w:r>
        <w:rPr>
          <w:rStyle w:val="FootnoteAnchor"/>
          <w:rtl w:val="true"/>
        </w:rPr>
        <w:footnoteReference w:id="3446"/>
      </w:r>
      <w:r>
        <w:rPr>
          <w:rFonts w:ascii="Amiri" w:hAnsi="Amiri" w:eastAsia="Amiri" w:cs="Amiri"/>
          <w:color w:val="111111"/>
          <w:sz w:val="28"/>
          <w:sz w:val="28"/>
          <w:szCs w:val="28"/>
          <w:rtl w:val="true"/>
          <w:lang w:bidi="ar-SA"/>
        </w:rPr>
        <w:t>جارٍ مَجرَى الخبرِ الأوّلِ ،</w:t>
      </w:r>
    </w:p>
    <w:p>
      <w:pPr>
        <w:pStyle w:val="BookText"/>
        <w:rPr/>
      </w:pPr>
      <w:r>
        <w:rPr>
          <w:rFonts w:ascii="Amiri" w:hAnsi="Amiri" w:eastAsia="Amiri" w:cs="Amiri"/>
          <w:color w:val="111111"/>
          <w:sz w:val="28"/>
          <w:sz w:val="28"/>
          <w:szCs w:val="28"/>
          <w:rtl w:val="true"/>
          <w:lang w:bidi="ar-SA"/>
        </w:rPr>
        <w:t>في اقتضاءِ النَّصِّ و تَواتُرِ الشيعةِ بَنقلِه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هذه الأخبارُ، مع أنّ الشيعةَ تَنقُلُها</w:t>
      </w:r>
      <w:r>
        <w:rPr>
          <w:rStyle w:val="FootnoteAnchor"/>
          <w:rtl w:val="true"/>
        </w:rPr>
        <w:footnoteReference w:id="3447"/>
      </w:r>
      <w:r>
        <w:rPr>
          <w:rFonts w:ascii="Amiri" w:hAnsi="Amiri" w:eastAsia="Amiri" w:cs="Amiri"/>
          <w:color w:val="111111"/>
          <w:sz w:val="28"/>
          <w:sz w:val="28"/>
          <w:szCs w:val="28"/>
          <w:rtl w:val="true"/>
          <w:lang w:bidi="ar-SA"/>
        </w:rPr>
        <w:t>، فقَد</w:t>
      </w:r>
      <w:r>
        <w:rPr>
          <w:rStyle w:val="FootnoteAnchor"/>
          <w:rtl w:val="true"/>
        </w:rPr>
        <w:footnoteReference w:id="3448"/>
      </w:r>
      <w:r>
        <w:rPr>
          <w:rFonts w:ascii="Amiri" w:hAnsi="Amiri" w:eastAsia="Amiri" w:cs="Amiri"/>
          <w:color w:val="111111"/>
          <w:sz w:val="28"/>
          <w:sz w:val="28"/>
          <w:szCs w:val="28"/>
          <w:rtl w:val="true"/>
          <w:lang w:bidi="ar-SA"/>
        </w:rPr>
        <w:t xml:space="preserve">نَقَلَها أكثَرُ رُواةِ العامّةِ مِن طُرُقٍ مُختَلِفةٍ و صَحَّحوها، و لَم نَجِدْ أحَداً مِن رُواةِ العامّةِ و لا علمائهم طَعَنَ فيها و لا دَفَعَها؛ و إن كانَ خبرُ التسليمِ بإمرةِ المؤمنينَ يَقِلُّ </w:t>
      </w:r>
      <w:r>
        <w:rPr>
          <w:rStyle w:val="FootnoteAnchor"/>
          <w:rtl w:val="true"/>
        </w:rPr>
        <w:footnoteReference w:id="3449"/>
      </w:r>
      <w:r>
        <w:rPr>
          <w:rFonts w:ascii="Amiri" w:hAnsi="Amiri" w:eastAsia="Amiri" w:cs="Amiri"/>
          <w:color w:val="111111"/>
          <w:sz w:val="28"/>
          <w:sz w:val="28"/>
          <w:szCs w:val="28"/>
          <w:rtl w:val="true"/>
          <w:lang w:bidi="ar-SA"/>
        </w:rPr>
        <w:t>في روايتِهم</w:t>
      </w:r>
      <w:r>
        <w:rPr>
          <w:rStyle w:val="FootnoteAnchor"/>
          <w:rtl w:val="true"/>
        </w:rPr>
        <w:footnoteReference w:id="3450"/>
      </w:r>
      <w:r>
        <w:rPr>
          <w:rFonts w:ascii="Amiri" w:hAnsi="Amiri" w:eastAsia="Amiri" w:cs="Amiri"/>
          <w:color w:val="111111"/>
          <w:sz w:val="28"/>
          <w:sz w:val="28"/>
          <w:szCs w:val="28"/>
          <w:rtl w:val="true"/>
          <w:lang w:bidi="ar-SA"/>
        </w:rPr>
        <w:t>، و لا يَجري في التظاهُرِ بَينَهم مَجرىٰ باقي الأخبارِ التي ذَكرناها؛ و إن كانَ الكُلُّ مِن طَريقِ العامّةِ لا يَبلُغُ التواتُرَ، بَل يَجري مَجرَى الآحادِ</w:t>
      </w:r>
      <w:r>
        <w:rPr>
          <w:rStyle w:val="FootnoteAnchor"/>
          <w:rtl w:val="true"/>
        </w:rPr>
        <w:footnoteReference w:id="3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مُعتَبَرَ بادّعاءِ أبي عَليٍّ أنّ للتواتُرِ شُروطاً لَم تَحصُلْ في هذه الأخبارِ؛ لأنّا قد بيّنّا فيما تَقدَّمَ مِن هذا الكتابِ أنّ الشروطَ المطلوبةَ في التواتُرِ حاصِلةٌ في ذلكَ </w:t>
      </w:r>
      <w:r>
        <w:rPr>
          <w:rFonts w:eastAsia="Amiri" w:cs="Amiri" w:ascii="Amiri" w:hAnsi="Amiri"/>
          <w:color w:val="111111"/>
          <w:sz w:val="28"/>
          <w:szCs w:val="28"/>
          <w:rtl w:val="true"/>
          <w:lang w:bidi="ar-SA"/>
        </w:rPr>
        <w:t>.</w:t>
      </w:r>
      <w:r>
        <w:rPr>
          <w:rStyle w:val="FootnoteAnchor"/>
          <w:rtl w:val="true"/>
        </w:rPr>
        <w:footnoteReference w:id="3452"/>
      </w:r>
    </w:p>
    <w:p>
      <w:pPr>
        <w:pStyle w:val="Heading5"/>
        <w:numPr>
          <w:ilvl w:val="4"/>
          <w:numId w:val="1"/>
        </w:numPr>
        <w:rPr/>
      </w:pPr>
      <w:bookmarkStart w:id="607" w:name="__RefHeading___Toc964425_2320776876"/>
      <w:bookmarkStart w:id="608" w:name="_Toc216"/>
      <w:bookmarkEnd w:id="607"/>
      <w:r>
        <w:rPr>
          <w:rtl w:val="true"/>
        </w:rPr>
        <w:t>إشارة إلىٰ حصول شروط التواتر في نقل الشيعة</w:t>
      </w:r>
      <w:bookmarkEnd w:id="60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الخبرَ لا يَصيرُ داخِلاً في التواتُرِ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طَبَّقَت البِلادَ عَصراً بَعدَ عَصرٍ، فروايتُها يَجِبُ أن تَبلُغَ حَدَّ التواتُرِ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الخبرَ لا يَصيرُ </w:t>
      </w:r>
    </w:p>
    <w:p>
      <w:pPr>
        <w:pStyle w:val="BookText"/>
        <w:rPr/>
      </w:pPr>
      <w:r>
        <w:rPr>
          <w:rFonts w:ascii="Amiri" w:hAnsi="Amiri" w:eastAsia="Amiri" w:cs="Amiri"/>
          <w:color w:val="111111"/>
          <w:sz w:val="28"/>
          <w:sz w:val="28"/>
          <w:szCs w:val="28"/>
          <w:rtl w:val="true"/>
          <w:lang w:bidi="ar-SA"/>
        </w:rPr>
        <w:t>داخلاً في جُملةِ التواتُرِ بهذهِ الطريقةِ‌</w:t>
      </w:r>
      <w:r>
        <w:rPr>
          <w:rFonts w:eastAsia="Amiri" w:cs="Amiri" w:ascii="Amiri" w:hAnsi="Amiri"/>
          <w:color w:val="111111"/>
          <w:sz w:val="28"/>
          <w:szCs w:val="28"/>
          <w:rtl w:val="true"/>
          <w:lang w:bidi="ar-SA"/>
        </w:rPr>
        <w:t>]</w:t>
      </w:r>
      <w:r>
        <w:rPr>
          <w:rStyle w:val="FootnoteAnchor"/>
          <w:rtl w:val="true"/>
        </w:rPr>
        <w:footnoteReference w:id="3453"/>
      </w:r>
      <w:r>
        <w:rPr>
          <w:rFonts w:ascii="Amiri" w:hAnsi="Amiri" w:eastAsia="Amiri" w:cs="Amiri"/>
          <w:color w:val="111111"/>
          <w:sz w:val="28"/>
          <w:sz w:val="28"/>
          <w:szCs w:val="28"/>
          <w:rtl w:val="true"/>
          <w:lang w:bidi="ar-SA"/>
        </w:rPr>
        <w:t>دونَ أن يُبيَّنَ‌</w:t>
      </w:r>
      <w:r>
        <w:rPr>
          <w:rStyle w:val="FootnoteAnchor"/>
          <w:rtl w:val="true"/>
        </w:rPr>
        <w:footnoteReference w:id="3454"/>
      </w:r>
      <w:r>
        <w:rPr>
          <w:rFonts w:ascii="Amiri" w:hAnsi="Amiri" w:eastAsia="Amiri" w:cs="Amiri"/>
          <w:color w:val="111111"/>
          <w:sz w:val="28"/>
          <w:sz w:val="28"/>
          <w:szCs w:val="28"/>
          <w:rtl w:val="true"/>
          <w:lang w:bidi="ar-SA"/>
        </w:rPr>
        <w:t>حصولُ النقلِ علىٰ شَرط</w:t>
      </w:r>
      <w:r>
        <w:rPr>
          <w:rStyle w:val="FootnoteAnchor"/>
          <w:rtl w:val="true"/>
        </w:rPr>
        <w:footnoteReference w:id="3455"/>
      </w: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فلَيتَ‌</w:t>
      </w:r>
      <w:r>
        <w:rPr>
          <w:rStyle w:val="FootnoteAnchor"/>
          <w:rtl w:val="true"/>
        </w:rPr>
        <w:footnoteReference w:id="3456"/>
      </w:r>
      <w:r>
        <w:rPr>
          <w:rFonts w:ascii="Amiri" w:hAnsi="Amiri" w:eastAsia="Amiri" w:cs="Amiri"/>
          <w:color w:val="111111"/>
          <w:sz w:val="28"/>
          <w:sz w:val="28"/>
          <w:szCs w:val="28"/>
          <w:rtl w:val="true"/>
          <w:lang w:bidi="ar-SA"/>
        </w:rPr>
        <w:t>شِعرَنا بأيِّ شَيءٍ يُعلَمُ‌</w:t>
      </w:r>
      <w:r>
        <w:rPr>
          <w:rStyle w:val="FootnoteAnchor"/>
          <w:rtl w:val="true"/>
        </w:rPr>
        <w:footnoteReference w:id="3457"/>
      </w:r>
      <w:r>
        <w:rPr>
          <w:rFonts w:ascii="Amiri" w:hAnsi="Amiri" w:eastAsia="Amiri" w:cs="Amiri"/>
          <w:color w:val="111111"/>
          <w:sz w:val="28"/>
          <w:sz w:val="28"/>
          <w:szCs w:val="28"/>
          <w:rtl w:val="true"/>
          <w:lang w:bidi="ar-SA"/>
        </w:rPr>
        <w:t>التواتُرُ؟ أهو أكثَرُ مِن أن نَجِدَ كَثرةً لا يَجوزُ عليهم التواطؤُ و التعارُفُ‌</w:t>
      </w:r>
      <w:r>
        <w:rPr>
          <w:rStyle w:val="FootnoteAnchor"/>
          <w:rtl w:val="true"/>
        </w:rPr>
        <w:footnoteReference w:id="3458"/>
      </w:r>
      <w:r>
        <w:rPr>
          <w:rFonts w:ascii="Amiri" w:hAnsi="Amiri" w:eastAsia="Amiri" w:cs="Amiri"/>
          <w:color w:val="111111"/>
          <w:sz w:val="28"/>
          <w:sz w:val="28"/>
          <w:szCs w:val="28"/>
          <w:rtl w:val="true"/>
          <w:lang w:bidi="ar-SA"/>
        </w:rPr>
        <w:t>يَنقُلونَ و يَدَّعونَ أنّهم نَقَلوا خبراً مّا</w:t>
      </w:r>
      <w:r>
        <w:rPr>
          <w:rStyle w:val="FootnoteAnchor"/>
          <w:rtl w:val="true"/>
        </w:rPr>
        <w:footnoteReference w:id="3459"/>
      </w:r>
      <w:r>
        <w:rPr>
          <w:rFonts w:ascii="Amiri" w:hAnsi="Amiri" w:eastAsia="Amiri" w:cs="Amiri"/>
          <w:color w:val="111111"/>
          <w:sz w:val="28"/>
          <w:sz w:val="28"/>
          <w:szCs w:val="28"/>
          <w:rtl w:val="true"/>
          <w:lang w:bidi="ar-SA"/>
        </w:rPr>
        <w:t xml:space="preserve">عمّن هو بمِثلِ صفتِهم، و نَعلَمَ </w:t>
      </w:r>
      <w:r>
        <w:rPr>
          <w:rStyle w:val="FootnoteAnchor"/>
          <w:rtl w:val="true"/>
        </w:rPr>
        <w:footnoteReference w:id="3460"/>
      </w:r>
      <w:r>
        <w:rPr>
          <w:rFonts w:ascii="Amiri" w:hAnsi="Amiri" w:eastAsia="Amiri" w:cs="Amiri"/>
          <w:color w:val="111111"/>
          <w:sz w:val="28"/>
          <w:sz w:val="28"/>
          <w:szCs w:val="28"/>
          <w:rtl w:val="true"/>
          <w:lang w:bidi="ar-SA"/>
        </w:rPr>
        <w:t>أنّ أوّلَهم في الصفةِ كآخِرِهم، إلىٰ سائرِ الشروطِ التي تَقدَّمَ ذِكرُها و دَلالتُنا علىٰ ثُبوتِها في نَقلِ الشيعةِ؟</w:t>
      </w:r>
      <w:r>
        <w:rPr>
          <w:rStyle w:val="FootnoteAnchor"/>
          <w:rtl w:val="true"/>
        </w:rPr>
        <w:footnoteReference w:id="3461"/>
      </w:r>
      <w:r>
        <w:rPr>
          <w:rFonts w:ascii="Amiri" w:hAnsi="Amiri" w:eastAsia="Amiri" w:cs="Amiri"/>
          <w:color w:val="111111"/>
          <w:sz w:val="28"/>
          <w:sz w:val="28"/>
          <w:szCs w:val="28"/>
          <w:rtl w:val="true"/>
          <w:lang w:bidi="ar-SA"/>
        </w:rPr>
        <w:t>و متىٰ شَكَّ شاكٌّ فيما ذَكرناه</w:t>
      </w:r>
      <w:r>
        <w:rPr>
          <w:rStyle w:val="FootnoteAnchor"/>
          <w:rtl w:val="true"/>
        </w:rPr>
        <w:footnoteReference w:id="3462"/>
      </w:r>
      <w:r>
        <w:rPr>
          <w:rFonts w:ascii="Amiri" w:hAnsi="Amiri" w:eastAsia="Amiri" w:cs="Amiri"/>
          <w:color w:val="111111"/>
          <w:sz w:val="28"/>
          <w:sz w:val="28"/>
          <w:szCs w:val="28"/>
          <w:rtl w:val="true"/>
          <w:lang w:bidi="ar-SA"/>
        </w:rPr>
        <w:t>، فليَتَعاطَ الإشارةَ إلىٰ خبرٍ مُتواتِرٍ حتّىٰ نُعلِمَه</w:t>
      </w:r>
      <w:r>
        <w:rPr>
          <w:rStyle w:val="FootnoteAnchor"/>
          <w:rtl w:val="true"/>
        </w:rPr>
        <w:footnoteReference w:id="3463"/>
      </w:r>
      <w:r>
        <w:rPr>
          <w:rFonts w:ascii="Amiri" w:hAnsi="Amiri" w:eastAsia="Amiri" w:cs="Amiri"/>
          <w:color w:val="111111"/>
          <w:sz w:val="28"/>
          <w:sz w:val="28"/>
          <w:szCs w:val="28"/>
          <w:rtl w:val="true"/>
          <w:lang w:bidi="ar-SA"/>
        </w:rPr>
        <w:t>أنّ خبرَ الشيعةِ يُوازِنُه</w:t>
      </w:r>
      <w:r>
        <w:rPr>
          <w:rStyle w:val="FootnoteAnchor"/>
          <w:rtl w:val="true"/>
        </w:rPr>
        <w:footnoteReference w:id="3464"/>
      </w:r>
      <w:r>
        <w:rPr>
          <w:rFonts w:ascii="Amiri" w:hAnsi="Amiri" w:eastAsia="Amiri" w:cs="Amiri"/>
          <w:color w:val="111111"/>
          <w:sz w:val="28"/>
          <w:sz w:val="28"/>
          <w:szCs w:val="28"/>
          <w:rtl w:val="true"/>
          <w:lang w:bidi="ar-SA"/>
        </w:rPr>
        <w:t>، إن لَم يَزِدْ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أنّا أحكَمنا</w:t>
      </w:r>
      <w:r>
        <w:rPr>
          <w:rStyle w:val="FootnoteAnchor"/>
          <w:rtl w:val="true"/>
        </w:rPr>
        <w:footnoteReference w:id="3465"/>
      </w:r>
      <w:r>
        <w:rPr>
          <w:rFonts w:ascii="Amiri" w:hAnsi="Amiri" w:eastAsia="Amiri" w:cs="Amiri"/>
          <w:color w:val="111111"/>
          <w:sz w:val="28"/>
          <w:sz w:val="28"/>
          <w:szCs w:val="28"/>
          <w:rtl w:val="true"/>
          <w:lang w:bidi="ar-SA"/>
        </w:rPr>
        <w:t xml:space="preserve">هذا فيما تَقدَّمَ و بَسَطناه و فَرَغنا منه، لَما اقتَصَرنا فيه علىٰ هذه الجُملةِ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بيّنّا أيضاً أنّه لَيسَ مِن شَرطِ صِحّةِ التواتُرِ حصولُ العِلمِ الضروريِّ </w:t>
      </w:r>
      <w:r>
        <w:rPr>
          <w:rStyle w:val="FootnoteAnchor"/>
          <w:rtl w:val="true"/>
        </w:rPr>
        <w:footnoteReference w:id="3466"/>
      </w:r>
      <w:r>
        <w:rPr>
          <w:rFonts w:ascii="Amiri" w:hAnsi="Amiri" w:eastAsia="Amiri" w:cs="Amiri"/>
          <w:color w:val="111111"/>
          <w:sz w:val="28"/>
          <w:sz w:val="28"/>
          <w:szCs w:val="28"/>
          <w:rtl w:val="true"/>
          <w:lang w:bidi="ar-SA"/>
        </w:rPr>
        <w:t xml:space="preserve">، فلَيسَ له أن يَجعَلَ الدَّلالةَ علىٰ أنّ هذه الأخبارَ غيرُ مُتَواتِرةٍ فَقْدَ العِلمِ الضروريِّ بمُخبَرِها؛ و كُلُّ هذا قد تَقدَّمَ </w:t>
      </w:r>
      <w:r>
        <w:rPr>
          <w:rFonts w:eastAsia="Amiri" w:cs="Amiri" w:ascii="Amiri" w:hAnsi="Amiri"/>
          <w:color w:val="111111"/>
          <w:sz w:val="28"/>
          <w:szCs w:val="28"/>
          <w:rtl w:val="true"/>
          <w:lang w:bidi="ar-SA"/>
        </w:rPr>
        <w:t xml:space="preserve">. </w:t>
      </w:r>
      <w:bookmarkStart w:id="609" w:name="pg20017_202752"/>
    </w:p>
    <w:p>
      <w:pPr>
        <w:pStyle w:val="BookText"/>
        <w:rPr/>
      </w:pPr>
      <w:bookmarkEnd w:id="609"/>
      <w:r>
        <w:rPr>
          <w:rFonts w:ascii="Amiri" w:hAnsi="Amiri" w:eastAsia="Amiri" w:cs="Amiri"/>
          <w:color w:val="111111"/>
          <w:sz w:val="28"/>
          <w:sz w:val="28"/>
          <w:szCs w:val="28"/>
          <w:rtl w:val="true"/>
          <w:lang w:bidi="ar-SA"/>
        </w:rPr>
        <w:t>فأمّا مُعارَضتُه</w:t>
      </w:r>
      <w:r>
        <w:rPr>
          <w:rStyle w:val="FootnoteAnchor"/>
          <w:rtl w:val="true"/>
        </w:rPr>
        <w:footnoteReference w:id="3467"/>
      </w:r>
      <w:r>
        <w:rPr>
          <w:rFonts w:ascii="Amiri" w:hAnsi="Amiri" w:eastAsia="Amiri" w:cs="Amiri"/>
          <w:color w:val="111111"/>
          <w:sz w:val="28"/>
          <w:sz w:val="28"/>
          <w:szCs w:val="28"/>
          <w:rtl w:val="true"/>
          <w:lang w:bidi="ar-SA"/>
        </w:rPr>
        <w:t>ما نَذهبُ‌</w:t>
      </w:r>
      <w:r>
        <w:rPr>
          <w:rStyle w:val="FootnoteAnchor"/>
          <w:rtl w:val="true"/>
        </w:rPr>
        <w:footnoteReference w:id="3468"/>
      </w:r>
      <w:r>
        <w:rPr>
          <w:rFonts w:ascii="Amiri" w:hAnsi="Amiri" w:eastAsia="Amiri" w:cs="Amiri"/>
          <w:color w:val="111111"/>
          <w:sz w:val="28"/>
          <w:sz w:val="28"/>
          <w:szCs w:val="28"/>
          <w:rtl w:val="true"/>
          <w:lang w:bidi="ar-SA"/>
        </w:rPr>
        <w:t>إليه مِن النَّصِّ بما يُدَّعىٰ مِن النَّصِّ‌</w:t>
      </w:r>
      <w:r>
        <w:rPr>
          <w:rStyle w:val="FootnoteAnchor"/>
          <w:rtl w:val="true"/>
        </w:rPr>
        <w:footnoteReference w:id="3469"/>
      </w:r>
      <w:r>
        <w:rPr>
          <w:rFonts w:ascii="Amiri" w:hAnsi="Amiri" w:eastAsia="Amiri" w:cs="Amiri"/>
          <w:color w:val="111111"/>
          <w:sz w:val="28"/>
          <w:sz w:val="28"/>
          <w:szCs w:val="28"/>
          <w:rtl w:val="true"/>
          <w:lang w:bidi="ar-SA"/>
        </w:rPr>
        <w:t>علىٰ أبي بَكرٍ، فقَد مضىٰ فيه أيضاً ما لا يُحتاجُ إلىٰ تَكرارِه</w:t>
      </w:r>
      <w:r>
        <w:rPr>
          <w:rStyle w:val="FootnoteAnchor"/>
          <w:rtl w:val="true"/>
        </w:rPr>
        <w:footnoteReference w:id="3470"/>
      </w:r>
      <w:r>
        <w:rPr>
          <w:rFonts w:ascii="Amiri" w:hAnsi="Amiri" w:eastAsia="Amiri" w:cs="Amiri"/>
          <w:color w:val="111111"/>
          <w:sz w:val="28"/>
          <w:sz w:val="28"/>
          <w:szCs w:val="28"/>
          <w:rtl w:val="true"/>
          <w:lang w:bidi="ar-SA"/>
        </w:rPr>
        <w:t>، و بيّنّا بُطلانَ هذه الدعوىٰ‌، و أنّها لا تُعادِلُ مَذهبَ الشيعةِ في النَّصِّ علىٰ أميرِ المؤمنينَ عليه السلامُ و لا تُقارِبُه، و لا يَجوزُ أن يُذكَرَ في مُقابَلتِه؛ و ذَكرنا في ذلكَ وجوهاً تُزيلُ الشُّبهةَ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بيّنّا أيضاً فيما مضىٰ مِن الكتابِ أنّ للشيعةِ سَلَفاً فيهم صفةُ الحُجّةِ ، كَما أنّها ثابتةٌ في الخَلَفِ ، و أنّ النَّصَّ لَيسَ ممّا حَدَثَ ادّعاؤه بَعدَ أن لَم يَكُن يُدَّعىٰ </w:t>
      </w:r>
      <w:r>
        <w:rPr>
          <w:rStyle w:val="FootnoteAnchor"/>
          <w:rtl w:val="true"/>
        </w:rPr>
        <w:footnoteReference w:id="3471"/>
      </w:r>
      <w:r>
        <w:rPr>
          <w:rFonts w:ascii="Amiri" w:hAnsi="Amiri" w:eastAsia="Amiri" w:cs="Amiri"/>
          <w:color w:val="111111"/>
          <w:sz w:val="28"/>
          <w:sz w:val="28"/>
          <w:szCs w:val="28"/>
          <w:rtl w:val="true"/>
          <w:lang w:bidi="ar-SA"/>
        </w:rPr>
        <w:t>فبَطَلَ قولُ مَن قد</w:t>
      </w:r>
      <w:r>
        <w:rPr>
          <w:rStyle w:val="FootnoteAnchor"/>
          <w:rtl w:val="true"/>
        </w:rPr>
        <w:footnoteReference w:id="3472"/>
      </w:r>
      <w:r>
        <w:rPr>
          <w:rFonts w:ascii="Amiri" w:hAnsi="Amiri" w:eastAsia="Amiri" w:cs="Amiri"/>
          <w:color w:val="111111"/>
          <w:sz w:val="28"/>
          <w:sz w:val="28"/>
          <w:szCs w:val="28"/>
          <w:rtl w:val="true"/>
          <w:lang w:bidi="ar-SA"/>
        </w:rPr>
        <w:t xml:space="preserve">ظَنَّ خِلافَ ذلكَ </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964427_2320776876"/>
      <w:bookmarkStart w:id="611" w:name="_Toc217"/>
      <w:bookmarkEnd w:id="610"/>
      <w:r>
        <w:rPr>
          <w:rtl w:val="true"/>
        </w:rPr>
        <w:t>جواب إجماليّ لأخبار عدم الاستخلاف أو استخلاف أبي بكر</w:t>
      </w:r>
      <w:bookmarkEnd w:id="611"/>
    </w:p>
    <w:p>
      <w:pPr>
        <w:pStyle w:val="BookText"/>
        <w:rPr/>
      </w:pPr>
      <w:r>
        <w:rPr>
          <w:rFonts w:ascii="Amiri" w:hAnsi="Amiri" w:eastAsia="Amiri" w:cs="Amiri"/>
          <w:color w:val="111111"/>
          <w:sz w:val="28"/>
          <w:sz w:val="28"/>
          <w:szCs w:val="28"/>
          <w:rtl w:val="true"/>
          <w:lang w:bidi="ar-SA"/>
        </w:rPr>
        <w:t>فأمّا حَطْبُه</w:t>
      </w:r>
      <w:r>
        <w:rPr>
          <w:rStyle w:val="FootnoteAnchor"/>
          <w:rtl w:val="true"/>
        </w:rPr>
        <w:footnoteReference w:id="3473"/>
      </w:r>
      <w:r>
        <w:rPr>
          <w:rFonts w:ascii="Amiri" w:hAnsi="Amiri" w:eastAsia="Amiri" w:cs="Amiri"/>
          <w:color w:val="111111"/>
          <w:sz w:val="28"/>
          <w:sz w:val="28"/>
          <w:szCs w:val="28"/>
          <w:rtl w:val="true"/>
          <w:lang w:bidi="ar-SA"/>
        </w:rPr>
        <w:t>و جَمعُه مِن الأخبارِ التي أورَدَها علىٰ سَبيلِ المُعارَضةِ لأخبارِنا، كالذي رَواه في</w:t>
      </w:r>
      <w:r>
        <w:rPr>
          <w:rStyle w:val="FootnoteAnchor"/>
          <w:rtl w:val="true"/>
        </w:rPr>
        <w:footnoteReference w:id="3474"/>
      </w:r>
      <w:r>
        <w:rPr>
          <w:rFonts w:ascii="Amiri" w:hAnsi="Amiri" w:eastAsia="Amiri" w:cs="Amiri"/>
          <w:color w:val="111111"/>
          <w:sz w:val="28"/>
          <w:sz w:val="28"/>
          <w:szCs w:val="28"/>
          <w:rtl w:val="true"/>
          <w:lang w:bidi="ar-SA"/>
        </w:rPr>
        <w:t>أنّه صَلَّى اللّٰهُ عليه و آلِه لَم يَستَخلِفْ ، أو أنّه استَخلَفَ أبا بَكرٍ و أشارَ إلىٰ إمامتِه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ما نَقولُه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المُعارَضةَ متىٰ لَم تُوَفَّ </w:t>
      </w:r>
      <w:r>
        <w:rPr>
          <w:rStyle w:val="FootnoteAnchor"/>
          <w:rtl w:val="true"/>
        </w:rPr>
        <w:footnoteReference w:id="3475"/>
      </w:r>
      <w:r>
        <w:rPr>
          <w:rFonts w:ascii="Amiri" w:hAnsi="Amiri" w:eastAsia="Amiri" w:cs="Amiri"/>
          <w:color w:val="111111"/>
          <w:sz w:val="28"/>
          <w:sz w:val="28"/>
          <w:szCs w:val="28"/>
          <w:rtl w:val="true"/>
          <w:lang w:bidi="ar-SA"/>
        </w:rPr>
        <w:t xml:space="preserve">حَقَّها مِن المُماثَلةِ و المُوازَنةِ ظَهَرَت عَصَبيّةُ مُدَّعيها، و قد عَلِمَ كُلُّ أحَدٍ ضَرورةَ الفَصلِ بَينَ الأخبارِ التي أورَدَها </w:t>
      </w:r>
      <w:bookmarkStart w:id="612" w:name="pg20017_202753"/>
    </w:p>
    <w:p>
      <w:pPr>
        <w:pStyle w:val="BookText"/>
        <w:rPr/>
      </w:pPr>
      <w:bookmarkEnd w:id="612"/>
      <w:r>
        <w:rPr>
          <w:rFonts w:ascii="Amiri" w:hAnsi="Amiri" w:eastAsia="Amiri" w:cs="Amiri"/>
          <w:color w:val="111111"/>
          <w:sz w:val="28"/>
          <w:sz w:val="28"/>
          <w:szCs w:val="28"/>
          <w:rtl w:val="true"/>
          <w:lang w:bidi="ar-SA"/>
        </w:rPr>
        <w:t xml:space="preserve">مُعارِضاً بها، و بَينَ الأخبارِ التي حَكَى اعتمادَنا عليها؛ لأنّ أخبارَنا أوّلاً ممّا يُشارِكُنا في نَقلِ جميعِها أو أكثَرِها خُصومُنا، و قد صَحَّحَها رُواتُهم، و أَورَدوها في كُتُبِهم و مُصنَّفاتِهم مَورِدَ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الأخبارَ التي ادَّعاها لَم تُنقَلْ إلّامِن جِهةٍ واحدةٍ ، و جميعُ شيعةِ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و يُنكِرُها، و يُكذِّبُ رُواتَها</w:t>
      </w:r>
      <w:r>
        <w:rPr>
          <w:rStyle w:val="FootnoteAnchor"/>
          <w:rtl w:val="true"/>
        </w:rPr>
        <w:footnoteReference w:id="3476"/>
      </w:r>
      <w:r>
        <w:rPr>
          <w:rFonts w:ascii="Amiri" w:hAnsi="Amiri" w:eastAsia="Amiri" w:cs="Amiri"/>
          <w:color w:val="111111"/>
          <w:sz w:val="28"/>
          <w:sz w:val="28"/>
          <w:szCs w:val="28"/>
          <w:rtl w:val="true"/>
          <w:lang w:bidi="ar-SA"/>
        </w:rPr>
        <w:t xml:space="preserve">، فَضلاً عن أن يَنقُلَها، و لا شَيءَ منها إلّاو متىٰ فَتَّشتَ عن ناقِلِه و أصلِه وَجَدتَه صادراً عن مُتَعصِّبٍ مشهورٍ بالانحرافِ عن أهلِ البيتِ عليهم السلامُ و الإعراضِ عنهم؛ و لَيسَ </w:t>
      </w:r>
      <w:r>
        <w:rPr>
          <w:rStyle w:val="FootnoteAnchor"/>
          <w:rtl w:val="true"/>
        </w:rPr>
        <w:footnoteReference w:id="3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شِياعُها و تَظاهُرُها في خُصومِ الشيعةِ كشِياعِ الأخبارِ التي اعتَمَدنا عليها</w:t>
      </w:r>
      <w:r>
        <w:rPr>
          <w:rStyle w:val="FootnoteAnchor"/>
          <w:rtl w:val="true"/>
        </w:rPr>
        <w:footnoteReference w:id="3478"/>
      </w:r>
      <w:r>
        <w:rPr>
          <w:rFonts w:ascii="Amiri" w:hAnsi="Amiri" w:eastAsia="Amiri" w:cs="Amiri"/>
          <w:color w:val="111111"/>
          <w:sz w:val="28"/>
          <w:sz w:val="28"/>
          <w:szCs w:val="28"/>
          <w:rtl w:val="true"/>
          <w:lang w:bidi="ar-SA"/>
        </w:rPr>
        <w:t xml:space="preserve">في رِوايةِ الشيعةِ </w:t>
      </w:r>
      <w:r>
        <w:rPr>
          <w:rStyle w:val="FootnoteAnchor"/>
          <w:rtl w:val="true"/>
        </w:rPr>
        <w:footnoteReference w:id="3479"/>
      </w:r>
      <w:r>
        <w:rPr>
          <w:rFonts w:ascii="Amiri" w:hAnsi="Amiri" w:eastAsia="Amiri" w:cs="Amiri"/>
          <w:color w:val="111111"/>
          <w:sz w:val="28"/>
          <w:sz w:val="28"/>
          <w:szCs w:val="28"/>
          <w:rtl w:val="true"/>
          <w:lang w:bidi="ar-SA"/>
        </w:rPr>
        <w:t>، و نَقلِ الجميعِ لها، و رِضا الكُلِّ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يَجوزُ أن يَجعَلَ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وَصَفناه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أخبارِنا، لَولا العَصَبيّةُ التي لا تَليقُ بالعلماءِ؟</w:t>
      </w:r>
    </w:p>
    <w:p>
      <w:pPr>
        <w:pStyle w:val="BookText"/>
        <w:rPr/>
      </w:pPr>
      <w:r>
        <w:rPr>
          <w:rFonts w:ascii="Amiri" w:hAnsi="Amiri" w:eastAsia="Amiri" w:cs="Amiri"/>
          <w:color w:val="111111"/>
          <w:sz w:val="28"/>
          <w:sz w:val="28"/>
          <w:szCs w:val="28"/>
          <w:rtl w:val="true"/>
          <w:lang w:bidi="ar-SA"/>
        </w:rPr>
        <w:t>و هذه جُملةٌ تُسقِطُ المُعارَضةَ بهذه الأخبارِ مِن أصلِها</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964429_2320776876"/>
      <w:bookmarkStart w:id="614" w:name="_Toc218"/>
      <w:bookmarkEnd w:id="613"/>
      <w:r>
        <w:rPr>
          <w:rtl w:val="true"/>
        </w:rPr>
        <w:t>تفصيل الجواب</w:t>
      </w:r>
      <w:bookmarkEnd w:id="614"/>
    </w:p>
    <w:p>
      <w:pPr>
        <w:pStyle w:val="Heading6"/>
        <w:numPr>
          <w:ilvl w:val="5"/>
          <w:numId w:val="1"/>
        </w:numPr>
        <w:rPr/>
      </w:pPr>
      <w:bookmarkStart w:id="615" w:name="__RefHeading___Toc964431_2320776876"/>
      <w:bookmarkStart w:id="616" w:name="_Toc219"/>
      <w:bookmarkEnd w:id="615"/>
      <w:r>
        <w:rPr>
          <w:rtl w:val="true"/>
        </w:rPr>
        <w:t>أوّلاً</w:t>
      </w:r>
      <w:r>
        <w:rPr>
          <w:rtl w:val="true"/>
        </w:rPr>
        <w:t xml:space="preserve">: </w:t>
      </w:r>
      <w:r>
        <w:rPr>
          <w:rtl w:val="true"/>
        </w:rPr>
        <w:t>تفصيل الجواب عن أخبار عدم الاستخلاف</w:t>
      </w:r>
      <w:bookmarkEnd w:id="616"/>
    </w:p>
    <w:p>
      <w:pPr>
        <w:pStyle w:val="Heading6"/>
        <w:numPr>
          <w:ilvl w:val="5"/>
          <w:numId w:val="1"/>
        </w:numPr>
        <w:rPr/>
      </w:pPr>
      <w:bookmarkStart w:id="617" w:name="__RefHeading___Toc964433_2320776876"/>
      <w:bookmarkStart w:id="618" w:name="_Toc220"/>
      <w:bookmarkEnd w:id="617"/>
      <w:r>
        <w:rPr>
          <w:rtl w:val="true"/>
        </w:rPr>
        <w:t>اشارة</w:t>
      </w:r>
      <w:bookmarkEnd w:id="61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نَرجِعُ إلَى التفصيلِ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دَلَّلنا علىٰ ثُبوتِ النصِّ علىٰ أميرِ المؤمنينَ عليه السلامُ بأخبارٍ مُجمَعٍ علىٰ صحّتِها، مُتَّفَقٍ عليها، و إن كانَ الاختلافُ واقعاً</w:t>
      </w:r>
      <w:r>
        <w:rPr>
          <w:rStyle w:val="FootnoteAnchor"/>
          <w:rtl w:val="true"/>
        </w:rPr>
        <w:footnoteReference w:id="3480"/>
      </w:r>
      <w:r>
        <w:rPr>
          <w:rFonts w:ascii="Amiri" w:hAnsi="Amiri" w:eastAsia="Amiri" w:cs="Amiri"/>
          <w:color w:val="111111"/>
          <w:sz w:val="28"/>
          <w:sz w:val="28"/>
          <w:szCs w:val="28"/>
          <w:rtl w:val="true"/>
          <w:lang w:bidi="ar-SA"/>
        </w:rPr>
        <w:t xml:space="preserve">في </w:t>
      </w:r>
      <w:bookmarkStart w:id="619" w:name="pg20017_202754"/>
    </w:p>
    <w:p>
      <w:pPr>
        <w:pStyle w:val="BookText"/>
        <w:rPr/>
      </w:pPr>
      <w:bookmarkEnd w:id="619"/>
      <w:r>
        <w:rPr>
          <w:rFonts w:ascii="Amiri" w:hAnsi="Amiri" w:eastAsia="Amiri" w:cs="Amiri"/>
          <w:color w:val="111111"/>
          <w:sz w:val="28"/>
          <w:sz w:val="28"/>
          <w:szCs w:val="28"/>
          <w:rtl w:val="true"/>
          <w:lang w:bidi="ar-SA"/>
        </w:rPr>
        <w:t xml:space="preserve">تأويلِها، و بيّنّا أنّها تُفيدُ النصَّ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Style w:val="FootnoteAnchor"/>
          <w:rtl w:val="true"/>
        </w:rPr>
        <w:footnoteReference w:id="3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احتمالٍ و لا إشكالٍ‌؛ 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Style w:val="FootnoteAnchor"/>
          <w:rtl w:val="true"/>
        </w:rPr>
        <w:footnoteReference w:id="34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3483"/>
      </w:r>
      <w:r>
        <w:rPr>
          <w:rFonts w:ascii="Amiri" w:hAnsi="Amiri" w:eastAsia="Amiri" w:cs="Amiri"/>
          <w:color w:val="111111"/>
          <w:sz w:val="28"/>
          <w:sz w:val="28"/>
          <w:szCs w:val="28"/>
          <w:rtl w:val="true"/>
          <w:lang w:bidi="ar-SA"/>
        </w:rPr>
        <w:t xml:space="preserve">إلىٰ غيرِ ذلكَ ممّا دَلَّلنا علىٰ أنّ القُرآنَ يَشهَدُ به؛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w:t>
      </w:r>
      <w:r>
        <w:rPr>
          <w:rStyle w:val="FootnoteAnchor"/>
          <w:rtl w:val="true"/>
        </w:rPr>
        <w:footnoteReference w:id="3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ج، ص،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يطرح</w:t>
      </w:r>
      <w:r>
        <w:rPr>
          <w:rFonts w:eastAsia="Amiri" w:cs="Amiri" w:ascii="Amiri" w:hAnsi="Amiri"/>
          <w:color w:val="111111"/>
          <w:sz w:val="28"/>
          <w:szCs w:val="28"/>
          <w:rtl w:val="true"/>
          <w:lang w:bidi="ar-SA"/>
        </w:rPr>
        <w:t>».</w:t>
      </w:r>
      <w:r>
        <w:rPr>
          <w:rStyle w:val="FootnoteAnchor"/>
          <w:rtl w:val="true"/>
        </w:rPr>
        <w:footnoteReference w:id="3485"/>
      </w:r>
      <w:r>
        <w:rPr>
          <w:rFonts w:ascii="Amiri" w:hAnsi="Amiri" w:eastAsia="Amiri" w:cs="Amiri"/>
          <w:color w:val="111111"/>
          <w:sz w:val="28"/>
          <w:sz w:val="28"/>
          <w:szCs w:val="28"/>
          <w:rtl w:val="true"/>
          <w:lang w:bidi="ar-SA"/>
        </w:rPr>
        <w:t xml:space="preserve">فلا بُدَّ مِن أن نَطرَحَ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خبرٍ نافٍ ما دَلَّت عليه هذه</w:t>
      </w:r>
      <w:r>
        <w:rPr>
          <w:rStyle w:val="FootnoteAnchor"/>
          <w:rtl w:val="true"/>
        </w:rPr>
        <w:footnoteReference w:id="3486"/>
      </w:r>
      <w:r>
        <w:rPr>
          <w:rFonts w:ascii="Amiri" w:hAnsi="Amiri" w:eastAsia="Amiri" w:cs="Amiri"/>
          <w:color w:val="111111"/>
          <w:sz w:val="28"/>
          <w:sz w:val="28"/>
          <w:szCs w:val="28"/>
          <w:rtl w:val="true"/>
          <w:lang w:bidi="ar-SA"/>
        </w:rPr>
        <w:t>الأدِلّةُ القاطعةُ إن كانَ غيرَ مُحتَمِلٍ للتأويلِ ، و</w:t>
      </w:r>
      <w:r>
        <w:rPr>
          <w:rStyle w:val="FootnoteAnchor"/>
          <w:rtl w:val="true"/>
        </w:rPr>
        <w:footnoteReference w:id="3487"/>
      </w:r>
      <w:r>
        <w:rPr>
          <w:rFonts w:ascii="Amiri" w:hAnsi="Amiri" w:eastAsia="Amiri" w:cs="Amiri"/>
          <w:color w:val="111111"/>
          <w:sz w:val="28"/>
          <w:sz w:val="28"/>
          <w:szCs w:val="28"/>
          <w:rtl w:val="true"/>
          <w:lang w:bidi="ar-SA"/>
        </w:rPr>
        <w:t>نَحمِلَه بالتأويلِ علىٰ ما يُوافِقُها و يُطابِقُها إذا ساغَ ذلكَ فيه؛ كما يُفعَلُ في كُلِّ ما دَلَّت الأدِلّةُ القاطعةُ عليه، و وَرَدَ سَمعٌ يُنافيهِ و يَقتَضي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الجُملةُ تُسقِطُ كُلَّ خبرٍ</w:t>
      </w:r>
      <w:r>
        <w:rPr>
          <w:rStyle w:val="FootnoteAnchor"/>
          <w:rtl w:val="true"/>
        </w:rPr>
        <w:footnoteReference w:id="3488"/>
      </w:r>
      <w:r>
        <w:rPr>
          <w:rFonts w:ascii="Amiri" w:hAnsi="Amiri" w:eastAsia="Amiri" w:cs="Amiri"/>
          <w:color w:val="111111"/>
          <w:sz w:val="28"/>
          <w:sz w:val="28"/>
          <w:szCs w:val="28"/>
          <w:rtl w:val="true"/>
          <w:lang w:bidi="ar-SA"/>
        </w:rPr>
        <w:t xml:space="preserve">يُروىٰ في أنّه عليه السلامُ لَم يَستَخلِفْ </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964435_2320776876"/>
      <w:bookmarkStart w:id="621" w:name="_Toc221"/>
      <w:bookmarkEnd w:id="620"/>
      <w:r>
        <w:rPr>
          <w:rtl w:val="true"/>
        </w:rPr>
        <w:t>مناقشة خبر عدم وصيّة أمير المؤمنين عليه السلام كما لم يوصِ رسول اللّٰه صلى الله عليه و آله</w:t>
      </w:r>
      <w:bookmarkEnd w:id="62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الخبرَ الذي رَواه</w:t>
      </w:r>
      <w:r>
        <w:rPr>
          <w:rStyle w:val="FootnoteAnchor"/>
          <w:rtl w:val="true"/>
        </w:rPr>
        <w:footnoteReference w:id="3489"/>
      </w:r>
      <w:r>
        <w:rPr>
          <w:rFonts w:ascii="Amiri" w:hAnsi="Amiri" w:eastAsia="Amiri" w:cs="Amiri"/>
          <w:color w:val="111111"/>
          <w:sz w:val="28"/>
          <w:sz w:val="28"/>
          <w:szCs w:val="28"/>
          <w:rtl w:val="true"/>
          <w:lang w:bidi="ar-SA"/>
        </w:rPr>
        <w:t>عن أميرِ المؤمنينَ عليه السلامُ ، لمّا قيلَ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لا توصي‌؟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أَوصىٰ رسولُ اللّٰهِ فأُوصِيَ‌، و لكِنْ إن أرادَ اللّٰهُ تَعالىٰ بالناسِ‌</w:t>
      </w:r>
      <w:r>
        <w:rPr>
          <w:rStyle w:val="FootnoteAnchor"/>
          <w:rtl w:val="true"/>
        </w:rPr>
        <w:footnoteReference w:id="3490"/>
      </w:r>
      <w:r>
        <w:rPr>
          <w:rFonts w:ascii="Amiri" w:hAnsi="Amiri" w:eastAsia="Amiri" w:cs="Amiri"/>
          <w:color w:val="111111"/>
          <w:sz w:val="28"/>
          <w:sz w:val="28"/>
          <w:szCs w:val="28"/>
          <w:rtl w:val="true"/>
          <w:lang w:bidi="ar-SA"/>
        </w:rPr>
        <w:t>خَيراً فسَيَجمَعُهم</w:t>
      </w:r>
      <w:r>
        <w:rPr>
          <w:rStyle w:val="FootnoteAnchor"/>
          <w:rtl w:val="true"/>
        </w:rPr>
        <w:footnoteReference w:id="3491"/>
      </w:r>
      <w:r>
        <w:rPr>
          <w:rFonts w:ascii="Amiri" w:hAnsi="Amiri" w:eastAsia="Amiri" w:cs="Amiri"/>
          <w:color w:val="111111"/>
          <w:sz w:val="28"/>
          <w:sz w:val="28"/>
          <w:szCs w:val="28"/>
          <w:rtl w:val="true"/>
          <w:lang w:bidi="ar-SA"/>
        </w:rPr>
        <w:t>علىٰ خَيرِهم كَما جَمَعَهم بَعدَ نَبيِّهم علىٰ خَيرِهم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فمُتضمِّنٌ لِما يَكادُ يُعلَمُ بُطلانُه ضَرورةً‌؛ لأنّ فيه التصريحَ القَويَّ بفَضلِ أبي بَكرٍ عليه</w:t>
      </w:r>
      <w:r>
        <w:rPr>
          <w:rStyle w:val="FootnoteAnchor"/>
          <w:rtl w:val="true"/>
        </w:rPr>
        <w:footnoteReference w:id="3492"/>
      </w:r>
      <w:r>
        <w:rPr>
          <w:rFonts w:ascii="Amiri" w:hAnsi="Amiri" w:eastAsia="Amiri" w:cs="Amiri"/>
          <w:color w:val="111111"/>
          <w:sz w:val="28"/>
          <w:sz w:val="28"/>
          <w:szCs w:val="28"/>
          <w:rtl w:val="true"/>
          <w:lang w:bidi="ar-SA"/>
        </w:rPr>
        <w:t>، و أنّه خَيرٌ منه؛ و الظاهرُ مِن أحوالِ أميرِ المؤمنينَ‌</w:t>
      </w:r>
      <w:r>
        <w:rPr>
          <w:rStyle w:val="FootnoteAnchor"/>
          <w:rtl w:val="true"/>
        </w:rPr>
        <w:footnoteReference w:id="3493"/>
      </w:r>
      <w:r>
        <w:rPr>
          <w:rFonts w:ascii="Amiri" w:hAnsi="Amiri" w:eastAsia="Amiri" w:cs="Amiri"/>
          <w:color w:val="111111"/>
          <w:sz w:val="28"/>
          <w:sz w:val="28"/>
          <w:szCs w:val="28"/>
          <w:rtl w:val="true"/>
          <w:lang w:bidi="ar-SA"/>
        </w:rPr>
        <w:t>، و المشهورُ مِن أقوالِه و أفعالِه</w:t>
      </w:r>
      <w:r>
        <w:rPr>
          <w:rStyle w:val="FootnoteAnchor"/>
          <w:rtl w:val="true"/>
        </w:rPr>
        <w:footnoteReference w:id="3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و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أنّه كانَ يُقدِّمُ نفسَه علىٰ أبي بَكرٍ و غيرِه مِن الصَّحابةِ‌، و أنّه كانَ لا يَعتَرِفُ لأحَدِهم</w:t>
      </w:r>
      <w:r>
        <w:rPr>
          <w:rStyle w:val="FootnoteAnchor"/>
          <w:rtl w:val="true"/>
        </w:rPr>
        <w:footnoteReference w:id="3495"/>
      </w:r>
      <w:r>
        <w:rPr>
          <w:rFonts w:ascii="Amiri" w:hAnsi="Amiri" w:eastAsia="Amiri" w:cs="Amiri"/>
          <w:color w:val="111111"/>
          <w:sz w:val="28"/>
          <w:sz w:val="28"/>
          <w:szCs w:val="28"/>
          <w:rtl w:val="true"/>
          <w:lang w:bidi="ar-SA"/>
        </w:rPr>
        <w:t>بالتقدُّمِ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تَصفَّحَ الأخبارَ و السِّيَرَ، و لَم تَمِلْ به العَصَبيّةُ و الهَوىٰ‌، يَعلَمُ هذا مِن حالِه علىٰ وجهٍ لا يَدخُلُ فيه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اعتبارَ بمَن دَفَعَ هذا ممّن يفضلُ عليه؛ لأنّه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عامّيّاً</w:t>
      </w:r>
    </w:p>
    <w:p>
      <w:pPr>
        <w:pStyle w:val="BookText"/>
        <w:rPr/>
      </w:pPr>
      <w:r>
        <w:rPr>
          <w:rFonts w:ascii="Amiri" w:hAnsi="Amiri" w:eastAsia="Amiri" w:cs="Amiri"/>
          <w:color w:val="111111"/>
          <w:sz w:val="28"/>
          <w:sz w:val="28"/>
          <w:szCs w:val="28"/>
          <w:rtl w:val="true"/>
          <w:lang w:bidi="ar-SA"/>
        </w:rPr>
        <w:t>مُقلِّداً</w:t>
      </w:r>
      <w:r>
        <w:rPr>
          <w:rStyle w:val="FootnoteAnchor"/>
          <w:rtl w:val="true"/>
        </w:rPr>
        <w:footnoteReference w:id="3496"/>
      </w:r>
      <w:r>
        <w:rPr>
          <w:rFonts w:ascii="Amiri" w:hAnsi="Amiri" w:eastAsia="Amiri" w:cs="Amiri"/>
          <w:color w:val="111111"/>
          <w:sz w:val="28"/>
          <w:sz w:val="28"/>
          <w:szCs w:val="28"/>
          <w:rtl w:val="true"/>
          <w:lang w:bidi="ar-SA"/>
        </w:rPr>
        <w:t>، لَم يَتصفَّحِ الأخبارَ و السِّيَرَ و ما رُويَ مِن أقوالِه و أفعالِه</w:t>
      </w:r>
      <w:r>
        <w:rPr>
          <w:rStyle w:val="FootnoteAnchor"/>
          <w:rtl w:val="true"/>
        </w:rPr>
        <w:footnoteReference w:id="3497"/>
      </w:r>
      <w:r>
        <w:rPr>
          <w:rFonts w:ascii="Amiri" w:hAnsi="Amiri" w:eastAsia="Amiri" w:cs="Amiri"/>
          <w:color w:val="111111"/>
          <w:sz w:val="28"/>
          <w:sz w:val="28"/>
          <w:szCs w:val="28"/>
          <w:rtl w:val="true"/>
          <w:lang w:bidi="ar-SA"/>
        </w:rPr>
        <w:t xml:space="preserve">، و لَم يَختَلِطْ بأهلِ النقلِ ، فلا يَعلَمُ ذلكَ </w:t>
      </w:r>
      <w:r>
        <w:rPr>
          <w:rStyle w:val="FootnoteAnchor"/>
          <w:rtl w:val="true"/>
        </w:rPr>
        <w:footnoteReference w:id="3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مُتأمِّلاً مُتصفِّحاً، إلّاأنّ العَصَبيّةَ قد استَولَت عليه، و الهَوىٰ قد مَلَكَه و استَرقَّه، فهو يَدفَعُ ذلكَ عِناداً؛ و إلّافالشُّبهةُ مع الإنصافِ زائلةٌ في هذا المَوضِعِ </w:t>
      </w:r>
      <w:r>
        <w:rPr>
          <w:rStyle w:val="FootnoteAnchor"/>
          <w:rtl w:val="true"/>
        </w:rPr>
        <w:footnoteReference w:id="349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لا يَجوزُ أن يَقولَ هذا مَن قالَ رسولُ اللّٰهِ صَلَّى اللّٰهُ عليه و آلِه فيه </w:t>
      </w:r>
    </w:p>
    <w:p>
      <w:pPr>
        <w:pStyle w:val="BookText"/>
        <w:rPr/>
      </w:pPr>
      <w:r>
        <w:rPr>
          <w:rFonts w:ascii="Amiri" w:hAnsi="Amiri" w:eastAsia="Amiri" w:cs="Amiri"/>
          <w:color w:val="111111"/>
          <w:sz w:val="28"/>
          <w:sz w:val="28"/>
          <w:szCs w:val="28"/>
          <w:rtl w:val="true"/>
          <w:lang w:bidi="ar-SA"/>
        </w:rPr>
        <w:t>باتّفاقٍ‌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عليه السلامُ مِن بَينِ الجماعةِ‌، فأكَلَ معه</w:t>
      </w:r>
      <w:r>
        <w:rPr>
          <w:rStyle w:val="FootnoteAnchor"/>
          <w:rtl w:val="true"/>
        </w:rPr>
        <w:footnoteReference w:id="3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مَن يَقولُ النبيُّ صَلَّى اللّٰهُ عليهِ و آلِه لِابنَتِه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اطَّلَعَ علىٰ أهلِ الأرضِ اطِّلاعةً‌، فاختارَ منها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أحَدَهما أباكِ‌، و الآخَرَ بَعلَكِ‌</w:t>
      </w:r>
      <w:r>
        <w:rPr>
          <w:rFonts w:eastAsia="Amiri" w:cs="Amiri" w:ascii="Amiri" w:hAnsi="Amiri"/>
          <w:color w:val="111111"/>
          <w:sz w:val="28"/>
          <w:szCs w:val="28"/>
          <w:rtl w:val="true"/>
          <w:lang w:bidi="ar-SA"/>
        </w:rPr>
        <w:t>»</w:t>
      </w:r>
      <w:r>
        <w:rPr>
          <w:rStyle w:val="FootnoteAnchor"/>
          <w:rtl w:val="true"/>
        </w:rPr>
        <w:footnoteReference w:id="3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سَيّدُ العربِ </w:t>
      </w:r>
      <w:r>
        <w:rPr>
          <w:rFonts w:eastAsia="Amiri" w:cs="Amiri" w:ascii="Amiri" w:hAnsi="Amiri"/>
          <w:color w:val="111111"/>
          <w:sz w:val="28"/>
          <w:szCs w:val="28"/>
          <w:rtl w:val="true"/>
          <w:lang w:bidi="ar-SA"/>
        </w:rPr>
        <w:t>»</w:t>
      </w:r>
      <w:r>
        <w:rPr>
          <w:rStyle w:val="FootnoteAnchor"/>
          <w:rtl w:val="true"/>
        </w:rPr>
        <w:footnoteReference w:id="35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أُمّتي</w:t>
      </w:r>
      <w:r>
        <w:rPr>
          <w:rFonts w:eastAsia="Amiri" w:cs="Amiri" w:ascii="Amiri" w:hAnsi="Amiri"/>
          <w:color w:val="111111"/>
          <w:sz w:val="28"/>
          <w:szCs w:val="28"/>
          <w:rtl w:val="true"/>
          <w:lang w:bidi="ar-SA"/>
        </w:rPr>
        <w:t>»</w:t>
      </w:r>
      <w:r>
        <w:rPr>
          <w:rStyle w:val="FootnoteAnchor"/>
          <w:rtl w:val="true"/>
        </w:rPr>
        <w:footnoteReference w:id="3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المؤتلف و المختلف،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تاريخ مدينة دمشق،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4933</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Style w:val="FootnoteAnchor"/>
          <w:rtl w:val="true"/>
        </w:rPr>
        <w:footnoteReference w:id="35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أُخلِّفُ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 مَن أبىٰ فقَد كَفَرَ</w:t>
      </w:r>
      <w:r>
        <w:rPr>
          <w:rFonts w:eastAsia="Amiri" w:cs="Amiri" w:ascii="Amiri" w:hAnsi="Amiri"/>
          <w:color w:val="111111"/>
          <w:sz w:val="28"/>
          <w:szCs w:val="28"/>
          <w:rtl w:val="true"/>
          <w:lang w:bidi="ar-SA"/>
        </w:rPr>
        <w:t>»</w:t>
      </w:r>
      <w:r>
        <w:rPr>
          <w:rStyle w:val="FootnoteAnchor"/>
          <w:rtl w:val="true"/>
        </w:rPr>
        <w:footnoteReference w:id="3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يَجوزُ أن يَقولَ هذا مَن تَظاهَرَ الخبرُ عنه بقَولِه صَلَواتُ اللّٰهِ عليه، و قد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جَرىٰ بَينَه و بَينَ عُثمانَ كلامٌ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خَيرٌ منكَ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منكَ و منهما؛ عَبَدتُ اللّٰهَ قَبلَهما، و عَبَدتُه بَعدَهما</w:t>
      </w:r>
      <w:r>
        <w:rPr>
          <w:rFonts w:eastAsia="Amiri" w:cs="Amiri" w:ascii="Amiri" w:hAnsi="Amiri"/>
          <w:color w:val="111111"/>
          <w:sz w:val="28"/>
          <w:szCs w:val="28"/>
          <w:rtl w:val="true"/>
          <w:lang w:bidi="ar-SA"/>
        </w:rPr>
        <w:t>»</w:t>
      </w:r>
      <w:r>
        <w:rPr>
          <w:rStyle w:val="FootnoteAnchor"/>
          <w:rtl w:val="true"/>
        </w:rPr>
        <w:footnoteReference w:id="3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بَيتٍ لا يُقاسُ بنا أحَدٌ</w:t>
      </w:r>
      <w:r>
        <w:rPr>
          <w:rFonts w:eastAsia="Amiri" w:cs="Amiri" w:ascii="Amiri" w:hAnsi="Amiri"/>
          <w:color w:val="111111"/>
          <w:sz w:val="28"/>
          <w:szCs w:val="28"/>
          <w:rtl w:val="true"/>
          <w:lang w:bidi="ar-SA"/>
        </w:rPr>
        <w:t>»</w:t>
      </w:r>
      <w:r>
        <w:rPr>
          <w:rStyle w:val="FootnoteAnchor"/>
          <w:rtl w:val="true"/>
        </w:rPr>
        <w:footnoteReference w:id="3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عائشةَ في قِصّةِ الخَوارجِ لمّا سألَها مسروقٌ‌، فقالَ لها</w:t>
      </w:r>
      <w:r>
        <w:rPr>
          <w:rStyle w:val="FootnoteAnchor"/>
          <w:rtl w:val="true"/>
        </w:rPr>
        <w:footnoteReference w:id="3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أُمَّهْ‌، لا يَمنَعُكِ ما بَينَكِ و بَينَ عليٍّ أن تَقولي ما سَمِعتِ مِن رسولِ اللّٰهِ صَلَّى اللّٰهُ عليه و آلِه فيه و فيهم، فقالَت</w:t>
      </w:r>
      <w:r>
        <w:rPr>
          <w:rStyle w:val="FootnoteAnchor"/>
          <w:rtl w:val="true"/>
        </w:rPr>
        <w:footnoteReference w:id="3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شَرُّ الخَلقِ و الخَليقةِ‌</w:t>
      </w:r>
      <w:r>
        <w:rPr>
          <w:rStyle w:val="FootnoteAnchor"/>
          <w:rtl w:val="true"/>
        </w:rPr>
        <w:footnoteReference w:id="3510"/>
      </w:r>
      <w:r>
        <w:rPr>
          <w:rFonts w:ascii="Amiri" w:hAnsi="Amiri" w:eastAsia="Amiri" w:cs="Amiri"/>
          <w:color w:val="111111"/>
          <w:sz w:val="28"/>
          <w:sz w:val="28"/>
          <w:szCs w:val="28"/>
          <w:rtl w:val="true"/>
          <w:lang w:bidi="ar-SA"/>
        </w:rPr>
        <w:t>، يَقتُلُهم خَيرُ الخَلقِ و الخَليقةِ‌</w:t>
      </w:r>
      <w:r>
        <w:rPr>
          <w:rStyle w:val="FootnoteAnchor"/>
          <w:rtl w:val="true"/>
        </w:rPr>
        <w:footnoteReference w:id="35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12"/>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w:t>
      </w:r>
      <w:r>
        <w:rPr>
          <w:rStyle w:val="FootnoteAnchor"/>
          <w:rtl w:val="true"/>
        </w:rPr>
        <w:footnoteReference w:id="3513"/>
      </w:r>
      <w:r>
        <w:rPr>
          <w:rFonts w:ascii="Amiri" w:hAnsi="Amiri" w:eastAsia="Amiri" w:cs="Amiri"/>
          <w:color w:val="111111"/>
          <w:sz w:val="28"/>
          <w:sz w:val="28"/>
          <w:szCs w:val="28"/>
          <w:rtl w:val="true"/>
          <w:lang w:bidi="ar-SA"/>
        </w:rPr>
        <w:t>مِن أقوالِه صَلَّى اللّٰهُ عليه و آلِه</w:t>
      </w:r>
      <w:r>
        <w:rPr>
          <w:rStyle w:val="FootnoteAnchor"/>
          <w:rtl w:val="true"/>
        </w:rPr>
        <w:footnoteReference w:id="3514"/>
      </w:r>
      <w:r>
        <w:rPr>
          <w:rFonts w:ascii="Amiri" w:hAnsi="Amiri" w:eastAsia="Amiri" w:cs="Amiri"/>
          <w:color w:val="111111"/>
          <w:sz w:val="28"/>
          <w:sz w:val="28"/>
          <w:szCs w:val="28"/>
          <w:rtl w:val="true"/>
          <w:lang w:bidi="ar-SA"/>
        </w:rPr>
        <w:t>فيه، التي لَو ذَكرناها أجمَعَ لَاحتَجنا إلىٰ مِثلِ جميعِ‌</w:t>
      </w:r>
      <w:r>
        <w:rPr>
          <w:rStyle w:val="FootnoteAnchor"/>
          <w:rtl w:val="true"/>
        </w:rPr>
        <w:footnoteReference w:id="3515"/>
      </w:r>
      <w:r>
        <w:rPr>
          <w:rFonts w:ascii="Amiri" w:hAnsi="Amiri" w:eastAsia="Amiri" w:cs="Amiri"/>
          <w:color w:val="111111"/>
          <w:sz w:val="28"/>
          <w:sz w:val="28"/>
          <w:szCs w:val="28"/>
          <w:rtl w:val="true"/>
          <w:lang w:bidi="ar-SA"/>
        </w:rPr>
        <w:t>كتابِنا، إن لَم يَزِد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w:t>
      </w:r>
      <w:r>
        <w:rPr>
          <w:rStyle w:val="FootnoteAnchor"/>
          <w:rtl w:val="true"/>
        </w:rPr>
        <w:footnoteReference w:id="3516"/>
      </w:r>
      <w:r>
        <w:rPr>
          <w:rFonts w:ascii="Amiri" w:hAnsi="Amiri" w:eastAsia="Amiri" w:cs="Amiri"/>
          <w:color w:val="111111"/>
          <w:sz w:val="28"/>
          <w:sz w:val="28"/>
          <w:szCs w:val="28"/>
          <w:rtl w:val="true"/>
          <w:lang w:bidi="ar-SA"/>
        </w:rPr>
        <w:t>هذه الأخبارِ التي ذَكرناها فهي مشهورةٌ معروفةٌ ، قد رَواها الخاصّةُ و العامّةُ ، بخِلافِ ما ادَّعاه ممّا يَتفرَّدُ</w:t>
      </w:r>
      <w:r>
        <w:rPr>
          <w:rStyle w:val="FootnoteAnchor"/>
          <w:rtl w:val="true"/>
        </w:rPr>
        <w:footnoteReference w:id="3517"/>
      </w:r>
      <w:r>
        <w:rPr>
          <w:rFonts w:ascii="Amiri" w:hAnsi="Amiri" w:eastAsia="Amiri" w:cs="Amiri"/>
          <w:color w:val="111111"/>
          <w:sz w:val="28"/>
          <w:sz w:val="28"/>
          <w:szCs w:val="28"/>
          <w:rtl w:val="true"/>
          <w:lang w:bidi="ar-SA"/>
        </w:rPr>
        <w:t>به بعضُ الأُمّةِ و يَدفَعُه باقيها</w:t>
      </w:r>
      <w:r>
        <w:rPr>
          <w:rFonts w:eastAsia="Amiri" w:cs="Amiri" w:ascii="Amiri" w:hAnsi="Amiri"/>
          <w:color w:val="111111"/>
          <w:sz w:val="28"/>
          <w:szCs w:val="28"/>
          <w:rtl w:val="true"/>
          <w:lang w:bidi="ar-SA"/>
        </w:rPr>
        <w:t xml:space="preserve">. </w:t>
      </w:r>
      <w:bookmarkStart w:id="622" w:name="pg20017_202758"/>
    </w:p>
    <w:p>
      <w:pPr>
        <w:pStyle w:val="Heading6"/>
        <w:numPr>
          <w:ilvl w:val="5"/>
          <w:numId w:val="1"/>
        </w:numPr>
        <w:rPr/>
      </w:pPr>
      <w:bookmarkStart w:id="623" w:name="__RefHeading___Toc964437_2320776876"/>
      <w:bookmarkStart w:id="624" w:name="_Toc222"/>
      <w:bookmarkEnd w:id="622"/>
      <w:bookmarkEnd w:id="623"/>
      <w:r>
        <w:rPr>
          <w:rtl w:val="true"/>
        </w:rPr>
        <w:t>مناقشة خبر طلب العبّاس معرفة الإمام بعد الرسول صلى الله عليه و آله</w:t>
      </w:r>
      <w:bookmarkEnd w:id="624"/>
    </w:p>
    <w:p>
      <w:pPr>
        <w:pStyle w:val="BookText"/>
        <w:rPr/>
      </w:pPr>
      <w:r>
        <w:rPr>
          <w:rFonts w:ascii="Amiri" w:hAnsi="Amiri" w:eastAsia="Amiri" w:cs="Amiri"/>
          <w:color w:val="111111"/>
          <w:sz w:val="28"/>
          <w:sz w:val="28"/>
          <w:szCs w:val="28"/>
          <w:rtl w:val="true"/>
          <w:lang w:bidi="ar-SA"/>
        </w:rPr>
        <w:t xml:space="preserve">فأمّا الخبرُ الذي رَواه عن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Style w:val="FootnoteAnchor"/>
          <w:rtl w:val="true"/>
        </w:rPr>
        <w:footnoteReference w:id="3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قالَ لأميرِ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سألتَ النبيَّ عن القائمِ بالأمرِ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في كتابِنا الكلامُ عليه</w:t>
      </w:r>
      <w:r>
        <w:rPr>
          <w:rStyle w:val="FootnoteAnchor"/>
          <w:rtl w:val="true"/>
        </w:rPr>
        <w:footnoteReference w:id="3519"/>
      </w:r>
      <w:r>
        <w:rPr>
          <w:rFonts w:ascii="Amiri" w:hAnsi="Amiri" w:eastAsia="Amiri" w:cs="Amiri"/>
          <w:color w:val="111111"/>
          <w:sz w:val="28"/>
          <w:sz w:val="28"/>
          <w:szCs w:val="28"/>
          <w:rtl w:val="true"/>
          <w:lang w:bidi="ar-SA"/>
        </w:rPr>
        <w:t>، و بيّنّا أنّه لَو كانَ صَحيحاً لَم يَدُلَّ علىٰ بُطلانِ النصِّ ؛ فلا وجهَ لإعادةِ ما قُلناه فيه</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964439_2320776876"/>
      <w:bookmarkStart w:id="626" w:name="_Toc223"/>
      <w:bookmarkEnd w:id="625"/>
      <w:r>
        <w:rPr>
          <w:rtl w:val="true"/>
        </w:rPr>
        <w:t>عودة إلىٰ مناقشة خبر عدم وصيّة أمير المؤمنين عليه السلام</w:t>
      </w:r>
      <w:bookmarkEnd w:id="626"/>
    </w:p>
    <w:p>
      <w:pPr>
        <w:pStyle w:val="BookText"/>
        <w:rPr/>
      </w:pPr>
      <w:r>
        <w:rPr>
          <w:rFonts w:ascii="Amiri" w:hAnsi="Amiri" w:eastAsia="Amiri" w:cs="Amiri"/>
          <w:color w:val="111111"/>
          <w:sz w:val="28"/>
          <w:sz w:val="28"/>
          <w:szCs w:val="28"/>
          <w:rtl w:val="true"/>
          <w:lang w:bidi="ar-SA"/>
        </w:rPr>
        <w:t>و بَعدُ، فبإزاءِ‌</w:t>
      </w:r>
      <w:r>
        <w:rPr>
          <w:rStyle w:val="FootnoteAnchor"/>
          <w:rtl w:val="true"/>
        </w:rPr>
        <w:footnoteReference w:id="3520"/>
      </w:r>
      <w:r>
        <w:rPr>
          <w:rFonts w:ascii="Amiri" w:hAnsi="Amiri" w:eastAsia="Amiri" w:cs="Amiri"/>
          <w:color w:val="111111"/>
          <w:sz w:val="28"/>
          <w:sz w:val="28"/>
          <w:szCs w:val="28"/>
          <w:rtl w:val="true"/>
          <w:lang w:bidi="ar-SA"/>
        </w:rPr>
        <w:t xml:space="preserve">هذَينِ الخبرَينِ الشاذَّينِ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رَواهما</w:t>
      </w:r>
      <w:r>
        <w:rPr>
          <w:rStyle w:val="FootnoteAnchor"/>
          <w:rtl w:val="true"/>
        </w:rPr>
        <w:footnoteReference w:id="3521"/>
      </w:r>
      <w:r>
        <w:rPr>
          <w:rFonts w:ascii="Amiri" w:hAnsi="Amiri" w:eastAsia="Amiri" w:cs="Amiri"/>
          <w:color w:val="111111"/>
          <w:sz w:val="28"/>
          <w:sz w:val="28"/>
          <w:szCs w:val="28"/>
          <w:rtl w:val="true"/>
          <w:lang w:bidi="ar-SA"/>
        </w:rPr>
        <w:t>في أنّ أميرَ المؤمنينَ عليه السلامُ لَم يوصِ‌، كَما لَم يوصِ رسولُ اللّٰهِ صَلَّى اللّٰهُ عليه و آلِه</w:t>
      </w:r>
      <w:r>
        <w:rPr>
          <w:rStyle w:val="FootnoteAnchor"/>
          <w:rtl w:val="true"/>
        </w:rPr>
        <w:footnoteReference w:id="3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تَرويها</w:t>
      </w:r>
      <w:r>
        <w:rPr>
          <w:rStyle w:val="FootnoteAnchor"/>
          <w:rtl w:val="true"/>
        </w:rPr>
        <w:footnoteReference w:id="3523"/>
      </w:r>
      <w:r>
        <w:rPr>
          <w:rFonts w:ascii="Amiri" w:hAnsi="Amiri" w:eastAsia="Amiri" w:cs="Amiri"/>
          <w:color w:val="111111"/>
          <w:sz w:val="28"/>
          <w:sz w:val="28"/>
          <w:szCs w:val="28"/>
          <w:rtl w:val="true"/>
          <w:lang w:bidi="ar-SA"/>
        </w:rPr>
        <w:t>الشيعةُ مِن جِهاتٍ عِدّةٍ ، و طُرُقٍ مُختَلِفةٍ ، المُتضمِّنةُ لأنّه</w:t>
      </w:r>
      <w:r>
        <w:rPr>
          <w:rStyle w:val="FootnoteAnchor"/>
          <w:rtl w:val="true"/>
        </w:rPr>
        <w:footnoteReference w:id="3524"/>
      </w:r>
      <w:r>
        <w:rPr>
          <w:rFonts w:ascii="Amiri" w:hAnsi="Amiri" w:eastAsia="Amiri" w:cs="Amiri"/>
          <w:color w:val="111111"/>
          <w:sz w:val="28"/>
          <w:sz w:val="28"/>
          <w:szCs w:val="28"/>
          <w:rtl w:val="true"/>
          <w:lang w:bidi="ar-SA"/>
        </w:rPr>
        <w:t>عليه السلامُ وَصّىٰ إلَى الحَسَنِ ابنِه</w:t>
      </w:r>
      <w:r>
        <w:rPr>
          <w:rStyle w:val="FootnoteAnchor"/>
          <w:rtl w:val="true"/>
        </w:rPr>
        <w:footnoteReference w:id="3525"/>
      </w:r>
      <w:r>
        <w:rPr>
          <w:rFonts w:ascii="Amiri" w:hAnsi="Amiri" w:eastAsia="Amiri" w:cs="Amiri"/>
          <w:color w:val="111111"/>
          <w:sz w:val="28"/>
          <w:sz w:val="28"/>
          <w:szCs w:val="28"/>
          <w:rtl w:val="true"/>
          <w:lang w:bidi="ar-SA"/>
        </w:rPr>
        <w:t>، و أشارَ إليه و استَخلَفَه، و أرشَدَ إلىٰ طاعتِه مِن بَعدِه؛ و هي أكثَرُ مِن أن نَعُدَّها و نورِدَها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الجارودِ عن أبي جعفرٍ عليه السلامُ أنّ أميرَ المؤمنينَ عليه السلامُ لمّا أن حَضَرَه الذي حَضَرَه</w:t>
      </w:r>
      <w:r>
        <w:rPr>
          <w:rStyle w:val="FootnoteAnchor"/>
          <w:rtl w:val="true"/>
        </w:rPr>
        <w:footnoteReference w:id="3526"/>
      </w:r>
      <w:r>
        <w:rPr>
          <w:rFonts w:ascii="Amiri" w:hAnsi="Amiri" w:eastAsia="Amiri" w:cs="Amiri"/>
          <w:color w:val="111111"/>
          <w:sz w:val="28"/>
          <w:sz w:val="28"/>
          <w:szCs w:val="28"/>
          <w:rtl w:val="true"/>
          <w:lang w:bidi="ar-SA"/>
        </w:rPr>
        <w:t xml:space="preserve">قالَ لابنِه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ادنُ </w:t>
      </w:r>
    </w:p>
    <w:p>
      <w:pPr>
        <w:pStyle w:val="BookText"/>
        <w:rPr/>
      </w:pPr>
      <w:r>
        <w:rPr>
          <w:rFonts w:ascii="Amiri" w:hAnsi="Amiri" w:eastAsia="Amiri" w:cs="Amiri"/>
          <w:color w:val="111111"/>
          <w:sz w:val="28"/>
          <w:sz w:val="28"/>
          <w:szCs w:val="28"/>
          <w:rtl w:val="true"/>
          <w:lang w:bidi="ar-SA"/>
        </w:rPr>
        <w:t>مِنّي حتّىٰ أُسِرَّ إليكَ ما أَسَرَّ إلَيَّ رسولُ اللّٰهِ صَلَّى اللّٰهُ عليه و آلِه، و أئتَمِنَكَ علىٰ ما ائتَمَنَني عليه</w:t>
      </w:r>
      <w:r>
        <w:rPr>
          <w:rFonts w:eastAsia="Amiri" w:cs="Amiri" w:ascii="Amiri" w:hAnsi="Amiri"/>
          <w:color w:val="111111"/>
          <w:sz w:val="28"/>
          <w:szCs w:val="28"/>
          <w:rtl w:val="true"/>
          <w:lang w:bidi="ar-SA"/>
        </w:rPr>
        <w:t>»</w:t>
      </w:r>
      <w:r>
        <w:rPr>
          <w:rStyle w:val="FootnoteAnchor"/>
          <w:rtl w:val="true"/>
        </w:rPr>
        <w:footnoteReference w:id="3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حمّادُ بنُ عيسىٰ‌، عن عَمرِو بنِ شَمِرٍ، عن جابرٍ، عن أبي جعفرٍ عليه السلامُ أنّه</w:t>
      </w:r>
      <w:r>
        <w:rPr>
          <w:rStyle w:val="FootnoteAnchor"/>
          <w:rtl w:val="true"/>
        </w:rPr>
        <w:footnoteReference w:id="35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أميرُ المؤمنينَ عليه السلامُ إلَى الحَسَنِ عليه السلامُ‌، و أشهَدَ علىٰ وصيّتِه الحُسَينَ و محمّداً عليهما السلامُ و جميعَ ولدِه و رؤساءَ شيعتِه و أهلَ بيتِه، ثُمّ دَفَعَ إليه الكُتُبَ و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يَتضمَّنُ الأمرَ بالوصيّةِ في واحدٍ بَعدَ واحدٍ إلىٰ أبي جعفرٍ مُحمّدِ بنِ عليِّ بنِ الحُسَينِ بنِ عليٍّ عليهم السلامُ‌</w:t>
      </w:r>
      <w:r>
        <w:rPr>
          <w:rStyle w:val="FootnoteAnchor"/>
          <w:rtl w:val="true"/>
        </w:rPr>
        <w:footnoteReference w:id="3529"/>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أخبارُ وصيّةِ أميرِ المؤمنينَ عليه السلامُ إلَى ابنِه الحَسَنِ عليه السلامُ و استخلافِه له ظاهرةٌ مشهورةٌ بَينَ الشيعةِ‌، و أقَلُّ أحوالِها و أخفَضُ مَراتِبِها أن تُعارِضَ‌</w:t>
      </w:r>
      <w:r>
        <w:rPr>
          <w:rStyle w:val="FootnoteAnchor"/>
          <w:rtl w:val="true"/>
        </w:rPr>
        <w:footnoteReference w:id="3530"/>
      </w:r>
      <w:r>
        <w:rPr>
          <w:rFonts w:ascii="Amiri" w:hAnsi="Amiri" w:eastAsia="Amiri" w:cs="Amiri"/>
          <w:color w:val="111111"/>
          <w:sz w:val="28"/>
          <w:sz w:val="28"/>
          <w:szCs w:val="28"/>
          <w:rtl w:val="true"/>
          <w:lang w:bidi="ar-SA"/>
        </w:rPr>
        <w:t>ما رَواه و يَخلُصَ ما استَدلَلنا به</w:t>
      </w:r>
      <w:r>
        <w:rPr>
          <w:rFonts w:eastAsia="Amiri" w:cs="Amiri" w:ascii="Amiri" w:hAnsi="Amiri"/>
          <w:color w:val="111111"/>
          <w:sz w:val="28"/>
          <w:szCs w:val="28"/>
          <w:rtl w:val="true"/>
          <w:lang w:bidi="ar-SA"/>
        </w:rPr>
        <w:t xml:space="preserve">. </w:t>
      </w:r>
      <w:bookmarkStart w:id="627" w:name="pg20017_202760"/>
    </w:p>
    <w:p>
      <w:pPr>
        <w:pStyle w:val="Heading6"/>
        <w:numPr>
          <w:ilvl w:val="5"/>
          <w:numId w:val="1"/>
        </w:numPr>
        <w:rPr/>
      </w:pPr>
      <w:bookmarkStart w:id="628" w:name="__RefHeading___Toc964441_2320776876"/>
      <w:bookmarkStart w:id="629" w:name="_Toc224"/>
      <w:bookmarkEnd w:id="627"/>
      <w:bookmarkEnd w:id="628"/>
      <w:r>
        <w:rPr>
          <w:rtl w:val="true"/>
        </w:rPr>
        <w:t>ثانياً</w:t>
      </w:r>
      <w:r>
        <w:rPr>
          <w:rtl w:val="true"/>
        </w:rPr>
        <w:t xml:space="preserve">: </w:t>
      </w:r>
      <w:r>
        <w:rPr>
          <w:rtl w:val="true"/>
        </w:rPr>
        <w:t>تفصيل الجواب عن أخبار استخلاف أبي بكر و عمر</w:t>
      </w:r>
      <w:bookmarkEnd w:id="629"/>
    </w:p>
    <w:p>
      <w:pPr>
        <w:pStyle w:val="Heading6"/>
        <w:numPr>
          <w:ilvl w:val="5"/>
          <w:numId w:val="1"/>
        </w:numPr>
        <w:rPr/>
      </w:pPr>
      <w:bookmarkStart w:id="630" w:name="__RefHeading___Toc964443_2320776876"/>
      <w:bookmarkStart w:id="631" w:name="_Toc225"/>
      <w:bookmarkEnd w:id="630"/>
      <w:r>
        <w:rPr>
          <w:rtl w:val="true"/>
        </w:rPr>
        <w:t>اشارة</w:t>
      </w:r>
      <w:bookmarkEnd w:id="631"/>
    </w:p>
    <w:p>
      <w:pPr>
        <w:pStyle w:val="BookText"/>
        <w:rPr/>
      </w:pPr>
      <w:r>
        <w:rPr>
          <w:rFonts w:ascii="Amiri" w:hAnsi="Amiri" w:eastAsia="Amiri" w:cs="Amiri"/>
          <w:color w:val="111111"/>
          <w:sz w:val="28"/>
          <w:sz w:val="28"/>
          <w:szCs w:val="28"/>
          <w:rtl w:val="true"/>
          <w:lang w:bidi="ar-SA"/>
        </w:rPr>
        <w:t>فأمّا ما حَكاه مِن مُعارَضةِ أبي عليٍّ لنا</w:t>
      </w:r>
      <w:r>
        <w:rPr>
          <w:rStyle w:val="FootnoteAnchor"/>
          <w:rtl w:val="true"/>
        </w:rPr>
        <w:footnoteReference w:id="3531"/>
      </w:r>
      <w:r>
        <w:rPr>
          <w:rFonts w:ascii="Amiri" w:hAnsi="Amiri" w:eastAsia="Amiri" w:cs="Amiri"/>
          <w:color w:val="111111"/>
          <w:sz w:val="28"/>
          <w:sz w:val="28"/>
          <w:szCs w:val="28"/>
          <w:rtl w:val="true"/>
          <w:lang w:bidi="ar-SA"/>
        </w:rPr>
        <w:t>بما يُروىٰ مِن الأخبارِ في استخلافِ أبي بَكرٍ</w:t>
      </w:r>
      <w:r>
        <w:rPr>
          <w:rStyle w:val="FootnoteAnchor"/>
          <w:rtl w:val="true"/>
        </w:rPr>
        <w:footnoteReference w:id="3532"/>
      </w:r>
      <w:r>
        <w:rPr>
          <w:rFonts w:ascii="Amiri" w:hAnsi="Amiri" w:eastAsia="Amiri" w:cs="Amiri"/>
          <w:color w:val="111111"/>
          <w:sz w:val="28"/>
          <w:sz w:val="28"/>
          <w:szCs w:val="28"/>
          <w:rtl w:val="true"/>
          <w:lang w:bidi="ar-SA"/>
        </w:rPr>
        <w:t>، و ذِكرِه مِن ذلكَ شَيئاً بَعدَ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مِن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إفسادِ النصِّ علىٰ أبي بَكرٍ و استخلافِ الرسولِ صَلَّى اللّٰهُ عليه و آلِه لَه</w:t>
      </w:r>
      <w:r>
        <w:rPr>
          <w:rStyle w:val="FootnoteAnchor"/>
          <w:rtl w:val="true"/>
        </w:rPr>
        <w:footnoteReference w:id="3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يُبطِلُ كُلَّ شَيءٍ يُدَّعىٰ في هذا البابِ علىٰ سَبيلِ الجُملةِ و التفصيلِ‌</w:t>
      </w:r>
      <w:r>
        <w:rPr>
          <w:rStyle w:val="FootnoteAnchor"/>
          <w:rtl w:val="true"/>
        </w:rPr>
        <w:footnoteReference w:id="3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قد بيّنّا أنّه لَو كانَ هُناكَ نَصٌّ عليه</w:t>
      </w:r>
      <w:r>
        <w:rPr>
          <w:rStyle w:val="FootnoteAnchor"/>
          <w:rtl w:val="true"/>
        </w:rPr>
        <w:footnoteReference w:id="3535"/>
      </w:r>
      <w:r>
        <w:rPr>
          <w:rFonts w:ascii="Amiri" w:hAnsi="Amiri" w:eastAsia="Amiri" w:cs="Amiri"/>
          <w:color w:val="111111"/>
          <w:sz w:val="28"/>
          <w:sz w:val="28"/>
          <w:szCs w:val="28"/>
          <w:rtl w:val="true"/>
          <w:lang w:bidi="ar-SA"/>
        </w:rPr>
        <w:t>لَوَجَبَ أن يَحتَجَّ به علَى الأنصارِ في السقيفةِ عندَ نِزاعِهم له في الأمرِ، و لا يَعدِلَ عن الاحتجاجِ بذلكَ إلىٰ روايتِه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شَرَحنا ذلكَ و أوضَحناه و أزَلنا كُلَّ شُبهةٍ تَعرِضُ </w:t>
      </w:r>
      <w:r>
        <w:rPr>
          <w:rStyle w:val="FootnoteAnchor"/>
          <w:rtl w:val="true"/>
        </w:rPr>
        <w:footnoteReference w:id="3536"/>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لَو كانَ أيضاً منصوصاً عليه، لَم يَجُز أن يُشيرَ إلىٰ أبي عُبَيدةَ و عُمَرَ في يَومِ السَّقيفةِ ، 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بايِعوا أيَّ الرجُلَين شئتم</w:t>
      </w:r>
      <w:r>
        <w:rPr>
          <w:rFonts w:eastAsia="Amiri" w:cs="Amiri" w:ascii="Amiri" w:hAnsi="Amiri"/>
          <w:color w:val="111111"/>
          <w:sz w:val="28"/>
          <w:szCs w:val="28"/>
          <w:rtl w:val="true"/>
          <w:lang w:bidi="ar-SA"/>
        </w:rPr>
        <w:t>»</w:t>
      </w:r>
      <w:r>
        <w:rPr>
          <w:rStyle w:val="FootnoteAnchor"/>
          <w:rtl w:val="true"/>
        </w:rPr>
        <w:footnoteReference w:id="3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 يَستَقيلَ المُسلِمينَ </w:t>
      </w:r>
      <w:r>
        <w:rPr>
          <w:rStyle w:val="FootnoteAnchor"/>
          <w:rtl w:val="true"/>
        </w:rPr>
        <w:footnoteReference w:id="3538"/>
      </w:r>
      <w:r>
        <w:rPr>
          <w:rFonts w:ascii="Amiri" w:hAnsi="Amiri" w:eastAsia="Amiri" w:cs="Amiri"/>
          <w:color w:val="111111"/>
          <w:sz w:val="28"/>
          <w:sz w:val="28"/>
          <w:szCs w:val="28"/>
          <w:rtl w:val="true"/>
          <w:lang w:bidi="ar-SA"/>
        </w:rPr>
        <w:t>، الذين لَم تَثبُتْ إمامتُه بعَقدِهم و لا</w:t>
      </w:r>
      <w:r>
        <w:rPr>
          <w:rStyle w:val="FootnoteAnchor"/>
          <w:rtl w:val="true"/>
        </w:rPr>
        <w:footnoteReference w:id="3539"/>
      </w:r>
      <w:r>
        <w:rPr>
          <w:rFonts w:ascii="Amiri" w:hAnsi="Amiri" w:eastAsia="Amiri" w:cs="Amiri"/>
          <w:color w:val="111111"/>
          <w:sz w:val="28"/>
          <w:sz w:val="28"/>
          <w:szCs w:val="28"/>
          <w:rtl w:val="true"/>
          <w:lang w:bidi="ar-SA"/>
        </w:rPr>
        <w:t>مِن جِهتِهم</w:t>
      </w:r>
      <w:r>
        <w:rPr>
          <w:rFonts w:eastAsia="Amiri" w:cs="Amiri" w:ascii="Amiri" w:hAnsi="Amiri"/>
          <w:color w:val="111111"/>
          <w:sz w:val="28"/>
          <w:szCs w:val="28"/>
          <w:rtl w:val="true"/>
          <w:lang w:bidi="ar-SA"/>
        </w:rPr>
        <w:t xml:space="preserve">. </w:t>
      </w:r>
      <w:bookmarkStart w:id="632" w:name="pg20017_202761"/>
    </w:p>
    <w:p>
      <w:pPr>
        <w:pStyle w:val="BookText"/>
        <w:rPr/>
      </w:pPr>
      <w:bookmarkEnd w:id="632"/>
      <w:r>
        <w:rPr>
          <w:rFonts w:ascii="Amiri" w:hAnsi="Amiri" w:eastAsia="Amiri" w:cs="Amiri"/>
          <w:color w:val="111111"/>
          <w:sz w:val="28"/>
          <w:sz w:val="28"/>
          <w:szCs w:val="28"/>
          <w:rtl w:val="true"/>
          <w:lang w:bidi="ar-SA"/>
        </w:rPr>
        <w:t xml:space="preserve">و لا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أنّي كُنتُ سَألتُ رسولَ اللّٰهِ عن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هو؟ فكُنّا لا نُنازِعُه أهلَه</w:t>
      </w:r>
      <w:r>
        <w:rPr>
          <w:rFonts w:eastAsia="Amiri" w:cs="Amiri" w:ascii="Amiri" w:hAnsi="Amiri"/>
          <w:color w:val="111111"/>
          <w:sz w:val="28"/>
          <w:szCs w:val="28"/>
          <w:rtl w:val="true"/>
          <w:lang w:bidi="ar-SA"/>
        </w:rPr>
        <w:t>»</w:t>
      </w:r>
      <w:r>
        <w:rPr>
          <w:rStyle w:val="FootnoteAnchor"/>
          <w:rtl w:val="true"/>
        </w:rPr>
        <w:footnoteReference w:id="3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جازَ أن يَقولَ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بَيعةُ أبي بَكرٍ فَلتةً </w:t>
      </w:r>
      <w:r>
        <w:rPr>
          <w:rFonts w:eastAsia="Amiri" w:cs="Amiri" w:ascii="Amiri" w:hAnsi="Amiri"/>
          <w:color w:val="111111"/>
          <w:sz w:val="28"/>
          <w:szCs w:val="28"/>
          <w:rtl w:val="true"/>
          <w:lang w:bidi="ar-SA"/>
        </w:rPr>
        <w:t>»</w:t>
      </w:r>
      <w:r>
        <w:rPr>
          <w:rStyle w:val="FootnoteAnchor"/>
          <w:rtl w:val="true"/>
        </w:rPr>
        <w:footnoteReference w:id="3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أَستَخلِفْ فقَد استَخلَفَ مَن هو خَيرٌ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إنْ أَترُكْ فقَد تَرَكَ مَن 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رسولَ اللّٰهِ صَلَّى اللّٰهُ عليه و آلِه</w:t>
      </w:r>
      <w:r>
        <w:rPr>
          <w:rStyle w:val="FootnoteAnchor"/>
          <w:rtl w:val="true"/>
        </w:rPr>
        <w:footnoteReference w:id="3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شَرَحنا هذه الوجوهَ أتَمَّ شَرحٍ ، و ذَكرنا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يُبطِلُ المُعارَضةَ بالنصِّ علىٰ أبي بَكرٍ</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964445_2320776876"/>
      <w:bookmarkStart w:id="634" w:name="_Toc226"/>
      <w:bookmarkEnd w:id="633"/>
      <w:r>
        <w:rPr>
          <w:rtl w:val="true"/>
        </w:rPr>
        <w:t>مناقشة خبر استخلاف الرسول صلى الله عليه و آله لعمر بعد أبي بكر</w:t>
      </w:r>
      <w:bookmarkEnd w:id="634"/>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يُفسِدُ</w:t>
      </w:r>
      <w:r>
        <w:rPr>
          <w:rStyle w:val="FootnoteAnchor"/>
          <w:rtl w:val="true"/>
        </w:rPr>
        <w:footnoteReference w:id="3543"/>
      </w:r>
      <w:r>
        <w:rPr>
          <w:rFonts w:ascii="Amiri" w:hAnsi="Amiri" w:eastAsia="Amiri" w:cs="Amiri"/>
          <w:color w:val="111111"/>
          <w:sz w:val="28"/>
          <w:sz w:val="28"/>
          <w:szCs w:val="28"/>
          <w:rtl w:val="true"/>
          <w:lang w:bidi="ar-SA"/>
        </w:rPr>
        <w:t>كُلَّ خبرٍ رَواه مُتضمِّناً للإشارةِ إلَى استخلافِ الرسولِ صَلَّى اللّٰهُ عليه و آلِه</w:t>
      </w:r>
      <w:r>
        <w:rPr>
          <w:rStyle w:val="FootnoteAnchor"/>
          <w:rtl w:val="true"/>
        </w:rPr>
        <w:footnoteReference w:id="3544"/>
      </w:r>
      <w:r>
        <w:rPr>
          <w:rFonts w:ascii="Amiri" w:hAnsi="Amiri" w:eastAsia="Amiri" w:cs="Amiri"/>
          <w:color w:val="111111"/>
          <w:sz w:val="28"/>
          <w:sz w:val="28"/>
          <w:szCs w:val="28"/>
          <w:rtl w:val="true"/>
          <w:lang w:bidi="ar-SA"/>
        </w:rPr>
        <w:t>لعُمَرَ مُضافاً إلَى استخلافِ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الاستخلافَ لَو كانَ حَقّاً، لَكانَ </w:t>
      </w:r>
      <w:r>
        <w:rPr>
          <w:rStyle w:val="FootnoteAnchor"/>
          <w:rtl w:val="true"/>
        </w:rPr>
        <w:footnoteReference w:id="3545"/>
      </w:r>
      <w:r>
        <w:rPr>
          <w:rFonts w:ascii="Amiri" w:hAnsi="Amiri" w:eastAsia="Amiri" w:cs="Amiri"/>
          <w:color w:val="111111"/>
          <w:sz w:val="28"/>
          <w:sz w:val="28"/>
          <w:szCs w:val="28"/>
          <w:rtl w:val="true"/>
          <w:lang w:bidi="ar-SA"/>
        </w:rPr>
        <w:t xml:space="preserve">أبو بَكرٍ به أَعرَفَ و له أَذكَرَ، فقَد كانَ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أنكَرَ طَلحةُ عليه نَصَّه علىٰ </w:t>
      </w:r>
      <w:bookmarkStart w:id="635" w:name="pg20017_202762"/>
    </w:p>
    <w:p>
      <w:pPr>
        <w:pStyle w:val="BookText"/>
        <w:rPr/>
      </w:pPr>
      <w:bookmarkEnd w:id="635"/>
      <w:r>
        <w:rPr>
          <w:rFonts w:ascii="Amiri" w:hAnsi="Amiri" w:eastAsia="Amiri" w:cs="Amiri"/>
          <w:color w:val="111111"/>
          <w:sz w:val="28"/>
          <w:sz w:val="28"/>
          <w:szCs w:val="28"/>
          <w:rtl w:val="true"/>
          <w:lang w:bidi="ar-SA"/>
        </w:rPr>
        <w:t>عُمَرَ، و إشارتَه إليه بالإمامةِ‌، حتّىٰ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لرَبِّكَ إذا سُئلتَ‌، و قد وَلَّيتَ علينا فَظّاً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وَلَّيتُ عليهم خَيرَ أهلِكَ‌</w:t>
      </w:r>
      <w:r>
        <w:rPr>
          <w:rFonts w:eastAsia="Amiri" w:cs="Amiri" w:ascii="Amiri" w:hAnsi="Amiri"/>
          <w:color w:val="111111"/>
          <w:sz w:val="28"/>
          <w:szCs w:val="28"/>
          <w:rtl w:val="true"/>
          <w:lang w:bidi="ar-SA"/>
        </w:rPr>
        <w:t>»</w:t>
      </w:r>
      <w:r>
        <w:rPr>
          <w:rStyle w:val="FootnoteAnchor"/>
          <w:rtl w:val="true"/>
        </w:rPr>
        <w:footnoteReference w:id="3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بَدَلاً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عليهم مَن نَصَّ عليه الرسولُ و استَخلَفَه، و اختارَه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بَشِّروه بالجَنّةِ و الخِلافةِ </w:t>
      </w:r>
      <w:r>
        <w:rPr>
          <w:rStyle w:val="FootnoteAnchor"/>
          <w:rtl w:val="true"/>
        </w:rPr>
        <w:footnoteReference w:id="3547"/>
      </w:r>
      <w:r>
        <w:rPr>
          <w:rFonts w:ascii="Amiri" w:hAnsi="Amiri" w:eastAsia="Amiri" w:cs="Amiri"/>
          <w:color w:val="111111"/>
          <w:sz w:val="28"/>
          <w:sz w:val="28"/>
          <w:szCs w:val="28"/>
          <w:rtl w:val="true"/>
          <w:lang w:bidi="ar-SA"/>
        </w:rPr>
        <w:t>، و قالَ فيه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رُويَ و ادُّعيَ أنّه نَصٌّ بالخِلافةِ و إشارةٌ إلَى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يَكُن ذلكَ عَلِمنا أنّه لا أصلَ لِما يُدَّعىٰ في هذا البابِ </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964447_2320776876"/>
      <w:bookmarkStart w:id="637" w:name="_Toc227"/>
      <w:bookmarkEnd w:id="636"/>
      <w:r>
        <w:rPr>
          <w:rtl w:val="true"/>
        </w:rPr>
        <w:t>مناقشة خبر تبشير أبي بكر و عمر بالجنّة و الخلافة</w:t>
      </w:r>
      <w:bookmarkEnd w:id="637"/>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الخبرَ الذي يَتضمَّنُ‌</w:t>
      </w:r>
      <w:r>
        <w:rPr>
          <w:rStyle w:val="FootnoteAnchor"/>
          <w:rtl w:val="true"/>
        </w:rPr>
        <w:footnoteReference w:id="3548"/>
      </w:r>
      <w:r>
        <w:rPr>
          <w:rFonts w:ascii="Amiri" w:hAnsi="Amiri" w:eastAsia="Amiri" w:cs="Amiri"/>
          <w:color w:val="111111"/>
          <w:sz w:val="28"/>
          <w:sz w:val="28"/>
          <w:szCs w:val="28"/>
          <w:rtl w:val="true"/>
          <w:lang w:bidi="ar-SA"/>
        </w:rPr>
        <w:t xml:space="preserve">البِشارةَ بالجَنّةِ و الخِلافةِ‌، يَرويه أنَسُ بنُ مالكٍ‌، و مَذهبُ أنَسٍ </w:t>
      </w:r>
      <w:r>
        <w:rPr>
          <w:rStyle w:val="FootnoteAnchor"/>
          <w:rtl w:val="true"/>
        </w:rPr>
        <w:footnoteReference w:id="3549"/>
      </w:r>
      <w:r>
        <w:rPr>
          <w:rFonts w:ascii="Amiri" w:hAnsi="Amiri" w:eastAsia="Amiri" w:cs="Amiri"/>
          <w:color w:val="111111"/>
          <w:sz w:val="28"/>
          <w:sz w:val="28"/>
          <w:szCs w:val="28"/>
          <w:rtl w:val="true"/>
          <w:lang w:bidi="ar-SA"/>
        </w:rPr>
        <w:t>في الإعراضِ عن أميرِ المؤمنينَ عليه السلامُ و الانحرافِ عن جِهتِه معروفٌ ، و هو الذي كَتَمَ فَضيلتَه</w:t>
      </w:r>
      <w:r>
        <w:rPr>
          <w:rStyle w:val="FootnoteAnchor"/>
          <w:rtl w:val="true"/>
        </w:rPr>
        <w:footnoteReference w:id="3550"/>
      </w:r>
      <w:r>
        <w:rPr>
          <w:rFonts w:ascii="Amiri" w:hAnsi="Amiri" w:eastAsia="Amiri" w:cs="Amiri"/>
          <w:color w:val="111111"/>
          <w:sz w:val="28"/>
          <w:sz w:val="28"/>
          <w:szCs w:val="28"/>
          <w:rtl w:val="true"/>
          <w:lang w:bidi="ar-SA"/>
        </w:rPr>
        <w:t xml:space="preserve">، و رَدَّه في يَومِ الطائرِ عن الدخولِ إلَى </w:t>
      </w:r>
      <w:bookmarkStart w:id="638" w:name="pg20017_202763"/>
    </w:p>
    <w:p>
      <w:pPr>
        <w:pStyle w:val="BookText"/>
        <w:rPr/>
      </w:pPr>
      <w:bookmarkEnd w:id="638"/>
      <w:r>
        <w:rPr>
          <w:rFonts w:ascii="Amiri" w:hAnsi="Amiri" w:eastAsia="Amiri" w:cs="Amiri"/>
          <w:color w:val="111111"/>
          <w:sz w:val="28"/>
          <w:sz w:val="28"/>
          <w:szCs w:val="28"/>
          <w:rtl w:val="true"/>
          <w:lang w:bidi="ar-SA"/>
        </w:rPr>
        <w:t xml:space="preserve">النبيِّ صَلَّى اللّٰهُ عليه و آلِه، و القِصّةُ في ذلكَ مشهورةٌ </w:t>
      </w:r>
      <w:r>
        <w:rPr>
          <w:rStyle w:val="FootnoteAnchor"/>
          <w:rtl w:val="true"/>
        </w:rPr>
        <w:footnoteReference w:id="3551"/>
      </w:r>
      <w:r>
        <w:rPr>
          <w:rFonts w:ascii="Amiri" w:hAnsi="Amiri" w:eastAsia="Amiri" w:cs="Amiri"/>
          <w:color w:val="111111"/>
          <w:sz w:val="28"/>
          <w:sz w:val="28"/>
          <w:szCs w:val="28"/>
          <w:rtl w:val="true"/>
          <w:lang w:bidi="ar-SA"/>
        </w:rPr>
        <w:t>و بِدونِ هذا يُتَّهَمُ روايتُه، و يَسقُطُ عَدالتُه</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964449_2320776876"/>
      <w:bookmarkStart w:id="640" w:name="_Toc228"/>
      <w:bookmarkEnd w:id="639"/>
      <w:r>
        <w:rPr>
          <w:rtl w:val="true"/>
        </w:rPr>
        <w:t>مناقشة أخبار إرجاع الرسول صلى الله عليه و آله إلىٰ أبي بكر</w:t>
      </w:r>
      <w:bookmarkEnd w:id="640"/>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الخبرُ الذي رَواه عن جُبَيرِ 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التي أتَت رسولَ اللّٰهِ صَلَّى اللّٰهُ عليه و آلِه، فأمَرَها أن تَرجِعَ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رَجَعتُ فلَم أَجِدْكَ؟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تَجِديني فأْتي أبا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قد دَسَّ فيه</w:t>
      </w:r>
      <w:r>
        <w:rPr>
          <w:rStyle w:val="FootnoteAnchor"/>
          <w:rtl w:val="true"/>
        </w:rPr>
        <w:footnoteReference w:id="3552"/>
      </w:r>
      <w:r>
        <w:rPr>
          <w:rFonts w:ascii="Amiri" w:hAnsi="Amiri" w:eastAsia="Amiri" w:cs="Amiri"/>
          <w:color w:val="111111"/>
          <w:sz w:val="28"/>
          <w:sz w:val="28"/>
          <w:szCs w:val="28"/>
          <w:rtl w:val="true"/>
          <w:lang w:bidi="ar-SA"/>
        </w:rPr>
        <w:t>مِن عندِ نفسِه شَيئاً لَو لَم يَزِدْه</w:t>
      </w:r>
      <w:r>
        <w:rPr>
          <w:rStyle w:val="FootnoteAnchor"/>
          <w:rtl w:val="true"/>
        </w:rPr>
        <w:footnoteReference w:id="3553"/>
      </w:r>
      <w:r>
        <w:rPr>
          <w:rFonts w:ascii="Amiri" w:hAnsi="Amiri" w:eastAsia="Amiri" w:cs="Amiri"/>
          <w:color w:val="111111"/>
          <w:sz w:val="28"/>
          <w:sz w:val="28"/>
          <w:szCs w:val="28"/>
          <w:rtl w:val="true"/>
          <w:lang w:bidi="ar-SA"/>
        </w:rPr>
        <w:t>لَم يَكُن في ظاهرِه دَلالةٌ‌؛ لأنّه فَسَّرَ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معلومٍ مِن الخبرِ و لا مُستَفادٍ مِن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يَجوزُ أن يَكونَ صَلَّى اللّٰهُ عليه و آلِه أمَرَها بأنّها متىٰ‌</w:t>
      </w:r>
      <w:r>
        <w:rPr>
          <w:rStyle w:val="FootnoteAnchor"/>
          <w:rtl w:val="true"/>
        </w:rPr>
        <w:footnoteReference w:id="3554"/>
      </w:r>
      <w:r>
        <w:rPr>
          <w:rFonts w:ascii="Amiri" w:hAnsi="Amiri" w:eastAsia="Amiri" w:cs="Amiri"/>
          <w:color w:val="111111"/>
          <w:sz w:val="28"/>
          <w:sz w:val="28"/>
          <w:szCs w:val="28"/>
          <w:rtl w:val="true"/>
          <w:lang w:bidi="ar-SA"/>
        </w:rPr>
        <w:t>لَم تَجِدْه في المَوضِعِ‌</w:t>
      </w:r>
      <w:r>
        <w:rPr>
          <w:rStyle w:val="FootnoteAnchor"/>
          <w:rtl w:val="true"/>
        </w:rPr>
        <w:footnoteReference w:id="3555"/>
      </w:r>
      <w:r>
        <w:rPr>
          <w:rFonts w:ascii="Amiri" w:hAnsi="Amiri" w:eastAsia="Amiri" w:cs="Amiri"/>
          <w:color w:val="111111"/>
          <w:sz w:val="28"/>
          <w:sz w:val="28"/>
          <w:szCs w:val="28"/>
          <w:rtl w:val="true"/>
          <w:lang w:bidi="ar-SA"/>
        </w:rPr>
        <w:t>الذي كانَ فيه أن تَلقىٰ أبا بَكرٍ لتُصيبَ منه حاجتَها، أو</w:t>
      </w:r>
      <w:r>
        <w:rPr>
          <w:rStyle w:val="FootnoteAnchor"/>
          <w:rtl w:val="true"/>
        </w:rPr>
        <w:footnoteReference w:id="3556"/>
      </w:r>
      <w:r>
        <w:rPr>
          <w:rFonts w:ascii="Amiri" w:hAnsi="Amiri" w:eastAsia="Amiri" w:cs="Amiri"/>
          <w:color w:val="111111"/>
          <w:sz w:val="28"/>
          <w:sz w:val="28"/>
          <w:szCs w:val="28"/>
          <w:rtl w:val="true"/>
          <w:lang w:bidi="ar-SA"/>
        </w:rPr>
        <w:t>لأنّه كانَ تَقدَّمَ‌</w:t>
      </w:r>
      <w:r>
        <w:rPr>
          <w:rStyle w:val="FootnoteAnchor"/>
          <w:rtl w:val="true"/>
        </w:rPr>
        <w:footnoteReference w:id="3557"/>
      </w:r>
      <w:r>
        <w:rPr>
          <w:rFonts w:ascii="Amiri" w:hAnsi="Amiri" w:eastAsia="Amiri" w:cs="Amiri"/>
          <w:color w:val="111111"/>
          <w:sz w:val="28"/>
          <w:sz w:val="28"/>
          <w:szCs w:val="28"/>
          <w:rtl w:val="true"/>
          <w:lang w:bidi="ar-SA"/>
        </w:rPr>
        <w:t xml:space="preserve">إليه في معناها بما تَحتاجُ </w:t>
      </w:r>
      <w:r>
        <w:rPr>
          <w:rStyle w:val="FootnoteAnchor"/>
          <w:rtl w:val="true"/>
        </w:rPr>
        <w:footnoteReference w:id="3558"/>
      </w:r>
      <w:r>
        <w:rPr>
          <w:rFonts w:ascii="Amiri" w:hAnsi="Amiri" w:eastAsia="Amiri" w:cs="Amiri"/>
          <w:color w:val="111111"/>
          <w:sz w:val="28"/>
          <w:sz w:val="28"/>
          <w:szCs w:val="28"/>
          <w:rtl w:val="true"/>
          <w:lang w:bidi="ar-SA"/>
        </w:rPr>
        <w:t xml:space="preserve">إليه، و يَكونُ ذلكَ في حالِ الحياةِ لا حالِ المَوتِ ؛ فمِن أينَ يَدَّعي الاستخلافَ بَعدَ الوفاةِ؟ </w:t>
      </w:r>
    </w:p>
    <w:p>
      <w:pPr>
        <w:pStyle w:val="BookText"/>
        <w:rPr/>
      </w:pPr>
      <w:r>
        <w:rPr>
          <w:rFonts w:ascii="Amiri" w:hAnsi="Amiri" w:eastAsia="Amiri" w:cs="Amiri"/>
          <w:color w:val="111111"/>
          <w:sz w:val="28"/>
          <w:sz w:val="28"/>
          <w:szCs w:val="28"/>
          <w:rtl w:val="true"/>
          <w:lang w:bidi="ar-SA"/>
        </w:rPr>
        <w:t>و الخبرُ الذي يَلي هذا الخبرَ يَجري في خُلوِّ ظاهرِه مِن شُبهةٍ في الاستخلافِ‌</w:t>
      </w:r>
      <w:r>
        <w:rPr>
          <w:rStyle w:val="FootnoteAnchor"/>
          <w:rtl w:val="true"/>
        </w:rPr>
        <w:footnoteReference w:id="3559"/>
      </w:r>
      <w:r>
        <w:rPr>
          <w:rFonts w:ascii="Amiri" w:hAnsi="Amiri" w:eastAsia="Amiri" w:cs="Amiri"/>
          <w:color w:val="111111"/>
          <w:sz w:val="28"/>
          <w:sz w:val="28"/>
          <w:szCs w:val="28"/>
          <w:rtl w:val="true"/>
          <w:lang w:bidi="ar-SA"/>
        </w:rPr>
        <w:t>مَجرَى الأوّلِ‌؛ لأنّ قولَه للّذي كانَ يُعطيهِ التمرَ في كُلِّ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بَكرٍ يُعطيكَه</w:t>
      </w:r>
      <w:r>
        <w:rPr>
          <w:rStyle w:val="FootnoteAnchor"/>
          <w:rtl w:val="true"/>
        </w:rPr>
        <w:footnoteReference w:id="3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استخلافِه له</w:t>
      </w:r>
      <w:r>
        <w:rPr>
          <w:rStyle w:val="FootnoteAnchor"/>
          <w:rtl w:val="true"/>
        </w:rPr>
        <w:footnoteReference w:id="3561"/>
      </w:r>
      <w:r>
        <w:rPr>
          <w:rFonts w:ascii="Amiri" w:hAnsi="Amiri" w:eastAsia="Amiri" w:cs="Amiri"/>
          <w:color w:val="111111"/>
          <w:sz w:val="28"/>
          <w:sz w:val="28"/>
          <w:szCs w:val="28"/>
          <w:rtl w:val="true"/>
          <w:lang w:bidi="ar-SA"/>
        </w:rPr>
        <w:t>و إنّما يَدُلُّ علىٰ وقوعِ العَطيّةِ كَما خَبَّرَ، فأمّا أن تَكونَ‌</w:t>
      </w:r>
      <w:r>
        <w:rPr>
          <w:rStyle w:val="FootnoteAnchor"/>
          <w:rtl w:val="true"/>
        </w:rPr>
        <w:footnoteReference w:id="3562"/>
      </w:r>
      <w:r>
        <w:rPr>
          <w:rFonts w:ascii="Amiri" w:hAnsi="Amiri" w:eastAsia="Amiri" w:cs="Amiri"/>
          <w:color w:val="111111"/>
          <w:sz w:val="28"/>
          <w:sz w:val="28"/>
          <w:szCs w:val="28"/>
          <w:rtl w:val="true"/>
          <w:lang w:bidi="ar-SA"/>
        </w:rPr>
        <w:t>العَطيّةُ صَدَرَت عن وِلايةٍ مُستَحَقّةٍ أو إمامةٍ منصوصٍ‌</w:t>
      </w:r>
      <w:r>
        <w:rPr>
          <w:rStyle w:val="FootnoteAnchor"/>
          <w:rtl w:val="true"/>
        </w:rPr>
        <w:footnoteReference w:id="3563"/>
      </w:r>
      <w:r>
        <w:rPr>
          <w:rFonts w:ascii="Amiri" w:hAnsi="Amiri" w:eastAsia="Amiri" w:cs="Amiri"/>
          <w:color w:val="111111"/>
          <w:sz w:val="28"/>
          <w:sz w:val="28"/>
          <w:szCs w:val="28"/>
          <w:rtl w:val="true"/>
          <w:lang w:bidi="ar-SA"/>
        </w:rPr>
        <w:t>عليها</w:t>
      </w:r>
      <w:r>
        <w:rPr>
          <w:rStyle w:val="FootnoteAnchor"/>
          <w:rtl w:val="true"/>
        </w:rPr>
        <w:footnoteReference w:id="3564"/>
      </w:r>
      <w:r>
        <w:rPr>
          <w:rFonts w:ascii="Amiri" w:hAnsi="Amiri" w:eastAsia="Amiri" w:cs="Amiri"/>
          <w:color w:val="111111"/>
          <w:sz w:val="28"/>
          <w:sz w:val="28"/>
          <w:szCs w:val="28"/>
          <w:rtl w:val="true"/>
          <w:lang w:bidi="ar-SA"/>
        </w:rPr>
        <w:t>فلَيسَ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w:t>
      </w:r>
      <w:r>
        <w:rPr>
          <w:rStyle w:val="FootnoteAnchor"/>
          <w:rtl w:val="true"/>
        </w:rPr>
        <w:footnoteReference w:id="3565"/>
      </w:r>
      <w:r>
        <w:rPr>
          <w:rFonts w:ascii="Amiri" w:hAnsi="Amiri" w:eastAsia="Amiri" w:cs="Amiri"/>
          <w:color w:val="111111"/>
          <w:sz w:val="28"/>
          <w:sz w:val="28"/>
          <w:szCs w:val="28"/>
          <w:rtl w:val="true"/>
          <w:lang w:bidi="ar-SA"/>
        </w:rPr>
        <w:t>يَدُلُّ هذا الخبرُ علىٰ أكثَرَ مِن الإخبارِ بغَيبٍ‌</w:t>
      </w:r>
      <w:r>
        <w:rPr>
          <w:rStyle w:val="FootnoteAnchor"/>
          <w:rtl w:val="true"/>
        </w:rPr>
        <w:footnoteReference w:id="3566"/>
      </w:r>
      <w:r>
        <w:rPr>
          <w:rFonts w:ascii="Amiri" w:hAnsi="Amiri" w:eastAsia="Amiri" w:cs="Amiri"/>
          <w:color w:val="111111"/>
          <w:sz w:val="28"/>
          <w:sz w:val="28"/>
          <w:szCs w:val="28"/>
          <w:rtl w:val="true"/>
          <w:lang w:bidi="ar-SA"/>
        </w:rPr>
        <w:t>لا بُدَّ أن يَقَعَ‌؛ و قد خَبَّرَ النبيُّ صَلَّى اللّٰهُ عليه و آلِه عن حَوادِثَ كَثيرةٍ مُستَقبَلةٍ‌، علىٰ وجوهٍ‌</w:t>
      </w:r>
      <w:r>
        <w:rPr>
          <w:rStyle w:val="FootnoteAnchor"/>
          <w:rtl w:val="true"/>
        </w:rPr>
        <w:footnoteReference w:id="3567"/>
      </w:r>
      <w:r>
        <w:rPr>
          <w:rFonts w:ascii="Amiri" w:hAnsi="Amiri" w:eastAsia="Amiri" w:cs="Amiri"/>
          <w:color w:val="111111"/>
          <w:sz w:val="28"/>
          <w:sz w:val="28"/>
          <w:szCs w:val="28"/>
          <w:rtl w:val="true"/>
          <w:lang w:bidi="ar-SA"/>
        </w:rPr>
        <w:t>لا تَدُلُّ‌</w:t>
      </w:r>
      <w:r>
        <w:rPr>
          <w:rStyle w:val="FootnoteAnchor"/>
          <w:rtl w:val="true"/>
        </w:rPr>
        <w:footnoteReference w:id="3568"/>
      </w:r>
      <w:r>
        <w:rPr>
          <w:rFonts w:ascii="Amiri" w:hAnsi="Amiri" w:eastAsia="Amiri" w:cs="Amiri"/>
          <w:color w:val="111111"/>
          <w:sz w:val="28"/>
          <w:sz w:val="28"/>
          <w:szCs w:val="28"/>
          <w:rtl w:val="true"/>
          <w:lang w:bidi="ar-SA"/>
        </w:rPr>
        <w:t>علىٰ أنّ الذي خَبَّرَ عن وقوعِه ممّا لِفاعلِه أن يَفعَلَه، أو أنّ ما خَبَّرَ عن كَونِه</w:t>
      </w:r>
      <w:r>
        <w:rPr>
          <w:rStyle w:val="FootnoteAnchor"/>
          <w:rtl w:val="true"/>
        </w:rPr>
        <w:footnoteReference w:id="3569"/>
      </w:r>
      <w:r>
        <w:rPr>
          <w:rFonts w:ascii="Amiri" w:hAnsi="Amiri" w:eastAsia="Amiri" w:cs="Amiri"/>
          <w:color w:val="111111"/>
          <w:sz w:val="28"/>
          <w:sz w:val="28"/>
          <w:szCs w:val="28"/>
          <w:rtl w:val="true"/>
          <w:lang w:bidi="ar-SA"/>
        </w:rPr>
        <w:t>حَسَنٌ‌</w:t>
      </w:r>
      <w:r>
        <w:rPr>
          <w:rStyle w:val="FootnoteAnchor"/>
          <w:rtl w:val="true"/>
        </w:rPr>
        <w:footnoteReference w:id="3570"/>
      </w:r>
      <w:r>
        <w:rPr>
          <w:rFonts w:ascii="Amiri" w:hAnsi="Amiri" w:eastAsia="Amiri" w:cs="Amiri"/>
          <w:color w:val="111111"/>
          <w:sz w:val="28"/>
          <w:sz w:val="28"/>
          <w:szCs w:val="28"/>
          <w:rtl w:val="true"/>
          <w:lang w:bidi="ar-SA"/>
        </w:rPr>
        <w:t xml:space="preserve">خارجٌ عن بابِ القُبحِ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مِثلُ إخبارِه لعائشةَ بأنّها تُقاتِلُ أميرَ المؤمنينَ عليه السلامُ و تَنبَحُها </w:t>
      </w:r>
    </w:p>
    <w:p>
      <w:pPr>
        <w:pStyle w:val="BookText"/>
        <w:rPr/>
      </w:pPr>
      <w:r>
        <w:rPr>
          <w:rFonts w:ascii="Amiri" w:hAnsi="Amiri" w:eastAsia="Amiri" w:cs="Amiri"/>
          <w:color w:val="111111"/>
          <w:sz w:val="28"/>
          <w:sz w:val="28"/>
          <w:szCs w:val="28"/>
          <w:rtl w:val="true"/>
          <w:lang w:bidi="ar-SA"/>
        </w:rPr>
        <w:t>كِلابُ الحَوأَبِ‌</w:t>
      </w:r>
      <w:r>
        <w:rPr>
          <w:rStyle w:val="FootnoteAnchor"/>
          <w:rtl w:val="true"/>
        </w:rPr>
        <w:footnoteReference w:id="3571"/>
      </w:r>
      <w:r>
        <w:rPr>
          <w:rFonts w:ascii="Amiri" w:hAnsi="Amiri" w:eastAsia="Amiri" w:cs="Amiri"/>
          <w:color w:val="111111"/>
          <w:sz w:val="28"/>
          <w:sz w:val="28"/>
          <w:szCs w:val="28"/>
          <w:rtl w:val="true"/>
          <w:lang w:bidi="ar-SA"/>
        </w:rPr>
        <w:t xml:space="preserve">، و إخبارِه عن الخَوارجِ و قِتالِهم له عليه السلامُ </w:t>
      </w:r>
      <w:r>
        <w:rPr>
          <w:rStyle w:val="FootnoteAnchor"/>
          <w:rtl w:val="true"/>
        </w:rPr>
        <w:footnoteReference w:id="3572"/>
      </w:r>
      <w:r>
        <w:rPr>
          <w:rFonts w:ascii="Amiri" w:hAnsi="Amiri" w:eastAsia="Amiri" w:cs="Amiri"/>
          <w:color w:val="111111"/>
          <w:sz w:val="28"/>
          <w:sz w:val="28"/>
          <w:szCs w:val="28"/>
          <w:rtl w:val="true"/>
          <w:lang w:bidi="ar-SA"/>
        </w:rPr>
        <w:t>، و غيرِ ذلكَ ممّا يَطولُ ذِكرُه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 الذي ذَكَرَه عَقيبَ الخبرَينِ اللذَينِ تَكلَّمنا عليهما يَجري مَجراهما</w:t>
      </w:r>
      <w:r>
        <w:rPr>
          <w:rStyle w:val="FootnoteAnchor"/>
          <w:rtl w:val="true"/>
        </w:rPr>
        <w:footnoteReference w:id="3573"/>
      </w:r>
      <w:r>
        <w:rPr>
          <w:rFonts w:ascii="Amiri" w:hAnsi="Amiri" w:eastAsia="Amiri" w:cs="Amiri"/>
          <w:color w:val="111111"/>
          <w:sz w:val="28"/>
          <w:sz w:val="28"/>
          <w:szCs w:val="28"/>
          <w:rtl w:val="true"/>
          <w:lang w:bidi="ar-SA"/>
        </w:rPr>
        <w:t>في هذه القَضيّةِ‌؛ لأنّه لَيسَ في إخبارِه</w:t>
      </w:r>
      <w:r>
        <w:rPr>
          <w:rStyle w:val="FootnoteAnchor"/>
          <w:rtl w:val="true"/>
        </w:rPr>
        <w:footnoteReference w:id="3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فُلاناً أو فُلاناً</w:t>
      </w:r>
      <w:r>
        <w:rPr>
          <w:rStyle w:val="FootnoteAnchor"/>
          <w:rtl w:val="true"/>
        </w:rPr>
        <w:footnoteReference w:id="3575"/>
      </w:r>
      <w:r>
        <w:rPr>
          <w:rFonts w:ascii="Amiri" w:hAnsi="Amiri" w:eastAsia="Amiri" w:cs="Amiri"/>
          <w:color w:val="111111"/>
          <w:sz w:val="28"/>
          <w:sz w:val="28"/>
          <w:szCs w:val="28"/>
          <w:rtl w:val="true"/>
          <w:lang w:bidi="ar-SA"/>
        </w:rPr>
        <w:t xml:space="preserve">يَلي صَدَقاتِهم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استحقاقِ هذه الوِلايةِ‌</w:t>
      </w:r>
      <w:r>
        <w:rPr>
          <w:rStyle w:val="FootnoteAnchor"/>
          <w:rtl w:val="true"/>
        </w:rPr>
        <w:footnoteReference w:id="3576"/>
      </w:r>
      <w:r>
        <w:rPr>
          <w:rFonts w:ascii="Amiri" w:hAnsi="Amiri" w:eastAsia="Amiri" w:cs="Amiri"/>
          <w:color w:val="111111"/>
          <w:sz w:val="28"/>
          <w:sz w:val="28"/>
          <w:szCs w:val="28"/>
          <w:rtl w:val="true"/>
          <w:lang w:bidi="ar-SA"/>
        </w:rPr>
        <w:t>لأنّهم لَم يَسألوه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يُوَلّىٰ‌</w:t>
      </w:r>
      <w:r>
        <w:rPr>
          <w:rStyle w:val="FootnoteAnchor"/>
          <w:rtl w:val="true"/>
        </w:rPr>
        <w:footnoteReference w:id="3577"/>
      </w:r>
      <w:r>
        <w:rPr>
          <w:rFonts w:ascii="Amiri" w:hAnsi="Amiri" w:eastAsia="Amiri" w:cs="Amiri"/>
          <w:color w:val="111111"/>
          <w:sz w:val="28"/>
          <w:sz w:val="28"/>
          <w:szCs w:val="28"/>
          <w:rtl w:val="true"/>
          <w:lang w:bidi="ar-SA"/>
        </w:rPr>
        <w:t xml:space="preserve">صدقاتِنا بَعدَكَ‌، </w:t>
      </w:r>
      <w:bookmarkStart w:id="641" w:name="pg20017_202766"/>
    </w:p>
    <w:p>
      <w:pPr>
        <w:pStyle w:val="BookText"/>
        <w:rPr/>
      </w:pPr>
      <w:bookmarkEnd w:id="641"/>
      <w:r>
        <w:rPr>
          <w:rFonts w:ascii="Amiri" w:hAnsi="Amiri" w:eastAsia="Amiri" w:cs="Amiri"/>
          <w:color w:val="111111"/>
          <w:sz w:val="28"/>
          <w:sz w:val="28"/>
          <w:szCs w:val="28"/>
          <w:rtl w:val="true"/>
          <w:lang w:bidi="ar-SA"/>
        </w:rPr>
        <w:t>أو مَن يَستَحِقُّ هذه الوِلايةَ؟ و 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يَلي الصدَقاتِ؟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يَلي الشيءَ مَن يَستَحِقُّه و مَن لا يَستَحِقُّه؛ فلا دَلالةَ في الخبرِ</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964451_2320776876"/>
      <w:bookmarkStart w:id="643" w:name="_Toc229"/>
      <w:bookmarkEnd w:id="642"/>
      <w:r>
        <w:rPr>
          <w:rtl w:val="true"/>
        </w:rPr>
        <w:t>مناقشة خبر أنّ الخلافة ثلاثون سنة</w:t>
      </w:r>
      <w:bookmarkEnd w:id="643"/>
    </w:p>
    <w:p>
      <w:pPr>
        <w:pStyle w:val="BookText"/>
        <w:rPr/>
      </w:pPr>
      <w:r>
        <w:rPr>
          <w:rFonts w:ascii="Amiri" w:hAnsi="Amiri" w:eastAsia="Amiri" w:cs="Amiri"/>
          <w:color w:val="111111"/>
          <w:sz w:val="28"/>
          <w:sz w:val="28"/>
          <w:szCs w:val="28"/>
          <w:rtl w:val="true"/>
          <w:lang w:bidi="ar-SA"/>
        </w:rPr>
        <w:t xml:space="preserve">فأمّا حَديثُ سَفينةَ‌، فالذي يُبطِلُه و يُبطِلُ الأخبارَ التي ذَكرناها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تَكلَّمنا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خبرٍ يُدَّعىٰ في النصِّ علىٰ أبي بَكرٍ و عُمَرَ علىٰ سَبيلِ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مِن كلامِنا و أدِلّتِنا علىٰ فَسادِ النصِّ عليهما علىٰ سَبيلِ الجُملةِ‌</w:t>
      </w:r>
      <w:r>
        <w:rPr>
          <w:rStyle w:val="FootnoteAnchor"/>
          <w:rtl w:val="true"/>
        </w:rPr>
        <w:footnoteReference w:id="3578"/>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يُبطِلُ هذا الخبرَ زائداً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وَجَدنا سِنِيَّ الخِلافةِ لهؤلاءِ الخُلَفاءِ الأربَعةِ </w:t>
      </w:r>
      <w:r>
        <w:rPr>
          <w:rStyle w:val="FootnoteAnchor"/>
          <w:rtl w:val="true"/>
        </w:rPr>
        <w:footnoteReference w:id="3579"/>
      </w:r>
      <w:r>
        <w:rPr>
          <w:rFonts w:ascii="Amiri" w:hAnsi="Amiri" w:eastAsia="Amiri" w:cs="Amiri"/>
          <w:color w:val="111111"/>
          <w:sz w:val="28"/>
          <w:sz w:val="28"/>
          <w:szCs w:val="28"/>
          <w:rtl w:val="true"/>
          <w:lang w:bidi="ar-SA"/>
        </w:rPr>
        <w:t>تَزيدُ علىٰ ثَلاثينَ سَنةً شُهوراً؛ لأنّ النبيَّ صَلَّى اللّٰهُ عليه و آلِه</w:t>
      </w:r>
      <w:r>
        <w:rPr>
          <w:rStyle w:val="FootnoteAnchor"/>
          <w:rtl w:val="true"/>
        </w:rPr>
        <w:footnoteReference w:id="3580"/>
      </w:r>
      <w:r>
        <w:rPr>
          <w:rFonts w:ascii="Amiri" w:hAnsi="Amiri" w:eastAsia="Amiri" w:cs="Amiri"/>
          <w:color w:val="111111"/>
          <w:sz w:val="28"/>
          <w:sz w:val="28"/>
          <w:szCs w:val="28"/>
          <w:rtl w:val="true"/>
          <w:lang w:bidi="ar-SA"/>
        </w:rPr>
        <w:t xml:space="preserve">قُبِضَ لِاثنَتَي عَشْرةَ </w:t>
      </w:r>
      <w:r>
        <w:rPr>
          <w:rStyle w:val="FootnoteAnchor"/>
          <w:rtl w:val="true"/>
        </w:rPr>
        <w:footnoteReference w:id="3581"/>
      </w:r>
      <w:r>
        <w:rPr>
          <w:rFonts w:ascii="Amiri" w:hAnsi="Amiri" w:eastAsia="Amiri" w:cs="Amiri"/>
          <w:color w:val="111111"/>
          <w:sz w:val="28"/>
          <w:sz w:val="28"/>
          <w:szCs w:val="28"/>
          <w:rtl w:val="true"/>
          <w:lang w:bidi="ar-SA"/>
        </w:rPr>
        <w:t xml:space="preserve">لَيلةً خَلَت مِن شَهرِ رَبيعٍ الأوّلِ </w:t>
      </w:r>
      <w:r>
        <w:rPr>
          <w:rStyle w:val="FootnoteAnchor"/>
          <w:rtl w:val="true"/>
        </w:rPr>
        <w:footnoteReference w:id="3582"/>
      </w:r>
      <w:r>
        <w:rPr>
          <w:rFonts w:ascii="Amiri" w:hAnsi="Amiri" w:eastAsia="Amiri" w:cs="Amiri"/>
          <w:color w:val="111111"/>
          <w:sz w:val="28"/>
          <w:sz w:val="28"/>
          <w:szCs w:val="28"/>
          <w:rtl w:val="true"/>
          <w:lang w:bidi="ar-SA"/>
        </w:rPr>
        <w:t>سَنةَ عَشْرٍ</w:t>
      </w:r>
      <w:r>
        <w:rPr>
          <w:rStyle w:val="FootnoteAnchor"/>
          <w:rtl w:val="true"/>
        </w:rPr>
        <w:footnoteReference w:id="3583"/>
      </w:r>
      <w:r>
        <w:rPr>
          <w:rFonts w:ascii="Amiri" w:hAnsi="Amiri" w:eastAsia="Amiri" w:cs="Amiri"/>
          <w:color w:val="111111"/>
          <w:sz w:val="28"/>
          <w:sz w:val="28"/>
          <w:szCs w:val="28"/>
          <w:rtl w:val="true"/>
          <w:lang w:bidi="ar-SA"/>
        </w:rPr>
        <w:t xml:space="preserve">، و قُبِضَ أميرُ </w:t>
      </w:r>
      <w:bookmarkStart w:id="644" w:name="pg20017_202767"/>
    </w:p>
    <w:p>
      <w:pPr>
        <w:pStyle w:val="BookText"/>
        <w:rPr/>
      </w:pPr>
      <w:bookmarkEnd w:id="644"/>
      <w:r>
        <w:rPr>
          <w:rFonts w:ascii="Amiri" w:hAnsi="Amiri" w:eastAsia="Amiri" w:cs="Amiri"/>
          <w:color w:val="111111"/>
          <w:sz w:val="28"/>
          <w:sz w:val="28"/>
          <w:szCs w:val="28"/>
          <w:rtl w:val="true"/>
          <w:lang w:bidi="ar-SA"/>
        </w:rPr>
        <w:t>المؤمنينَ عليه السلامُ لتِسعِ لَيالٍ‌</w:t>
      </w:r>
      <w:r>
        <w:rPr>
          <w:rStyle w:val="FootnoteAnchor"/>
          <w:rtl w:val="true"/>
        </w:rPr>
        <w:footnoteReference w:id="3584"/>
      </w:r>
      <w:r>
        <w:rPr>
          <w:rFonts w:ascii="Amiri" w:hAnsi="Amiri" w:eastAsia="Amiri" w:cs="Amiri"/>
          <w:color w:val="111111"/>
          <w:sz w:val="28"/>
          <w:sz w:val="28"/>
          <w:szCs w:val="28"/>
          <w:rtl w:val="true"/>
          <w:lang w:bidi="ar-SA"/>
        </w:rPr>
        <w:t>بَقيَت</w:t>
      </w:r>
      <w:r>
        <w:rPr>
          <w:rStyle w:val="FootnoteAnchor"/>
          <w:rtl w:val="true"/>
        </w:rPr>
        <w:footnoteReference w:id="3585"/>
      </w:r>
      <w:r>
        <w:rPr>
          <w:rFonts w:ascii="Amiri" w:hAnsi="Amiri" w:eastAsia="Amiri" w:cs="Amiri"/>
          <w:color w:val="111111"/>
          <w:sz w:val="28"/>
          <w:sz w:val="28"/>
          <w:szCs w:val="28"/>
          <w:rtl w:val="true"/>
          <w:lang w:bidi="ar-SA"/>
        </w:rPr>
        <w:t>مِن شَهرِ رمضانَ سَنةَ أربَعينَ‌؛ فهاهُنا زيادةٌ علىٰ ثَلاثينَ سَنةً بَيِّنَةٌ‌</w:t>
      </w:r>
      <w:r>
        <w:rPr>
          <w:rStyle w:val="FootnoteAnchor"/>
          <w:rtl w:val="true"/>
        </w:rPr>
        <w:footnoteReference w:id="3586"/>
      </w:r>
      <w:r>
        <w:rPr>
          <w:rFonts w:ascii="Amiri" w:hAnsi="Amiri" w:eastAsia="Amiri" w:cs="Amiri"/>
          <w:color w:val="111111"/>
          <w:sz w:val="28"/>
          <w:sz w:val="28"/>
          <w:szCs w:val="28"/>
          <w:rtl w:val="true"/>
          <w:lang w:bidi="ar-SA"/>
        </w:rPr>
        <w:t>، و لا يَجوزُ أن يَدخُلَ مِثلُ‌</w:t>
      </w:r>
      <w:r>
        <w:rPr>
          <w:rStyle w:val="FootnoteAnchor"/>
          <w:rtl w:val="true"/>
        </w:rPr>
        <w:footnoteReference w:id="3587"/>
      </w:r>
      <w:r>
        <w:rPr>
          <w:rFonts w:ascii="Amiri" w:hAnsi="Amiri" w:eastAsia="Amiri" w:cs="Amiri"/>
          <w:color w:val="111111"/>
          <w:sz w:val="28"/>
          <w:sz w:val="28"/>
          <w:szCs w:val="28"/>
          <w:rtl w:val="true"/>
          <w:lang w:bidi="ar-SA"/>
        </w:rPr>
        <w:t>ذلكَ فيما يُخبِرُ به صَلَّى اللّٰهُ عليه و آلِه؛ لأنّ وجودَ الزيادةِ كوجودِ النُّقصانِ في إخراجِ الخبرِ مِن أن يَكونَ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توزيعَ السِّنينَ لَم يُسنِدْه سَفينةُ إلَى الرسولِ صَلَّى اللّٰهُ عليه و آلِه، و إنّما هو شَيءٌ مِن جِهتِه، و ما لَم يُسنِدْه لا يُلتَفَتُ‌</w:t>
      </w:r>
      <w:r>
        <w:rPr>
          <w:rStyle w:val="FootnoteAnchor"/>
          <w:rtl w:val="true"/>
        </w:rPr>
        <w:footnoteReference w:id="3588"/>
      </w:r>
      <w:r>
        <w:rPr>
          <w:rFonts w:ascii="Amiri" w:hAnsi="Amiri" w:eastAsia="Amiri" w:cs="Amiri"/>
          <w:color w:val="111111"/>
          <w:sz w:val="28"/>
          <w:sz w:val="28"/>
          <w:szCs w:val="28"/>
          <w:rtl w:val="true"/>
          <w:lang w:bidi="ar-SA"/>
        </w:rPr>
        <w:t>إليه و لا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الخبرُ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3589"/>
      </w:r>
      <w:r>
        <w:rPr>
          <w:rFonts w:ascii="Amiri" w:hAnsi="Amiri" w:eastAsia="Amiri" w:cs="Amiri"/>
          <w:color w:val="111111"/>
          <w:sz w:val="28"/>
          <w:sz w:val="28"/>
          <w:szCs w:val="28"/>
          <w:rtl w:val="true"/>
          <w:lang w:bidi="ar-SA"/>
        </w:rPr>
        <w:t>استمرارَ الخِلافةِ بَعدي لخَليفةٍ‌</w:t>
      </w:r>
      <w:r>
        <w:rPr>
          <w:rStyle w:val="FootnoteAnchor"/>
          <w:rtl w:val="true"/>
        </w:rPr>
        <w:footnoteReference w:id="3590"/>
      </w:r>
      <w:r>
        <w:rPr>
          <w:rFonts w:ascii="Amiri" w:hAnsi="Amiri" w:eastAsia="Amiri" w:cs="Amiri"/>
          <w:color w:val="111111"/>
          <w:sz w:val="28"/>
          <w:sz w:val="28"/>
          <w:szCs w:val="28"/>
          <w:rtl w:val="true"/>
          <w:lang w:bidi="ar-SA"/>
        </w:rPr>
        <w:t>واحدٍ يَكونُ‌</w:t>
      </w:r>
      <w:r>
        <w:rPr>
          <w:rStyle w:val="FootnoteAnchor"/>
          <w:rtl w:val="true"/>
        </w:rPr>
        <w:footnoteReference w:id="3591"/>
      </w:r>
      <w:r>
        <w:rPr>
          <w:rFonts w:ascii="Amiri" w:hAnsi="Amiri" w:eastAsia="Amiri" w:cs="Amiri"/>
          <w:color w:val="111111"/>
          <w:sz w:val="28"/>
          <w:sz w:val="28"/>
          <w:szCs w:val="28"/>
          <w:rtl w:val="true"/>
          <w:lang w:bidi="ar-SA"/>
        </w:rPr>
        <w:t xml:space="preserve">مُدّةَ 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 ؛ فإنّ أميرَ المؤمنينَ عليه السلامُ كانَ وَحدَه الخَليفةَ في هذه المُدّةِ عندَنا، و قد دَلَّلنا علىٰ ذلكَ ؛ فمِن أينَ لهم أنّ الخِلافةَ في هذه المُدّةِ كانَت لجَماعةٍ؟</w:t>
      </w:r>
    </w:p>
    <w:p>
      <w:pPr>
        <w:pStyle w:val="BookText"/>
        <w:rPr/>
      </w:pPr>
      <w:r>
        <w:rPr>
          <w:rFonts w:ascii="Amiri" w:hAnsi="Amiri" w:eastAsia="Amiri" w:cs="Amiri"/>
          <w:color w:val="111111"/>
          <w:sz w:val="28"/>
          <w:sz w:val="28"/>
          <w:szCs w:val="28"/>
          <w:rtl w:val="true"/>
          <w:lang w:bidi="ar-SA"/>
        </w:rPr>
        <w:t>و لَيسَ لهُم أن يَتعلَّقوا بما يوجَدُ في الخبرِ مِن توزيعِ السِّنينَ علَى الخُلَفاءِ ؛ لأنّ ذلكَ معلومٌ أنّ سَفينةَ لَم يُسنِدْه، و أنّه مِن قِبَلِه</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964453_2320776876"/>
      <w:bookmarkStart w:id="646" w:name="_Toc230"/>
      <w:bookmarkEnd w:id="645"/>
      <w:r>
        <w:rPr>
          <w:rtl w:val="true"/>
        </w:rPr>
        <w:t>مناقشة خبر مشاهدة أبي بكر لرقْمَين في عالم الرؤيا</w:t>
      </w:r>
      <w:bookmarkEnd w:id="64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خبرُ الرَّقْمَينِ و الرؤيا، فالكلامُ عليه كالكلامِ علىٰ سائرِ ما تَقدَّمَ مِن الأخبارِ، </w:t>
      </w:r>
      <w:bookmarkStart w:id="647" w:name="pg20017_202768"/>
    </w:p>
    <w:p>
      <w:pPr>
        <w:pStyle w:val="BookText"/>
        <w:rPr/>
      </w:pPr>
      <w:bookmarkEnd w:id="647"/>
      <w:r>
        <w:rPr>
          <w:rFonts w:ascii="Amiri" w:hAnsi="Amiri" w:eastAsia="Amiri" w:cs="Amiri"/>
          <w:color w:val="111111"/>
          <w:sz w:val="28"/>
          <w:sz w:val="28"/>
          <w:szCs w:val="28"/>
          <w:rtl w:val="true"/>
          <w:lang w:bidi="ar-SA"/>
        </w:rPr>
        <w:t>و لَيسَ في إخبارِه بأنّه</w:t>
      </w:r>
      <w:r>
        <w:rPr>
          <w:rStyle w:val="FootnoteAnchor"/>
          <w:rtl w:val="true"/>
        </w:rPr>
        <w:footnoteReference w:id="3592"/>
      </w:r>
      <w:r>
        <w:rPr>
          <w:rFonts w:ascii="Amiri" w:hAnsi="Amiri" w:eastAsia="Amiri" w:cs="Amiri"/>
          <w:color w:val="111111"/>
          <w:sz w:val="28"/>
          <w:sz w:val="28"/>
          <w:szCs w:val="28"/>
          <w:rtl w:val="true"/>
          <w:lang w:bidi="ar-SA"/>
        </w:rPr>
        <w:t xml:space="preserve">يَلي الخِلافةَ دَلالةٌ علَى الاستحقاقِ </w:t>
      </w:r>
      <w:r>
        <w:rPr>
          <w:rStyle w:val="FootnoteAnchor"/>
          <w:rtl w:val="true"/>
        </w:rPr>
        <w:footnoteReference w:id="3593"/>
      </w:r>
      <w:r>
        <w:rPr>
          <w:rFonts w:ascii="Amiri" w:hAnsi="Amiri" w:eastAsia="Amiri" w:cs="Amiri"/>
          <w:color w:val="111111"/>
          <w:sz w:val="28"/>
          <w:sz w:val="28"/>
          <w:szCs w:val="28"/>
          <w:rtl w:val="true"/>
          <w:lang w:bidi="ar-SA"/>
        </w:rPr>
        <w:t xml:space="preserve">، و لا علىٰ حُسنِ الوِلايةِ ؛ علىٰ ما تَقدَّمَ </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964455_2320776876"/>
      <w:bookmarkStart w:id="649" w:name="_Toc231"/>
      <w:bookmarkEnd w:id="648"/>
      <w:r>
        <w:rPr>
          <w:rtl w:val="true"/>
        </w:rPr>
        <w:t>مناقشة خبر أنّ أبا بكر و عمر سيّدا كهول أهل الجنّة</w:t>
      </w:r>
      <w:bookmarkEnd w:id="649"/>
    </w:p>
    <w:p>
      <w:pPr>
        <w:pStyle w:val="BookText"/>
        <w:rPr/>
      </w:pPr>
      <w:r>
        <w:rPr>
          <w:rFonts w:ascii="Amiri" w:hAnsi="Amiri" w:eastAsia="Amiri" w:cs="Amiri"/>
          <w:color w:val="111111"/>
          <w:sz w:val="28"/>
          <w:sz w:val="28"/>
          <w:szCs w:val="28"/>
          <w:rtl w:val="true"/>
          <w:lang w:bidi="ar-SA"/>
        </w:rPr>
        <w:t>فأمّا الخبرُ الذي يَتضمَّنُ‌</w:t>
      </w:r>
      <w:r>
        <w:rPr>
          <w:rStyle w:val="FootnoteAnchor"/>
          <w:rtl w:val="true"/>
        </w:rPr>
        <w:footnoteReference w:id="3594"/>
      </w:r>
      <w:r>
        <w:rPr>
          <w:rFonts w:ascii="Amiri" w:hAnsi="Amiri" w:eastAsia="Amiri" w:cs="Amiri"/>
          <w:color w:val="111111"/>
          <w:sz w:val="28"/>
          <w:sz w:val="28"/>
          <w:szCs w:val="28"/>
          <w:rtl w:val="true"/>
          <w:lang w:bidi="ar-SA"/>
        </w:rPr>
        <w:t>أنّهما سَيِّدا كُهولِ أهلِ الجَنّةِ‌، فمَن تأمَّلَ أصلَ هذا الخبرِ بعَينِ إنصافٍ‌</w:t>
      </w:r>
      <w:r>
        <w:rPr>
          <w:rStyle w:val="FootnoteAnchor"/>
          <w:rtl w:val="true"/>
        </w:rPr>
        <w:footnoteReference w:id="3595"/>
      </w:r>
      <w:r>
        <w:rPr>
          <w:rFonts w:ascii="Amiri" w:hAnsi="Amiri" w:eastAsia="Amiri" w:cs="Amiri"/>
          <w:color w:val="111111"/>
          <w:sz w:val="28"/>
          <w:sz w:val="28"/>
          <w:szCs w:val="28"/>
          <w:rtl w:val="true"/>
          <w:lang w:bidi="ar-SA"/>
        </w:rPr>
        <w:t>عَلِمَ أنّه موضوعٌ في أيّامِ بَني أُمَيّةَ‌؛ مُعارَضةً لِما رُويَ مِن قولِه صَلَّى اللّٰهُ عليه و آلِه</w:t>
      </w:r>
      <w:r>
        <w:rPr>
          <w:rStyle w:val="FootnoteAnchor"/>
          <w:rtl w:val="true"/>
        </w:rPr>
        <w:footnoteReference w:id="3596"/>
      </w:r>
      <w:r>
        <w:rPr>
          <w:rFonts w:ascii="Amiri" w:hAnsi="Amiri" w:eastAsia="Amiri" w:cs="Amiri"/>
          <w:color w:val="111111"/>
          <w:sz w:val="28"/>
          <w:sz w:val="28"/>
          <w:szCs w:val="28"/>
          <w:rtl w:val="true"/>
          <w:lang w:bidi="ar-SA"/>
        </w:rPr>
        <w:t>في الحَسَنِ و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سَيِّدا شَبابِ أهلِ الجَنّةِ‌، و أبوهما خَيرٌ منهما</w:t>
      </w:r>
      <w:r>
        <w:rPr>
          <w:rFonts w:eastAsia="Amiri" w:cs="Amiri" w:ascii="Amiri" w:hAnsi="Amiri"/>
          <w:color w:val="111111"/>
          <w:sz w:val="28"/>
          <w:szCs w:val="28"/>
          <w:rtl w:val="true"/>
          <w:lang w:bidi="ar-SA"/>
        </w:rPr>
        <w:t>»</w:t>
      </w:r>
      <w:r>
        <w:rPr>
          <w:rStyle w:val="FootnoteAnchor"/>
          <w:rtl w:val="true"/>
        </w:rPr>
        <w:footnoteReference w:id="3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الخبرُ الذي ادَّعَوه</w:t>
      </w:r>
      <w:r>
        <w:rPr>
          <w:rStyle w:val="FootnoteAnchor"/>
          <w:rtl w:val="true"/>
        </w:rPr>
        <w:footnoteReference w:id="3598"/>
      </w:r>
    </w:p>
    <w:p>
      <w:pPr>
        <w:pStyle w:val="BookText"/>
        <w:rPr/>
      </w:pPr>
      <w:r>
        <w:rPr>
          <w:rFonts w:ascii="Amiri" w:hAnsi="Amiri" w:eastAsia="Amiri" w:cs="Amiri"/>
          <w:color w:val="111111"/>
          <w:sz w:val="28"/>
          <w:sz w:val="28"/>
          <w:szCs w:val="28"/>
          <w:rtl w:val="true"/>
          <w:lang w:bidi="ar-SA"/>
        </w:rPr>
        <w:t>و ربّما يُروىٰ مرفوعاً عن أنس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سيّدا كهول أهل الجنّة أبوبكر و عمر، و إنّ أبابكر في الجنّة مثل الثريّا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موضوعات يحيى بن عنبة الكذّاب، الدجّال، الوضّاع، و كان يضع الحديث؛ فعن ابن عديّ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منكر الحديث، مكشوف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ميزان الاعتدال،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تذكرة الموضوعات للمقدسي،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أسنى</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يَروونَه عن عُبَيدِ اللّٰهِ بنِ عُمَرَ، و حالُ عُبَيدِ اللّٰهِ بنِ</w:t>
      </w:r>
    </w:p>
    <w:p>
      <w:pPr>
        <w:pStyle w:val="BookText"/>
        <w:rPr/>
      </w:pPr>
      <w:r>
        <w:rPr>
          <w:rFonts w:ascii="Amiri" w:hAnsi="Amiri" w:eastAsia="Amiri" w:cs="Amiri"/>
          <w:color w:val="111111"/>
          <w:sz w:val="28"/>
          <w:sz w:val="28"/>
          <w:szCs w:val="28"/>
          <w:rtl w:val="true"/>
          <w:lang w:bidi="ar-SA"/>
        </w:rPr>
        <w:t>عُمَرَ في الانحرافِ عن أهلِ البَيتِ معروفةٌ‌</w:t>
      </w:r>
      <w:r>
        <w:rPr>
          <w:rStyle w:val="FootnoteAnchor"/>
          <w:rtl w:val="true"/>
        </w:rPr>
        <w:footnoteReference w:id="3599"/>
      </w:r>
      <w:r>
        <w:rPr>
          <w:rFonts w:ascii="Amiri" w:hAnsi="Amiri" w:eastAsia="Amiri" w:cs="Amiri"/>
          <w:color w:val="111111"/>
          <w:sz w:val="28"/>
          <w:sz w:val="28"/>
          <w:szCs w:val="28"/>
          <w:rtl w:val="true"/>
          <w:lang w:bidi="ar-SA"/>
        </w:rPr>
        <w:t>، و هو أيضاً كالجارِّ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المطالب،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اللآلي المصنوعة،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شطره الأوّل الذهبي في الميزان،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يونس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لعليّ بن المديني محمّد بن كثير المصيصي، و حديثه هذا،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أشتهي أن أرىٰ هذا الشيخ فالآن لا أُحبّ أن 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شطره الأوّل أيضاً من طريق عبد الرحمن بن مالك بن مغول الكذّاب الوضّاع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ميزان الاعتدال،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اللآلي المصنوعة،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الخطيب في تاريخه،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بشّار بن موسى الشيباني الخفّاف بهذا اللفظ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هذان سيّدا كهول أهل الجنّة من الأوّلين و الآخرين، ممّن خلا في الأُمم الغابرين و من يأتي إلّاالنبيّين و المرسلين، لا تخبرهما 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حسبك هذا في بشّار بن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إنّه من الدجّالين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عمرو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قد رأيته و كتبت عنه و تركت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الحاكم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أساء القول فيه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الخطيب،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الخطيب أيضاً في تاريخه،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غير واحد من الشيعة الضعفاء عند القوم عن يونس بن أبي إسحاق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ضعّف أحمد حديث يونس عن أبيه،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الحاكم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وهم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السند طلحة بن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مرضيّ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أحاديثه لا يتابع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كتب حديثه و لا الرواية عنه إلّاعلىٰ جهة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ذكر الحديث ابن قتيبة في الإمامة و السياسة،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بصورة أُخرىٰ من طريق ابن مريم عن أسد بن موسى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مريم هو ذلك الكذّاب الوضّاع كما في كتب الجرح، و ابن موسىٰ حدّث بأحاديث منكرة كما يقول سعيد بن يونس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أنّه لا يَخلو مِن أن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سَيِّدا كُهولِ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سَيّدا الكُهولِ في الجَنّةِ‌</w:t>
      </w:r>
      <w:r>
        <w:rPr>
          <w:rStyle w:val="FootnoteAnchor"/>
          <w:rtl w:val="true"/>
        </w:rPr>
        <w:footnoteReference w:id="3600"/>
      </w:r>
      <w:r>
        <w:rPr>
          <w:rFonts w:ascii="Amiri" w:hAnsi="Amiri" w:eastAsia="Amiri" w:cs="Amiri"/>
          <w:color w:val="111111"/>
          <w:sz w:val="28"/>
          <w:sz w:val="28"/>
          <w:szCs w:val="28"/>
          <w:rtl w:val="true"/>
          <w:lang w:bidi="ar-SA"/>
        </w:rPr>
        <w:t>، أو يُريدَ أنّهما سَيّدا مَن يَدخُلُ الجَنّةَ مِن كُهولِ الدنيا</w:t>
      </w:r>
      <w:r>
        <w:rPr>
          <w:rStyle w:val="FootnoteAnchor"/>
          <w:rtl w:val="true"/>
        </w:rPr>
        <w:footnoteReference w:id="3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الأوّلَ‌، فذلكَ باطلٌ‌؛ لأنّ رسولَ اللّٰهِ صَلَّى اللّٰهُ عليه و آلِه قد وَقَفَنا و أجمَعَت الأُمّةُ علىٰ أنّ‌</w:t>
      </w:r>
      <w:r>
        <w:rPr>
          <w:rStyle w:val="FootnoteAnchor"/>
          <w:rtl w:val="true"/>
        </w:rPr>
        <w:footnoteReference w:id="3602"/>
      </w:r>
      <w:r>
        <w:rPr>
          <w:rFonts w:ascii="Amiri" w:hAnsi="Amiri" w:eastAsia="Amiri" w:cs="Amiri"/>
          <w:color w:val="111111"/>
          <w:sz w:val="28"/>
          <w:sz w:val="28"/>
          <w:szCs w:val="28"/>
          <w:rtl w:val="true"/>
          <w:lang w:bidi="ar-SA"/>
        </w:rPr>
        <w:t>أهلَ الجَنّةِ جُرْدٌ</w:t>
      </w:r>
      <w:r>
        <w:rPr>
          <w:rStyle w:val="FootnoteAnchor"/>
          <w:rtl w:val="true"/>
        </w:rPr>
        <w:footnoteReference w:id="3603"/>
      </w:r>
      <w:r>
        <w:rPr>
          <w:rFonts w:ascii="Amiri" w:hAnsi="Amiri" w:eastAsia="Amiri" w:cs="Amiri"/>
          <w:color w:val="111111"/>
          <w:sz w:val="28"/>
          <w:sz w:val="28"/>
          <w:szCs w:val="28"/>
          <w:rtl w:val="true"/>
          <w:lang w:bidi="ar-SA"/>
        </w:rPr>
        <w:t>مُرْدٌ</w:t>
      </w:r>
      <w:r>
        <w:rPr>
          <w:rStyle w:val="FootnoteAnchor"/>
          <w:rtl w:val="true"/>
        </w:rPr>
        <w:footnoteReference w:id="3604"/>
      </w:r>
      <w:r>
        <w:rPr>
          <w:rFonts w:ascii="Amiri" w:hAnsi="Amiri" w:eastAsia="Amiri" w:cs="Amiri"/>
          <w:color w:val="111111"/>
          <w:sz w:val="28"/>
          <w:sz w:val="28"/>
          <w:szCs w:val="28"/>
          <w:rtl w:val="true"/>
          <w:lang w:bidi="ar-SA"/>
        </w:rPr>
        <w:t>، و أنّه</w:t>
      </w:r>
      <w:r>
        <w:rPr>
          <w:rStyle w:val="FootnoteAnchor"/>
          <w:rtl w:val="true"/>
        </w:rPr>
        <w:footnoteReference w:id="3605"/>
      </w:r>
      <w:r>
        <w:rPr>
          <w:rFonts w:ascii="Amiri" w:hAnsi="Amiri" w:eastAsia="Amiri" w:cs="Amiri"/>
          <w:color w:val="111111"/>
          <w:sz w:val="28"/>
          <w:sz w:val="28"/>
          <w:szCs w:val="28"/>
          <w:rtl w:val="true"/>
          <w:lang w:bidi="ar-SA"/>
        </w:rPr>
        <w:t>لا يَدخُلُها كَهلٌ‌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الثانيَ‌، فذلكَ دافعٌ و مُناقِضٌ للحَديثِ المُجمَعِ علىٰ روايتِه</w:t>
      </w:r>
      <w:r>
        <w:rPr>
          <w:rStyle w:val="FootnoteAnchor"/>
          <w:rtl w:val="true"/>
        </w:rPr>
        <w:footnoteReference w:id="3606"/>
      </w:r>
      <w:r>
        <w:rPr>
          <w:rFonts w:ascii="Amiri" w:hAnsi="Amiri" w:eastAsia="Amiri" w:cs="Amiri"/>
          <w:color w:val="111111"/>
          <w:sz w:val="28"/>
          <w:sz w:val="28"/>
          <w:szCs w:val="28"/>
          <w:rtl w:val="true"/>
          <w:lang w:bidi="ar-SA"/>
        </w:rPr>
        <w:t>مِن قولِه صَلَّى اللّٰهُ عليه و آلِه في الحَسَنِ و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سَيّدا شَبابِ أهلِ الجَنّةِ‌، و 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هذا الخبرَ يَقتَضي أنّهما سَيّدا كُلِّ </w:t>
      </w:r>
      <w:r>
        <w:rPr>
          <w:rStyle w:val="FootnoteAnchor"/>
          <w:rtl w:val="true"/>
        </w:rPr>
        <w:footnoteReference w:id="3607"/>
      </w:r>
      <w:r>
        <w:rPr>
          <w:rFonts w:ascii="Amiri" w:hAnsi="Amiri" w:eastAsia="Amiri" w:cs="Amiri"/>
          <w:color w:val="111111"/>
          <w:sz w:val="28"/>
          <w:sz w:val="28"/>
          <w:szCs w:val="28"/>
          <w:rtl w:val="true"/>
          <w:lang w:bidi="ar-SA"/>
        </w:rPr>
        <w:t>مَن يَدخُلُ</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قريش و فرسانهم، و قتل بصفّين مع معاوية، و كان على الخيل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أباه و عثمان بن عفّان و أبا موسىٰ و غيرهم من الصحابة، و غزا في خلافة أبيه، و قدم علىٰ معاوية بعد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معرفة الصحابة،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1718</w:t>
      </w:r>
      <w:r>
        <w:rPr>
          <w:rFonts w:ascii="Amiri" w:hAnsi="Amiri" w:eastAsia="Amiri" w:cs="Amiri"/>
          <w:color w:val="111111"/>
          <w:sz w:val="28"/>
          <w:sz w:val="28"/>
          <w:szCs w:val="28"/>
          <w:rtl w:val="true"/>
          <w:lang w:bidi="ar-SA"/>
        </w:rPr>
        <w:t xml:space="preserve">؛ تاريخ مدينة دمشق، ج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4473</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الجَنّةَ ؛ إذ</w:t>
      </w:r>
      <w:r>
        <w:rPr>
          <w:rStyle w:val="FootnoteAnchor"/>
          <w:rtl w:val="true"/>
        </w:rPr>
        <w:footnoteReference w:id="3608"/>
      </w:r>
      <w:r>
        <w:rPr>
          <w:rFonts w:ascii="Amiri" w:hAnsi="Amiri" w:eastAsia="Amiri" w:cs="Amiri"/>
          <w:color w:val="111111"/>
          <w:sz w:val="28"/>
          <w:sz w:val="28"/>
          <w:szCs w:val="28"/>
          <w:rtl w:val="true"/>
          <w:lang w:bidi="ar-SA"/>
        </w:rPr>
        <w:t>كانَ لا يَدخُلُها إلّاشَبابٌ ، فأبو بَكرٍ</w:t>
      </w:r>
      <w:r>
        <w:rPr>
          <w:rStyle w:val="FootnoteAnchor"/>
          <w:rtl w:val="true"/>
        </w:rPr>
        <w:footnoteReference w:id="3609"/>
      </w:r>
      <w:r>
        <w:rPr>
          <w:rFonts w:ascii="Amiri" w:hAnsi="Amiri" w:eastAsia="Amiri" w:cs="Amiri"/>
          <w:color w:val="111111"/>
          <w:sz w:val="28"/>
          <w:sz w:val="28"/>
          <w:szCs w:val="28"/>
          <w:rtl w:val="true"/>
          <w:lang w:bidi="ar-SA"/>
        </w:rPr>
        <w:t>و عُمَرُ و كُلُّ كَهلٍ في الدنيا داخِلونَ في جُملةِ مَن يَكونانِ عليهما السلامُ سَيّدَيه، و الخبرُ الذي رَوَوه يَقتَضي أنّ أبا بَكرٍ و عُمَرَ سَيّداهما؛ مِن حَيثُ كانا سَيّدَي الكُهولِ في الدنيا، و هُما عليهما السلامُ مِن جُملةِ مَن كانَ كَهلاً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سَيّدا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ظَنَنتم، و 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سَيّدا مَن يَدخُلُ الجَنّةَ مِن شَبابِ الدنيا، كما قُلنا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سَيّدا كُهولِ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المُناقَضةُ بَينَ الخبرَينِ بَعدُ ثابتةٌ‌؛ لأنّه إذا أرادَ أنّهما سَيّدا كُلِّ شابٍّ‌</w:t>
      </w:r>
      <w:r>
        <w:rPr>
          <w:rStyle w:val="FootnoteAnchor"/>
          <w:rtl w:val="true"/>
        </w:rPr>
        <w:footnoteReference w:id="3610"/>
      </w:r>
      <w:r>
        <w:rPr>
          <w:rFonts w:ascii="Amiri" w:hAnsi="Amiri" w:eastAsia="Amiri" w:cs="Amiri"/>
          <w:color w:val="111111"/>
          <w:sz w:val="28"/>
          <w:sz w:val="28"/>
          <w:szCs w:val="28"/>
          <w:rtl w:val="true"/>
          <w:lang w:bidi="ar-SA"/>
        </w:rPr>
        <w:t>في الدنيا مِن أهلِ الجَنّةِ‌، فقَد عَمَّ بذلكَ جميعَ مَن كانَ في الدنيا مِن أهلِ الجَنّةِ مِن الشبابِ و الكُهولِ و الشُّيوخِ‌؛ لأنّ الكُلَّ كانوا شَباباً، فقَد تَناوَلَهم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قالَ في غيرِهما أنّهما سَيّدا الكُهولِ </w:t>
      </w:r>
      <w:r>
        <w:rPr>
          <w:rStyle w:val="FootnoteAnchor"/>
          <w:rtl w:val="true"/>
        </w:rPr>
        <w:footnoteReference w:id="3611"/>
      </w:r>
      <w:r>
        <w:rPr>
          <w:rFonts w:ascii="Amiri" w:hAnsi="Amiri" w:eastAsia="Amiri" w:cs="Amiri"/>
          <w:color w:val="111111"/>
          <w:sz w:val="28"/>
          <w:sz w:val="28"/>
          <w:szCs w:val="28"/>
          <w:rtl w:val="true"/>
          <w:lang w:bidi="ar-SA"/>
        </w:rPr>
        <w:t xml:space="preserve">، فقَد جَعَلَهما بهذا القولِ سَيّدَينِ لِمَن جَعَلَهما بالقولِ الأوّلِ سَيّدَيهِما؛ لأنّ أبا بَكرٍ و عُمَرَ إذا كانا شابَّينِ فقَد دَخَلا فيمن يَسودُهما الحَسَنُ و الحُسَينُ عليهما السلامُ بالخبرِ المَرويِّ ، و الحَسَنُ و الحُسَينُ إذا بَلَغا سِنَّ التكهُّلِ </w:t>
      </w:r>
      <w:r>
        <w:rPr>
          <w:rStyle w:val="FootnoteAnchor"/>
          <w:rtl w:val="true"/>
        </w:rPr>
        <w:footnoteReference w:id="3612"/>
      </w:r>
      <w:r>
        <w:rPr>
          <w:rFonts w:ascii="Amiri" w:hAnsi="Amiri" w:eastAsia="Amiri" w:cs="Amiri"/>
          <w:color w:val="111111"/>
          <w:sz w:val="28"/>
          <w:sz w:val="28"/>
          <w:szCs w:val="28"/>
          <w:rtl w:val="true"/>
          <w:lang w:bidi="ar-SA"/>
        </w:rPr>
        <w:t>فقَد دَخَلا فيمن يَسودُهما أبو بَكرٍ و عُمَرُ بالخبرِ الذي 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هذه صورةَ الخبرَينِ وَجَبَ العملُ علَى الظاهرِ في الروايةِ المنقولةِ المُتَّفَقِ عليها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Style w:val="FootnoteAnchor"/>
          <w:rtl w:val="true"/>
        </w:rPr>
        <w:footnoteReference w:id="3613"/>
      </w:r>
      <w:r>
        <w:rPr>
          <w:rFonts w:ascii="Amiri" w:hAnsi="Amiri" w:eastAsia="Amiri" w:cs="Amiri"/>
          <w:color w:val="111111"/>
          <w:sz w:val="28"/>
          <w:sz w:val="28"/>
          <w:szCs w:val="28"/>
          <w:rtl w:val="true"/>
          <w:lang w:bidi="ar-SA"/>
        </w:rPr>
        <w:t xml:space="preserve">و اطِّراحُ الآخَرِ، و ذلكَ موجِبٌ لفَضلِ الحَسَنِ و الحُسَينِ و أبيهما </w:t>
      </w:r>
    </w:p>
    <w:p>
      <w:pPr>
        <w:pStyle w:val="BookText"/>
        <w:rPr/>
      </w:pPr>
      <w:r>
        <w:rPr>
          <w:rFonts w:ascii="Amiri" w:hAnsi="Amiri" w:eastAsia="Amiri" w:cs="Amiri"/>
          <w:color w:val="111111"/>
          <w:sz w:val="28"/>
          <w:sz w:val="28"/>
          <w:szCs w:val="28"/>
          <w:rtl w:val="true"/>
          <w:lang w:bidi="ar-SA"/>
        </w:rPr>
        <w:t xml:space="preserve">عليهم السلامُ علىٰ جميعِ الخَلقِ </w:t>
      </w:r>
      <w:r>
        <w:rPr>
          <w:rStyle w:val="FootnoteAnchor"/>
          <w:rtl w:val="true"/>
        </w:rPr>
        <w:footnoteReference w:id="3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سَيّدا كُهولِ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الحالِ كذلكَ </w:t>
      </w:r>
      <w:r>
        <w:rPr>
          <w:rStyle w:val="FootnoteAnchor"/>
          <w:rtl w:val="true"/>
        </w:rPr>
        <w:footnoteReference w:id="3615"/>
      </w:r>
      <w:r>
        <w:rPr>
          <w:rFonts w:ascii="Amiri" w:hAnsi="Amiri" w:eastAsia="Amiri" w:cs="Amiri"/>
          <w:color w:val="111111"/>
          <w:sz w:val="28"/>
          <w:sz w:val="28"/>
          <w:szCs w:val="28"/>
          <w:rtl w:val="true"/>
          <w:lang w:bidi="ar-SA"/>
        </w:rPr>
        <w:t>، دونَ مَن يأتي مِن بَعدُ</w:t>
      </w:r>
      <w:r>
        <w:rPr>
          <w:rStyle w:val="FootnoteAnchor"/>
          <w:rtl w:val="true"/>
        </w:rPr>
        <w:footnoteReference w:id="3616"/>
      </w:r>
      <w:r>
        <w:rPr>
          <w:rFonts w:ascii="Amiri" w:hAnsi="Amiri" w:eastAsia="Amiri" w:cs="Amiri"/>
          <w:color w:val="111111"/>
          <w:sz w:val="28"/>
          <w:sz w:val="28"/>
          <w:szCs w:val="28"/>
          <w:rtl w:val="true"/>
          <w:lang w:bidi="ar-SA"/>
        </w:rPr>
        <w:t xml:space="preserve">، فكأنّه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سَيّدا كُهولِ أهلِ الجَنّةِ في وقتِهما و زمانِهما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القولُ في الخبرِ الآخَرِ الذي رَوَيتموه؛ فلا تَعارُضَ بَينَ الخبرَينِ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معنَى الخبرِ الذي رَوَيتموه</w:t>
      </w:r>
      <w:r>
        <w:rPr>
          <w:rStyle w:val="FootnoteAnchor"/>
          <w:rtl w:val="true"/>
        </w:rPr>
        <w:footnoteReference w:id="3617"/>
      </w:r>
      <w:r>
        <w:rPr>
          <w:rFonts w:ascii="Amiri" w:hAnsi="Amiri" w:eastAsia="Amiri" w:cs="Amiri"/>
          <w:color w:val="111111"/>
          <w:sz w:val="28"/>
          <w:sz w:val="28"/>
          <w:szCs w:val="28"/>
          <w:rtl w:val="true"/>
          <w:lang w:bidi="ar-SA"/>
        </w:rPr>
        <w:t>ما ذَكرتموه، لَم يَكُن فيه كَثيرُ فَضيلةٍ‌، و لا ساغَ أن يُدَّعىٰ به</w:t>
      </w:r>
      <w:r>
        <w:rPr>
          <w:rStyle w:val="FootnoteAnchor"/>
          <w:rtl w:val="true"/>
        </w:rPr>
        <w:footnoteReference w:id="3618"/>
      </w:r>
      <w:r>
        <w:rPr>
          <w:rFonts w:ascii="Amiri" w:hAnsi="Amiri" w:eastAsia="Amiri" w:cs="Amiri"/>
          <w:color w:val="111111"/>
          <w:sz w:val="28"/>
          <w:sz w:val="28"/>
          <w:szCs w:val="28"/>
          <w:rtl w:val="true"/>
          <w:lang w:bidi="ar-SA"/>
        </w:rPr>
        <w:t>فَضلُ الرَّجُلَينِ علىٰ سائرِ الصَّحابةِ‌</w:t>
      </w:r>
      <w:r>
        <w:rPr>
          <w:rStyle w:val="FootnoteAnchor"/>
          <w:rtl w:val="true"/>
        </w:rPr>
        <w:footnoteReference w:id="3619"/>
      </w:r>
      <w:r>
        <w:rPr>
          <w:rFonts w:ascii="Amiri" w:hAnsi="Amiri" w:eastAsia="Amiri" w:cs="Amiri"/>
          <w:color w:val="111111"/>
          <w:sz w:val="28"/>
          <w:sz w:val="28"/>
          <w:szCs w:val="28"/>
          <w:rtl w:val="true"/>
          <w:lang w:bidi="ar-SA"/>
        </w:rPr>
        <w:t>، و أن يُستَدَلَّ به</w:t>
      </w:r>
      <w:r>
        <w:rPr>
          <w:rStyle w:val="FootnoteAnchor"/>
          <w:rtl w:val="true"/>
        </w:rPr>
        <w:footnoteReference w:id="3620"/>
      </w:r>
      <w:r>
        <w:rPr>
          <w:rFonts w:ascii="Amiri" w:hAnsi="Amiri" w:eastAsia="Amiri" w:cs="Amiri"/>
          <w:color w:val="111111"/>
          <w:sz w:val="28"/>
          <w:sz w:val="28"/>
          <w:szCs w:val="28"/>
          <w:rtl w:val="true"/>
          <w:lang w:bidi="ar-SA"/>
        </w:rPr>
        <w:t>علىٰ فَضلِهما علىٰ أميرِ المؤمنينَ عليه السلامُ و علىٰ غيرِه ممّن لَم يَكُن كَهلاً في حالِ تَكهُّلِهما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إذا حُمِلَ الخبرُ علىٰ هذا الضربِ مِن التخصيصِ ، ساغَ أيضاً لغَيرِهم حَملُه علىٰ ما هو</w:t>
      </w:r>
      <w:r>
        <w:rPr>
          <w:rStyle w:val="FootnoteAnchor"/>
          <w:rtl w:val="true"/>
        </w:rPr>
        <w:footnoteReference w:id="3621"/>
      </w:r>
      <w:r>
        <w:rPr>
          <w:rFonts w:ascii="Amiri" w:hAnsi="Amiri" w:eastAsia="Amiri" w:cs="Amiri"/>
          <w:color w:val="111111"/>
          <w:sz w:val="28"/>
          <w:sz w:val="28"/>
          <w:szCs w:val="28"/>
          <w:rtl w:val="true"/>
          <w:lang w:bidi="ar-SA"/>
        </w:rPr>
        <w:t>أخَصُّ مِن ذلكَ ، و يَجعَلَه مُتَناوِلاً لكُهولِ قَبيلةٍ مِن القَبائلِ أو جَماعةٍ مِن الجَماعاتِ ، كَما جَعَلوه مُتَناوِلاً</w:t>
      </w:r>
      <w:r>
        <w:rPr>
          <w:rStyle w:val="FootnoteAnchor"/>
          <w:rtl w:val="true"/>
        </w:rPr>
        <w:footnoteReference w:id="3622"/>
      </w:r>
      <w:r>
        <w:rPr>
          <w:rFonts w:ascii="Amiri" w:hAnsi="Amiri" w:eastAsia="Amiri" w:cs="Amiri"/>
          <w:color w:val="111111"/>
          <w:sz w:val="28"/>
          <w:sz w:val="28"/>
          <w:szCs w:val="28"/>
          <w:rtl w:val="true"/>
          <w:lang w:bidi="ar-SA"/>
        </w:rPr>
        <w:t xml:space="preserve">للكُهولِ في حالٍ مِن الأحوالِ دونَ غيرِها؛ و هذا يُخرِجُه مِن معنَى الفَضيلةِ جُملةً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أنّهم قد رَوَوا عن النبيِّ صَلَّى اللّٰهُ عليه و آلِه ما يُخالِفُ فائدةَ هذا الخبرِ </w:t>
      </w:r>
    </w:p>
    <w:p>
      <w:pPr>
        <w:pStyle w:val="BookText"/>
        <w:rPr/>
      </w:pPr>
      <w:r>
        <w:rPr>
          <w:rFonts w:ascii="Amiri" w:hAnsi="Amiri" w:eastAsia="Amiri" w:cs="Amiri"/>
          <w:color w:val="111111"/>
          <w:sz w:val="28"/>
          <w:sz w:val="28"/>
          <w:szCs w:val="28"/>
          <w:rtl w:val="true"/>
          <w:lang w:bidi="ar-SA"/>
        </w:rPr>
        <w:t>و يُناقِضُها</w:t>
      </w:r>
      <w:r>
        <w:rPr>
          <w:rStyle w:val="FootnoteAnchor"/>
          <w:rtl w:val="true"/>
        </w:rPr>
        <w:footnoteReference w:id="3623"/>
      </w:r>
      <w:r>
        <w:rPr>
          <w:rFonts w:ascii="Amiri" w:hAnsi="Amiri" w:eastAsia="Amiri" w:cs="Amiri"/>
          <w:color w:val="111111"/>
          <w:sz w:val="28"/>
          <w:sz w:val="28"/>
          <w:szCs w:val="28"/>
          <w:rtl w:val="true"/>
          <w:lang w:bidi="ar-SA"/>
        </w:rPr>
        <w:t>لأنّهم رَوَوا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عبدِ 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عَليٌّ و جعفرُ ابنا أبي طالِبٍ ، و حَمزةُ بنُ عبدِ المُطَّلِبِ ، و الحَسَنُ و الحُسَينُ ، و المَهديُّ </w:t>
      </w:r>
      <w:r>
        <w:rPr>
          <w:rFonts w:eastAsia="Amiri" w:cs="Amiri" w:ascii="Amiri" w:hAnsi="Amiri"/>
          <w:color w:val="111111"/>
          <w:sz w:val="28"/>
          <w:szCs w:val="28"/>
          <w:rtl w:val="true"/>
          <w:lang w:bidi="ar-SA"/>
        </w:rPr>
        <w:t>»</w:t>
      </w:r>
      <w:r>
        <w:rPr>
          <w:rStyle w:val="FootnoteAnchor"/>
          <w:rtl w:val="true"/>
        </w:rPr>
        <w:footnoteReference w:id="3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شُبهةَ في أنّ هذا الخبرَ يُعارِضُ في الفائدةِ الخبرَ الذي ذَكروه، و إذا كانَ العملُ بالمُتَّفَقِ عليه أَولىٰ وَجَبَ العملُ بهذا و اطِّراحُ 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ففي ضِمنِ هذا الخبرِ ما يَدُلُّ علىٰ فَسادِه؛ لأنّ في الخبرِ أنّ أميرَ المؤمنينَ عليه السلامُ كانَ عندَ الرسولِ صَلَّى اللّٰهُ عليه و آلِه، إذ أقبَلَ أبو بَكرٍ و عُمَرُ، فقالَ‌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هذانِ سَيّدا كُهولِ أهلِ الجَنّةِ مِن الأوّلينَ و الآخِرينَ إلّاالنبيّينَ و المُرسَلينَ‌، لا تُخبِرْهما بذلكَ يا عَليُّ </w:t>
      </w:r>
      <w:r>
        <w:rPr>
          <w:rFonts w:eastAsia="Amiri" w:cs="Amiri" w:ascii="Amiri" w:hAnsi="Amiri"/>
          <w:color w:val="111111"/>
          <w:sz w:val="28"/>
          <w:szCs w:val="28"/>
          <w:rtl w:val="true"/>
          <w:lang w:bidi="ar-SA"/>
        </w:rPr>
        <w:t>»</w:t>
      </w:r>
      <w:r>
        <w:rPr>
          <w:rStyle w:val="FootnoteAnchor"/>
          <w:rtl w:val="true"/>
        </w:rPr>
        <w:footnoteReference w:id="3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رأَينا النبيَّ صَلَّى اللّٰهُ عليه و آلِه قَطُّ أمَرَ بكِتمانِ فَضلِ أحَدٍ مِن أصحابِه</w:t>
      </w:r>
      <w:r>
        <w:rPr>
          <w:rStyle w:val="FootnoteAnchor"/>
          <w:rtl w:val="true"/>
        </w:rPr>
        <w:footnoteReference w:id="3626"/>
      </w:r>
      <w:r>
        <w:rPr>
          <w:rFonts w:ascii="Amiri" w:hAnsi="Amiri" w:eastAsia="Amiri" w:cs="Amiri"/>
          <w:color w:val="111111"/>
          <w:sz w:val="28"/>
          <w:sz w:val="28"/>
          <w:szCs w:val="28"/>
          <w:rtl w:val="true"/>
          <w:lang w:bidi="ar-SA"/>
        </w:rPr>
        <w:t>، و لا نَهىٰ عن إذاعةِ ما تَشرَّفَ و تَفضَّلَ به</w:t>
      </w:r>
      <w:r>
        <w:rPr>
          <w:rStyle w:val="FootnoteAnchor"/>
          <w:rtl w:val="true"/>
        </w:rPr>
        <w:footnoteReference w:id="3627"/>
      </w:r>
      <w:r>
        <w:rPr>
          <w:rFonts w:ascii="Amiri" w:hAnsi="Amiri" w:eastAsia="Amiri" w:cs="Amiri"/>
          <w:color w:val="111111"/>
          <w:sz w:val="28"/>
          <w:sz w:val="28"/>
          <w:szCs w:val="28"/>
          <w:rtl w:val="true"/>
          <w:lang w:bidi="ar-SA"/>
        </w:rPr>
        <w:t xml:space="preserve">أصحابُه؛ و قد رُويَ </w:t>
      </w:r>
      <w:bookmarkStart w:id="650" w:name="pg20017_202774"/>
    </w:p>
    <w:p>
      <w:pPr>
        <w:pStyle w:val="BookText"/>
        <w:rPr/>
      </w:pPr>
      <w:bookmarkEnd w:id="650"/>
      <w:r>
        <w:rPr>
          <w:rFonts w:ascii="Amiri" w:hAnsi="Amiri" w:eastAsia="Amiri" w:cs="Amiri"/>
          <w:color w:val="111111"/>
          <w:sz w:val="28"/>
          <w:sz w:val="28"/>
          <w:szCs w:val="28"/>
          <w:rtl w:val="true"/>
          <w:lang w:bidi="ar-SA"/>
        </w:rPr>
        <w:t>مِن فَضائلِ هؤلاءِ القومِ ما هو أعلىٰ و أظهَرُ مِن فَضيلةِ هذا الخبرِ مِن غيرِ أن يأمُرَ صَلَّى اللّٰهُ عليه و آلِه أحَداً بكِتمانِه، بَل أمَرَ بإذاعتِه و نَشرِه؛ كروايتِهم أنّ أبا بَكرٍ استأذَنَ علىٰ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استأذَنَ عُمَرُ</w:t>
      </w:r>
      <w:r>
        <w:rPr>
          <w:rStyle w:val="FootnoteAnchor"/>
          <w:rtl w:val="true"/>
        </w:rPr>
        <w:footnoteReference w:id="362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ائذَنْ له و بَشِّرْه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استأذَنَ عُثمانُ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ائذَنْ له و بَشِّرْه بالجَنّةِ </w:t>
      </w:r>
      <w:r>
        <w:rPr>
          <w:rFonts w:eastAsia="Amiri" w:cs="Amiri" w:ascii="Amiri" w:hAnsi="Amiri"/>
          <w:color w:val="111111"/>
          <w:sz w:val="28"/>
          <w:szCs w:val="28"/>
          <w:rtl w:val="true"/>
          <w:lang w:bidi="ar-SA"/>
        </w:rPr>
        <w:t>»</w:t>
      </w:r>
      <w:r>
        <w:rPr>
          <w:rStyle w:val="FootnoteAnchor"/>
          <w:rtl w:val="true"/>
        </w:rPr>
        <w:footnoteReference w:id="3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هذه الفَضيلةِ مِن بَينِ سائرِ الفَضائلِ تُكتَمُ و تُطوىٰ عنهم</w:t>
      </w:r>
      <w:r>
        <w:rPr>
          <w:rStyle w:val="FootnoteAnchor"/>
          <w:rtl w:val="true"/>
        </w:rPr>
        <w:footnoteReference w:id="363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6"/>
        <w:numPr>
          <w:ilvl w:val="5"/>
          <w:numId w:val="1"/>
        </w:numPr>
        <w:rPr/>
      </w:pPr>
      <w:bookmarkStart w:id="651" w:name="__RefHeading___Toc964457_2320776876"/>
      <w:bookmarkStart w:id="652" w:name="_Toc232"/>
      <w:bookmarkEnd w:id="651"/>
      <w:r>
        <w:rPr>
          <w:rtl w:val="true"/>
        </w:rPr>
        <w:t>مناقشة خبر</w:t>
      </w:r>
      <w:r>
        <w:rPr>
          <w:rtl w:val="true"/>
        </w:rPr>
        <w:t>: «</w:t>
      </w:r>
      <w:r>
        <w:rPr>
          <w:rtl w:val="true"/>
        </w:rPr>
        <w:t>ادعوا لي أخي و صاحبي</w:t>
      </w:r>
      <w:bookmarkEnd w:id="652"/>
    </w:p>
    <w:p>
      <w:pPr>
        <w:pStyle w:val="BookText"/>
        <w:rPr/>
      </w:pPr>
      <w:r>
        <w:rPr>
          <w:rFonts w:ascii="Amiri" w:hAnsi="Amiri" w:eastAsia="Amiri" w:cs="Amiri"/>
          <w:color w:val="111111"/>
          <w:sz w:val="28"/>
          <w:sz w:val="28"/>
          <w:szCs w:val="28"/>
          <w:rtl w:val="true"/>
          <w:lang w:bidi="ar-SA"/>
        </w:rPr>
        <w:t>فأمّا ما رُويَ عنه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w:t>
      </w:r>
      <w:r>
        <w:rPr>
          <w:rStyle w:val="FootnoteAnchor"/>
          <w:rtl w:val="true"/>
        </w:rPr>
        <w:footnoteReference w:id="3631"/>
      </w:r>
      <w:r>
        <w:rPr>
          <w:rFonts w:ascii="Amiri" w:hAnsi="Amiri" w:eastAsia="Amiri" w:cs="Amiri"/>
          <w:color w:val="111111"/>
          <w:sz w:val="28"/>
          <w:sz w:val="28"/>
          <w:szCs w:val="28"/>
          <w:rtl w:val="true"/>
          <w:lang w:bidi="ar-SA"/>
        </w:rPr>
        <w:t>لي أخي و صاحِبي</w:t>
      </w:r>
      <w:r>
        <w:rPr>
          <w:rStyle w:val="FootnoteAnchor"/>
          <w:rtl w:val="true"/>
        </w:rPr>
        <w:footnoteReference w:id="3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يُبطِلُه المُتَظاهِرُ مِن قولِ أميرِ المؤمنينَ عليه السلامُ في مَقامٍ بَعدَ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 أخو رسولِه، لا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يَقولُها بَعدي إلّاكَذّابٌ مُفتَرٍ</w:t>
      </w:r>
      <w:r>
        <w:rPr>
          <w:rStyle w:val="FootnoteAnchor"/>
          <w:rtl w:val="true"/>
        </w:rPr>
        <w:footnoteReference w:id="36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أحَداً لَم يَقُل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أبو بَكرٍ أيضاً أخو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المشهورَ المعروفَ هو</w:t>
      </w:r>
      <w:r>
        <w:rPr>
          <w:rStyle w:val="FootnoteAnchor"/>
          <w:rtl w:val="true"/>
        </w:rPr>
        <w:footnoteReference w:id="3635"/>
      </w:r>
      <w:r>
        <w:rPr>
          <w:rFonts w:ascii="Amiri" w:hAnsi="Amiri" w:eastAsia="Amiri" w:cs="Amiri"/>
          <w:color w:val="111111"/>
          <w:sz w:val="28"/>
          <w:sz w:val="28"/>
          <w:szCs w:val="28"/>
          <w:rtl w:val="true"/>
          <w:lang w:bidi="ar-SA"/>
        </w:rPr>
        <w:t xml:space="preserve">مؤاخاتُه لأميرِ المؤمنينَ </w:t>
      </w:r>
      <w:bookmarkStart w:id="653" w:name="pg20017_202775"/>
    </w:p>
    <w:p>
      <w:pPr>
        <w:pStyle w:val="BookText"/>
        <w:rPr/>
      </w:pPr>
      <w:bookmarkEnd w:id="653"/>
      <w:r>
        <w:rPr>
          <w:rFonts w:ascii="Amiri" w:hAnsi="Amiri" w:eastAsia="Amiri" w:cs="Amiri"/>
          <w:color w:val="111111"/>
          <w:sz w:val="28"/>
          <w:sz w:val="28"/>
          <w:szCs w:val="28"/>
          <w:rtl w:val="true"/>
          <w:lang w:bidi="ar-SA"/>
        </w:rPr>
        <w:t>عليه السلامُ بنَفسِه</w:t>
      </w:r>
      <w:r>
        <w:rPr>
          <w:rStyle w:val="FootnoteAnchor"/>
          <w:rtl w:val="true"/>
        </w:rPr>
        <w:footnoteReference w:id="3636"/>
      </w:r>
      <w:r>
        <w:rPr>
          <w:rFonts w:ascii="Amiri" w:hAnsi="Amiri" w:eastAsia="Amiri" w:cs="Amiri"/>
          <w:color w:val="111111"/>
          <w:sz w:val="28"/>
          <w:sz w:val="28"/>
          <w:szCs w:val="28"/>
          <w:rtl w:val="true"/>
          <w:lang w:bidi="ar-SA"/>
        </w:rPr>
        <w:t>، و مؤاخاةُ أبي بَكرٍ لعُمَرَ</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964459_2320776876"/>
      <w:bookmarkStart w:id="655" w:name="_Toc233"/>
      <w:bookmarkEnd w:id="654"/>
      <w:r>
        <w:rPr>
          <w:rtl w:val="true"/>
        </w:rPr>
        <w:t>مناقشة خبر الأمر بالاقتداء بأبي بكر و عمر</w:t>
      </w:r>
      <w:bookmarkEnd w:id="655"/>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3637"/>
      </w:r>
      <w:r>
        <w:rPr>
          <w:rFonts w:ascii="Amiri" w:hAnsi="Amiri" w:eastAsia="Amiri" w:cs="Amiri"/>
          <w:color w:val="111111"/>
          <w:sz w:val="28"/>
          <w:sz w:val="28"/>
          <w:szCs w:val="28"/>
          <w:rtl w:val="true"/>
          <w:lang w:bidi="ar-SA"/>
        </w:rPr>
        <w:t>روايتُهم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عليه مُستَقصىً ، عند اعتراضِه بهذا الخبرِ ما يُستَدَلُّ به مِن خبرِ الغَديرِ علَى النَّصِّ </w:t>
      </w:r>
      <w:r>
        <w:rPr>
          <w:rStyle w:val="FootnoteAnchor"/>
          <w:rtl w:val="true"/>
        </w:rPr>
        <w:footnoteReference w:id="3638"/>
      </w:r>
      <w:r>
        <w:rPr>
          <w:rFonts w:ascii="Amiri" w:hAnsi="Amiri" w:eastAsia="Amiri" w:cs="Amiri"/>
          <w:color w:val="111111"/>
          <w:sz w:val="28"/>
          <w:sz w:val="28"/>
          <w:szCs w:val="28"/>
          <w:rtl w:val="true"/>
          <w:lang w:bidi="ar-SA"/>
        </w:rPr>
        <w:t>، و أشبَعنا الكلامَ فيه؛ فلا طائلَ في إعادتِه</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964461_2320776876"/>
      <w:bookmarkStart w:id="657" w:name="_Toc234"/>
      <w:bookmarkEnd w:id="656"/>
      <w:r>
        <w:rPr>
          <w:rtl w:val="true"/>
        </w:rPr>
        <w:t>مناقشة أخبار مدح أمير المؤمنين عليه السلام لأبي بكر و عمر</w:t>
      </w:r>
      <w:bookmarkEnd w:id="657"/>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w:t>
      </w:r>
      <w:r>
        <w:rPr>
          <w:rStyle w:val="FootnoteAnchor"/>
          <w:rtl w:val="true"/>
        </w:rPr>
        <w:footnoteReference w:id="3639"/>
      </w:r>
      <w:r>
        <w:rPr>
          <w:rFonts w:ascii="Amiri" w:hAnsi="Amiri" w:eastAsia="Amiri" w:cs="Amiri"/>
          <w:color w:val="111111"/>
          <w:sz w:val="28"/>
          <w:sz w:val="28"/>
          <w:szCs w:val="28"/>
          <w:rtl w:val="true"/>
          <w:lang w:bidi="ar-SA"/>
        </w:rPr>
        <w:t>الخبرُ الذي يَروونَه عن</w:t>
      </w:r>
      <w:r>
        <w:rPr>
          <w:rStyle w:val="FootnoteAnchor"/>
          <w:rtl w:val="true"/>
        </w:rPr>
        <w:footnoteReference w:id="3640"/>
      </w:r>
      <w:r>
        <w:rPr>
          <w:rFonts w:ascii="Amiri" w:hAnsi="Amiri" w:eastAsia="Amiri" w:cs="Amiri"/>
          <w:color w:val="111111"/>
          <w:sz w:val="28"/>
          <w:sz w:val="28"/>
          <w:szCs w:val="28"/>
          <w:rtl w:val="true"/>
          <w:lang w:bidi="ar-SA"/>
        </w:rPr>
        <w:t>جعفرِ بنِ محمّدٍ عليه السلامُ عن أبيه أنّ أميرَ المؤمنينَ عليه السلامُ قالَ ما حَكاه السائلُ‌</w:t>
      </w:r>
      <w:r>
        <w:rPr>
          <w:rStyle w:val="FootnoteAnchor"/>
          <w:rtl w:val="true"/>
        </w:rPr>
        <w:footnoteReference w:id="3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العَجائبِ أن يُروىٰ مِثلُ ذلكَ مِن</w:t>
      </w:r>
      <w:r>
        <w:rPr>
          <w:rStyle w:val="FootnoteAnchor"/>
          <w:rtl w:val="true"/>
        </w:rPr>
        <w:footnoteReference w:id="3642"/>
      </w:r>
      <w:r>
        <w:rPr>
          <w:rFonts w:ascii="Amiri" w:hAnsi="Amiri" w:eastAsia="Amiri" w:cs="Amiri"/>
          <w:color w:val="111111"/>
          <w:sz w:val="28"/>
          <w:sz w:val="28"/>
          <w:szCs w:val="28"/>
          <w:rtl w:val="true"/>
          <w:lang w:bidi="ar-SA"/>
        </w:rPr>
        <w:t>مِثلِ هذا الطريقِ الذي ما عُهِدَ منه قَطُّ إلّاما يُضادُّ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يَجوزُ أن يَقولَ ذلكَ مَن كانَ يَتظلَّمُ تَظلُّماً ظاهراً، في مَقامٍ بَعدَ آخَرَ، و بتصريحٍ بَعدَ تلويحٍ‌، و يَقولُ فيما قد رَواه ثِقاتُ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يَرِد مِن خاصِّ الطرُقِ دونَ عامِّها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أَستَعديكَ علىٰ قُرَيشٍ ؛ فإنّهم ظَلَمونيَ </w:t>
      </w:r>
      <w:r>
        <w:rPr>
          <w:rStyle w:val="FootnoteAnchor"/>
          <w:rtl w:val="true"/>
        </w:rPr>
        <w:footnoteReference w:id="3643"/>
      </w:r>
      <w:r>
        <w:rPr>
          <w:rFonts w:ascii="Amiri" w:hAnsi="Amiri" w:eastAsia="Amiri" w:cs="Amiri"/>
          <w:color w:val="111111"/>
          <w:sz w:val="28"/>
          <w:sz w:val="28"/>
          <w:szCs w:val="28"/>
          <w:rtl w:val="true"/>
          <w:lang w:bidi="ar-SA"/>
        </w:rPr>
        <w:t>الحَجَرَ و المَدَرَ</w:t>
      </w:r>
      <w:r>
        <w:rPr>
          <w:rFonts w:eastAsia="Amiri" w:cs="Amiri" w:ascii="Amiri" w:hAnsi="Amiri"/>
          <w:color w:val="111111"/>
          <w:sz w:val="28"/>
          <w:szCs w:val="28"/>
          <w:rtl w:val="true"/>
          <w:lang w:bidi="ar-SA"/>
        </w:rPr>
        <w:t>»</w:t>
      </w:r>
      <w:r>
        <w:rPr>
          <w:rStyle w:val="FootnoteAnchor"/>
          <w:rtl w:val="true"/>
        </w:rPr>
        <w:footnoteReference w:id="3644"/>
      </w:r>
      <w:r>
        <w:rPr>
          <w:rFonts w:ascii="Amiri" w:hAnsi="Amiri" w:eastAsia="Amiri" w:cs="Amiri"/>
          <w:color w:val="111111"/>
          <w:sz w:val="28"/>
          <w:sz w:val="28"/>
          <w:szCs w:val="28"/>
          <w:rtl w:val="true"/>
          <w:lang w:bidi="ar-SA"/>
        </w:rPr>
        <w:t xml:space="preserve">، 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أزَلْ </w:t>
      </w:r>
    </w:p>
    <w:p>
      <w:pPr>
        <w:pStyle w:val="BookText"/>
        <w:rPr/>
      </w:pPr>
      <w:r>
        <w:rPr>
          <w:rFonts w:ascii="Amiri" w:hAnsi="Amiri" w:eastAsia="Amiri" w:cs="Amiri"/>
          <w:color w:val="111111"/>
          <w:sz w:val="28"/>
          <w:sz w:val="28"/>
          <w:szCs w:val="28"/>
          <w:rtl w:val="true"/>
          <w:lang w:bidi="ar-SA"/>
        </w:rPr>
        <w:t>مظلوماً مُنذُ قُبِضَ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3645"/>
      </w:r>
      <w:r>
        <w:rPr>
          <w:rFonts w:ascii="Amiri" w:hAnsi="Amiri" w:eastAsia="Amiri" w:cs="Amiri"/>
          <w:color w:val="111111"/>
          <w:sz w:val="28"/>
          <w:sz w:val="28"/>
          <w:szCs w:val="28"/>
          <w:rtl w:val="true"/>
          <w:lang w:bidi="ar-SA"/>
        </w:rPr>
        <w:t>، و يَقولُ فيما رَواه زَيدُ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 الناسُ أبا بَكرٍ، و أنا أَولىٰ بِهم مِنّي بقَميصي هذا؛ فكَظَمتُ غَيظي، و انتَظَرتُ أمري</w:t>
      </w:r>
      <w:r>
        <w:rPr>
          <w:rStyle w:val="FootnoteAnchor"/>
          <w:rtl w:val="true"/>
        </w:rPr>
        <w:footnoteReference w:id="3646"/>
      </w:r>
      <w:r>
        <w:rPr>
          <w:rFonts w:ascii="Amiri" w:hAnsi="Amiri" w:eastAsia="Amiri" w:cs="Amiri"/>
          <w:color w:val="111111"/>
          <w:sz w:val="28"/>
          <w:sz w:val="28"/>
          <w:szCs w:val="28"/>
          <w:rtl w:val="true"/>
          <w:lang w:bidi="ar-SA"/>
        </w:rPr>
        <w:t>، و ألزَقتُ‌</w:t>
      </w:r>
      <w:r>
        <w:rPr>
          <w:rStyle w:val="FootnoteAnchor"/>
          <w:rtl w:val="true"/>
        </w:rPr>
        <w:footnoteReference w:id="3647"/>
      </w:r>
      <w:r>
        <w:rPr>
          <w:rFonts w:ascii="Amiri" w:hAnsi="Amiri" w:eastAsia="Amiri" w:cs="Amiri"/>
          <w:color w:val="111111"/>
          <w:sz w:val="28"/>
          <w:sz w:val="28"/>
          <w:szCs w:val="28"/>
          <w:rtl w:val="true"/>
          <w:lang w:bidi="ar-SA"/>
        </w:rPr>
        <w:t>كَلْكَلي</w:t>
      </w:r>
      <w:r>
        <w:rPr>
          <w:rStyle w:val="FootnoteAnchor"/>
          <w:rtl w:val="true"/>
        </w:rPr>
        <w:footnoteReference w:id="3648"/>
      </w:r>
      <w:r>
        <w:rPr>
          <w:rFonts w:ascii="Amiri" w:hAnsi="Amiri" w:eastAsia="Amiri" w:cs="Amiri"/>
          <w:color w:val="111111"/>
          <w:sz w:val="28"/>
          <w:sz w:val="28"/>
          <w:szCs w:val="28"/>
          <w:rtl w:val="true"/>
          <w:lang w:bidi="ar-SA"/>
        </w:rPr>
        <w:t>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أبا بَكرٍ هَلَكَ و استَخلَفَ‌</w:t>
      </w:r>
      <w:r>
        <w:rPr>
          <w:rStyle w:val="FootnoteAnchor"/>
          <w:rtl w:val="true"/>
        </w:rPr>
        <w:footnoteReference w:id="3649"/>
      </w:r>
      <w:r>
        <w:rPr>
          <w:rFonts w:ascii="Amiri" w:hAnsi="Amiri" w:eastAsia="Amiri" w:cs="Amiri"/>
          <w:color w:val="111111"/>
          <w:sz w:val="28"/>
          <w:sz w:val="28"/>
          <w:szCs w:val="28"/>
          <w:rtl w:val="true"/>
          <w:lang w:bidi="ar-SA"/>
        </w:rPr>
        <w:t>عُمَرَ، و قد و اللّٰهِ عَلِمَ أنّي أَولىٰ بالناسِ‌</w:t>
      </w:r>
      <w:r>
        <w:rPr>
          <w:rStyle w:val="FootnoteAnchor"/>
          <w:rtl w:val="true"/>
        </w:rPr>
        <w:footnoteReference w:id="3650"/>
      </w:r>
      <w:r>
        <w:rPr>
          <w:rFonts w:ascii="Amiri" w:hAnsi="Amiri" w:eastAsia="Amiri" w:cs="Amiri"/>
          <w:color w:val="111111"/>
          <w:sz w:val="28"/>
          <w:sz w:val="28"/>
          <w:szCs w:val="28"/>
          <w:rtl w:val="true"/>
          <w:lang w:bidi="ar-SA"/>
        </w:rPr>
        <w:t>مِنّي بقَميصي هذا؛ فَكَظمتُ غَيظي، و انتَظَرتُ أمري</w:t>
      </w:r>
      <w:r>
        <w:rPr>
          <w:rStyle w:val="FootnoteAnchor"/>
          <w:rtl w:val="true"/>
        </w:rPr>
        <w:footnoteReference w:id="3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هَلَكَ و جَعَلَها شورىٰ‌، و جَعَلَني فيها</w:t>
      </w:r>
      <w:r>
        <w:rPr>
          <w:rStyle w:val="FootnoteAnchor"/>
          <w:rtl w:val="true"/>
        </w:rPr>
        <w:footnoteReference w:id="3652"/>
      </w:r>
      <w:r>
        <w:rPr>
          <w:rFonts w:ascii="Amiri" w:hAnsi="Amiri" w:eastAsia="Amiri" w:cs="Amiri"/>
          <w:color w:val="111111"/>
          <w:sz w:val="28"/>
          <w:sz w:val="28"/>
          <w:szCs w:val="28"/>
          <w:rtl w:val="true"/>
          <w:lang w:bidi="ar-SA"/>
        </w:rPr>
        <w:t xml:space="preserve">سادسَ سِتّةٍ كسَهمِ الجَدّةِ‌،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الأقَلَّ ، فكَظَمتُ غَيظي، و انتَظَرتُ أمري</w:t>
      </w:r>
      <w:r>
        <w:rPr>
          <w:rStyle w:val="FootnoteAnchor"/>
          <w:rtl w:val="true"/>
        </w:rPr>
        <w:footnoteReference w:id="3653"/>
      </w:r>
      <w:r>
        <w:rPr>
          <w:rFonts w:ascii="Amiri" w:hAnsi="Amiri" w:eastAsia="Amiri" w:cs="Amiri"/>
          <w:color w:val="111111"/>
          <w:sz w:val="28"/>
          <w:sz w:val="28"/>
          <w:szCs w:val="28"/>
          <w:rtl w:val="true"/>
          <w:lang w:bidi="ar-SA"/>
        </w:rPr>
        <w:t>، و ألزَقتُ كَلكَلي بالأرضِ ، حتّىٰ ما وَجَدتُ إلّا</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القِتالَ أو الكُفرَ باللّٰهِ </w:t>
      </w:r>
      <w:r>
        <w:rPr>
          <w:rStyle w:val="FootnoteAnchor"/>
          <w:rtl w:val="true"/>
        </w:rPr>
        <w:footnoteReference w:id="36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بابٌ تُغني</w:t>
      </w:r>
      <w:r>
        <w:rPr>
          <w:rStyle w:val="FootnoteAnchor"/>
          <w:rtl w:val="true"/>
        </w:rPr>
        <w:footnoteReference w:id="3656"/>
      </w:r>
      <w:r>
        <w:rPr>
          <w:rFonts w:ascii="Amiri" w:hAnsi="Amiri" w:eastAsia="Amiri" w:cs="Amiri"/>
          <w:color w:val="111111"/>
          <w:sz w:val="28"/>
          <w:sz w:val="28"/>
          <w:szCs w:val="28"/>
          <w:rtl w:val="true"/>
          <w:lang w:bidi="ar-SA"/>
        </w:rPr>
        <w:t xml:space="preserve">فيه الإشارةُ‌؛ فإنّا لَو شئنا أن نَذكُرَ ما يُروىٰ في هذا البابِ عنه عليه السلامُ‌، و عن جعفرِ بنِ محمّدٍ 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أَسنَدَ إليهما الخبرَ الذي رَواه عنهما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جماعةِ أهلِ البيتِ‌، لَأَورَدنا مِن ذلكَ ما لا يُضبَطُ كَثرةً‌، و كُنّا لا نَذكُرُ إلّاما يَرويهِ‌</w:t>
      </w:r>
      <w:r>
        <w:rPr>
          <w:rStyle w:val="FootnoteAnchor"/>
          <w:rtl w:val="true"/>
        </w:rPr>
        <w:footnoteReference w:id="3657"/>
      </w:r>
      <w:r>
        <w:rPr>
          <w:rFonts w:ascii="Amiri" w:hAnsi="Amiri" w:eastAsia="Amiri" w:cs="Amiri"/>
          <w:color w:val="111111"/>
          <w:sz w:val="28"/>
          <w:sz w:val="28"/>
          <w:szCs w:val="28"/>
          <w:rtl w:val="true"/>
          <w:lang w:bidi="ar-SA"/>
        </w:rPr>
        <w:t>الثِّقاتُ المشهورونَ بصُحبةِ هؤلاءِ القومِ‌، و الانقطاعِ إليهم، و الأخذِ عنهم، بخِلافِ الخبرِ الذي ادَّعاه؛ لأنّه متىٰ فُتِّشَ عن أصلِه و ناقِلِه لَم يوجَدْ إلّامُنحَرِفاً مُتعصِّباً</w:t>
      </w:r>
      <w:r>
        <w:rPr>
          <w:rStyle w:val="FootnoteAnchor"/>
          <w:rtl w:val="true"/>
        </w:rPr>
        <w:footnoteReference w:id="3658"/>
      </w:r>
      <w:r>
        <w:rPr>
          <w:rFonts w:ascii="Amiri" w:hAnsi="Amiri" w:eastAsia="Amiri" w:cs="Amiri"/>
          <w:color w:val="111111"/>
          <w:sz w:val="28"/>
          <w:sz w:val="28"/>
          <w:szCs w:val="28"/>
          <w:rtl w:val="true"/>
          <w:lang w:bidi="ar-SA"/>
        </w:rPr>
        <w:t>غيرَ مشهورٍ بالصُّحبةِ لِمَن رَواه عنه مِن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استقصاءَ النظَرِ في ذلكَ فعَلَيه بالكُتُبِ المُصنَّفاتِ فيه؛ فإنّه يَجِدُ فيها ما يَشفي الغَليلَ‌</w:t>
      </w:r>
      <w:r>
        <w:rPr>
          <w:rStyle w:val="FootnoteAnchor"/>
          <w:rtl w:val="true"/>
        </w:rPr>
        <w:footnoteReference w:id="3659"/>
      </w:r>
      <w:r>
        <w:rPr>
          <w:rFonts w:ascii="Amiri" w:hAnsi="Amiri" w:eastAsia="Amiri" w:cs="Amiri"/>
          <w:color w:val="111111"/>
          <w:sz w:val="28"/>
          <w:sz w:val="28"/>
          <w:szCs w:val="28"/>
          <w:rtl w:val="true"/>
          <w:lang w:bidi="ar-SA"/>
        </w:rPr>
        <w:t>و يَنقَعُ‌</w:t>
      </w:r>
      <w:r>
        <w:rPr>
          <w:rStyle w:val="FootnoteAnchor"/>
          <w:rtl w:val="true"/>
        </w:rPr>
        <w:footnoteReference w:id="3660"/>
      </w:r>
      <w:r>
        <w:rPr>
          <w:rFonts w:ascii="Amiri" w:hAnsi="Amiri" w:eastAsia="Amiri" w:cs="Amiri"/>
          <w:color w:val="111111"/>
          <w:sz w:val="28"/>
          <w:sz w:val="28"/>
          <w:szCs w:val="28"/>
          <w:rtl w:val="true"/>
          <w:lang w:bidi="ar-SA"/>
        </w:rPr>
        <w:t>الصَّدىٰ‌</w:t>
      </w:r>
      <w:r>
        <w:rPr>
          <w:rStyle w:val="FootnoteAnchor"/>
          <w:rtl w:val="true"/>
        </w:rPr>
        <w:footnoteReference w:id="3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البَدائعِ‌</w:t>
      </w:r>
      <w:r>
        <w:rPr>
          <w:rStyle w:val="FootnoteAnchor"/>
          <w:rtl w:val="true"/>
        </w:rPr>
        <w:footnoteReference w:id="3662"/>
      </w:r>
      <w:r>
        <w:rPr>
          <w:rFonts w:ascii="Amiri" w:hAnsi="Amiri" w:eastAsia="Amiri" w:cs="Amiri"/>
          <w:color w:val="111111"/>
          <w:sz w:val="28"/>
          <w:sz w:val="28"/>
          <w:szCs w:val="28"/>
          <w:rtl w:val="true"/>
          <w:lang w:bidi="ar-SA"/>
        </w:rPr>
        <w:t>أن يَقولَ في مِثلِ ما رُويَ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وَليُّ كُلِّ مؤمِنٍ بَعدي</w:t>
      </w:r>
      <w:r>
        <w:rPr>
          <w:rFonts w:eastAsia="Amiri" w:cs="Amiri" w:ascii="Amiri" w:hAnsi="Amiri"/>
          <w:color w:val="111111"/>
          <w:sz w:val="28"/>
          <w:szCs w:val="28"/>
          <w:rtl w:val="true"/>
          <w:lang w:bidi="ar-SA"/>
        </w:rPr>
        <w:t>»</w:t>
      </w:r>
      <w:r>
        <w:rPr>
          <w:rStyle w:val="FootnoteAnchor"/>
          <w:rtl w:val="true"/>
        </w:rPr>
        <w:footnoteReference w:id="36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سَيّدُ المُسلِمينَ ، و إمامُ المُتَّقينَ </w:t>
      </w:r>
      <w:r>
        <w:rPr>
          <w:rFonts w:eastAsia="Amiri" w:cs="Amiri" w:ascii="Amiri" w:hAnsi="Amiri"/>
          <w:color w:val="111111"/>
          <w:sz w:val="28"/>
          <w:szCs w:val="28"/>
          <w:rtl w:val="true"/>
          <w:lang w:bidi="ar-SA"/>
        </w:rPr>
        <w:t>»</w:t>
      </w:r>
      <w:r>
        <w:rPr>
          <w:rStyle w:val="FootnoteAnchor"/>
          <w:rtl w:val="true"/>
        </w:rPr>
        <w:footnoteReference w:id="3664"/>
      </w:r>
      <w:r>
        <w:rPr>
          <w:rFonts w:ascii="Amiri" w:hAnsi="Amiri" w:eastAsia="Amiri" w:cs="Amiri"/>
          <w:color w:val="111111"/>
          <w:sz w:val="28"/>
          <w:sz w:val="28"/>
          <w:szCs w:val="28"/>
          <w:rtl w:val="true"/>
          <w:lang w:bidi="ar-SA"/>
        </w:rPr>
        <w:t xml:space="preserve">، أنّه لا يُعرَفُ ، و يَرميَه بالشُّذوذِ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مِن طُرُقِ العامّةِ و الخاصّةِ ، و وَرَدَ مِن جِهاتٍ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يورِدَ في مُعارَضتِه مِثلَ هذه الأخبارِ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رُويَ عنه عليه السلامُ </w:t>
      </w:r>
      <w:r>
        <w:rPr>
          <w:rStyle w:val="FootnoteAnchor"/>
          <w:rtl w:val="true"/>
        </w:rPr>
        <w:footnoteReference w:id="3665"/>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خَيرَ هذه الأُمّةِ بَعدَ نَبيِّها أبو بَكرٍ و </w:t>
      </w:r>
    </w:p>
    <w:p>
      <w:pPr>
        <w:pStyle w:val="BookText"/>
        <w:rPr/>
      </w:pPr>
      <w:r>
        <w:rPr>
          <w:rFonts w:ascii="Amiri" w:hAnsi="Amiri" w:eastAsia="Amiri" w:cs="Amiri"/>
          <w:color w:val="111111"/>
          <w:sz w:val="28"/>
          <w:sz w:val="28"/>
          <w:szCs w:val="28"/>
          <w:rtl w:val="true"/>
          <w:lang w:bidi="ar-SA"/>
        </w:rPr>
        <w:t>عُمَرُ، و لَو شئتُ أن أُسَمّيَ الثالثَ لَفَعَلتُ‌</w:t>
      </w:r>
      <w:r>
        <w:rPr>
          <w:rStyle w:val="FootnoteAnchor"/>
          <w:rtl w:val="true"/>
        </w:rPr>
        <w:footnoteReference w:id="3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عليه علىٰ سَبيلِ الجُملةِ‌، و أفسَدنا ما رَواه عنه عليه السلامُ‌</w:t>
      </w:r>
      <w:r>
        <w:rPr>
          <w:rStyle w:val="FootnoteAnchor"/>
          <w:rtl w:val="true"/>
        </w:rPr>
        <w:footnoteReference w:id="3667"/>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Style w:val="FootnoteAnchor"/>
          <w:rtl w:val="true"/>
        </w:rPr>
        <w:footnoteReference w:id="3668"/>
      </w:r>
      <w:r>
        <w:rPr>
          <w:rFonts w:ascii="Amiri" w:hAnsi="Amiri" w:eastAsia="Amiri" w:cs="Amiri"/>
          <w:color w:val="111111"/>
          <w:sz w:val="28"/>
          <w:sz w:val="28"/>
          <w:szCs w:val="28"/>
          <w:rtl w:val="true"/>
          <w:lang w:bidi="ar-SA"/>
        </w:rPr>
        <w:t>أرادَ اللّٰهُ بالناسِ خَيراً فسَيَجمَعُهم علىٰ خَيرِهم، كَما جَمَعَهم بَعدَ نَبيِّهم علىٰ خَيرِهم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يَفسُدُ به</w:t>
      </w:r>
      <w:r>
        <w:rPr>
          <w:rStyle w:val="FootnoteAnchor"/>
          <w:rtl w:val="true"/>
        </w:rPr>
        <w:footnoteReference w:id="3669"/>
      </w:r>
      <w:r>
        <w:rPr>
          <w:rFonts w:ascii="IRNazanin" w:hAnsi="IRNazanin" w:eastAsia="IRNazanin"/>
          <w:color w:val="111111"/>
          <w:sz w:val="28"/>
          <w:sz w:val="28"/>
          <w:szCs w:val="28"/>
          <w:rtl w:val="true"/>
          <w:lang w:bidi="fa-IR"/>
        </w:rPr>
        <w:t>هذا</w:t>
      </w:r>
    </w:p>
    <w:p>
      <w:pPr>
        <w:pStyle w:val="BookText"/>
        <w:rPr/>
      </w:pPr>
      <w:r>
        <w:rPr>
          <w:rFonts w:ascii="Amiri" w:hAnsi="Amiri" w:eastAsia="Amiri" w:cs="Amiri"/>
          <w:color w:val="111111"/>
          <w:sz w:val="28"/>
          <w:sz w:val="28"/>
          <w:szCs w:val="28"/>
          <w:rtl w:val="true"/>
          <w:lang w:bidi="ar-SA"/>
        </w:rPr>
        <w:t>الخبرُ و كُلُّ ما جَرىٰ مَجراه</w:t>
      </w:r>
      <w:r>
        <w:rPr>
          <w:rStyle w:val="FootnoteAnchor"/>
          <w:rtl w:val="true"/>
        </w:rPr>
        <w:footnoteReference w:id="3670"/>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هذا الخبرَ قد رُويَ علىٰ خِلافِ هذا الوجهِ‌، و أُورِدَت له مُقدِّمةٌ أُسقِطَت عنه ليَتِمَّ الاحتجاجُ به؛ و ذاكَ أنّ مُعاذَ بنَ الحَرثِ الأفطَسِ </w:t>
      </w:r>
      <w:r>
        <w:rPr>
          <w:rStyle w:val="FootnoteAnchor"/>
          <w:rtl w:val="true"/>
        </w:rPr>
        <w:footnoteReference w:id="3671"/>
      </w:r>
      <w:r>
        <w:rPr>
          <w:rFonts w:ascii="Amiri" w:hAnsi="Amiri" w:eastAsia="Amiri" w:cs="Amiri"/>
          <w:color w:val="111111"/>
          <w:sz w:val="28"/>
          <w:sz w:val="28"/>
          <w:szCs w:val="28"/>
          <w:rtl w:val="true"/>
          <w:lang w:bidi="ar-SA"/>
        </w:rPr>
        <w:t xml:space="preserve">حَدَّثَ عن حَفصِ بنِ عبدِ الرحمنِ </w:t>
      </w:r>
      <w:r>
        <w:rPr>
          <w:rStyle w:val="FootnoteAnchor"/>
          <w:rtl w:val="true"/>
        </w:rPr>
        <w:footnoteReference w:id="3672"/>
      </w:r>
      <w:r>
        <w:rPr>
          <w:rFonts w:ascii="Amiri" w:hAnsi="Amiri" w:eastAsia="Amiri" w:cs="Amiri"/>
          <w:color w:val="111111"/>
          <w:sz w:val="28"/>
          <w:sz w:val="28"/>
          <w:szCs w:val="28"/>
          <w:rtl w:val="true"/>
          <w:lang w:bidi="ar-SA"/>
        </w:rPr>
        <w:t xml:space="preserve">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عُثمانيّاً يُفضِّلُ عُثمانَ علىٰ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جَنابٍ </w:t>
      </w:r>
      <w:r>
        <w:rPr>
          <w:rStyle w:val="FootnoteAnchor"/>
          <w:rtl w:val="true"/>
        </w:rPr>
        <w:footnoteReference w:id="3674"/>
      </w:r>
      <w:r>
        <w:rPr>
          <w:rFonts w:ascii="Amiri" w:hAnsi="Amiri" w:eastAsia="Amiri" w:cs="Amiri"/>
          <w:color w:val="111111"/>
          <w:sz w:val="28"/>
          <w:sz w:val="28"/>
          <w:szCs w:val="28"/>
          <w:rtl w:val="true"/>
          <w:lang w:bidi="ar-SA"/>
        </w:rPr>
        <w:t xml:space="preserve">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أيضاً 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رأيُه في الانحرافِ عن أهلِ البَيتِ عليهم السلامُ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بنَ أبي جُحَيفةَ‌</w:t>
      </w:r>
      <w:r>
        <w:rPr>
          <w:rStyle w:val="FootnoteAnchor"/>
          <w:rtl w:val="true"/>
        </w:rPr>
        <w:footnoteReference w:id="3675"/>
      </w:r>
      <w:r>
        <w:rPr>
          <w:rFonts w:ascii="Amiri" w:hAnsi="Amiri" w:eastAsia="Amiri" w:cs="Amiri"/>
          <w:color w:val="111111"/>
          <w:sz w:val="28"/>
          <w:sz w:val="28"/>
          <w:szCs w:val="28"/>
          <w:rtl w:val="true"/>
          <w:lang w:bidi="ar-SA"/>
        </w:rPr>
        <w:t>و عَمرَو بنَ شُرَحْبيلَ‌</w:t>
      </w:r>
      <w:r>
        <w:rPr>
          <w:rStyle w:val="FootnoteAnchor"/>
          <w:rtl w:val="true"/>
        </w:rPr>
        <w:footnoteReference w:id="3676"/>
      </w:r>
      <w:r>
        <w:rPr>
          <w:rFonts w:ascii="Amiri" w:hAnsi="Amiri" w:eastAsia="Amiri" w:cs="Amiri"/>
          <w:color w:val="111111"/>
          <w:sz w:val="28"/>
          <w:sz w:val="28"/>
          <w:szCs w:val="28"/>
          <w:rtl w:val="true"/>
          <w:lang w:bidi="ar-SA"/>
        </w:rPr>
        <w:t>و سُوَيدَ بنَ غَفَلةَ‌</w:t>
      </w:r>
      <w:r>
        <w:rPr>
          <w:rStyle w:val="FootnoteAnchor"/>
          <w:rtl w:val="true"/>
        </w:rPr>
        <w:footnoteReference w:id="3677"/>
      </w:r>
      <w:r>
        <w:rPr>
          <w:rFonts w:ascii="Amiri" w:hAnsi="Amiri" w:eastAsia="Amiri" w:cs="Amiri"/>
          <w:color w:val="111111"/>
          <w:sz w:val="28"/>
          <w:sz w:val="28"/>
          <w:szCs w:val="28"/>
          <w:rtl w:val="true"/>
          <w:lang w:bidi="ar-SA"/>
        </w:rPr>
        <w:t>و عَبدَ الرحمنِ الهَمْدانيَّ‌</w:t>
      </w:r>
      <w:r>
        <w:rPr>
          <w:rStyle w:val="FootnoteAnchor"/>
          <w:rtl w:val="true"/>
        </w:rPr>
        <w:footnoteReference w:id="3678"/>
      </w:r>
    </w:p>
    <w:p>
      <w:pPr>
        <w:pStyle w:val="BookText"/>
        <w:rPr/>
      </w:pPr>
      <w:r>
        <w:rPr>
          <w:rFonts w:ascii="Amiri" w:hAnsi="Amiri" w:eastAsia="Amiri" w:cs="Amiri"/>
          <w:color w:val="111111"/>
          <w:sz w:val="28"/>
          <w:sz w:val="28"/>
          <w:szCs w:val="28"/>
          <w:rtl w:val="true"/>
          <w:lang w:bidi="ar-SA"/>
        </w:rPr>
        <w:t xml:space="preserve">و أبا جعفرٍ الأشجَعيَّ </w:t>
      </w:r>
      <w:r>
        <w:rPr>
          <w:rStyle w:val="FootnoteAnchor"/>
          <w:rtl w:val="true"/>
        </w:rPr>
        <w:footnoteReference w:id="3679"/>
      </w:r>
      <w:r>
        <w:rPr>
          <w:rFonts w:ascii="Amiri" w:hAnsi="Amiri" w:eastAsia="Amiri" w:cs="Amiri"/>
          <w:color w:val="111111"/>
          <w:sz w:val="28"/>
          <w:sz w:val="28"/>
          <w:szCs w:val="28"/>
          <w:rtl w:val="true"/>
          <w:lang w:bidi="ar-SA"/>
        </w:rPr>
        <w:t xml:space="preserve">، كُلَّهم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عليّاً عليه السلامُ علَى المِنبَرِ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الكَذِبُ الذي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خَيرَ هذه الأُمّةِ بَعدَ نَبيِّها أبو بَكرٍ و عُمَرُ؟</w:t>
      </w:r>
      <w:r>
        <w:rPr>
          <w:rFonts w:eastAsia="Amiri" w:cs="Amiri" w:ascii="Amiri" w:hAnsi="Amiri"/>
          <w:color w:val="111111"/>
          <w:sz w:val="28"/>
          <w:szCs w:val="28"/>
          <w:rtl w:val="true"/>
          <w:lang w:bidi="ar-SA"/>
        </w:rPr>
        <w:t>!»</w:t>
      </w:r>
      <w:r>
        <w:rPr>
          <w:rStyle w:val="FootnoteAnchor"/>
          <w:rtl w:val="true"/>
        </w:rPr>
        <w:footnoteReference w:id="3680"/>
      </w:r>
    </w:p>
    <w:p>
      <w:pPr>
        <w:pStyle w:val="BookText"/>
        <w:rPr/>
      </w:pPr>
      <w:r>
        <w:rPr>
          <w:rFonts w:ascii="Amiri" w:hAnsi="Amiri" w:eastAsia="Amiri" w:cs="Amiri"/>
          <w:color w:val="111111"/>
          <w:sz w:val="28"/>
          <w:sz w:val="28"/>
          <w:szCs w:val="28"/>
          <w:rtl w:val="true"/>
          <w:lang w:bidi="ar-SA"/>
        </w:rPr>
        <w:t>فإذا كانَت هذه المُقدِّمةُ قد رَواها مَن رَوَى الخبرَ ممّن ذَكرناه، مع انحرافِه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ما أثبتناه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جناب يحيى بن أبي حيّة الكلبي،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الشعبي و طبقته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ضعفه عن علماء الرجال و تدليسه و عدم استحلال بعضهم لروايته و تركهم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عَصَبيّتِه، فلا يُلتَفَتُ إلىٰ قولِ مَن يُسقِطُها؛ و المُقدِّمةُ </w:t>
      </w:r>
      <w:r>
        <w:rPr>
          <w:rStyle w:val="FootnoteAnchor"/>
          <w:rtl w:val="true"/>
        </w:rPr>
        <w:footnoteReference w:id="3681"/>
      </w:r>
      <w:r>
        <w:rPr>
          <w:rFonts w:ascii="Amiri" w:hAnsi="Amiri" w:eastAsia="Amiri" w:cs="Amiri"/>
          <w:color w:val="111111"/>
          <w:sz w:val="28"/>
          <w:sz w:val="28"/>
          <w:szCs w:val="28"/>
          <w:rtl w:val="true"/>
          <w:lang w:bidi="ar-SA"/>
        </w:rPr>
        <w:t xml:space="preserve">إذا ذُكِرَت لَم يَكُن في الخبرِ احتجاجٌ لهم، بَل يَكونُ فيه حُجّةٌ </w:t>
      </w:r>
      <w:r>
        <w:rPr>
          <w:rStyle w:val="FootnoteAnchor"/>
          <w:rtl w:val="true"/>
        </w:rPr>
        <w:footnoteReference w:id="3682"/>
      </w:r>
      <w:r>
        <w:rPr>
          <w:rFonts w:ascii="Amiri" w:hAnsi="Amiri" w:eastAsia="Amiri" w:cs="Amiri"/>
          <w:color w:val="111111"/>
          <w:sz w:val="28"/>
          <w:sz w:val="28"/>
          <w:szCs w:val="28"/>
          <w:rtl w:val="true"/>
          <w:lang w:bidi="ar-SA"/>
        </w:rPr>
        <w:t>عليهم؛ مِن حَيثُ يُنقَلُ الحُكمُ الذي ظَنّوه إلىٰ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قومٌ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w:t>
      </w:r>
      <w:r>
        <w:rPr>
          <w:rStyle w:val="FootnoteAnchor"/>
          <w:rtl w:val="true"/>
        </w:rPr>
        <w:footnoteReference w:id="3683"/>
      </w:r>
      <w:r>
        <w:rPr>
          <w:rFonts w:ascii="Amiri" w:hAnsi="Amiri" w:eastAsia="Amiri" w:cs="Amiri"/>
          <w:color w:val="111111"/>
          <w:sz w:val="28"/>
          <w:sz w:val="28"/>
          <w:szCs w:val="28"/>
          <w:rtl w:val="true"/>
          <w:lang w:bidi="ar-SA"/>
        </w:rPr>
        <w:t>الخبرُ صَحيحاً لَجازَ أن يُحمَلَ علىٰ أنّه عليه السلامُ أرادَ به ذَمَّ الجماعةِ التي</w:t>
      </w:r>
      <w:r>
        <w:rPr>
          <w:rStyle w:val="FootnoteAnchor"/>
          <w:rtl w:val="true"/>
        </w:rPr>
        <w:footnoteReference w:id="3684"/>
      </w:r>
      <w:r>
        <w:rPr>
          <w:rFonts w:ascii="Amiri" w:hAnsi="Amiri" w:eastAsia="Amiri" w:cs="Amiri"/>
          <w:color w:val="111111"/>
          <w:sz w:val="28"/>
          <w:sz w:val="28"/>
          <w:szCs w:val="28"/>
          <w:rtl w:val="true"/>
          <w:lang w:bidi="ar-SA"/>
        </w:rPr>
        <w:t>خاطَبَها بذلكَ‌، و الإزراءَ‌</w:t>
      </w:r>
      <w:r>
        <w:rPr>
          <w:rStyle w:val="FootnoteAnchor"/>
          <w:rtl w:val="true"/>
        </w:rPr>
        <w:footnoteReference w:id="3685"/>
      </w:r>
      <w:r>
        <w:rPr>
          <w:rFonts w:ascii="Amiri" w:hAnsi="Amiri" w:eastAsia="Amiri" w:cs="Amiri"/>
          <w:color w:val="111111"/>
          <w:sz w:val="28"/>
          <w:sz w:val="28"/>
          <w:szCs w:val="28"/>
          <w:rtl w:val="true"/>
          <w:lang w:bidi="ar-SA"/>
        </w:rPr>
        <w:t>علَى اعتقادِها؛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خَيرَ هذه الأُمّةِ بَعدَ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Style w:val="FootnoteAnchor"/>
          <w:rtl w:val="true"/>
        </w:rPr>
        <w:footnoteReference w:id="3686"/>
      </w:r>
      <w:r>
        <w:rPr>
          <w:rFonts w:ascii="Amiri" w:hAnsi="Amiri" w:eastAsia="Amiri" w:cs="Amiri"/>
          <w:color w:val="111111"/>
          <w:sz w:val="28"/>
          <w:sz w:val="28"/>
          <w:szCs w:val="28"/>
          <w:rtl w:val="true"/>
          <w:lang w:bidi="ar-SA"/>
        </w:rPr>
        <w:t>اعتقاداتِها و علىٰ ما تَذهَبُ‌</w:t>
      </w:r>
      <w:r>
        <w:rPr>
          <w:rStyle w:val="FootnoteAnchor"/>
          <w:rtl w:val="true"/>
        </w:rPr>
        <w:footnoteReference w:id="3687"/>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نَظائرُ في الكتابِ و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إِلىٰ إِلٰهِكَ الَّذِي ظَلْتَ عَلَيْهِ عٰاكِفاً</w:t>
      </w:r>
      <w:r>
        <w:rPr>
          <w:rFonts w:eastAsia="Amiri" w:cs="Amiri" w:ascii="Amiri" w:hAnsi="Amiri"/>
          <w:color w:val="111111"/>
          <w:sz w:val="28"/>
          <w:szCs w:val="28"/>
          <w:rtl w:val="true"/>
          <w:lang w:bidi="ar-SA"/>
        </w:rPr>
        <w:t>)</w:t>
      </w:r>
      <w:r>
        <w:rPr>
          <w:rStyle w:val="FootnoteAnchor"/>
          <w:rtl w:val="true"/>
        </w:rPr>
        <w:footnoteReference w:id="3688"/>
      </w:r>
      <w:r>
        <w:rPr>
          <w:rFonts w:ascii="Amiri" w:hAnsi="Amiri" w:eastAsia="Amiri" w:cs="Amiri"/>
          <w:color w:val="111111"/>
          <w:sz w:val="28"/>
          <w:sz w:val="28"/>
          <w:szCs w:val="28"/>
          <w:rtl w:val="true"/>
          <w:lang w:bidi="ar-SA"/>
        </w:rPr>
        <w:t xml:space="preserve">و لَم يَكُن إلهَه علَى الحَقيقةِ </w:t>
      </w:r>
      <w:r>
        <w:rPr>
          <w:rStyle w:val="FootnoteAnchor"/>
          <w:rtl w:val="true"/>
        </w:rPr>
        <w:footnoteReference w:id="3689"/>
      </w:r>
      <w:r>
        <w:rPr>
          <w:rFonts w:ascii="Amiri" w:hAnsi="Amiri" w:eastAsia="Amiri" w:cs="Amiri"/>
          <w:color w:val="111111"/>
          <w:sz w:val="28"/>
          <w:sz w:val="28"/>
          <w:szCs w:val="28"/>
          <w:rtl w:val="true"/>
          <w:lang w:bidi="ar-SA"/>
        </w:rPr>
        <w:t>، بَل كانَ كذلكَ في اعتقادِه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rtl w:val="true"/>
          <w:lang w:bidi="ar-SA"/>
        </w:rPr>
        <w:t>)</w:t>
      </w:r>
      <w:r>
        <w:rPr>
          <w:rStyle w:val="FootnoteAnchor"/>
          <w:rtl w:val="true"/>
        </w:rPr>
        <w:footnoteReference w:id="3690"/>
      </w:r>
      <w:r>
        <w:rPr>
          <w:rFonts w:ascii="Amiri" w:hAnsi="Amiri" w:eastAsia="Amiri" w:cs="Amiri"/>
          <w:color w:val="111111"/>
          <w:sz w:val="28"/>
          <w:sz w:val="28"/>
          <w:szCs w:val="28"/>
          <w:rtl w:val="true"/>
          <w:lang w:bidi="ar-SA"/>
        </w:rPr>
        <w:t xml:space="preserve">أي أنتَ كذلكَ عندَ نفسِكَ و بَينَ قومِكَ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يَقولُ أحَدُنا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فُلانٌ فَقيهُ </w:t>
      </w:r>
      <w:r>
        <w:rPr>
          <w:rStyle w:val="FootnoteAnchor"/>
          <w:rtl w:val="true"/>
        </w:rPr>
        <w:footnoteReference w:id="3691"/>
      </w:r>
      <w:r>
        <w:rPr>
          <w:rFonts w:ascii="Amiri" w:hAnsi="Amiri" w:eastAsia="Amiri" w:cs="Amiri"/>
          <w:color w:val="111111"/>
          <w:sz w:val="28"/>
          <w:sz w:val="28"/>
          <w:szCs w:val="28"/>
          <w:rtl w:val="true"/>
          <w:lang w:bidi="ar-SA"/>
        </w:rPr>
        <w:t>هذه الأُمّةِ ، و زَيدٌ شاعرُ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يُريدُ إلّا أنّه كذلكَ في اعتقادِ أهلِ العَصرِ، دونَ أن يَكونَ علَى الحَقيقةِ بهذه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ذَكرتموه و إن جازَ فالظاهرُ بخِلافِه؛ و الكلامُ علىٰ ظاهرِه، إلىٰ أن يَقومَ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في الظاهرِ علىٰ ما ادَّعَيتم لَوَجَبَ العُدولُ عنه؛ للأدلّةِ القاهرةِ الموجِبةِ‌</w:t>
      </w:r>
      <w:r>
        <w:rPr>
          <w:rStyle w:val="FootnoteAnchor"/>
          <w:rtl w:val="true"/>
        </w:rPr>
        <w:footnoteReference w:id="3692"/>
      </w:r>
      <w:r>
        <w:rPr>
          <w:rFonts w:ascii="Amiri" w:hAnsi="Amiri" w:eastAsia="Amiri" w:cs="Amiri"/>
          <w:color w:val="111111"/>
          <w:sz w:val="28"/>
          <w:sz w:val="28"/>
          <w:szCs w:val="28"/>
          <w:rtl w:val="true"/>
          <w:lang w:bidi="ar-SA"/>
        </w:rPr>
        <w:t>لفَضلِه عليه السلامُ علىٰ جميعِ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رُويَ ما يَقتَضي العُدولَ بهذا القَولِ عن ظاهرِه، و أنّه خارجٌ‌</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مَخرَجَ التعريضِ‌؛ فرَوىٰ عَونُ بنُ أبي جُحَيفةَ‌</w:t>
      </w:r>
      <w:r>
        <w:rPr>
          <w:rStyle w:val="FootnoteAnchor"/>
          <w:rtl w:val="true"/>
        </w:rPr>
        <w:footnoteReference w:id="36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حَدَّثتُكم عن رسولِ اللّٰهِ صَلَّى اللّٰهُ عليه و آلِه فلأَن أخِرَّ مِن السماءِ فتَخطَفَني الطَّيرُ أحَبُّ إلَيَّ مِن أن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حَدَّثتُكم عن نَفسي فإنّي مُحارِبٌ مُكايِدٌ؛ إنّ اللّٰهَ قَضىٰ علىٰ لِسانِ نَبيِّكُم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الحَربَ خُدْعةٌ </w:t>
      </w:r>
      <w:r>
        <w:rPr>
          <w:rStyle w:val="FootnoteAnchor"/>
          <w:rtl w:val="true"/>
        </w:rPr>
        <w:footnoteReference w:id="3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خَيرَ هذه الأُمّةِ بَعدَ نَبيِّها أبو بَكرٍ و عُمَرُ، </w:t>
      </w:r>
    </w:p>
    <w:p>
      <w:pPr>
        <w:pStyle w:val="BookText"/>
        <w:rPr/>
      </w:pPr>
      <w:r>
        <w:rPr>
          <w:rFonts w:ascii="Amiri" w:hAnsi="Amiri" w:eastAsia="Amiri" w:cs="Amiri"/>
          <w:color w:val="111111"/>
          <w:sz w:val="28"/>
          <w:sz w:val="28"/>
          <w:szCs w:val="28"/>
          <w:rtl w:val="true"/>
          <w:lang w:bidi="ar-SA"/>
        </w:rPr>
        <w:t>و لَو شئتُ لَسَمَّيتُ الثالثَ‌</w:t>
      </w:r>
      <w:r>
        <w:rPr>
          <w:rFonts w:eastAsia="Amiri" w:cs="Amiri" w:ascii="Amiri" w:hAnsi="Amiri"/>
          <w:color w:val="111111"/>
          <w:sz w:val="28"/>
          <w:szCs w:val="28"/>
          <w:rtl w:val="true"/>
          <w:lang w:bidi="ar-SA"/>
        </w:rPr>
        <w:t>»</w:t>
      </w:r>
      <w:r>
        <w:rPr>
          <w:rStyle w:val="FootnoteAnchor"/>
          <w:rtl w:val="true"/>
        </w:rPr>
        <w:footnoteReference w:id="3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الكلامُ يَدُلُّ علىٰ أنّه</w:t>
      </w:r>
      <w:r>
        <w:rPr>
          <w:rStyle w:val="FootnoteAnchor"/>
          <w:rtl w:val="true"/>
        </w:rPr>
        <w:footnoteReference w:id="3696"/>
      </w:r>
      <w:r>
        <w:rPr>
          <w:rFonts w:ascii="Amiri" w:hAnsi="Amiri" w:eastAsia="Amiri" w:cs="Amiri"/>
          <w:color w:val="111111"/>
          <w:sz w:val="28"/>
          <w:sz w:val="28"/>
          <w:szCs w:val="28"/>
          <w:rtl w:val="true"/>
          <w:lang w:bidi="ar-SA"/>
        </w:rPr>
        <w:t>علىٰ سَبيلِ 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يَحتاجُ عليه السلامُ إلَى التعريضِ‌، فيَحسُنُ منه بَعدَ أن تَكونَ الأدِلّةُ المؤمِنةُ مِن اللَّبسِ‌</w:t>
      </w:r>
      <w:r>
        <w:rPr>
          <w:rStyle w:val="FootnoteAnchor"/>
          <w:rtl w:val="true"/>
        </w:rPr>
        <w:footnoteReference w:id="3697"/>
      </w:r>
      <w:r>
        <w:rPr>
          <w:rFonts w:ascii="Amiri" w:hAnsi="Amiri" w:eastAsia="Amiri" w:cs="Amiri"/>
          <w:color w:val="111111"/>
          <w:sz w:val="28"/>
          <w:sz w:val="28"/>
          <w:szCs w:val="28"/>
          <w:rtl w:val="true"/>
          <w:lang w:bidi="ar-SA"/>
        </w:rPr>
        <w:t>و اشتباهِ الشُّبهةِ بالحُجّةِ مُتقدِّمةً ، و معلومٌ أنّ جُمهورَ أصحابِه و جُلَّهم كانوا ممّن يَعتَقِدُ</w:t>
      </w:r>
      <w:r>
        <w:rPr>
          <w:rStyle w:val="FootnoteAnchor"/>
          <w:rtl w:val="true"/>
        </w:rPr>
        <w:footnoteReference w:id="3698"/>
      </w:r>
      <w:r>
        <w:rPr>
          <w:rFonts w:ascii="Amiri" w:hAnsi="Amiri" w:eastAsia="Amiri" w:cs="Amiri"/>
          <w:color w:val="111111"/>
          <w:sz w:val="28"/>
          <w:sz w:val="28"/>
          <w:szCs w:val="28"/>
          <w:rtl w:val="true"/>
          <w:lang w:bidi="ar-SA"/>
        </w:rPr>
        <w:t>إمامةَ مَن تَقدَّمَ عليه عليه السلامُ ، و فيهم مَن يُفضِّلُهم</w:t>
      </w:r>
      <w:r>
        <w:rPr>
          <w:rStyle w:val="FootnoteAnchor"/>
          <w:rtl w:val="true"/>
        </w:rPr>
        <w:footnoteReference w:id="3699"/>
      </w:r>
      <w:r>
        <w:rPr>
          <w:rFonts w:ascii="Amiri" w:hAnsi="Amiri" w:eastAsia="Amiri" w:cs="Amiri"/>
          <w:color w:val="111111"/>
          <w:sz w:val="28"/>
          <w:sz w:val="28"/>
          <w:szCs w:val="28"/>
          <w:rtl w:val="true"/>
          <w:lang w:bidi="ar-SA"/>
        </w:rPr>
        <w:t xml:space="preserve">علىٰ جميعِ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بَثَّ الرجالَ في الشامِ يُخبِرونَ عنه عليه السلامُ بأنّه يَتبرّأُ</w:t>
      </w:r>
      <w:r>
        <w:rPr>
          <w:rStyle w:val="FootnoteAnchor"/>
          <w:rtl w:val="true"/>
        </w:rPr>
        <w:footnoteReference w:id="3700"/>
      </w:r>
      <w:r>
        <w:rPr>
          <w:rFonts w:ascii="Amiri" w:hAnsi="Amiri" w:eastAsia="Amiri" w:cs="Amiri"/>
          <w:color w:val="111111"/>
          <w:sz w:val="28"/>
          <w:sz w:val="28"/>
          <w:szCs w:val="28"/>
          <w:rtl w:val="true"/>
          <w:lang w:bidi="ar-SA"/>
        </w:rPr>
        <w:t xml:space="preserve">مِن المُتقدِّمينَ عليه، و أنّه شَرِكَ في دَمِ عُثمانَ ؛ ليُنفِّرَ الناسَ عنه، و يَصرِفَ وجوهَ أكثَرِ أصحابِه عن نُصرتِه؛ فلا يُنكَرُ أن يَكونَ قالَ ذلكَ إطفاءً لهذه النائرةِ ، و مُرادُه بالقولِ ما تَقدَّمَ ممّا لا يُخالِفُ الحَقَّ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فَسادِ هذا الخبرِ ما يَتضمَّنُه لفظُه مِن الخَلَلِ‌؛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إنّ خَيرَ هذه الأُمّةِ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دخولَ النبيِّ صَلَّى اللّٰهُ عليه و آلِه في الكلامِ الأوّلِ و تَحتَ لفظةِ </w:t>
      </w:r>
      <w:r>
        <w:rPr>
          <w:rStyle w:val="FootnoteAnchor"/>
          <w:rtl w:val="true"/>
        </w:rPr>
        <w:footnoteReference w:id="3701"/>
      </w:r>
      <w:r>
        <w:rPr>
          <w:rFonts w:ascii="Amiri" w:hAnsi="Amiri" w:eastAsia="Amiri" w:cs="Amiri"/>
          <w:color w:val="111111"/>
          <w:sz w:val="28"/>
          <w:sz w:val="28"/>
          <w:szCs w:val="28"/>
          <w:rtl w:val="true"/>
          <w:lang w:bidi="ar-SA"/>
        </w:rPr>
        <w:t xml:space="preserve">الأُمّةِ ؛ لأنّه لَو لَم يَدخُلْ لَم يَحسُنِ </w:t>
      </w:r>
    </w:p>
    <w:p>
      <w:pPr>
        <w:pStyle w:val="BookText"/>
        <w:rPr/>
      </w:pPr>
      <w:r>
        <w:rPr>
          <w:rFonts w:ascii="Amiri" w:hAnsi="Amiri" w:eastAsia="Amiri" w:cs="Amiri"/>
          <w:color w:val="111111"/>
          <w:sz w:val="28"/>
          <w:sz w:val="28"/>
          <w:szCs w:val="28"/>
          <w:rtl w:val="true"/>
          <w:lang w:bidi="ar-SA"/>
        </w:rPr>
        <w:t>استثناؤه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مُحالٌ دخولُه تَحتَ لفظةِ </w:t>
      </w:r>
      <w:r>
        <w:rPr>
          <w:rStyle w:val="FootnoteAnchor"/>
          <w:rtl w:val="true"/>
        </w:rPr>
        <w:footnoteReference w:id="3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w:t>
      </w:r>
      <w:r>
        <w:rPr>
          <w:rStyle w:val="FootnoteAnchor"/>
          <w:rtl w:val="true"/>
        </w:rPr>
        <w:footnoteReference w:id="3703"/>
      </w:r>
      <w:r>
        <w:rPr>
          <w:rFonts w:ascii="Amiri" w:hAnsi="Amiri" w:eastAsia="Amiri" w:cs="Amiri"/>
          <w:color w:val="111111"/>
          <w:sz w:val="28"/>
          <w:sz w:val="28"/>
          <w:szCs w:val="28"/>
          <w:rtl w:val="true"/>
          <w:lang w:bidi="ar-SA"/>
        </w:rPr>
        <w:t>لأنّ الأُمّةَ مُضافةٌ إليه، فكَيفَ يَكونُ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أنّه مِن أُمّةِ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دَفَعَ‌</w:t>
      </w:r>
      <w:r>
        <w:rPr>
          <w:rStyle w:val="FootnoteAnchor"/>
          <w:rtl w:val="true"/>
        </w:rPr>
        <w:footnoteReference w:id="3704"/>
      </w:r>
      <w:r>
        <w:rPr>
          <w:rFonts w:ascii="Amiri" w:hAnsi="Amiri" w:eastAsia="Amiri" w:cs="Amiri"/>
          <w:color w:val="111111"/>
          <w:sz w:val="28"/>
          <w:sz w:val="28"/>
          <w:szCs w:val="28"/>
          <w:rtl w:val="true"/>
          <w:lang w:bidi="ar-SA"/>
        </w:rPr>
        <w:t>أيضاً أصحابُنا احتجاجَ مَن احتَجَّ بهذا الخبرِ في التفضيلِ‌</w:t>
      </w:r>
      <w:r>
        <w:rPr>
          <w:rStyle w:val="FootnoteAnchor"/>
          <w:rtl w:val="true"/>
        </w:rPr>
        <w:footnoteReference w:id="3705"/>
      </w:r>
      <w:r>
        <w:rPr>
          <w:rFonts w:ascii="Amiri" w:hAnsi="Amiri" w:eastAsia="Amiri" w:cs="Amiri"/>
          <w:color w:val="111111"/>
          <w:sz w:val="28"/>
          <w:sz w:val="28"/>
          <w:szCs w:val="28"/>
          <w:rtl w:val="true"/>
          <w:lang w:bidi="ar-SA"/>
        </w:rPr>
        <w:t>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يَتكلِّمُ المُتكلِّمُ بما يَجري</w:t>
      </w:r>
      <w:r>
        <w:rPr>
          <w:rStyle w:val="FootnoteAnchor"/>
          <w:rtl w:val="true"/>
        </w:rPr>
        <w:footnoteReference w:id="3706"/>
      </w:r>
      <w:r>
        <w:rPr>
          <w:rFonts w:ascii="Amiri" w:hAnsi="Amiri" w:eastAsia="Amiri" w:cs="Amiri"/>
          <w:color w:val="111111"/>
          <w:sz w:val="28"/>
          <w:sz w:val="28"/>
          <w:szCs w:val="28"/>
          <w:rtl w:val="true"/>
          <w:lang w:bidi="ar-SA"/>
        </w:rPr>
        <w:t>هذا المَجرىٰ‌، و هو خارجٌ مِن</w:t>
      </w:r>
      <w:r>
        <w:rPr>
          <w:rStyle w:val="FootnoteAnchor"/>
          <w:rtl w:val="true"/>
        </w:rPr>
        <w:footnoteReference w:id="3707"/>
      </w:r>
      <w:r>
        <w:rPr>
          <w:rFonts w:ascii="Amiri" w:hAnsi="Amiri" w:eastAsia="Amiri" w:cs="Amiri"/>
          <w:color w:val="111111"/>
          <w:sz w:val="28"/>
          <w:sz w:val="28"/>
          <w:szCs w:val="28"/>
          <w:rtl w:val="true"/>
          <w:lang w:bidi="ar-SA"/>
        </w:rPr>
        <w:t>جُملةِ كلامِه و غيرُ داخلٍ فيه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استَشهَدوا بما رُويَ‌</w:t>
      </w:r>
      <w:r>
        <w:rPr>
          <w:rStyle w:val="FootnoteAnchor"/>
          <w:rtl w:val="true"/>
        </w:rPr>
        <w:footnoteReference w:id="3708"/>
      </w:r>
      <w:r>
        <w:rPr>
          <w:rFonts w:ascii="Amiri" w:hAnsi="Amiri" w:eastAsia="Amiri" w:cs="Amiri"/>
          <w:color w:val="111111"/>
          <w:sz w:val="28"/>
          <w:sz w:val="28"/>
          <w:szCs w:val="28"/>
          <w:rtl w:val="true"/>
          <w:lang w:bidi="ar-SA"/>
        </w:rPr>
        <w:t>عن الرسولِ صَلَّى اللّٰهُ عليه و آلِه</w:t>
      </w:r>
      <w:r>
        <w:rPr>
          <w:rStyle w:val="FootnoteAnchor"/>
          <w:rtl w:val="true"/>
        </w:rPr>
        <w:footnoteReference w:id="3709"/>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خَيرٌ مِن يونُسَ بنِ مَتّىٰ‌</w:t>
      </w:r>
      <w:r>
        <w:rPr>
          <w:rFonts w:eastAsia="Amiri" w:cs="Amiri" w:ascii="Amiri" w:hAnsi="Amiri"/>
          <w:color w:val="111111"/>
          <w:sz w:val="28"/>
          <w:szCs w:val="28"/>
          <w:rtl w:val="true"/>
          <w:lang w:bidi="ar-SA"/>
        </w:rPr>
        <w:t>»</w:t>
      </w:r>
      <w:r>
        <w:rPr>
          <w:rStyle w:val="FootnoteAnchor"/>
          <w:rtl w:val="true"/>
        </w:rPr>
        <w:footnoteReference w:id="3710"/>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الأوَّلينَ و الآخِرينَ </w:t>
      </w:r>
      <w:r>
        <w:rPr>
          <w:rFonts w:eastAsia="Amiri" w:cs="Amiri" w:ascii="Amiri" w:hAnsi="Amiri"/>
          <w:color w:val="111111"/>
          <w:sz w:val="28"/>
          <w:szCs w:val="28"/>
          <w:rtl w:val="true"/>
          <w:lang w:bidi="ar-SA"/>
        </w:rPr>
        <w:t>»</w:t>
      </w:r>
      <w:r>
        <w:rPr>
          <w:rStyle w:val="FootnoteAnchor"/>
          <w:rtl w:val="true"/>
        </w:rPr>
        <w:footnoteReference w:id="3711"/>
      </w:r>
      <w:r>
        <w:rPr>
          <w:rFonts w:ascii="Amiri" w:hAnsi="Amiri" w:eastAsia="Amiri" w:cs="Amiri"/>
          <w:color w:val="111111"/>
          <w:sz w:val="28"/>
          <w:sz w:val="28"/>
          <w:szCs w:val="28"/>
          <w:rtl w:val="true"/>
          <w:lang w:bidi="ar-SA"/>
        </w:rPr>
        <w:t>و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ولدِ آدَمَ </w:t>
      </w:r>
      <w:r>
        <w:rPr>
          <w:rFonts w:eastAsia="Amiri" w:cs="Amiri" w:ascii="Amiri" w:hAnsi="Amiri"/>
          <w:color w:val="111111"/>
          <w:sz w:val="28"/>
          <w:szCs w:val="28"/>
          <w:rtl w:val="true"/>
          <w:lang w:bidi="ar-SA"/>
        </w:rPr>
        <w:t>»</w:t>
      </w:r>
      <w:r>
        <w:rPr>
          <w:rStyle w:val="FootnoteAnchor"/>
          <w:rtl w:val="true"/>
        </w:rPr>
        <w:footnoteReference w:id="3712"/>
      </w:r>
      <w:r>
        <w:rPr>
          <w:rFonts w:ascii="Amiri" w:hAnsi="Amiri" w:eastAsia="Amiri" w:cs="Amiri"/>
          <w:color w:val="111111"/>
          <w:sz w:val="28"/>
          <w:sz w:val="28"/>
          <w:szCs w:val="28"/>
          <w:rtl w:val="true"/>
          <w:lang w:bidi="ar-SA"/>
        </w:rPr>
        <w:t xml:space="preserve">و إجماعِ الأُمّةِ علىٰ أنّه أفضَلُ الأنبياءِ </w:t>
      </w:r>
    </w:p>
    <w:p>
      <w:pPr>
        <w:pStyle w:val="BookText"/>
        <w:rPr/>
      </w:pPr>
      <w:r>
        <w:rPr>
          <w:rFonts w:ascii="Amiri" w:hAnsi="Amiri" w:eastAsia="Amiri" w:cs="Amiri"/>
          <w:color w:val="111111"/>
          <w:sz w:val="28"/>
          <w:sz w:val="28"/>
          <w:szCs w:val="28"/>
          <w:rtl w:val="true"/>
          <w:lang w:bidi="ar-SA"/>
        </w:rPr>
        <w:t>عليهم السلامُ‌، فلَولا أنّه خارجٌ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القولُ منه</w:t>
      </w:r>
      <w:r>
        <w:rPr>
          <w:rStyle w:val="FootnoteAnchor"/>
          <w:rtl w:val="true"/>
        </w:rPr>
        <w:footnoteReference w:id="3713"/>
      </w:r>
      <w:r>
        <w:rPr>
          <w:rFonts w:ascii="Amiri" w:hAnsi="Amiri" w:eastAsia="Amiri" w:cs="Amiri"/>
          <w:color w:val="111111"/>
          <w:sz w:val="28"/>
          <w:sz w:val="28"/>
          <w:szCs w:val="28"/>
          <w:rtl w:val="true"/>
          <w:lang w:bidi="ar-SA"/>
        </w:rPr>
        <w:t>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رُويَ عنه صَلَّى اللّٰهُ عليه و 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سُفيانَ بنُ الحارِثِ </w:t>
      </w:r>
      <w:r>
        <w:rPr>
          <w:rStyle w:val="FootnoteAnchor"/>
          <w:rtl w:val="true"/>
        </w:rPr>
        <w:footnoteReference w:id="3714"/>
      </w:r>
      <w:r>
        <w:rPr>
          <w:rFonts w:ascii="Amiri" w:hAnsi="Amiri" w:eastAsia="Amiri" w:cs="Amiri"/>
          <w:color w:val="111111"/>
          <w:sz w:val="28"/>
          <w:sz w:val="28"/>
          <w:szCs w:val="28"/>
          <w:rtl w:val="true"/>
          <w:lang w:bidi="ar-SA"/>
        </w:rPr>
        <w:t>خَيرُ أهلي</w:t>
      </w:r>
      <w:r>
        <w:rPr>
          <w:rFonts w:eastAsia="Amiri" w:cs="Amiri" w:ascii="Amiri" w:hAnsi="Amiri"/>
          <w:color w:val="111111"/>
          <w:sz w:val="28"/>
          <w:szCs w:val="28"/>
          <w:rtl w:val="true"/>
          <w:lang w:bidi="ar-SA"/>
        </w:rPr>
        <w:t>»</w:t>
      </w:r>
      <w:r>
        <w:rPr>
          <w:rStyle w:val="FootnoteAnchor"/>
          <w:rtl w:val="true"/>
        </w:rPr>
        <w:footnoteReference w:id="3715"/>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أقَلَّت الغَبراءُ و لا أظَلَّت الخَضراءُ علىٰ ذي لَهجةٍ أصدَقَ مِن أبي ذَرٍّ</w:t>
      </w:r>
      <w:r>
        <w:rPr>
          <w:rFonts w:eastAsia="Amiri" w:cs="Amiri" w:ascii="Amiri" w:hAnsi="Amiri"/>
          <w:color w:val="111111"/>
          <w:sz w:val="28"/>
          <w:szCs w:val="28"/>
          <w:rtl w:val="true"/>
          <w:lang w:bidi="ar-SA"/>
        </w:rPr>
        <w:t>»</w:t>
      </w:r>
      <w:r>
        <w:rPr>
          <w:rStyle w:val="FootnoteAnchor"/>
          <w:rtl w:val="true"/>
        </w:rPr>
        <w:footnoteReference w:id="3716"/>
      </w:r>
      <w:r>
        <w:rPr>
          <w:rFonts w:ascii="Amiri" w:hAnsi="Amiri" w:eastAsia="Amiri" w:cs="Amiri"/>
          <w:color w:val="111111"/>
          <w:sz w:val="28"/>
          <w:sz w:val="28"/>
          <w:szCs w:val="28"/>
          <w:rtl w:val="true"/>
          <w:lang w:bidi="ar-SA"/>
        </w:rPr>
        <w:t xml:space="preserve">و هو صَلَّى اللّٰهُ عليه و آلِه خارجٌ مِن ذلكَ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الأمالي للصدوق،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التوحيد للصدوق،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الخصال،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مسند أحمد،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2546</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2692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10985</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11000</w:t>
      </w:r>
      <w:r>
        <w:rPr>
          <w:rFonts w:ascii="Amiri" w:hAnsi="Amiri" w:eastAsia="Amiri" w:cs="Amiri"/>
          <w:color w:val="111111"/>
          <w:sz w:val="28"/>
          <w:sz w:val="28"/>
          <w:szCs w:val="28"/>
          <w:rtl w:val="true"/>
          <w:lang w:bidi="ar-SA"/>
        </w:rPr>
        <w:t xml:space="preserve">؛ صحيح مسلم،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2278</w:t>
      </w:r>
      <w:r>
        <w:rPr>
          <w:rFonts w:ascii="Amiri" w:hAnsi="Amiri" w:eastAsia="Amiri" w:cs="Amiri"/>
          <w:color w:val="111111"/>
          <w:sz w:val="28"/>
          <w:sz w:val="28"/>
          <w:szCs w:val="28"/>
          <w:rtl w:val="true"/>
          <w:lang w:bidi="ar-SA"/>
        </w:rPr>
        <w:t xml:space="preserve">؛ سنن أبي داود،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4673</w:t>
      </w:r>
      <w:r>
        <w:rPr>
          <w:rFonts w:ascii="Amiri" w:hAnsi="Amiri" w:eastAsia="Amiri" w:cs="Amiri"/>
          <w:color w:val="111111"/>
          <w:sz w:val="28"/>
          <w:sz w:val="28"/>
          <w:szCs w:val="28"/>
          <w:rtl w:val="true"/>
          <w:lang w:bidi="ar-SA"/>
        </w:rPr>
        <w:t xml:space="preserve">؛ سنن ابن ماجة،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4308</w:t>
      </w:r>
      <w:r>
        <w:rPr>
          <w:rFonts w:ascii="Amiri" w:hAnsi="Amiri" w:eastAsia="Amiri" w:cs="Amiri"/>
          <w:color w:val="111111"/>
          <w:sz w:val="28"/>
          <w:sz w:val="28"/>
          <w:szCs w:val="28"/>
          <w:rtl w:val="true"/>
          <w:lang w:bidi="ar-SA"/>
        </w:rPr>
        <w:t xml:space="preserve">؛ الجامع الصحيح،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3148</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3615</w:t>
      </w:r>
      <w:r>
        <w:rPr>
          <w:rFonts w:ascii="Amiri" w:hAnsi="Amiri" w:eastAsia="Amiri" w:cs="Amiri"/>
          <w:color w:val="111111"/>
          <w:sz w:val="28"/>
          <w:sz w:val="28"/>
          <w:szCs w:val="28"/>
          <w:rtl w:val="true"/>
          <w:lang w:bidi="ar-SA"/>
        </w:rPr>
        <w:t xml:space="preserve">؛ المعجم الكبير،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2749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10256</w:t>
      </w:r>
      <w:r>
        <w:rPr>
          <w:rFonts w:ascii="Amiri" w:hAnsi="Amiri" w:eastAsia="Amiri" w:cs="Amiri"/>
          <w:color w:val="111111"/>
          <w:sz w:val="28"/>
          <w:sz w:val="28"/>
          <w:szCs w:val="28"/>
          <w:rtl w:val="true"/>
          <w:lang w:bidi="ar-SA"/>
        </w:rPr>
        <w:t xml:space="preserve">؛ المستدرك على الصحيحين،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4189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يَحلِفُ الرجُلُ أيضاً أن لا يُدخِلَ دارَه أحَداً مِن الناسِ‌، و هو خارجٌ مِن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عليه السلامُ‌</w:t>
      </w:r>
      <w:r>
        <w:rPr>
          <w:rStyle w:val="FootnoteAnchor"/>
          <w:rtl w:val="true"/>
        </w:rPr>
        <w:footnoteReference w:id="3717"/>
      </w:r>
      <w:r>
        <w:rPr>
          <w:rFonts w:ascii="Amiri" w:hAnsi="Amiri" w:eastAsia="Amiri" w:cs="Amiri"/>
          <w:color w:val="111111"/>
          <w:sz w:val="28"/>
          <w:sz w:val="28"/>
          <w:szCs w:val="28"/>
          <w:rtl w:val="true"/>
          <w:lang w:bidi="ar-SA"/>
        </w:rPr>
        <w:t>خارجاً مِن الخبرِ، مِن حَيثُ كانَ المُخاطِبَ به، لَم يَدُلَّ علَى التفضيلِ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w:t>
      </w:r>
      <w:r>
        <w:rPr>
          <w:rStyle w:val="FootnoteAnchor"/>
          <w:rtl w:val="true"/>
        </w:rPr>
        <w:footnoteReference w:id="3718"/>
      </w:r>
      <w:r>
        <w:rPr>
          <w:rFonts w:ascii="Amiri" w:hAnsi="Amiri" w:eastAsia="Amiri" w:cs="Amiri"/>
          <w:color w:val="111111"/>
          <w:sz w:val="28"/>
          <w:sz w:val="28"/>
          <w:szCs w:val="28"/>
          <w:rtl w:val="true"/>
          <w:lang w:bidi="ar-SA"/>
        </w:rPr>
        <w:t>الأُمورِ أن يَستَشهِدَ القومُ بهذا الخبرِ علَى التفضيلِ و هُم يَروونَ أنّ أبا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وَلِيتُكم و لَستُ بخَيرِكم</w:t>
      </w:r>
      <w:r>
        <w:rPr>
          <w:rFonts w:eastAsia="Amiri" w:cs="Amiri" w:ascii="Amiri" w:hAnsi="Amiri"/>
          <w:color w:val="111111"/>
          <w:sz w:val="28"/>
          <w:szCs w:val="28"/>
          <w:rtl w:val="true"/>
          <w:lang w:bidi="ar-SA"/>
        </w:rPr>
        <w:t>»</w:t>
      </w:r>
      <w:r>
        <w:rPr>
          <w:rStyle w:val="FootnoteAnchor"/>
          <w:rtl w:val="true"/>
        </w:rPr>
        <w:footnoteReference w:id="3719"/>
      </w:r>
      <w:r>
        <w:rPr>
          <w:rFonts w:ascii="Amiri" w:hAnsi="Amiri" w:eastAsia="Amiri" w:cs="Amiri"/>
          <w:color w:val="111111"/>
          <w:sz w:val="28"/>
          <w:sz w:val="28"/>
          <w:szCs w:val="28"/>
          <w:rtl w:val="true"/>
          <w:lang w:bidi="ar-SA"/>
        </w:rPr>
        <w:t xml:space="preserve">فصَرَّحَ باللفظِ الخاصِّ بأنّه لَيسَ بالأفضَلِ ، ثُمّ يَتأوَّلونَ ذلكَ علىٰ أنّه خَرَجَ مَخرَجَ التخاشُعِ و التخاضُعِ ، فألّا استَعمَلوا هذا الضربَ </w:t>
      </w:r>
      <w:r>
        <w:rPr>
          <w:rStyle w:val="FootnoteAnchor"/>
          <w:rtl w:val="true"/>
        </w:rPr>
        <w:footnoteReference w:id="3720"/>
      </w:r>
      <w:r>
        <w:rPr>
          <w:rFonts w:ascii="Amiri" w:hAnsi="Amiri" w:eastAsia="Amiri" w:cs="Amiri"/>
          <w:color w:val="111111"/>
          <w:sz w:val="28"/>
          <w:sz w:val="28"/>
          <w:szCs w:val="28"/>
          <w:rtl w:val="true"/>
          <w:lang w:bidi="ar-SA"/>
        </w:rPr>
        <w:t>مِن التأويلِ فيما يَدَّعونَه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لا إنّ خَيرَ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الإنصافَ عندَهم مفقودٌ</w:t>
      </w:r>
      <w:r>
        <w:rPr>
          <w:rStyle w:val="FootnoteAnchor"/>
          <w:rtl w:val="true"/>
        </w:rPr>
        <w:footnoteReference w:id="3721"/>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1514/4</w:t>
      </w:r>
      <w:r>
        <w:rPr>
          <w:rFonts w:ascii="Amiri" w:hAnsi="Amiri" w:eastAsia="Amiri" w:cs="Amiri"/>
          <w:color w:val="111111"/>
          <w:sz w:val="28"/>
          <w:sz w:val="28"/>
          <w:szCs w:val="28"/>
          <w:rtl w:val="true"/>
          <w:lang w:bidi="ar-SA"/>
        </w:rPr>
        <w:t xml:space="preserve">؛ روضة الواعظين،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17/646</w:t>
      </w:r>
      <w:r>
        <w:rPr>
          <w:rFonts w:ascii="Amiri" w:hAnsi="Amiri" w:eastAsia="Amiri" w:cs="Amiri"/>
          <w:color w:val="111111"/>
          <w:sz w:val="28"/>
          <w:sz w:val="28"/>
          <w:szCs w:val="28"/>
          <w:rtl w:val="true"/>
          <w:lang w:bidi="ar-SA"/>
        </w:rPr>
        <w:t xml:space="preserve">؛ مسند أحمد،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6519</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6630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7078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21772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27533</w:t>
      </w:r>
      <w:r>
        <w:rPr>
          <w:rFonts w:ascii="Amiri" w:hAnsi="Amiri" w:eastAsia="Amiri" w:cs="Amiri"/>
          <w:color w:val="111111"/>
          <w:sz w:val="28"/>
          <w:sz w:val="28"/>
          <w:szCs w:val="28"/>
          <w:rtl w:val="true"/>
          <w:lang w:bidi="ar-SA"/>
        </w:rPr>
        <w:t xml:space="preserve">؛ سنن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الجامع الصحيح،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3802</w:t>
      </w:r>
      <w:r>
        <w:rPr>
          <w:rFonts w:ascii="Amiri" w:hAnsi="Amiri" w:eastAsia="Amiri" w:cs="Amiri"/>
          <w:color w:val="111111"/>
          <w:sz w:val="28"/>
          <w:sz w:val="28"/>
          <w:szCs w:val="28"/>
          <w:rtl w:val="true"/>
          <w:lang w:bidi="ar-SA"/>
        </w:rPr>
        <w:t xml:space="preserve">؛ المستدرك على الصحيحين،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5462</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5467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8478</w:t>
      </w:r>
      <w:r>
        <w:rPr>
          <w:rFonts w:ascii="Amiri" w:hAnsi="Amiri" w:eastAsia="Amiri" w:cs="Amiri"/>
          <w:color w:val="111111"/>
          <w:sz w:val="28"/>
          <w:sz w:val="28"/>
          <w:szCs w:val="28"/>
          <w:rtl w:val="true"/>
          <w:lang w:bidi="ar-SA"/>
        </w:rPr>
        <w:t xml:space="preserve">؛ المصنّف لابن أبي شيبة،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33122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36898</w:t>
      </w:r>
      <w:r>
        <w:rPr>
          <w:rFonts w:eastAsia="Amiri" w:cs="Amiri" w:ascii="Amiri" w:hAnsi="Amiri"/>
          <w:color w:val="111111"/>
          <w:sz w:val="28"/>
          <w:szCs w:val="28"/>
          <w:rtl w:val="true"/>
          <w:lang w:bidi="ar-SA"/>
        </w:rPr>
        <w:t xml:space="preserve">. </w:t>
      </w:r>
      <w:bookmarkStart w:id="658" w:name="pg20017_202786"/>
    </w:p>
    <w:p>
      <w:pPr>
        <w:pStyle w:val="Heading6"/>
        <w:numPr>
          <w:ilvl w:val="5"/>
          <w:numId w:val="1"/>
        </w:numPr>
        <w:rPr/>
      </w:pPr>
      <w:bookmarkStart w:id="659" w:name="__RefHeading___Toc964463_2320776876"/>
      <w:bookmarkStart w:id="660" w:name="_Toc235"/>
      <w:bookmarkEnd w:id="658"/>
      <w:bookmarkEnd w:id="659"/>
      <w:r>
        <w:rPr>
          <w:rtl w:val="true"/>
        </w:rPr>
        <w:t>مناقشة الاستدلال علىٰ خلافة أبي بكر، بردّ أمير المؤمنين عليه السلام لمّا عَرَضها أبو سفيان عليه</w:t>
      </w:r>
      <w:bookmarkEnd w:id="660"/>
    </w:p>
    <w:p>
      <w:pPr>
        <w:pStyle w:val="BookText"/>
        <w:rPr/>
      </w:pPr>
      <w:r>
        <w:rPr>
          <w:rFonts w:ascii="Amiri" w:hAnsi="Amiri" w:eastAsia="Amiri" w:cs="Amiri"/>
          <w:color w:val="111111"/>
          <w:sz w:val="28"/>
          <w:sz w:val="28"/>
          <w:szCs w:val="28"/>
          <w:rtl w:val="true"/>
          <w:lang w:bidi="ar-SA"/>
        </w:rPr>
        <w:t>فأمّا ما رَواه عن</w:t>
      </w:r>
      <w:r>
        <w:rPr>
          <w:rStyle w:val="FootnoteAnchor"/>
          <w:rtl w:val="true"/>
        </w:rPr>
        <w:footnoteReference w:id="3722"/>
      </w:r>
      <w:r>
        <w:rPr>
          <w:rFonts w:ascii="Amiri" w:hAnsi="Amiri" w:eastAsia="Amiri" w:cs="Amiri"/>
          <w:color w:val="111111"/>
          <w:sz w:val="28"/>
          <w:sz w:val="28"/>
          <w:szCs w:val="28"/>
          <w:rtl w:val="true"/>
          <w:lang w:bidi="ar-SA"/>
        </w:rPr>
        <w:t xml:space="preserve">جعفرِ بنِ محمّدٍ عليه السلامُ مِن قولِ أميرِ المؤمنينَ عليه السلامُ لأبي سُفيانَ عندَ استخلافِ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أُبايِعْكَ‌؛ فوَ اللّٰهِ لَأملأنَّها علىٰ أبي فَصيلٍ خَيلاً و رَجِلاً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مِن دَواهيكَ‌، و ما زِلتَ تَبغي</w:t>
      </w:r>
      <w:r>
        <w:rPr>
          <w:rStyle w:val="FootnoteAnchor"/>
          <w:rtl w:val="true"/>
        </w:rPr>
        <w:footnoteReference w:id="3723"/>
      </w:r>
      <w:r>
        <w:rPr>
          <w:rFonts w:ascii="Amiri" w:hAnsi="Amiri" w:eastAsia="Amiri" w:cs="Amiri"/>
          <w:color w:val="111111"/>
          <w:sz w:val="28"/>
          <w:sz w:val="28"/>
          <w:szCs w:val="28"/>
          <w:rtl w:val="true"/>
          <w:lang w:bidi="ar-SA"/>
        </w:rPr>
        <w:t>للإسلامِ العِوَجَ في الجاهليّةِ 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خبرٌ مَتىٰ صَحَّ لَم يَكُن فيه دَلالةٌ علىٰ أكثَرَ مِن تُهَمةِ أميرِ المؤمنينَ عليه السلامُ لأبي سُفيانَ‌، و قَطعِه علىٰ خُبثِ باطنِه، و قِلّةِ دينِه، و بُعدِه عن النُّصحِ فيما يُشيرُ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حُجّةَ فيه و لا دَلالةَ علىٰ إمامةِ أبي بَكرٍ و لا تفضيلِه؛ لأنّ أميرَ المؤمنينَ عليه السلامُ لَم يَعدِلْ عن مُخارَجةِ‌</w:t>
      </w:r>
      <w:r>
        <w:rPr>
          <w:rStyle w:val="FootnoteAnchor"/>
          <w:rtl w:val="true"/>
        </w:rPr>
        <w:footnoteReference w:id="3724"/>
      </w:r>
      <w:r>
        <w:rPr>
          <w:rFonts w:ascii="Amiri" w:hAnsi="Amiri" w:eastAsia="Amiri" w:cs="Amiri"/>
          <w:color w:val="111111"/>
          <w:sz w:val="28"/>
          <w:sz w:val="28"/>
          <w:szCs w:val="28"/>
          <w:rtl w:val="true"/>
          <w:lang w:bidi="ar-SA"/>
        </w:rPr>
        <w:t>القومِ و التصريحِ بادِّعاءِ النصِّ و المُجاذَبةِ‌</w:t>
      </w:r>
      <w:r>
        <w:rPr>
          <w:rStyle w:val="FootnoteAnchor"/>
          <w:rtl w:val="true"/>
        </w:rPr>
        <w:footnoteReference w:id="3725"/>
      </w:r>
      <w:r>
        <w:rPr>
          <w:rFonts w:ascii="Amiri" w:hAnsi="Amiri" w:eastAsia="Amiri" w:cs="Amiri"/>
          <w:color w:val="111111"/>
          <w:sz w:val="28"/>
          <w:sz w:val="28"/>
          <w:szCs w:val="28"/>
          <w:rtl w:val="true"/>
          <w:lang w:bidi="ar-SA"/>
        </w:rPr>
        <w:t xml:space="preserve">عليه إلّالِما اقتَضَته الحالُ مِن حِفظِ أصلِ الدينِ‌، و لعِلمِه بأنّ المُخاصَمةَ و المُغالَبةَ فيه تؤدّيانِ </w:t>
      </w:r>
      <w:r>
        <w:rPr>
          <w:rStyle w:val="FootnoteAnchor"/>
          <w:rtl w:val="true"/>
        </w:rPr>
        <w:footnoteReference w:id="3726"/>
      </w:r>
      <w:r>
        <w:rPr>
          <w:rFonts w:ascii="Amiri" w:hAnsi="Amiri" w:eastAsia="Amiri" w:cs="Amiri"/>
          <w:color w:val="111111"/>
          <w:sz w:val="28"/>
          <w:sz w:val="28"/>
          <w:szCs w:val="28"/>
          <w:rtl w:val="true"/>
          <w:lang w:bidi="ar-SA"/>
        </w:rPr>
        <w:t>إلىٰ فَسادٍ لا يُتَلافىٰ ؛ فلا بُدَّ مِن مُخالَفتِه في هذا البابِ لكُلِّ مُشيرٍ، سِيَّما</w:t>
      </w:r>
      <w:r>
        <w:rPr>
          <w:rStyle w:val="FootnoteAnchor"/>
          <w:rtl w:val="true"/>
        </w:rPr>
        <w:footnoteReference w:id="3727"/>
      </w:r>
      <w:r>
        <w:rPr>
          <w:rFonts w:ascii="Amiri" w:hAnsi="Amiri" w:eastAsia="Amiri" w:cs="Amiri"/>
          <w:color w:val="111111"/>
          <w:sz w:val="28"/>
          <w:sz w:val="28"/>
          <w:szCs w:val="28"/>
          <w:rtl w:val="true"/>
          <w:lang w:bidi="ar-SA"/>
        </w:rPr>
        <w:t>إذا كانَ مُتَّهَماً مُنافِقاً، غيرَ نَقيِّ السَّريرةِ ؛ فلَيسَ في رَدِّه عليه السلامُ علىٰ أبي سُفيانَ ما رآه مِن إظهارِ البَيعةِ و المُحارَبةِ أكثَرُ ممّا ذَكرناه مِن أنّ الرأيَ كانَ عندَه في خِلافِه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استحقاقُ مُتوَلّي الأمرِ له، لَما جازَ أن يَنهىٰ أميرُ المؤمنينَ عليه السلامُ عن الإجلابِ عليه و المُحارَبةِ له، و لا أن يَمتَنِعَ مُن مُبايَعةِ أبي سُفيانَ له بالإمامةِ </w:t>
      </w:r>
      <w:r>
        <w:rPr>
          <w:rFonts w:eastAsia="Amiri" w:cs="Amiri" w:ascii="Amiri" w:hAnsi="Amiri"/>
          <w:color w:val="111111"/>
          <w:sz w:val="28"/>
          <w:szCs w:val="28"/>
          <w:rtl w:val="true"/>
          <w:lang w:bidi="ar-SA"/>
        </w:rPr>
        <w:t xml:space="preserve">. </w:t>
      </w:r>
      <w:bookmarkStart w:id="661" w:name="pg20017_202787"/>
    </w:p>
    <w:p>
      <w:pPr>
        <w:pStyle w:val="BookText"/>
        <w:rPr/>
      </w:pPr>
      <w:bookmarkEnd w:id="661"/>
      <w:r>
        <w:rPr>
          <w:rFonts w:ascii="Amiri" w:hAnsi="Amiri" w:eastAsia="Amiri" w:cs="Amiri"/>
          <w:color w:val="111111"/>
          <w:sz w:val="28"/>
          <w:sz w:val="28"/>
          <w:szCs w:val="28"/>
          <w:rtl w:val="true"/>
          <w:lang w:bidi="ar-SA"/>
        </w:rPr>
        <w:t>لأنّا قد بيّنّا أنّ ذلكَ أجمَعَ لا يَدُلُّ علَى استحقاقِ الأمرِ، و أنّ المَصلَحةَ إذا</w:t>
      </w:r>
    </w:p>
    <w:p>
      <w:pPr>
        <w:pStyle w:val="BookText"/>
        <w:rPr/>
      </w:pPr>
      <w:r>
        <w:rPr>
          <w:rFonts w:ascii="Amiri" w:hAnsi="Amiri" w:eastAsia="Amiri" w:cs="Amiri"/>
          <w:color w:val="111111"/>
          <w:sz w:val="28"/>
          <w:sz w:val="28"/>
          <w:szCs w:val="28"/>
          <w:rtl w:val="true"/>
          <w:lang w:bidi="ar-SA"/>
        </w:rPr>
        <w:t xml:space="preserve">اقتَضَت الإمساكَ وَجَبَ و إن لَم يَكُن هُناكَ استحقاقٌ مِن المُتَلَبِّسِ </w:t>
      </w:r>
      <w:r>
        <w:rPr>
          <w:rStyle w:val="FootnoteAnchor"/>
          <w:rtl w:val="true"/>
        </w:rPr>
        <w:footnoteReference w:id="3728"/>
      </w:r>
      <w:r>
        <w:rPr>
          <w:rFonts w:ascii="Amiri" w:hAnsi="Amiri" w:eastAsia="Amiri" w:cs="Amiri"/>
          <w:color w:val="111111"/>
          <w:sz w:val="28"/>
          <w:sz w:val="28"/>
          <w:szCs w:val="28"/>
          <w:rtl w:val="true"/>
          <w:lang w:bidi="ar-SA"/>
        </w:rPr>
        <w:t>بالأمرِ، و أنّ هذا إن جُعِلَ دَلالةً في هذا المَوضِعِ لَزِمَ أن يَكونَ الإمساكُ عن الظَّلَمةِ و المُتغلِّبينَ علىٰ أُمورِ المُسلِمينَ مِن بَني أُمَيَّةَ و غيرِهم دَلالةً علَى استحقاقِهم لِما كانَ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نَعلَمُ أنّ الحَسَنَ عليه السلامُ لَو أشارَ عليه مُشيرٌ بَعدَ صُلحِ مُعاويةَ بمُحارَبتِه و بمُخارَجتِه</w:t>
      </w:r>
      <w:r>
        <w:rPr>
          <w:rStyle w:val="FootnoteAnchor"/>
          <w:rtl w:val="true"/>
        </w:rPr>
        <w:footnoteReference w:id="3729"/>
      </w:r>
      <w:r>
        <w:rPr>
          <w:rFonts w:ascii="Amiri" w:hAnsi="Amiri" w:eastAsia="Amiri" w:cs="Amiri"/>
          <w:color w:val="111111"/>
          <w:sz w:val="28"/>
          <w:sz w:val="28"/>
          <w:szCs w:val="28"/>
          <w:rtl w:val="true"/>
          <w:lang w:bidi="ar-SA"/>
        </w:rPr>
        <w:t xml:space="preserve">لَعَصاه و خالَفَه؛ بَل قَد عَصىٰ جماعةً أشاروا عليه بخِلافِ ما رآه مِن الإمساكِ و التسليمِ ، و بَيَّنَ لهم أنّ الدينَ و الرأيَ يَقتَضيانِ ما فَعَلَه عليه السلامُ </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964465_2320776876"/>
      <w:bookmarkStart w:id="663" w:name="_Toc236"/>
      <w:bookmarkEnd w:id="662"/>
      <w:r>
        <w:rPr>
          <w:rtl w:val="true"/>
        </w:rPr>
        <w:t>مناقشة خبر تمنّي أمير المؤمنين عليه السلام أن يلقى اللّٰه بصحيفة عمر</w:t>
      </w:r>
      <w:bookmarkEnd w:id="66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رَواه عن أميرِ المؤمنينَ عليه السلامُ مِن التمَنّي لِأنْ يَلقَى اللّٰهَ </w:t>
      </w:r>
      <w:r>
        <w:rPr>
          <w:rStyle w:val="FootnoteAnchor"/>
          <w:rtl w:val="true"/>
        </w:rPr>
        <w:footnoteReference w:id="3730"/>
      </w:r>
      <w:r>
        <w:rPr>
          <w:rFonts w:ascii="Amiri" w:hAnsi="Amiri" w:eastAsia="Amiri" w:cs="Amiri"/>
          <w:color w:val="111111"/>
          <w:sz w:val="28"/>
          <w:sz w:val="28"/>
          <w:szCs w:val="28"/>
          <w:rtl w:val="true"/>
          <w:lang w:bidi="ar-SA"/>
        </w:rPr>
        <w:t xml:space="preserve">تَعالىٰ </w:t>
      </w:r>
      <w:r>
        <w:rPr>
          <w:rStyle w:val="FootnoteAnchor"/>
          <w:rtl w:val="true"/>
        </w:rPr>
        <w:footnoteReference w:id="3731"/>
      </w:r>
      <w:r>
        <w:rPr>
          <w:rFonts w:ascii="Amiri" w:hAnsi="Amiri" w:eastAsia="Amiri" w:cs="Amiri"/>
          <w:color w:val="111111"/>
          <w:sz w:val="28"/>
          <w:sz w:val="28"/>
          <w:szCs w:val="28"/>
          <w:rtl w:val="true"/>
          <w:lang w:bidi="ar-SA"/>
        </w:rPr>
        <w:t>بصَحيفةِ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يَقولُه مَن فَضَّلَه النبيُّ صَلَّى اللّٰهُ عليه و آلِه علَى الخَلقِ بالأقوالِ و الأفعالِ المُجمَعِ عليها، الظاهرةِ في الروايةِ ، و قد تَقدَّمَ طَرَفٌ منها</w:t>
      </w:r>
      <w:r>
        <w:rPr>
          <w:rStyle w:val="FootnoteAnchor"/>
          <w:rtl w:val="true"/>
        </w:rPr>
        <w:footnoteReference w:id="3732"/>
      </w:r>
      <w:r>
        <w:rPr>
          <w:rFonts w:ascii="Amiri" w:hAnsi="Amiri" w:eastAsia="Amiri" w:cs="Amiri"/>
          <w:color w:val="111111"/>
          <w:sz w:val="28"/>
          <w:sz w:val="28"/>
          <w:szCs w:val="28"/>
          <w:rtl w:val="true"/>
          <w:lang w:bidi="ar-SA"/>
        </w:rPr>
        <w:t>و لا يَصدُرُ عمّن كانَ يُصرِّحُ بتفضيلِ نفسِه علىٰ جميعِ الأُمّةِ بَعدَ الرسولِ صَلَّى اللّٰهُ عليه و آلِه، و لا يَقدِرُ أحَدٌ غيرُه</w:t>
      </w:r>
      <w:r>
        <w:rPr>
          <w:rStyle w:val="FootnoteAnchor"/>
          <w:rtl w:val="true"/>
        </w:rPr>
        <w:footnoteReference w:id="3733"/>
      </w:r>
      <w:r>
        <w:rPr>
          <w:rFonts w:ascii="Amiri" w:hAnsi="Amiri" w:eastAsia="Amiri" w:cs="Amiri"/>
          <w:color w:val="111111"/>
          <w:sz w:val="28"/>
          <w:sz w:val="28"/>
          <w:szCs w:val="28"/>
          <w:rtl w:val="true"/>
          <w:lang w:bidi="ar-SA"/>
        </w:rPr>
        <w:t>أن يُصرِّحَ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الكلامُ علىٰ نَظائرِ هذا الخبرِ</w:t>
      </w:r>
      <w:r>
        <w:rPr>
          <w:rStyle w:val="FootnoteAnchor"/>
          <w:rtl w:val="true"/>
        </w:rPr>
        <w:footnoteReference w:id="3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 أَلقَى اللّٰهَ بصَحيفةِ هذا المُسَجّىٰ‌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الأرضِ أحَدٌ أحَبُّ إلَيَّ مِن</w:t>
      </w:r>
      <w:r>
        <w:rPr>
          <w:rStyle w:val="FootnoteAnchor"/>
          <w:rtl w:val="true"/>
        </w:rPr>
        <w:footnoteReference w:id="3735"/>
      </w:r>
      <w:r>
        <w:rPr>
          <w:rFonts w:ascii="Amiri" w:hAnsi="Amiri" w:eastAsia="Amiri" w:cs="Amiri"/>
          <w:color w:val="111111"/>
          <w:sz w:val="28"/>
          <w:sz w:val="28"/>
          <w:szCs w:val="28"/>
          <w:rtl w:val="true"/>
          <w:lang w:bidi="ar-SA"/>
        </w:rPr>
        <w:t>أن أَلقَى اللّٰهَ بصَحيفتِه</w:t>
      </w:r>
      <w:r>
        <w:rPr>
          <w:rStyle w:val="FootnoteAnchor"/>
          <w:rtl w:val="true"/>
        </w:rPr>
        <w:footnoteReference w:id="3736"/>
      </w:r>
      <w:r>
        <w:rPr>
          <w:rFonts w:ascii="Amiri" w:hAnsi="Amiri" w:eastAsia="Amiri" w:cs="Amiri"/>
          <w:color w:val="111111"/>
          <w:sz w:val="28"/>
          <w:sz w:val="28"/>
          <w:szCs w:val="28"/>
          <w:rtl w:val="true"/>
          <w:lang w:bidi="ar-SA"/>
        </w:rPr>
        <w:t>مِن هذا المُسَجّىٰ‌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محمولاً علىٰ ظاهرِه؛ لأنّ الصحيفةَ إنّما يُشارُ بها إلىٰ صَحيفةِ الأعمالِ‌، و أعمالُ زَيدٍ لا يَجوزُ أن يَكونَ بعَينِها لعَمرٍو، و تَمَنِّي ذلكَ ممّا</w:t>
      </w:r>
      <w:r>
        <w:rPr>
          <w:rStyle w:val="FootnoteAnchor"/>
          <w:rtl w:val="true"/>
        </w:rPr>
        <w:footnoteReference w:id="3737"/>
      </w:r>
      <w:r>
        <w:rPr>
          <w:rFonts w:ascii="Amiri" w:hAnsi="Amiri" w:eastAsia="Amiri" w:cs="Amiri"/>
          <w:color w:val="111111"/>
          <w:sz w:val="28"/>
          <w:sz w:val="28"/>
          <w:szCs w:val="28"/>
          <w:rtl w:val="true"/>
          <w:lang w:bidi="ar-SA"/>
        </w:rPr>
        <w:t>لا يَصِحُّ علىٰ مِثلِه</w:t>
      </w:r>
      <w:r>
        <w:rPr>
          <w:rStyle w:val="FootnoteAnchor"/>
          <w:rtl w:val="true"/>
        </w:rPr>
        <w:footnoteReference w:id="3738"/>
      </w:r>
      <w:r>
        <w:rPr>
          <w:rFonts w:ascii="Amiri" w:hAnsi="Amiri" w:eastAsia="Amiri" w:cs="Amiri"/>
          <w:color w:val="111111"/>
          <w:sz w:val="28"/>
          <w:sz w:val="28"/>
          <w:szCs w:val="28"/>
          <w:rtl w:val="true"/>
          <w:lang w:bidi="ar-SA"/>
        </w:rPr>
        <w:t>عليه السلامُ‌؛ فلا بُدَّ مِن أن يُقالَ‌</w:t>
      </w:r>
      <w:r>
        <w:rPr>
          <w:rStyle w:val="FootnoteAnchor"/>
          <w:rtl w:val="true"/>
        </w:rPr>
        <w:footnoteReference w:id="3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صَحيفتِه و بنَظيرِ</w:t>
      </w:r>
      <w:r>
        <w:rPr>
          <w:rStyle w:val="FootnoteAnchor"/>
          <w:rtl w:val="true"/>
        </w:rPr>
        <w:footnoteReference w:id="3740"/>
      </w:r>
      <w:r>
        <w:rPr>
          <w:rFonts w:ascii="Amiri" w:hAnsi="Amiri" w:eastAsia="Amiri" w:cs="Amiri"/>
          <w:color w:val="111111"/>
          <w:sz w:val="28"/>
          <w:sz w:val="28"/>
          <w:szCs w:val="28"/>
          <w:rtl w:val="true"/>
          <w:lang w:bidi="ar-SA"/>
        </w:rPr>
        <w:t>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جازَ أن يُضمِروا شَيئاً لَيسَ‌</w:t>
      </w:r>
      <w:r>
        <w:rPr>
          <w:rStyle w:val="FootnoteAnchor"/>
          <w:rtl w:val="true"/>
        </w:rPr>
        <w:footnoteReference w:id="3741"/>
      </w:r>
      <w:r>
        <w:rPr>
          <w:rFonts w:ascii="Amiri" w:hAnsi="Amiri" w:eastAsia="Amiri" w:cs="Amiri"/>
          <w:color w:val="111111"/>
          <w:sz w:val="28"/>
          <w:sz w:val="28"/>
          <w:szCs w:val="28"/>
          <w:rtl w:val="true"/>
          <w:lang w:bidi="ar-SA"/>
        </w:rPr>
        <w:t>في صَريحِ اللفظِ، جازَ</w:t>
      </w:r>
      <w:r>
        <w:rPr>
          <w:rStyle w:val="FootnoteAnchor"/>
          <w:rtl w:val="true"/>
        </w:rPr>
        <w:footnoteReference w:id="3742"/>
      </w:r>
      <w:r>
        <w:rPr>
          <w:rFonts w:ascii="Amiri" w:hAnsi="Amiri" w:eastAsia="Amiri" w:cs="Amiri"/>
          <w:color w:val="111111"/>
          <w:sz w:val="28"/>
          <w:sz w:val="28"/>
          <w:szCs w:val="28"/>
          <w:rtl w:val="true"/>
          <w:lang w:bidi="ar-SA"/>
        </w:rPr>
        <w:t xml:space="preserve">لخُصومِهم أن يُضمِروا خِلافَه، و يَجعَلوا بَدَلاً مِن إضمارِ المِثلِ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تَكافأَت الدعوَيانِ </w:t>
      </w:r>
      <w:r>
        <w:rPr>
          <w:rStyle w:val="FootnoteAnchor"/>
          <w:rtl w:val="true"/>
        </w:rPr>
        <w:footnoteReference w:id="3743"/>
      </w:r>
      <w:r>
        <w:rPr>
          <w:rFonts w:ascii="Amiri" w:hAnsi="Amiri" w:eastAsia="Amiri" w:cs="Amiri"/>
          <w:color w:val="111111"/>
          <w:sz w:val="28"/>
          <w:sz w:val="28"/>
          <w:szCs w:val="28"/>
          <w:rtl w:val="true"/>
          <w:lang w:bidi="ar-SA"/>
        </w:rPr>
        <w:t>لَم يَكُن في ظاهرِ الخبرِ حُجّةٌ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في مُتقدِّمي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تَمَنّىٰ أن يَلقَى اللّٰهَ بصَحيفتِه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ليُخاصِمَه بما فيها</w:t>
      </w:r>
      <w:r>
        <w:rPr>
          <w:rStyle w:val="FootnoteAnchor"/>
          <w:rtl w:val="true"/>
        </w:rPr>
        <w:footnoteReference w:id="3744"/>
      </w:r>
      <w:r>
        <w:rPr>
          <w:rFonts w:ascii="Amiri" w:hAnsi="Amiri" w:eastAsia="Amiri" w:cs="Amiri"/>
          <w:color w:val="111111"/>
          <w:sz w:val="28"/>
          <w:sz w:val="28"/>
          <w:szCs w:val="28"/>
          <w:rtl w:val="true"/>
          <w:lang w:bidi="ar-SA"/>
        </w:rPr>
        <w:t>، و يُحاكِمَه بما تَضمَّنَته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أيضاً في ذلكَ وجهاً غيرَ هذا معروفاً</w:t>
      </w:r>
      <w:r>
        <w:rPr>
          <w:rStyle w:val="FootnoteAnchor"/>
          <w:rtl w:val="true"/>
        </w:rPr>
        <w:footnoteReference w:id="3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يُسقِطُ تَعلُّقَهم بالخبرِ</w:t>
      </w:r>
      <w:r>
        <w:rPr>
          <w:rFonts w:eastAsia="Amiri" w:cs="Amiri" w:ascii="Amiri" w:hAnsi="Amiri"/>
          <w:color w:val="111111"/>
          <w:sz w:val="28"/>
          <w:szCs w:val="28"/>
          <w:rtl w:val="true"/>
          <w:lang w:bidi="ar-SA"/>
        </w:rPr>
        <w:t xml:space="preserve">. </w:t>
      </w:r>
      <w:bookmarkStart w:id="664" w:name="pg20017_202789"/>
    </w:p>
    <w:p>
      <w:pPr>
        <w:pStyle w:val="Heading6"/>
        <w:numPr>
          <w:ilvl w:val="5"/>
          <w:numId w:val="1"/>
        </w:numPr>
        <w:rPr/>
      </w:pPr>
      <w:bookmarkStart w:id="665" w:name="__RefHeading___Toc964467_2320776876"/>
      <w:bookmarkStart w:id="666" w:name="_Toc237"/>
      <w:bookmarkEnd w:id="664"/>
      <w:bookmarkEnd w:id="665"/>
      <w:r>
        <w:rPr>
          <w:rtl w:val="true"/>
        </w:rPr>
        <w:t>مناقشة خبر</w:t>
      </w:r>
      <w:r>
        <w:rPr>
          <w:rtl w:val="true"/>
        </w:rPr>
        <w:t>: «</w:t>
      </w:r>
      <w:r>
        <w:rPr>
          <w:rtl w:val="true"/>
        </w:rPr>
        <w:t>لو كنتُ متّخذاً خليلاً</w:t>
      </w:r>
      <w:r>
        <w:rPr>
          <w:rtl w:val="true"/>
        </w:rPr>
        <w:t>»</w:t>
      </w:r>
      <w:bookmarkEnd w:id="666"/>
    </w:p>
    <w:p>
      <w:pPr>
        <w:pStyle w:val="BookText"/>
        <w:rPr/>
      </w:pPr>
      <w:r>
        <w:rPr>
          <w:rFonts w:ascii="Amiri" w:hAnsi="Amiri" w:eastAsia="Amiri" w:cs="Amiri"/>
          <w:color w:val="111111"/>
          <w:sz w:val="28"/>
          <w:sz w:val="28"/>
          <w:szCs w:val="28"/>
          <w:rtl w:val="true"/>
          <w:lang w:bidi="ar-SA"/>
        </w:rPr>
        <w:t>فأمّا ما رَواه عن النبيِّ صَلَّى اللّٰهُ عليه و آلِه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مُتَّخِذاً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الكلامُ عليه فيما مَضىٰ مِن الكتابِ </w:t>
      </w:r>
      <w:r>
        <w:rPr>
          <w:rStyle w:val="FootnoteAnchor"/>
          <w:rtl w:val="true"/>
        </w:rPr>
        <w:footnoteReference w:id="3746"/>
      </w:r>
      <w:r>
        <w:rPr>
          <w:rFonts w:ascii="Amiri" w:hAnsi="Amiri" w:eastAsia="Amiri" w:cs="Amiri"/>
          <w:color w:val="111111"/>
          <w:sz w:val="28"/>
          <w:sz w:val="28"/>
          <w:szCs w:val="28"/>
          <w:rtl w:val="true"/>
          <w:lang w:bidi="ar-SA"/>
        </w:rPr>
        <w:t>، فلا وجهَ لإعادتِه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Style w:val="FootnoteAnchor"/>
          <w:rtl w:val="true"/>
        </w:rPr>
        <w:footnoteReference w:id="3747"/>
      </w:r>
      <w:r>
        <w:rPr>
          <w:rFonts w:ascii="Amiri" w:hAnsi="Amiri" w:eastAsia="Amiri" w:cs="Amiri"/>
          <w:color w:val="111111"/>
          <w:sz w:val="28"/>
          <w:sz w:val="28"/>
          <w:szCs w:val="28"/>
          <w:rtl w:val="true"/>
          <w:lang w:bidi="ar-SA"/>
        </w:rPr>
        <w:t xml:space="preserve">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علىٰ أنّ جميعَ ما رَواه مِن الأخبارِ لا يُعارِضُ في الثبوتِ و الصحّةِ أخبارَنا، و أنّ لأخبارِنا في بابِ الحُجّةِ المَزيّةَ الظاهرةَ ، و الرُّجحانَ القويَّ </w:t>
      </w:r>
      <w:r>
        <w:rPr>
          <w:rStyle w:val="FootnoteAnchor"/>
          <w:rtl w:val="true"/>
        </w:rPr>
        <w:footnoteReference w:id="37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7" w:name="__RefHeading___Toc964469_2320776876"/>
      <w:bookmarkStart w:id="668" w:name="_Toc238"/>
      <w:bookmarkEnd w:id="667"/>
      <w:r>
        <w:rPr>
          <w:rtl w:val="true"/>
        </w:rPr>
        <w:t>بيان دلالة قوله صلى الله عليه و آله</w:t>
      </w:r>
      <w:r>
        <w:rPr>
          <w:rtl w:val="true"/>
        </w:rPr>
        <w:t>: «</w:t>
      </w:r>
      <w:r>
        <w:rPr>
          <w:rtl w:val="true"/>
        </w:rPr>
        <w:t>إمام المتّقين</w:t>
      </w:r>
      <w:r>
        <w:rPr>
          <w:rtl w:val="true"/>
        </w:rPr>
        <w:t xml:space="preserve">» </w:t>
      </w:r>
      <w:r>
        <w:rPr>
          <w:rtl w:val="true"/>
        </w:rPr>
        <w:t>على الإمامة</w:t>
      </w:r>
      <w:bookmarkEnd w:id="668"/>
    </w:p>
    <w:p>
      <w:pPr>
        <w:pStyle w:val="BookText"/>
        <w:rPr/>
      </w:pPr>
      <w:r>
        <w:rPr>
          <w:rFonts w:ascii="Amiri" w:hAnsi="Amiri" w:eastAsia="Amiri" w:cs="Amiri"/>
          <w:color w:val="111111"/>
          <w:sz w:val="28"/>
          <w:sz w:val="28"/>
          <w:szCs w:val="28"/>
          <w:rtl w:val="true"/>
          <w:lang w:bidi="ar-SA"/>
        </w:rPr>
        <w:t>فأمّا قولُه عن أبي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 هذه الأخبارَ لا تَقتَضي النصَّ‌، بَل هي مُحتَمِلةٌ‌؛ لأنّ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التقوىٰ ؛ و لَو أرادَ به الإمامةَ لَم يَكُن بأن يَكونَ إماماً للمُتَّقينَ بأَولىٰ مِن أن يَكونَ إماماً للفاسِقينَ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فتأويل باطلٌ‌؛ لأنّ حَملَ ذلكَ علىٰ أنّه إمامٌ في شَيءٍ دونَ شَيءٍ تخصيصٌ‌، و مَذهبُه الأخذُ بالعُمومِ‌؛ إلّاأن يَقومَ دليلٌ </w:t>
      </w:r>
      <w:r>
        <w:rPr>
          <w:rStyle w:val="FootnoteAnchor"/>
          <w:rtl w:val="true"/>
        </w:rPr>
        <w:footnoteReference w:id="3749"/>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أنّا قد بيّنّا فيما مَضىٰ أنّ معنَى الإمامةِ و حقيقةَ هذه اللفظةِ و الصفةِ تَتضمَّنُ </w:t>
      </w:r>
      <w:r>
        <w:rPr>
          <w:rStyle w:val="FootnoteAnchor"/>
          <w:rtl w:val="true"/>
        </w:rPr>
        <w:footnoteReference w:id="3750"/>
      </w:r>
      <w:r>
        <w:rPr>
          <w:rFonts w:ascii="Amiri" w:hAnsi="Amiri" w:eastAsia="Amiri" w:cs="Amiri"/>
          <w:color w:val="111111"/>
          <w:sz w:val="28"/>
          <w:sz w:val="28"/>
          <w:szCs w:val="28"/>
          <w:rtl w:val="true"/>
          <w:lang w:bidi="ar-SA"/>
        </w:rPr>
        <w:t xml:space="preserve">الاقتداءَ بمَن كانَ إماماً مِن حَيثُ قالَ و فَعَلَ </w:t>
      </w:r>
      <w:r>
        <w:rPr>
          <w:rStyle w:val="FootnoteAnchor"/>
          <w:rtl w:val="true"/>
        </w:rPr>
        <w:footnoteReference w:id="3751"/>
      </w:r>
      <w:r>
        <w:rPr>
          <w:rFonts w:ascii="Amiri" w:hAnsi="Amiri" w:eastAsia="Amiri" w:cs="Amiri"/>
          <w:color w:val="111111"/>
          <w:sz w:val="28"/>
          <w:sz w:val="28"/>
          <w:szCs w:val="28"/>
          <w:rtl w:val="true"/>
          <w:lang w:bidi="ar-SA"/>
        </w:rPr>
        <w:t>فإذا ثَبَتَ أنّه إمامٌ لبعضِ الأُمّةِ في بعضِ الأُمورِ، فلا بُدَّ</w:t>
      </w:r>
      <w:r>
        <w:rPr>
          <w:rStyle w:val="FootnoteAnchor"/>
          <w:rtl w:val="true"/>
        </w:rPr>
        <w:footnoteReference w:id="3752"/>
      </w:r>
      <w:r>
        <w:rPr>
          <w:rFonts w:ascii="Amiri" w:hAnsi="Amiri" w:eastAsia="Amiri" w:cs="Amiri"/>
          <w:color w:val="111111"/>
          <w:sz w:val="28"/>
          <w:sz w:val="28"/>
          <w:szCs w:val="28"/>
          <w:rtl w:val="true"/>
          <w:lang w:bidi="ar-SA"/>
        </w:rPr>
        <w:t>مِن أن يَكونَ مُقتَدىً به في ذلكَ الأمرِ علَى الوجهِ الذي ذَكرناه، و ذلكَ يَقتَضي عِصمتَه، و إذا ثَبَتَت</w:t>
      </w:r>
      <w:r>
        <w:rPr>
          <w:rStyle w:val="FootnoteAnchor"/>
          <w:rtl w:val="true"/>
        </w:rPr>
        <w:footnoteReference w:id="3753"/>
      </w:r>
      <w:r>
        <w:rPr>
          <w:rFonts w:ascii="Amiri" w:hAnsi="Amiri" w:eastAsia="Amiri" w:cs="Amiri"/>
          <w:color w:val="111111"/>
          <w:sz w:val="28"/>
          <w:sz w:val="28"/>
          <w:szCs w:val="28"/>
          <w:rtl w:val="true"/>
          <w:lang w:bidi="ar-SA"/>
        </w:rPr>
        <w:t xml:space="preserve">عِصمتُه وَجَبَت إمامتُه؛ لأنّ كُلَّ </w:t>
      </w:r>
    </w:p>
    <w:p>
      <w:pPr>
        <w:pStyle w:val="BookText"/>
        <w:rPr/>
      </w:pPr>
      <w:r>
        <w:rPr>
          <w:rFonts w:ascii="Amiri" w:hAnsi="Amiri" w:eastAsia="Amiri" w:cs="Amiri"/>
          <w:color w:val="111111"/>
          <w:sz w:val="28"/>
          <w:sz w:val="28"/>
          <w:szCs w:val="28"/>
          <w:rtl w:val="true"/>
          <w:lang w:bidi="ar-SA"/>
        </w:rPr>
        <w:t xml:space="preserve">مَن أثبَتَ له العصمةَ و قَطَعَ عليها، أوجَبَ له الإمامةَ بَعدَ الرسولِ صَلَّى اللّٰهُ عليه و آلِه بلا 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تخصيصُ المُتَّقينَ باللفظِ دونَ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يَمتَنِعُ و إن كانَ إماماً للكُلِّ‌،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3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النسخ و المطبوع و الحجري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حمل ذلك علىٰ أنّ المتقين لمّاانتفعوا بهدايته و لم ينتفع بها الفاسقون جاز هذا القول و كان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Style w:val="FootnoteAnchor"/>
          <w:rtl w:val="true"/>
        </w:rPr>
        <w:footnoteReference w:id="3755"/>
      </w:r>
      <w:r>
        <w:rPr>
          <w:rFonts w:ascii="Amiri" w:hAnsi="Amiri" w:eastAsia="Amiri" w:cs="Amiri"/>
          <w:color w:val="111111"/>
          <w:sz w:val="28"/>
          <w:sz w:val="28"/>
          <w:szCs w:val="28"/>
          <w:rtl w:val="true"/>
          <w:lang w:bidi="ar-SA"/>
        </w:rPr>
        <w:t>و إن كانَ هُدىً للكُلِّ ؛ فإن حُمِلَ ذلكَ علَى المُتَّقينَ لمّا انتَفَعوا بهِدايتِه و لَم يَنتَفِعْ بها الفاسِقونَ</w:t>
      </w:r>
    </w:p>
    <w:p>
      <w:pPr>
        <w:pStyle w:val="BookText"/>
        <w:rPr/>
      </w:pPr>
      <w:r>
        <w:rPr>
          <w:rFonts w:ascii="Amiri" w:hAnsi="Amiri" w:eastAsia="Amiri" w:cs="Amiri"/>
          <w:color w:val="111111"/>
          <w:sz w:val="28"/>
          <w:sz w:val="28"/>
          <w:szCs w:val="28"/>
          <w:rtl w:val="true"/>
          <w:lang w:bidi="ar-SA"/>
        </w:rPr>
        <w:t>و جازَ هذا القولُ ، كانَ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مِثلَ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إمامُ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وجهَ يُذكَرُ في اختصاصِ لفظِ الآيةِ مع عُمومِ معناها، إلّاو هو قائمٌ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دُعاءُ الصالحينَ‌ بأن يَجعَلَهم اللّٰهُ‌</w:t>
      </w:r>
      <w:r>
        <w:rPr>
          <w:rStyle w:val="FootnoteAnchor"/>
          <w:rtl w:val="true"/>
        </w:rPr>
        <w:footnoteReference w:id="3756"/>
      </w:r>
      <w:r>
        <w:rPr>
          <w:rFonts w:ascii="Amiri" w:hAnsi="Amiri" w:eastAsia="Amiri" w:cs="Amiri"/>
          <w:color w:val="111111"/>
          <w:sz w:val="28"/>
          <w:sz w:val="28"/>
          <w:szCs w:val="28"/>
          <w:rtl w:val="true"/>
          <w:lang w:bidi="ar-SA"/>
        </w:rPr>
        <w:t>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يَجوزُ أن يُحمَلَ علىٰ أنّهم دَعَوا بأن يَكونوا أئمّةً يُقتَدىٰ بِهم الاقتداءَ الحقيقيَّ الذي بيّنّاه؛ فهذا غيرُ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صِرنا إلىٰ ما يُريدُه</w:t>
      </w:r>
      <w:r>
        <w:rPr>
          <w:rStyle w:val="FootnoteAnchor"/>
          <w:rtl w:val="true"/>
        </w:rPr>
        <w:footnoteReference w:id="3757"/>
      </w:r>
      <w:r>
        <w:rPr>
          <w:rFonts w:ascii="Amiri" w:hAnsi="Amiri" w:eastAsia="Amiri" w:cs="Amiri"/>
          <w:color w:val="111111"/>
          <w:sz w:val="28"/>
          <w:sz w:val="28"/>
          <w:szCs w:val="28"/>
          <w:rtl w:val="true"/>
          <w:lang w:bidi="ar-SA"/>
        </w:rPr>
        <w:t>مِن أنّهم دَعَوا بخِلافِ ذلكَ ، لَكُنّا إنّما صِرنا إليه بدَلالةٍ ، و إن كانَت</w:t>
      </w:r>
      <w:r>
        <w:rPr>
          <w:rStyle w:val="FootnoteAnchor"/>
          <w:rtl w:val="true"/>
        </w:rPr>
        <w:footnoteReference w:id="3758"/>
      </w:r>
      <w:r>
        <w:rPr>
          <w:rFonts w:ascii="Amiri" w:hAnsi="Amiri" w:eastAsia="Amiri" w:cs="Amiri"/>
          <w:color w:val="111111"/>
          <w:sz w:val="28"/>
          <w:sz w:val="28"/>
          <w:szCs w:val="28"/>
          <w:rtl w:val="true"/>
          <w:lang w:bidi="ar-SA"/>
        </w:rPr>
        <w:t xml:space="preserve">حقيقةُ الإمامةِ تَتضمَّنُ ما قَدَّمناه مِن معنَى الاقتداءِ المخصوصِ </w:t>
      </w:r>
      <w:r>
        <w:rPr>
          <w:rStyle w:val="FootnoteAnchor"/>
          <w:rtl w:val="true"/>
        </w:rPr>
        <w:footnoteReference w:id="3759"/>
      </w:r>
      <w:r>
        <w:rPr>
          <w:rFonts w:ascii="Amiri" w:hAnsi="Amiri" w:eastAsia="Amiri" w:cs="Amiri"/>
          <w:color w:val="111111"/>
          <w:sz w:val="28"/>
          <w:sz w:val="28"/>
          <w:szCs w:val="28"/>
          <w:rtl w:val="true"/>
          <w:lang w:bidi="ar-SA"/>
        </w:rPr>
        <w:t xml:space="preserve">و لَيسَ العُدولُ عن بعضِ الظواهرِ لدَلالةٍ تَقتَضي العُدولَ عن كُلِّ ظاهرٍ بغَيرِ دَلالةٍ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يَجِبُ أن يَكونَ إماماً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الكلامُ علىٰ هذا المعنىٰ في جُملةِ كلامِنا في خبرِ الغَديرِ، و استَقصَينا القولَ </w:t>
      </w:r>
      <w:r>
        <w:rPr>
          <w:rStyle w:val="FootnoteAnchor"/>
          <w:rtl w:val="true"/>
        </w:rPr>
        <w:footnoteReference w:id="3760"/>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3761"/>
      </w:r>
      <w:bookmarkStart w:id="669" w:name="pg20017_202791"/>
    </w:p>
    <w:p>
      <w:pPr>
        <w:pStyle w:val="Heading6"/>
        <w:numPr>
          <w:ilvl w:val="5"/>
          <w:numId w:val="1"/>
        </w:numPr>
        <w:rPr/>
      </w:pPr>
      <w:bookmarkStart w:id="670" w:name="__RefHeading___Toc964471_2320776876"/>
      <w:bookmarkStart w:id="671" w:name="_Toc239"/>
      <w:bookmarkEnd w:id="669"/>
      <w:bookmarkEnd w:id="670"/>
      <w:r>
        <w:rPr>
          <w:rtl w:val="true"/>
        </w:rPr>
        <w:t>بيان دلالة قوله صلى الله عليه و آله</w:t>
      </w:r>
      <w:r>
        <w:rPr>
          <w:rtl w:val="true"/>
        </w:rPr>
        <w:t>: «</w:t>
      </w:r>
      <w:r>
        <w:rPr>
          <w:rtl w:val="true"/>
        </w:rPr>
        <w:t>و سيّد المسلمين و قائد الغرّ المحجّلين</w:t>
      </w:r>
      <w:r>
        <w:rPr>
          <w:rtl w:val="true"/>
        </w:rPr>
        <w:t xml:space="preserve">» </w:t>
      </w:r>
      <w:r>
        <w:rPr>
          <w:rtl w:val="true"/>
        </w:rPr>
        <w:t>على الإمامة</w:t>
      </w:r>
      <w:bookmarkEnd w:id="671"/>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السيادةِ يَرجِعُ‌</w:t>
      </w:r>
      <w:r>
        <w:rPr>
          <w:rStyle w:val="FootnoteAnchor"/>
          <w:rtl w:val="true"/>
        </w:rPr>
        <w:footnoteReference w:id="3762"/>
      </w:r>
      <w:r>
        <w:rPr>
          <w:rFonts w:ascii="Amiri" w:hAnsi="Amiri" w:eastAsia="Amiri" w:cs="Amiri"/>
          <w:color w:val="111111"/>
          <w:sz w:val="28"/>
          <w:sz w:val="28"/>
          <w:szCs w:val="28"/>
          <w:rtl w:val="true"/>
          <w:lang w:bidi="ar-SA"/>
        </w:rPr>
        <w:t>إلىٰ معنَى الإمامةِ و الرئاسةِ ،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قائدُ الغُرِّ المُحَجَّلينَ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القائدَ للقَومِ هو الرئيسُ المُطاعُ فيهم، لا</w:t>
      </w:r>
      <w:r>
        <w:rPr>
          <w:rStyle w:val="FootnoteAnchor"/>
          <w:rtl w:val="true"/>
        </w:rPr>
        <w:footnoteReference w:id="3763"/>
      </w:r>
      <w:r>
        <w:rPr>
          <w:rFonts w:ascii="Amiri" w:hAnsi="Amiri" w:eastAsia="Amiri" w:cs="Amiri"/>
          <w:color w:val="111111"/>
          <w:sz w:val="28"/>
          <w:sz w:val="28"/>
          <w:szCs w:val="28"/>
          <w:rtl w:val="true"/>
          <w:lang w:bidi="ar-SA"/>
        </w:rPr>
        <w:t>سِيَّما إذا كانَ ذلكَ عَقيبَ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شُبهةَ في أنّ معنىٰ هذه الألفاظِ يَتقارَبُ </w:t>
      </w:r>
      <w:r>
        <w:rPr>
          <w:rStyle w:val="FootnoteAnchor"/>
          <w:rtl w:val="true"/>
        </w:rPr>
        <w:footnoteReference w:id="3764"/>
      </w:r>
      <w:r>
        <w:rPr>
          <w:rFonts w:ascii="Amiri" w:hAnsi="Amiri" w:eastAsia="Amiri" w:cs="Amiri"/>
          <w:color w:val="111111"/>
          <w:sz w:val="28"/>
          <w:sz w:val="28"/>
          <w:szCs w:val="28"/>
          <w:rtl w:val="true"/>
          <w:lang w:bidi="ar-SA"/>
        </w:rPr>
        <w:t>، و يُفهَمُ منها ما ذَكرناه</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964473_2320776876"/>
      <w:bookmarkStart w:id="673" w:name="_Toc240"/>
      <w:bookmarkEnd w:id="672"/>
      <w:r>
        <w:rPr>
          <w:rtl w:val="true"/>
        </w:rPr>
        <w:t>بيان دلالة قوله صلى الله عليه و آله</w:t>
      </w:r>
      <w:r>
        <w:rPr>
          <w:rtl w:val="true"/>
        </w:rPr>
        <w:t>: «</w:t>
      </w:r>
      <w:r>
        <w:rPr>
          <w:rtl w:val="true"/>
        </w:rPr>
        <w:t>إنّه وليّ كلّ مؤمن و مؤمنة</w:t>
      </w:r>
      <w:r>
        <w:rPr>
          <w:rtl w:val="true"/>
        </w:rPr>
        <w:t xml:space="preserve">» </w:t>
      </w:r>
      <w:r>
        <w:rPr>
          <w:rtl w:val="true"/>
        </w:rPr>
        <w:t>على الإمامة</w:t>
      </w:r>
      <w:bookmarkEnd w:id="673"/>
    </w:p>
    <w:p>
      <w:pPr>
        <w:pStyle w:val="BookText"/>
        <w:rPr/>
      </w:pPr>
      <w:r>
        <w:rPr>
          <w:rFonts w:ascii="Amiri" w:hAnsi="Amiri" w:eastAsia="Amiri" w:cs="Amiri"/>
          <w:color w:val="111111"/>
          <w:sz w:val="28"/>
          <w:sz w:val="28"/>
          <w:szCs w:val="28"/>
          <w:rtl w:val="true"/>
          <w:lang w:bidi="ar-SA"/>
        </w:rPr>
        <w:t xml:space="preserve">فأمّا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وَليُّ كُلِّ مؤمِنٍ و مؤمِنةٍ‌</w:t>
      </w:r>
      <w:r>
        <w:rPr>
          <w:rStyle w:val="FootnoteAnchor"/>
          <w:rtl w:val="true"/>
        </w:rPr>
        <w:footnoteReference w:id="3765"/>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بيّنّا عندَ الكلامِ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 رَسُولُهُ </w:t>
      </w:r>
      <w:r>
        <w:rPr>
          <w:rFonts w:eastAsia="Amiri" w:cs="Amiri" w:ascii="Amiri" w:hAnsi="Amiri"/>
          <w:color w:val="111111"/>
          <w:sz w:val="28"/>
          <w:szCs w:val="28"/>
          <w:rtl w:val="true"/>
          <w:lang w:bidi="ar-SA"/>
        </w:rPr>
        <w:t>)</w:t>
      </w:r>
      <w:r>
        <w:rPr>
          <w:rStyle w:val="FootnoteAnchor"/>
          <w:rtl w:val="true"/>
        </w:rPr>
        <w:footnoteReference w:id="3766"/>
      </w:r>
      <w:r>
        <w:rPr>
          <w:rFonts w:ascii="Amiri" w:hAnsi="Amiri" w:eastAsia="Amiri" w:cs="Amiri"/>
          <w:color w:val="111111"/>
          <w:sz w:val="28"/>
          <w:sz w:val="28"/>
          <w:szCs w:val="28"/>
          <w:rtl w:val="true"/>
          <w:lang w:bidi="ar-SA"/>
        </w:rPr>
        <w:t>الكلامَ في اقتضاءِ هذه اللفظةِ لمعنَى الإمامةِ ، و شَرَحناه و استَقصَيناه</w:t>
      </w:r>
      <w:r>
        <w:rPr>
          <w:rStyle w:val="FootnoteAnchor"/>
          <w:rtl w:val="true"/>
        </w:rPr>
        <w:footnoteReference w:id="3767"/>
      </w:r>
      <w:r>
        <w:rPr>
          <w:rFonts w:ascii="Amiri" w:hAnsi="Amiri" w:eastAsia="Amiri" w:cs="Amiri"/>
          <w:color w:val="111111"/>
          <w:sz w:val="28"/>
          <w:sz w:val="28"/>
          <w:szCs w:val="28"/>
          <w:rtl w:val="true"/>
          <w:lang w:bidi="ar-SA"/>
        </w:rPr>
        <w:t xml:space="preserve">فسَقَطَ ادّعاؤه أنّها لا تُفيدُ الإمامةَ </w:t>
      </w:r>
      <w:r>
        <w:rPr>
          <w:rFonts w:eastAsia="Amiri" w:cs="Amiri" w:ascii="Amiri" w:hAnsi="Amiri"/>
          <w:color w:val="111111"/>
          <w:sz w:val="28"/>
          <w:szCs w:val="28"/>
          <w:rtl w:val="true"/>
          <w:lang w:bidi="ar-SA"/>
        </w:rPr>
        <w:t>.</w:t>
      </w:r>
    </w:p>
    <w:p>
      <w:pPr>
        <w:pStyle w:val="Heading6"/>
        <w:numPr>
          <w:ilvl w:val="5"/>
          <w:numId w:val="1"/>
        </w:numPr>
        <w:rPr/>
      </w:pPr>
      <w:bookmarkStart w:id="674" w:name="__RefHeading___Toc964475_2320776876"/>
      <w:bookmarkStart w:id="675" w:name="_Toc241"/>
      <w:bookmarkEnd w:id="674"/>
      <w:r>
        <w:rPr>
          <w:rtl w:val="true"/>
        </w:rPr>
        <w:t>بيان دلالة قوله صلى الله عليه و آله</w:t>
      </w:r>
      <w:r>
        <w:rPr>
          <w:rtl w:val="true"/>
        </w:rPr>
        <w:t>: «</w:t>
      </w:r>
      <w:r>
        <w:rPr>
          <w:rtl w:val="true"/>
        </w:rPr>
        <w:t>إنّه منّي و أنا منه</w:t>
      </w:r>
      <w:r>
        <w:rPr>
          <w:rtl w:val="true"/>
        </w:rPr>
        <w:t xml:space="preserve">» </w:t>
      </w:r>
      <w:r>
        <w:rPr>
          <w:rtl w:val="true"/>
        </w:rPr>
        <w:t>على الإمامة</w:t>
      </w:r>
      <w:bookmarkEnd w:id="675"/>
    </w:p>
    <w:p>
      <w:pPr>
        <w:pStyle w:val="BookText"/>
        <w:rPr/>
      </w:pPr>
      <w:r>
        <w:rPr>
          <w:rFonts w:ascii="Amiri" w:hAnsi="Amiri" w:eastAsia="Amiri" w:cs="Amiri"/>
          <w:color w:val="111111"/>
          <w:sz w:val="28"/>
          <w:sz w:val="28"/>
          <w:szCs w:val="28"/>
          <w:rtl w:val="true"/>
          <w:lang w:bidi="ar-SA"/>
        </w:rPr>
        <w:t>فأمّا قولُه صَلَّى اللّٰهُ عليه و آلِه فيه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Style w:val="FootnoteAnchor"/>
          <w:rtl w:val="true"/>
        </w:rPr>
        <w:footnoteReference w:id="3768"/>
      </w:r>
      <w:r>
        <w:rPr>
          <w:rFonts w:ascii="Amiri" w:hAnsi="Amiri" w:eastAsia="Amiri" w:cs="Amiri"/>
          <w:color w:val="111111"/>
          <w:sz w:val="28"/>
          <w:sz w:val="28"/>
          <w:szCs w:val="28"/>
          <w:rtl w:val="true"/>
          <w:lang w:bidi="ar-SA"/>
        </w:rPr>
        <w:t xml:space="preserve">يَدُلُّ علَى الاختصاصِ و التفضيلِ و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يَدُلُّ بلَفظِه علَى</w:t>
      </w:r>
    </w:p>
    <w:p>
      <w:pPr>
        <w:pStyle w:val="BookText"/>
        <w:rPr/>
      </w:pPr>
      <w:r>
        <w:rPr>
          <w:rFonts w:ascii="Amiri" w:hAnsi="Amiri" w:eastAsia="Amiri" w:cs="Amiri"/>
          <w:color w:val="111111"/>
          <w:sz w:val="28"/>
          <w:sz w:val="28"/>
          <w:szCs w:val="28"/>
          <w:rtl w:val="true"/>
          <w:lang w:bidi="ar-SA"/>
        </w:rPr>
        <w:t>الإمامةِ‌، لكِن يَدُلُّ عليها مِن الوجهِ الذي ذَكرناه و بيّنّا أنّ‌</w:t>
      </w:r>
      <w:r>
        <w:rPr>
          <w:rStyle w:val="FootnoteAnchor"/>
          <w:rtl w:val="true"/>
        </w:rPr>
        <w:footnoteReference w:id="3769"/>
      </w:r>
      <w:r>
        <w:rPr>
          <w:rFonts w:ascii="Amiri" w:hAnsi="Amiri" w:eastAsia="Amiri" w:cs="Amiri"/>
          <w:color w:val="111111"/>
          <w:sz w:val="28"/>
          <w:sz w:val="28"/>
          <w:szCs w:val="28"/>
          <w:rtl w:val="true"/>
          <w:lang w:bidi="ar-SA"/>
        </w:rPr>
        <w:t>كُلَّ قولٍ أو فِعلٍ يَقتَضي التفضيلَ به</w:t>
      </w:r>
      <w:r>
        <w:rPr>
          <w:rStyle w:val="FootnoteAnchor"/>
          <w:rtl w:val="true"/>
        </w:rPr>
        <w:footnoteReference w:id="3770"/>
      </w:r>
      <w:r>
        <w:rPr>
          <w:rFonts w:ascii="Amiri" w:hAnsi="Amiri" w:eastAsia="Amiri" w:cs="Amiri"/>
          <w:color w:val="111111"/>
          <w:sz w:val="28"/>
          <w:sz w:val="28"/>
          <w:szCs w:val="28"/>
          <w:rtl w:val="true"/>
          <w:lang w:bidi="ar-SA"/>
        </w:rPr>
        <w:t xml:space="preserve">، يَدُلُّ عليه بضَربٍ مِن الترتيبِ قد تَقدَّمَ </w:t>
      </w:r>
      <w:r>
        <w:rPr>
          <w:rStyle w:val="FootnoteAnchor"/>
          <w:rtl w:val="true"/>
        </w:rPr>
        <w:footnoteReference w:id="3771"/>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w:t>
      </w:r>
      <w:r>
        <w:rPr>
          <w:rStyle w:val="FootnoteAnchor"/>
          <w:rtl w:val="true"/>
        </w:rPr>
        <w:footnoteReference w:id="3772"/>
      </w:r>
      <w:r>
        <w:rPr>
          <w:rFonts w:ascii="Amiri" w:hAnsi="Amiri" w:eastAsia="Amiri" w:cs="Amiri"/>
          <w:color w:val="111111"/>
          <w:sz w:val="28"/>
          <w:sz w:val="28"/>
          <w:szCs w:val="28"/>
          <w:rtl w:val="true"/>
          <w:lang w:bidi="ar-SA"/>
        </w:rPr>
        <w:t xml:space="preserve">أورَدناه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في جميعِ الفَصلِ الذي حَكَيناه عنه، و المِنّةُ للّٰهِ </w:t>
      </w:r>
      <w:r>
        <w:rPr>
          <w:rFonts w:eastAsia="Amiri" w:cs="Amiri" w:ascii="Amiri" w:hAnsi="Amiri"/>
          <w:color w:val="111111"/>
          <w:sz w:val="28"/>
          <w:szCs w:val="28"/>
          <w:rtl w:val="true"/>
          <w:lang w:bidi="ar-SA"/>
        </w:rPr>
        <w:t xml:space="preserve">. </w:t>
      </w:r>
      <w:bookmarkStart w:id="676" w:name="pg20017_202792"/>
    </w:p>
    <w:p>
      <w:pPr>
        <w:pStyle w:val="Heading4"/>
        <w:numPr>
          <w:ilvl w:val="3"/>
          <w:numId w:val="1"/>
        </w:numPr>
        <w:rPr/>
      </w:pPr>
      <w:bookmarkStart w:id="677" w:name="__RefHeading___Toc964477_2320776876"/>
      <w:bookmarkStart w:id="678" w:name="_Toc242"/>
      <w:bookmarkEnd w:id="676"/>
      <w:bookmarkEnd w:id="677"/>
      <w:r>
        <w:rPr>
          <w:rtl w:val="true"/>
        </w:rPr>
        <w:t>الدليل السادس عشر حَديثُ الثقَلَينِ</w:t>
      </w:r>
      <w:bookmarkEnd w:id="678"/>
    </w:p>
    <w:p>
      <w:pPr>
        <w:pStyle w:val="Heading5"/>
        <w:numPr>
          <w:ilvl w:val="4"/>
          <w:numId w:val="1"/>
        </w:numPr>
        <w:rPr/>
      </w:pPr>
      <w:bookmarkStart w:id="679" w:name="__RefHeading___Toc964479_2320776876"/>
      <w:bookmarkStart w:id="680" w:name="_Toc243"/>
      <w:bookmarkEnd w:id="679"/>
      <w:r>
        <w:rPr>
          <w:rtl w:val="true"/>
        </w:rPr>
        <w:t>اشارة</w:t>
      </w:r>
      <w:bookmarkEnd w:id="680"/>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لهُم آخَرُ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تَعلَّقوا بما رُويَ عنه عليه السلامُ‌</w:t>
      </w:r>
      <w:r>
        <w:rPr>
          <w:rStyle w:val="FootnoteAnchor"/>
          <w:rtl w:val="true"/>
        </w:rPr>
        <w:footnoteReference w:id="3773"/>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و إنّهما</w:t>
      </w:r>
      <w:r>
        <w:rPr>
          <w:rStyle w:val="FootnoteAnchor"/>
          <w:rtl w:val="true"/>
        </w:rPr>
        <w:footnoteReference w:id="3774"/>
      </w:r>
      <w:r>
        <w:rPr>
          <w:rFonts w:ascii="Amiri" w:hAnsi="Amiri" w:eastAsia="Amiri" w:cs="Amiri"/>
          <w:color w:val="111111"/>
          <w:sz w:val="28"/>
          <w:sz w:val="28"/>
          <w:szCs w:val="28"/>
          <w:rtl w:val="true"/>
          <w:lang w:bidi="ar-SA"/>
        </w:rPr>
        <w:t>لَن يَفتَرِقا حتّىٰ يَرِدا</w:t>
      </w:r>
      <w:r>
        <w:rPr>
          <w:rStyle w:val="FootnoteAnchor"/>
          <w:rtl w:val="true"/>
        </w:rPr>
        <w:footnoteReference w:id="3775"/>
      </w:r>
      <w:r>
        <w:rPr>
          <w:rFonts w:ascii="Amiri" w:hAnsi="Amiri" w:eastAsia="Amiri" w:cs="Amiri"/>
          <w:color w:val="111111"/>
          <w:sz w:val="28"/>
          <w:sz w:val="28"/>
          <w:szCs w:val="28"/>
          <w:rtl w:val="true"/>
          <w:lang w:bidi="ar-SA"/>
        </w:rPr>
        <w:t xml:space="preserve">عَلَيَّ الحَوضَ </w:t>
      </w:r>
      <w:r>
        <w:rPr>
          <w:rFonts w:eastAsia="Amiri" w:cs="Amiri" w:ascii="Amiri" w:hAnsi="Amiri"/>
          <w:color w:val="111111"/>
          <w:sz w:val="28"/>
          <w:szCs w:val="28"/>
          <w:rtl w:val="true"/>
          <w:lang w:bidi="ar-SA"/>
        </w:rPr>
        <w:t>»</w:t>
      </w:r>
      <w:r>
        <w:rPr>
          <w:rStyle w:val="FootnoteAnchor"/>
          <w:rtl w:val="true"/>
        </w:rPr>
        <w:footnoteReference w:id="3776"/>
      </w:r>
      <w:r>
        <w:rPr>
          <w:rFonts w:ascii="Amiri" w:hAnsi="Amiri" w:eastAsia="Amiri" w:cs="Amiri"/>
          <w:color w:val="111111"/>
          <w:sz w:val="28"/>
          <w:sz w:val="28"/>
          <w:szCs w:val="28"/>
          <w:rtl w:val="true"/>
          <w:lang w:bidi="ar-SA"/>
        </w:rPr>
        <w:t xml:space="preserve">، و أنّ ذلكَ يَدُلُّ علىٰ أنّ الإمامةَ </w:t>
      </w:r>
    </w:p>
    <w:p>
      <w:pPr>
        <w:pStyle w:val="BookText"/>
        <w:rPr/>
      </w:pPr>
      <w:r>
        <w:rPr>
          <w:rFonts w:ascii="Amiri" w:hAnsi="Amiri" w:eastAsia="Amiri" w:cs="Amiri"/>
          <w:color w:val="111111"/>
          <w:sz w:val="28"/>
          <w:sz w:val="28"/>
          <w:szCs w:val="28"/>
          <w:rtl w:val="true"/>
          <w:lang w:bidi="ar-SA"/>
        </w:rPr>
        <w:t>فيهم، و كذلكَ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قَوَّوا ذلكَ بما رُويَ عنه عليه السلامُ أنّه قالَ‌</w:t>
      </w:r>
      <w:r>
        <w:rPr>
          <w:rStyle w:val="FootnoteAnchor"/>
          <w:rtl w:val="true"/>
        </w:rPr>
        <w:footnoteReference w:id="37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مَثَلَ أهلِ بَيتي فيكم مَثَلُ سَفينةِ نوحٍ‌؛ مَن رَكِبَها نَجا، و مَن تَخلَّفَ عنها غَرِقَ </w:t>
      </w:r>
      <w:r>
        <w:rPr>
          <w:rFonts w:eastAsia="Amiri" w:cs="Amiri" w:ascii="Amiri" w:hAnsi="Amiri"/>
          <w:color w:val="111111"/>
          <w:sz w:val="28"/>
          <w:szCs w:val="28"/>
          <w:rtl w:val="true"/>
          <w:lang w:bidi="ar-SA"/>
        </w:rPr>
        <w:t>»</w:t>
      </w:r>
      <w:r>
        <w:rPr>
          <w:rStyle w:val="FootnoteAnchor"/>
          <w:rtl w:val="true"/>
        </w:rPr>
        <w:footnoteReference w:id="3778"/>
      </w:r>
      <w:r>
        <w:rPr>
          <w:rFonts w:ascii="Amiri" w:hAnsi="Amiri" w:eastAsia="Amiri" w:cs="Amiri"/>
          <w:color w:val="111111"/>
          <w:sz w:val="28"/>
          <w:sz w:val="28"/>
          <w:szCs w:val="28"/>
          <w:rtl w:val="true"/>
          <w:lang w:bidi="ar-SA"/>
        </w:rPr>
        <w:t>، و أنّ ذلكَ يَدُلُّ علىٰ عِصمتِهم، و وجوبِ طاعتِهم، و حَظرِ العُدولِ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يَقتَضي النصَّ علىٰ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إنّما يَدُلُّ علىٰ أنّ إجماعَ العِترةِ لا يَكونُ إلّاحَقّاً؛ لأنّه لا يَخلو</w:t>
      </w:r>
    </w:p>
    <w:p>
      <w:pPr>
        <w:pStyle w:val="BookText"/>
        <w:rPr/>
      </w:pPr>
      <w:r>
        <w:rPr>
          <w:rFonts w:ascii="Amiri" w:hAnsi="Amiri" w:eastAsia="Amiri" w:cs="Amiri"/>
          <w:color w:val="111111"/>
          <w:sz w:val="28"/>
          <w:sz w:val="28"/>
          <w:szCs w:val="28"/>
          <w:rtl w:val="true"/>
          <w:lang w:bidi="ar-SA"/>
        </w:rPr>
        <w:t xml:space="preserve">مِن أن يُريدَ عليه السلامُ بذلكَ جُملتَهم أو كُلَّ واحدٍ منهم، و قد عَلِمنا أنّه لا يَجوزُ أن يُريدَ عليه السلامُ بذلكَ </w:t>
      </w:r>
      <w:r>
        <w:rPr>
          <w:rStyle w:val="FootnoteAnchor"/>
          <w:rtl w:val="true"/>
        </w:rPr>
        <w:footnoteReference w:id="3779"/>
      </w:r>
      <w:r>
        <w:rPr>
          <w:rFonts w:ascii="Amiri" w:hAnsi="Amiri" w:eastAsia="Amiri" w:cs="Amiri"/>
          <w:color w:val="111111"/>
          <w:sz w:val="28"/>
          <w:sz w:val="28"/>
          <w:szCs w:val="28"/>
          <w:rtl w:val="true"/>
          <w:lang w:bidi="ar-SA"/>
        </w:rPr>
        <w:t>إلّاجُملتَهم، و</w:t>
      </w:r>
      <w:r>
        <w:rPr>
          <w:rStyle w:val="FootnoteAnchor"/>
          <w:rtl w:val="true"/>
        </w:rPr>
        <w:footnoteReference w:id="3780"/>
      </w:r>
      <w:r>
        <w:rPr>
          <w:rFonts w:ascii="Amiri" w:hAnsi="Amiri" w:eastAsia="Amiri" w:cs="Amiri"/>
          <w:color w:val="111111"/>
          <w:sz w:val="28"/>
          <w:sz w:val="28"/>
          <w:szCs w:val="28"/>
          <w:rtl w:val="true"/>
          <w:lang w:bidi="ar-SA"/>
        </w:rPr>
        <w:t xml:space="preserve">لا يَجوزُ أن يُريدَ كُلَّ واحدٍ منهم؛ لأنّ الكلامَ يَقتَضي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كُلِّ واحدٍ</w:t>
      </w:r>
      <w:r>
        <w:rPr>
          <w:rFonts w:eastAsia="Amiri" w:cs="Amiri" w:ascii="Amiri" w:hAnsi="Amiri"/>
          <w:color w:val="111111"/>
          <w:sz w:val="28"/>
          <w:szCs w:val="28"/>
          <w:rtl w:val="true"/>
          <w:lang w:bidi="ar-SA"/>
        </w:rPr>
        <w:t>].</w:t>
      </w:r>
      <w:r>
        <w:rPr>
          <w:rStyle w:val="FootnoteAnchor"/>
          <w:rtl w:val="true"/>
        </w:rPr>
        <w:footnoteReference w:id="3781"/>
      </w:r>
    </w:p>
    <w:p>
      <w:pPr>
        <w:pStyle w:val="BookText"/>
        <w:rPr/>
      </w:pPr>
      <w:r>
        <w:rPr>
          <w:rFonts w:ascii="Amiri" w:hAnsi="Amiri" w:eastAsia="Amiri" w:cs="Amiri"/>
          <w:color w:val="111111"/>
          <w:sz w:val="28"/>
          <w:sz w:val="28"/>
          <w:szCs w:val="28"/>
          <w:rtl w:val="true"/>
          <w:lang w:bidi="ar-SA"/>
        </w:rPr>
        <w:t>و لأنّ الاختلافَ قد يَقَعُ فيهم</w:t>
      </w:r>
      <w:r>
        <w:rPr>
          <w:rStyle w:val="FootnoteAnchor"/>
          <w:rtl w:val="true"/>
        </w:rPr>
        <w:footnoteReference w:id="3782"/>
      </w:r>
      <w:r>
        <w:rPr>
          <w:rFonts w:ascii="Amiri" w:hAnsi="Amiri" w:eastAsia="Amiri" w:cs="Amiri"/>
          <w:color w:val="111111"/>
          <w:sz w:val="28"/>
          <w:sz w:val="28"/>
          <w:szCs w:val="28"/>
          <w:rtl w:val="true"/>
          <w:lang w:bidi="ar-SA"/>
        </w:rPr>
        <w:t>علىٰ ما عَلِمناه مِن حالِهم، و لا يَجوزُ أن يَكونَ قولُ كُلِّ واحدٍ منهم حَقّاً؛ لأنّ الحَقَّ لا يَكونُ في الشيءِ و ضِدِّه،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4711</w:t>
      </w:r>
      <w:r>
        <w:rPr>
          <w:rFonts w:ascii="Amiri" w:hAnsi="Amiri" w:eastAsia="Amiri" w:cs="Amiri"/>
          <w:color w:val="111111"/>
          <w:sz w:val="28"/>
          <w:sz w:val="28"/>
          <w:szCs w:val="28"/>
          <w:rtl w:val="true"/>
          <w:lang w:bidi="ar-SA"/>
        </w:rPr>
        <w:t xml:space="preserve">؛ السنن الكبرى للبيهقي،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2679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13017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ثَبَتَ اختلافُهم فيما هذا حالُه، و لا يَجوزُ</w:t>
      </w:r>
      <w:r>
        <w:rPr>
          <w:rStyle w:val="FootnoteAnchor"/>
          <w:rtl w:val="true"/>
        </w:rPr>
        <w:footnoteReference w:id="3783"/>
      </w:r>
      <w:r>
        <w:rPr>
          <w:rFonts w:ascii="Amiri" w:hAnsi="Amiri" w:eastAsia="Amiri" w:cs="Amiri"/>
          <w:color w:val="111111"/>
          <w:sz w:val="28"/>
          <w:sz w:val="28"/>
          <w:szCs w:val="28"/>
          <w:rtl w:val="true"/>
          <w:lang w:bidi="ar-SA"/>
        </w:rPr>
        <w:t>أن يُقالَ أنّهم مع هذا</w:t>
      </w:r>
      <w:r>
        <w:rPr>
          <w:rStyle w:val="FootnoteAnchor"/>
          <w:rtl w:val="true"/>
        </w:rPr>
        <w:footnoteReference w:id="3784"/>
      </w:r>
      <w:r>
        <w:rPr>
          <w:rFonts w:ascii="Amiri" w:hAnsi="Amiri" w:eastAsia="Amiri" w:cs="Amiri"/>
          <w:color w:val="111111"/>
          <w:sz w:val="28"/>
          <w:sz w:val="28"/>
          <w:szCs w:val="28"/>
          <w:rtl w:val="true"/>
          <w:lang w:bidi="ar-SA"/>
        </w:rPr>
        <w:t>الاختلافِ لا يُفارِقونَ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يُبيِّنُ أنّ المُرادَ به أنّ ما أجمَعوا</w:t>
      </w:r>
      <w:r>
        <w:rPr>
          <w:rStyle w:val="FootnoteAnchor"/>
          <w:rtl w:val="true"/>
        </w:rPr>
        <w:footnoteReference w:id="3785"/>
      </w:r>
      <w:r>
        <w:rPr>
          <w:rFonts w:ascii="Amiri" w:hAnsi="Amiri" w:eastAsia="Amiri" w:cs="Amiri"/>
          <w:color w:val="111111"/>
          <w:sz w:val="28"/>
          <w:sz w:val="28"/>
          <w:szCs w:val="28"/>
          <w:rtl w:val="true"/>
          <w:lang w:bidi="ar-SA"/>
        </w:rPr>
        <w:t>عليه يَكونُ حَقّاً، حتّىٰ يَصِحَّ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يَفتَرِقا حتّىٰ يَرِدا</w:t>
      </w:r>
      <w:r>
        <w:rPr>
          <w:rStyle w:val="FootnoteAnchor"/>
          <w:rtl w:val="true"/>
        </w:rPr>
        <w:footnoteReference w:id="3786"/>
      </w:r>
      <w:r>
        <w:rPr>
          <w:rFonts w:ascii="Amiri" w:hAnsi="Amiri" w:eastAsia="Amiri" w:cs="Amiri"/>
          <w:color w:val="111111"/>
          <w:sz w:val="28"/>
          <w:sz w:val="28"/>
          <w:szCs w:val="28"/>
          <w:rtl w:val="true"/>
          <w:lang w:bidi="ar-SA"/>
        </w:rPr>
        <w:t>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يَمنَعُ مِن أنّ المُرادَ</w:t>
      </w:r>
      <w:r>
        <w:rPr>
          <w:rStyle w:val="FootnoteAnchor"/>
          <w:rtl w:val="true"/>
        </w:rPr>
        <w:footnoteReference w:id="3787"/>
      </w:r>
      <w:r>
        <w:rPr>
          <w:rFonts w:ascii="Amiri" w:hAnsi="Amiri" w:eastAsia="Amiri" w:cs="Amiri"/>
          <w:color w:val="111111"/>
          <w:sz w:val="28"/>
          <w:sz w:val="28"/>
          <w:szCs w:val="28"/>
          <w:rtl w:val="true"/>
          <w:lang w:bidi="ar-SA"/>
        </w:rPr>
        <w:t>بالخبرِ الإمامةُ‌؛ لأنّ الإمامةَ لا تَصِحُّ في جميعِهم، و إنّما يَختَصُّ‌</w:t>
      </w:r>
      <w:r>
        <w:rPr>
          <w:rStyle w:val="FootnoteAnchor"/>
          <w:rtl w:val="true"/>
        </w:rPr>
        <w:footnoteReference w:id="3788"/>
      </w:r>
      <w:r>
        <w:rPr>
          <w:rFonts w:ascii="Amiri" w:hAnsi="Amiri" w:eastAsia="Amiri" w:cs="Amiri"/>
          <w:color w:val="111111"/>
          <w:sz w:val="28"/>
          <w:sz w:val="28"/>
          <w:szCs w:val="28"/>
          <w:rtl w:val="true"/>
          <w:lang w:bidi="ar-SA"/>
        </w:rPr>
        <w:t>بها الواحدُ منهم، و قد بيّنّا أنّ المَقصَدَ بالخبرِ ما يَرجِعُ إلىٰ جميعِهم</w:t>
      </w:r>
      <w:r>
        <w:rPr>
          <w:rStyle w:val="FootnoteAnchor"/>
          <w:rtl w:val="true"/>
        </w:rPr>
        <w:footnoteReference w:id="3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يُبيِّنُ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ممّن خالَفَنا</w:t>
      </w:r>
      <w:r>
        <w:rPr>
          <w:rStyle w:val="FootnoteAnchor"/>
          <w:rtl w:val="true"/>
        </w:rPr>
        <w:footnoteReference w:id="3790"/>
      </w:r>
      <w:r>
        <w:rPr>
          <w:rFonts w:ascii="Amiri" w:hAnsi="Amiri" w:eastAsia="Amiri" w:cs="Amiri"/>
          <w:color w:val="111111"/>
          <w:sz w:val="28"/>
          <w:sz w:val="28"/>
          <w:szCs w:val="28"/>
          <w:rtl w:val="true"/>
          <w:lang w:bidi="ar-SA"/>
        </w:rPr>
        <w:t>في هذا البابِ لا يَقولُ في كُلِّ واحدٍ مِن العِترةِ أنّه بهذه الصفةِ‌، فلا بُدَّ مِن أن يَترُكوا الظاهرَ إلىٰ أمرٍ آخَرَ يُعلَمُ به أنّ المُرادَ بعضٌ مِن بعضٍ ، و ذلكَ الأمرُ لا يَكونُ دالاًّ</w:t>
      </w:r>
      <w:r>
        <w:rPr>
          <w:rStyle w:val="FootnoteAnchor"/>
          <w:rtl w:val="true"/>
        </w:rPr>
        <w:footnoteReference w:id="3791"/>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 علىٰ ثُبوتِ العصمةِ فيهم</w:t>
      </w:r>
      <w:r>
        <w:rPr>
          <w:rStyle w:val="FootnoteAnchor"/>
          <w:rtl w:val="true"/>
        </w:rPr>
        <w:footnoteReference w:id="3792"/>
      </w:r>
      <w:r>
        <w:rPr>
          <w:rFonts w:ascii="Amiri" w:hAnsi="Amiri" w:eastAsia="Amiri" w:cs="Amiri"/>
          <w:color w:val="111111"/>
          <w:sz w:val="28"/>
          <w:sz w:val="28"/>
          <w:szCs w:val="28"/>
          <w:rtl w:val="true"/>
          <w:lang w:bidi="ar-SA"/>
        </w:rPr>
        <w:t>، و لَم يَصِحَّ إلّا في أميرِ المؤمنينَ عليه السلامُ ، ثُمّ في واحدٍ واحدٍ مِن الأئمّةِ ، فيَجِبُ أن يَكونَ هو المُرادَ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ذلكَ 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عِصمتُهم فيما اتَّفَقوا عليه؛ و يَكونُ ذلكَ أليَقَ بالظاهرِ</w:t>
      </w:r>
      <w:r>
        <w:rPr>
          <w:rStyle w:val="FootnoteAnchor"/>
          <w:rtl w:val="true"/>
        </w:rPr>
        <w:footnoteReference w:id="3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فالواجبُ حَملُ الكلامِ علىٰ ما يَصِحُّ أن يُوافِقَ العِترةُ فيه الكتابَ‌، و قد عَلِمنا</w:t>
      </w:r>
      <w:r>
        <w:rPr>
          <w:rStyle w:val="FootnoteAnchor"/>
          <w:rtl w:val="true"/>
        </w:rPr>
        <w:footnoteReference w:id="3794"/>
      </w:r>
      <w:r>
        <w:rPr>
          <w:rFonts w:ascii="Amiri" w:hAnsi="Amiri" w:eastAsia="Amiri" w:cs="Amiri"/>
          <w:color w:val="111111"/>
          <w:sz w:val="28"/>
          <w:sz w:val="28"/>
          <w:szCs w:val="28"/>
          <w:rtl w:val="true"/>
          <w:lang w:bidi="ar-SA"/>
        </w:rPr>
        <w:t>أنّ في كتابِ اللّٰهِ تَعالىٰ دَلالةً علَى الأُمورِ، فيَجِبُ‌</w:t>
      </w:r>
    </w:p>
    <w:p>
      <w:pPr>
        <w:pStyle w:val="BookText"/>
        <w:rPr/>
      </w:pPr>
      <w:r>
        <w:rPr>
          <w:rFonts w:ascii="Amiri" w:hAnsi="Amiri" w:eastAsia="Amiri" w:cs="Amiri"/>
          <w:color w:val="111111"/>
          <w:sz w:val="28"/>
          <w:sz w:val="28"/>
          <w:szCs w:val="28"/>
          <w:rtl w:val="true"/>
          <w:lang w:bidi="ar-SA"/>
        </w:rPr>
        <w:t>أن يُحمَلَ قولُه صَلَّى اللّٰهُ عليه و آلِه في العِترةِ‌</w:t>
      </w:r>
      <w:r>
        <w:rPr>
          <w:rStyle w:val="FootnoteAnchor"/>
          <w:rtl w:val="true"/>
        </w:rPr>
        <w:footnoteReference w:id="3795"/>
      </w:r>
      <w:r>
        <w:rPr>
          <w:rFonts w:ascii="Amiri" w:hAnsi="Amiri" w:eastAsia="Amiri" w:cs="Amiri"/>
          <w:color w:val="111111"/>
          <w:sz w:val="28"/>
          <w:sz w:val="28"/>
          <w:szCs w:val="28"/>
          <w:rtl w:val="true"/>
          <w:lang w:bidi="ar-SA"/>
        </w:rPr>
        <w:t>علىٰ ما يَقتَضي كَونَه دَلالةً‌، و ذلكَ لا يَصِحُّ إلّابأن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إجماعَها حَقٌّ و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طَريقةُ الإماميّةِ‌</w:t>
      </w:r>
      <w:r>
        <w:rPr>
          <w:rStyle w:val="FootnoteAnchor"/>
          <w:rtl w:val="true"/>
        </w:rPr>
        <w:footnoteReference w:id="3796"/>
      </w:r>
      <w:r>
        <w:rPr>
          <w:rFonts w:ascii="Amiri" w:hAnsi="Amiri" w:eastAsia="Amiri" w:cs="Amiri"/>
          <w:color w:val="111111"/>
          <w:sz w:val="28"/>
          <w:sz w:val="28"/>
          <w:szCs w:val="28"/>
          <w:rtl w:val="true"/>
          <w:lang w:bidi="ar-SA"/>
        </w:rPr>
        <w:t>فمُبايِنةٌ لهذا الفَصلِ و المَقصَدِ</w:t>
      </w:r>
      <w:r>
        <w:rPr>
          <w:rStyle w:val="FootnoteAnchor"/>
          <w:rtl w:val="true"/>
        </w:rPr>
        <w:footnoteReference w:id="3797"/>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شَيخُنا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 ذلكَ علَى الإمامةِ‌، فقَولُه صَلَّى اللّٰهُ عليه و آلِه</w:t>
      </w:r>
      <w:r>
        <w:rPr>
          <w:rStyle w:val="FootnoteAnchor"/>
          <w:rtl w:val="true"/>
        </w:rPr>
        <w:footnoteReference w:id="37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يَنطِقُ‌</w:t>
      </w:r>
      <w:r>
        <w:rPr>
          <w:rStyle w:val="FootnoteAnchor"/>
          <w:rtl w:val="true"/>
        </w:rPr>
        <w:footnoteReference w:id="3799"/>
      </w:r>
      <w:r>
        <w:rPr>
          <w:rFonts w:ascii="Amiri" w:hAnsi="Amiri" w:eastAsia="Amiri" w:cs="Amiri"/>
          <w:color w:val="111111"/>
          <w:sz w:val="28"/>
          <w:sz w:val="28"/>
          <w:szCs w:val="28"/>
          <w:rtl w:val="true"/>
          <w:lang w:bidi="ar-SA"/>
        </w:rPr>
        <w:t>علىٰ‌</w:t>
      </w:r>
      <w:r>
        <w:rPr>
          <w:rStyle w:val="FootnoteAnchor"/>
          <w:rtl w:val="true"/>
        </w:rPr>
        <w:footnoteReference w:id="3800"/>
      </w:r>
      <w:r>
        <w:rPr>
          <w:rFonts w:ascii="Amiri" w:hAnsi="Amiri" w:eastAsia="Amiri" w:cs="Amiri"/>
          <w:color w:val="111111"/>
          <w:sz w:val="28"/>
          <w:sz w:val="28"/>
          <w:szCs w:val="28"/>
          <w:rtl w:val="true"/>
          <w:lang w:bidi="ar-SA"/>
        </w:rPr>
        <w:t>لِسانِ عُمَرَ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w:t>
      </w:r>
      <w:r>
        <w:rPr>
          <w:rStyle w:val="FootnoteAnchor"/>
          <w:rtl w:val="true"/>
        </w:rPr>
        <w:footnoteReference w:id="3801"/>
      </w:r>
      <w:r>
        <w:rPr>
          <w:rFonts w:ascii="Amiri" w:hAnsi="Amiri" w:eastAsia="Amiri" w:cs="Amiri"/>
          <w:color w:val="111111"/>
          <w:sz w:val="28"/>
          <w:sz w:val="28"/>
          <w:szCs w:val="28"/>
          <w:rtl w:val="true"/>
          <w:lang w:bidi="ar-SA"/>
        </w:rPr>
        <w:t>علىٰ أنّه الإمامُ‌،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w:t>
      </w:r>
      <w:r>
        <w:rPr>
          <w:rStyle w:val="FootnoteAnchor"/>
          <w:rtl w:val="true"/>
        </w:rPr>
        <w:footnoteReference w:id="3802"/>
      </w:r>
      <w:r>
        <w:rPr>
          <w:rFonts w:ascii="Amiri" w:hAnsi="Amiri" w:eastAsia="Amiri" w:cs="Amiri"/>
          <w:color w:val="111111"/>
          <w:sz w:val="28"/>
          <w:sz w:val="28"/>
          <w:szCs w:val="28"/>
          <w:rtl w:val="true"/>
          <w:lang w:bidi="ar-SA"/>
        </w:rPr>
        <w:t xml:space="preserve">ذلكَ </w:t>
      </w:r>
      <w:r>
        <w:rPr>
          <w:rStyle w:val="FootnoteAnchor"/>
          <w:rtl w:val="true"/>
        </w:rPr>
        <w:footnoteReference w:id="3803"/>
      </w:r>
      <w:r>
        <w:rPr>
          <w:rFonts w:eastAsia="Times New Roman" w:cs="Times New Roman" w:ascii="Times New Roman" w:hAnsi="Times New Roman"/>
          <w:color w:val="111111"/>
          <w:sz w:val="28"/>
          <w:szCs w:val="28"/>
          <w:rtl w:val="true"/>
          <w:lang w:val="en-US" w:bidi="en-US"/>
        </w:rPr>
        <w:t xml:space="preserve">. </w:t>
      </w:r>
      <w:bookmarkStart w:id="681" w:name="pg20017_202796"/>
    </w:p>
    <w:p>
      <w:pPr>
        <w:pStyle w:val="Heading5"/>
        <w:numPr>
          <w:ilvl w:val="4"/>
          <w:numId w:val="1"/>
        </w:numPr>
        <w:rPr/>
      </w:pPr>
      <w:bookmarkStart w:id="682" w:name="__RefHeading___Toc964481_2320776876"/>
      <w:bookmarkStart w:id="683" w:name="_Toc244"/>
      <w:bookmarkEnd w:id="681"/>
      <w:bookmarkEnd w:id="682"/>
      <w:r>
        <w:rPr>
          <w:rtl w:val="true"/>
        </w:rPr>
        <w:t>مقدّمة في بيان دلالة حديث الثقلين و السفينة</w:t>
      </w:r>
      <w:bookmarkEnd w:id="683"/>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عليه السلامُ‌</w:t>
      </w:r>
      <w:r>
        <w:rPr>
          <w:rStyle w:val="FootnoteAnchor"/>
          <w:rtl w:val="true"/>
        </w:rPr>
        <w:footnoteReference w:id="38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و 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دالٌّ علىٰ أنّ إجماعَ أهلِ البَيتِ حُجّةٌ علىٰ ما أقرَرتَ به، و دالٌّ أيضاً بَعدَ ثُبوتِ هذه المَرتَبةِ‌</w:t>
      </w:r>
      <w:r>
        <w:rPr>
          <w:rStyle w:val="FootnoteAnchor"/>
          <w:rtl w:val="true"/>
        </w:rPr>
        <w:footnoteReference w:id="3805"/>
      </w:r>
      <w:r>
        <w:rPr>
          <w:rFonts w:ascii="Amiri" w:hAnsi="Amiri" w:eastAsia="Amiri" w:cs="Amiri"/>
          <w:color w:val="111111"/>
          <w:sz w:val="28"/>
          <w:sz w:val="28"/>
          <w:szCs w:val="28"/>
          <w:rtl w:val="true"/>
          <w:lang w:bidi="ar-SA"/>
        </w:rPr>
        <w:t>علىٰ إمامةِ أميرِ المؤمنينَ عليه السلامُ بَعدَ النبيِّ صَلَّى اللّٰهُ عليه و آلِه بِلا فَصلٍ بالنصِّ‌</w:t>
      </w:r>
      <w:r>
        <w:rPr>
          <w:rStyle w:val="FootnoteAnchor"/>
          <w:rtl w:val="true"/>
        </w:rPr>
        <w:footnoteReference w:id="3806"/>
      </w:r>
      <w:r>
        <w:rPr>
          <w:rFonts w:ascii="Amiri" w:hAnsi="Amiri" w:eastAsia="Amiri" w:cs="Amiri"/>
          <w:color w:val="111111"/>
          <w:sz w:val="28"/>
          <w:sz w:val="28"/>
          <w:szCs w:val="28"/>
          <w:rtl w:val="true"/>
          <w:lang w:bidi="ar-SA"/>
        </w:rPr>
        <w:t xml:space="preserve">، و علىٰ غيرِ ذلكَ ممّا أجمَعَ عليه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أيضاً أن يُجعَلَ حُجّةً و دليلاً علىٰ أنّه لا بُدَّ في كُلِّ عَصرٍ في جُملةِ أهلِ البَيتِ </w:t>
      </w:r>
      <w:r>
        <w:rPr>
          <w:rStyle w:val="FootnoteAnchor"/>
          <w:rtl w:val="true"/>
        </w:rPr>
        <w:footnoteReference w:id="3807"/>
      </w:r>
      <w:r>
        <w:rPr>
          <w:rFonts w:ascii="Amiri" w:hAnsi="Amiri" w:eastAsia="Amiri" w:cs="Amiri"/>
          <w:color w:val="111111"/>
          <w:sz w:val="28"/>
          <w:sz w:val="28"/>
          <w:szCs w:val="28"/>
          <w:rtl w:val="true"/>
          <w:lang w:bidi="ar-SA"/>
        </w:rPr>
        <w:t>مِن حُجّةٍ معصومٍ مأمونٍ يُقطَعُ علىٰ صِحّةِ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مَثَلَ أهلِ بَيتي فيكم مَثَلُ 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مَجرَى الخبرِ الأوّلِ في التنبيهِ علىٰ أهلِ البَيتِ عليهم السلامُ و الإرشادِ إليهم، و إن كانَ الخبرُ الأوّلُ أعَمَّ فائدةً و أقوىٰ دَلالةً ؛ و نَحنُ نُبيِّنُ الجُملةَ التي ذَكرناها</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964483_2320776876"/>
      <w:bookmarkStart w:id="685" w:name="_Toc245"/>
      <w:bookmarkEnd w:id="684"/>
      <w:r>
        <w:rPr>
          <w:rtl w:val="true"/>
        </w:rPr>
        <w:t>بيان صحّة حديث الثقلين</w:t>
      </w:r>
      <w:bookmarkEnd w:id="685"/>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علىٰ صِحّةِ هذا</w:t>
      </w:r>
      <w:r>
        <w:rPr>
          <w:rStyle w:val="FootnoteAnchor"/>
          <w:rtl w:val="true"/>
        </w:rPr>
        <w:footnoteReference w:id="3808"/>
      </w:r>
      <w:r>
        <w:rPr>
          <w:rFonts w:ascii="Amiri" w:hAnsi="Amiri" w:eastAsia="Amiri" w:cs="Amiri"/>
          <w:color w:val="111111"/>
          <w:sz w:val="28"/>
          <w:sz w:val="28"/>
          <w:szCs w:val="28"/>
          <w:rtl w:val="true"/>
          <w:lang w:bidi="ar-SA"/>
        </w:rPr>
        <w:t>الخبرِ قَبلَ أن تَتكلَّموا</w:t>
      </w:r>
      <w:r>
        <w:rPr>
          <w:rStyle w:val="FootnoteAnchor"/>
          <w:rtl w:val="true"/>
        </w:rPr>
        <w:footnoteReference w:id="3809"/>
      </w:r>
      <w:r>
        <w:rPr>
          <w:rFonts w:ascii="Amiri" w:hAnsi="Amiri" w:eastAsia="Amiri" w:cs="Amiri"/>
          <w:color w:val="111111"/>
          <w:sz w:val="28"/>
          <w:sz w:val="28"/>
          <w:szCs w:val="28"/>
          <w:rtl w:val="true"/>
          <w:lang w:bidi="ar-SA"/>
        </w:rPr>
        <w:t>في معناه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صِحّتِه تَلَقّي الأُمّةِ له بالقبولِ ، و أنّ أحَداً منهم مع اختلافِهم في تأويلِه لَم يُخالِفْ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يَدُلُّ علىٰ أنّ الحُجّةَ قامَت به في أصلِه، و أنّ </w:t>
      </w:r>
      <w:bookmarkStart w:id="686" w:name="pg20017_202797"/>
    </w:p>
    <w:p>
      <w:pPr>
        <w:pStyle w:val="BookText"/>
        <w:rPr/>
      </w:pPr>
      <w:bookmarkEnd w:id="686"/>
      <w:r>
        <w:rPr>
          <w:rFonts w:ascii="Amiri" w:hAnsi="Amiri" w:eastAsia="Amiri" w:cs="Amiri"/>
          <w:color w:val="111111"/>
          <w:sz w:val="28"/>
          <w:sz w:val="28"/>
          <w:szCs w:val="28"/>
          <w:rtl w:val="true"/>
          <w:lang w:bidi="ar-SA"/>
        </w:rPr>
        <w:t>الشكَّ مُرتَفِعٌ عنه</w:t>
      </w:r>
      <w:r>
        <w:rPr>
          <w:rStyle w:val="FootnoteAnchor"/>
          <w:rtl w:val="true"/>
        </w:rPr>
        <w:footnoteReference w:id="3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شأنِ علماءِ الأُمّةِ ، إذا وَرَدَ عليهم خبرٌ مشكوكٌ في صِحّتِه، أن يُقدِّموا الكلامَ في أصلِه، و أنّ الحُجّةَ به غيرُ ثابتةٍ ، ثُمّ يَشرَعوا في تأويلِه؛ فإذا</w:t>
      </w:r>
      <w:r>
        <w:rPr>
          <w:rStyle w:val="FootnoteAnchor"/>
          <w:rtl w:val="true"/>
        </w:rPr>
        <w:footnoteReference w:id="3811"/>
      </w:r>
      <w:r>
        <w:rPr>
          <w:rFonts w:ascii="Amiri" w:hAnsi="Amiri" w:eastAsia="Amiri" w:cs="Amiri"/>
          <w:color w:val="111111"/>
          <w:sz w:val="28"/>
          <w:sz w:val="28"/>
          <w:szCs w:val="28"/>
          <w:rtl w:val="true"/>
          <w:lang w:bidi="ar-SA"/>
        </w:rPr>
        <w:t>رأَينا جميعَهم عَدَلوا</w:t>
      </w:r>
      <w:r>
        <w:rPr>
          <w:rStyle w:val="FootnoteAnchor"/>
          <w:rtl w:val="true"/>
        </w:rPr>
        <w:footnoteReference w:id="3812"/>
      </w:r>
      <w:r>
        <w:rPr>
          <w:rFonts w:ascii="Amiri" w:hAnsi="Amiri" w:eastAsia="Amiri" w:cs="Amiri"/>
          <w:color w:val="111111"/>
          <w:sz w:val="28"/>
          <w:sz w:val="28"/>
          <w:szCs w:val="28"/>
          <w:rtl w:val="true"/>
          <w:lang w:bidi="ar-SA"/>
        </w:rPr>
        <w:t>عن هذه الطريقةِ في هذا الخبرِ، و حَمَلَه كُلٌّ منهم علىٰ ما يُوافِقُ طَريقتَه و مَذهبَه، دَلَّ ذلكَ علىٰ صِحّةِ ما ذَكرناه</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964485_2320776876"/>
      <w:bookmarkStart w:id="688" w:name="_Toc246"/>
      <w:bookmarkEnd w:id="687"/>
      <w:r>
        <w:rPr>
          <w:rtl w:val="true"/>
        </w:rPr>
        <w:t xml:space="preserve">بيان معنى </w:t>
      </w:r>
      <w:r>
        <w:rPr>
          <w:rtl w:val="true"/>
        </w:rPr>
        <w:t>«</w:t>
      </w:r>
      <w:r>
        <w:rPr>
          <w:rtl w:val="true"/>
        </w:rPr>
        <w:t>العترة</w:t>
      </w:r>
      <w:r>
        <w:rPr>
          <w:rtl w:val="true"/>
        </w:rPr>
        <w:t>»</w:t>
      </w:r>
      <w:bookmarkEnd w:id="688"/>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المُرادُ بالعِترةِ؟ فإنّ الحُكمَ مُتعلِّقٌ بهذا الاسمِ الذي لا بُدَّ مِن بيانِ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الرجُلِ في اللغةِ هُم نَسلُه</w:t>
      </w:r>
      <w:r>
        <w:rPr>
          <w:rStyle w:val="FootnoteAnchor"/>
          <w:rtl w:val="true"/>
        </w:rPr>
        <w:footnoteReference w:id="3813"/>
      </w:r>
      <w:r>
        <w:rPr>
          <w:rFonts w:ascii="Amiri" w:hAnsi="Amiri" w:eastAsia="Amiri" w:cs="Amiri"/>
          <w:color w:val="111111"/>
          <w:sz w:val="28"/>
          <w:sz w:val="28"/>
          <w:szCs w:val="28"/>
          <w:rtl w:val="true"/>
          <w:lang w:bidi="ar-SA"/>
        </w:rPr>
        <w:t>، كولدِه و ولدِ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أهلِ اللغةِ مَن وَسَّعَ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عِترةَ الرجُلِ هُم أدنىٰ قومِه إليه في النَّسَبِ </w:t>
      </w:r>
      <w:r>
        <w:rPr>
          <w:rStyle w:val="FootnoteAnchor"/>
          <w:rtl w:val="true"/>
        </w:rPr>
        <w:footnoteReference w:id="3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القولِ الأوّلِ يَتناوَلُ ظاهرُ الخبرِ و حقيقتُه الحَسَنَ و الحُسَينَ عليهما السلامُ و أولادَهما، و علَى القولِ الثاني يَتناوَلُ مَن ذَكرناه و مَن جَرىٰ مَجراهم في الاختصاصِ بالقُربِ مِن النَّسَبِ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الرسولَ صَلَّى اللّٰهُ عليه و آلِه قد قَيَّدَ القولَ بما أزالَ به الشُّبهةَ و أوضَحَ الأمرَ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r>
        <w:rPr>
          <w:rStyle w:val="FootnoteAnchor"/>
          <w:rtl w:val="true"/>
        </w:rPr>
        <w:footnoteReference w:id="3815"/>
      </w:r>
      <w:r>
        <w:rPr>
          <w:rFonts w:ascii="Amiri" w:hAnsi="Amiri" w:eastAsia="Amiri" w:cs="Amiri"/>
          <w:color w:val="111111"/>
          <w:sz w:val="28"/>
          <w:sz w:val="28"/>
          <w:szCs w:val="28"/>
          <w:rtl w:val="true"/>
          <w:lang w:bidi="ar-SA"/>
        </w:rPr>
        <w:t xml:space="preserve">فوَجَّهَ الحُكمَ إلىٰ مَن استَحَقَّ هذَينِ الاسمَينِ ، </w:t>
      </w:r>
    </w:p>
    <w:p>
      <w:pPr>
        <w:pStyle w:val="BookText"/>
        <w:rPr/>
      </w:pPr>
      <w:r>
        <w:rPr>
          <w:rFonts w:ascii="Amiri" w:hAnsi="Amiri" w:eastAsia="Amiri" w:cs="Amiri"/>
          <w:color w:val="111111"/>
          <w:sz w:val="28"/>
          <w:sz w:val="28"/>
          <w:szCs w:val="28"/>
          <w:rtl w:val="true"/>
          <w:lang w:bidi="ar-SA"/>
        </w:rPr>
        <w:t>و نَحنُ نَعلَمُ أنّ مَن يوصَفُ مِن عِترةِ الرجُلِ بأنّهم أهلُ بَيتِه هو مَن قَدَّمنا ذِكرَه مِن أولادِه و أولادِ أولادِه، و مَن جَرىٰ مَجراهم في النَّسَبِ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الرسولَ صَلَّى اللّٰهُ عليه و آلِه قد بَيَّنَ مَن يَتناوَلُه الوصفُ بأنّه مِن أهلِ البَيتِ‌، و تَظاهَرَ الخبرُ بأنّه جَمَعَ أميرَ المؤمنينَ و فاطمةَ و الحَسَنَ و الحُسَينَ عليهم السلامُ في بَيتِه، و جَلَّلَهم بكِسائه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ألَستُ مِن</w:t>
      </w:r>
    </w:p>
    <w:p>
      <w:pPr>
        <w:pStyle w:val="BookText"/>
        <w:rPr/>
      </w:pPr>
      <w:r>
        <w:rPr>
          <w:rFonts w:ascii="Amiri" w:hAnsi="Amiri" w:eastAsia="Amiri" w:cs="Amiri"/>
          <w:color w:val="111111"/>
          <w:sz w:val="28"/>
          <w:sz w:val="28"/>
          <w:szCs w:val="28"/>
          <w:rtl w:val="true"/>
          <w:lang w:bidi="ar-SA"/>
        </w:rPr>
        <w:t>أهلِ بَيتِكَ؟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لكِنَّكِ علىٰ خَيرٍ</w:t>
      </w:r>
      <w:r>
        <w:rPr>
          <w:rFonts w:eastAsia="Amiri" w:cs="Amiri" w:ascii="Amiri" w:hAnsi="Amiri"/>
          <w:color w:val="111111"/>
          <w:sz w:val="28"/>
          <w:szCs w:val="28"/>
          <w:rtl w:val="true"/>
          <w:lang w:bidi="ar-SA"/>
        </w:rPr>
        <w:t>»</w:t>
      </w:r>
      <w:r>
        <w:rPr>
          <w:rStyle w:val="FootnoteAnchor"/>
          <w:rtl w:val="true"/>
        </w:rPr>
        <w:footnoteReference w:id="3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 هذا الاسمَ بهؤلاءِ دونَ غيرِهم، فيَجِبُ أن يَكونَ الحُكمُ مُتوجِّهاً إليهم، و إلىٰ مَن لَحِقَ </w:t>
      </w:r>
      <w:r>
        <w:rPr>
          <w:rStyle w:val="FootnoteAnchor"/>
          <w:rtl w:val="true"/>
        </w:rPr>
        <w:footnoteReference w:id="3817"/>
      </w:r>
      <w:r>
        <w:rPr>
          <w:rFonts w:ascii="Amiri" w:hAnsi="Amiri" w:eastAsia="Amiri" w:cs="Amiri"/>
          <w:color w:val="111111"/>
          <w:sz w:val="28"/>
          <w:sz w:val="28"/>
          <w:szCs w:val="28"/>
          <w:rtl w:val="true"/>
          <w:lang w:bidi="ar-SA"/>
        </w:rPr>
        <w:t xml:space="preserve">بِهم بالدليلِ ؛ و قد أجمَعَ كُلُّ مَن أثبَتَ فيهم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التمَسُّكِ و الاقتداءِ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أولادَهم في ذلكَ يَجرون مَجراهم، فقَد ثَبَتَ تَوجُّهُ الحُكمِ إلَى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w:t>
      </w:r>
      <w:r>
        <w:rPr>
          <w:rStyle w:val="FootnoteAnchor"/>
          <w:rtl w:val="true"/>
        </w:rPr>
        <w:footnoteReference w:id="3818"/>
      </w:r>
      <w:r>
        <w:rPr>
          <w:rFonts w:ascii="Amiri" w:hAnsi="Amiri" w:eastAsia="Amiri" w:cs="Amiri"/>
          <w:color w:val="111111"/>
          <w:sz w:val="28"/>
          <w:sz w:val="28"/>
          <w:szCs w:val="28"/>
          <w:rtl w:val="true"/>
          <w:lang w:bidi="ar-SA"/>
        </w:rPr>
        <w:t>بعضِ ما أَورَدتموه، يَجِبُ أن يَكونَ أميرُ المؤمنينَ عليه السلامُ لَيسَ مِن العِترةِ ، إن كانَت العِترةُ مقصورةً علَى الأولادِ و أولادِ</w:t>
      </w:r>
      <w:r>
        <w:rPr>
          <w:rStyle w:val="FootnoteAnchor"/>
          <w:rtl w:val="true"/>
        </w:rPr>
        <w:footnoteReference w:id="3819"/>
      </w:r>
      <w:r>
        <w:rPr>
          <w:rFonts w:ascii="Amiri" w:hAnsi="Amiri" w:eastAsia="Amiri" w:cs="Amiri"/>
          <w:color w:val="111111"/>
          <w:sz w:val="28"/>
          <w:sz w:val="28"/>
          <w:szCs w:val="28"/>
          <w:rtl w:val="true"/>
          <w:lang w:bidi="ar-SA"/>
        </w:rPr>
        <w:t>أولادِهم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معاني الأخبار،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الأمالي للطوسي،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268/20</w:t>
      </w:r>
      <w:r>
        <w:rPr>
          <w:rFonts w:ascii="Amiri" w:hAnsi="Amiri" w:eastAsia="Amiri" w:cs="Amiri"/>
          <w:color w:val="111111"/>
          <w:sz w:val="28"/>
          <w:sz w:val="28"/>
          <w:szCs w:val="28"/>
          <w:rtl w:val="true"/>
          <w:lang w:bidi="ar-SA"/>
        </w:rPr>
        <w:t xml:space="preserve">؛ مسند أحمد،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11331</w:t>
      </w:r>
      <w:r>
        <w:rPr>
          <w:rFonts w:ascii="Amiri" w:hAnsi="Amiri" w:eastAsia="Amiri" w:cs="Amiri"/>
          <w:color w:val="111111"/>
          <w:sz w:val="28"/>
          <w:sz w:val="28"/>
          <w:szCs w:val="28"/>
          <w:rtl w:val="true"/>
          <w:lang w:bidi="ar-SA"/>
        </w:rPr>
        <w:t xml:space="preserve">؛ المعجم الكبير،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947</w:t>
      </w:r>
      <w:r>
        <w:rPr>
          <w:rFonts w:ascii="Amiri" w:hAnsi="Amiri" w:eastAsia="Amiri" w:cs="Amiri"/>
          <w:color w:val="111111"/>
          <w:sz w:val="28"/>
          <w:sz w:val="28"/>
          <w:szCs w:val="28"/>
          <w:rtl w:val="true"/>
          <w:lang w:bidi="ar-SA"/>
        </w:rPr>
        <w:t xml:space="preserve">؛ المستدرك على الصحيحين،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4577</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إلىٰ ذلكَ مِن الشيعةِ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و إن لَم يَتناوَلْه هذا الاسمُ علىٰ سَبيلِ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يَتناوَلُه اسمُ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عليه السلامُ أبو العِترةِ و سَيّدُها و خَيرٌ منها، و الحُكمُ في المُستَحِقِّ بالاسمِ ثابتٌ له بدليلٍ غيرِ تَناوُلِ الاسمِ المذكورِ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قولِ أبي بَكرٍ بحَضرةِ جماعةِ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عِترةُ رسولِ اللّٰهِ‌، و بَيضَتُه التي انفَقأَتْ‌</w:t>
      </w:r>
      <w:r>
        <w:rPr>
          <w:rStyle w:val="FootnoteAnchor"/>
          <w:rtl w:val="true"/>
        </w:rPr>
        <w:footnoteReference w:id="3820"/>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Style w:val="FootnoteAnchor"/>
          <w:rtl w:val="true"/>
        </w:rPr>
        <w:footnoteReference w:id="3821"/>
      </w:r>
      <w:r>
        <w:rPr>
          <w:rFonts w:ascii="Amiri" w:hAnsi="Amiri" w:eastAsia="Amiri" w:cs="Amiri"/>
          <w:color w:val="111111"/>
          <w:sz w:val="28"/>
          <w:sz w:val="28"/>
          <w:szCs w:val="28"/>
          <w:rtl w:val="true"/>
          <w:lang w:bidi="ar-SA"/>
        </w:rPr>
        <w:t>و هو يَقتَضي خِلافَ ما ذَهَبتم إليه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بخبرٍ شاذٍّ يَرُدُّه و يَطعَنُ عليه أكثَرُ الأُمّةِ‌، علىٰ خبرٍ مُجمَعٍ عليه مُسلَّمٍ‌</w:t>
      </w:r>
      <w:r>
        <w:rPr>
          <w:rStyle w:val="FootnoteAnchor"/>
          <w:rtl w:val="true"/>
        </w:rPr>
        <w:footnoteReference w:id="3822"/>
      </w:r>
      <w:r>
        <w:rPr>
          <w:rFonts w:ascii="Amiri" w:hAnsi="Amiri" w:eastAsia="Amiri" w:cs="Amiri"/>
          <w:color w:val="111111"/>
          <w:sz w:val="28"/>
          <w:sz w:val="28"/>
          <w:szCs w:val="28"/>
          <w:rtl w:val="true"/>
          <w:lang w:bidi="ar-SA"/>
        </w:rPr>
        <w:t>لروايتِه</w:t>
      </w:r>
      <w:r>
        <w:rPr>
          <w:rStyle w:val="FootnoteAnchor"/>
          <w:rtl w:val="true"/>
        </w:rPr>
        <w:footnoteReference w:id="3823"/>
      </w:r>
      <w:r>
        <w:rPr>
          <w:rFonts w:ascii="Amiri" w:hAnsi="Amiri" w:eastAsia="Amiri" w:cs="Amiri"/>
          <w:color w:val="111111"/>
          <w:sz w:val="28"/>
          <w:sz w:val="28"/>
          <w:szCs w:val="28"/>
          <w:rtl w:val="true"/>
          <w:lang w:bidi="ar-SA"/>
        </w:rPr>
        <w:t>، لا وجهَ له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قولَ أبي بَكرٍ هذا، لَو كانَ صَحيحاً، لَم يَكُن مِن حَملِه علَى التوَسُّعِ و التجَوُّزِ بُدٌّ؛ لأنّ قُربَ‌</w:t>
      </w:r>
      <w:r>
        <w:rPr>
          <w:rStyle w:val="FootnoteAnchor"/>
          <w:rtl w:val="true"/>
        </w:rPr>
        <w:footnoteReference w:id="3824"/>
      </w:r>
      <w:r>
        <w:rPr>
          <w:rFonts w:ascii="Amiri" w:hAnsi="Amiri" w:eastAsia="Amiri" w:cs="Amiri"/>
          <w:color w:val="111111"/>
          <w:sz w:val="28"/>
          <w:sz w:val="28"/>
          <w:szCs w:val="28"/>
          <w:rtl w:val="true"/>
          <w:lang w:bidi="ar-SA"/>
        </w:rPr>
        <w:t xml:space="preserve">أبي بَكرٍ إلَى الرسولِ صَلَّى اللّٰهُ عليه و آلِه في النَّسَبِ لا يَقتَضي أن يُطلَقَ عليه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الحَقيقةِ‌؛ لأنّ بَني تَيمِ بنِ مُرّةَ‌، و إن كانوا</w:t>
      </w:r>
      <w:r>
        <w:rPr>
          <w:rStyle w:val="FootnoteAnchor"/>
          <w:rtl w:val="true"/>
        </w:rPr>
        <w:footnoteReference w:id="3825"/>
      </w:r>
      <w:r>
        <w:rPr>
          <w:rFonts w:ascii="Amiri" w:hAnsi="Amiri" w:eastAsia="Amiri" w:cs="Amiri"/>
          <w:color w:val="111111"/>
          <w:sz w:val="28"/>
          <w:sz w:val="28"/>
          <w:szCs w:val="28"/>
          <w:rtl w:val="true"/>
          <w:lang w:bidi="ar-SA"/>
        </w:rPr>
        <w:t>إلىٰ بَني هاشِمٍ أقرَبَ ممّن بَعُدَ عنهم بأبٍ أو أبَوَينِ‌</w:t>
      </w:r>
      <w:r>
        <w:rPr>
          <w:rStyle w:val="FootnoteAnchor"/>
          <w:rtl w:val="true"/>
        </w:rPr>
        <w:footnoteReference w:id="3826"/>
      </w:r>
      <w:r>
        <w:rPr>
          <w:rFonts w:ascii="Amiri" w:hAnsi="Amiri" w:eastAsia="Amiri" w:cs="Amiri"/>
          <w:color w:val="111111"/>
          <w:sz w:val="28"/>
          <w:sz w:val="28"/>
          <w:szCs w:val="28"/>
          <w:rtl w:val="true"/>
          <w:lang w:bidi="ar-SA"/>
        </w:rPr>
        <w:t>، فكذلكَ مَن بَعُدَ عنهم</w:t>
      </w:r>
      <w:r>
        <w:rPr>
          <w:rStyle w:val="FootnoteAnchor"/>
          <w:rtl w:val="true"/>
        </w:rPr>
        <w:footnoteReference w:id="3827"/>
      </w:r>
      <w:r>
        <w:rPr>
          <w:rFonts w:ascii="Amiri" w:hAnsi="Amiri" w:eastAsia="Amiri" w:cs="Amiri"/>
          <w:color w:val="111111"/>
          <w:sz w:val="28"/>
          <w:sz w:val="28"/>
          <w:szCs w:val="28"/>
          <w:rtl w:val="true"/>
          <w:lang w:bidi="ar-SA"/>
        </w:rPr>
        <w:t xml:space="preserve">بأبٍ أو بأبَوَينِ أو أكثَرَ مِن ذلكَ هو أقرَبُ إلىٰ بَني هاشِمٍ ممّن بَعُدَ أكثَرَ مِن هذا </w:t>
      </w:r>
    </w:p>
    <w:p>
      <w:pPr>
        <w:pStyle w:val="BookText"/>
        <w:rPr/>
      </w:pP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ما يَقتَضي أن تَكونَ‌</w:t>
      </w:r>
      <w:r>
        <w:rPr>
          <w:rStyle w:val="FootnoteAnchor"/>
          <w:rtl w:val="true"/>
        </w:rPr>
        <w:footnoteReference w:id="3828"/>
      </w:r>
      <w:r>
        <w:rPr>
          <w:rFonts w:ascii="Amiri" w:hAnsi="Amiri" w:eastAsia="Amiri" w:cs="Amiri"/>
          <w:color w:val="111111"/>
          <w:sz w:val="28"/>
          <w:sz w:val="28"/>
          <w:szCs w:val="28"/>
          <w:rtl w:val="true"/>
          <w:lang w:bidi="ar-SA"/>
        </w:rPr>
        <w:t>قُرَيشٌ كُلُّها عِترةً واحدةً‌، بَل يَقتَضي أن يَكونَ جميعُ ولدِ مَعَدِّ بنِ عَدنانَ عِترةً‌؛ لأنّ بعضَهم أقرَبُ إلىٰ بعضٍ مِن اليَمَنِ‌، و علىٰ هذا التدريجِ‌، حتّىٰ يُجعَلَ جميعُ‌</w:t>
      </w:r>
      <w:r>
        <w:rPr>
          <w:rStyle w:val="FootnoteAnchor"/>
          <w:rtl w:val="true"/>
        </w:rPr>
        <w:footnoteReference w:id="3829"/>
      </w:r>
      <w:r>
        <w:rPr>
          <w:rFonts w:ascii="Amiri" w:hAnsi="Amiri" w:eastAsia="Amiri" w:cs="Amiri"/>
          <w:color w:val="111111"/>
          <w:sz w:val="28"/>
          <w:sz w:val="28"/>
          <w:szCs w:val="28"/>
          <w:rtl w:val="true"/>
          <w:lang w:bidi="ar-SA"/>
        </w:rPr>
        <w:t>بَني آدَمَ عِترةً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 بما ذَكرناه أنّ الخبرَ إذا صَحَّ كانَ مَجازاً، و يَكونُ وجهُ ذلكَ ما أرادَه أبو بَكرٍ مِن الافتخارِ بالقَرابةِ مِن نَسَبِ الرسولِ صَلَّى اللّٰهُ عليه و آلِه، فأطلَقَ‌</w:t>
      </w:r>
      <w:r>
        <w:rPr>
          <w:rStyle w:val="FootnoteAnchor"/>
          <w:rtl w:val="true"/>
        </w:rPr>
        <w:footnoteReference w:id="3830"/>
      </w:r>
      <w:r>
        <w:rPr>
          <w:rFonts w:ascii="Amiri" w:hAnsi="Amiri" w:eastAsia="Amiri" w:cs="Amiri"/>
          <w:color w:val="111111"/>
          <w:sz w:val="28"/>
          <w:sz w:val="28"/>
          <w:szCs w:val="28"/>
          <w:rtl w:val="true"/>
          <w:lang w:bidi="ar-SA"/>
        </w:rPr>
        <w:t>هذه اللفظةَ تَوسُّعاً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يَقولُ مَن له أدنىٰ شُعبةٍ بقَومٍ و أيسَرُ عُلقةٍ بنَسَبِهم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التوَسُّعِ‌</w:t>
      </w:r>
      <w:r>
        <w:rPr>
          <w:rStyle w:val="FootnoteAnchor"/>
          <w:rtl w:val="true"/>
        </w:rPr>
        <w:footnoteReference w:id="3831"/>
      </w:r>
      <w:r>
        <w:rPr>
          <w:rFonts w:ascii="Amiri" w:hAnsi="Amiri" w:eastAsia="Amiri" w:cs="Amiri"/>
          <w:color w:val="111111"/>
          <w:sz w:val="28"/>
          <w:sz w:val="28"/>
          <w:szCs w:val="28"/>
          <w:rtl w:val="true"/>
          <w:lang w:bidi="ar-SA"/>
        </w:rPr>
        <w:t>، و قد يَقولُ أحَدُنا لِمَن لَيسَ بِابنٍ له علَى الحقيقةِ‌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ابني 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الاختصاصَ و الشفَقةَ‌، و كذلكَ قد يَقولُ لِمَن لَم يَلِدْه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يَجِبُ أن يُحمَلَ قولُ أبي بَكرٍ، و إن كانَت الحقيقةُ تَقتَضي خِلافَه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أبا بَكرٍ، لَو صَحَّ كَونُه مِن عِترةِ الرسولِ عليه السلامُ علىٰ سَبيلِ الحقيقةِ‌، لَكانَ خارجاً مِن حُكمِ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 عِترتي أهلَ بَيتي؛ فإنّهما لَن يَفتَرِقا حتّىٰ يَرِدا عَلَيَّ الحَوضَ </w:t>
      </w:r>
      <w:r>
        <w:rPr>
          <w:rStyle w:val="FootnoteAnchor"/>
          <w:rtl w:val="true"/>
        </w:rPr>
        <w:footnoteReference w:id="3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الرسولَ صَلَّى اللّٰهُ عليه و آلِه قَيَّدَ ذلكَ بصِفةٍ معلومةٍ أنّها</w:t>
      </w:r>
      <w:r>
        <w:rPr>
          <w:rStyle w:val="FootnoteAnchor"/>
          <w:rtl w:val="true"/>
        </w:rPr>
        <w:footnoteReference w:id="3833"/>
      </w:r>
      <w:r>
        <w:rPr>
          <w:rFonts w:ascii="Amiri" w:hAnsi="Amiri" w:eastAsia="Amiri" w:cs="Amiri"/>
          <w:color w:val="111111"/>
          <w:sz w:val="28"/>
          <w:sz w:val="28"/>
          <w:szCs w:val="28"/>
          <w:rtl w:val="true"/>
          <w:lang w:bidi="ar-SA"/>
        </w:rPr>
        <w:t>لَم تَكُن في أبي بَكرٍ،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شُبهةَ في أنّه لَم يَكُن مِن أهلِ البَيتِ الذينَ ذَكرنا أنّ الآيةَ نَزَلَت فيهم و اختَصَّتهم، و لا ممّن يُطلَقُ عليه في العُرفِ أنّه مِن أهلِ بَيتِ الرسولِ صَلَّى اللّٰهُ عليه و آلِه؛ لأنّ مَن اجتَمَعَ مع غيرِه بَعدَ عَشرةِ آباءٍ أو نَحوِهم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بَيتِه</w:t>
      </w:r>
      <w:r>
        <w:rPr>
          <w:rFonts w:eastAsia="Amiri" w:cs="Amiri" w:ascii="Amiri" w:hAnsi="Amiri"/>
          <w:color w:val="111111"/>
          <w:sz w:val="28"/>
          <w:szCs w:val="28"/>
          <w:rtl w:val="true"/>
          <w:lang w:bidi="ar-SA"/>
        </w:rPr>
        <w:t xml:space="preserve">. </w:t>
      </w:r>
      <w:bookmarkStart w:id="689" w:name="pg20017_202801"/>
    </w:p>
    <w:p>
      <w:pPr>
        <w:pStyle w:val="Heading5"/>
        <w:numPr>
          <w:ilvl w:val="4"/>
          <w:numId w:val="1"/>
        </w:numPr>
        <w:rPr/>
      </w:pPr>
      <w:bookmarkStart w:id="690" w:name="__RefHeading___Toc964487_2320776876"/>
      <w:bookmarkStart w:id="691" w:name="_Toc247"/>
      <w:bookmarkEnd w:id="689"/>
      <w:bookmarkEnd w:id="690"/>
      <w:r>
        <w:rPr>
          <w:rtl w:val="true"/>
        </w:rPr>
        <w:t>بيان دلالة حديث الثقلين علىٰ أنّ إجماع أهل البيت حجّة</w:t>
      </w:r>
      <w:bookmarkEnd w:id="691"/>
    </w:p>
    <w:p>
      <w:pPr>
        <w:pStyle w:val="BookText"/>
        <w:rPr/>
      </w:pPr>
      <w:r>
        <w:rPr>
          <w:rFonts w:ascii="IRNazanin" w:hAnsi="IRNazanin" w:eastAsia="IRNazanin"/>
          <w:color w:val="111111"/>
          <w:sz w:val="28"/>
          <w:sz w:val="28"/>
          <w:szCs w:val="28"/>
          <w:rtl w:val="true"/>
          <w:lang w:bidi="fa-IR"/>
        </w:rPr>
        <w:t>و إذا</w:t>
      </w:r>
      <w:r>
        <w:rPr>
          <w:rStyle w:val="FootnoteAnchor"/>
          <w:rtl w:val="true"/>
        </w:rPr>
        <w:footnoteReference w:id="3834"/>
      </w:r>
      <w:r>
        <w:rPr>
          <w:rFonts w:ascii="Amiri" w:hAnsi="Amiri" w:eastAsia="Amiri" w:cs="Amiri"/>
          <w:color w:val="111111"/>
          <w:sz w:val="28"/>
          <w:sz w:val="28"/>
          <w:szCs w:val="28"/>
          <w:rtl w:val="true"/>
          <w:lang w:bidi="ar-SA"/>
        </w:rPr>
        <w:t xml:space="preserve">صَحَّت هذه الجُملةُ التي ذَكرناها، وَجَبَ أن يَكونَ إجماعُ العِترةِ حُجّةً ؛ لأنّه لَو لَم يَكُن بهذه الصفةِ لَم يَجِبِ ارتفاعُ الضَّلالِ عن المُتَمَسِّكِ </w:t>
      </w:r>
      <w:r>
        <w:rPr>
          <w:rStyle w:val="FootnoteAnchor"/>
          <w:rtl w:val="true"/>
        </w:rPr>
        <w:footnoteReference w:id="3835"/>
      </w:r>
      <w:r>
        <w:rPr>
          <w:rFonts w:ascii="Amiri" w:hAnsi="Amiri" w:eastAsia="Amiri" w:cs="Amiri"/>
          <w:color w:val="111111"/>
          <w:sz w:val="28"/>
          <w:sz w:val="28"/>
          <w:szCs w:val="28"/>
          <w:rtl w:val="true"/>
          <w:lang w:bidi="ar-SA"/>
        </w:rPr>
        <w:t xml:space="preserve">بالعِترةِ علىٰ كُلِّ وجهٍ ، و إذا كانَ صَلَّى اللّٰهُ عليه و آلِه قد بَيَّنَ أنّ المُتَمسِّكَ </w:t>
      </w:r>
      <w:r>
        <w:rPr>
          <w:rStyle w:val="FootnoteAnchor"/>
          <w:rtl w:val="true"/>
        </w:rPr>
        <w:footnoteReference w:id="3836"/>
      </w:r>
      <w:r>
        <w:rPr>
          <w:rFonts w:ascii="Amiri" w:hAnsi="Amiri" w:eastAsia="Amiri" w:cs="Amiri"/>
          <w:color w:val="111111"/>
          <w:sz w:val="28"/>
          <w:sz w:val="28"/>
          <w:szCs w:val="28"/>
          <w:rtl w:val="true"/>
          <w:lang w:bidi="ar-SA"/>
        </w:rPr>
        <w:t>بالعِترةِ لا يَضِلُّ ثَبَتَ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أنكَرتم أن يَكونَ صَلَّى اللّٰهُ عليه و آلِه إنّما نَفَى الضَّلالَ عمّن تَمسَّكَ </w:t>
      </w:r>
      <w:r>
        <w:rPr>
          <w:rStyle w:val="FootnoteAnchor"/>
          <w:rtl w:val="true"/>
        </w:rPr>
        <w:footnoteReference w:id="3837"/>
      </w:r>
      <w:r>
        <w:rPr>
          <w:rFonts w:ascii="Amiri" w:hAnsi="Amiri" w:eastAsia="Amiri" w:cs="Amiri"/>
          <w:color w:val="111111"/>
          <w:sz w:val="28"/>
          <w:sz w:val="28"/>
          <w:szCs w:val="28"/>
          <w:rtl w:val="true"/>
          <w:lang w:bidi="ar-SA"/>
        </w:rPr>
        <w:t xml:space="preserve">بالكتابِ و العِترةِ مَعاً؟ فمِن أينَ أنّ المُتمسِّكَ </w:t>
      </w:r>
      <w:r>
        <w:rPr>
          <w:rStyle w:val="FootnoteAnchor"/>
          <w:rtl w:val="true"/>
        </w:rPr>
        <w:footnoteReference w:id="3838"/>
      </w:r>
      <w:r>
        <w:rPr>
          <w:rFonts w:ascii="Amiri" w:hAnsi="Amiri" w:eastAsia="Amiri" w:cs="Amiri"/>
          <w:color w:val="111111"/>
          <w:sz w:val="28"/>
          <w:sz w:val="28"/>
          <w:szCs w:val="28"/>
          <w:rtl w:val="true"/>
          <w:lang w:bidi="ar-SA"/>
        </w:rPr>
        <w:t>بالعِترةِ وَحدَها بهذه الصفةِ؟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المُرادَ بالكلامِ أنّ المُتمسِّكَ بكُلِّ واحدٍ مِن الكتابِ و العِترةِ لا يَضِلُّ‌، لَكانَ لا فائدةَ في إضافةِ ذِكرِ العِترةِ إلَى الكتابِ‌؛ لأنّ الكتابَ إذا كانَ حُجّةً‌، فلا معنىٰ لإضافةِ ما لَيسَ بحُجّةٍ إليه و القولِ في الجميعِ أنّ المُتمسِّكَ بِهما مُحِقٌّ ؛ لأنّ هذا حقيقةُ العَبَثِ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إضافةَ العِترةِ إذا لَم تَكُن في قولِهم الحُجّةُ </w:t>
      </w:r>
      <w:r>
        <w:rPr>
          <w:rStyle w:val="FootnoteAnchor"/>
          <w:rtl w:val="true"/>
        </w:rPr>
        <w:footnoteReference w:id="3839"/>
      </w:r>
      <w:r>
        <w:rPr>
          <w:rFonts w:ascii="Amiri" w:hAnsi="Amiri" w:eastAsia="Amiri" w:cs="Amiri"/>
          <w:color w:val="111111"/>
          <w:sz w:val="28"/>
          <w:sz w:val="28"/>
          <w:szCs w:val="28"/>
          <w:rtl w:val="true"/>
          <w:lang w:bidi="ar-SA"/>
        </w:rPr>
        <w:t>كإضافةِ غيرِهم مِن سائرِ الأشياءِ ؛ فأيُّ معنىً لتخصيصِهم، و التنبيهِ عليهم، و القَطعِ علىٰ أنّهم لا يَفتَرِقونَ حتّىٰ يَرِدوا القيامةَ؟ و هذا ممّا لا إشكالَ في سُقوطِه</w:t>
      </w:r>
      <w:r>
        <w:rPr>
          <w:rFonts w:eastAsia="Amiri" w:cs="Amiri" w:ascii="Amiri" w:hAnsi="Amiri"/>
          <w:color w:val="111111"/>
          <w:sz w:val="28"/>
          <w:szCs w:val="28"/>
          <w:rtl w:val="true"/>
          <w:lang w:bidi="ar-SA"/>
        </w:rPr>
        <w:t xml:space="preserve">. </w:t>
      </w:r>
      <w:bookmarkStart w:id="692" w:name="pg20017_202802"/>
    </w:p>
    <w:p>
      <w:pPr>
        <w:pStyle w:val="Heading5"/>
        <w:numPr>
          <w:ilvl w:val="4"/>
          <w:numId w:val="1"/>
        </w:numPr>
        <w:rPr/>
      </w:pPr>
      <w:bookmarkStart w:id="693" w:name="__RefHeading___Toc964489_2320776876"/>
      <w:bookmarkStart w:id="694" w:name="_Toc248"/>
      <w:bookmarkEnd w:id="692"/>
      <w:bookmarkEnd w:id="693"/>
      <w:r>
        <w:rPr>
          <w:rtl w:val="true"/>
        </w:rPr>
        <w:t>بيان إجماع أهل البيت علىٰ إمامة أمير المؤمنين عليه السلام</w:t>
      </w:r>
      <w:bookmarkEnd w:id="694"/>
    </w:p>
    <w:p>
      <w:pPr>
        <w:pStyle w:val="BookText"/>
        <w:rPr/>
      </w:pPr>
      <w:r>
        <w:rPr>
          <w:rFonts w:ascii="Amiri" w:hAnsi="Amiri" w:eastAsia="Amiri" w:cs="Amiri"/>
          <w:color w:val="111111"/>
          <w:sz w:val="28"/>
          <w:sz w:val="28"/>
          <w:szCs w:val="28"/>
          <w:rtl w:val="true"/>
          <w:lang w:bidi="ar-SA"/>
        </w:rPr>
        <w:t>و إذا صَحَّ أنّ إجماعَ أهلِ البَيتِ حُجّةٌ قَطَعنا علىٰ صِحّةِ كُلِّ ما اتَّفَقوا عليه، و ممّا اتَّفَقوا عليه القولُ بإمامةِ أميرِ المؤمنينَ عليه السلامُ بَعدَ النبيِّ صَلَّى اللّٰهُ عليه و آلِه بِلا فَصلٍ ، علَى</w:t>
      </w:r>
      <w:r>
        <w:rPr>
          <w:rStyle w:val="FootnoteAnchor"/>
          <w:rtl w:val="true"/>
        </w:rPr>
        <w:footnoteReference w:id="3840"/>
      </w:r>
      <w:r>
        <w:rPr>
          <w:rFonts w:ascii="Amiri" w:hAnsi="Amiri" w:eastAsia="Amiri" w:cs="Amiri"/>
          <w:color w:val="111111"/>
          <w:sz w:val="28"/>
          <w:sz w:val="28"/>
          <w:szCs w:val="28"/>
          <w:rtl w:val="true"/>
          <w:lang w:bidi="ar-SA"/>
        </w:rPr>
        <w:t xml:space="preserve">اختلافِهم في حُصولِ ذلكَ بنَصٍّ جَليٍّ أو خَفيٍّ ، أو بما يَحتَمِلُ </w:t>
      </w:r>
      <w:r>
        <w:rPr>
          <w:rStyle w:val="FootnoteAnchor"/>
          <w:rtl w:val="true"/>
        </w:rPr>
        <w:footnoteReference w:id="3841"/>
      </w:r>
      <w:r>
        <w:rPr>
          <w:rFonts w:ascii="Amiri" w:hAnsi="Amiri" w:eastAsia="Amiri" w:cs="Amiri"/>
          <w:color w:val="111111"/>
          <w:sz w:val="28"/>
          <w:sz w:val="28"/>
          <w:szCs w:val="28"/>
          <w:rtl w:val="true"/>
          <w:lang w:bidi="ar-SA"/>
        </w:rPr>
        <w:t>التأويلَ أو لا يَحتَمِلُه</w:t>
      </w:r>
      <w:r>
        <w:rPr>
          <w:rStyle w:val="FootnoteAnchor"/>
          <w:rtl w:val="true"/>
        </w:rPr>
        <w:footnoteReference w:id="3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تَدَّعونَ الإجماعَ مِن أهلِ البَيتِ علىٰ ما ذَكرتم، و قد رأَينا كَثيراً منهم يَذهَبُ إلىٰ مَذهبِ </w:t>
      </w:r>
      <w:r>
        <w:rPr>
          <w:rStyle w:val="FootnoteAnchor"/>
          <w:rtl w:val="true"/>
        </w:rPr>
        <w:footnoteReference w:id="3843"/>
      </w:r>
      <w:r>
        <w:rPr>
          <w:rFonts w:ascii="Amiri" w:hAnsi="Amiri" w:eastAsia="Amiri" w:cs="Amiri"/>
          <w:color w:val="111111"/>
          <w:sz w:val="28"/>
          <w:sz w:val="28"/>
          <w:szCs w:val="28"/>
          <w:rtl w:val="true"/>
          <w:lang w:bidi="ar-SA"/>
        </w:rPr>
        <w:t>المُعتَزِلةِ في الإمامةِ؟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فما رأَينا أحَداً مِن أهلِ البَيتِ يَذهَبُ إلىٰ خِلافِ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مَن سَمِعنا عنه فيما مَضىٰ بخِلافِ ما حَكَيناه فلَيسَ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يُعتَرَضُ بقَولِه علَى الإجماعِ‌؛ لشُذوذِه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مَن يُدَّعىٰ عليه هذا القولُ‌، الواحدُ و الاثنانِ‌، و لَيسَ بمِثلِ هذا اعتراضٌ علَى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لا تَجِدُ أحَداً ممّن يُدَّعىٰ عليه هذا مِن جُملةِ علماءِ أهلِ البَيتِ عليهم السلامُ‌، و لا مِن ذَوي</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فَتَّشتَ عن أمرِه وَجَدتَه مُتعرِّضاً بذلكَ لفائدةٍ‌، مُرتَقياً</w:t>
      </w:r>
      <w:r>
        <w:rPr>
          <w:rStyle w:val="FootnoteAnchor"/>
          <w:rtl w:val="true"/>
        </w:rPr>
        <w:footnoteReference w:id="3844"/>
      </w:r>
      <w:r>
        <w:rPr>
          <w:rFonts w:ascii="Amiri" w:hAnsi="Amiri" w:eastAsia="Amiri" w:cs="Amiri"/>
          <w:color w:val="111111"/>
          <w:sz w:val="28"/>
          <w:sz w:val="28"/>
          <w:szCs w:val="28"/>
          <w:rtl w:val="true"/>
          <w:lang w:bidi="ar-SA"/>
        </w:rPr>
        <w:t>به علىٰ بعضِ أغراضِ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متىٰ طَرَقنا الاعتراضَ بالشُّذّاذِ</w:t>
      </w:r>
      <w:r>
        <w:rPr>
          <w:rStyle w:val="FootnoteAnchor"/>
          <w:rtl w:val="true"/>
        </w:rPr>
        <w:footnoteReference w:id="3845"/>
      </w:r>
      <w:r>
        <w:rPr>
          <w:rFonts w:ascii="Amiri" w:hAnsi="Amiri" w:eastAsia="Amiri" w:cs="Amiri"/>
          <w:color w:val="111111"/>
          <w:sz w:val="28"/>
          <w:sz w:val="28"/>
          <w:szCs w:val="28"/>
          <w:rtl w:val="true"/>
          <w:lang w:bidi="ar-SA"/>
        </w:rPr>
        <w:t>و الآحادِ علَى</w:t>
      </w:r>
      <w:r>
        <w:rPr>
          <w:rStyle w:val="FootnoteAnchor"/>
          <w:rtl w:val="true"/>
        </w:rPr>
        <w:footnoteReference w:id="3846"/>
      </w:r>
      <w:r>
        <w:rPr>
          <w:rFonts w:ascii="Amiri" w:hAnsi="Amiri" w:eastAsia="Amiri" w:cs="Amiri"/>
          <w:color w:val="111111"/>
          <w:sz w:val="28"/>
          <w:sz w:val="28"/>
          <w:szCs w:val="28"/>
          <w:rtl w:val="true"/>
          <w:lang w:bidi="ar-SA"/>
        </w:rPr>
        <w:t>الجماعاتِ‌، أدّىٰ ذلكَ‌</w:t>
      </w:r>
      <w:r>
        <w:rPr>
          <w:rStyle w:val="FootnoteAnchor"/>
          <w:rtl w:val="true"/>
        </w:rPr>
        <w:footnoteReference w:id="3847"/>
      </w:r>
      <w:r>
        <w:rPr>
          <w:rFonts w:ascii="Amiri" w:hAnsi="Amiri" w:eastAsia="Amiri" w:cs="Amiri"/>
          <w:color w:val="111111"/>
          <w:sz w:val="28"/>
          <w:sz w:val="28"/>
          <w:szCs w:val="28"/>
          <w:rtl w:val="true"/>
          <w:lang w:bidi="ar-SA"/>
        </w:rPr>
        <w:t>إلىٰ بُطلانِ استقرارِ</w:t>
      </w:r>
      <w:r>
        <w:rPr>
          <w:rStyle w:val="FootnoteAnchor"/>
          <w:rtl w:val="true"/>
        </w:rPr>
        <w:footnoteReference w:id="3848"/>
      </w:r>
      <w:r>
        <w:rPr>
          <w:rFonts w:ascii="Amiri" w:hAnsi="Amiri" w:eastAsia="Amiri" w:cs="Amiri"/>
          <w:color w:val="111111"/>
          <w:sz w:val="28"/>
          <w:sz w:val="28"/>
          <w:szCs w:val="28"/>
          <w:rtl w:val="true"/>
          <w:lang w:bidi="ar-SA"/>
        </w:rPr>
        <w:t>الإجماعِ في شَيءٍ مِن الأشياءِ‌؛ لأنّا نَعلَمُ‌</w:t>
      </w:r>
      <w:r>
        <w:rPr>
          <w:rStyle w:val="FootnoteAnchor"/>
          <w:rtl w:val="true"/>
        </w:rPr>
        <w:footnoteReference w:id="3849"/>
      </w:r>
      <w:r>
        <w:rPr>
          <w:rFonts w:ascii="Amiri" w:hAnsi="Amiri" w:eastAsia="Amiri" w:cs="Amiri"/>
          <w:color w:val="111111"/>
          <w:sz w:val="28"/>
          <w:sz w:val="28"/>
          <w:szCs w:val="28"/>
          <w:rtl w:val="true"/>
          <w:lang w:bidi="ar-SA"/>
        </w:rPr>
        <w:t>أنّ في الغُلاةِ و الإسماعيليّةِ‌</w:t>
      </w:r>
      <w:r>
        <w:rPr>
          <w:rStyle w:val="FootnoteAnchor"/>
          <w:rtl w:val="true"/>
        </w:rPr>
        <w:footnoteReference w:id="3850"/>
      </w:r>
      <w:r>
        <w:rPr>
          <w:rFonts w:ascii="Amiri" w:hAnsi="Amiri" w:eastAsia="Amiri" w:cs="Amiri"/>
          <w:color w:val="111111"/>
          <w:sz w:val="28"/>
          <w:sz w:val="28"/>
          <w:szCs w:val="28"/>
          <w:rtl w:val="true"/>
          <w:lang w:bidi="ar-SA"/>
        </w:rPr>
        <w:t>مَن يُخالِفُ في الشرائعِ كأعدادِ</w:t>
      </w:r>
      <w:r>
        <w:rPr>
          <w:rStyle w:val="FootnoteAnchor"/>
          <w:rtl w:val="true"/>
        </w:rPr>
        <w:footnoteReference w:id="3851"/>
      </w:r>
      <w:r>
        <w:rPr>
          <w:rFonts w:ascii="Amiri" w:hAnsi="Amiri" w:eastAsia="Amiri" w:cs="Amiri"/>
          <w:color w:val="111111"/>
          <w:sz w:val="28"/>
          <w:sz w:val="28"/>
          <w:szCs w:val="28"/>
          <w:rtl w:val="true"/>
          <w:lang w:bidi="ar-SA"/>
        </w:rPr>
        <w:t>الصلاةِ و غيرِها، و منهم مَن يَذهَبُ إلىٰ أنّه كانَ بَعدَ الرسولِ صَلَّى اللّٰهُ عليه و آلِه عِدّةُ أنبياءَ و أنّ الرسالةَ ما انخَتَمَت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فلا يَمنَعُنا ذلكَ‌</w:t>
      </w:r>
      <w:r>
        <w:rPr>
          <w:rStyle w:val="FootnoteAnchor"/>
          <w:rtl w:val="true"/>
        </w:rPr>
        <w:footnoteReference w:id="3852"/>
      </w:r>
      <w:r>
        <w:rPr>
          <w:rFonts w:ascii="Amiri" w:hAnsi="Amiri" w:eastAsia="Amiri" w:cs="Amiri"/>
          <w:color w:val="111111"/>
          <w:sz w:val="28"/>
          <w:sz w:val="28"/>
          <w:szCs w:val="28"/>
          <w:rtl w:val="true"/>
          <w:lang w:bidi="ar-SA"/>
        </w:rPr>
        <w:t>مِن أن نَدَّعيَ الإجماعَ علَى انقطاعِ النبوّةِ ، و تَقرُّرِ</w:t>
      </w:r>
      <w:r>
        <w:rPr>
          <w:rStyle w:val="FootnoteAnchor"/>
          <w:rtl w:val="true"/>
        </w:rPr>
        <w:footnoteReference w:id="3853"/>
      </w:r>
      <w:r>
        <w:rPr>
          <w:rFonts w:ascii="Amiri" w:hAnsi="Amiri" w:eastAsia="Amiri" w:cs="Amiri"/>
          <w:color w:val="111111"/>
          <w:sz w:val="28"/>
          <w:sz w:val="28"/>
          <w:szCs w:val="28"/>
          <w:rtl w:val="true"/>
          <w:lang w:bidi="ar-SA"/>
        </w:rPr>
        <w:t>أُصولِ الشرائعِ ، و لا نَعتَدَّ</w:t>
      </w:r>
      <w:r>
        <w:rPr>
          <w:rStyle w:val="FootnoteAnchor"/>
          <w:rtl w:val="true"/>
        </w:rPr>
        <w:footnoteReference w:id="3854"/>
      </w:r>
      <w:r>
        <w:rPr>
          <w:rFonts w:ascii="Amiri" w:hAnsi="Amiri" w:eastAsia="Amiri" w:cs="Amiri"/>
          <w:color w:val="111111"/>
          <w:sz w:val="28"/>
          <w:sz w:val="28"/>
          <w:szCs w:val="28"/>
          <w:rtl w:val="true"/>
          <w:lang w:bidi="ar-SA"/>
        </w:rPr>
        <w:t xml:space="preserve">بخِلافِ مَن ذَكرناه، و معلومٌ ضَرورةً أنّهم أضعافُ أضعافِ </w:t>
      </w:r>
      <w:r>
        <w:rPr>
          <w:rStyle w:val="FootnoteAnchor"/>
          <w:rtl w:val="true"/>
        </w:rPr>
        <w:footnoteReference w:id="3855"/>
      </w:r>
      <w:r>
        <w:rPr>
          <w:rFonts w:ascii="Amiri" w:hAnsi="Amiri" w:eastAsia="Amiri" w:cs="Amiri"/>
          <w:color w:val="111111"/>
          <w:sz w:val="28"/>
          <w:sz w:val="28"/>
          <w:szCs w:val="28"/>
          <w:rtl w:val="true"/>
          <w:lang w:bidi="ar-SA"/>
        </w:rPr>
        <w:t xml:space="preserve">مَن يُظهِرُ مِن أهلِ البَيتِ خِلافَ المَذهبِ الذي ذَكرناه في الإمامةِ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قد شاهَدنا و ناظَرنا بعضَ مَن يُعَدُّ في جُملةِ الفقهاءِ و أهلِ الفُتيا علىٰ أنّ اللّٰهَ تَعالىٰ يَعفو عن اليَهودِ و النصارىٰ و إن لَم يؤمِنوا، و لا يُعاقِبُهم؛ و علىٰ غيرِ </w:t>
      </w:r>
      <w:bookmarkStart w:id="695" w:name="pg20017_202804"/>
    </w:p>
    <w:p>
      <w:pPr>
        <w:pStyle w:val="BookText"/>
        <w:rPr/>
      </w:pPr>
      <w:bookmarkEnd w:id="695"/>
      <w:r>
        <w:rPr>
          <w:rFonts w:ascii="Amiri" w:hAnsi="Amiri" w:eastAsia="Amiri" w:cs="Amiri"/>
          <w:color w:val="111111"/>
          <w:sz w:val="28"/>
          <w:sz w:val="28"/>
          <w:szCs w:val="28"/>
          <w:rtl w:val="true"/>
          <w:lang w:bidi="ar-SA"/>
        </w:rPr>
        <w:t>ذلكَ ممّا لا شَكَّ في أنّ الإجماعَ حُجّةٌ فيه</w:t>
      </w:r>
      <w:r>
        <w:rPr>
          <w:rStyle w:val="FootnoteAnchor"/>
          <w:rtl w:val="true"/>
        </w:rPr>
        <w:footnoteReference w:id="3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أنّا لَو جَعَلنا القولَ بذلكَ مُعتَرِضاً علىٰ أدِلّتِنا و علىٰ إجماعِ أهلِ البَيتِ ، و حَفَلنا</w:t>
      </w:r>
      <w:r>
        <w:rPr>
          <w:rStyle w:val="FootnoteAnchor"/>
          <w:rtl w:val="true"/>
        </w:rPr>
        <w:footnoteReference w:id="3857"/>
      </w:r>
      <w:r>
        <w:rPr>
          <w:rFonts w:ascii="Amiri" w:hAnsi="Amiri" w:eastAsia="Amiri" w:cs="Amiri"/>
          <w:color w:val="111111"/>
          <w:sz w:val="28"/>
          <w:sz w:val="28"/>
          <w:szCs w:val="28"/>
          <w:rtl w:val="true"/>
          <w:lang w:bidi="ar-SA"/>
        </w:rPr>
        <w:t>بقَولِ مَن يُحكىٰ ذلكَ عنه، لَم يَقدَحْ فيما اعتَمَدناه</w:t>
      </w:r>
      <w:r>
        <w:rPr>
          <w:rStyle w:val="FootnoteAnchor"/>
          <w:rtl w:val="true"/>
        </w:rPr>
        <w:footnoteReference w:id="3858"/>
      </w:r>
      <w:r>
        <w:rPr>
          <w:rFonts w:ascii="Amiri" w:hAnsi="Amiri" w:eastAsia="Amiri" w:cs="Amiri"/>
          <w:color w:val="111111"/>
          <w:sz w:val="28"/>
          <w:sz w:val="28"/>
          <w:szCs w:val="28"/>
          <w:rtl w:val="true"/>
          <w:lang w:bidi="ar-SA"/>
        </w:rPr>
        <w:t xml:space="preserve">لأنّ مِن المعلومِ أنّ أزمِنةً كَثيرةً لا يُعرَفُ فيها قائلٌ بهذا المَذهبِ </w:t>
      </w:r>
      <w:r>
        <w:rPr>
          <w:rStyle w:val="FootnoteAnchor"/>
          <w:rtl w:val="true"/>
        </w:rPr>
        <w:footnoteReference w:id="3859"/>
      </w:r>
      <w:r>
        <w:rPr>
          <w:rFonts w:ascii="Amiri" w:hAnsi="Amiri" w:eastAsia="Amiri" w:cs="Amiri"/>
          <w:color w:val="111111"/>
          <w:sz w:val="28"/>
          <w:sz w:val="28"/>
          <w:szCs w:val="28"/>
          <w:rtl w:val="true"/>
          <w:lang w:bidi="ar-SA"/>
        </w:rPr>
        <w:t>مِن أهلِ البَيتِ كزَمانِنا هذا و غيرِه؛ فإنّا</w:t>
      </w:r>
      <w:r>
        <w:rPr>
          <w:rStyle w:val="FootnoteAnchor"/>
          <w:rtl w:val="true"/>
        </w:rPr>
        <w:footnoteReference w:id="3860"/>
      </w:r>
      <w:r>
        <w:rPr>
          <w:rFonts w:ascii="Amiri" w:hAnsi="Amiri" w:eastAsia="Amiri" w:cs="Amiri"/>
          <w:color w:val="111111"/>
          <w:sz w:val="28"/>
          <w:sz w:val="28"/>
          <w:szCs w:val="28"/>
          <w:rtl w:val="true"/>
          <w:lang w:bidi="ar-SA"/>
        </w:rPr>
        <w:t>لَم نُشاهِدْ</w:t>
      </w:r>
      <w:r>
        <w:rPr>
          <w:rStyle w:val="FootnoteAnchor"/>
          <w:rtl w:val="true"/>
        </w:rPr>
        <w:footnoteReference w:id="3861"/>
      </w:r>
      <w:r>
        <w:rPr>
          <w:rFonts w:ascii="Amiri" w:hAnsi="Amiri" w:eastAsia="Amiri" w:cs="Amiri"/>
          <w:color w:val="111111"/>
          <w:sz w:val="28"/>
          <w:sz w:val="28"/>
          <w:szCs w:val="28"/>
          <w:rtl w:val="true"/>
          <w:lang w:bidi="ar-SA"/>
        </w:rPr>
        <w:t>في وقتِنا هذا</w:t>
      </w:r>
      <w:r>
        <w:rPr>
          <w:rStyle w:val="FootnoteAnchor"/>
          <w:rtl w:val="true"/>
        </w:rPr>
        <w:footnoteReference w:id="3862"/>
      </w:r>
      <w:r>
        <w:rPr>
          <w:rFonts w:ascii="Amiri" w:hAnsi="Amiri" w:eastAsia="Amiri" w:cs="Amiri"/>
          <w:color w:val="111111"/>
          <w:sz w:val="28"/>
          <w:sz w:val="28"/>
          <w:szCs w:val="28"/>
          <w:rtl w:val="true"/>
          <w:lang w:bidi="ar-SA"/>
        </w:rPr>
        <w:t xml:space="preserve">قائلاً بالمَذهبِ </w:t>
      </w:r>
      <w:r>
        <w:rPr>
          <w:rStyle w:val="FootnoteAnchor"/>
          <w:rtl w:val="true"/>
        </w:rPr>
        <w:footnoteReference w:id="3863"/>
      </w:r>
      <w:r>
        <w:rPr>
          <w:rFonts w:ascii="Amiri" w:hAnsi="Amiri" w:eastAsia="Amiri" w:cs="Amiri"/>
          <w:color w:val="111111"/>
          <w:sz w:val="28"/>
          <w:sz w:val="28"/>
          <w:szCs w:val="28"/>
          <w:rtl w:val="true"/>
          <w:lang w:bidi="ar-SA"/>
        </w:rPr>
        <w:t>الذي أفسَدناه، و لا أُخبِرنا عمّن هذه حالُه فيه، و المُعتَبَرُ في الإجماعِ كُلُّ عَصرٍ؛ فثَبَتَ ما أرَدناه</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964491_2320776876"/>
      <w:bookmarkStart w:id="697" w:name="_Toc249"/>
      <w:bookmarkEnd w:id="696"/>
      <w:r>
        <w:rPr>
          <w:rtl w:val="true"/>
        </w:rPr>
        <w:t>بيان دلالة حديث الثقلين علىٰ ثبوت حجّةٍ مأمونٍ من أهل البيت في كلّ عصر</w:t>
      </w:r>
      <w:bookmarkEnd w:id="697"/>
    </w:p>
    <w:p>
      <w:pPr>
        <w:pStyle w:val="BookText"/>
        <w:rPr/>
      </w:pPr>
      <w:r>
        <w:rPr>
          <w:rFonts w:ascii="Amiri" w:hAnsi="Amiri" w:eastAsia="Amiri" w:cs="Amiri"/>
          <w:color w:val="111111"/>
          <w:sz w:val="28"/>
          <w:sz w:val="28"/>
          <w:szCs w:val="28"/>
          <w:rtl w:val="true"/>
          <w:lang w:bidi="ar-SA"/>
        </w:rPr>
        <w:t>فأمّا ما يُمكِنُ أن يُستَدَلَّ بهذا الخبرِ عليه مِن ثُبوتِ حُجّةٍ مأمونٍ في جُملةِ أهلِ البَيتِ في كُلِّ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أنّا نَعلَمُ أنّ الرسولَ صَلَّى اللّٰهُ عليه و آلِه</w:t>
      </w:r>
      <w:r>
        <w:rPr>
          <w:rStyle w:val="FootnoteAnchor"/>
          <w:rtl w:val="true"/>
        </w:rPr>
        <w:footnoteReference w:id="3864"/>
      </w:r>
      <w:r>
        <w:rPr>
          <w:rFonts w:ascii="Amiri" w:hAnsi="Amiri" w:eastAsia="Amiri" w:cs="Amiri"/>
          <w:color w:val="111111"/>
          <w:sz w:val="28"/>
          <w:sz w:val="28"/>
          <w:szCs w:val="28"/>
          <w:rtl w:val="true"/>
          <w:lang w:bidi="ar-SA"/>
        </w:rPr>
        <w:t>إنّما خاطَبَنا</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القولِ علىٰ طَريقِ </w:t>
      </w:r>
      <w:r>
        <w:rPr>
          <w:rStyle w:val="FootnoteAnchor"/>
          <w:rtl w:val="true"/>
        </w:rPr>
        <w:footnoteReference w:id="3865"/>
      </w:r>
      <w:r>
        <w:rPr>
          <w:rFonts w:ascii="Amiri" w:hAnsi="Amiri" w:eastAsia="Amiri" w:cs="Amiri"/>
          <w:color w:val="111111"/>
          <w:sz w:val="28"/>
          <w:sz w:val="28"/>
          <w:szCs w:val="28"/>
          <w:rtl w:val="true"/>
          <w:lang w:bidi="ar-SA"/>
        </w:rPr>
        <w:t xml:space="preserve">إزاحةِ العِلّةِ لنا، و الاحتجاجِ في الدينِ علينا، و الإرشادِ إلىٰ ما يَكونُ فيه نَجاتُنا مِن الشُّكوكِ و الرِّيَبِ </w:t>
      </w:r>
      <w:r>
        <w:rPr>
          <w:rStyle w:val="FootnoteAnchor"/>
          <w:rtl w:val="true"/>
        </w:rPr>
        <w:footnoteReference w:id="3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الذي 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رِوايةِ زَيدِ بنِ ثابتٍ لهذا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 الخَليفَتانِ مِن بَعدي</w:t>
      </w:r>
      <w:r>
        <w:rPr>
          <w:rFonts w:eastAsia="Amiri" w:cs="Amiri" w:ascii="Amiri" w:hAnsi="Amiri"/>
          <w:color w:val="111111"/>
          <w:sz w:val="28"/>
          <w:szCs w:val="28"/>
          <w:rtl w:val="true"/>
          <w:lang w:bidi="ar-SA"/>
        </w:rPr>
        <w:t>»</w:t>
      </w:r>
      <w:r>
        <w:rPr>
          <w:rStyle w:val="FootnoteAnchor"/>
          <w:rtl w:val="true"/>
        </w:rPr>
        <w:footnoteReference w:id="3867"/>
      </w:r>
      <w:r>
        <w:rPr>
          <w:rFonts w:ascii="Amiri" w:hAnsi="Amiri" w:eastAsia="Amiri" w:cs="Amiri"/>
          <w:color w:val="111111"/>
          <w:sz w:val="28"/>
          <w:sz w:val="28"/>
          <w:szCs w:val="28"/>
          <w:rtl w:val="true"/>
          <w:lang w:bidi="ar-SA"/>
        </w:rPr>
        <w:t>و إنّما أرادَ أنّ‌</w:t>
      </w:r>
      <w:r>
        <w:rPr>
          <w:rStyle w:val="FootnoteAnchor"/>
          <w:rtl w:val="true"/>
        </w:rPr>
        <w:footnoteReference w:id="3868"/>
      </w:r>
      <w:r>
        <w:rPr>
          <w:rFonts w:ascii="Amiri" w:hAnsi="Amiri" w:eastAsia="Amiri" w:cs="Amiri"/>
          <w:color w:val="111111"/>
          <w:sz w:val="28"/>
          <w:sz w:val="28"/>
          <w:szCs w:val="28"/>
          <w:rtl w:val="true"/>
          <w:lang w:bidi="ar-SA"/>
        </w:rPr>
        <w:t>المَرجِعَ إليهما بَعدي فيما كانَ يُرجَعُ إلَيَّ فيه في حَياتي؛ فلا يَخلو مِن أن يُريدَ أنّ إجماعَهم حُجّةٌ فَقَط دونَ أن يَدُلَّ القولُ علىٰ أنّ فيهم في كُلِّ حالٍ مَن يُرجَعُ إلىٰ قولِه و يُقطَعُ علىٰ عِصمتِه، أو يُريدَ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w:t>
      </w:r>
      <w:r>
        <w:rPr>
          <w:rStyle w:val="FootnoteAnchor"/>
          <w:rtl w:val="true"/>
        </w:rPr>
        <w:footnoteReference w:id="3869"/>
      </w:r>
      <w:r>
        <w:rPr>
          <w:rFonts w:ascii="Amiri" w:hAnsi="Amiri" w:eastAsia="Amiri" w:cs="Amiri"/>
          <w:color w:val="111111"/>
          <w:sz w:val="28"/>
          <w:sz w:val="28"/>
          <w:szCs w:val="28"/>
          <w:rtl w:val="true"/>
          <w:lang w:bidi="ar-SA"/>
        </w:rPr>
        <w:t>أرادَ الأوّلَ‌، لَم يَكُن مُكمِلاً للحُجّةِ علينا</w:t>
      </w:r>
      <w:r>
        <w:rPr>
          <w:rStyle w:val="FootnoteAnchor"/>
          <w:rtl w:val="true"/>
        </w:rPr>
        <w:footnoteReference w:id="3870"/>
      </w:r>
      <w:r>
        <w:rPr>
          <w:rFonts w:ascii="Amiri" w:hAnsi="Amiri" w:eastAsia="Amiri" w:cs="Amiri"/>
          <w:color w:val="111111"/>
          <w:sz w:val="28"/>
          <w:sz w:val="28"/>
          <w:szCs w:val="28"/>
          <w:rtl w:val="true"/>
          <w:lang w:bidi="ar-SA"/>
        </w:rPr>
        <w:t>، و لا مُزيحاً لِعلّتِنا، و لا مُستَخلِفاً مَن يَقومُ مَقامَه فينا؛ لأنّ العِترةَ أوّلاً قد يَجوزُ أن تُجمِعَ‌</w:t>
      </w:r>
      <w:r>
        <w:rPr>
          <w:rStyle w:val="FootnoteAnchor"/>
          <w:rtl w:val="true"/>
        </w:rPr>
        <w:footnoteReference w:id="3871"/>
      </w:r>
      <w:r>
        <w:rPr>
          <w:rFonts w:ascii="Amiri" w:hAnsi="Amiri" w:eastAsia="Amiri" w:cs="Amiri"/>
          <w:color w:val="111111"/>
          <w:sz w:val="28"/>
          <w:sz w:val="28"/>
          <w:szCs w:val="28"/>
          <w:rtl w:val="true"/>
          <w:lang w:bidi="ar-SA"/>
        </w:rPr>
        <w:t>علَى القولِ الواحدِ، و يَجوزُ أن لا تُجمِعَ بَل تَختَلِفَ‌؛ فما</w:t>
      </w:r>
      <w:r>
        <w:rPr>
          <w:rStyle w:val="FootnoteAnchor"/>
          <w:rtl w:val="true"/>
        </w:rPr>
        <w:footnoteReference w:id="3872"/>
      </w:r>
      <w:r>
        <w:rPr>
          <w:rFonts w:ascii="Amiri" w:hAnsi="Amiri" w:eastAsia="Amiri" w:cs="Amiri"/>
          <w:color w:val="111111"/>
          <w:sz w:val="28"/>
          <w:sz w:val="28"/>
          <w:szCs w:val="28"/>
          <w:rtl w:val="true"/>
          <w:lang w:bidi="ar-SA"/>
        </w:rPr>
        <w:t>هو الحُجّةُ مِن إجماعِها لَيسَ بواجبٍ‌، ثُمّ ما أجمَعَت</w:t>
      </w:r>
      <w:r>
        <w:rPr>
          <w:rStyle w:val="FootnoteAnchor"/>
          <w:rtl w:val="true"/>
        </w:rPr>
        <w:footnoteReference w:id="3873"/>
      </w:r>
      <w:r>
        <w:rPr>
          <w:rFonts w:ascii="Amiri" w:hAnsi="Amiri" w:eastAsia="Amiri" w:cs="Amiri"/>
          <w:color w:val="111111"/>
          <w:sz w:val="28"/>
          <w:sz w:val="28"/>
          <w:szCs w:val="28"/>
          <w:rtl w:val="true"/>
          <w:lang w:bidi="ar-SA"/>
        </w:rPr>
        <w:t>عليه هو جُزءٌ مِن ألفِ جُزءٍ مِن الشريعةِ‌؛ فكَيفَ يُحتَجُّ علينا في الشريعةِ بمَن لا نُصيبُ عندَه مِن حاجتِنا إلّاالقَليلَ مِن الكَثيرِ؟</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يَدُلُّ علىٰ أنّه لا بُدَّ في كُلِّ عَصرٍ مِن حُجّةٍ في جُملةِ أهلِ البَيتِ مأمونٍ مقطوعٍ علىٰ قولِه؛ و هذا دَلالةٌ‌</w:t>
      </w:r>
      <w:r>
        <w:rPr>
          <w:rStyle w:val="FootnoteAnchor"/>
          <w:rtl w:val="true"/>
        </w:rPr>
        <w:footnoteReference w:id="3874"/>
      </w:r>
      <w:r>
        <w:rPr>
          <w:rFonts w:ascii="Amiri" w:hAnsi="Amiri" w:eastAsia="Amiri" w:cs="Amiri"/>
          <w:color w:val="111111"/>
          <w:sz w:val="28"/>
          <w:sz w:val="28"/>
          <w:szCs w:val="28"/>
          <w:rtl w:val="true"/>
          <w:lang w:bidi="ar-SA"/>
        </w:rPr>
        <w:t xml:space="preserve">علىٰ وجودِ الحُجّةِ علىٰ سَبيلِ الجُملةِ ، و بالأدِلّةِ الخاصّةِ </w:t>
      </w:r>
      <w:r>
        <w:rPr>
          <w:rStyle w:val="FootnoteAnchor"/>
          <w:rtl w:val="true"/>
        </w:rPr>
        <w:footnoteReference w:id="3875"/>
      </w:r>
      <w:r>
        <w:rPr>
          <w:rFonts w:ascii="Amiri" w:hAnsi="Amiri" w:eastAsia="Amiri" w:cs="Amiri"/>
          <w:color w:val="111111"/>
          <w:sz w:val="28"/>
          <w:sz w:val="28"/>
          <w:szCs w:val="28"/>
          <w:rtl w:val="true"/>
          <w:lang w:bidi="ar-SA"/>
        </w:rPr>
        <w:t xml:space="preserve">يُعلَمُ مَن الذي هو حُجّةٌ منهم علىٰ سَبيلِ التفصيلِ </w:t>
      </w:r>
      <w:r>
        <w:rPr>
          <w:rFonts w:eastAsia="Amiri" w:cs="Amiri" w:ascii="Amiri" w:hAnsi="Amiri"/>
          <w:color w:val="111111"/>
          <w:sz w:val="28"/>
          <w:szCs w:val="28"/>
          <w:rtl w:val="true"/>
          <w:lang w:bidi="ar-SA"/>
        </w:rPr>
        <w:t xml:space="preserve">. </w:t>
      </w:r>
      <w:bookmarkStart w:id="698" w:name="pg20017_202806"/>
    </w:p>
    <w:p>
      <w:pPr>
        <w:pStyle w:val="BookText"/>
        <w:rPr/>
      </w:pPr>
      <w:bookmarkEnd w:id="698"/>
      <w:r>
        <w:rPr>
          <w:rFonts w:ascii="Amiri" w:hAnsi="Amiri" w:eastAsia="Amiri" w:cs="Amiri"/>
          <w:color w:val="111111"/>
          <w:sz w:val="28"/>
          <w:sz w:val="28"/>
          <w:szCs w:val="28"/>
          <w:rtl w:val="true"/>
          <w:lang w:bidi="ar-SA"/>
        </w:rPr>
        <w:t>علىٰ أنّ صاحبَ الكتابِ قد حَكَمَ بمِثلِ هذه القَضيّةِ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الواجبَ حَملُ الكلامِ علىٰ ما يَصِحُّ أن يوافِقَ فيه العِترةُ للكتابِ‌، و إنّ الكتابَ إذا كانَ دَلالةً علَى الأُمورِ وَجَبَ في العِترةِ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صَحيحٌ‌؛ للجَمعِ‌</w:t>
      </w:r>
      <w:r>
        <w:rPr>
          <w:rStyle w:val="FootnoteAnchor"/>
          <w:rtl w:val="true"/>
        </w:rPr>
        <w:footnoteReference w:id="3876"/>
      </w:r>
      <w:r>
        <w:rPr>
          <w:rFonts w:ascii="Amiri" w:hAnsi="Amiri" w:eastAsia="Amiri" w:cs="Amiri"/>
          <w:color w:val="111111"/>
          <w:sz w:val="28"/>
          <w:sz w:val="28"/>
          <w:szCs w:val="28"/>
          <w:rtl w:val="true"/>
          <w:lang w:bidi="ar-SA"/>
        </w:rPr>
        <w:t>بَينَهما في اللفظِ، و الإرشادِ إلَى التمسُّكِ بهما ليَقَعَ الأمانُ مِن الضَّلالِ‌، و الحُكمِ بأنّهما لا يَفتَرِقانِ إلَى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وَجَبَ في الكتابِ أن يَكونَ دليلاً و حُجّةً‌، وَجَبَ مِثلُ ذلكَ في قولِ العِترةِ‌</w:t>
      </w:r>
      <w:r>
        <w:rPr>
          <w:rStyle w:val="FootnoteAnchor"/>
          <w:rtl w:val="true"/>
        </w:rPr>
        <w:footnoteReference w:id="3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 دَلالةُ الكتابِ مُستَمِرّةً غيرَ مُنقَطِعةٍ‌، موجودةً في كُلِّ حالٍ‌، و مُمكِنةً إصابتُها في كُلِّ زمانٍ‌، وَجَبَ </w:t>
      </w:r>
      <w:r>
        <w:rPr>
          <w:rStyle w:val="FootnoteAnchor"/>
          <w:rtl w:val="true"/>
        </w:rPr>
        <w:footnoteReference w:id="3878"/>
      </w:r>
      <w:r>
        <w:rPr>
          <w:rFonts w:ascii="Amiri" w:hAnsi="Amiri" w:eastAsia="Amiri" w:cs="Amiri"/>
          <w:color w:val="111111"/>
          <w:sz w:val="28"/>
          <w:sz w:val="28"/>
          <w:szCs w:val="28"/>
          <w:rtl w:val="true"/>
          <w:lang w:bidi="ar-SA"/>
        </w:rPr>
        <w:t>مِثلُ ذلكَ في</w:t>
      </w:r>
    </w:p>
    <w:p>
      <w:pPr>
        <w:pStyle w:val="BookText"/>
        <w:rPr/>
      </w:pPr>
      <w:r>
        <w:rPr>
          <w:rFonts w:ascii="Amiri" w:hAnsi="Amiri" w:eastAsia="Amiri" w:cs="Amiri"/>
          <w:color w:val="111111"/>
          <w:sz w:val="28"/>
          <w:sz w:val="28"/>
          <w:szCs w:val="28"/>
          <w:rtl w:val="true"/>
          <w:lang w:bidi="ar-SA"/>
        </w:rPr>
        <w:t>قولِ العِترةِ ، المَقرونِ بها، و المحكومِ له بمِثلِ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يَتِمُّ إلّابأن يَكونَ فيها في كُلِّ حالٍ مَن قولُه حُجّةٌ ؛ لأنّ إجماعَها علَى الأُمورِ لَيسَ بواجبٍ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بيّنّاه</w:t>
      </w:r>
      <w:r>
        <w:rPr>
          <w:rStyle w:val="FootnoteAnchor"/>
          <w:rtl w:val="true"/>
        </w:rPr>
        <w:footnoteReference w:id="3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الرُّجوعَ إليها مع الاختلافِ و فَقدِ المعصومِ لا يَصِحُّ ؛ فلا بُدَّ ممّا ذَكرناه</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964493_2320776876"/>
      <w:bookmarkStart w:id="700" w:name="_Toc250"/>
      <w:bookmarkEnd w:id="699"/>
      <w:r>
        <w:rPr>
          <w:rtl w:val="true"/>
        </w:rPr>
        <w:t>مناقشة الأخبار التي عارض بها القاضي دلالة حديث الثقلين</w:t>
      </w:r>
      <w:bookmarkEnd w:id="700"/>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3880"/>
      </w:r>
      <w:r>
        <w:rPr>
          <w:rFonts w:ascii="Amiri" w:hAnsi="Amiri" w:eastAsia="Amiri" w:cs="Amiri"/>
          <w:color w:val="111111"/>
          <w:sz w:val="28"/>
          <w:sz w:val="28"/>
          <w:szCs w:val="28"/>
          <w:rtl w:val="true"/>
          <w:lang w:bidi="ar-SA"/>
        </w:rPr>
        <w:t>الأخبارُ الثلاثةُ التي أورَدَها علىٰ سَبيلِ المُعارَضةِ للخبرِ الذي تَعلَّقنا به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ما فيها أنّها لا تَجري مَجرىٰ خبرِنا في القوّةِ و الصحّةِ‌؛ لأنّ خبرَنا ممّا نَقَلَه المُختَلِفونَ‌</w:t>
      </w:r>
      <w:r>
        <w:rPr>
          <w:rStyle w:val="FootnoteAnchor"/>
          <w:rtl w:val="true"/>
        </w:rPr>
        <w:footnoteReference w:id="3881"/>
      </w:r>
      <w:r>
        <w:rPr>
          <w:rFonts w:ascii="Amiri" w:hAnsi="Amiri" w:eastAsia="Amiri" w:cs="Amiri"/>
          <w:color w:val="111111"/>
          <w:sz w:val="28"/>
          <w:sz w:val="28"/>
          <w:szCs w:val="28"/>
          <w:rtl w:val="true"/>
          <w:lang w:bidi="ar-SA"/>
        </w:rPr>
        <w:t xml:space="preserve">، و سَلَّمَه المُتَنازِعونَ ، و تَلقَّته الأُمّةُ بالقبولِ ؛ و إنّما وَقَعَ اختلافُهم في تأويلِه، و الأخبارُ التي عارَضَ بها لا تَجري هذا المَجرىٰ ؛ لأنّها ممّا تَفرَّدَ المُخالِفُ </w:t>
      </w:r>
      <w:bookmarkStart w:id="701" w:name="pg20017_202807"/>
    </w:p>
    <w:p>
      <w:pPr>
        <w:pStyle w:val="BookText"/>
        <w:rPr/>
      </w:pPr>
      <w:bookmarkEnd w:id="701"/>
      <w:r>
        <w:rPr>
          <w:rFonts w:ascii="Amiri" w:hAnsi="Amiri" w:eastAsia="Amiri" w:cs="Amiri"/>
          <w:color w:val="111111"/>
          <w:sz w:val="28"/>
          <w:sz w:val="28"/>
          <w:szCs w:val="28"/>
          <w:rtl w:val="true"/>
          <w:lang w:bidi="ar-SA"/>
        </w:rPr>
        <w:t xml:space="preserve">بنَقلِه، و لَيسَ فيها إلّاما إذا كَشَفتَ عن أصلِه، و فَتَّشتَ عن سَنَدِه، ظَهَرَ لكَ انحرافٌ مِن راويهِ </w:t>
      </w:r>
      <w:r>
        <w:rPr>
          <w:rStyle w:val="FootnoteAnchor"/>
          <w:rtl w:val="true"/>
        </w:rPr>
        <w:footnoteReference w:id="3882"/>
      </w:r>
      <w:r>
        <w:rPr>
          <w:rFonts w:ascii="Amiri" w:hAnsi="Amiri" w:eastAsia="Amiri" w:cs="Amiri"/>
          <w:color w:val="111111"/>
          <w:sz w:val="28"/>
          <w:sz w:val="28"/>
          <w:szCs w:val="28"/>
          <w:rtl w:val="true"/>
          <w:lang w:bidi="ar-SA"/>
        </w:rPr>
        <w:t xml:space="preserve">، و عَصَبيّةٌ مِن مُدَّعيهِ ، و قد بيّنّا فيما تَقدَّمَ سُقوطُ المُعارَضةِ بما جَرىٰ </w:t>
      </w:r>
      <w:r>
        <w:rPr>
          <w:rStyle w:val="FootnoteAnchor"/>
          <w:rtl w:val="true"/>
        </w:rPr>
        <w:footnoteReference w:id="3883"/>
      </w:r>
      <w:r>
        <w:rPr>
          <w:rFonts w:ascii="Amiri" w:hAnsi="Amiri" w:eastAsia="Amiri" w:cs="Amiri"/>
          <w:color w:val="111111"/>
          <w:sz w:val="28"/>
          <w:sz w:val="28"/>
          <w:szCs w:val="28"/>
          <w:rtl w:val="true"/>
          <w:lang w:bidi="ar-SA"/>
        </w:rPr>
        <w:t>هذا المَجرىٰ مِن الأخبارِ</w:t>
      </w:r>
      <w:r>
        <w:rPr>
          <w:rFonts w:eastAsia="Amiri" w:cs="Amiri" w:ascii="Amiri" w:hAnsi="Amiri"/>
          <w:color w:val="111111"/>
          <w:sz w:val="28"/>
          <w:szCs w:val="28"/>
          <w:rtl w:val="true"/>
          <w:lang w:bidi="ar-SA"/>
        </w:rPr>
        <w:t>.</w:t>
      </w:r>
      <w:r>
        <w:rPr>
          <w:rStyle w:val="FootnoteAnchor"/>
          <w:rtl w:val="true"/>
        </w:rPr>
        <w:footnoteReference w:id="3884"/>
      </w:r>
    </w:p>
    <w:p>
      <w:pPr>
        <w:pStyle w:val="Heading5"/>
        <w:numPr>
          <w:ilvl w:val="4"/>
          <w:numId w:val="1"/>
        </w:numPr>
        <w:rPr/>
      </w:pPr>
      <w:bookmarkStart w:id="702" w:name="__RefHeading___Toc964495_2320776876"/>
      <w:bookmarkStart w:id="703" w:name="_Toc251"/>
      <w:bookmarkEnd w:id="702"/>
      <w:r>
        <w:rPr>
          <w:rtl w:val="true"/>
        </w:rPr>
        <w:t>مناقشة خبر</w:t>
      </w:r>
      <w:r>
        <w:rPr>
          <w:rtl w:val="true"/>
        </w:rPr>
        <w:t>: «</w:t>
      </w:r>
      <w:r>
        <w:rPr>
          <w:rtl w:val="true"/>
        </w:rPr>
        <w:t>اقتدوا باللذين من بعدي</w:t>
      </w:r>
      <w:r>
        <w:rPr>
          <w:rtl w:val="true"/>
        </w:rPr>
        <w:t>»</w:t>
      </w:r>
      <w:bookmarkEnd w:id="703"/>
    </w:p>
    <w:p>
      <w:pPr>
        <w:pStyle w:val="BookText"/>
        <w:rPr/>
      </w:pPr>
      <w:r>
        <w:rPr>
          <w:rFonts w:ascii="Amiri" w:hAnsi="Amiri" w:eastAsia="Amiri" w:cs="Amiri"/>
          <w:color w:val="111111"/>
          <w:sz w:val="28"/>
          <w:sz w:val="28"/>
          <w:szCs w:val="28"/>
          <w:rtl w:val="true"/>
          <w:lang w:bidi="ar-SA"/>
        </w:rPr>
        <w:t>فأمّا ما رَواه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عليه عندَ</w:t>
      </w:r>
      <w:r>
        <w:rPr>
          <w:rStyle w:val="FootnoteAnchor"/>
          <w:rtl w:val="true"/>
        </w:rPr>
        <w:footnoteReference w:id="3885"/>
      </w:r>
      <w:r>
        <w:rPr>
          <w:rFonts w:ascii="Amiri" w:hAnsi="Amiri" w:eastAsia="Amiri" w:cs="Amiri"/>
          <w:color w:val="111111"/>
          <w:sz w:val="28"/>
          <w:sz w:val="28"/>
          <w:szCs w:val="28"/>
          <w:rtl w:val="true"/>
          <w:lang w:bidi="ar-SA"/>
        </w:rPr>
        <w:t>مُعارَضتِه بهذا الخبرِ استدلالَنا بخبرِ الغَديرِ، و استَقصَيناه هُناكَ‌؛ فلا معنىٰ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3886"/>
      </w:r>
      <w:r>
        <w:rPr>
          <w:rFonts w:ascii="Amiri" w:hAnsi="Amiri" w:eastAsia="Amiri" w:cs="Amiri"/>
          <w:color w:val="111111"/>
          <w:sz w:val="28"/>
          <w:sz w:val="28"/>
          <w:szCs w:val="28"/>
          <w:rtl w:val="true"/>
          <w:lang w:bidi="ar-SA"/>
        </w:rPr>
        <w:t>ما رَواه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يَنطِقُ‌</w:t>
      </w:r>
      <w:r>
        <w:rPr>
          <w:rStyle w:val="FootnoteAnchor"/>
          <w:rtl w:val="true"/>
        </w:rPr>
        <w:footnoteReference w:id="3887"/>
      </w:r>
      <w:r>
        <w:rPr>
          <w:rFonts w:ascii="Amiri" w:hAnsi="Amiri" w:eastAsia="Amiri" w:cs="Amiri"/>
          <w:color w:val="111111"/>
          <w:sz w:val="28"/>
          <w:sz w:val="28"/>
          <w:szCs w:val="28"/>
          <w:rtl w:val="true"/>
          <w:lang w:bidi="ar-SA"/>
        </w:rPr>
        <w:t>علىٰ لِسانِ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مُقتَضٍ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صَحيحاً</w:t>
      </w:r>
      <w:r>
        <w:rPr>
          <w:rStyle w:val="FootnoteAnchor"/>
          <w:rtl w:val="true"/>
        </w:rPr>
        <w:footnoteReference w:id="3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عُمَرَ، و القَطعَ علىٰ أنّ أقوالَه كُلَّها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هذا مَذهبَ أحَدٍ في عُمَرَ؛ لأنّه لا خِلافَ في أنّه لَيسَ بمعصومٍ ، و أنّ خِلافَه سائغٌ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يَكونُ الحَقُّ ناطقاً علىٰ لِسانِ مَن يَرجِعُ في الأحكامِ مِن قولٍ إلىٰ قولٍ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يَشهَدُ علىٰ نفسِه بالخَطإ، و يُخالِفُ في الشيءِ </w:t>
      </w:r>
      <w:r>
        <w:rPr>
          <w:rStyle w:val="FootnoteAnchor"/>
          <w:rtl w:val="true"/>
        </w:rPr>
        <w:footnoteReference w:id="3889"/>
      </w:r>
      <w:r>
        <w:rPr>
          <w:rFonts w:ascii="Amiri" w:hAnsi="Amiri" w:eastAsia="Amiri" w:cs="Amiri"/>
          <w:color w:val="111111"/>
          <w:sz w:val="28"/>
          <w:sz w:val="28"/>
          <w:szCs w:val="28"/>
          <w:rtl w:val="true"/>
          <w:lang w:bidi="ar-SA"/>
        </w:rPr>
        <w:t xml:space="preserve">ثُمّ يَعودُ إلىٰ قولِ مَن خالَفَه </w:t>
      </w:r>
    </w:p>
    <w:p>
      <w:pPr>
        <w:pStyle w:val="BookText"/>
        <w:rPr/>
      </w:pPr>
      <w:r>
        <w:rPr>
          <w:rFonts w:ascii="Amiri" w:hAnsi="Amiri" w:eastAsia="Amiri" w:cs="Amiri"/>
          <w:color w:val="111111"/>
          <w:sz w:val="28"/>
          <w:sz w:val="28"/>
          <w:szCs w:val="28"/>
          <w:rtl w:val="true"/>
          <w:lang w:bidi="ar-SA"/>
        </w:rPr>
        <w:t>فيُوافِقُه عليه،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38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مُعاذٌ لَهَلَكَ عُمَرُ</w:t>
      </w:r>
      <w:r>
        <w:rPr>
          <w:rFonts w:eastAsia="Amiri" w:cs="Amiri" w:ascii="Amiri" w:hAnsi="Amiri"/>
          <w:color w:val="111111"/>
          <w:sz w:val="28"/>
          <w:szCs w:val="28"/>
          <w:rtl w:val="true"/>
          <w:lang w:bidi="ar-SA"/>
        </w:rPr>
        <w:t>»</w:t>
      </w:r>
      <w:r>
        <w:rPr>
          <w:rStyle w:val="FootnoteAnchor"/>
          <w:rtl w:val="true"/>
        </w:rPr>
        <w:footnoteReference w:id="38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لَم يَحتَجَّ‌</w:t>
      </w:r>
      <w:r>
        <w:rPr>
          <w:rStyle w:val="FootnoteAnchor"/>
          <w:rtl w:val="true"/>
        </w:rPr>
        <w:footnoteReference w:id="3892"/>
      </w:r>
      <w:r>
        <w:rPr>
          <w:rFonts w:ascii="Amiri" w:hAnsi="Amiri" w:eastAsia="Amiri" w:cs="Amiri"/>
          <w:color w:val="111111"/>
          <w:sz w:val="28"/>
          <w:sz w:val="28"/>
          <w:szCs w:val="28"/>
          <w:rtl w:val="true"/>
          <w:lang w:bidi="ar-SA"/>
        </w:rPr>
        <w:t xml:space="preserve">بهذا الخبرِ هو لنفسِه في بعضِ المَقاماتِ التي احتاجَ إلَى الاحتجاجِ فيها؟ و كَيفَ لَم يَقُل أبو بَكرٍ لطَلحةَ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لرَبِّكَ إذ وَلَّيتَ علينا فَظّاً غَليظاً؟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مَن شَهِدَ الرسولُ عليه السلامُ بأنّ الحَقَّ يَنطِقُ علىٰ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لأحَدٍ أن يَدَّعيَ في الامتناعِ مِن الاحتجاجِ بذلكَ سبباً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نَدَّعيهِ‌ </w:t>
      </w:r>
      <w:bookmarkStart w:id="704" w:name="pg20017_202809"/>
    </w:p>
    <w:p>
      <w:pPr>
        <w:pStyle w:val="BookText"/>
        <w:rPr/>
      </w:pPr>
      <w:bookmarkEnd w:id="704"/>
      <w:r>
        <w:rPr>
          <w:rFonts w:ascii="Amiri" w:hAnsi="Amiri" w:eastAsia="Amiri" w:cs="Amiri"/>
          <w:color w:val="111111"/>
          <w:sz w:val="28"/>
          <w:sz w:val="28"/>
          <w:szCs w:val="28"/>
          <w:rtl w:val="true"/>
          <w:lang w:bidi="ar-SA"/>
        </w:rPr>
        <w:t xml:space="preserve">في تَركِ أميرِ المؤمنينَ عليه السلامُ الاحتجاجَ </w:t>
      </w:r>
      <w:r>
        <w:rPr>
          <w:rStyle w:val="FootnoteAnchor"/>
          <w:rtl w:val="true"/>
        </w:rPr>
        <w:footnoteReference w:id="3893"/>
      </w:r>
      <w:r>
        <w:rPr>
          <w:rFonts w:ascii="Amiri" w:hAnsi="Amiri" w:eastAsia="Amiri" w:cs="Amiri"/>
          <w:color w:val="111111"/>
          <w:sz w:val="28"/>
          <w:sz w:val="28"/>
          <w:szCs w:val="28"/>
          <w:rtl w:val="true"/>
          <w:lang w:bidi="ar-SA"/>
        </w:rPr>
        <w:t xml:space="preserve">بالنصِّ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لأنّا قد بيّنّا فيما تَقدَّمَ أنّ لتَركِه عليه السلامُ ذلكَ سبباً ظاهراً، و هو تآمُرُ القومِ عليه، و انبساطُ أيديهِم، و أنّ الخَوفَ و التقيّةَ واجبانِ ممّن له السلطانُ </w:t>
      </w:r>
      <w:r>
        <w:rPr>
          <w:rStyle w:val="FootnoteAnchor"/>
          <w:rtl w:val="true"/>
        </w:rPr>
        <w:footnoteReference w:id="3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تَقيّةَ علىٰ عُمَرَ و أبي بَكرٍ مِن أحَدٍ؛ لأنّ السلطانَ كانَ </w:t>
      </w:r>
      <w:r>
        <w:rPr>
          <w:rStyle w:val="FootnoteAnchor"/>
          <w:rtl w:val="true"/>
        </w:rPr>
        <w:footnoteReference w:id="3895"/>
      </w:r>
      <w:r>
        <w:rPr>
          <w:rFonts w:ascii="Amiri" w:hAnsi="Amiri" w:eastAsia="Amiri" w:cs="Amiri"/>
          <w:color w:val="111111"/>
          <w:sz w:val="28"/>
          <w:sz w:val="28"/>
          <w:szCs w:val="28"/>
          <w:rtl w:val="true"/>
          <w:lang w:bidi="ar-SA"/>
        </w:rPr>
        <w:t>فيهما، و لهما، و التقيّةَ منهما، لا عليهما</w:t>
      </w:r>
      <w:r>
        <w:rPr>
          <w:rStyle w:val="FootnoteAnchor"/>
          <w:rtl w:val="true"/>
        </w:rPr>
        <w:footnoteReference w:id="3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هذا الخبرَ لَو كانَ صَحيحاً في سَنَدِه و معناه لَوَجَبَ علىٰ مَن ادَّعىٰ أنّه يوجِبُ الإمامةَ أن يُبيِّنَ كَيفيّةَ إيجابِه لذلكَ‌، و لا يَقتَصِرَ علَى الدعوَى المَحضةِ‌، و علىٰ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جازَ أن يُدَّعىٰ في كَذا و كَذا أنّه يوجِبُ الإمامةَ‌، جازَ في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لأنّا لمّا ادَّعَينا في الأخبارِ التي ذَكرناها ذلكَ لَم نَقتَصِرْ علىٰ مَحضِ الدعوىٰ ، بَل بيّنّا كَيفيّةَ دَلالةِ ما تَعلَّقنا به علَى الإمامةِ ؛ و قد كانَ يَجِبُ عليه إذا عارَضَنا بأخبارِه أن يَفعَلَ مِثلَ </w:t>
      </w:r>
      <w:r>
        <w:rPr>
          <w:rStyle w:val="FootnoteAnchor"/>
          <w:rtl w:val="true"/>
        </w:rPr>
        <w:footnoteReference w:id="3897"/>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964497_2320776876"/>
      <w:bookmarkStart w:id="706" w:name="_Toc252"/>
      <w:bookmarkEnd w:id="705"/>
      <w:r>
        <w:rPr>
          <w:rtl w:val="true"/>
        </w:rPr>
        <w:t>مناقشة خبر</w:t>
      </w:r>
      <w:r>
        <w:rPr>
          <w:rtl w:val="true"/>
        </w:rPr>
        <w:t>: «</w:t>
      </w:r>
      <w:r>
        <w:rPr>
          <w:rtl w:val="true"/>
        </w:rPr>
        <w:t>أصحابي كالنجوم</w:t>
      </w:r>
      <w:r>
        <w:rPr>
          <w:rtl w:val="true"/>
        </w:rPr>
        <w:t>»</w:t>
      </w:r>
      <w:bookmarkEnd w:id="706"/>
    </w:p>
    <w:p>
      <w:pPr>
        <w:pStyle w:val="BookText"/>
        <w:rPr/>
      </w:pPr>
      <w:r>
        <w:rPr>
          <w:rFonts w:ascii="Amiri" w:hAnsi="Amiri" w:eastAsia="Amiri" w:cs="Amiri"/>
          <w:color w:val="111111"/>
          <w:sz w:val="28"/>
          <w:sz w:val="28"/>
          <w:szCs w:val="28"/>
          <w:rtl w:val="true"/>
          <w:lang w:bidi="ar-SA"/>
        </w:rPr>
        <w:t>فأمّا ما تَعلَّقَ به مِن الروايةِ عنه صَلَّى اللّٰهُ عليه و آلِه أنّه</w:t>
      </w:r>
      <w:r>
        <w:rPr>
          <w:rStyle w:val="FootnoteAnchor"/>
          <w:rtl w:val="true"/>
        </w:rPr>
        <w:footnoteReference w:id="38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أنّه غيرُ مُعارِضٍ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أخبارِنا جارٍ علىٰ ما بيّنّاه آنِفاً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تَجاوَزنا عن ذلكَ كانَ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الخبرُ صَحيحاً لَكانَ موجِباً </w:t>
      </w:r>
    </w:p>
    <w:p>
      <w:pPr>
        <w:pStyle w:val="BookText"/>
        <w:rPr/>
      </w:pPr>
      <w:r>
        <w:rPr>
          <w:rFonts w:ascii="Amiri" w:hAnsi="Amiri" w:eastAsia="Amiri" w:cs="Amiri"/>
          <w:color w:val="111111"/>
          <w:sz w:val="28"/>
          <w:sz w:val="28"/>
          <w:szCs w:val="28"/>
          <w:rtl w:val="true"/>
          <w:lang w:bidi="ar-SA"/>
        </w:rPr>
        <w:t>لعِصمةِ كُلِّ واحدٍ مِن الصَّحابةِ‌؛ ليَصِحَّ و يَحسُنَ الأمرُ بالاقتداءِ بكُلِّ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قولاً لأحَدٍ مِن الأُمّةِ فيهم، و كَيفَ يَكونونَ معصومينَ و يَجِبُ الاقتداءُ بكُلِّ واحدٍ منهم، و فيهِم</w:t>
      </w:r>
      <w:r>
        <w:rPr>
          <w:rStyle w:val="FootnoteAnchor"/>
          <w:rtl w:val="true"/>
        </w:rPr>
        <w:footnoteReference w:id="3899"/>
      </w:r>
      <w:r>
        <w:rPr>
          <w:rFonts w:ascii="Amiri" w:hAnsi="Amiri" w:eastAsia="Amiri" w:cs="Amiri"/>
          <w:color w:val="111111"/>
          <w:sz w:val="28"/>
          <w:sz w:val="28"/>
          <w:szCs w:val="28"/>
          <w:rtl w:val="true"/>
          <w:lang w:bidi="ar-SA"/>
        </w:rPr>
        <w:t>مَن ظَهَرَ فِسقُه و عِنادُه، و خُروجُه عن الجماعةِ‌</w:t>
      </w:r>
      <w:r>
        <w:rPr>
          <w:rStyle w:val="FootnoteAnchor"/>
          <w:rtl w:val="true"/>
        </w:rPr>
        <w:footnoteReference w:id="3900"/>
      </w:r>
      <w:r>
        <w:rPr>
          <w:rFonts w:ascii="IRNazanin" w:hAnsi="IRNazanin" w:eastAsia="IRNazanin"/>
          <w:color w:val="111111"/>
          <w:sz w:val="28"/>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خِلافُه للرسولِ صَلَّى اللّٰهُ عليه و آلِه‌؟ و مِن جُملةِ الصحابةِ مُعاويةُ و عَمرُو بنُ العاصِ و أصحابُهما، و مَذهبُ صاحبِ الكتابِ‌</w:t>
      </w:r>
      <w:r>
        <w:rPr>
          <w:rStyle w:val="FootnoteAnchor"/>
          <w:rtl w:val="true"/>
        </w:rPr>
        <w:footnoteReference w:id="3901"/>
      </w:r>
      <w:r>
        <w:rPr>
          <w:rFonts w:ascii="Amiri" w:hAnsi="Amiri" w:eastAsia="Amiri" w:cs="Amiri"/>
          <w:color w:val="111111"/>
          <w:sz w:val="28"/>
          <w:sz w:val="28"/>
          <w:szCs w:val="28"/>
          <w:rtl w:val="true"/>
          <w:lang w:bidi="ar-SA"/>
        </w:rPr>
        <w:t xml:space="preserve">و أصحابِه فيهم معروفٌ </w:t>
      </w:r>
      <w:r>
        <w:rPr>
          <w:rStyle w:val="FootnoteAnchor"/>
          <w:rtl w:val="true"/>
        </w:rPr>
        <w:footnoteReference w:id="3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جُملتِهم</w:t>
      </w:r>
      <w:r>
        <w:rPr>
          <w:rStyle w:val="FootnoteAnchor"/>
          <w:rtl w:val="true"/>
        </w:rPr>
        <w:footnoteReference w:id="3903"/>
      </w:r>
      <w:r>
        <w:rPr>
          <w:rFonts w:ascii="Amiri" w:hAnsi="Amiri" w:eastAsia="Amiri" w:cs="Amiri"/>
          <w:color w:val="111111"/>
          <w:sz w:val="28"/>
          <w:sz w:val="28"/>
          <w:szCs w:val="28"/>
          <w:rtl w:val="true"/>
          <w:lang w:bidi="ar-SA"/>
        </w:rPr>
        <w:t>طَلحةُ و الزُّبَيرُ و مَن قاتَلَ أميرَ المؤمنينَ عليه السلامُ في يَومِ الجَمَلِ ، و لا شُبهةَ في فِسقِهم و إنِ ادَّعىٰ مُدَّعونَ تَوبتَهم</w:t>
      </w:r>
      <w:r>
        <w:rPr>
          <w:rStyle w:val="FootnoteAnchor"/>
          <w:rtl w:val="true"/>
        </w:rPr>
        <w:footnoteReference w:id="3904"/>
      </w:r>
      <w:r>
        <w:rPr>
          <w:rFonts w:ascii="Amiri" w:hAnsi="Amiri" w:eastAsia="Amiri" w:cs="Amiri"/>
          <w:color w:val="111111"/>
          <w:sz w:val="28"/>
          <w:sz w:val="28"/>
          <w:szCs w:val="28"/>
          <w:rtl w:val="true"/>
          <w:lang w:bidi="ar-SA"/>
        </w:rPr>
        <w:t xml:space="preserve">بعد ذلكَ </w:t>
      </w:r>
      <w:r>
        <w:rPr>
          <w:rStyle w:val="FootnoteAnchor"/>
          <w:rtl w:val="true"/>
        </w:rPr>
        <w:footnoteReference w:id="3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جُملتِهم مَن قَعَدَ عن بَيعةِ أميرِ المؤمنينَ عليه السلامُ </w:t>
      </w:r>
      <w:r>
        <w:rPr>
          <w:rStyle w:val="FootnoteAnchor"/>
          <w:rtl w:val="true"/>
        </w:rPr>
        <w:footnoteReference w:id="3906"/>
      </w:r>
      <w:r>
        <w:rPr>
          <w:rFonts w:ascii="Amiri" w:hAnsi="Amiri" w:eastAsia="Amiri" w:cs="Amiri"/>
          <w:color w:val="111111"/>
          <w:sz w:val="28"/>
          <w:sz w:val="28"/>
          <w:szCs w:val="28"/>
          <w:rtl w:val="true"/>
          <w:lang w:bidi="ar-SA"/>
        </w:rPr>
        <w:t xml:space="preserve">، و لَم يَدخُلْ مع جماعةِ المُسلِمينَ في الرضا </w:t>
      </w:r>
    </w:p>
    <w:p>
      <w:pPr>
        <w:pStyle w:val="BookText"/>
        <w:rPr/>
      </w:pPr>
      <w:r>
        <w:rPr>
          <w:rFonts w:ascii="Amiri" w:hAnsi="Amiri" w:eastAsia="Amiri" w:cs="Amiri"/>
          <w:color w:val="111111"/>
          <w:sz w:val="28"/>
          <w:sz w:val="28"/>
          <w:szCs w:val="28"/>
          <w:rtl w:val="true"/>
          <w:lang w:bidi="ar-SA"/>
        </w:rPr>
        <w:t>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جُملتِهم مَن حَصَرَ عُثمانَ بنَ عَفّانَ‌، و مَنَعَه الماءَ‌، و شَهِدَ عليه بالرِّدّةِ‌، ثُمّ سَفَكَ دَمَه؛ فكَيفَ يَجوزُ مع</w:t>
      </w:r>
      <w:r>
        <w:rPr>
          <w:rStyle w:val="FootnoteAnchor"/>
          <w:rtl w:val="true"/>
        </w:rPr>
        <w:footnoteReference w:id="3907"/>
      </w:r>
      <w:r>
        <w:rPr>
          <w:rFonts w:ascii="Amiri" w:hAnsi="Amiri" w:eastAsia="Amiri" w:cs="Amiri"/>
          <w:color w:val="111111"/>
          <w:sz w:val="28"/>
          <w:sz w:val="28"/>
          <w:szCs w:val="28"/>
          <w:rtl w:val="true"/>
          <w:lang w:bidi="ar-SA"/>
        </w:rPr>
        <w:t>ذلكَ أن يأمُرَ الرسولُ صَلَّى اللّٰهُ عليه و آلِه بِالاقتداءِ بكُلِّ واحدٍ مِن الصَّحابةِ؟</w:t>
      </w:r>
    </w:p>
    <w:p>
      <w:pPr>
        <w:pStyle w:val="BookText"/>
        <w:rPr/>
      </w:pPr>
      <w:r>
        <w:rPr>
          <w:rFonts w:ascii="Amiri" w:hAnsi="Amiri" w:eastAsia="Amiri" w:cs="Amiri"/>
          <w:color w:val="111111"/>
          <w:sz w:val="28"/>
          <w:sz w:val="28"/>
          <w:szCs w:val="28"/>
          <w:rtl w:val="true"/>
          <w:lang w:bidi="ar-SA"/>
        </w:rPr>
        <w:t xml:space="preserve">و لا بُدَّ مِن حَملِ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الخُصوصِ‌؛ إذ لا بُدَّ</w:t>
      </w:r>
      <w:r>
        <w:rPr>
          <w:rStyle w:val="FootnoteAnchor"/>
          <w:rtl w:val="true"/>
        </w:rPr>
        <w:footnoteReference w:id="3908"/>
      </w:r>
      <w:r>
        <w:rPr>
          <w:rFonts w:ascii="Amiri" w:hAnsi="Amiri" w:eastAsia="Amiri" w:cs="Amiri"/>
          <w:color w:val="111111"/>
          <w:sz w:val="28"/>
          <w:sz w:val="28"/>
          <w:szCs w:val="28"/>
          <w:rtl w:val="true"/>
          <w:lang w:bidi="ar-SA"/>
        </w:rPr>
        <w:t>فيمن عُنيَ به و تَناوَلَه مِن أن يَكونَ معصوماً لا يَجوزُ الخَطأُ عليه في أقوالِه و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نَقولُ بذلكَ‌، و نُوَجِّهُ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أميرِ المؤمنينَ و الحَسَنِ و الحُسَينِ عليهم السلامُ‌؛ لأنّ هؤلاءِ ممّن ثَبَتَت</w:t>
      </w:r>
      <w:r>
        <w:rPr>
          <w:rStyle w:val="FootnoteAnchor"/>
          <w:rtl w:val="true"/>
        </w:rPr>
        <w:footnoteReference w:id="3909"/>
      </w:r>
      <w:r>
        <w:rPr>
          <w:rFonts w:ascii="Amiri" w:hAnsi="Amiri" w:eastAsia="Amiri" w:cs="Amiri"/>
          <w:color w:val="111111"/>
          <w:sz w:val="28"/>
          <w:sz w:val="28"/>
          <w:szCs w:val="28"/>
          <w:rtl w:val="true"/>
          <w:lang w:bidi="ar-SA"/>
        </w:rPr>
        <w:t>عِصمتُه، و عُلِمَت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الخبرَ مُعارَضٌ بما هو أظهَرُ منه و أثبَتُ روايةً‌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ما رُويَ عن النبيِّ صَلَّى اللّٰهُ عليه و آلِه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تُحشَرونَ‌</w:t>
      </w:r>
      <w:r>
        <w:rPr>
          <w:rStyle w:val="FootnoteAnchor"/>
          <w:rtl w:val="true"/>
        </w:rPr>
        <w:footnoteReference w:id="3910"/>
      </w:r>
      <w:r>
        <w:rPr>
          <w:rFonts w:ascii="Amiri" w:hAnsi="Amiri" w:eastAsia="Amiri" w:cs="Amiri"/>
          <w:color w:val="111111"/>
          <w:sz w:val="28"/>
          <w:sz w:val="28"/>
          <w:szCs w:val="28"/>
          <w:rtl w:val="true"/>
          <w:lang w:bidi="ar-SA"/>
        </w:rPr>
        <w:t>إلَى اللّٰهِ يَومَ القيامةِ حُفاةً عُراةً‌، و إنّه سَيُجاءُ برِجالٍ مِن أُمّتي 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 إنّهم لَم يَزالوا مُرتَدّينَ علىٰ أعقابِهم مُنذُ فارَقتَهم</w:t>
      </w:r>
      <w:r>
        <w:rPr>
          <w:rFonts w:eastAsia="Amiri" w:cs="Amiri" w:ascii="Amiri" w:hAnsi="Amiri"/>
          <w:color w:val="111111"/>
          <w:sz w:val="28"/>
          <w:szCs w:val="28"/>
          <w:rtl w:val="true"/>
          <w:lang w:bidi="ar-SA"/>
        </w:rPr>
        <w:t>»</w:t>
      </w:r>
      <w:r>
        <w:rPr>
          <w:rStyle w:val="FootnoteAnchor"/>
          <w:rtl w:val="true"/>
        </w:rPr>
        <w:footnoteReference w:id="39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رُويَ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أصحابي لَمَن لا يَراني بَعدَ أن يُفارِقَني</w:t>
      </w:r>
      <w:r>
        <w:rPr>
          <w:rFonts w:eastAsia="Amiri" w:cs="Amiri" w:ascii="Amiri" w:hAnsi="Amiri"/>
          <w:color w:val="111111"/>
          <w:sz w:val="28"/>
          <w:szCs w:val="28"/>
          <w:rtl w:val="true"/>
          <w:lang w:bidi="ar-SA"/>
        </w:rPr>
        <w:t>»</w:t>
      </w:r>
      <w:r>
        <w:rPr>
          <w:rStyle w:val="FootnoteAnchor"/>
          <w:rtl w:val="true"/>
        </w:rPr>
        <w:footnoteReference w:id="3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بَينا أنا علَى الحَوضِ إذ مُرَّ بِكم زُمَراً، فَتفرَّقَ بِكم الطرُقُ‌، فأُناديكم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هَلُمّوا إلَى الطريقِ‌، فيُنادي مُنادٍ مِن وَرائي</w:t>
      </w:r>
      <w:r>
        <w:rPr>
          <w:rStyle w:val="FootnoteAnchor"/>
          <w:rtl w:val="true"/>
        </w:rPr>
        <w:footnoteReference w:id="3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بَدَّلوا بَعدَكَ‌،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سُحقاً، ألا</w:t>
      </w:r>
      <w:r>
        <w:rPr>
          <w:rStyle w:val="FootnoteAnchor"/>
          <w:rtl w:val="true"/>
        </w:rPr>
        <w:footnoteReference w:id="3914"/>
      </w:r>
      <w:r>
        <w:rPr>
          <w:rFonts w:ascii="Amiri" w:hAnsi="Amiri" w:eastAsia="Amiri" w:cs="Amiri"/>
          <w:color w:val="111111"/>
          <w:sz w:val="28"/>
          <w:sz w:val="28"/>
          <w:szCs w:val="28"/>
          <w:rtl w:val="true"/>
          <w:lang w:bidi="ar-SA"/>
        </w:rPr>
        <w:t>سُحقاً</w:t>
      </w:r>
      <w:r>
        <w:rPr>
          <w:rFonts w:eastAsia="Amiri" w:cs="Amiri" w:ascii="Amiri" w:hAnsi="Amiri"/>
          <w:color w:val="111111"/>
          <w:sz w:val="28"/>
          <w:szCs w:val="28"/>
          <w:rtl w:val="true"/>
          <w:lang w:bidi="ar-SA"/>
        </w:rPr>
        <w:t>»</w:t>
      </w:r>
      <w:r>
        <w:rPr>
          <w:rStyle w:val="FootnoteAnchor"/>
          <w:rtl w:val="true"/>
        </w:rPr>
        <w:footnoteReference w:id="3915"/>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رُويَ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 رسولِ اللّٰهِ صَلَّى اللّٰهُ عليه و آلِه لا يَنقَطِعُ‌</w:t>
      </w:r>
      <w:r>
        <w:rPr>
          <w:rStyle w:val="FootnoteAnchor"/>
          <w:rtl w:val="true"/>
        </w:rPr>
        <w:footnoteReference w:id="3916"/>
      </w:r>
      <w:r>
        <w:rPr>
          <w:rFonts w:ascii="Amiri" w:hAnsi="Amiri" w:eastAsia="Amiri" w:cs="Amiri"/>
          <w:color w:val="111111"/>
          <w:sz w:val="28"/>
          <w:sz w:val="28"/>
          <w:szCs w:val="28"/>
          <w:rtl w:val="true"/>
          <w:lang w:bidi="ar-SA"/>
        </w:rPr>
        <w:t>يَومَ القيامةِ؟ بَلىٰ وَ اللّٰهِ‌، إنّ رَحِمي لَمَوصولةٌ في الدنيا و الآخِرةِ‌، و إنّي أيُّها الناسُ فَرَطُكم علَى الحَوضِ‌، فإذا جِئتم قالَ الرجُلُ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فُلانُ بنُ فُلانٍ‌،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بنُ فُلانٍ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النَّسَبُ </w:t>
      </w:r>
      <w:r>
        <w:rPr>
          <w:rStyle w:val="FootnoteAnchor"/>
          <w:rtl w:val="true"/>
        </w:rPr>
        <w:footnoteReference w:id="3917"/>
      </w:r>
      <w:r>
        <w:rPr>
          <w:rFonts w:ascii="Amiri" w:hAnsi="Amiri" w:eastAsia="Amiri" w:cs="Amiri"/>
          <w:color w:val="111111"/>
          <w:sz w:val="28"/>
          <w:sz w:val="28"/>
          <w:szCs w:val="28"/>
          <w:rtl w:val="true"/>
          <w:lang w:bidi="ar-SA"/>
        </w:rPr>
        <w:t xml:space="preserve">فقَد عَرَفتُه، و لكِنَّكم أحدَثتم بَعدي و ارتَدَدتم القَهقَرىٰ </w:t>
      </w:r>
      <w:r>
        <w:rPr>
          <w:rFonts w:eastAsia="Amiri" w:cs="Amiri" w:ascii="Amiri" w:hAnsi="Amiri"/>
          <w:color w:val="111111"/>
          <w:sz w:val="28"/>
          <w:szCs w:val="28"/>
          <w:rtl w:val="true"/>
          <w:lang w:bidi="ar-SA"/>
        </w:rPr>
        <w:t>»</w:t>
      </w:r>
      <w:r>
        <w:rPr>
          <w:rStyle w:val="FootnoteAnchor"/>
          <w:rtl w:val="true"/>
        </w:rPr>
        <w:footnoteReference w:id="39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لَتَتَّبِعُنَّ سُنَنَ‌</w:t>
      </w:r>
      <w:r>
        <w:rPr>
          <w:rStyle w:val="FootnoteAnchor"/>
          <w:rtl w:val="true"/>
        </w:rPr>
        <w:footnoteReference w:id="3919"/>
      </w:r>
      <w:r>
        <w:rPr>
          <w:rFonts w:ascii="Amiri" w:hAnsi="Amiri" w:eastAsia="Amiri" w:cs="Amiri"/>
          <w:color w:val="111111"/>
          <w:sz w:val="28"/>
          <w:sz w:val="28"/>
          <w:szCs w:val="28"/>
          <w:rtl w:val="true"/>
          <w:lang w:bidi="ar-SA"/>
        </w:rPr>
        <w:t>مَن كانَ قَبلَكم شِبراً بشِبرٍ، و ذِراعاً بذِراعٍ‌، حتّىٰ لَو دَخَلَ أحَدُهم جُحرَ</w:t>
      </w:r>
      <w:r>
        <w:rPr>
          <w:rStyle w:val="FootnoteAnchor"/>
          <w:rtl w:val="true"/>
        </w:rPr>
        <w:footnoteReference w:id="3920"/>
      </w:r>
      <w:r>
        <w:rPr>
          <w:rFonts w:ascii="Amiri" w:hAnsi="Amiri" w:eastAsia="Amiri" w:cs="Amiri"/>
          <w:color w:val="111111"/>
          <w:sz w:val="28"/>
          <w:sz w:val="28"/>
          <w:szCs w:val="28"/>
          <w:rtl w:val="true"/>
          <w:lang w:bidi="ar-SA"/>
        </w:rPr>
        <w:t>ضَبٍّ لَدَخَلتموه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اليَهودُ و النصارىٰ؟ قالَ‌</w:t>
      </w:r>
      <w:r>
        <w:rPr>
          <w:rStyle w:val="FootnoteAnchor"/>
          <w:rtl w:val="true"/>
        </w:rPr>
        <w:footnoteReference w:id="39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إذَنْ؟</w:t>
      </w:r>
      <w:r>
        <w:rPr>
          <w:rFonts w:eastAsia="Amiri" w:cs="Amiri" w:ascii="Amiri" w:hAnsi="Amiri"/>
          <w:color w:val="111111"/>
          <w:sz w:val="28"/>
          <w:szCs w:val="28"/>
          <w:rtl w:val="true"/>
          <w:lang w:bidi="ar-SA"/>
        </w:rPr>
        <w:t>»</w:t>
      </w:r>
      <w:r>
        <w:rPr>
          <w:rStyle w:val="FootnoteAnchor"/>
          <w:rtl w:val="true"/>
        </w:rPr>
        <w:footnoteReference w:id="3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حَجّةِ الوَداعِ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دِماءَكم و أموالَكم و أعراضَكم عليكم حَرامٌ‌؛ كحُرمةِ يَومِكم هذا، في شَهرِكم هذا، في بَلَدِكم هذا؛ ألا لِيُبلِّغِ الشاهدُ منكم الغائبَ ؛ ألا لأَعرِفَنَّكم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تَرتَدّونَ بَعدي كُفّاراً، يَضرِبُ بعضُكم رِقابَ بعضٍ ؛ ألا إنّي قد شَهِدتُ و غِبتم</w:t>
      </w:r>
      <w:r>
        <w:rPr>
          <w:rFonts w:eastAsia="Amiri" w:cs="Amiri" w:ascii="Amiri" w:hAnsi="Amiri"/>
          <w:color w:val="111111"/>
          <w:sz w:val="28"/>
          <w:szCs w:val="28"/>
          <w:rtl w:val="true"/>
          <w:lang w:bidi="ar-SA"/>
        </w:rPr>
        <w:t>»</w:t>
      </w:r>
      <w:r>
        <w:rPr>
          <w:rStyle w:val="FootnoteAnchor"/>
          <w:rtl w:val="true"/>
        </w:rPr>
        <w:footnoteReference w:id="3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يَصِحُّ مع ما ذَكرناه الأمرُ بالاقتداءِ بمَن يَتناوَلُه اسمُ الصُّحبةِ </w:t>
      </w:r>
      <w:r>
        <w:rPr>
          <w:rStyle w:val="FootnoteAnchor"/>
          <w:rtl w:val="true"/>
        </w:rPr>
        <w:footnoteReference w:id="3924"/>
      </w:r>
      <w:r>
        <w:rPr>
          <w:rFonts w:ascii="IRNazanin" w:hAnsi="IRNazanin" w:eastAsia="IRNazanin"/>
          <w:color w:val="111111"/>
          <w:sz w:val="28"/>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11363</w:t>
      </w:r>
      <w:r>
        <w:rPr>
          <w:rFonts w:ascii="Amiri" w:hAnsi="Amiri" w:eastAsia="Amiri" w:cs="Amiri"/>
          <w:color w:val="111111"/>
          <w:sz w:val="28"/>
          <w:sz w:val="28"/>
          <w:szCs w:val="28"/>
          <w:rtl w:val="true"/>
          <w:lang w:bidi="ar-SA"/>
        </w:rPr>
        <w:t xml:space="preserve">؛ مسند أبي يعلىٰ ،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 xml:space="preserve">؛ مسند البزّار،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2462</w:t>
      </w:r>
      <w:r>
        <w:rPr>
          <w:rFonts w:ascii="Amiri" w:hAnsi="Amiri" w:eastAsia="Amiri" w:cs="Amiri"/>
          <w:color w:val="111111"/>
          <w:sz w:val="28"/>
          <w:sz w:val="28"/>
          <w:szCs w:val="28"/>
          <w:rtl w:val="true"/>
          <w:lang w:bidi="ar-SA"/>
        </w:rPr>
        <w:t xml:space="preserve">؛ المستدرك على الصحيحين،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6958</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1671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39186</w:t>
      </w:r>
      <w:r>
        <w:rPr>
          <w:rFonts w:ascii="Amiri" w:hAnsi="Amiri" w:eastAsia="Amiri" w:cs="Amiri"/>
          <w:color w:val="111111"/>
          <w:sz w:val="28"/>
          <w:sz w:val="28"/>
          <w:szCs w:val="28"/>
          <w:rtl w:val="true"/>
          <w:lang w:bidi="ar-SA"/>
        </w:rPr>
        <w:t>، مع اختلاف يسير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هذا الخبرَ لَو سَلِمَ مِن كُلِّ ما ذَكرناه لَم يَقتَضِ الإمامةَ ، علىٰ ما ادَّعاه صاحبُ الكتابِ ؛ لأنّه لَم يُبيَّنْ في لفظِه الشيءُ الذي يُقتَدىٰ بهم فيه، و لا أنّه ممّا يَقتَضي الإمامةَ دونَ غيرِها؛ فهو كالمُجمَلِ الذي لا يُمكِنُ أن يُتعلَّقَ بظاهرِه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هذا واضحٌ </w:t>
      </w:r>
      <w:r>
        <w:rPr>
          <w:rFonts w:eastAsia="Amiri" w:cs="Amiri" w:ascii="Amiri" w:hAnsi="Amiri"/>
          <w:color w:val="111111"/>
          <w:sz w:val="28"/>
          <w:szCs w:val="28"/>
          <w:rtl w:val="true"/>
          <w:lang w:bidi="ar-SA"/>
        </w:rPr>
        <w:t xml:space="preserve">. </w:t>
      </w:r>
      <w:bookmarkStart w:id="707" w:name="pg20017_202815"/>
    </w:p>
    <w:p>
      <w:pPr>
        <w:pStyle w:val="Heading4"/>
        <w:numPr>
          <w:ilvl w:val="3"/>
          <w:numId w:val="1"/>
        </w:numPr>
        <w:rPr/>
      </w:pPr>
      <w:bookmarkStart w:id="708" w:name="__RefHeading___Toc964499_2320776876"/>
      <w:bookmarkStart w:id="709" w:name="_Toc253"/>
      <w:bookmarkEnd w:id="707"/>
      <w:bookmarkEnd w:id="708"/>
      <w:r>
        <w:rPr>
          <w:rtl w:val="true"/>
        </w:rPr>
        <w:t>الدليل السابع عشر آيةُ التطهيرِ</w:t>
      </w:r>
      <w:bookmarkEnd w:id="709"/>
    </w:p>
    <w:p>
      <w:pPr>
        <w:pStyle w:val="Heading5"/>
        <w:numPr>
          <w:ilvl w:val="4"/>
          <w:numId w:val="1"/>
        </w:numPr>
        <w:rPr/>
      </w:pPr>
      <w:bookmarkStart w:id="710" w:name="__RefHeading___Toc964501_2320776876"/>
      <w:bookmarkStart w:id="711" w:name="_Toc254"/>
      <w:bookmarkEnd w:id="710"/>
      <w:r>
        <w:rPr>
          <w:rtl w:val="true"/>
        </w:rPr>
        <w:t>اشارة</w:t>
      </w:r>
      <w:bookmarkEnd w:id="711"/>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لهُم آخَرُ</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تَعلَّقوا بقَولِه تَعالىٰ‌</w:t>
      </w:r>
      <w:r>
        <w:rPr>
          <w:rStyle w:val="FootnoteAnchor"/>
          <w:rtl w:val="true"/>
        </w:rPr>
        <w:footnoteReference w:id="39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3926"/>
      </w:r>
      <w:r>
        <w:rPr>
          <w:rFonts w:ascii="Amiri" w:hAnsi="Amiri" w:eastAsia="Amiri" w:cs="Amiri"/>
          <w:color w:val="111111"/>
          <w:sz w:val="28"/>
          <w:sz w:val="28"/>
          <w:szCs w:val="28"/>
          <w:rtl w:val="true"/>
          <w:lang w:bidi="ar-SA"/>
        </w:rPr>
        <w:t>و أنّ ذلكَ يَدُلُّ علىٰ عِصمتِهم، و بُعدِهم مِن الضَّلالِ و الخَطإ؛ فإذا صَحَّ ذلكَ فيَجِبُ أن يَكونَ الإمامُ‌</w:t>
      </w:r>
      <w:r>
        <w:rPr>
          <w:rStyle w:val="FootnoteAnchor"/>
          <w:rtl w:val="true"/>
        </w:rPr>
        <w:footnoteReference w:id="3927"/>
      </w:r>
      <w:r>
        <w:rPr>
          <w:rFonts w:ascii="Amiri" w:hAnsi="Amiri" w:eastAsia="Amiri" w:cs="Amiri"/>
          <w:color w:val="111111"/>
          <w:sz w:val="28"/>
          <w:sz w:val="28"/>
          <w:szCs w:val="28"/>
          <w:rtl w:val="true"/>
          <w:lang w:bidi="ar-SA"/>
        </w:rPr>
        <w:t>فيهم، دونَ غيرِهم ممّن لَم تَثبُتْ‌</w:t>
      </w:r>
      <w:r>
        <w:rPr>
          <w:rStyle w:val="FootnoteAnchor"/>
          <w:rtl w:val="true"/>
        </w:rPr>
        <w:footnoteReference w:id="3928"/>
      </w:r>
      <w:r>
        <w:rPr>
          <w:rFonts w:ascii="Amiri" w:hAnsi="Amiri" w:eastAsia="Amiri" w:cs="Amiri"/>
          <w:color w:val="111111"/>
          <w:sz w:val="28"/>
          <w:sz w:val="28"/>
          <w:szCs w:val="28"/>
          <w:rtl w:val="true"/>
          <w:lang w:bidi="ar-SA"/>
        </w:rPr>
        <w:t>له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أبعَدُ ممّا تَقدَّمَ ؛ لأنّه إنّما يَدُلُّ علىٰ أنّه تَعالىٰ يُريدُ أن يُطهِّرَهم و يُذهِبَ عنهم الرِّجسَ </w:t>
      </w:r>
      <w:r>
        <w:rPr>
          <w:rStyle w:val="FootnoteAnchor"/>
          <w:rtl w:val="true"/>
        </w:rPr>
        <w:footnoteReference w:id="3929"/>
      </w:r>
      <w:r>
        <w:rPr>
          <w:rFonts w:ascii="Amiri" w:hAnsi="Amiri" w:eastAsia="Amiri" w:cs="Amiri"/>
          <w:color w:val="111111"/>
          <w:sz w:val="28"/>
          <w:sz w:val="28"/>
          <w:szCs w:val="28"/>
          <w:rtl w:val="true"/>
          <w:lang w:bidi="ar-SA"/>
        </w:rPr>
        <w:t xml:space="preserve">، و لا يَدُلُّ علىٰ أنّ ما أرادَه ثابتٌ فيهم؛ فكَيفَ </w:t>
      </w:r>
    </w:p>
    <w:p>
      <w:pPr>
        <w:pStyle w:val="BookText"/>
        <w:rPr/>
      </w:pPr>
      <w:r>
        <w:rPr>
          <w:rFonts w:ascii="Amiri" w:hAnsi="Amiri" w:eastAsia="Amiri" w:cs="Amiri"/>
          <w:color w:val="111111"/>
          <w:sz w:val="28"/>
          <w:sz w:val="28"/>
          <w:szCs w:val="28"/>
          <w:rtl w:val="true"/>
          <w:lang w:bidi="ar-SA"/>
        </w:rPr>
        <w:t>يُستَدَلُّ بالظاهرِ علىٰ ما ادَّعَوه ؟ و قد</w:t>
      </w:r>
      <w:r>
        <w:rPr>
          <w:rStyle w:val="FootnoteAnchor"/>
          <w:rtl w:val="true"/>
        </w:rPr>
        <w:footnoteReference w:id="3930"/>
      </w:r>
      <w:r>
        <w:rPr>
          <w:rFonts w:ascii="Amiri" w:hAnsi="Amiri" w:eastAsia="Amiri" w:cs="Amiri"/>
          <w:color w:val="111111"/>
          <w:sz w:val="28"/>
          <w:sz w:val="28"/>
          <w:szCs w:val="28"/>
          <w:rtl w:val="true"/>
          <w:lang w:bidi="ar-SA"/>
        </w:rPr>
        <w:t>صَحَّ أنّ اللّٰهَ تَعالىٰ يُريدُ تطهيرَ</w:t>
      </w:r>
      <w:r>
        <w:rPr>
          <w:rStyle w:val="FootnoteAnchor"/>
          <w:rtl w:val="true"/>
        </w:rPr>
        <w:footnoteReference w:id="3931"/>
      </w:r>
      <w:r>
        <w:rPr>
          <w:rFonts w:ascii="Amiri" w:hAnsi="Amiri" w:eastAsia="Amiri" w:cs="Amiri"/>
          <w:color w:val="111111"/>
          <w:sz w:val="28"/>
          <w:sz w:val="28"/>
          <w:szCs w:val="28"/>
          <w:rtl w:val="true"/>
          <w:lang w:bidi="ar-SA"/>
        </w:rPr>
        <w:t>كُلِّ المؤمنينَ و إزالةَ الرِّجسِ عنهم؛ لأنّه</w:t>
      </w:r>
      <w:r>
        <w:rPr>
          <w:rStyle w:val="FootnoteAnchor"/>
          <w:rtl w:val="true"/>
        </w:rPr>
        <w:footnoteReference w:id="3932"/>
      </w:r>
      <w:r>
        <w:rPr>
          <w:rFonts w:ascii="Amiri" w:hAnsi="Amiri" w:eastAsia="Amiri" w:cs="Amiri"/>
          <w:color w:val="111111"/>
          <w:sz w:val="28"/>
          <w:sz w:val="28"/>
          <w:szCs w:val="28"/>
          <w:rtl w:val="true"/>
          <w:lang w:bidi="ar-SA"/>
        </w:rPr>
        <w:t xml:space="preserve">متىٰ لَم نَقُلْ بذلكَ أدّىٰ إلىٰ أنّه تَعالىٰ يُريدُ خِلافَ التطهيرِ بالمؤمنينَ </w:t>
      </w:r>
      <w:r>
        <w:rPr>
          <w:rStyle w:val="FootnoteAnchor"/>
          <w:rtl w:val="true"/>
        </w:rPr>
        <w:footnoteReference w:id="3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فلَيسَ يَخلو مِن أن يُريدَ بذلكَ المَدحَ و التعظيمَ‌، أو يُريدَ به الأفعالَ التي يَصيرُ بها طاهراً زَكِيّاً</w:t>
      </w:r>
      <w:r>
        <w:rPr>
          <w:rStyle w:val="FootnoteAnchor"/>
          <w:rtl w:val="true"/>
        </w:rPr>
        <w:footnoteReference w:id="3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الأوّلُ‌، فكُلُّ المؤمنينَ فيه شَرَعٌ‌</w:t>
      </w:r>
      <w:r>
        <w:rPr>
          <w:rStyle w:val="FootnoteAnchor"/>
          <w:rtl w:val="true"/>
        </w:rPr>
        <w:footnoteReference w:id="3935"/>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الثاني، فكُلُّ المُكلَّفينَ‌</w:t>
      </w:r>
      <w:r>
        <w:rPr>
          <w:rStyle w:val="FootnoteAnchor"/>
          <w:rtl w:val="true"/>
        </w:rPr>
        <w:footnoteReference w:id="3936"/>
      </w:r>
      <w:r>
        <w:rPr>
          <w:rFonts w:ascii="Amiri" w:hAnsi="Amiri" w:eastAsia="Amiri" w:cs="Amiri"/>
          <w:color w:val="111111"/>
          <w:sz w:val="28"/>
          <w:sz w:val="28"/>
          <w:szCs w:val="28"/>
          <w:rtl w:val="true"/>
          <w:lang w:bidi="ar-SA"/>
        </w:rPr>
        <w:t>يَتَّفِقونَ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تَدُلُّ الآيةُ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لأهلِ البَيتِ مَزيّةً في بابِ الألطافِ و ما يَجري مَجراها، فلذلكَ خَصَّهم بهذا الذِّكرِ؛ و لا مَدخَلَ للإمامةِ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دَلَّ علَى الإمامةِ لَم يَدُلَّ‌</w:t>
      </w:r>
      <w:r>
        <w:rPr>
          <w:rStyle w:val="FootnoteAnchor"/>
          <w:rtl w:val="true"/>
        </w:rPr>
        <w:footnoteReference w:id="3937"/>
      </w:r>
      <w:r>
        <w:rPr>
          <w:rFonts w:ascii="Amiri" w:hAnsi="Amiri" w:eastAsia="Amiri" w:cs="Amiri"/>
          <w:color w:val="111111"/>
          <w:sz w:val="28"/>
          <w:sz w:val="28"/>
          <w:szCs w:val="28"/>
          <w:rtl w:val="true"/>
          <w:lang w:bidi="ar-SA"/>
        </w:rPr>
        <w:t>علىٰ واحدٍ دونَ آخَرَ بعَينِه، و لَاحتيجَ‌</w:t>
      </w:r>
      <w:r>
        <w:rPr>
          <w:rStyle w:val="FootnoteAnchor"/>
          <w:rtl w:val="true"/>
        </w:rPr>
        <w:footnoteReference w:id="3938"/>
      </w:r>
      <w:r>
        <w:rPr>
          <w:rFonts w:ascii="Amiri" w:hAnsi="Amiri" w:eastAsia="Amiri" w:cs="Amiri"/>
          <w:color w:val="111111"/>
          <w:sz w:val="28"/>
          <w:sz w:val="28"/>
          <w:szCs w:val="28"/>
          <w:rtl w:val="true"/>
          <w:lang w:bidi="ar-SA"/>
        </w:rPr>
        <w:t>في التعيينِ‌</w:t>
      </w:r>
      <w:r>
        <w:rPr>
          <w:rStyle w:val="FootnoteAnchor"/>
          <w:rtl w:val="true"/>
        </w:rPr>
        <w:footnoteReference w:id="3939"/>
      </w:r>
      <w:r>
        <w:rPr>
          <w:rFonts w:ascii="Amiri" w:hAnsi="Amiri" w:eastAsia="Amiri" w:cs="Amiri"/>
          <w:color w:val="111111"/>
          <w:sz w:val="28"/>
          <w:sz w:val="28"/>
          <w:szCs w:val="28"/>
          <w:rtl w:val="true"/>
          <w:lang w:bidi="ar-SA"/>
        </w:rPr>
        <w:t xml:space="preserve">إلىٰ دَلالةٍ مُبتَدأةٍ‌، و لَكانَت كافيةً مُغنيةً عن هذه الجُملةِ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الكلامَ يَتضمَّنُ إثباتَ حالٍ لأهلِ البَيتِ ، و لا يَدُلُّ علىٰ أنّ غيرَهم في ذلكَ بخِلافِهم</w:t>
      </w:r>
      <w:r>
        <w:rPr>
          <w:rStyle w:val="FootnoteAnchor"/>
          <w:rtl w:val="true"/>
        </w:rPr>
        <w:footnoteReference w:id="3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القولُ فيما تَقدَّمَ ؛ لأنّه إذا قالَ في عِترتِه</w:t>
      </w:r>
      <w:r>
        <w:rPr>
          <w:rFonts w:eastAsia="Amiri" w:cs="Amiri" w:ascii="Amiri" w:hAnsi="Amiri"/>
          <w:color w:val="111111"/>
          <w:sz w:val="28"/>
          <w:szCs w:val="28"/>
          <w:rtl w:val="true"/>
          <w:lang w:bidi="ar-SA"/>
        </w:rPr>
        <w:t xml:space="preserve">: </w:t>
      </w:r>
      <w:bookmarkStart w:id="712" w:name="pg20017_202817"/>
    </w:p>
    <w:p>
      <w:pPr>
        <w:pStyle w:val="BookText"/>
        <w:rPr/>
      </w:pPr>
      <w:bookmarkEnd w:id="7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تَمسَّكَ بها لَم يَضِلَّ ، و إنّها لا تُفارِقُ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يَدُلُّ ذلكَ علىٰ إثباتِ هذا الحُكمِ لها، و لا يَدُلُّ علىٰ نفيِه عن غيرِها؛ فقَد يَجوزُ في غيرِها أن يَكونَ مُحِقّاً و لِمَن تَمسَّكَ به هادياً</w:t>
      </w:r>
      <w:r>
        <w:rPr>
          <w:rStyle w:val="FootnoteAnchor"/>
          <w:rtl w:val="true"/>
        </w:rPr>
        <w:footnoteReference w:id="3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تَدُلُّ علىٰ عِصمةِ أهلِ البَيتِ المُختَصّينَ بها عليهم السلامُ ، و علىٰ أنّ أقوالَهم حُجّةٌ ، ثُمّ تَدُلُّ مِن بَعدُ علىٰ إمامةِ أميرِ المؤمنينَ و الحَسَنِ و الحُسَينِ عليهم السلامُ بضَربٍ مِن الترتيبِ </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964503_2320776876"/>
      <w:bookmarkStart w:id="714" w:name="_Toc255"/>
      <w:bookmarkEnd w:id="713"/>
      <w:r>
        <w:rPr>
          <w:rtl w:val="true"/>
        </w:rPr>
        <w:t>بيان دلالة آية التطهير على العصمة</w:t>
      </w:r>
      <w:bookmarkEnd w:id="714"/>
    </w:p>
    <w:p>
      <w:pPr>
        <w:pStyle w:val="BookText"/>
        <w:rPr/>
      </w:pPr>
      <w:r>
        <w:rPr>
          <w:rFonts w:ascii="Amiri" w:hAnsi="Amiri" w:eastAsia="Amiri" w:cs="Amiri"/>
          <w:color w:val="111111"/>
          <w:sz w:val="28"/>
          <w:sz w:val="28"/>
          <w:szCs w:val="28"/>
          <w:rtl w:val="true"/>
          <w:lang w:bidi="ar-SA"/>
        </w:rPr>
        <w:t>فأمّا وجهُ دَلالتِها علَى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أن يَكونَ معناه الإرادةَ المَحضةَ التي لَم يَتبَعْها الفِعلُ و إذهابُ الرِّجسِ‌، أو أن يَكونَ أرادَ ذلكَ و فَعَلَه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الأوّلَ‌، فهو باطلٌ مِن وجوهٍ‌؛ لأنّ لفظَ الآيةِ يَقتَضي</w:t>
      </w:r>
      <w:r>
        <w:rPr>
          <w:rStyle w:val="FootnoteAnchor"/>
          <w:rtl w:val="true"/>
        </w:rPr>
        <w:footnoteReference w:id="3942"/>
      </w:r>
      <w:r>
        <w:rPr>
          <w:rFonts w:ascii="Amiri" w:hAnsi="Amiri" w:eastAsia="Amiri" w:cs="Amiri"/>
          <w:color w:val="111111"/>
          <w:sz w:val="28"/>
          <w:sz w:val="28"/>
          <w:szCs w:val="28"/>
          <w:rtl w:val="true"/>
          <w:lang w:bidi="ar-SA"/>
        </w:rPr>
        <w:t xml:space="preserve">اختصاصَ أهلِ البَيتِ بما لَيسَ لغَيرِهم، أ لا تَرىٰ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اللفظةُ تَقتَضي ما ذَكرناه</w:t>
      </w:r>
      <w:r>
        <w:rPr>
          <w:rStyle w:val="FootnoteAnchor"/>
          <w:rtl w:val="true"/>
        </w:rPr>
        <w:footnoteReference w:id="3943"/>
      </w:r>
      <w:r>
        <w:rPr>
          <w:rFonts w:ascii="Amiri" w:hAnsi="Amiri" w:eastAsia="Amiri" w:cs="Amiri"/>
          <w:color w:val="111111"/>
          <w:sz w:val="28"/>
          <w:sz w:val="28"/>
          <w:szCs w:val="28"/>
          <w:rtl w:val="true"/>
          <w:lang w:bidi="ar-SA"/>
        </w:rPr>
        <w:t>مِن التخصيصِ؟ أ لا تَرىٰ أنّ القائلَ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العالِمُ فُلانٌ‌، و إنّما الجَوادُ حاتِمٌ‌، و إنّما لَكَ عندي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فكلامُه يُفيدُ التخصيصَ الذي ذَكرناه ؟ و الإرادةُ للطهارةِ </w:t>
      </w:r>
      <w:r>
        <w:rPr>
          <w:rStyle w:val="FootnoteAnchor"/>
          <w:rtl w:val="true"/>
        </w:rPr>
        <w:footnoteReference w:id="3944"/>
      </w:r>
      <w:r>
        <w:rPr>
          <w:rFonts w:ascii="Amiri" w:hAnsi="Amiri" w:eastAsia="Amiri" w:cs="Amiri"/>
          <w:color w:val="111111"/>
          <w:sz w:val="28"/>
          <w:sz w:val="28"/>
          <w:szCs w:val="28"/>
          <w:rtl w:val="true"/>
          <w:lang w:bidi="ar-SA"/>
        </w:rPr>
        <w:t xml:space="preserve">مِن الذُّنوبِ مِن غيرِ أن يَتبَعَها فِعلٌ لا تخصيصَ لأهلِ البَيتِ عليهم السلامُ بها؛ بَل اللّٰهُ يُريدُ مِن كُلِّ مُكلَّفٍ مِثلَ </w:t>
      </w:r>
      <w:r>
        <w:rPr>
          <w:rStyle w:val="FootnoteAnchor"/>
          <w:rtl w:val="true"/>
        </w:rPr>
        <w:footnoteReference w:id="3945"/>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تَقتَضي مَدحَ مَن تَناوَلَته و تشريفَه و تعظيمَه؛ بدَلالةِ ما رُويَ مِن</w:t>
      </w:r>
      <w:r>
        <w:rPr>
          <w:rStyle w:val="FootnoteAnchor"/>
          <w:rtl w:val="true"/>
        </w:rPr>
        <w:footnoteReference w:id="3946"/>
      </w:r>
      <w:r>
        <w:rPr>
          <w:rFonts w:ascii="Amiri" w:hAnsi="Amiri" w:eastAsia="Amiri" w:cs="Amiri"/>
          <w:color w:val="111111"/>
          <w:sz w:val="28"/>
          <w:sz w:val="28"/>
          <w:szCs w:val="28"/>
          <w:rtl w:val="true"/>
          <w:lang w:bidi="ar-SA"/>
        </w:rPr>
        <w:t xml:space="preserve">أنّ النبيَّ صَلَّى اللّٰهُ عليه و آلِه لمّا جَلَّلَ عليّاً و فاطمةَ و الحَسَنَ و الحُسَينَ عليهم السلامُ بالكِساءِ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هؤلاءِ أهلُ بَيتي،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 و كانَ ذلكَ في بَيتِ أُمِّ سَلَمةَ رحمةُ اللّٰهِ عليها،</w:t>
      </w:r>
    </w:p>
    <w:p>
      <w:pPr>
        <w:pStyle w:val="BookText"/>
        <w:rPr/>
      </w:pPr>
      <w:r>
        <w:rPr>
          <w:rFonts w:ascii="Amiri" w:hAnsi="Amiri" w:eastAsia="Amiri" w:cs="Amiri"/>
          <w:color w:val="111111"/>
          <w:sz w:val="28"/>
          <w:sz w:val="28"/>
          <w:szCs w:val="28"/>
          <w:rtl w:val="true"/>
          <w:lang w:bidi="ar-SA"/>
        </w:rPr>
        <w:t>فقالَت له صَلَّى اللّٰهُ عليه و آلِه</w:t>
      </w:r>
      <w:r>
        <w:rPr>
          <w:rStyle w:val="FootnoteAnchor"/>
          <w:rtl w:val="true"/>
        </w:rPr>
        <w:footnoteReference w:id="3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 أهلِ بَيتِكَ؟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Style w:val="FootnoteAnchor"/>
          <w:rtl w:val="true"/>
        </w:rPr>
        <w:footnoteReference w:id="3948"/>
      </w:r>
      <w:r>
        <w:rPr>
          <w:rFonts w:ascii="Amiri" w:hAnsi="Amiri" w:eastAsia="Amiri" w:cs="Amiri"/>
          <w:color w:val="111111"/>
          <w:sz w:val="28"/>
          <w:sz w:val="28"/>
          <w:szCs w:val="28"/>
          <w:rtl w:val="true"/>
          <w:lang w:bidi="ar-SA"/>
        </w:rPr>
        <w:t>، إنّكِ علىٰ خَيرٍ</w:t>
      </w:r>
      <w:r>
        <w:rPr>
          <w:rFonts w:eastAsia="Amiri" w:cs="Amiri" w:ascii="Amiri" w:hAnsi="Amiri"/>
          <w:color w:val="111111"/>
          <w:sz w:val="28"/>
          <w:szCs w:val="28"/>
          <w:rtl w:val="true"/>
          <w:lang w:bidi="ar-SA"/>
        </w:rPr>
        <w:t>»</w:t>
      </w:r>
      <w:r>
        <w:rPr>
          <w:rStyle w:val="FootnoteAnchor"/>
          <w:rtl w:val="true"/>
        </w:rPr>
        <w:footnoteReference w:id="3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صورةُ </w:t>
      </w:r>
      <w:r>
        <w:rPr>
          <w:rStyle w:val="FootnoteAnchor"/>
          <w:rtl w:val="true"/>
        </w:rPr>
        <w:footnoteReference w:id="3950"/>
      </w:r>
      <w:r>
        <w:rPr>
          <w:rFonts w:ascii="Amiri" w:hAnsi="Amiri" w:eastAsia="Amiri" w:cs="Amiri"/>
          <w:color w:val="111111"/>
          <w:sz w:val="28"/>
          <w:sz w:val="28"/>
          <w:szCs w:val="28"/>
          <w:rtl w:val="true"/>
          <w:lang w:bidi="ar-SA"/>
        </w:rPr>
        <w:t>الحالِ و سببُ نُزولِ الآيةِ يَقتَضيانِ المِدحةَ و التشريفَ ، و لا مِدحةَ و لا تشريفَ في الإرادةِ المَحضةِ التي تَعُمُّ سائرَ المُكلَّفينَ مِن الكُفّارِ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Style w:val="FootnoteAnchor"/>
          <w:rtl w:val="true"/>
        </w:rPr>
        <w:footnoteReference w:id="3951"/>
      </w:r>
      <w:r>
        <w:rPr>
          <w:rFonts w:ascii="Amiri" w:hAnsi="Amiri" w:eastAsia="Amiri" w:cs="Amiri"/>
          <w:color w:val="111111"/>
          <w:sz w:val="28"/>
          <w:sz w:val="28"/>
          <w:szCs w:val="28"/>
          <w:rtl w:val="true"/>
          <w:lang w:bidi="ar-SA"/>
        </w:rPr>
        <w:t>لا مِدحةَ فيما تَذكُرونه؛ لأنّكم لا بُدَّ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أذهَبَ عنهم الرِّجسَ و طَهَّرَهم بأن لَطَفَ لهم بما اختاروا عندَه الامتناعَ مِن القَبائحِ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واجبٌ عندَنا و عندَكم، و لَو عَلِمَ مِن غيرِهم مِن الكُفّارِ مِثلَ ما عَلِمَه منهم لفَعَلَ مِثلَ ذلكَ بهم؛ فأيُّ وجهٍ للمَدحِ </w:t>
      </w:r>
      <w:r>
        <w:rPr>
          <w:rStyle w:val="FootnoteAnchor"/>
          <w:rtl w:val="true"/>
        </w:rPr>
        <w:footnoteReference w:id="3952"/>
      </w:r>
      <w:r>
        <w:rPr>
          <w:rFonts w:ascii="IRNazanin" w:hAnsi="IRNazanin" w:eastAsia="IRNazanin"/>
          <w:color w:val="111111"/>
          <w:sz w:val="28"/>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علىٰ ما ذَكرتموه مِنَ اللطفِ </w:t>
      </w:r>
      <w:r>
        <w:rPr>
          <w:rStyle w:val="FootnoteAnchor"/>
          <w:rtl w:val="true"/>
        </w:rPr>
        <w:footnoteReference w:id="3953"/>
      </w:r>
      <w:r>
        <w:rPr>
          <w:rFonts w:ascii="Amiri" w:hAnsi="Amiri" w:eastAsia="Amiri" w:cs="Amiri"/>
          <w:color w:val="111111"/>
          <w:sz w:val="28"/>
          <w:sz w:val="28"/>
          <w:szCs w:val="28"/>
          <w:rtl w:val="true"/>
          <w:lang w:bidi="ar-SA"/>
        </w:rPr>
        <w:t xml:space="preserve">و وجوبِه، و أنّه لَو عَلِمَه في غيرِهم لَفَعَلَه كما فَعَلَه بهم؛ غيرَ أنّ وجهَ المِدحةِ </w:t>
      </w:r>
      <w:r>
        <w:rPr>
          <w:rStyle w:val="FootnoteAnchor"/>
          <w:rtl w:val="true"/>
        </w:rPr>
        <w:footnoteReference w:id="3954"/>
      </w:r>
      <w:r>
        <w:rPr>
          <w:rFonts w:ascii="Amiri" w:hAnsi="Amiri" w:eastAsia="Amiri" w:cs="Amiri"/>
          <w:color w:val="111111"/>
          <w:sz w:val="28"/>
          <w:sz w:val="28"/>
          <w:szCs w:val="28"/>
          <w:rtl w:val="true"/>
          <w:lang w:bidi="ar-SA"/>
        </w:rPr>
        <w:t xml:space="preserve">مع ذلكَ ظاهرٌ؛ لأنّ مَن اختارَ الامتناعَ </w:t>
      </w:r>
      <w:bookmarkStart w:id="715" w:name="pg20017_202819"/>
    </w:p>
    <w:p>
      <w:pPr>
        <w:pStyle w:val="BookText"/>
        <w:rPr/>
      </w:pPr>
      <w:bookmarkEnd w:id="715"/>
      <w:r>
        <w:rPr>
          <w:rFonts w:ascii="Amiri" w:hAnsi="Amiri" w:eastAsia="Amiri" w:cs="Amiri"/>
          <w:color w:val="111111"/>
          <w:sz w:val="28"/>
          <w:sz w:val="28"/>
          <w:szCs w:val="28"/>
          <w:rtl w:val="true"/>
          <w:lang w:bidi="ar-SA"/>
        </w:rPr>
        <w:t xml:space="preserve">مِن القَبائحِ‌، و عَلِمنا أنّه لا يُقارِفُ شَيئاً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ذلكَ عن ألطافٍ فَعَلَها اللّٰهُ تَعالىٰ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w:t>
      </w:r>
      <w:r>
        <w:rPr>
          <w:rStyle w:val="FootnoteAnchor"/>
          <w:rtl w:val="true"/>
        </w:rPr>
        <w:footnoteReference w:id="3955"/>
      </w:r>
      <w:r>
        <w:rPr>
          <w:rFonts w:ascii="Amiri" w:hAnsi="Amiri" w:eastAsia="Amiri" w:cs="Amiri"/>
          <w:color w:val="111111"/>
          <w:sz w:val="28"/>
          <w:sz w:val="28"/>
          <w:szCs w:val="28"/>
          <w:rtl w:val="true"/>
          <w:lang w:bidi="ar-SA"/>
        </w:rPr>
        <w:t xml:space="preserve">أن يَكونَ ممدوحاً مُشَرَّفاً مُعظَّماً، و لَيسَ كذلكَ مَن أُريدَ منه أن يَفعَلَ الواجبَ و يَمتَنِعَ مِن القَبيحِ‌، و لَم يُعلَمْ مِن جِهتِه ما يُوافِقُ هذه الإرادةَ ؛ فبانَ الفَرقُ بَينَ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وَرَدَت به الروايةُ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يَسألِ اللّٰهَ أن يُريدَ أن يُذهِبَ عنهم الرِّجسَ ، و إنّما سَألَ أن يُذهِبَ عنهم الرِّجسَ و أن</w:t>
      </w:r>
      <w:r>
        <w:rPr>
          <w:rStyle w:val="FootnoteAnchor"/>
          <w:rtl w:val="true"/>
        </w:rPr>
        <w:footnoteReference w:id="3956"/>
      </w:r>
      <w:r>
        <w:rPr>
          <w:rFonts w:ascii="Amiri" w:hAnsi="Amiri" w:eastAsia="Amiri" w:cs="Amiri"/>
          <w:color w:val="111111"/>
          <w:sz w:val="28"/>
          <w:sz w:val="28"/>
          <w:szCs w:val="28"/>
          <w:rtl w:val="true"/>
          <w:lang w:bidi="ar-SA"/>
        </w:rPr>
        <w:t xml:space="preserve">يُطهِّرَهم تطهيراً، فنَزَلَت الآيةُ مُطابِقةً لدَعوَتِه، مُتضمِّنةً </w:t>
      </w:r>
      <w:r>
        <w:rPr>
          <w:rStyle w:val="FootnoteAnchor"/>
          <w:rtl w:val="true"/>
        </w:rPr>
        <w:footnoteReference w:id="3957"/>
      </w:r>
      <w:r>
        <w:rPr>
          <w:rFonts w:ascii="Amiri" w:hAnsi="Amiri" w:eastAsia="Amiri" w:cs="Amiri"/>
          <w:color w:val="111111"/>
          <w:sz w:val="28"/>
          <w:sz w:val="28"/>
          <w:szCs w:val="28"/>
          <w:rtl w:val="true"/>
          <w:lang w:bidi="ar-SA"/>
        </w:rPr>
        <w:t>لإجابتِه؛ فيَجِبُ أن يَكونَ المعنىٰ فيها</w:t>
      </w:r>
      <w:r>
        <w:rPr>
          <w:rStyle w:val="FootnoteAnchor"/>
          <w:rtl w:val="true"/>
        </w:rPr>
        <w:footnoteReference w:id="3958"/>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964505_2320776876"/>
      <w:bookmarkStart w:id="717" w:name="_Toc256"/>
      <w:bookmarkEnd w:id="716"/>
      <w:r>
        <w:rPr>
          <w:rtl w:val="true"/>
        </w:rPr>
        <w:t>بيان اختصاص الآية بالمعصومين من أهل البيت عليهم السلام</w:t>
      </w:r>
      <w:bookmarkEnd w:id="717"/>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ثَبَتَ اقتضاءُ الآيةِ لعِصمةِ مَن تَناوَلَته و عُنيَ بها، وَجَبَ أن تَكونَ مُختَصّةً مِن أهلِ البَيتِ عليهم السلامُ بمَن ذَهَبنا إلىٰ عِصمتِه، دونَ مَن أجمَعَ جميعُ المُسلِمينَ </w:t>
      </w:r>
      <w:r>
        <w:rPr>
          <w:rStyle w:val="FootnoteAnchor"/>
          <w:rtl w:val="true"/>
        </w:rPr>
        <w:footnoteReference w:id="3959"/>
      </w:r>
      <w:r>
        <w:rPr>
          <w:rFonts w:ascii="Amiri" w:hAnsi="Amiri" w:eastAsia="Amiri" w:cs="Amiri"/>
          <w:color w:val="111111"/>
          <w:sz w:val="28"/>
          <w:sz w:val="28"/>
          <w:szCs w:val="28"/>
          <w:rtl w:val="true"/>
          <w:lang w:bidi="ar-SA"/>
        </w:rPr>
        <w:t xml:space="preserve">علىٰ فَقْدِ عِصمتِه؛ لأنّها إذا انتَفَت عمّن قُطِعَ علىٰ نفيِ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يَقتَضيهِ معناها مِن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 </w:t>
      </w:r>
      <w:r>
        <w:rPr>
          <w:rStyle w:val="FootnoteAnchor"/>
          <w:rtl w:val="true"/>
        </w:rPr>
        <w:footnoteReference w:id="3960"/>
      </w:r>
      <w:r>
        <w:rPr>
          <w:rFonts w:ascii="Amiri" w:hAnsi="Amiri" w:eastAsia="Amiri" w:cs="Amiri"/>
          <w:color w:val="111111"/>
          <w:sz w:val="28"/>
          <w:sz w:val="28"/>
          <w:szCs w:val="28"/>
          <w:rtl w:val="true"/>
          <w:lang w:bidi="ar-SA"/>
        </w:rPr>
        <w:t xml:space="preserve">مِن أن تَكونَ مُتَناوِلةً لِمَن اختُلِفَ </w:t>
      </w:r>
      <w:r>
        <w:rPr>
          <w:rStyle w:val="FootnoteAnchor"/>
          <w:rtl w:val="true"/>
        </w:rPr>
        <w:footnoteReference w:id="3961"/>
      </w:r>
      <w:r>
        <w:rPr>
          <w:rFonts w:ascii="Amiri" w:hAnsi="Amiri" w:eastAsia="Amiri" w:cs="Amiri"/>
          <w:color w:val="111111"/>
          <w:sz w:val="28"/>
          <w:sz w:val="28"/>
          <w:szCs w:val="28"/>
          <w:rtl w:val="true"/>
          <w:lang w:bidi="ar-SA"/>
        </w:rPr>
        <w:t>في عِصمتِه، أو غيرَ مُتَناوِلةٍ له</w:t>
      </w:r>
      <w:r>
        <w:rPr>
          <w:rStyle w:val="FootnoteAnchor"/>
          <w:rtl w:val="true"/>
        </w:rPr>
        <w:footnoteReference w:id="39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w:t>
      </w:r>
      <w:r>
        <w:rPr>
          <w:rStyle w:val="FootnoteAnchor"/>
          <w:rtl w:val="true"/>
        </w:rPr>
        <w:footnoteReference w:id="3963"/>
      </w:r>
      <w:r>
        <w:rPr>
          <w:rFonts w:ascii="Amiri" w:hAnsi="Amiri" w:eastAsia="Amiri" w:cs="Amiri"/>
          <w:color w:val="111111"/>
          <w:sz w:val="28"/>
          <w:sz w:val="28"/>
          <w:szCs w:val="28"/>
          <w:rtl w:val="true"/>
          <w:lang w:bidi="ar-SA"/>
        </w:rPr>
        <w:t>لَم تَتناوَلْه بَطَلَت فائدتُها التي تَقتَضيها؛ فوَجَبَ أن يَكونَ مُتَناوِلةً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الطريقةُ تُبطِلُ قولَ مَن حَمَلَها علَى الأزواجِ لأجلِ كَونِها واردةً عَقيبَ ذِكرِهنَّ و خِطابِهنَّ‌؛ لأنّ الأزواجَ إذا لَم يَذهَبْ أحَدٌ إلىٰ عِصمتِهنَّ وَجَبَ أن يَخرُجنَ عن الخِطابِ المُقتَضي لعِصمةِ مَن 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ورودُها عَقيبَ ذِكرِهنَّ لا يَدُلُّ علىٰ تَعلُّقِها بِهنَّ إذا كانَ معناها لا يُطابِقُ أحوالَهنَّ‌، و في القُرآنِ و غيرِه مِن الكلامِ لذلكَ نَظائرُ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حَملَ الآيةِ علَى الأزواجِ بِانفرادِهنَّ يُخالِفُ مُقتَضىٰ لفظِها؛ لأنّها تَتضمَّنُ علامةَ جَمعِ المُذكَّرِ، أو الجَمعِ‌</w:t>
      </w:r>
      <w:r>
        <w:rPr>
          <w:rStyle w:val="FootnoteAnchor"/>
          <w:rtl w:val="true"/>
        </w:rPr>
        <w:footnoteReference w:id="3964"/>
      </w:r>
      <w:r>
        <w:rPr>
          <w:rFonts w:ascii="Amiri" w:hAnsi="Amiri" w:eastAsia="Amiri" w:cs="Amiri"/>
          <w:color w:val="111111"/>
          <w:sz w:val="28"/>
          <w:sz w:val="28"/>
          <w:szCs w:val="28"/>
          <w:rtl w:val="true"/>
          <w:lang w:bidi="ar-SA"/>
        </w:rPr>
        <w:t xml:space="preserve">الذي فيه المُذكَّرُ و المؤنَّثُ ، و لا يَجوزُ حَملُها علَى الأزواجِ دونَ غيرِهنَّ ؛ أ لا تَرىٰ أنّ ما تَقدَّمَ هذه الآيةَ ثُمّ تأخَّرَ عنها لمّا كانَ المَعنيُّ به الأزواجَ جاءَ جَمعُه بالنونِ المُختَصَّةِ </w:t>
      </w:r>
      <w:r>
        <w:rPr>
          <w:rStyle w:val="FootnoteAnchor"/>
          <w:rtl w:val="true"/>
        </w:rPr>
        <w:footnoteReference w:id="3965"/>
      </w:r>
      <w:r>
        <w:rPr>
          <w:rFonts w:ascii="Amiri" w:hAnsi="Amiri" w:eastAsia="Amiri" w:cs="Amiri"/>
          <w:color w:val="111111"/>
          <w:sz w:val="28"/>
          <w:sz w:val="28"/>
          <w:szCs w:val="28"/>
          <w:rtl w:val="true"/>
          <w:lang w:bidi="ar-SA"/>
        </w:rPr>
        <w:t>بالمؤنَّثِ؟</w:t>
      </w:r>
    </w:p>
    <w:p>
      <w:pPr>
        <w:pStyle w:val="BookText"/>
        <w:rPr/>
      </w:pPr>
      <w:r>
        <w:rPr>
          <w:rFonts w:ascii="Amiri" w:hAnsi="Amiri" w:eastAsia="Amiri" w:cs="Amiri"/>
          <w:color w:val="111111"/>
          <w:sz w:val="28"/>
          <w:sz w:val="28"/>
          <w:szCs w:val="28"/>
          <w:rtl w:val="true"/>
          <w:lang w:bidi="ar-SA"/>
        </w:rPr>
        <w:t>و ممّا يَدُلُّ‌ علَى اختصاصِها بمَن نَذهَبُ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الواردةُ في سببِ نُزولِها، و قد تَقدَّمَ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الأزواجُ و غيرُهنَّ خارجينَ مِن جُملةِ مَن جُلِّلَ بالكِساءِ‌، وَجَبَ أن تَكونَ‌</w:t>
      </w:r>
      <w:r>
        <w:rPr>
          <w:rStyle w:val="FootnoteAnchor"/>
          <w:rtl w:val="true"/>
        </w:rPr>
        <w:footnoteReference w:id="3966"/>
      </w:r>
      <w:r>
        <w:rPr>
          <w:rFonts w:ascii="Amiri" w:hAnsi="Amiri" w:eastAsia="Amiri" w:cs="Amiri"/>
          <w:color w:val="111111"/>
          <w:sz w:val="28"/>
          <w:sz w:val="28"/>
          <w:szCs w:val="28"/>
          <w:rtl w:val="true"/>
          <w:lang w:bidi="ar-SA"/>
        </w:rPr>
        <w:t>الآيةُ غيرَ مُتناولةٍ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النبيِّ صَلَّى اللّٰهُ عليه و آلِه لأُمِّ سَلَمةَ بِذلك</w:t>
      </w:r>
      <w:r>
        <w:rPr>
          <w:rStyle w:val="FootnoteAnchor"/>
          <w:rtl w:val="true"/>
        </w:rPr>
        <w:footnoteReference w:id="3967"/>
      </w:r>
      <w:r>
        <w:rPr>
          <w:rFonts w:ascii="Amiri" w:hAnsi="Amiri" w:eastAsia="Amiri" w:cs="Amiri"/>
          <w:color w:val="111111"/>
          <w:sz w:val="28"/>
          <w:sz w:val="28"/>
          <w:szCs w:val="28"/>
          <w:rtl w:val="true"/>
          <w:lang w:bidi="ar-SA"/>
        </w:rPr>
        <w:t>يَدُلُّ أيضاً علىٰ ذلكَ‌</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رُويَ أنّ النبيَّ صَلَّى اللّٰهُ عليه و آلِه بَعدَ نُزولِ هذه الآيةِ كانَ يَمُرُّ علىٰ بابِ فاطمةَ عليها السلامُ عندَ صَلاةِ الفَجرِ 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 يَرحَمُكم اللّٰهُ ، إنّما يُريدُ </w:t>
      </w:r>
    </w:p>
    <w:p>
      <w:pPr>
        <w:pStyle w:val="BookText"/>
        <w:rPr/>
      </w:pPr>
      <w:r>
        <w:rPr>
          <w:rFonts w:ascii="Amiri" w:hAnsi="Amiri" w:eastAsia="Amiri" w:cs="Amiri"/>
          <w:color w:val="111111"/>
          <w:sz w:val="28"/>
          <w:sz w:val="28"/>
          <w:szCs w:val="28"/>
          <w:rtl w:val="true"/>
          <w:lang w:bidi="ar-SA"/>
        </w:rPr>
        <w:t>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3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ثَبَتَ اختصاصُ الآيةِ بمَن ذَكرناه و وَجَبَت عِصمتُه و طهارتُه</w:t>
      </w:r>
      <w:r>
        <w:rPr>
          <w:rStyle w:val="FootnoteAnchor"/>
          <w:rtl w:val="true"/>
        </w:rPr>
        <w:footnoteReference w:id="3969"/>
      </w:r>
      <w:r>
        <w:rPr>
          <w:rFonts w:ascii="Amiri" w:hAnsi="Amiri" w:eastAsia="Amiri" w:cs="Amiri"/>
          <w:color w:val="111111"/>
          <w:sz w:val="28"/>
          <w:sz w:val="28"/>
          <w:szCs w:val="28"/>
          <w:rtl w:val="true"/>
          <w:lang w:bidi="ar-SA"/>
        </w:rPr>
        <w:t>، ثُمّ وَجَدنا كُلَّ مَن أثبَتَ عِصمةَ أميرِ المؤمنينَ و الحَسَنِ و الحُسَينِ عليهم السلامُ يَذهَبُ إلىٰ أنّ إمامتَهم ثَبَتَت</w:t>
      </w:r>
      <w:r>
        <w:rPr>
          <w:rStyle w:val="FootnoteAnchor"/>
          <w:rtl w:val="true"/>
        </w:rPr>
        <w:footnoteReference w:id="3970"/>
      </w:r>
      <w:r>
        <w:rPr>
          <w:rFonts w:ascii="Amiri" w:hAnsi="Amiri" w:eastAsia="Amiri" w:cs="Amiri"/>
          <w:color w:val="111111"/>
          <w:sz w:val="28"/>
          <w:sz w:val="28"/>
          <w:szCs w:val="28"/>
          <w:rtl w:val="true"/>
          <w:lang w:bidi="ar-SA"/>
        </w:rPr>
        <w:t>بالنصِّ مِن الرسولِ صَلَّى اللّٰهُ عليه و آلِه، فقَد تَمَّ ما أرَدناه</w:t>
      </w:r>
      <w:r>
        <w:rPr>
          <w:rStyle w:val="FootnoteAnchor"/>
          <w:rtl w:val="true"/>
        </w:rPr>
        <w:footnoteReference w:id="3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قولُ صاحبِ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أكثَرَ ما تَدُلُّ‌</w:t>
      </w:r>
      <w:r>
        <w:rPr>
          <w:rStyle w:val="FootnoteAnchor"/>
          <w:rtl w:val="true"/>
        </w:rPr>
        <w:footnoteReference w:id="3972"/>
      </w:r>
      <w:r>
        <w:rPr>
          <w:rFonts w:ascii="Amiri" w:hAnsi="Amiri" w:eastAsia="Amiri" w:cs="Amiri"/>
          <w:color w:val="111111"/>
          <w:sz w:val="28"/>
          <w:sz w:val="28"/>
          <w:szCs w:val="28"/>
          <w:rtl w:val="true"/>
          <w:lang w:bidi="ar-SA"/>
        </w:rPr>
        <w:t>عليه الآيةُ أنّ لأهلِ البَيتِ مَزيّةً في بابِ الألطافِ‌، فلذلكَ خَصَّهم بهذا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متىٰ لَم يَكُنِ المُرادُ ما ذَكرناه لَم يَكُن لهُم مَزيّةٌ علىٰ غيرِهم؛ لأنّا قد بيّنّا أنّه إن أُريدَ بالآيةِ الإرادةُ الخالصةُ فلا مَزيّةَ ،</w:t>
      </w:r>
    </w:p>
    <w:p>
      <w:pPr>
        <w:pStyle w:val="BookText"/>
        <w:rPr/>
      </w:pPr>
      <w:r>
        <w:rPr>
          <w:rFonts w:ascii="Amiri" w:hAnsi="Amiri" w:eastAsia="Amiri" w:cs="Amiri"/>
          <w:color w:val="111111"/>
          <w:sz w:val="28"/>
          <w:sz w:val="28"/>
          <w:szCs w:val="28"/>
          <w:rtl w:val="true"/>
          <w:lang w:bidi="ar-SA"/>
        </w:rPr>
        <w:t>فإذا ثَبَتَت</w:t>
      </w:r>
      <w:r>
        <w:rPr>
          <w:rStyle w:val="FootnoteAnchor"/>
          <w:rtl w:val="true"/>
        </w:rPr>
        <w:footnoteReference w:id="3973"/>
      </w:r>
      <w:r>
        <w:rPr>
          <w:rFonts w:ascii="Amiri" w:hAnsi="Amiri" w:eastAsia="Amiri" w:cs="Amiri"/>
          <w:color w:val="111111"/>
          <w:sz w:val="28"/>
          <w:sz w:val="28"/>
          <w:szCs w:val="28"/>
          <w:rtl w:val="true"/>
          <w:lang w:bidi="ar-SA"/>
        </w:rPr>
        <w:t xml:space="preserve">المَزيّةُ فلا بُدَّ مِن أن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تابعاً للإرادةِ ، و قد بيّنّا كَيفَ يَدُلُّ علَى الإمامةِ علَى التفصيلِ </w:t>
      </w:r>
      <w:r>
        <w:rPr>
          <w:rStyle w:val="FootnoteAnchor"/>
          <w:rtl w:val="true"/>
        </w:rPr>
        <w:footnoteReference w:id="3974"/>
      </w:r>
      <w:r>
        <w:rPr>
          <w:rFonts w:ascii="Amiri" w:hAnsi="Amiri" w:eastAsia="Amiri" w:cs="Amiri"/>
          <w:color w:val="111111"/>
          <w:sz w:val="28"/>
          <w:sz w:val="28"/>
          <w:szCs w:val="28"/>
          <w:rtl w:val="true"/>
          <w:lang w:bidi="ar-SA"/>
        </w:rPr>
        <w:t xml:space="preserve">فبَطَلَ ما ظَنَّه مِن أنّها لا تَدُلُّ علىٰ ذلكَ </w:t>
      </w:r>
      <w:r>
        <w:rPr>
          <w:rStyle w:val="FootnoteAnchor"/>
          <w:rtl w:val="true"/>
        </w:rPr>
        <w:footnoteReference w:id="3975"/>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الكلامَ يَتضمَّنُ‌</w:t>
      </w:r>
      <w:r>
        <w:rPr>
          <w:rStyle w:val="FootnoteAnchor"/>
          <w:rtl w:val="true"/>
        </w:rPr>
        <w:footnoteReference w:id="3976"/>
      </w:r>
      <w:r>
        <w:rPr>
          <w:rFonts w:ascii="Amiri" w:hAnsi="Amiri" w:eastAsia="Amiri" w:cs="Amiri"/>
          <w:color w:val="111111"/>
          <w:sz w:val="28"/>
          <w:sz w:val="28"/>
          <w:szCs w:val="28"/>
          <w:rtl w:val="true"/>
          <w:lang w:bidi="ar-SA"/>
        </w:rPr>
        <w:t xml:space="preserve">إثباتَ حالٍ لأهلِ البَيتِ ، و لا يَدُلُّ علىٰ أنّ غيرَهم </w:t>
      </w:r>
    </w:p>
    <w:p>
      <w:pPr>
        <w:pStyle w:val="BookText"/>
        <w:rPr/>
      </w:pPr>
      <w:r>
        <w:rPr>
          <w:rFonts w:ascii="Amiri" w:hAnsi="Amiri" w:eastAsia="Amiri" w:cs="Amiri"/>
          <w:color w:val="111111"/>
          <w:sz w:val="28"/>
          <w:sz w:val="28"/>
          <w:szCs w:val="28"/>
          <w:rtl w:val="true"/>
          <w:lang w:bidi="ar-SA"/>
        </w:rPr>
        <w:t>في ذلكَ بخِلافِهم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فالطريقُ إلىٰ نفيِ ما أثبَتناه لهُم عن غيرِهم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العصمةُ ، فلا خِلافَ في أنّ غيرَهم لا يُقطَعُ فيه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الإمامةُ ، فإذا ثَبَتَت</w:t>
      </w:r>
      <w:r>
        <w:rPr>
          <w:rStyle w:val="FootnoteAnchor"/>
          <w:rtl w:val="true"/>
        </w:rPr>
        <w:footnoteReference w:id="3977"/>
      </w:r>
      <w:r>
        <w:rPr>
          <w:rFonts w:ascii="Amiri" w:hAnsi="Amiri" w:eastAsia="Amiri" w:cs="Amiri"/>
          <w:color w:val="111111"/>
          <w:sz w:val="28"/>
          <w:sz w:val="28"/>
          <w:szCs w:val="28"/>
          <w:rtl w:val="true"/>
          <w:lang w:bidi="ar-SA"/>
        </w:rPr>
        <w:t>فيهم بَطَلَت أن تَكونَ في غيرِهم</w:t>
      </w:r>
      <w:r>
        <w:rPr>
          <w:rStyle w:val="FootnoteAnchor"/>
          <w:rtl w:val="true"/>
        </w:rPr>
        <w:footnoteReference w:id="3978"/>
      </w:r>
      <w:r>
        <w:rPr>
          <w:rFonts w:ascii="Amiri" w:hAnsi="Amiri" w:eastAsia="Amiri" w:cs="Amiri"/>
          <w:color w:val="111111"/>
          <w:sz w:val="28"/>
          <w:sz w:val="28"/>
          <w:szCs w:val="28"/>
          <w:rtl w:val="true"/>
          <w:lang w:bidi="ar-SA"/>
        </w:rPr>
        <w:t>لِاستحالةِ أن يَختَصَّ بالإمامةِ اثنانِ في وقتٍ واحدٍ</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القولُ فيما تَقدَّمَ‌؛ لأنّه إذا قالَ في عِترتِه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تَمسَّكَ بها</w:t>
      </w:r>
      <w:r>
        <w:rPr>
          <w:rStyle w:val="FootnoteAnchor"/>
          <w:rtl w:val="true"/>
        </w:rPr>
        <w:footnoteReference w:id="3979"/>
      </w:r>
      <w:r>
        <w:rPr>
          <w:rFonts w:ascii="Amiri" w:hAnsi="Amiri" w:eastAsia="Amiri" w:cs="Amiri"/>
          <w:color w:val="111111"/>
          <w:sz w:val="28"/>
          <w:sz w:val="28"/>
          <w:szCs w:val="28"/>
          <w:rtl w:val="true"/>
          <w:lang w:bidi="ar-SA"/>
        </w:rPr>
        <w:t>لَم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يَدُلُّ علىٰ إثباتِ هذا الحُكمِ لها</w:t>
      </w:r>
      <w:r>
        <w:rPr>
          <w:rStyle w:val="FootnoteAnchor"/>
          <w:rtl w:val="true"/>
        </w:rPr>
        <w:footnoteReference w:id="3980"/>
      </w:r>
      <w:r>
        <w:rPr>
          <w:rFonts w:ascii="Amiri" w:hAnsi="Amiri" w:eastAsia="Amiri" w:cs="Amiri"/>
          <w:color w:val="111111"/>
          <w:sz w:val="28"/>
          <w:sz w:val="28"/>
          <w:szCs w:val="28"/>
          <w:rtl w:val="true"/>
          <w:lang w:bidi="ar-SA"/>
        </w:rPr>
        <w:t>، و لا يَدُلُّ علىٰ نفيِه عن غيرِها</w:t>
      </w:r>
      <w:r>
        <w:rPr>
          <w:rStyle w:val="FootnoteAnchor"/>
          <w:rtl w:val="true"/>
        </w:rPr>
        <w:footnoteReference w:id="3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فباطلٌ‌؛ لأنّه</w:t>
      </w:r>
      <w:r>
        <w:rPr>
          <w:rStyle w:val="FootnoteAnchor"/>
          <w:rtl w:val="true"/>
        </w:rPr>
        <w:footnoteReference w:id="3982"/>
      </w:r>
      <w:r>
        <w:rPr>
          <w:rFonts w:ascii="Amiri" w:hAnsi="Amiri" w:eastAsia="Amiri" w:cs="Amiri"/>
          <w:color w:val="111111"/>
          <w:sz w:val="28"/>
          <w:sz w:val="28"/>
          <w:szCs w:val="28"/>
          <w:rtl w:val="true"/>
          <w:lang w:bidi="ar-SA"/>
        </w:rPr>
        <w:t>قد بيّنّا دَلالةَ هذا الخبرِ علىٰ أنّ إجماعَ أهلِ البَيتِ حُجّةٌ‌</w:t>
      </w:r>
      <w:r>
        <w:rPr>
          <w:rStyle w:val="FootnoteAnchor"/>
          <w:rtl w:val="true"/>
        </w:rPr>
        <w:footnoteReference w:id="3983"/>
      </w:r>
      <w:r>
        <w:rPr>
          <w:rFonts w:ascii="Amiri" w:hAnsi="Amiri" w:eastAsia="Amiri" w:cs="Amiri"/>
          <w:color w:val="111111"/>
          <w:sz w:val="28"/>
          <w:sz w:val="28"/>
          <w:szCs w:val="28"/>
          <w:rtl w:val="true"/>
          <w:lang w:bidi="ar-SA"/>
        </w:rPr>
        <w:t xml:space="preserve">، و ممّا أجمَعوا عليه أنّ </w:t>
      </w:r>
      <w:r>
        <w:rPr>
          <w:rStyle w:val="FootnoteAnchor"/>
          <w:rtl w:val="true"/>
        </w:rPr>
        <w:footnoteReference w:id="3984"/>
      </w:r>
      <w:r>
        <w:rPr>
          <w:rFonts w:ascii="Amiri" w:hAnsi="Amiri" w:eastAsia="Amiri" w:cs="Amiri"/>
          <w:color w:val="111111"/>
          <w:sz w:val="28"/>
          <w:sz w:val="28"/>
          <w:szCs w:val="28"/>
          <w:rtl w:val="true"/>
          <w:lang w:bidi="ar-SA"/>
        </w:rPr>
        <w:t>خِلافَهم غيرُ سائغٍ و أنّ مُخالِفَهم مُبطِلٌ ؛ فيَجِبُ أن يَكونَ قولُهم في هذا حُجّةً كسائرِ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يُبطِلُ ما ظَنَّه صاحبُ الكتابِ مِن تجويزِ أن يَكونَ الحَقُّ في جِهتِهم و جِهةِ مَن خالَفَهم</w:t>
      </w:r>
      <w:r>
        <w:rPr>
          <w:rFonts w:eastAsia="Amiri" w:cs="Amiri" w:ascii="Amiri" w:hAnsi="Amiri"/>
          <w:color w:val="111111"/>
          <w:sz w:val="28"/>
          <w:szCs w:val="28"/>
          <w:rtl w:val="true"/>
          <w:lang w:bidi="ar-SA"/>
        </w:rPr>
        <w:t xml:space="preserve">. </w:t>
      </w:r>
      <w:bookmarkStart w:id="718" w:name="pg20017_202823"/>
    </w:p>
    <w:p>
      <w:pPr>
        <w:pStyle w:val="Heading4"/>
        <w:numPr>
          <w:ilvl w:val="3"/>
          <w:numId w:val="1"/>
        </w:numPr>
        <w:rPr/>
      </w:pPr>
      <w:bookmarkStart w:id="719" w:name="__RefHeading___Toc964507_2320776876"/>
      <w:bookmarkStart w:id="720" w:name="_Toc257"/>
      <w:bookmarkEnd w:id="718"/>
      <w:bookmarkEnd w:id="719"/>
      <w:r>
        <w:rPr>
          <w:rtl w:val="true"/>
        </w:rPr>
        <w:t>الدليل الثامن عشر آية</w:t>
      </w:r>
      <w:r>
        <w:rPr>
          <w:rtl w:val="true"/>
        </w:rPr>
        <w:t>: (</w:t>
      </w:r>
      <w:r>
        <w:rPr>
          <w:rtl w:val="true"/>
        </w:rPr>
        <w:t xml:space="preserve">لاٰ يَنٰالُ عَهْدِي الظّٰالِمِينَ </w:t>
      </w:r>
      <w:r>
        <w:rPr>
          <w:rtl w:val="true"/>
        </w:rPr>
        <w:t>)</w:t>
      </w:r>
      <w:bookmarkEnd w:id="720"/>
    </w:p>
    <w:p>
      <w:pPr>
        <w:pStyle w:val="Heading5"/>
        <w:numPr>
          <w:ilvl w:val="4"/>
          <w:numId w:val="1"/>
        </w:numPr>
        <w:rPr/>
      </w:pPr>
      <w:bookmarkStart w:id="721" w:name="__RefHeading___Toc964509_2320776876"/>
      <w:bookmarkStart w:id="722" w:name="_Toc258"/>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لهُم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تَعلَّقوا بقَولِه تَعالىٰ في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 وَ 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3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إمامة للظالم</w:t>
      </w:r>
      <w:r>
        <w:rPr>
          <w:rFonts w:eastAsia="Amiri" w:cs="Amiri" w:ascii="Amiri" w:hAnsi="Amiri"/>
          <w:color w:val="111111"/>
          <w:sz w:val="28"/>
          <w:szCs w:val="28"/>
          <w:rtl w:val="true"/>
          <w:lang w:bidi="ar-SA"/>
        </w:rPr>
        <w:t>».</w:t>
      </w:r>
      <w:r>
        <w:rPr>
          <w:rStyle w:val="FootnoteAnchor"/>
          <w:rtl w:val="true"/>
        </w:rPr>
        <w:footnoteReference w:id="3986"/>
      </w:r>
      <w:r>
        <w:rPr>
          <w:rFonts w:ascii="Amiri" w:hAnsi="Amiri" w:eastAsia="Amiri" w:cs="Amiri"/>
          <w:color w:val="111111"/>
          <w:sz w:val="28"/>
          <w:sz w:val="28"/>
          <w:szCs w:val="28"/>
          <w:rtl w:val="true"/>
          <w:lang w:bidi="ar-SA"/>
        </w:rPr>
        <w:t>فأخبَرَ أنّه لا حَقَّ في الإمامةِ لظالمٍ‌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فوَجَبَ بذلكَ أنّ مَن كانَ ظالماً و كافراً وقتاً</w:t>
      </w:r>
      <w:r>
        <w:rPr>
          <w:rStyle w:val="FootnoteAnchor"/>
          <w:rtl w:val="true"/>
        </w:rPr>
        <w:footnoteReference w:id="3987"/>
      </w:r>
      <w:r>
        <w:rPr>
          <w:rFonts w:ascii="Amiri" w:hAnsi="Amiri" w:eastAsia="Amiri" w:cs="Amiri"/>
          <w:color w:val="111111"/>
          <w:sz w:val="28"/>
          <w:sz w:val="28"/>
          <w:szCs w:val="28"/>
          <w:rtl w:val="true"/>
          <w:lang w:bidi="ar-SA"/>
        </w:rPr>
        <w:t xml:space="preserve">مِن الزمانِ لا حَظَّ له في ذلكَ ، و أن يَكونَ المُستَحِقُّ لذلكَ المعصومَ في كُلِّ أوقاتِه، و ذلكَ يَقتَضي أنّ الإمامةَ ثابتةٌ لأميرِ المؤمنينَ عليه السلامُ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تَعلَّقوا بقَريبٍ مِن ذلكَ مِن غيرِ ذِكرِ الآيةِ </w:t>
      </w:r>
      <w:r>
        <w:rPr>
          <w:rStyle w:val="FootnoteAnchor"/>
          <w:rtl w:val="true"/>
        </w:rPr>
        <w:footnoteReference w:id="3988"/>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أنّ مَن يَقولُ بوجوبِ الإمامةِ نفسانِ </w:t>
      </w:r>
      <w:r>
        <w:rPr>
          <w:rStyle w:val="FootnoteAnchor"/>
          <w:rtl w:val="true"/>
        </w:rPr>
        <w:footnoteReference w:id="3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يَقولُ بإمامةِ 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ذلكَ لا يَصِحُّ‌؛ لأنّ مِن حَقِّ الإمامِ أن يَكونَ كالرسولِ في كَونِه مُنزَّهاً عن الدَّنَسِ و</w:t>
      </w:r>
      <w:r>
        <w:rPr>
          <w:rStyle w:val="FootnoteAnchor"/>
          <w:rtl w:val="true"/>
        </w:rPr>
        <w:footnoteReference w:id="3990"/>
      </w:r>
      <w:r>
        <w:rPr>
          <w:rFonts w:ascii="Amiri" w:hAnsi="Amiri" w:eastAsia="Amiri" w:cs="Amiri"/>
          <w:color w:val="111111"/>
          <w:sz w:val="28"/>
          <w:sz w:val="28"/>
          <w:szCs w:val="28"/>
          <w:rtl w:val="true"/>
          <w:lang w:bidi="ar-SA"/>
        </w:rPr>
        <w:t>الكُفرِ و الكَبائرِ في سائرِ 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بَطَلَ ذلكَ‌، فلَيسَ إلّا القولُ الثاني، و هو أنّ الإمامَ عَليُّ بنُ أبي طالبٍ عليه السلامُ‌؛ لأنّه ما كَفَرَ باللّٰهِ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يُمكِنُ الاعتمادُ عليه؛ لأنّ ظاهرَ الآيةِ إنّما يَقتَضي أنّ عَهدَه لا يَنالُ الظالمَ‌</w:t>
      </w:r>
      <w:r>
        <w:rPr>
          <w:rStyle w:val="FootnoteAnchor"/>
          <w:rtl w:val="true"/>
        </w:rPr>
        <w:footnoteReference w:id="3991"/>
      </w:r>
      <w:r>
        <w:rPr>
          <w:rFonts w:ascii="Amiri" w:hAnsi="Amiri" w:eastAsia="Amiri" w:cs="Amiri"/>
          <w:color w:val="111111"/>
          <w:sz w:val="28"/>
          <w:sz w:val="28"/>
          <w:szCs w:val="28"/>
          <w:rtl w:val="true"/>
          <w:lang w:bidi="ar-SA"/>
        </w:rPr>
        <w:t>، و مَن كَفَرَ ثُمّ تابَ أو فَسَقَ ثُمّ تابَ و صَلَحَت أحوالُه</w:t>
      </w:r>
      <w:r>
        <w:rPr>
          <w:rStyle w:val="FootnoteAnchor"/>
          <w:rtl w:val="true"/>
        </w:rPr>
        <w:footnoteReference w:id="3992"/>
      </w:r>
      <w:r>
        <w:rPr>
          <w:rFonts w:ascii="Amiri" w:hAnsi="Amiri" w:eastAsia="Amiri" w:cs="Amiri"/>
          <w:color w:val="111111"/>
          <w:sz w:val="28"/>
          <w:sz w:val="28"/>
          <w:szCs w:val="28"/>
          <w:rtl w:val="true"/>
          <w:lang w:bidi="ar-SA"/>
        </w:rPr>
        <w:t>لا يَكونُ ظالماً؛ فيَجِبُ بحُكمِ الآيةِ أن لا يَمتَنِعَ‌</w:t>
      </w:r>
      <w:r>
        <w:rPr>
          <w:rStyle w:val="FootnoteAnchor"/>
          <w:rtl w:val="true"/>
        </w:rPr>
        <w:footnoteReference w:id="3993"/>
      </w:r>
      <w:r>
        <w:rPr>
          <w:rFonts w:ascii="Amiri" w:hAnsi="Amiri" w:eastAsia="Amiri" w:cs="Amiri"/>
          <w:color w:val="111111"/>
          <w:sz w:val="28"/>
          <w:sz w:val="28"/>
          <w:szCs w:val="28"/>
          <w:rtl w:val="true"/>
          <w:lang w:bidi="ar-SA"/>
        </w:rPr>
        <w:t>أن يَنالَه</w:t>
      </w:r>
      <w:r>
        <w:rPr>
          <w:rStyle w:val="FootnoteAnchor"/>
          <w:rtl w:val="true"/>
        </w:rPr>
        <w:footnoteReference w:id="3994"/>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أنّ الظالمينَ لا يَنالونَ العهدَ و إن خَرَجوا مِن أن يَكونوا ظالمينَ‌، و إنّما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ظُلمِهم؛ كَما أنّه تَعالىٰ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الْمُؤْمِنِينَ بِأَنَّ لَهُمْ مِنَ اللّٰهِ فَضْلاً كَبِيراً</w:t>
      </w:r>
      <w:r>
        <w:rPr>
          <w:rFonts w:eastAsia="Amiri" w:cs="Amiri" w:ascii="Amiri" w:hAnsi="Amiri"/>
          <w:color w:val="111111"/>
          <w:sz w:val="28"/>
          <w:szCs w:val="28"/>
          <w:rtl w:val="true"/>
          <w:lang w:bidi="ar-SA"/>
        </w:rPr>
        <w:t xml:space="preserve">) </w:t>
      </w:r>
      <w:r>
        <w:rPr>
          <w:rStyle w:val="FootnoteAnchor"/>
          <w:rtl w:val="true"/>
        </w:rPr>
        <w:footnoteReference w:id="3995"/>
      </w:r>
      <w:r>
        <w:rPr>
          <w:rFonts w:ascii="Amiri" w:hAnsi="Amiri" w:eastAsia="Amiri" w:cs="Amiri"/>
          <w:color w:val="111111"/>
          <w:sz w:val="28"/>
          <w:sz w:val="28"/>
          <w:szCs w:val="28"/>
          <w:rtl w:val="true"/>
          <w:lang w:bidi="ar-SA"/>
        </w:rPr>
        <w:t>فالمُرادُ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إيمانِهم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w:t>
      </w:r>
      <w:r>
        <w:rPr>
          <w:rStyle w:val="FootnoteAnchor"/>
          <w:rtl w:val="true"/>
        </w:rPr>
        <w:footnoteReference w:id="3996"/>
      </w:r>
      <w:r>
        <w:rPr>
          <w:rFonts w:ascii="Amiri" w:hAnsi="Amiri" w:eastAsia="Amiri" w:cs="Amiri"/>
          <w:color w:val="111111"/>
          <w:sz w:val="28"/>
          <w:sz w:val="28"/>
          <w:szCs w:val="28"/>
          <w:rtl w:val="true"/>
          <w:lang w:bidi="ar-SA"/>
        </w:rPr>
        <w:t>يُرادَ به النبوّةُ ، أو أن</w:t>
      </w:r>
      <w:r>
        <w:rPr>
          <w:rStyle w:val="FootnoteAnchor"/>
          <w:rtl w:val="true"/>
        </w:rPr>
        <w:footnoteReference w:id="3997"/>
      </w:r>
      <w:r>
        <w:rPr>
          <w:rFonts w:ascii="Amiri" w:hAnsi="Amiri" w:eastAsia="Amiri" w:cs="Amiri"/>
          <w:color w:val="111111"/>
          <w:sz w:val="28"/>
          <w:sz w:val="28"/>
          <w:szCs w:val="28"/>
          <w:rtl w:val="true"/>
          <w:lang w:bidi="ar-SA"/>
        </w:rPr>
        <w:t xml:space="preserve">يَكونَ قُدوةً في الصَّلاحِ ؛ لأنّا قد بيّنّا أنّه لا يَدخُلُ </w:t>
      </w:r>
      <w:r>
        <w:rPr>
          <w:rStyle w:val="FootnoteAnchor"/>
          <w:rtl w:val="true"/>
        </w:rPr>
        <w:footnoteReference w:id="3998"/>
      </w:r>
      <w:r>
        <w:rPr>
          <w:rFonts w:ascii="Amiri" w:hAnsi="Amiri" w:eastAsia="Amiri" w:cs="Amiri"/>
          <w:color w:val="111111"/>
          <w:sz w:val="28"/>
          <w:sz w:val="28"/>
          <w:szCs w:val="28"/>
          <w:rtl w:val="true"/>
          <w:lang w:bidi="ar-SA"/>
        </w:rPr>
        <w:t xml:space="preserve">تَحتَ ذلكَ الإمامةُ </w:t>
      </w:r>
    </w:p>
    <w:p>
      <w:pPr>
        <w:pStyle w:val="BookText"/>
        <w:rPr/>
      </w:pPr>
      <w:r>
        <w:rPr>
          <w:rFonts w:ascii="Amiri" w:hAnsi="Amiri" w:eastAsia="Amiri" w:cs="Amiri"/>
          <w:color w:val="111111"/>
          <w:sz w:val="28"/>
          <w:sz w:val="28"/>
          <w:szCs w:val="28"/>
          <w:rtl w:val="true"/>
          <w:lang w:bidi="ar-SA"/>
        </w:rPr>
        <w:t>التي هي بمعنىٰ إقامةِ الحُدودِ و تنفيذِ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به النبوّةُ‌</w:t>
      </w:r>
      <w:r>
        <w:rPr>
          <w:rStyle w:val="FootnoteAnchor"/>
          <w:rtl w:val="true"/>
        </w:rPr>
        <w:footnoteReference w:id="3999"/>
      </w:r>
      <w:r>
        <w:rPr>
          <w:rFonts w:ascii="Amiri" w:hAnsi="Amiri" w:eastAsia="Amiri" w:cs="Amiri"/>
          <w:color w:val="111111"/>
          <w:sz w:val="28"/>
          <w:sz w:val="28"/>
          <w:szCs w:val="28"/>
          <w:rtl w:val="true"/>
          <w:lang w:bidi="ar-SA"/>
        </w:rPr>
        <w:t>فمِن حَيثُ دَلَّ الدليلُ علىٰ أنّ مِن حَقِّ النبيِّ أن لا يَقَعَ منه كُفرٌ و لا كَبيرةٌ‌، يَجِبُ أن لا يَكونَ ظالماً في حالٍ‌</w:t>
      </w:r>
      <w:r>
        <w:rPr>
          <w:rStyle w:val="FootnoteAnchor"/>
          <w:rtl w:val="true"/>
        </w:rPr>
        <w:footnoteReference w:id="4000"/>
      </w:r>
      <w:r>
        <w:rPr>
          <w:rFonts w:ascii="Amiri" w:hAnsi="Amiri" w:eastAsia="Amiri" w:cs="Amiri"/>
          <w:color w:val="111111"/>
          <w:sz w:val="28"/>
          <w:sz w:val="28"/>
          <w:szCs w:val="28"/>
          <w:rtl w:val="true"/>
          <w:lang w:bidi="ar-SA"/>
        </w:rPr>
        <w:t>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به الوجهُ الآخَرُ، فغَيرُ مُمتَنِعٍ أن يَكونَ ظالماً في حالٍ‌، ثُمَّ يَصلُحُ‌، فيُقتَدىٰ بطَريقتِه و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فلا يَمتَنِعُ أن يَقَعَ مِن الرسولِ المعصيةُ الصغيرةُ التي تَكونُ ظُلماً</w:t>
      </w:r>
      <w:r>
        <w:rPr>
          <w:rStyle w:val="FootnoteAnchor"/>
          <w:rtl w:val="true"/>
        </w:rPr>
        <w:footnoteReference w:id="4001"/>
      </w:r>
      <w:r>
        <w:rPr>
          <w:rFonts w:ascii="Amiri" w:hAnsi="Amiri" w:eastAsia="Amiri" w:cs="Amiri"/>
          <w:color w:val="111111"/>
          <w:sz w:val="28"/>
          <w:sz w:val="28"/>
          <w:szCs w:val="28"/>
          <w:rtl w:val="true"/>
          <w:lang w:bidi="ar-SA"/>
        </w:rPr>
        <w:t>، فلا بُدَّ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أرادَ بالكلامِ الظُّلمَ المذمومَ‌، و ما زالَ بالتوبةِ كالصغيرةِ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ممّا يُبيِّنُ فَسادَ ما تَعلَّقوا به مِن ظاهرِ الآيةِ‌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الطريقةُ الأُخرىٰ‌</w:t>
      </w:r>
      <w:r>
        <w:rPr>
          <w:rStyle w:val="FootnoteAnchor"/>
          <w:rtl w:val="true"/>
        </w:rPr>
        <w:footnoteReference w:id="4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بيّنّا الكلامَ عليها في بابِ النبوّاتِ </w:t>
      </w:r>
      <w:r>
        <w:rPr>
          <w:rStyle w:val="FootnoteAnchor"/>
          <w:rtl w:val="true"/>
        </w:rPr>
        <w:footnoteReference w:id="4003"/>
      </w:r>
      <w:r>
        <w:rPr>
          <w:rFonts w:ascii="Amiri" w:hAnsi="Amiri" w:eastAsia="Amiri" w:cs="Amiri"/>
          <w:color w:val="111111"/>
          <w:sz w:val="28"/>
          <w:sz w:val="28"/>
          <w:szCs w:val="28"/>
          <w:rtl w:val="true"/>
          <w:lang w:bidi="ar-SA"/>
        </w:rPr>
        <w:t>، و أنّ ما له وَجَبَ في الرسولِ أن يَكونَ مُنزَّهاً عن الكُفرِ و الكَبائرِ، هو</w:t>
      </w:r>
      <w:r>
        <w:rPr>
          <w:rStyle w:val="FootnoteAnchor"/>
          <w:rtl w:val="true"/>
        </w:rPr>
        <w:footnoteReference w:id="4004"/>
      </w:r>
      <w:r>
        <w:rPr>
          <w:rFonts w:ascii="Amiri" w:hAnsi="Amiri" w:eastAsia="Amiri" w:cs="Amiri"/>
          <w:color w:val="111111"/>
          <w:sz w:val="28"/>
          <w:sz w:val="28"/>
          <w:szCs w:val="28"/>
          <w:rtl w:val="true"/>
          <w:lang w:bidi="ar-SA"/>
        </w:rPr>
        <w:t>كَونُه حُجّةً فيما تَحمَّلَه</w:t>
      </w:r>
      <w:r>
        <w:rPr>
          <w:rStyle w:val="FootnoteAnchor"/>
          <w:rtl w:val="true"/>
        </w:rPr>
        <w:footnoteReference w:id="4005"/>
      </w:r>
      <w:r>
        <w:rPr>
          <w:rFonts w:ascii="Amiri" w:hAnsi="Amiri" w:eastAsia="Amiri" w:cs="Amiri"/>
          <w:color w:val="111111"/>
          <w:sz w:val="28"/>
          <w:sz w:val="28"/>
          <w:szCs w:val="28"/>
          <w:rtl w:val="true"/>
          <w:lang w:bidi="ar-SA"/>
        </w:rPr>
        <w:t xml:space="preserve">، و 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الأميرِ و الحاكمِ </w:t>
      </w:r>
      <w:r>
        <w:rPr>
          <w:rStyle w:val="FootnoteAnchor"/>
          <w:rtl w:val="true"/>
        </w:rPr>
        <w:footnoteReference w:id="4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يُسقِطُ ما تَعلَّقوا به</w:t>
      </w:r>
      <w:r>
        <w:rPr>
          <w:rStyle w:val="FootnoteAnchor"/>
          <w:rtl w:val="true"/>
        </w:rPr>
        <w:footnoteReference w:id="4007"/>
      </w:r>
      <w:r>
        <w:rPr>
          <w:rFonts w:eastAsia="Times New Roman" w:cs="Times New Roman" w:ascii="Times New Roman" w:hAnsi="Times New Roman"/>
          <w:color w:val="111111"/>
          <w:sz w:val="28"/>
          <w:szCs w:val="28"/>
          <w:rtl w:val="true"/>
          <w:lang w:val="en-US" w:bidi="en-US"/>
        </w:rPr>
        <w:t xml:space="preserve">. </w:t>
      </w:r>
      <w:bookmarkStart w:id="723" w:name="pg20017_202826"/>
    </w:p>
    <w:p>
      <w:pPr>
        <w:pStyle w:val="Heading5"/>
        <w:numPr>
          <w:ilvl w:val="4"/>
          <w:numId w:val="1"/>
        </w:numPr>
        <w:rPr/>
      </w:pPr>
      <w:bookmarkStart w:id="724" w:name="__RefHeading___Toc964511_2320776876"/>
      <w:bookmarkStart w:id="725" w:name="_Toc259"/>
      <w:bookmarkEnd w:id="723"/>
      <w:bookmarkEnd w:id="724"/>
      <w:r>
        <w:rPr>
          <w:rtl w:val="true"/>
        </w:rPr>
        <w:t>تقرير دلالة الآية على الإمامة، بناءً علىٰ بعض المباني</w:t>
      </w:r>
      <w:bookmarkEnd w:id="725"/>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اعتَمَدَ بهذه الآيةِ التي ذَكرتَها قومٌ مِن أصحابِنا، و الاستدلالُ بها مَبنيٌّ علَى القولِ بالعمومِ‌، و أنّ له صيغةً يَقتَضي ظاهرُها الاستغراقَ‌؛ فمَن لا يَذهَبُ إلىٰ ذلكَ مِن أصحابِنا لا يَصِحُّ له الاستدلالُ بهذه الآيةِ في هذا المَوضِعِ‌</w:t>
      </w:r>
      <w:r>
        <w:rPr>
          <w:rStyle w:val="FootnoteAnchor"/>
          <w:rtl w:val="true"/>
        </w:rPr>
        <w:footnoteReference w:id="4008"/>
      </w:r>
      <w:r>
        <w:rPr>
          <w:rFonts w:ascii="Amiri" w:hAnsi="Amiri" w:eastAsia="Amiri" w:cs="Amiri"/>
          <w:color w:val="111111"/>
          <w:sz w:val="28"/>
          <w:sz w:val="28"/>
          <w:szCs w:val="28"/>
          <w:rtl w:val="true"/>
          <w:lang w:bidi="ar-SA"/>
        </w:rPr>
        <w:t>، و مَن ذَهَبَ إلَى العمومِ منهم صَحَّ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بها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ظالماً في وقتٍ مِن الأوقاتِ فلَن يَجوزَ أن يَكونَ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يُبنىٰ علىٰ ذلكَ القولُ بإمامةِ أميرِ المؤمنينَ عليه السلامُ بَعدَ الرسولِ صَلَّى اللّٰهُ عليه و آلِه بِلا فَصلٍ ؛ لأنّ مَن تَولَّى الأمرَ غيرَه قد كانَ ظالماً فيما سَلَف مِن أحوالِه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اقتضاءُ الآيةِ لكَونِ الإمامِ معصوماً؛ لأنّها</w:t>
      </w:r>
      <w:r>
        <w:rPr>
          <w:rStyle w:val="FootnoteAnchor"/>
          <w:rtl w:val="true"/>
        </w:rPr>
        <w:footnoteReference w:id="4009"/>
      </w:r>
      <w:r>
        <w:rPr>
          <w:rFonts w:ascii="Amiri" w:hAnsi="Amiri" w:eastAsia="Amiri" w:cs="Amiri"/>
          <w:color w:val="111111"/>
          <w:sz w:val="28"/>
          <w:sz w:val="28"/>
          <w:szCs w:val="28"/>
          <w:rtl w:val="true"/>
          <w:lang w:bidi="ar-SA"/>
        </w:rPr>
        <w:t>إذا اقتَضَت نفيَ الإمامةِ عمّن كانَ ظالماً علىٰ كُلِّ حالٍ ، سَواءٌ كانَ مُسِرّاً لظُلمِه</w:t>
      </w:r>
      <w:r>
        <w:rPr>
          <w:rStyle w:val="FootnoteAnchor"/>
          <w:rtl w:val="true"/>
        </w:rPr>
        <w:footnoteReference w:id="4010"/>
      </w:r>
      <w:r>
        <w:rPr>
          <w:rFonts w:ascii="Amiri" w:hAnsi="Amiri" w:eastAsia="Amiri" w:cs="Amiri"/>
          <w:color w:val="111111"/>
          <w:sz w:val="28"/>
          <w:sz w:val="28"/>
          <w:szCs w:val="28"/>
          <w:rtl w:val="true"/>
          <w:lang w:bidi="ar-SA"/>
        </w:rPr>
        <w:t xml:space="preserve">أو مُظهِراً له، و كانَ مَن لَيسَ بمعصومٍ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ظاهرُه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مُبطِناً للظُّلمِ و القَبيحِ </w:t>
      </w:r>
      <w:r>
        <w:rPr>
          <w:rStyle w:val="FootnoteAnchor"/>
          <w:rtl w:val="true"/>
        </w:rPr>
        <w:footnoteReference w:id="4011"/>
      </w:r>
      <w:r>
        <w:rPr>
          <w:rFonts w:ascii="Amiri" w:hAnsi="Amiri" w:eastAsia="Amiri" w:cs="Amiri"/>
          <w:color w:val="111111"/>
          <w:sz w:val="28"/>
          <w:sz w:val="28"/>
          <w:szCs w:val="28"/>
          <w:rtl w:val="true"/>
          <w:lang w:bidi="ar-SA"/>
        </w:rPr>
        <w:t>، و لا أحَدَ ممّن لَيسَ بمعصومٍ يؤمَنُ ذلكَ منه و لا يَجوزُ فيه</w:t>
      </w:r>
      <w:r>
        <w:rPr>
          <w:rStyle w:val="FootnoteAnchor"/>
          <w:rtl w:val="true"/>
        </w:rPr>
        <w:footnoteReference w:id="4012"/>
      </w:r>
      <w:r>
        <w:rPr>
          <w:rFonts w:ascii="Amiri" w:hAnsi="Amiri" w:eastAsia="Amiri" w:cs="Amiri"/>
          <w:color w:val="111111"/>
          <w:sz w:val="28"/>
          <w:sz w:val="28"/>
          <w:szCs w:val="28"/>
          <w:rtl w:val="true"/>
          <w:lang w:bidi="ar-SA"/>
        </w:rPr>
        <w:t xml:space="preserve">فيَجِبُ </w:t>
      </w:r>
      <w:bookmarkStart w:id="726" w:name="pg20017_202827"/>
    </w:p>
    <w:p>
      <w:pPr>
        <w:pStyle w:val="BookText"/>
        <w:rPr/>
      </w:pPr>
      <w:bookmarkEnd w:id="726"/>
      <w:r>
        <w:rPr>
          <w:rFonts w:ascii="Amiri" w:hAnsi="Amiri" w:eastAsia="Amiri" w:cs="Amiri"/>
          <w:color w:val="111111"/>
          <w:sz w:val="28"/>
          <w:sz w:val="28"/>
          <w:szCs w:val="28"/>
          <w:rtl w:val="true"/>
          <w:lang w:bidi="ar-SA"/>
        </w:rPr>
        <w:t xml:space="preserve">بحُكمِ الآيةِ أن يَكونَ مَن يَنالُه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معصوماً حتّىٰ يؤمَنَ استسرارُه بالظُّلمِ ، و حتّىٰ يُوافِقَ ظاهرُه باطنَه</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964513_2320776876"/>
      <w:bookmarkStart w:id="728" w:name="_Toc260"/>
      <w:bookmarkEnd w:id="727"/>
      <w:r>
        <w:rPr>
          <w:rtl w:val="true"/>
        </w:rPr>
        <w:t>بيان تناوُل عنوان الظالم لمن تاب بعد كفر و فسق</w:t>
      </w:r>
      <w:bookmarkEnd w:id="728"/>
    </w:p>
    <w:p>
      <w:pPr>
        <w:pStyle w:val="BookText"/>
        <w:rPr/>
      </w:pPr>
      <w:r>
        <w:rPr>
          <w:rFonts w:ascii="Amiri" w:hAnsi="Amiri" w:eastAsia="Amiri" w:cs="Amiri"/>
          <w:color w:val="111111"/>
          <w:sz w:val="28"/>
          <w:sz w:val="28"/>
          <w:szCs w:val="28"/>
          <w:rtl w:val="true"/>
          <w:lang w:bidi="ar-SA"/>
        </w:rPr>
        <w:t>و الكلامُ‌</w:t>
      </w:r>
      <w:r>
        <w:rPr>
          <w:rStyle w:val="FootnoteAnchor"/>
          <w:rtl w:val="true"/>
        </w:rPr>
        <w:footnoteReference w:id="4013"/>
      </w:r>
      <w:r>
        <w:rPr>
          <w:rFonts w:ascii="Amiri" w:hAnsi="Amiri" w:eastAsia="Amiri" w:cs="Amiri"/>
          <w:color w:val="111111"/>
          <w:sz w:val="28"/>
          <w:sz w:val="28"/>
          <w:szCs w:val="28"/>
          <w:rtl w:val="true"/>
          <w:lang w:bidi="ar-SA"/>
        </w:rPr>
        <w:t>الذي طَعَنَ به صاحبُ الكتابِ في الاستدلالِ بالآيةِ غيرُ صَحيحٍ‌؛ لأنّ عمومَ ظاهرِها يَقتَضي أنّ الظالمَ في حالٍ مِن الأحوالِ لا يَنالُ الإمامةَ‌، و مَن تابَ بَعدَ كُفرٍ أو فِسقٍ‌</w:t>
      </w:r>
      <w:r>
        <w:rPr>
          <w:rStyle w:val="FootnoteAnchor"/>
          <w:rtl w:val="true"/>
        </w:rPr>
        <w:footnoteReference w:id="4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بَعدَ التوبةِ لا يوصَفُ بأنّه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ممّن تَناوَلَه</w:t>
      </w:r>
      <w:r>
        <w:rPr>
          <w:rStyle w:val="FootnoteAnchor"/>
          <w:rtl w:val="true"/>
        </w:rPr>
        <w:footnoteReference w:id="4015"/>
      </w:r>
    </w:p>
    <w:p>
      <w:pPr>
        <w:pStyle w:val="BookText"/>
        <w:rPr/>
      </w:pPr>
      <w:r>
        <w:rPr>
          <w:rFonts w:ascii="Amiri" w:hAnsi="Amiri" w:eastAsia="Amiri" w:cs="Amiri"/>
          <w:color w:val="111111"/>
          <w:sz w:val="28"/>
          <w:sz w:val="28"/>
          <w:szCs w:val="28"/>
          <w:rtl w:val="true"/>
          <w:lang w:bidi="ar-SA"/>
        </w:rPr>
        <w:t>الاسمُ و دَخَلَ تَحتَ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حَمَلنا الآيةَ علىٰ ما تَوهَّمَ صاحبُ الكتابِ مِن أنّ المُرادَ بها مَن دامَ علىٰ ظُلمِه و استَمرَّ عليه، كانَ هذا</w:t>
      </w:r>
      <w:r>
        <w:rPr>
          <w:rStyle w:val="FootnoteAnchor"/>
          <w:rtl w:val="true"/>
        </w:rPr>
        <w:footnoteReference w:id="4016"/>
      </w:r>
      <w:r>
        <w:rPr>
          <w:rFonts w:ascii="Amiri" w:hAnsi="Amiri" w:eastAsia="Amiri" w:cs="Amiri"/>
          <w:color w:val="111111"/>
          <w:sz w:val="28"/>
          <w:sz w:val="28"/>
          <w:szCs w:val="28"/>
          <w:rtl w:val="true"/>
          <w:lang w:bidi="ar-SA"/>
        </w:rPr>
        <w:t>تخصيصاً بغَيرِ دليلٍ ، و القولُ بالعمومِ يَمنَعُ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يَجوزُ لصاحبِ الكتابِ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زوالَ الاسمِ بالتوبةِ يُخرِجُ المُستَحِقَّ لذلكَ مِن عمومِ الاسمِ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في جميعِ آياتِ الوَعيدِ أنّها مخصوصةٌ ، و أنّ التائبينَ و أصحابَ الصغائرِ خارجونَ منها بالأدِلّة الموجِبةِ لإخراجِهم، و أنّ آياتِ الوَعدِ</w:t>
      </w:r>
      <w:r>
        <w:rPr>
          <w:rStyle w:val="FootnoteAnchor"/>
          <w:rtl w:val="true"/>
        </w:rPr>
        <w:footnoteReference w:id="4017"/>
      </w:r>
      <w:r>
        <w:rPr>
          <w:rFonts w:ascii="Amiri" w:hAnsi="Amiri" w:eastAsia="Amiri" w:cs="Amiri"/>
          <w:color w:val="111111"/>
          <w:sz w:val="28"/>
          <w:sz w:val="28"/>
          <w:szCs w:val="28"/>
          <w:rtl w:val="true"/>
          <w:lang w:bidi="ar-SA"/>
        </w:rPr>
        <w:t>مخصوصةٌ أيضاً</w:t>
      </w:r>
      <w:r>
        <w:rPr>
          <w:rStyle w:val="FootnoteAnchor"/>
          <w:rtl w:val="true"/>
        </w:rPr>
        <w:footnoteReference w:id="4018"/>
      </w:r>
      <w:r>
        <w:rPr>
          <w:rFonts w:ascii="Amiri" w:hAnsi="Amiri" w:eastAsia="Amiri" w:cs="Amiri"/>
          <w:color w:val="111111"/>
          <w:sz w:val="28"/>
          <w:sz w:val="28"/>
          <w:szCs w:val="28"/>
          <w:rtl w:val="true"/>
          <w:lang w:bidi="ar-SA"/>
        </w:rPr>
        <w:t>بالأدِلّةِ الموجِبةِ لاستثناءِ مَن أُحبِطَ ثَوابُ إيمانِه بنَدَمٍ عليه، أو كَبيرةٍ تَصحَبُه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الأمرُ علىٰ ما ادَّعاه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خروجِ مَن تابَ مِن ظُلمِه </w:t>
      </w:r>
      <w:bookmarkStart w:id="729" w:name="pg20017_202828"/>
    </w:p>
    <w:p>
      <w:pPr>
        <w:pStyle w:val="BookText"/>
        <w:rPr/>
      </w:pPr>
      <w:bookmarkEnd w:id="729"/>
      <w:r>
        <w:rPr>
          <w:rFonts w:ascii="Amiri" w:hAnsi="Amiri" w:eastAsia="Amiri" w:cs="Amiri"/>
          <w:color w:val="111111"/>
          <w:sz w:val="28"/>
          <w:sz w:val="28"/>
          <w:szCs w:val="28"/>
          <w:rtl w:val="true"/>
          <w:lang w:bidi="ar-SA"/>
        </w:rPr>
        <w:t>عن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دَلالةٍ ، بَل لأنّ الاسمَ لا يَتناوَلُه علىٰ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مِثلُ ذلكَ في آياتِ الوَعدِ و الوَعيدِ، و أن يَقولَ </w:t>
      </w:r>
      <w:r>
        <w:rPr>
          <w:rStyle w:val="FootnoteAnchor"/>
          <w:rtl w:val="true"/>
        </w:rPr>
        <w:footnoteReference w:id="40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غيرُ مخصوصةٍ و لا مُستثناةٍ بأدِلّةِ العقولِ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 التائبَ و غيرَه خارجاً مِن الاسمِ و اللفظِ، و لا يُحتاجُ أن يُخرِجَه بدَلالةٍ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ظاهرُ البُطلانِ عندَه، و عندَ كُلِّ مَن قالَ بالعمومِ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مُعارَضتُه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بَشِّرِ الْمُؤْمِنِينَ </w:t>
      </w:r>
      <w:r>
        <w:rPr>
          <w:rFonts w:eastAsia="Amiri" w:cs="Amiri" w:ascii="Amiri" w:hAnsi="Amiri"/>
          <w:color w:val="111111"/>
          <w:sz w:val="28"/>
          <w:szCs w:val="28"/>
          <w:rtl w:val="true"/>
          <w:lang w:bidi="ar-SA"/>
        </w:rPr>
        <w:t>)</w:t>
      </w:r>
      <w:r>
        <w:rPr>
          <w:rStyle w:val="FootnoteAnchor"/>
          <w:rtl w:val="true"/>
        </w:rPr>
        <w:footnoteReference w:id="4020"/>
      </w:r>
      <w:r>
        <w:rPr>
          <w:rFonts w:ascii="Amiri" w:hAnsi="Amiri" w:eastAsia="Amiri" w:cs="Amiri"/>
          <w:color w:val="111111"/>
          <w:sz w:val="28"/>
          <w:sz w:val="28"/>
          <w:szCs w:val="28"/>
          <w:rtl w:val="true"/>
          <w:lang w:bidi="ar-SA"/>
        </w:rPr>
        <w:t xml:space="preserve">فلَو لَم تَقُمِ </w:t>
      </w:r>
      <w:r>
        <w:rPr>
          <w:rStyle w:val="FootnoteAnchor"/>
          <w:rtl w:val="true"/>
        </w:rPr>
        <w:footnoteReference w:id="4021"/>
      </w:r>
      <w:r>
        <w:rPr>
          <w:rFonts w:ascii="Amiri" w:hAnsi="Amiri" w:eastAsia="Amiri" w:cs="Amiri"/>
          <w:color w:val="111111"/>
          <w:sz w:val="28"/>
          <w:sz w:val="28"/>
          <w:szCs w:val="28"/>
          <w:rtl w:val="true"/>
          <w:lang w:bidi="ar-SA"/>
        </w:rPr>
        <w:t>الدلالةُ علىٰ أنّ المُرادَ بذلكَ في</w:t>
      </w:r>
      <w:r>
        <w:rPr>
          <w:rStyle w:val="FootnoteAnchor"/>
          <w:rtl w:val="true"/>
        </w:rPr>
        <w:footnoteReference w:id="4022"/>
      </w:r>
      <w:r>
        <w:rPr>
          <w:rFonts w:ascii="Amiri" w:hAnsi="Amiri" w:eastAsia="Amiri" w:cs="Amiri"/>
          <w:color w:val="111111"/>
          <w:sz w:val="28"/>
          <w:sz w:val="28"/>
          <w:szCs w:val="28"/>
          <w:rtl w:val="true"/>
          <w:lang w:bidi="ar-SA"/>
        </w:rPr>
        <w:t xml:space="preserve">حالِ إيمانِهم و سَلامتِهم أيضاً مِن الإحباطِ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مَن 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القولُ مخصوصاً بمَن كانَ في الحالِ مؤمِناً، و إنّما جُعِلَ كذلكَ لأنّ البِشارةَ بالثوابِ لا تَكونُ إلّا لمُستَحِقِّه</w:t>
      </w:r>
      <w:r>
        <w:rPr>
          <w:rStyle w:val="FootnoteAnchor"/>
          <w:rtl w:val="true"/>
        </w:rPr>
        <w:footnoteReference w:id="4023"/>
      </w:r>
      <w:r>
        <w:rPr>
          <w:rFonts w:ascii="Amiri" w:hAnsi="Amiri" w:eastAsia="Amiri" w:cs="Amiri"/>
          <w:color w:val="111111"/>
          <w:sz w:val="28"/>
          <w:sz w:val="28"/>
          <w:szCs w:val="28"/>
          <w:rtl w:val="true"/>
          <w:lang w:bidi="ar-SA"/>
        </w:rPr>
        <w:t>، دونَ مَن أحبَطَه و أزالَه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طريقُ الاستدلالِ الذي ما</w:t>
      </w:r>
      <w:r>
        <w:rPr>
          <w:rStyle w:val="FootnoteAnchor"/>
          <w:rtl w:val="true"/>
        </w:rPr>
        <w:footnoteReference w:id="4024"/>
      </w:r>
      <w:r>
        <w:rPr>
          <w:rFonts w:ascii="Amiri" w:hAnsi="Amiri" w:eastAsia="Amiri" w:cs="Amiri"/>
          <w:color w:val="111111"/>
          <w:sz w:val="28"/>
          <w:sz w:val="28"/>
          <w:szCs w:val="28"/>
          <w:rtl w:val="true"/>
          <w:lang w:bidi="ar-SA"/>
        </w:rPr>
        <w:t xml:space="preserve">مَنَعْنا صاحبَ الكِتابِ منه، و إنّما مَنَعناه مِن ادّعاءِ خروجِ التائبِ مِن الاسمِ </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964515_2320776876"/>
      <w:bookmarkStart w:id="731" w:name="_Toc261"/>
      <w:bookmarkEnd w:id="730"/>
      <w:r>
        <w:rPr>
          <w:rtl w:val="true"/>
        </w:rPr>
        <w:t>بيان دلالة الآية على الإمامة بمعنىٰ إقامة الحدود</w:t>
      </w:r>
      <w:bookmarkEnd w:id="731"/>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4025"/>
      </w:r>
      <w:r>
        <w:rPr>
          <w:rFonts w:ascii="Amiri" w:hAnsi="Amiri" w:eastAsia="Amiri" w:cs="Amiri"/>
          <w:color w:val="111111"/>
          <w:sz w:val="28"/>
          <w:sz w:val="28"/>
          <w:szCs w:val="28"/>
          <w:rtl w:val="true"/>
          <w:lang w:bidi="ar-SA"/>
        </w:rPr>
        <w:t xml:space="preserve">تقسيمُه المُرادَ بالآيةِ‌، و ادّعاؤه أنّ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إقامةِ الحُدودِ و تنفيذِ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تَحتَها فباطلٌ ؛ لأنّ الظاهرَ فيه تصريحٌ بذِكرِ الإمامةِ التي قد فَرَّقَ المخاطَبونَ بَينَها و بَينَ النبوّةِ ، فلا بُدَّ مِن أن يَكونَ محمولاً عليها، دونَ النبوّةِ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لَسنا نَدري في أيِّ مَوضِعٍ بَيَّنَ أنّه لا يَدخُلُ تَحتَ ذلكَ الإمامةُ التي هي بمعنىٰ </w:t>
      </w:r>
    </w:p>
    <w:p>
      <w:pPr>
        <w:pStyle w:val="BookText"/>
        <w:rPr/>
      </w:pPr>
      <w:r>
        <w:rPr>
          <w:rFonts w:ascii="Amiri" w:hAnsi="Amiri" w:eastAsia="Amiri" w:cs="Amiri"/>
          <w:color w:val="111111"/>
          <w:sz w:val="28"/>
          <w:sz w:val="28"/>
          <w:szCs w:val="28"/>
          <w:rtl w:val="true"/>
          <w:lang w:bidi="ar-SA"/>
        </w:rPr>
        <w:t>إقامةِ الحُدودِ، حتَّى ادَّعىٰ بيانَ ذلكَ فيما سَلَفَ مِن كلامِه ؟ إن كانَ ذلكَ فيه فقَد سَلَفَ نَقضُه</w:t>
      </w:r>
      <w:r>
        <w:rPr>
          <w:rStyle w:val="FootnoteAnchor"/>
          <w:rtl w:val="true"/>
        </w:rPr>
        <w:footnoteReference w:id="4026"/>
      </w:r>
      <w:r>
        <w:rPr>
          <w:rFonts w:ascii="Amiri" w:hAnsi="Amiri" w:eastAsia="Amiri" w:cs="Amiri"/>
          <w:color w:val="111111"/>
          <w:sz w:val="28"/>
          <w:sz w:val="28"/>
          <w:szCs w:val="28"/>
          <w:rtl w:val="true"/>
          <w:lang w:bidi="ar-SA"/>
        </w:rPr>
        <w:t xml:space="preserve">، و إن كانَ فيما يأتي فسَيَجيءُ أيضاً بمَشيئةِ اللّٰهِ تَعالىٰ </w:t>
      </w:r>
      <w:r>
        <w:rPr>
          <w:rStyle w:val="FootnoteAnchor"/>
          <w:rtl w:val="true"/>
        </w:rPr>
        <w:footnoteReference w:id="4027"/>
      </w:r>
      <w:r>
        <w:rPr>
          <w:rFonts w:ascii="Amiri" w:hAnsi="Amiri" w:eastAsia="Amiri" w:cs="Amiri"/>
          <w:color w:val="111111"/>
          <w:sz w:val="28"/>
          <w:sz w:val="28"/>
          <w:szCs w:val="28"/>
          <w:rtl w:val="true"/>
          <w:lang w:bidi="ar-SA"/>
        </w:rPr>
        <w:t>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المُنكَرُ مِن أن يَكونَ إبراهيمُ عليه السلامُ نَبيّاً إماماً، و يَكونَ إليه مع تبليغِ الرسالةِ إقامةُ الحُدودِ</w:t>
      </w:r>
      <w:r>
        <w:rPr>
          <w:rStyle w:val="FootnoteAnchor"/>
          <w:rtl w:val="true"/>
        </w:rPr>
        <w:footnoteReference w:id="4028"/>
      </w:r>
      <w:r>
        <w:rPr>
          <w:rFonts w:ascii="Amiri" w:hAnsi="Amiri" w:eastAsia="Amiri" w:cs="Amiri"/>
          <w:color w:val="111111"/>
          <w:sz w:val="28"/>
          <w:sz w:val="28"/>
          <w:szCs w:val="28"/>
          <w:rtl w:val="true"/>
          <w:lang w:bidi="ar-SA"/>
        </w:rPr>
        <w:t>و تنفيذُ الأحكامِ؟</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لكم أنّ المُرادَ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 و هي لفظةٌ مُجمَلةٌ </w:t>
      </w:r>
      <w:r>
        <w:rPr>
          <w:rStyle w:val="FootnoteAnchor"/>
          <w:rtl w:val="true"/>
        </w:rPr>
        <w:footnoteReference w:id="4029"/>
      </w:r>
      <w:r>
        <w:rPr>
          <w:rFonts w:ascii="Amiri" w:hAnsi="Amiri" w:eastAsia="Amiri" w:cs="Amiri"/>
          <w:color w:val="111111"/>
          <w:sz w:val="28"/>
          <w:sz w:val="28"/>
          <w:szCs w:val="28"/>
          <w:rtl w:val="true"/>
          <w:lang w:bidi="ar-SA"/>
        </w:rPr>
        <w:t xml:space="preserve">تَصلُحُ </w:t>
      </w:r>
      <w:r>
        <w:rPr>
          <w:rStyle w:val="FootnoteAnchor"/>
          <w:rtl w:val="true"/>
        </w:rPr>
        <w:footnoteReference w:id="4030"/>
      </w:r>
      <w:r>
        <w:rPr>
          <w:rFonts w:ascii="Amiri" w:hAnsi="Amiri" w:eastAsia="Amiri" w:cs="Amiri"/>
          <w:color w:val="111111"/>
          <w:sz w:val="28"/>
          <w:sz w:val="28"/>
          <w:szCs w:val="28"/>
          <w:rtl w:val="true"/>
          <w:lang w:bidi="ar-SA"/>
        </w:rPr>
        <w:t>أن يُعنىٰ بها الإمامةُ و غيرُها؟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وجهَينِ‌</w:t>
      </w:r>
      <w:r>
        <w:rPr>
          <w:rStyle w:val="FootnoteAnchor"/>
          <w:rtl w:val="true"/>
        </w:rPr>
        <w:footnoteReference w:id="4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موضوعِ الآيةِ علىٰ ذلكَ‌؛ لأنّه تَعالىٰ لمّا قالَ لإبراهيمَ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أنّه أرادَ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w:t>
      </w:r>
      <w:r>
        <w:rPr>
          <w:rStyle w:val="FootnoteAnchor"/>
          <w:rtl w:val="true"/>
        </w:rPr>
        <w:footnoteReference w:id="4032"/>
      </w:r>
      <w:r>
        <w:rPr>
          <w:rFonts w:ascii="Amiri" w:hAnsi="Amiri" w:eastAsia="Amiri" w:cs="Amiri"/>
          <w:color w:val="111111"/>
          <w:sz w:val="28"/>
          <w:sz w:val="28"/>
          <w:szCs w:val="28"/>
          <w:rtl w:val="true"/>
          <w:lang w:bidi="ar-SA"/>
        </w:rPr>
        <w:t>مِن ذُرِّيَّتي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عَقيبَ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بالعهدِ إلىٰ ما تَقدَّمَ مِن</w:t>
      </w:r>
      <w:r>
        <w:rPr>
          <w:rStyle w:val="FootnoteAnchor"/>
          <w:rtl w:val="true"/>
        </w:rPr>
        <w:footnoteReference w:id="4033"/>
      </w:r>
      <w:r>
        <w:rPr>
          <w:rFonts w:ascii="Amiri" w:hAnsi="Amiri" w:eastAsia="Amiri" w:cs="Amiri"/>
          <w:color w:val="111111"/>
          <w:sz w:val="28"/>
          <w:sz w:val="28"/>
          <w:szCs w:val="28"/>
          <w:rtl w:val="true"/>
          <w:lang w:bidi="ar-SA"/>
        </w:rPr>
        <w:t xml:space="preserve">سؤالِ إبراهيمَ عليه السلامُ فيه؛ ليَتطابَقَ الكلامُ‌، و يَشهَدَ بعضُه لبعضٍ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عَهْدِي</w:t>
      </w:r>
      <w:r>
        <w:rPr>
          <w:rFonts w:eastAsia="Amiri" w:cs="Amiri" w:ascii="Amiri" w:hAnsi="Amiri"/>
          <w:color w:val="111111"/>
          <w:sz w:val="28"/>
          <w:szCs w:val="28"/>
          <w:rtl w:val="true"/>
          <w:lang w:bidi="ar-SA"/>
        </w:rPr>
        <w:t>»</w:t>
      </w:r>
      <w:r>
        <w:rPr>
          <w:rStyle w:val="FootnoteAnchor"/>
          <w:rtl w:val="true"/>
        </w:rPr>
        <w:footnoteReference w:id="4034"/>
      </w:r>
      <w:r>
        <w:rPr>
          <w:rFonts w:ascii="Amiri" w:hAnsi="Amiri" w:eastAsia="Amiri" w:cs="Amiri"/>
          <w:color w:val="111111"/>
          <w:sz w:val="28"/>
          <w:sz w:val="28"/>
          <w:szCs w:val="28"/>
          <w:rtl w:val="true"/>
          <w:lang w:bidi="ar-SA"/>
        </w:rPr>
        <w:t>إذا كانَ لفظاً</w:t>
      </w:r>
      <w:r>
        <w:rPr>
          <w:rStyle w:val="FootnoteAnchor"/>
          <w:rtl w:val="true"/>
        </w:rPr>
        <w:footnoteReference w:id="4035"/>
      </w:r>
      <w:r>
        <w:rPr>
          <w:rFonts w:ascii="Amiri" w:hAnsi="Amiri" w:eastAsia="Amiri" w:cs="Amiri"/>
          <w:color w:val="111111"/>
          <w:sz w:val="28"/>
          <w:sz w:val="28"/>
          <w:szCs w:val="28"/>
          <w:rtl w:val="true"/>
          <w:lang w:bidi="ar-SA"/>
        </w:rPr>
        <w:t xml:space="preserve">مُشتَرَكاً وَجَبَ أن يُحمَلَ علىٰ كُلِّ </w:t>
      </w:r>
      <w:bookmarkStart w:id="732" w:name="pg20017_202830"/>
    </w:p>
    <w:p>
      <w:pPr>
        <w:pStyle w:val="BookText"/>
        <w:rPr/>
      </w:pPr>
      <w:bookmarkEnd w:id="732"/>
      <w:r>
        <w:rPr>
          <w:rFonts w:ascii="Amiri" w:hAnsi="Amiri" w:eastAsia="Amiri" w:cs="Amiri"/>
          <w:color w:val="111111"/>
          <w:sz w:val="28"/>
          <w:sz w:val="28"/>
          <w:szCs w:val="28"/>
          <w:rtl w:val="true"/>
          <w:lang w:bidi="ar-SA"/>
        </w:rPr>
        <w:t>ما يَصلُحُ له و يَصِحُّ أن يَكونَ‌</w:t>
      </w:r>
      <w:r>
        <w:rPr>
          <w:rStyle w:val="FootnoteAnchor"/>
          <w:rtl w:val="true"/>
        </w:rPr>
        <w:footnoteReference w:id="4036"/>
      </w:r>
      <w:r>
        <w:rPr>
          <w:rFonts w:ascii="Amiri" w:hAnsi="Amiri" w:eastAsia="Amiri" w:cs="Amiri"/>
          <w:color w:val="111111"/>
          <w:sz w:val="28"/>
          <w:sz w:val="28"/>
          <w:szCs w:val="28"/>
          <w:rtl w:val="true"/>
          <w:lang w:bidi="ar-SA"/>
        </w:rPr>
        <w:t>عِبارةً عنه،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يَقتَضي أنّ كُلَّ ما يَتناوَلُه اسمُ العهدِ لا يَنالُ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يَجري ذلكَ مَجرىٰ أن يَقولَ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عَطائي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الظاهرَ يَقتَضي أنّ جِنسَ عَطائه لا يَنالُه شِرّيرٌ، و لا يَختَصُّ بعَطاءٍ دونَ عَطاءٍ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الوجهُ أيضاً مَبنيٌّ علَى القولِ بالعمومِ ، الذي بيّنّا أنّه عُمدةُ الاستدلالِ بهذه الآيةِ </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964517_2320776876"/>
      <w:bookmarkStart w:id="734" w:name="_Toc262"/>
      <w:bookmarkEnd w:id="733"/>
      <w:r>
        <w:rPr>
          <w:rtl w:val="true"/>
        </w:rPr>
        <w:t>بيان أنّ الإمام حجّة كالرسول، و بيان اختلاف حاله عن الأمير و الحاكم</w:t>
      </w:r>
      <w:bookmarkEnd w:id="734"/>
    </w:p>
    <w:p>
      <w:pPr>
        <w:pStyle w:val="BookText"/>
        <w:rPr/>
      </w:pPr>
      <w:r>
        <w:rPr>
          <w:rFonts w:ascii="Amiri" w:hAnsi="Amiri" w:eastAsia="Amiri" w:cs="Amiri"/>
          <w:color w:val="111111"/>
          <w:sz w:val="28"/>
          <w:sz w:val="28"/>
          <w:szCs w:val="28"/>
          <w:rtl w:val="true"/>
          <w:lang w:bidi="ar-SA"/>
        </w:rPr>
        <w:t>فأمّا قولُه علَى الطريقةِ الأُخرىٰ‌</w:t>
      </w:r>
      <w:r>
        <w:rPr>
          <w:rStyle w:val="FootnoteAnchor"/>
          <w:rtl w:val="true"/>
        </w:rPr>
        <w:footnoteReference w:id="40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w:t>
      </w:r>
      <w:r>
        <w:rPr>
          <w:rStyle w:val="FootnoteAnchor"/>
          <w:rtl w:val="true"/>
        </w:rPr>
        <w:footnoteReference w:id="4038"/>
      </w:r>
      <w:r>
        <w:rPr>
          <w:rFonts w:ascii="Amiri" w:hAnsi="Amiri" w:eastAsia="Amiri" w:cs="Amiri"/>
          <w:color w:val="111111"/>
          <w:sz w:val="28"/>
          <w:sz w:val="28"/>
          <w:szCs w:val="28"/>
          <w:rtl w:val="true"/>
          <w:lang w:bidi="ar-SA"/>
        </w:rPr>
        <w:t xml:space="preserve">أوجَبَ في الرسولِ أن يَكونَ مُنزَّهاً عن الكُفرِ و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حُجّةً فيما تَحمَّلَه</w:t>
      </w:r>
      <w:r>
        <w:rPr>
          <w:rStyle w:val="FootnoteAnchor"/>
          <w:rtl w:val="true"/>
        </w:rPr>
        <w:footnoteReference w:id="4039"/>
      </w:r>
      <w:r>
        <w:rPr>
          <w:rFonts w:ascii="Amiri" w:hAnsi="Amiri" w:eastAsia="Amiri" w:cs="Amiri"/>
          <w:color w:val="111111"/>
          <w:sz w:val="28"/>
          <w:sz w:val="28"/>
          <w:szCs w:val="28"/>
          <w:rtl w:val="true"/>
          <w:lang w:bidi="ar-SA"/>
        </w:rPr>
        <w:t>، و إنّ الإمامَ بخِلافِه، و إنّه بمَنزِلةِ الأميرِ 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بيّنّا فيما تَقدَّمَ أنّ الإمامَ أيضاً حُجّةٌ‌، و أنّه يُرجَعُ إليه في أُمورٍ لا تُعلَمُ‌</w:t>
      </w:r>
      <w:r>
        <w:rPr>
          <w:rStyle w:val="FootnoteAnchor"/>
          <w:rtl w:val="true"/>
        </w:rPr>
        <w:footnoteReference w:id="4040"/>
      </w:r>
      <w:r>
        <w:rPr>
          <w:rFonts w:ascii="Amiri" w:hAnsi="Amiri" w:eastAsia="Amiri" w:cs="Amiri"/>
          <w:color w:val="111111"/>
          <w:sz w:val="28"/>
          <w:sz w:val="28"/>
          <w:szCs w:val="28"/>
          <w:rtl w:val="true"/>
          <w:lang w:bidi="ar-SA"/>
        </w:rPr>
        <w:t>إلّامِن جِهتِه؛ و بيّنّا أنّ النقلَ الواردَ بأحكامِ الشريعةِ قد يَجوزُ أن يَتغيَّرَ حالُه</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فيَخرُجَ مِن أن يَكونَ حُجّةً‌، علىٰ وجهٍ لا يَكونُ المَفزَعُ فيه إلّاإلىٰ قولِ الإمامِ ، فيَجري قولُه و 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حُجّةٌ لا يَقومُ غيرُه مَقامَه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قولِ الرسولِ ؛ و بيّنّا الفَرقَ بَينَ الإمامِ و الحاكمِ و الأميرِ، و أنّ الحاكمَ و الأميرَ لَيسا هُما حُجّةً في شَيءٍ ، و لا يَجوزُ أن يَكونا حُجّةً علىٰ وجهٍ مِن الوجوهِ ، و أوضَحنا ذلكَ إيضاحاً يُغني عن إعادتِه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فإذا</w:t>
      </w:r>
      <w:r>
        <w:rPr>
          <w:rStyle w:val="FootnoteAnchor"/>
          <w:rtl w:val="true"/>
        </w:rPr>
        <w:footnoteReference w:id="4041"/>
      </w:r>
      <w:r>
        <w:rPr>
          <w:rFonts w:ascii="Amiri" w:hAnsi="Amiri" w:eastAsia="Amiri" w:cs="Amiri"/>
          <w:color w:val="111111"/>
          <w:sz w:val="28"/>
          <w:sz w:val="28"/>
          <w:szCs w:val="28"/>
          <w:rtl w:val="true"/>
          <w:lang w:bidi="ar-SA"/>
        </w:rPr>
        <w:t>وَجَبَ عندَ صاحبِ الكتابِ كَونُ الرسولِ مُنزَّهاً عن الكُفرِ و الكَبائرِ قَبلَ بِعثتِه لأنّه حُجّةٌ فيما يَتحمَّلُه، فيَجِبُ أيضاً أن يَكونَ الإمامُ مُنزَّهاً عن القَبائحِ قَبلَ إمامتِه؛ لأنّه حُجّةٌ فيما يؤدّيهِ و يُعرَفُ مِن جِهتِه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بَيِّنٌ </w:t>
      </w:r>
      <w:r>
        <w:rPr>
          <w:rStyle w:val="FootnoteAnchor"/>
          <w:rtl w:val="true"/>
        </w:rPr>
        <w:footnoteReference w:id="4042"/>
      </w:r>
      <w:r>
        <w:rPr>
          <w:rFonts w:ascii="Amiri" w:hAnsi="Amiri" w:eastAsia="Amiri" w:cs="Amiri"/>
          <w:color w:val="111111"/>
          <w:sz w:val="28"/>
          <w:sz w:val="28"/>
          <w:szCs w:val="28"/>
          <w:rtl w:val="true"/>
          <w:lang w:bidi="ar-SA"/>
        </w:rPr>
        <w:t>لِمَن تَدبَّرَه</w:t>
      </w:r>
      <w:r>
        <w:rPr>
          <w:rFonts w:eastAsia="Amiri" w:cs="Amiri" w:ascii="Amiri" w:hAnsi="Amiri"/>
          <w:color w:val="111111"/>
          <w:sz w:val="28"/>
          <w:szCs w:val="28"/>
          <w:rtl w:val="true"/>
          <w:lang w:bidi="ar-SA"/>
        </w:rPr>
        <w:t xml:space="preserve">. </w:t>
      </w:r>
      <w:bookmarkStart w:id="735" w:name="pg20017_202832"/>
    </w:p>
    <w:p>
      <w:pPr>
        <w:pStyle w:val="Heading3"/>
        <w:numPr>
          <w:ilvl w:val="2"/>
          <w:numId w:val="1"/>
        </w:numPr>
        <w:rPr/>
      </w:pPr>
      <w:bookmarkStart w:id="736" w:name="__RefHeading___Toc964519_2320776876"/>
      <w:bookmarkStart w:id="737" w:name="_Toc263"/>
      <w:bookmarkEnd w:id="735"/>
      <w:bookmarkEnd w:id="736"/>
      <w:r>
        <w:rPr>
          <w:rtl w:val="true"/>
        </w:rPr>
        <w:t>إثبات إمامة الأئمّة الاثني عشر</w:t>
      </w:r>
      <w:bookmarkEnd w:id="737"/>
    </w:p>
    <w:p>
      <w:pPr>
        <w:pStyle w:val="Heading4"/>
        <w:numPr>
          <w:ilvl w:val="3"/>
          <w:numId w:val="1"/>
        </w:numPr>
        <w:rPr/>
      </w:pPr>
      <w:bookmarkStart w:id="738" w:name="__RefHeading___Toc964521_2320776876"/>
      <w:bookmarkStart w:id="739" w:name="_Toc264"/>
      <w:bookmarkEnd w:id="738"/>
      <w:r>
        <w:rPr>
          <w:rtl w:val="true"/>
        </w:rPr>
        <w:t>اشارة</w:t>
      </w:r>
      <w:bookmarkEnd w:id="739"/>
    </w:p>
    <w:p>
      <w:p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4043"/>
      </w:r>
      <w:r>
        <w:rPr>
          <w:rFonts w:ascii="Amiri" w:hAnsi="Amiri" w:eastAsia="Amiri" w:cs="Amiri"/>
          <w:color w:val="111111"/>
          <w:sz w:val="28"/>
          <w:sz w:val="28"/>
          <w:szCs w:val="28"/>
          <w:rtl w:val="true"/>
          <w:lang w:bidi="ar-SA"/>
        </w:rPr>
        <w:t xml:space="preserve">صاحبُ الكتابِ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أحَدَ ما يَبطُلُ به</w:t>
      </w:r>
      <w:r>
        <w:rPr>
          <w:rStyle w:val="FootnoteAnchor"/>
          <w:rtl w:val="true"/>
        </w:rPr>
        <w:footnoteReference w:id="4044"/>
      </w:r>
      <w:r>
        <w:rPr>
          <w:rFonts w:ascii="Amiri" w:hAnsi="Amiri" w:eastAsia="Amiri" w:cs="Amiri"/>
          <w:color w:val="111111"/>
          <w:sz w:val="28"/>
          <w:sz w:val="28"/>
          <w:szCs w:val="28"/>
          <w:rtl w:val="true"/>
          <w:lang w:bidi="ar-SA"/>
        </w:rPr>
        <w:t>طَريقةُ الإماميّةِ 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مَذهبَكم في النصِّ علَى الإمامِ يَقتَضي أن يَكونَ إمامُ كُلِّ زمانٍ بمَنزِلةِ أميرِ المؤمنينَ عليه السلامُ في أنّه لا بُدَّ في النصِّ عليه مِن أن يَظهَرَ</w:t>
      </w:r>
      <w:r>
        <w:rPr>
          <w:rStyle w:val="FootnoteAnchor"/>
          <w:rtl w:val="true"/>
        </w:rPr>
        <w:footnoteReference w:id="4045"/>
      </w:r>
      <w:r>
        <w:rPr>
          <w:rFonts w:ascii="Amiri" w:hAnsi="Amiri" w:eastAsia="Amiri" w:cs="Amiri"/>
          <w:color w:val="111111"/>
          <w:sz w:val="28"/>
          <w:sz w:val="28"/>
          <w:szCs w:val="28"/>
          <w:rtl w:val="true"/>
          <w:lang w:bidi="ar-SA"/>
        </w:rPr>
        <w:t xml:space="preserve">ظُهورَ الحُجّةِ القاطعةِ‌؛ لأنّ الإمامةَ مِن أعظَمِ أركانِ الدينِ </w:t>
      </w:r>
      <w:r>
        <w:rPr>
          <w:rStyle w:val="FootnoteAnchor"/>
          <w:rtl w:val="true"/>
        </w:rPr>
        <w:footnoteReference w:id="4046"/>
      </w:r>
      <w:r>
        <w:rPr>
          <w:rFonts w:ascii="Amiri" w:hAnsi="Amiri" w:eastAsia="Amiri" w:cs="Amiri"/>
          <w:color w:val="111111"/>
          <w:sz w:val="28"/>
          <w:sz w:val="28"/>
          <w:szCs w:val="28"/>
          <w:rtl w:val="true"/>
          <w:lang w:bidi="ar-SA"/>
        </w:rPr>
        <w:t xml:space="preserve">عندَكم علىٰ ما تَقدَّمَ القولُ فيه، فكَيفَ السبيلُ إلىٰ أن نَعلَمَ </w:t>
      </w:r>
      <w:r>
        <w:rPr>
          <w:rStyle w:val="FootnoteAnchor"/>
          <w:rtl w:val="true"/>
        </w:rPr>
        <w:footnoteReference w:id="4047"/>
      </w:r>
      <w:r>
        <w:rPr>
          <w:rFonts w:ascii="Amiri" w:hAnsi="Amiri" w:eastAsia="Amiri" w:cs="Amiri"/>
          <w:color w:val="111111"/>
          <w:sz w:val="28"/>
          <w:sz w:val="28"/>
          <w:szCs w:val="28"/>
          <w:rtl w:val="true"/>
          <w:lang w:bidi="ar-SA"/>
        </w:rPr>
        <w:t xml:space="preserve">أنّه عليه السلامُ نَصَّ علَى الحَسَنِ و الحُسَينِ </w:t>
      </w:r>
      <w:r>
        <w:rPr>
          <w:rStyle w:val="FootnoteAnchor"/>
          <w:rtl w:val="true"/>
        </w:rPr>
        <w:footnoteReference w:id="4048"/>
      </w:r>
      <w:r>
        <w:rPr>
          <w:rFonts w:ascii="Amiri" w:hAnsi="Amiri" w:eastAsia="Amiri" w:cs="Amiri"/>
          <w:color w:val="111111"/>
          <w:sz w:val="28"/>
          <w:sz w:val="28"/>
          <w:szCs w:val="28"/>
          <w:rtl w:val="true"/>
          <w:lang w:bidi="ar-SA"/>
        </w:rPr>
        <w:t xml:space="preserve">، أو نَصَّ الحَسَنُ علَى الحُسَينِ ، و كذلكَ سائرُ الأئمّةِ؟ و قد عَلِمنا أنّ الوجوهَ التي يُمكِنُهم ذِكرُها في النصِّ علىٰ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ادّعاءُ مِثلِها</w:t>
      </w:r>
      <w:r>
        <w:rPr>
          <w:rStyle w:val="FootnoteAnchor"/>
          <w:rtl w:val="true"/>
        </w:rPr>
        <w:footnoteReference w:id="4049"/>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النصِّ علىٰ إمامِ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يُمكِنُهم أن يَدَّعوا في ذلكَ طَريقةَ العقلِ‌؛ لأنّا قد بيّنّا أنّها لا تَدُلُّ‌، و لَو دَلَّت لَكانَت لا تَدُلُّ‌</w:t>
      </w:r>
      <w:r>
        <w:rPr>
          <w:rStyle w:val="FootnoteAnchor"/>
          <w:rtl w:val="true"/>
        </w:rPr>
        <w:footnoteReference w:id="4050"/>
      </w:r>
      <w:r>
        <w:rPr>
          <w:rFonts w:ascii="Amiri" w:hAnsi="Amiri" w:eastAsia="Amiri" w:cs="Amiri"/>
          <w:color w:val="111111"/>
          <w:sz w:val="28"/>
          <w:sz w:val="28"/>
          <w:szCs w:val="28"/>
          <w:rtl w:val="true"/>
          <w:lang w:bidi="ar-SA"/>
        </w:rPr>
        <w:t>علىٰ واحدٍ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يُمكِنُهم أن يَدَّعوا إثباتَها في الولدِ؛ لأنّها لَيسَت مُتوارَثةً‌</w:t>
      </w:r>
      <w:r>
        <w:rPr>
          <w:rStyle w:val="FootnoteAnchor"/>
          <w:rtl w:val="true"/>
        </w:rPr>
        <w:footnoteReference w:id="4051"/>
      </w:r>
      <w:r>
        <w:rPr>
          <w:rFonts w:ascii="Amiri" w:hAnsi="Amiri" w:eastAsia="Amiri" w:cs="Amiri"/>
          <w:color w:val="111111"/>
          <w:sz w:val="28"/>
          <w:sz w:val="28"/>
          <w:szCs w:val="28"/>
          <w:rtl w:val="true"/>
          <w:lang w:bidi="ar-SA"/>
        </w:rPr>
        <w:t>فيَصِحَّ ذلكَ فيها، و لأنّ ذلكَ‌</w:t>
      </w:r>
      <w:r>
        <w:rPr>
          <w:rStyle w:val="FootnoteAnchor"/>
          <w:rtl w:val="true"/>
        </w:rPr>
        <w:footnoteReference w:id="4052"/>
      </w:r>
      <w:r>
        <w:rPr>
          <w:rFonts w:ascii="Amiri" w:hAnsi="Amiri" w:eastAsia="Amiri" w:cs="Amiri"/>
          <w:color w:val="111111"/>
          <w:sz w:val="28"/>
          <w:sz w:val="28"/>
          <w:szCs w:val="28"/>
          <w:rtl w:val="true"/>
          <w:lang w:bidi="ar-SA"/>
        </w:rPr>
        <w:t>يوجِبُ أن لا يُنتَقَلَ مِن الحَسَنِ إلىٰ أخيه، بَل يُنتَقَلَ إلىٰ ولدِه، و يوجِبُ أن لا يَكونَ بعضُ أولادِ الحُسَينِ و عليِّ بنِ الحُسَينِ و مُحمّدِ بنِ عَليٍّ و جعفرِ بنِ مُحمّدٍ أَولىٰ مِن غيرِهم؛ لأنّهم خَلَّفوا أكثَرَ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يُبيِّنُ أنّه</w:t>
      </w:r>
      <w:r>
        <w:rPr>
          <w:rStyle w:val="FootnoteAnchor"/>
          <w:rtl w:val="true"/>
        </w:rPr>
        <w:footnoteReference w:id="4053"/>
      </w:r>
      <w:r>
        <w:rPr>
          <w:rFonts w:ascii="Amiri" w:hAnsi="Amiri" w:eastAsia="Amiri" w:cs="Amiri"/>
          <w:color w:val="111111"/>
          <w:sz w:val="28"/>
          <w:sz w:val="28"/>
          <w:szCs w:val="28"/>
          <w:rtl w:val="true"/>
          <w:lang w:bidi="ar-SA"/>
        </w:rPr>
        <w:t>لا بُدَّ لهُم</w:t>
      </w:r>
      <w:r>
        <w:rPr>
          <w:rStyle w:val="FootnoteAnchor"/>
          <w:rtl w:val="true"/>
        </w:rPr>
        <w:footnoteReference w:id="4054"/>
      </w:r>
      <w:r>
        <w:rPr>
          <w:rFonts w:ascii="Amiri" w:hAnsi="Amiri" w:eastAsia="Amiri" w:cs="Amiri"/>
          <w:color w:val="111111"/>
          <w:sz w:val="28"/>
          <w:sz w:val="28"/>
          <w:szCs w:val="28"/>
          <w:rtl w:val="true"/>
          <w:lang w:bidi="ar-SA"/>
        </w:rPr>
        <w:t>مِن إثباتِ إمامةِ كُلِّ واحدٍ بنَصٍّ ظاهرٍ، و ذلكَ ممّا لا يُمكِنُ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أنّ إثباتَ النصِّ للإمامِ فرعٌ علىٰ إثباتِ عَينِه، و ذلكَ لا يُمكِنُ في إمامِ هذا الزمانِ‌؛ فكَيفَ يُدَّعىٰ هذا النصُّ فيه</w:t>
      </w:r>
      <w:r>
        <w:rPr>
          <w:rStyle w:val="FootnoteAnchor"/>
          <w:rtl w:val="true"/>
        </w:rPr>
        <w:footnoteReference w:id="4055"/>
      </w:r>
      <w:r>
        <w:rPr>
          <w:rFonts w:ascii="IRNazanin" w:hAnsi="IRNazanin" w:eastAsia="IRNazanin"/>
          <w:color w:val="111111"/>
          <w:sz w:val="28"/>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سَألَهم أصحابُنا في الغَيبةِ‌؛ و أنّ سببَها إن كانَ الخَوفَ مِن الظهورِ، فقَد كانَ يَجِبُ أن تَحصُلَ‌</w:t>
      </w:r>
      <w:r>
        <w:rPr>
          <w:rStyle w:val="FootnoteAnchor"/>
          <w:rtl w:val="true"/>
        </w:rPr>
        <w:footnoteReference w:id="4056"/>
      </w:r>
      <w:r>
        <w:rPr>
          <w:rFonts w:ascii="Amiri" w:hAnsi="Amiri" w:eastAsia="Amiri" w:cs="Amiri"/>
          <w:color w:val="111111"/>
          <w:sz w:val="28"/>
          <w:sz w:val="28"/>
          <w:szCs w:val="28"/>
          <w:rtl w:val="true"/>
          <w:lang w:bidi="ar-SA"/>
        </w:rPr>
        <w:t xml:space="preserve">غَيبةُ الأئمّةِ </w:t>
      </w:r>
      <w:r>
        <w:rPr>
          <w:rStyle w:val="FootnoteAnchor"/>
          <w:rtl w:val="true"/>
        </w:rPr>
        <w:footnoteReference w:id="4057"/>
      </w:r>
      <w:r>
        <w:rPr>
          <w:rFonts w:ascii="Amiri" w:hAnsi="Amiri" w:eastAsia="Amiri" w:cs="Amiri"/>
          <w:color w:val="111111"/>
          <w:sz w:val="28"/>
          <w:sz w:val="28"/>
          <w:szCs w:val="28"/>
          <w:rtl w:val="true"/>
          <w:lang w:bidi="ar-SA"/>
        </w:rPr>
        <w:t xml:space="preserve">في أيّامِ بَني أُميّةَ ؛ لأنّ خَوفَهم كانَ أكثَرَ، و كذلكَ في كَثيرٍ مِن أيّامِ بَني العَبّاسِ ، ثُمّ لَم يَمنَعْ ذلكَ مِن </w:t>
      </w:r>
    </w:p>
    <w:p>
      <w:pPr>
        <w:pStyle w:val="BookText"/>
        <w:rPr/>
      </w:pPr>
      <w:r>
        <w:rPr>
          <w:rFonts w:ascii="Amiri" w:hAnsi="Amiri" w:eastAsia="Amiri" w:cs="Amiri"/>
          <w:color w:val="111111"/>
          <w:sz w:val="28"/>
          <w:sz w:val="28"/>
          <w:szCs w:val="28"/>
          <w:rtl w:val="true"/>
          <w:lang w:bidi="ar-SA"/>
        </w:rPr>
        <w:t xml:space="preserve">ظهورِهم؛ فكَيفَ وَجَبَت الغَيبةُ في هذه الأيّامِ و الخَوفُ لا يَزيدُ فيها علىٰ ما قد كانَ مِن قَبلُ؟ و كَيفَ تَصِحُّ الغَيبةُ مع شِدّةِ الحاجةِ إلَى الإمامِ فيما يَتَّصِلُ بالتكليفِ؟ و لَئن جازَ ذلكَ لِيَجوزَنَّ لبعضِ الأعذارِ أن لا يَنصِبَ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المُكلَّفِ‌</w:t>
      </w:r>
      <w:r>
        <w:rPr>
          <w:rStyle w:val="FootnoteAnchor"/>
          <w:rtl w:val="true"/>
        </w:rPr>
        <w:footnoteReference w:id="4058"/>
      </w:r>
      <w:r>
        <w:rPr>
          <w:rFonts w:ascii="Amiri" w:hAnsi="Amiri" w:eastAsia="Amiri" w:cs="Amiri"/>
          <w:color w:val="111111"/>
          <w:sz w:val="28"/>
          <w:sz w:val="28"/>
          <w:szCs w:val="28"/>
          <w:rtl w:val="true"/>
          <w:lang w:bidi="ar-SA"/>
        </w:rPr>
        <w:t>و أن لا يُمكِّنَه و التكليفُ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هَلّا وَجَبَ‌</w:t>
      </w:r>
      <w:r>
        <w:rPr>
          <w:rStyle w:val="FootnoteAnchor"/>
          <w:rtl w:val="true"/>
        </w:rPr>
        <w:footnoteReference w:id="4059"/>
      </w:r>
      <w:r>
        <w:rPr>
          <w:rFonts w:ascii="Amiri" w:hAnsi="Amiri" w:eastAsia="Amiri" w:cs="Amiri"/>
          <w:color w:val="111111"/>
          <w:sz w:val="28"/>
          <w:sz w:val="28"/>
          <w:szCs w:val="28"/>
          <w:rtl w:val="true"/>
          <w:lang w:bidi="ar-SA"/>
        </w:rPr>
        <w:t>علىٰ مَذهبِهم</w:t>
      </w:r>
      <w:r>
        <w:rPr>
          <w:rStyle w:val="FootnoteAnchor"/>
          <w:rtl w:val="true"/>
        </w:rPr>
        <w:footnoteReference w:id="4060"/>
      </w:r>
      <w:r>
        <w:rPr>
          <w:rFonts w:ascii="Amiri" w:hAnsi="Amiri" w:eastAsia="Amiri" w:cs="Amiri"/>
          <w:color w:val="111111"/>
          <w:sz w:val="28"/>
          <w:sz w:val="28"/>
          <w:szCs w:val="28"/>
          <w:rtl w:val="true"/>
          <w:lang w:bidi="ar-SA"/>
        </w:rPr>
        <w:t>حِراسةُ إمامِ الزمانِ مِن جِهةِ اللّٰهِ تَعالىٰ‌</w:t>
      </w:r>
      <w:r>
        <w:rPr>
          <w:rStyle w:val="FootnoteAnchor"/>
          <w:rtl w:val="true"/>
        </w:rPr>
        <w:footnoteReference w:id="4061"/>
      </w:r>
      <w:r>
        <w:rPr>
          <w:rFonts w:ascii="Amiri" w:hAnsi="Amiri" w:eastAsia="Amiri" w:cs="Amiri"/>
          <w:color w:val="111111"/>
          <w:sz w:val="28"/>
          <w:sz w:val="28"/>
          <w:szCs w:val="28"/>
          <w:rtl w:val="true"/>
          <w:lang w:bidi="ar-SA"/>
        </w:rPr>
        <w:t>، و أن يَعصِمَه مِن كُلِّ مَخافةٍ لِما يَتعلَّقُ به مِن صِحّةِ الشريعةِ؟ و ذلكَ يَقتَضي بُطلانَ الغَيبةِ‌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ألزَمَهم واصِلُ بنُ عَطاءٍ علىٰ قولِهم هذا أن يَكونَ قَبلَ بِعثةِ الرسولِ في الزمانِ حُجّةٌ مِن رسولٍ أو إمامٍ‌، و لَو كانَ كذلكَ لَما صَحَّ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 لاٰ نَذِيرٍ فَقَدْ جٰاءَكُمْ بَشِيرٌ وَ 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62"/>
      </w:r>
      <w:r>
        <w:rPr>
          <w:rFonts w:ascii="Amiri" w:hAnsi="Amiri" w:eastAsia="Amiri" w:cs="Amiri"/>
          <w:color w:val="111111"/>
          <w:sz w:val="28"/>
          <w:sz w:val="28"/>
          <w:szCs w:val="28"/>
          <w:rtl w:val="true"/>
          <w:lang w:bidi="ar-SA"/>
        </w:rPr>
        <w:t xml:space="preserve">لأنّ علىٰ قولِهم لَم يَخلُ الزمانُ مِن بَشيرٍ و نَذيرٍ، و ادُّعيَ </w:t>
      </w:r>
      <w:r>
        <w:rPr>
          <w:rStyle w:val="FootnoteAnchor"/>
          <w:rtl w:val="true"/>
        </w:rPr>
        <w:footnoteReference w:id="4063"/>
      </w:r>
      <w:r>
        <w:rPr>
          <w:rFonts w:ascii="Amiri" w:hAnsi="Amiri" w:eastAsia="Amiri" w:cs="Amiri"/>
          <w:color w:val="111111"/>
          <w:sz w:val="28"/>
          <w:sz w:val="28"/>
          <w:szCs w:val="28"/>
          <w:rtl w:val="true"/>
          <w:lang w:bidi="ar-SA"/>
        </w:rPr>
        <w:t xml:space="preserve">إجماعُ علماءِ المُسلِمينَ و ظهورُ الأخبارِ عن أهلِ الكُتُبِ أنّ الفَتَراتِ بَينَ الرُّسُلِ </w:t>
      </w:r>
      <w:r>
        <w:rPr>
          <w:rStyle w:val="FootnoteAnchor"/>
          <w:rtl w:val="true"/>
        </w:rPr>
        <w:footnoteReference w:id="4064"/>
      </w:r>
      <w:r>
        <w:rPr>
          <w:rFonts w:ascii="Amiri" w:hAnsi="Amiri" w:eastAsia="Amiri" w:cs="Amiri"/>
          <w:color w:val="111111"/>
          <w:sz w:val="28"/>
          <w:sz w:val="28"/>
          <w:szCs w:val="28"/>
          <w:rtl w:val="true"/>
          <w:lang w:bidi="ar-SA"/>
        </w:rPr>
        <w:t>قد كانَت، و لَم يَكُن فيها أنبياءُ و لا مَن يَجري مَجراهم</w:t>
      </w:r>
      <w:r>
        <w:rPr>
          <w:rStyle w:val="FootnoteAnchor"/>
          <w:rtl w:val="true"/>
        </w:rPr>
        <w:footnoteReference w:id="4065"/>
      </w:r>
      <w:r>
        <w:rPr>
          <w:rFonts w:eastAsia="Times New Roman" w:cs="Times New Roman" w:ascii="Times New Roman" w:hAnsi="Times New Roman"/>
          <w:color w:val="111111"/>
          <w:sz w:val="28"/>
          <w:szCs w:val="28"/>
          <w:rtl w:val="true"/>
          <w:lang w:val="en-US" w:bidi="en-US"/>
        </w:rPr>
        <w:t xml:space="preserve">. </w:t>
      </w:r>
      <w:bookmarkStart w:id="740" w:name="pg20017_202835"/>
    </w:p>
    <w:p>
      <w:pPr>
        <w:pStyle w:val="BookText"/>
        <w:rPr/>
      </w:pPr>
      <w:bookmarkEnd w:id="740"/>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الوجوهُ إنّما يُقصَدُ بها تقويةُ ما قَدَّمناه؛ لأنّ ذلكَ </w:t>
      </w:r>
      <w:r>
        <w:rPr>
          <w:rStyle w:val="FootnoteAnchor"/>
          <w:rtl w:val="true"/>
        </w:rPr>
        <w:footnoteReference w:id="4066"/>
      </w:r>
      <w:r>
        <w:rPr>
          <w:rFonts w:ascii="Amiri" w:hAnsi="Amiri" w:eastAsia="Amiri" w:cs="Amiri"/>
          <w:color w:val="111111"/>
          <w:sz w:val="28"/>
          <w:sz w:val="28"/>
          <w:szCs w:val="28"/>
          <w:rtl w:val="true"/>
          <w:lang w:bidi="ar-SA"/>
        </w:rPr>
        <w:t>هو المُعتَمَدُ</w:t>
      </w:r>
      <w:r>
        <w:rPr>
          <w:rStyle w:val="FootnoteAnchor"/>
          <w:rtl w:val="true"/>
        </w:rPr>
        <w:footnoteReference w:id="40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1" w:name="__RefHeading___Toc964523_2320776876"/>
      <w:bookmarkStart w:id="742" w:name="_Toc265"/>
      <w:bookmarkEnd w:id="741"/>
      <w:r>
        <w:rPr>
          <w:rtl w:val="true"/>
        </w:rPr>
        <w:t>مقدّمة حول إمكان الاستدلال علىٰ إمامة الأئمّة الاثني عشر</w:t>
      </w:r>
      <w:bookmarkEnd w:id="742"/>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أنّه يَجِبُ علىٰ مَن ادَّعَى النصَّ علىٰ إمامِ كُلِّ زمانٍ أن يَذكُرَ فيه</w:t>
      </w:r>
      <w:r>
        <w:rPr>
          <w:rStyle w:val="FootnoteAnchor"/>
          <w:rtl w:val="true"/>
        </w:rPr>
        <w:footnoteReference w:id="4068"/>
      </w:r>
      <w:r>
        <w:rPr>
          <w:rFonts w:ascii="Amiri" w:hAnsi="Amiri" w:eastAsia="Amiri" w:cs="Amiri"/>
          <w:color w:val="111111"/>
          <w:sz w:val="28"/>
          <w:sz w:val="28"/>
          <w:szCs w:val="28"/>
          <w:rtl w:val="true"/>
          <w:lang w:bidi="ar-SA"/>
        </w:rPr>
        <w:t>حُجّةً قاطعةً و طَريقةً واضحةً‌، فمِن أينَ حَكَمتَ بأنّنا</w:t>
      </w:r>
      <w:r>
        <w:rPr>
          <w:rStyle w:val="FootnoteAnchor"/>
          <w:rtl w:val="true"/>
        </w:rPr>
        <w:footnoteReference w:id="4069"/>
      </w:r>
      <w:r>
        <w:rPr>
          <w:rFonts w:ascii="Amiri" w:hAnsi="Amiri" w:eastAsia="Amiri" w:cs="Amiri"/>
          <w:color w:val="111111"/>
          <w:sz w:val="28"/>
          <w:sz w:val="28"/>
          <w:szCs w:val="28"/>
          <w:rtl w:val="true"/>
          <w:lang w:bidi="ar-SA"/>
        </w:rPr>
        <w:t>لا نَتمكَّنُ مِن ذلكَ في النصِّ علَى الحَسَنِ و الحُسَينِ و مَن بَعدَهما مِن الأئمّةِ عليهم السلامُ إلىٰ وقتِنا</w:t>
      </w:r>
      <w:r>
        <w:rPr>
          <w:rStyle w:val="FootnoteAnchor"/>
          <w:rtl w:val="true"/>
        </w:rPr>
        <w:footnoteReference w:id="4070"/>
      </w:r>
      <w:r>
        <w:rPr>
          <w:rFonts w:ascii="Amiri" w:hAnsi="Amiri" w:eastAsia="Amiri" w:cs="Amiri"/>
          <w:color w:val="111111"/>
          <w:sz w:val="28"/>
          <w:sz w:val="28"/>
          <w:szCs w:val="28"/>
          <w:rtl w:val="true"/>
          <w:lang w:bidi="ar-SA"/>
        </w:rPr>
        <w:t xml:space="preserve">هذا؟ و قد كانَ أقَلُّ </w:t>
      </w:r>
      <w:r>
        <w:rPr>
          <w:rStyle w:val="FootnoteAnchor"/>
          <w:rtl w:val="true"/>
        </w:rPr>
        <w:footnoteReference w:id="4071"/>
      </w:r>
      <w:r>
        <w:rPr>
          <w:rFonts w:ascii="Amiri" w:hAnsi="Amiri" w:eastAsia="Amiri" w:cs="Amiri"/>
          <w:color w:val="111111"/>
          <w:sz w:val="28"/>
          <w:sz w:val="28"/>
          <w:szCs w:val="28"/>
          <w:rtl w:val="true"/>
          <w:lang w:bidi="ar-SA"/>
        </w:rPr>
        <w:t>ما يَجِبُ أن تَذكُرَ</w:t>
      </w:r>
      <w:r>
        <w:rPr>
          <w:rStyle w:val="FootnoteAnchor"/>
          <w:rtl w:val="true"/>
        </w:rPr>
        <w:footnoteReference w:id="4072"/>
      </w:r>
      <w:r>
        <w:rPr>
          <w:rFonts w:ascii="Amiri" w:hAnsi="Amiri" w:eastAsia="Amiri" w:cs="Amiri"/>
          <w:color w:val="111111"/>
          <w:sz w:val="28"/>
          <w:sz w:val="28"/>
          <w:szCs w:val="28"/>
          <w:rtl w:val="true"/>
          <w:lang w:bidi="ar-SA"/>
        </w:rPr>
        <w:t>ما يُتعلَّقُ به</w:t>
      </w:r>
      <w:r>
        <w:rPr>
          <w:rStyle w:val="FootnoteAnchor"/>
          <w:rtl w:val="true"/>
        </w:rPr>
        <w:footnoteReference w:id="4073"/>
      </w:r>
      <w:r>
        <w:rPr>
          <w:rFonts w:ascii="Amiri" w:hAnsi="Amiri" w:eastAsia="Amiri" w:cs="Amiri"/>
          <w:color w:val="111111"/>
          <w:sz w:val="28"/>
          <w:sz w:val="28"/>
          <w:szCs w:val="28"/>
          <w:rtl w:val="true"/>
          <w:lang w:bidi="ar-SA"/>
        </w:rPr>
        <w:t xml:space="preserve">في هذا البابِ و تَتعاطىٰ </w:t>
      </w:r>
      <w:r>
        <w:rPr>
          <w:rStyle w:val="FootnoteAnchor"/>
          <w:rtl w:val="true"/>
        </w:rPr>
        <w:footnoteReference w:id="4074"/>
      </w:r>
      <w:r>
        <w:rPr>
          <w:rFonts w:ascii="Amiri" w:hAnsi="Amiri" w:eastAsia="Amiri" w:cs="Amiri"/>
          <w:color w:val="111111"/>
          <w:sz w:val="28"/>
          <w:sz w:val="28"/>
          <w:szCs w:val="28"/>
          <w:rtl w:val="true"/>
          <w:lang w:bidi="ar-SA"/>
        </w:rPr>
        <w:t xml:space="preserve">إفسادَه، ثُمّ تَحكُمَ </w:t>
      </w:r>
      <w:r>
        <w:rPr>
          <w:rStyle w:val="FootnoteAnchor"/>
          <w:rtl w:val="true"/>
        </w:rPr>
        <w:footnoteReference w:id="4075"/>
      </w:r>
      <w:r>
        <w:rPr>
          <w:rFonts w:ascii="Amiri" w:hAnsi="Amiri" w:eastAsia="Amiri" w:cs="Amiri"/>
          <w:color w:val="111111"/>
          <w:sz w:val="28"/>
          <w:sz w:val="28"/>
          <w:szCs w:val="28"/>
          <w:rtl w:val="true"/>
          <w:lang w:bidi="ar-SA"/>
        </w:rPr>
        <w:t>بالحُكمِ الذي اعتَمَدتَ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الوجوهَ التي يُمكِنُهم ذِكرُها في النصِّ علىٰ أميرِ المؤمنينَ عليه السلامُ لا يُمكِنُ ذِكرُها و ادّعاءُ مِثلِها في النصِّ علىٰ إمامِ كُلِّ زمانٍ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w:t>
      </w:r>
      <w:r>
        <w:rPr>
          <w:rStyle w:val="FootnoteAnchor"/>
          <w:rtl w:val="true"/>
        </w:rPr>
        <w:footnoteReference w:id="4076"/>
      </w:r>
      <w:r>
        <w:rPr>
          <w:rFonts w:ascii="Amiri" w:hAnsi="Amiri" w:eastAsia="Amiri" w:cs="Amiri"/>
          <w:color w:val="111111"/>
          <w:sz w:val="28"/>
          <w:sz w:val="28"/>
          <w:szCs w:val="28"/>
          <w:rtl w:val="true"/>
          <w:lang w:bidi="ar-SA"/>
        </w:rPr>
        <w:t xml:space="preserve">أرَدتَ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يَجري مَجراها</w:t>
      </w:r>
      <w:r>
        <w:rPr>
          <w:rStyle w:val="FootnoteAnchor"/>
          <w:rtl w:val="true"/>
        </w:rPr>
        <w:footnoteReference w:id="4077"/>
      </w:r>
      <w:r>
        <w:rPr>
          <w:rFonts w:ascii="Amiri" w:hAnsi="Amiri" w:eastAsia="Amiri" w:cs="Amiri"/>
          <w:color w:val="111111"/>
          <w:sz w:val="28"/>
          <w:sz w:val="28"/>
          <w:szCs w:val="28"/>
          <w:rtl w:val="true"/>
          <w:lang w:bidi="ar-SA"/>
        </w:rPr>
        <w:t xml:space="preserve">في الدلالةِ و الحُجّةِ و قَطعِ </w:t>
      </w:r>
    </w:p>
    <w:p>
      <w:pPr>
        <w:pStyle w:val="BookText"/>
        <w:rPr/>
      </w:pPr>
      <w:r>
        <w:rPr>
          <w:rFonts w:ascii="Amiri" w:hAnsi="Amiri" w:eastAsia="Amiri" w:cs="Amiri"/>
          <w:color w:val="111111"/>
          <w:sz w:val="28"/>
          <w:sz w:val="28"/>
          <w:szCs w:val="28"/>
          <w:rtl w:val="true"/>
          <w:lang w:bidi="ar-SA"/>
        </w:rPr>
        <w:t>العُذرِ</w:t>
      </w:r>
      <w:r>
        <w:rPr>
          <w:rStyle w:val="FootnoteAnchor"/>
          <w:rtl w:val="true"/>
        </w:rPr>
        <w:footnoteReference w:id="4078"/>
      </w:r>
      <w:r>
        <w:rPr>
          <w:rFonts w:ascii="Amiri" w:hAnsi="Amiri" w:eastAsia="Amiri" w:cs="Amiri"/>
          <w:color w:val="111111"/>
          <w:sz w:val="28"/>
          <w:sz w:val="28"/>
          <w:szCs w:val="28"/>
          <w:rtl w:val="true"/>
          <w:lang w:bidi="ar-SA"/>
        </w:rPr>
        <w:t>و إزالةِ الرَّيبِ‌، فنَحنُ بحَمدِ اللّٰهِ تَعالىٰ نَتمكَّنُ مِن ذلكَ‌، و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أرَدتَ أنّا لا نَتمكَّنُ في باقي الأئمّةِ عليهم السلامُ مِن نَصٍّ يَرويهِ المُوافِقُ و المُخالِفُ‌، و يُجمِعُ علىٰ نَقلِه جماعةُ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اختَلَفوا في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كالنُّصوصِ علىٰ أميرِ المؤمنينَ عليه السلامُ‌، فهو صَحيحٌ‌، إلّاأنّ فَقْدَ التمكُّنِ‌</w:t>
      </w:r>
      <w:r>
        <w:rPr>
          <w:rStyle w:val="FootnoteAnchor"/>
          <w:rtl w:val="true"/>
        </w:rPr>
        <w:footnoteReference w:id="4079"/>
      </w:r>
      <w:r>
        <w:rPr>
          <w:rFonts w:ascii="Amiri" w:hAnsi="Amiri" w:eastAsia="Amiri" w:cs="Amiri"/>
          <w:color w:val="111111"/>
          <w:sz w:val="28"/>
          <w:sz w:val="28"/>
          <w:szCs w:val="28"/>
          <w:rtl w:val="true"/>
          <w:lang w:bidi="ar-SA"/>
        </w:rPr>
        <w:t>مِن ذلكَ لا يُخِلُّ بصِحّةِ المَذهبِ‌، الذي إنّما قَصَدتَ إلىٰ إفسادِه، و شَرَعتَ في الاستدلالِ علىٰ أنّه لا دليلَ 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مَنفَعةَ لكَ و لِمَن وافَقَكَ في أن يَكونَ بعضُ الأدِلّةِ و الطرُقِ مفقوداً في هذا المَوضِعِ‌، إذا قامَ مَقامَه ما يَجري في الحُجّةِ مَجراه</w:t>
      </w:r>
      <w:r>
        <w:rPr>
          <w:rStyle w:val="FootnoteAnchor"/>
          <w:rtl w:val="true"/>
        </w:rPr>
        <w:footnoteReference w:id="4080"/>
      </w:r>
      <w:r>
        <w:rPr>
          <w:rFonts w:ascii="Amiri" w:hAnsi="Amiri" w:eastAsia="Amiri" w:cs="Amiri"/>
          <w:color w:val="111111"/>
          <w:sz w:val="28"/>
          <w:sz w:val="28"/>
          <w:szCs w:val="28"/>
          <w:rtl w:val="true"/>
          <w:lang w:bidi="ar-SA"/>
        </w:rPr>
        <w:t>، و يَقطَعُ العُذرَ كقَطعِه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النصوصَ علىٰ أميرِ المؤمنينَ عليه السلامُ غيرُ مُتَّفِقةِ الطرُقِ‌؛ لأنّ فيها ما يَرويهِ جميعُ الرواةِ‌، و يُسلِّمُ‌</w:t>
      </w:r>
      <w:r>
        <w:rPr>
          <w:rStyle w:val="FootnoteAnchor"/>
          <w:rtl w:val="true"/>
        </w:rPr>
        <w:footnoteReference w:id="4081"/>
      </w:r>
      <w:r>
        <w:rPr>
          <w:rFonts w:ascii="Amiri" w:hAnsi="Amiri" w:eastAsia="Amiri" w:cs="Amiri"/>
          <w:color w:val="111111"/>
          <w:sz w:val="28"/>
          <w:sz w:val="28"/>
          <w:szCs w:val="28"/>
          <w:rtl w:val="true"/>
          <w:lang w:bidi="ar-SA"/>
        </w:rPr>
        <w:t>صحّتَه جميعُ الأُمّةِ‌؛ كخبرِ الغَديرِ،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يَجري مَجراهما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ما يَشتَرِكُ العامّةُ و الخاصّةُ في نَقلِه، و إن كانَ مِن جِهةِ الخاصّةِ و مِن</w:t>
      </w:r>
      <w:r>
        <w:rPr>
          <w:rStyle w:val="FootnoteAnchor"/>
          <w:rtl w:val="true"/>
        </w:rPr>
        <w:footnoteReference w:id="4082"/>
      </w:r>
      <w:r>
        <w:rPr>
          <w:rFonts w:ascii="Amiri" w:hAnsi="Amiri" w:eastAsia="Amiri" w:cs="Amiri"/>
          <w:color w:val="111111"/>
          <w:sz w:val="28"/>
          <w:sz w:val="28"/>
          <w:szCs w:val="28"/>
          <w:rtl w:val="true"/>
          <w:lang w:bidi="ar-SA"/>
        </w:rPr>
        <w:t>طُرُقِ الشيعةِ مُتَواتِراً ظاهراً، و مِن طُرُقِ</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العامّةِ يَرويهِ </w:t>
      </w:r>
      <w:r>
        <w:rPr>
          <w:rStyle w:val="FootnoteAnchor"/>
          <w:rtl w:val="true"/>
        </w:rPr>
        <w:footnoteReference w:id="4083"/>
      </w:r>
      <w:r>
        <w:rPr>
          <w:rFonts w:ascii="Amiri" w:hAnsi="Amiri" w:eastAsia="Amiri" w:cs="Amiri"/>
          <w:color w:val="111111"/>
          <w:sz w:val="28"/>
          <w:sz w:val="28"/>
          <w:szCs w:val="28"/>
          <w:rtl w:val="true"/>
          <w:lang w:bidi="ar-SA"/>
        </w:rPr>
        <w:t>الآحادُ و يَذكُرُه الأفرادُ، كخبرِ يَومِ الدارِ</w:t>
      </w:r>
      <w:r>
        <w:rPr>
          <w:rStyle w:val="FootnoteAnchor"/>
          <w:rtl w:val="true"/>
        </w:rPr>
        <w:footnoteReference w:id="4084"/>
      </w:r>
      <w:r>
        <w:rPr>
          <w:rFonts w:ascii="Amiri" w:hAnsi="Amiri" w:eastAsia="Amiri" w:cs="Amiri"/>
          <w:color w:val="111111"/>
          <w:sz w:val="28"/>
          <w:sz w:val="28"/>
          <w:szCs w:val="28"/>
          <w:rtl w:val="true"/>
          <w:lang w:bidi="ar-SA"/>
        </w:rPr>
        <w:t>، و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ما </w:t>
      </w:r>
      <w:bookmarkStart w:id="743" w:name="pg20017_202837"/>
    </w:p>
    <w:p>
      <w:pPr>
        <w:pStyle w:val="BookText"/>
        <w:rPr/>
      </w:pPr>
      <w:bookmarkEnd w:id="743"/>
      <w:r>
        <w:rPr>
          <w:rFonts w:ascii="Amiri" w:hAnsi="Amiri" w:eastAsia="Amiri" w:cs="Amiri"/>
          <w:color w:val="111111"/>
          <w:sz w:val="28"/>
          <w:sz w:val="28"/>
          <w:szCs w:val="28"/>
          <w:rtl w:val="true"/>
          <w:lang w:bidi="ar-SA"/>
        </w:rPr>
        <w:t>يَختَصُّ الشيعةُ بنَقلِه، و لا يُشارِكُها فيه مُخالِفُها</w:t>
      </w:r>
      <w:r>
        <w:rPr>
          <w:rStyle w:val="FootnoteAnchor"/>
          <w:rtl w:val="true"/>
        </w:rPr>
        <w:footnoteReference w:id="4085"/>
      </w:r>
      <w:r>
        <w:rPr>
          <w:rFonts w:ascii="Amiri" w:hAnsi="Amiri" w:eastAsia="Amiri" w:cs="Amiri"/>
          <w:color w:val="111111"/>
          <w:sz w:val="28"/>
          <w:sz w:val="28"/>
          <w:szCs w:val="28"/>
          <w:rtl w:val="true"/>
          <w:lang w:bidi="ar-SA"/>
        </w:rPr>
        <w:t>، كألفاظِ النصِّ الصريحةِ‌</w:t>
      </w:r>
      <w:r>
        <w:rPr>
          <w:rStyle w:val="FootnoteAnchor"/>
          <w:rtl w:val="true"/>
        </w:rPr>
        <w:footnoteReference w:id="4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القِسمِ‌</w:t>
      </w:r>
      <w:r>
        <w:rPr>
          <w:rStyle w:val="FootnoteAnchor"/>
          <w:rtl w:val="true"/>
        </w:rPr>
        <w:footnoteReference w:id="4087"/>
      </w:r>
      <w:r>
        <w:rPr>
          <w:rFonts w:ascii="Amiri" w:hAnsi="Amiri" w:eastAsia="Amiri" w:cs="Amiri"/>
          <w:color w:val="111111"/>
          <w:sz w:val="28"/>
          <w:sz w:val="28"/>
          <w:szCs w:val="28"/>
          <w:rtl w:val="true"/>
          <w:lang w:bidi="ar-SA"/>
        </w:rPr>
        <w:t>موجودٌ في النصوصِ‌</w:t>
      </w:r>
      <w:r>
        <w:rPr>
          <w:rStyle w:val="FootnoteAnchor"/>
          <w:rtl w:val="true"/>
        </w:rPr>
        <w:footnoteReference w:id="4088"/>
      </w:r>
      <w:r>
        <w:rPr>
          <w:rFonts w:ascii="Amiri" w:hAnsi="Amiri" w:eastAsia="Amiri" w:cs="Amiri"/>
          <w:color w:val="111111"/>
          <w:sz w:val="28"/>
          <w:sz w:val="28"/>
          <w:szCs w:val="28"/>
          <w:rtl w:val="true"/>
          <w:lang w:bidi="ar-SA"/>
        </w:rPr>
        <w:t>علىٰ سائرِ الأئمّةِ عليهم السلامُ ، و إن</w:t>
      </w:r>
      <w:r>
        <w:rPr>
          <w:rStyle w:val="FootnoteAnchor"/>
          <w:rtl w:val="true"/>
        </w:rPr>
        <w:footnoteReference w:id="4089"/>
      </w:r>
      <w:r>
        <w:rPr>
          <w:rFonts w:ascii="Amiri" w:hAnsi="Amiri" w:eastAsia="Amiri" w:cs="Amiri"/>
          <w:color w:val="111111"/>
          <w:sz w:val="28"/>
          <w:sz w:val="28"/>
          <w:szCs w:val="28"/>
          <w:rtl w:val="true"/>
          <w:lang w:bidi="ar-SA"/>
        </w:rPr>
        <w:t xml:space="preserve">لَم يوجَدْ فيها مِثلُ القِسمَينِ الأوّلَينِ ؛ و قد بيّنّا أنّ ذلكَ لا يُخِلُّ بالحُجّةِ </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964525_2320776876"/>
      <w:bookmarkStart w:id="745" w:name="_Toc266"/>
      <w:bookmarkEnd w:id="744"/>
      <w:r>
        <w:rPr>
          <w:rtl w:val="true"/>
        </w:rPr>
        <w:t>تفصيل الدليل علىٰ إمامة الأئمّة الاثني عشر</w:t>
      </w:r>
      <w:bookmarkEnd w:id="745"/>
    </w:p>
    <w:p>
      <w:pPr>
        <w:pStyle w:val="BookText"/>
        <w:rPr/>
      </w:pPr>
      <w:r>
        <w:rPr>
          <w:rFonts w:ascii="Amiri" w:hAnsi="Amiri" w:eastAsia="Amiri" w:cs="Amiri"/>
          <w:color w:val="111111"/>
          <w:sz w:val="28"/>
          <w:sz w:val="28"/>
          <w:szCs w:val="28"/>
          <w:rtl w:val="true"/>
          <w:lang w:bidi="ar-SA"/>
        </w:rPr>
        <w:t xml:space="preserve">و لنا في الاستدلالِ علىٰ إمامةِ الحَسَنِ ، و مَن بَعدَه مِن الأئمّةِ عليهم السلامُ إلىٰ عصرِنا هذا، طَريقانِ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النقلِ الظاهرِ بَينَ الشيعةِ ، الواردِ مَورِدَ الحُجّةِ ، بنَصِّ النبيِّ صَلَّى اللّٰهُ عليه و آلِه مُجمَلاً و مُفصَّلاً</w:t>
      </w:r>
      <w:r>
        <w:rPr>
          <w:rStyle w:val="FootnoteAnchor"/>
          <w:rtl w:val="true"/>
        </w:rPr>
        <w:footnoteReference w:id="4090"/>
      </w:r>
      <w:r>
        <w:rPr>
          <w:rFonts w:ascii="Amiri" w:hAnsi="Amiri" w:eastAsia="Amiri" w:cs="Amiri"/>
          <w:color w:val="111111"/>
          <w:sz w:val="28"/>
          <w:sz w:val="28"/>
          <w:szCs w:val="28"/>
          <w:rtl w:val="true"/>
          <w:lang w:bidi="ar-SA"/>
        </w:rPr>
        <w:t>، و كذلكَ ما وَرَدَ عن أميرِ المؤمنينَ عليه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يزيدون رجلاً أو ينقصون رجلاً، و فيهم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و العبّاس، و حمزة، و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فكلّمهم رسول اللّٰه صلّى اللّٰه عليه و آله و كان من جملة ما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إنّي و اللّٰه ما أعلم شابّاً في العرب جاء قومه بأفضل ممّا جئتكم به، جئتكم بخير الدنيا و الآخرة، و قد أمرني اللّٰه أن أدعوكم إليه، فأيّكم يؤازرني علىٰ أمري هذا علىٰ أن يكون أخي و وصيّي و خليفتي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غير عليّ عليه السلام و كان أصغرهم إذ 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رسول اللّٰه صلّى اللّٰه عليه و آله برقبته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 وصيّي و خليفتي فيكم، فاسمعوا له و 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القوم يضحكون و 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 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تهذيب الآثار،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الكامل لابن الأثير،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المنتظم،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تاريخ مدينة دمشق،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4933</w:t>
      </w:r>
      <w:r>
        <w:rPr>
          <w:rFonts w:ascii="Amiri" w:hAnsi="Amiri" w:eastAsia="Amiri" w:cs="Amiri"/>
          <w:color w:val="111111"/>
          <w:sz w:val="28"/>
          <w:sz w:val="28"/>
          <w:szCs w:val="28"/>
          <w:rtl w:val="true"/>
          <w:lang w:bidi="ar-SA"/>
        </w:rPr>
        <w:t xml:space="preserve">؛ البداية و النهاية،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36371</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في ذلكَ‌؛ لأنّ الأخبارَ مُتَظاهِرةٌ عنه بَينَ الشيعةِ‌، يَنقُلُها خَلَفٌ عن سَلَفٍ‌، بنَصِّه بالإمامةِ علَى الحَسَنِ عليه السلامُ في مَقاماتٍ كَثيرةٍ‌، و بإشارتِه إلَى الأئمّةِ مِن ولدِ الحُسَينِ بأعيانِهم</w:t>
      </w:r>
      <w:r>
        <w:rPr>
          <w:rStyle w:val="FootnoteAnchor"/>
          <w:rtl w:val="true"/>
        </w:rPr>
        <w:footnoteReference w:id="4091"/>
      </w:r>
      <w:r>
        <w:rPr>
          <w:rFonts w:ascii="Amiri" w:hAnsi="Amiri" w:eastAsia="Amiri" w:cs="Amiri"/>
          <w:color w:val="111111"/>
          <w:sz w:val="28"/>
          <w:sz w:val="28"/>
          <w:szCs w:val="28"/>
          <w:rtl w:val="true"/>
          <w:lang w:bidi="ar-SA"/>
        </w:rPr>
        <w:t>و صِفاتِهم، و كذلكَ القولُ‌</w:t>
      </w:r>
      <w:r>
        <w:rPr>
          <w:rStyle w:val="FootnoteAnchor"/>
          <w:rtl w:val="true"/>
        </w:rPr>
        <w:footnoteReference w:id="4092"/>
      </w:r>
      <w:r>
        <w:rPr>
          <w:rFonts w:ascii="Amiri" w:hAnsi="Amiri" w:eastAsia="Amiri" w:cs="Amiri"/>
          <w:color w:val="111111"/>
          <w:sz w:val="28"/>
          <w:sz w:val="28"/>
          <w:szCs w:val="28"/>
          <w:rtl w:val="true"/>
          <w:lang w:bidi="ar-SA"/>
        </w:rPr>
        <w:t>في نَصِّ الحَسَنِ علَى الحُسَينِ عليهما السلامُ‌، و نَصِّ كُلِّ واحدٍ علىٰ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أنّ كتابَنا يَضيقُ عن</w:t>
      </w:r>
      <w:r>
        <w:rPr>
          <w:rStyle w:val="FootnoteAnchor"/>
          <w:rtl w:val="true"/>
        </w:rPr>
        <w:footnoteReference w:id="4093"/>
      </w:r>
    </w:p>
    <w:p>
      <w:pPr>
        <w:pStyle w:val="BookText"/>
        <w:rPr/>
      </w:pPr>
      <w:r>
        <w:rPr>
          <w:rFonts w:ascii="Amiri" w:hAnsi="Amiri" w:eastAsia="Amiri" w:cs="Amiri"/>
          <w:color w:val="111111"/>
          <w:sz w:val="28"/>
          <w:sz w:val="28"/>
          <w:szCs w:val="28"/>
          <w:rtl w:val="true"/>
          <w:lang w:bidi="ar-SA"/>
        </w:rPr>
        <w:t>استقصاءِ الرواياتِ في هذا</w:t>
      </w:r>
      <w:r>
        <w:rPr>
          <w:rStyle w:val="FootnoteAnchor"/>
          <w:rtl w:val="true"/>
        </w:rPr>
        <w:footnoteReference w:id="4094"/>
      </w:r>
      <w:r>
        <w:rPr>
          <w:rFonts w:ascii="Amiri" w:hAnsi="Amiri" w:eastAsia="Amiri" w:cs="Amiri"/>
          <w:color w:val="111111"/>
          <w:sz w:val="28"/>
          <w:sz w:val="28"/>
          <w:szCs w:val="28"/>
          <w:rtl w:val="true"/>
          <w:lang w:bidi="ar-SA"/>
        </w:rPr>
        <w:t>البابِ‌، لَذَكرنا ما وَرَدَ مِن النصوصِ في إمامةِ كُلِّ واحدٍ مِن الأئمّةِ عليهم السلامُ بألفاظِه و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الوقوفَ علىٰ ذلكَ فعَلَيه بكُتُبِ حَديثِ </w:t>
      </w:r>
      <w:r>
        <w:rPr>
          <w:rStyle w:val="FootnoteAnchor"/>
          <w:rtl w:val="true"/>
        </w:rPr>
        <w:footnoteReference w:id="4095"/>
      </w:r>
      <w:r>
        <w:rPr>
          <w:rFonts w:ascii="Amiri" w:hAnsi="Amiri" w:eastAsia="Amiri" w:cs="Amiri"/>
          <w:color w:val="111111"/>
          <w:sz w:val="28"/>
          <w:sz w:val="28"/>
          <w:szCs w:val="28"/>
          <w:rtl w:val="true"/>
          <w:lang w:bidi="ar-SA"/>
        </w:rPr>
        <w:t xml:space="preserve">الشيعةِ </w:t>
      </w:r>
      <w:r>
        <w:rPr>
          <w:rStyle w:val="FootnoteAnchor"/>
          <w:rtl w:val="true"/>
        </w:rPr>
        <w:footnoteReference w:id="4096"/>
      </w:r>
      <w:r>
        <w:rPr>
          <w:rFonts w:ascii="Amiri" w:hAnsi="Amiri" w:eastAsia="Amiri" w:cs="Amiri"/>
          <w:color w:val="111111"/>
          <w:sz w:val="28"/>
          <w:sz w:val="28"/>
          <w:szCs w:val="28"/>
          <w:rtl w:val="true"/>
          <w:lang w:bidi="ar-SA"/>
        </w:rPr>
        <w:t xml:space="preserve">فإنّه يَقِفُ مِن ذلكَ علىٰ ما لا يَستَجيزُ معه أن يُطلِقَ القولَ بأنّه لا يُمكِنُ في إمامتِهم عليهم السلامُ ما أمكَنَ </w:t>
      </w:r>
      <w:r>
        <w:rPr>
          <w:rStyle w:val="FootnoteAnchor"/>
          <w:rtl w:val="true"/>
        </w:rPr>
        <w:footnoteReference w:id="4097"/>
      </w:r>
      <w:r>
        <w:rPr>
          <w:rFonts w:ascii="Amiri" w:hAnsi="Amiri" w:eastAsia="Amiri" w:cs="Amiri"/>
          <w:color w:val="111111"/>
          <w:sz w:val="28"/>
          <w:sz w:val="28"/>
          <w:szCs w:val="28"/>
          <w:rtl w:val="true"/>
          <w:lang w:bidi="ar-SA"/>
        </w:rPr>
        <w:t xml:space="preserve">في إمامةِ أبيهِم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يُمكِنُ الطعنُ في هذه الأخبارِ بأنّها آحادٌ، و أنّ شُروطَ الأخبارِ المُتَواتِرةِ مفقودةٌ فيها؛ و ذلكَ أنّ الشيعةَ في هذا الوقتِ لا شُبهةَ في كَثرتِها، و استحالةِ اتّفاقِ الكَذِبِ منها و التواطؤِ عليه</w:t>
      </w:r>
      <w:r>
        <w:rPr>
          <w:rStyle w:val="FootnoteAnchor"/>
          <w:rtl w:val="true"/>
        </w:rPr>
        <w:footnoteReference w:id="4098"/>
      </w:r>
      <w:r>
        <w:rPr>
          <w:rFonts w:ascii="Amiri" w:hAnsi="Amiri" w:eastAsia="Amiri" w:cs="Amiri"/>
          <w:color w:val="111111"/>
          <w:sz w:val="28"/>
          <w:sz w:val="28"/>
          <w:szCs w:val="28"/>
          <w:rtl w:val="true"/>
          <w:lang w:bidi="ar-SA"/>
        </w:rPr>
        <w:t>و هي تَدَّعي أنّها أخَذَت هذه الرواياتِ عن سَلَفِها، و أنّ سَلَفَها أخبَرَها بمِثلِ ذلكَ عن سَلَفِها</w:t>
      </w:r>
      <w:r>
        <w:rPr>
          <w:rStyle w:val="FootnoteAnchor"/>
          <w:rtl w:val="true"/>
        </w:rPr>
        <w:footnoteReference w:id="4099"/>
      </w:r>
      <w:r>
        <w:rPr>
          <w:rFonts w:ascii="Amiri" w:hAnsi="Amiri" w:eastAsia="Amiri" w:cs="Amiri"/>
          <w:color w:val="111111"/>
          <w:sz w:val="28"/>
          <w:sz w:val="28"/>
          <w:szCs w:val="28"/>
          <w:rtl w:val="true"/>
          <w:lang w:bidi="ar-SA"/>
        </w:rPr>
        <w:t>، حتّىٰ يَنتَهيَ الخبرُ إلىٰ أصلِه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بيّنّا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في النصِّ الصريحِ علىٰ أميرِ المؤمنينَ 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w:t>
      </w:r>
      <w:r>
        <w:rPr>
          <w:rStyle w:val="FootnoteAnchor"/>
          <w:rtl w:val="true"/>
        </w:rPr>
        <w:footnoteReference w:id="4100"/>
      </w:r>
      <w:r>
        <w:rPr>
          <w:rFonts w:ascii="Amiri" w:hAnsi="Amiri" w:eastAsia="Amiri" w:cs="Amiri"/>
          <w:color w:val="111111"/>
          <w:sz w:val="28"/>
          <w:sz w:val="28"/>
          <w:szCs w:val="28"/>
          <w:rtl w:val="true"/>
          <w:lang w:bidi="ar-SA"/>
        </w:rPr>
        <w:t xml:space="preserve">هذه الطريقةِ ، و أجَبنا عن الأسئلةِ و الزياداتِ </w:t>
      </w:r>
      <w:r>
        <w:rPr>
          <w:rStyle w:val="FootnoteAnchor"/>
          <w:rtl w:val="true"/>
        </w:rPr>
        <w:footnoteReference w:id="4101"/>
      </w:r>
      <w:r>
        <w:rPr>
          <w:rFonts w:ascii="Amiri" w:hAnsi="Amiri" w:eastAsia="Amiri" w:cs="Amiri"/>
          <w:color w:val="111111"/>
          <w:sz w:val="28"/>
          <w:sz w:val="28"/>
          <w:szCs w:val="28"/>
          <w:rtl w:val="true"/>
          <w:lang w:bidi="ar-SA"/>
        </w:rPr>
        <w:t>عليها</w:t>
      </w:r>
      <w:r>
        <w:rPr>
          <w:rStyle w:val="FootnoteAnchor"/>
          <w:rtl w:val="true"/>
        </w:rPr>
        <w:footnoteReference w:id="4102"/>
      </w:r>
      <w:r>
        <w:rPr>
          <w:rFonts w:ascii="Amiri" w:hAnsi="Amiri" w:eastAsia="Amiri" w:cs="Amiri"/>
          <w:color w:val="111111"/>
          <w:sz w:val="28"/>
          <w:sz w:val="28"/>
          <w:szCs w:val="28"/>
          <w:rtl w:val="true"/>
          <w:lang w:bidi="ar-SA"/>
        </w:rPr>
        <w:t>فلا حاجةَ بنا</w:t>
      </w:r>
      <w:r>
        <w:rPr>
          <w:rStyle w:val="FootnoteAnchor"/>
          <w:rtl w:val="true"/>
        </w:rPr>
        <w:footnoteReference w:id="4103"/>
      </w:r>
      <w:r>
        <w:rPr>
          <w:rFonts w:ascii="Amiri" w:hAnsi="Amiri" w:eastAsia="Amiri" w:cs="Amiri"/>
          <w:color w:val="111111"/>
          <w:sz w:val="28"/>
          <w:sz w:val="28"/>
          <w:szCs w:val="28"/>
          <w:rtl w:val="true"/>
          <w:lang w:bidi="ar-SA"/>
        </w:rPr>
        <w:t>إلَى استقصائها هاهُنا</w:t>
      </w:r>
      <w:r>
        <w:rPr>
          <w:rStyle w:val="FootnoteAnchor"/>
          <w:rtl w:val="true"/>
        </w:rPr>
        <w:footnoteReference w:id="4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4105"/>
      </w: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يُعتَمَدَ</w:t>
      </w:r>
      <w:r>
        <w:rPr>
          <w:rStyle w:val="FootnoteAnchor"/>
          <w:rtl w:val="true"/>
        </w:rPr>
        <w:footnoteReference w:id="4106"/>
      </w:r>
      <w:r>
        <w:rPr>
          <w:rFonts w:ascii="Amiri" w:hAnsi="Amiri" w:eastAsia="Amiri" w:cs="Amiri"/>
          <w:color w:val="111111"/>
          <w:sz w:val="28"/>
          <w:sz w:val="28"/>
          <w:szCs w:val="28"/>
          <w:rtl w:val="true"/>
          <w:lang w:bidi="ar-SA"/>
        </w:rPr>
        <w:t>في إمامةِ كُلِّ واحدٍ منهم علىٰ طَريقةِ الاعتبارِ، و البِناءِ‌</w:t>
      </w:r>
      <w:r>
        <w:rPr>
          <w:rStyle w:val="FootnoteAnchor"/>
          <w:rtl w:val="true"/>
        </w:rPr>
        <w:footnoteReference w:id="4107"/>
      </w:r>
      <w:r>
        <w:rPr>
          <w:rFonts w:ascii="Amiri" w:hAnsi="Amiri" w:eastAsia="Amiri" w:cs="Amiri"/>
          <w:color w:val="111111"/>
          <w:sz w:val="28"/>
          <w:sz w:val="28"/>
          <w:szCs w:val="28"/>
          <w:rtl w:val="true"/>
          <w:lang w:bidi="ar-SA"/>
        </w:rPr>
        <w:t>علَى الأُصولِ المُتقرِّرةِ في العقولِ‌، مِن غيرِ رجوعٍ إلَى النقلِ‌؛ فنَقولُ في إمامةِ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لمّا قَبَضَ اللّٰهُ تَعالىٰ أميرَ المؤمنينَ عليه السلامُ إلىٰ جَنبِه</w:t>
      </w:r>
      <w:r>
        <w:rPr>
          <w:rStyle w:val="FootnoteAnchor"/>
          <w:rtl w:val="true"/>
        </w:rPr>
        <w:footnoteReference w:id="4108"/>
      </w:r>
      <w:r>
        <w:rPr>
          <w:rFonts w:ascii="Amiri" w:hAnsi="Amiri" w:eastAsia="Amiri" w:cs="Amiri"/>
          <w:color w:val="111111"/>
          <w:sz w:val="28"/>
          <w:sz w:val="28"/>
          <w:szCs w:val="28"/>
          <w:rtl w:val="true"/>
          <w:lang w:bidi="ar-SA"/>
        </w:rPr>
        <w:t>، كانوا في بابِ الإمامةِ علىٰ 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نَفاها و ادَّعىٰ أنّه لا إمامَ في العالَمِ‌، و هُم الخَوارجُ‌</w:t>
      </w:r>
      <w:r>
        <w:rPr>
          <w:rStyle w:val="FootnoteAnchor"/>
          <w:rtl w:val="true"/>
        </w:rPr>
        <w:footnoteReference w:id="4109"/>
      </w:r>
      <w:r>
        <w:rPr>
          <w:rFonts w:ascii="Amiri" w:hAnsi="Amiri" w:eastAsia="Amiri" w:cs="Amiri"/>
          <w:color w:val="111111"/>
          <w:sz w:val="28"/>
          <w:sz w:val="28"/>
          <w:szCs w:val="28"/>
          <w:rtl w:val="true"/>
          <w:lang w:bidi="ar-SA"/>
        </w:rPr>
        <w:t>و مَن وافَقَهم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يُبطِلُه قيامُ الدلالةِ‌</w:t>
      </w:r>
      <w:r>
        <w:rPr>
          <w:rStyle w:val="FootnoteAnchor"/>
          <w:rtl w:val="true"/>
        </w:rPr>
        <w:footnoteReference w:id="4110"/>
      </w:r>
      <w:r>
        <w:rPr>
          <w:rFonts w:ascii="Amiri" w:hAnsi="Amiri" w:eastAsia="Amiri" w:cs="Amiri"/>
          <w:color w:val="111111"/>
          <w:sz w:val="28"/>
          <w:sz w:val="28"/>
          <w:szCs w:val="28"/>
          <w:rtl w:val="true"/>
          <w:lang w:bidi="ar-SA"/>
        </w:rPr>
        <w:t>العقليّةِ علىٰ وجوبِ الإمامةِ ، و قد</w:t>
      </w:r>
      <w:r>
        <w:rPr>
          <w:rStyle w:val="FootnoteAnchor"/>
          <w:rtl w:val="true"/>
        </w:rPr>
        <w:footnoteReference w:id="4111"/>
      </w:r>
      <w:r>
        <w:rPr>
          <w:rFonts w:ascii="Amiri" w:hAnsi="Amiri" w:eastAsia="Amiri" w:cs="Amiri"/>
          <w:color w:val="111111"/>
          <w:sz w:val="28"/>
          <w:sz w:val="28"/>
          <w:szCs w:val="28"/>
          <w:rtl w:val="true"/>
          <w:lang w:bidi="ar-SA"/>
        </w:rPr>
        <w:t>تَقدَّمَت</w:t>
      </w:r>
      <w:r>
        <w:rPr>
          <w:rFonts w:eastAsia="Amiri" w:cs="Amiri" w:ascii="Amiri" w:hAnsi="Amiri"/>
          <w:color w:val="111111"/>
          <w:sz w:val="28"/>
          <w:szCs w:val="28"/>
          <w:rtl w:val="true"/>
          <w:lang w:bidi="ar-SA"/>
        </w:rPr>
        <w:t>.</w:t>
      </w:r>
      <w:r>
        <w:rPr>
          <w:rStyle w:val="FootnoteAnchor"/>
          <w:rtl w:val="true"/>
        </w:rPr>
        <w:footnoteReference w:id="4112"/>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قالَ بإمامةِ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يُبطِلُ قولَ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يَعتَرِفونَ </w:t>
      </w:r>
      <w:r>
        <w:rPr>
          <w:rStyle w:val="FootnoteAnchor"/>
          <w:rtl w:val="true"/>
        </w:rPr>
        <w:footnoteReference w:id="4113"/>
      </w:r>
      <w:r>
        <w:rPr>
          <w:rFonts w:ascii="Amiri" w:hAnsi="Amiri" w:eastAsia="Amiri" w:cs="Amiri"/>
          <w:color w:val="111111"/>
          <w:sz w:val="28"/>
          <w:sz w:val="28"/>
          <w:szCs w:val="28"/>
          <w:rtl w:val="true"/>
          <w:lang w:bidi="ar-SA"/>
        </w:rPr>
        <w:t>مَعَنا به مِن فَقْدِ عِصمتِه، التي قد</w:t>
      </w:r>
      <w:r>
        <w:rPr>
          <w:rStyle w:val="FootnoteAnchor"/>
          <w:rtl w:val="true"/>
        </w:rPr>
        <w:footnoteReference w:id="4114"/>
      </w:r>
      <w:r>
        <w:rPr>
          <w:rFonts w:ascii="Amiri" w:hAnsi="Amiri" w:eastAsia="Amiri" w:cs="Amiri"/>
          <w:color w:val="111111"/>
          <w:sz w:val="28"/>
          <w:sz w:val="28"/>
          <w:szCs w:val="28"/>
          <w:rtl w:val="true"/>
          <w:lang w:bidi="ar-SA"/>
        </w:rPr>
        <w:t xml:space="preserve">تَقدَّمَت دَلالتُنا علىٰ وجوبِ اعتبارِها في </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Style w:val="FootnoteAnchor"/>
          <w:rtl w:val="true"/>
        </w:rPr>
        <w:footnoteReference w:id="4115"/>
      </w:r>
      <w:r>
        <w:rPr>
          <w:rFonts w:ascii="Amiri" w:hAnsi="Amiri" w:eastAsia="Amiri" w:cs="Amiri"/>
          <w:color w:val="111111"/>
          <w:sz w:val="28"/>
          <w:sz w:val="28"/>
          <w:szCs w:val="28"/>
          <w:rtl w:val="true"/>
          <w:lang w:bidi="ar-SA"/>
        </w:rPr>
        <w:t>و هذا كافٍ في إبطالِ إمامتِه، و إن كانَ لنا أن نَتخطّىٰ ذلكَ إلىٰ ما ظَهَرَ مِن كُفرِه و فِسقِه و مُجاهَرتِه</w:t>
      </w:r>
      <w:r>
        <w:rPr>
          <w:rStyle w:val="FootnoteAnchor"/>
          <w:rtl w:val="true"/>
        </w:rPr>
        <w:footnoteReference w:id="4116"/>
      </w:r>
      <w:r>
        <w:rPr>
          <w:rFonts w:ascii="Amiri" w:hAnsi="Amiri" w:eastAsia="Amiri" w:cs="Amiri"/>
          <w:color w:val="111111"/>
          <w:sz w:val="28"/>
          <w:sz w:val="28"/>
          <w:szCs w:val="28"/>
          <w:rtl w:val="true"/>
          <w:lang w:bidi="ar-SA"/>
        </w:rPr>
        <w:t>بما يَنفي العَدالةَ و يَرفَعُ حُكمَ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قالَ بإمامةِ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Style w:val="FootnoteAnchor"/>
          <w:rtl w:val="true"/>
        </w:rPr>
        <w:footnoteReference w:id="4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أحَدُ فِرَقِ الكَيسانيّةِ‌</w:t>
      </w:r>
      <w:r>
        <w:rPr>
          <w:rStyle w:val="FootnoteAnchor"/>
          <w:rtl w:val="true"/>
        </w:rPr>
        <w:footnoteReference w:id="4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يَبطُلُ قولُ هؤلاءِ‌، إذا ادَّعَوا في مُحمّدِ بنِ الحَنَفيّةِ ما نوجِبُه للأئمّةِ مِن العصمةِ‌</w:t>
      </w:r>
    </w:p>
    <w:p>
      <w:pPr>
        <w:pStyle w:val="BookText"/>
        <w:rPr/>
      </w:pPr>
      <w:r>
        <w:rPr>
          <w:rFonts w:ascii="Amiri" w:hAnsi="Amiri" w:eastAsia="Amiri" w:cs="Amiri"/>
          <w:color w:val="111111"/>
          <w:sz w:val="28"/>
          <w:sz w:val="28"/>
          <w:szCs w:val="28"/>
          <w:rtl w:val="true"/>
          <w:lang w:bidi="ar-SA"/>
        </w:rPr>
        <w:t xml:space="preserve">و غيرِها، و حَمَلوا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هؤلاءِ القومَ مِن الكَيسانيّةِ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علىٰ ذلكَ أنّ ابنَ الحَنَفيّةِ ما زالَ تابعاً لأخَوَيه عليهما السلامُ‌، مُقدِّماً لهُما علىٰ نفسِه، راجعاً إليهما</w:t>
      </w:r>
      <w:r>
        <w:rPr>
          <w:rStyle w:val="FootnoteAnchor"/>
          <w:rtl w:val="true"/>
        </w:rPr>
        <w:footnoteReference w:id="4119"/>
      </w:r>
      <w:r>
        <w:rPr>
          <w:rFonts w:ascii="Amiri" w:hAnsi="Amiri" w:eastAsia="Amiri" w:cs="Amiri"/>
          <w:color w:val="111111"/>
          <w:sz w:val="28"/>
          <w:sz w:val="28"/>
          <w:szCs w:val="28"/>
          <w:rtl w:val="true"/>
          <w:lang w:bidi="ar-SA"/>
        </w:rPr>
        <w:t>، و مُعوِّلاً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المفضولُ لا يَكونُ إماماً، و حالُهما عليهما السلامُ في العِلمِ و الفَضلِ‌</w:t>
      </w:r>
      <w:r>
        <w:rPr>
          <w:rStyle w:val="FootnoteAnchor"/>
          <w:rtl w:val="true"/>
        </w:rPr>
        <w:footnoteReference w:id="4120"/>
      </w:r>
      <w:r>
        <w:rPr>
          <w:rFonts w:ascii="Amiri" w:hAnsi="Amiri" w:eastAsia="Amiri" w:cs="Amiri"/>
          <w:color w:val="111111"/>
          <w:sz w:val="28"/>
          <w:sz w:val="28"/>
          <w:szCs w:val="28"/>
          <w:rtl w:val="true"/>
          <w:lang w:bidi="ar-SA"/>
        </w:rPr>
        <w:t>عليه ظاهرةٌ لا تَخفىٰ‌</w:t>
      </w:r>
      <w:r>
        <w:rPr>
          <w:rStyle w:val="FootnoteAnchor"/>
          <w:rtl w:val="true"/>
        </w:rPr>
        <w:footnoteReference w:id="4121"/>
      </w:r>
      <w:r>
        <w:rPr>
          <w:rFonts w:ascii="Amiri" w:hAnsi="Amiri" w:eastAsia="Amiri" w:cs="Amiri"/>
          <w:color w:val="111111"/>
          <w:sz w:val="28"/>
          <w:sz w:val="28"/>
          <w:szCs w:val="28"/>
          <w:rtl w:val="true"/>
          <w:lang w:bidi="ar-SA"/>
        </w:rPr>
        <w:t>علىٰ مَن سَمِعَ الأخبارَ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فإنّه حَضَرَ البَيعةَ لهُما بالإمامةِ‌، و كانَ راضياً بِهما</w:t>
      </w:r>
      <w:r>
        <w:rPr>
          <w:rStyle w:val="FootnoteAnchor"/>
          <w:rtl w:val="true"/>
        </w:rPr>
        <w:footnoteReference w:id="4122"/>
      </w:r>
      <w:r>
        <w:rPr>
          <w:rFonts w:ascii="Amiri" w:hAnsi="Amiri" w:eastAsia="Amiri" w:cs="Amiri"/>
          <w:color w:val="111111"/>
          <w:sz w:val="28"/>
          <w:sz w:val="28"/>
          <w:szCs w:val="28"/>
          <w:rtl w:val="true"/>
          <w:lang w:bidi="ar-SA"/>
        </w:rPr>
        <w:t>غيرَ مُنازِعٍ و لا مُنكِرٍ، و التقيّةُ منهما عنه</w:t>
      </w:r>
      <w:r>
        <w:rPr>
          <w:rStyle w:val="FootnoteAnchor"/>
          <w:rtl w:val="true"/>
        </w:rPr>
        <w:footnoteReference w:id="4123"/>
      </w:r>
      <w:r>
        <w:rPr>
          <w:rFonts w:ascii="Amiri" w:hAnsi="Amiri" w:eastAsia="Amiri" w:cs="Amiri"/>
          <w:color w:val="111111"/>
          <w:sz w:val="28"/>
          <w:sz w:val="28"/>
          <w:szCs w:val="28"/>
          <w:rtl w:val="true"/>
          <w:lang w:bidi="ar-SA"/>
        </w:rPr>
        <w:t xml:space="preserve">زائلةٌ‌؛ فكَيفَ يَكونُ مع كُلِّ </w:t>
      </w:r>
      <w:r>
        <w:rPr>
          <w:rStyle w:val="FootnoteAnchor"/>
          <w:rtl w:val="true"/>
        </w:rPr>
        <w:footnoteReference w:id="4124"/>
      </w:r>
      <w:r>
        <w:rPr>
          <w:rFonts w:ascii="Amiri" w:hAnsi="Amiri" w:eastAsia="Amiri" w:cs="Amiri"/>
          <w:color w:val="111111"/>
          <w:sz w:val="28"/>
          <w:sz w:val="28"/>
          <w:szCs w:val="28"/>
          <w:rtl w:val="true"/>
          <w:lang w:bidi="ar-SA"/>
        </w:rPr>
        <w:t xml:space="preserve">ذلكَ إماماً دونَهما؟ </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الكَيسانيّةَ‌، و مَن وافَقَهم في إمامةِ مُحمّدِ بنِ الحَنَفيّةِ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فادَّعىٰ بعضُهم أنّها كانَت له بَعدَ أخَوَيه</w:t>
      </w:r>
      <w:r>
        <w:rPr>
          <w:rStyle w:val="FootnoteAnchor"/>
          <w:rtl w:val="true"/>
        </w:rPr>
        <w:footnoteReference w:id="4125"/>
      </w:r>
      <w:r>
        <w:rPr>
          <w:rFonts w:ascii="Amiri" w:hAnsi="Amiri" w:eastAsia="Amiri" w:cs="Amiri"/>
          <w:color w:val="111111"/>
          <w:sz w:val="28"/>
          <w:sz w:val="28"/>
          <w:szCs w:val="28"/>
          <w:rtl w:val="true"/>
          <w:lang w:bidi="ar-SA"/>
        </w:rPr>
        <w:t>بَعدَ تَشتُّتِ أهوائهم، و تَفرُّقِ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ادَّعىٰ بعضُهم حياةَ محمّدٍ، و أنّه بَينَ أسَدٍ و نَمِرٍ في جِبالِ رَضوىٰ‌، إلىٰ غيرِ ذلكَ مِن المَذاهبِ التي أَلجأَتهم الحَيرةُ إليها</w:t>
      </w:r>
      <w:r>
        <w:rPr>
          <w:rStyle w:val="FootnoteAnchor"/>
          <w:rtl w:val="true"/>
        </w:rPr>
        <w:footnoteReference w:id="4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انقَرَضوا، فلا عَينَ لهُم و لا أثَرَ مُنذُ السِّنينَ الطِّوالِ‌، و ما رأَينا</w:t>
      </w:r>
      <w:r>
        <w:rPr>
          <w:rStyle w:val="FootnoteAnchor"/>
          <w:rtl w:val="true"/>
        </w:rPr>
        <w:footnoteReference w:id="4127"/>
      </w:r>
      <w:r>
        <w:rPr>
          <w:rFonts w:ascii="Amiri" w:hAnsi="Amiri" w:eastAsia="Amiri" w:cs="Amiri"/>
          <w:color w:val="111111"/>
          <w:sz w:val="28"/>
          <w:sz w:val="28"/>
          <w:szCs w:val="28"/>
          <w:rtl w:val="true"/>
          <w:lang w:bidi="ar-SA"/>
        </w:rPr>
        <w:t>أحَداً منهم، و لا مَن كانَ قَبلَنا بمُدَدٍ بَعيدةٍ‌؛ فلَو كانَ قولُهم حَقّاً لَما جازَ أن يَنقَرِضوا</w:t>
      </w:r>
      <w:r>
        <w:rPr>
          <w:rStyle w:val="FootnoteAnchor"/>
          <w:rtl w:val="true"/>
        </w:rPr>
        <w:footnoteReference w:id="4128"/>
      </w:r>
      <w:r>
        <w:rPr>
          <w:rFonts w:ascii="Amiri" w:hAnsi="Amiri" w:eastAsia="Amiri" w:cs="Amiri"/>
          <w:color w:val="111111"/>
          <w:sz w:val="28"/>
          <w:sz w:val="28"/>
          <w:szCs w:val="28"/>
          <w:rtl w:val="true"/>
          <w:lang w:bidi="ar-SA"/>
        </w:rPr>
        <w:t>حتّىٰ لا يَقولَ قائلٌ به</w:t>
      </w:r>
      <w:r>
        <w:rPr>
          <w:rStyle w:val="FootnoteAnchor"/>
          <w:rtl w:val="true"/>
        </w:rPr>
        <w:footnoteReference w:id="4129"/>
      </w:r>
      <w:r>
        <w:rPr>
          <w:rFonts w:ascii="Amiri" w:hAnsi="Amiri" w:eastAsia="Amiri" w:cs="Amiri"/>
          <w:color w:val="111111"/>
          <w:sz w:val="28"/>
          <w:sz w:val="28"/>
          <w:szCs w:val="28"/>
          <w:rtl w:val="true"/>
          <w:lang w:bidi="ar-SA"/>
        </w:rPr>
        <w:t>مِن الأُمّةِ في زمانٍ بَعدَ زمانٍ‌، و لا في زمانٍ واحدٍ؛ لأنّ الحَقَّ لا يَخرُجُ عن أقوالِ جميعِ‌</w:t>
      </w:r>
      <w:r>
        <w:rPr>
          <w:rStyle w:val="FootnoteAnchor"/>
          <w:rtl w:val="true"/>
        </w:rPr>
        <w:footnoteReference w:id="4130"/>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إلّاقولُ مَن قالَ بإمامةِ الحَسَنِ‌، و هُم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ذَهَبَ إليها مِن طريقِ الاختيارِ</w:t>
      </w:r>
      <w:r>
        <w:rPr>
          <w:rStyle w:val="FootnoteAnchor"/>
          <w:rtl w:val="true"/>
        </w:rPr>
        <w:footnoteReference w:id="4131"/>
      </w:r>
      <w:r>
        <w:rPr>
          <w:rFonts w:ascii="Amiri" w:hAnsi="Amiri" w:eastAsia="Amiri" w:cs="Amiri"/>
          <w:color w:val="111111"/>
          <w:sz w:val="28"/>
          <w:sz w:val="28"/>
          <w:szCs w:val="28"/>
          <w:rtl w:val="true"/>
          <w:lang w:bidi="ar-SA"/>
        </w:rPr>
        <w:t>، و قولُ هؤلاءِ يَفسُدُ بما دَلَّلنا</w:t>
      </w:r>
      <w:r>
        <w:rPr>
          <w:rStyle w:val="FootnoteAnchor"/>
          <w:rtl w:val="true"/>
        </w:rPr>
        <w:footnoteReference w:id="4132"/>
      </w:r>
      <w:r>
        <w:rPr>
          <w:rFonts w:ascii="Amiri" w:hAnsi="Amiri" w:eastAsia="Amiri" w:cs="Amiri"/>
          <w:color w:val="111111"/>
          <w:sz w:val="28"/>
          <w:sz w:val="28"/>
          <w:szCs w:val="28"/>
          <w:rtl w:val="true"/>
          <w:lang w:bidi="ar-SA"/>
        </w:rPr>
        <w:t xml:space="preserve">عليه مِن وجوبِ النصِّ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يَبقَ إلّاقولُ مَن أوجَبَها بالنصِّ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الحَقُّ المُبينُ </w:t>
      </w:r>
      <w:r>
        <w:rPr>
          <w:rStyle w:val="FootnoteAnchor"/>
          <w:rtl w:val="true"/>
        </w:rPr>
        <w:footnoteReference w:id="4133"/>
      </w:r>
      <w:r>
        <w:rPr>
          <w:rFonts w:ascii="Amiri" w:hAnsi="Amiri" w:eastAsia="Amiri" w:cs="Amiri"/>
          <w:color w:val="111111"/>
          <w:sz w:val="28"/>
          <w:sz w:val="28"/>
          <w:szCs w:val="28"/>
          <w:rtl w:val="true"/>
          <w:lang w:bidi="ar-SA"/>
        </w:rPr>
        <w:t xml:space="preserve">لأنّه لَو ساوىٰ هذا القولُ ما تَقدَّمَ مِن الأقوالِ في الفَسادِ، لَاقتَضىٰ ذلكَ خُروجَ الحَقِّ مِن الأُمّةِ ؛ و قد بيّنّا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أنتَ إذا اتَّبَعتَ‌</w:t>
      </w:r>
      <w:r>
        <w:rPr>
          <w:rStyle w:val="FootnoteAnchor"/>
          <w:rtl w:val="true"/>
        </w:rPr>
        <w:footnoteReference w:id="4134"/>
      </w:r>
      <w:r>
        <w:rPr>
          <w:rFonts w:ascii="Amiri" w:hAnsi="Amiri" w:eastAsia="Amiri" w:cs="Amiri"/>
          <w:color w:val="111111"/>
          <w:sz w:val="28"/>
          <w:sz w:val="28"/>
          <w:szCs w:val="28"/>
          <w:rtl w:val="true"/>
          <w:lang w:bidi="ar-SA"/>
        </w:rPr>
        <w:t>هذه الطريقةَ و سَلَكتَها في إمامةِ الحُسَينِ عليه السلامُ و مَن بَعدَه مِن الأئمّةِ‌، وَجَدتَها نَهجاً واضحاً و طَريقاً جَدَداً</w:t>
      </w:r>
      <w:r>
        <w:rPr>
          <w:rStyle w:val="FootnoteAnchor"/>
          <w:rtl w:val="true"/>
        </w:rPr>
        <w:footnoteReference w:id="4135"/>
      </w:r>
      <w:r>
        <w:rPr>
          <w:rFonts w:ascii="Amiri" w:hAnsi="Amiri" w:eastAsia="Amiri" w:cs="Amiri"/>
          <w:color w:val="111111"/>
          <w:sz w:val="28"/>
          <w:sz w:val="28"/>
          <w:szCs w:val="28"/>
          <w:rtl w:val="true"/>
          <w:lang w:bidi="ar-SA"/>
        </w:rPr>
        <w:t>لأنّ كُلَّ مَن ذَهَبَ في الإمامةِ إلىٰ‌</w:t>
      </w:r>
      <w:r>
        <w:rPr>
          <w:rStyle w:val="FootnoteAnchor"/>
          <w:rtl w:val="true"/>
        </w:rPr>
        <w:footnoteReference w:id="4136"/>
      </w:r>
      <w:r>
        <w:rPr>
          <w:rFonts w:ascii="Amiri" w:hAnsi="Amiri" w:eastAsia="Amiri" w:cs="Amiri"/>
          <w:color w:val="111111"/>
          <w:sz w:val="28"/>
          <w:sz w:val="28"/>
          <w:szCs w:val="28"/>
          <w:rtl w:val="true"/>
          <w:lang w:bidi="ar-SA"/>
        </w:rPr>
        <w:t>غيرِ مَذهبِنا في إمامِ كُلِّ زمانٍ بعَينِه إمّا أن يَنفيَ وجوبَها، أو يُثبِتَها لِمَن يَعتَرِفُ بنَفيِ صفاتِ الأئمّةِ‌</w:t>
      </w:r>
      <w:r>
        <w:rPr>
          <w:rStyle w:val="FootnoteAnchor"/>
          <w:rtl w:val="true"/>
        </w:rPr>
        <w:footnoteReference w:id="4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أوجَبناها بحُجَجِ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4138"/>
      </w:r>
      <w:r>
        <w:rPr>
          <w:rFonts w:ascii="Amiri" w:hAnsi="Amiri" w:eastAsia="Amiri" w:cs="Amiri"/>
          <w:color w:val="111111"/>
          <w:sz w:val="28"/>
          <w:sz w:val="28"/>
          <w:szCs w:val="28"/>
          <w:rtl w:val="true"/>
          <w:lang w:bidi="ar-SA"/>
        </w:rPr>
        <w:t>، أو يَدَّعيَ حياةَ‌</w:t>
      </w:r>
    </w:p>
    <w:p>
      <w:pPr>
        <w:pStyle w:val="BookText"/>
        <w:rPr/>
      </w:pPr>
      <w:r>
        <w:rPr>
          <w:rFonts w:ascii="Amiri" w:hAnsi="Amiri" w:eastAsia="Amiri" w:cs="Amiri"/>
          <w:color w:val="111111"/>
          <w:sz w:val="28"/>
          <w:sz w:val="28"/>
          <w:szCs w:val="28"/>
          <w:rtl w:val="true"/>
          <w:lang w:bidi="ar-SA"/>
        </w:rPr>
        <w:t>مَيّتٍ قد عُلِمَ ضَرورةً مَوتُه</w:t>
      </w:r>
      <w:r>
        <w:rPr>
          <w:rStyle w:val="FootnoteAnchor"/>
          <w:rtl w:val="true"/>
        </w:rPr>
        <w:footnoteReference w:id="4139"/>
      </w:r>
      <w:r>
        <w:rPr>
          <w:rFonts w:ascii="Amiri" w:hAnsi="Amiri" w:eastAsia="Amiri" w:cs="Amiri"/>
          <w:color w:val="111111"/>
          <w:sz w:val="28"/>
          <w:sz w:val="28"/>
          <w:szCs w:val="28"/>
          <w:rtl w:val="true"/>
          <w:lang w:bidi="ar-SA"/>
        </w:rPr>
        <w:t>، أو يُثبِتَها بطَريقٍ مِثلِ الاختيارِ، أو الدعوةِ علىٰ مَذهبِ الزيديّةِ‌؛ و قد دَلَّت العقولُ أيضاً علىٰ أنّ الطريقَ إليها لا يَكونُ إلّاالنصَّ و المُعجِزَ</w:t>
      </w:r>
      <w:r>
        <w:rPr>
          <w:rStyle w:val="FootnoteAnchor"/>
          <w:rtl w:val="true"/>
        </w:rPr>
        <w:footnoteReference w:id="4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الطريقةُ إذا سُلِكَت في إمامةِ صاحبِ زمانِنا هذا</w:t>
      </w:r>
      <w:r>
        <w:rPr>
          <w:rStyle w:val="FootnoteAnchor"/>
          <w:rtl w:val="true"/>
        </w:rPr>
        <w:footnoteReference w:id="4141"/>
      </w:r>
      <w:r>
        <w:rPr>
          <w:rFonts w:ascii="Amiri" w:hAnsi="Amiri" w:eastAsia="Amiri" w:cs="Amiri"/>
          <w:color w:val="111111"/>
          <w:sz w:val="28"/>
          <w:sz w:val="28"/>
          <w:szCs w:val="28"/>
          <w:rtl w:val="true"/>
          <w:lang w:bidi="ar-SA"/>
        </w:rPr>
        <w:t>عليه السلامُ كانَت أوضَحَ مِن غيرِها، و أحسَمَ لكُلِّ شُبهةٍ‌، و أقطَعَ لكُلِّ شَغْبٍ‌</w:t>
      </w:r>
      <w:r>
        <w:rPr>
          <w:rStyle w:val="FootnoteAnchor"/>
          <w:rtl w:val="true"/>
        </w:rPr>
        <w:footnoteReference w:id="4142"/>
      </w:r>
      <w:r>
        <w:rPr>
          <w:rFonts w:ascii="Amiri" w:hAnsi="Amiri" w:eastAsia="Amiri" w:cs="Amiri"/>
          <w:color w:val="111111"/>
          <w:sz w:val="28"/>
          <w:sz w:val="28"/>
          <w:szCs w:val="28"/>
          <w:rtl w:val="true"/>
          <w:lang w:bidi="ar-SA"/>
        </w:rPr>
        <w:t>لأنّ الإمامَ إذا وَجَبَت عِصمتُه و النصُّ عليه، فلَم يَبقَ في أقوالِ المُختَلِفينَ‌</w:t>
      </w:r>
      <w:r>
        <w:rPr>
          <w:rStyle w:val="FootnoteAnchor"/>
          <w:rtl w:val="true"/>
        </w:rPr>
        <w:footnoteReference w:id="4143"/>
      </w:r>
      <w:r>
        <w:rPr>
          <w:rFonts w:ascii="Amiri" w:hAnsi="Amiri" w:eastAsia="Amiri" w:cs="Amiri"/>
          <w:color w:val="111111"/>
          <w:sz w:val="28"/>
          <w:sz w:val="28"/>
          <w:szCs w:val="28"/>
          <w:rtl w:val="true"/>
          <w:lang w:bidi="ar-SA"/>
        </w:rPr>
        <w:t>في إمامِ هذا الزمانِ ما</w:t>
      </w:r>
      <w:r>
        <w:rPr>
          <w:rStyle w:val="FootnoteAnchor"/>
          <w:rtl w:val="true"/>
        </w:rPr>
        <w:footnoteReference w:id="4144"/>
      </w:r>
      <w:r>
        <w:rPr>
          <w:rFonts w:ascii="Amiri" w:hAnsi="Amiri" w:eastAsia="Amiri" w:cs="Amiri"/>
          <w:color w:val="111111"/>
          <w:sz w:val="28"/>
          <w:sz w:val="28"/>
          <w:szCs w:val="28"/>
          <w:rtl w:val="true"/>
          <w:lang w:bidi="ar-SA"/>
        </w:rPr>
        <w:t xml:space="preserve">يَجوزُ أن يَكونَ مُطابِقاً لهذه الأدِلّةِ إلّاقولانِ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الإماميّةِ ، الذاهبينَ إلىٰ إمامةِ ابنِ الحَسَنِ عليه السلامُ </w:t>
      </w:r>
      <w:r>
        <w:rPr>
          <w:rFonts w:eastAsia="Amiri" w:cs="Amiri" w:ascii="Amiri" w:hAnsi="Amiri"/>
          <w:color w:val="111111"/>
          <w:sz w:val="28"/>
          <w:szCs w:val="28"/>
          <w:rtl w:val="true"/>
          <w:lang w:bidi="ar-SA"/>
        </w:rPr>
        <w:t xml:space="preserve">. </w:t>
      </w:r>
      <w:bookmarkStart w:id="746" w:name="pg20017_202843"/>
    </w:p>
    <w:p>
      <w:pPr>
        <w:pStyle w:val="BookText"/>
        <w:rPr/>
      </w:pPr>
      <w:bookmarkEnd w:id="746"/>
      <w:r>
        <w:rPr>
          <w:rFonts w:ascii="Amiri" w:hAnsi="Amiri" w:eastAsia="Amiri" w:cs="Amiri"/>
          <w:color w:val="111111"/>
          <w:sz w:val="28"/>
          <w:sz w:val="28"/>
          <w:szCs w:val="28"/>
          <w:rtl w:val="true"/>
          <w:lang w:bidi="ar-SA"/>
        </w:rPr>
        <w:t>و قولُ شُذّاذٍ لَم يَبقَ منهم إلّاصُبابةٌ‌</w:t>
      </w:r>
      <w:r>
        <w:rPr>
          <w:rStyle w:val="FootnoteAnchor"/>
          <w:rtl w:val="true"/>
        </w:rPr>
        <w:footnoteReference w:id="4145"/>
      </w:r>
      <w:r>
        <w:rPr>
          <w:rFonts w:ascii="Amiri" w:hAnsi="Amiri" w:eastAsia="Amiri" w:cs="Amiri"/>
          <w:color w:val="111111"/>
          <w:sz w:val="28"/>
          <w:sz w:val="28"/>
          <w:szCs w:val="28"/>
          <w:rtl w:val="true"/>
          <w:lang w:bidi="ar-SA"/>
        </w:rPr>
        <w:t>، قد كادَ الانقراضُ يأتي عليهم كَما أتىٰ علىٰ أمثالِهم، و هُم الواقفةُ علىٰ موسَى بنِ جعفرٍ</w:t>
      </w:r>
      <w:r>
        <w:rPr>
          <w:rStyle w:val="FootnoteAnchor"/>
          <w:rtl w:val="true"/>
        </w:rPr>
        <w:footnoteReference w:id="4146"/>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يُبطِلُ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الشُّبهةُ به زائلةً في وقتِنا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يَعلَمُه جميعُ الأُمّةِ ضَرورةً‌؛ مِن</w:t>
      </w:r>
      <w:r>
        <w:rPr>
          <w:rStyle w:val="FootnoteAnchor"/>
          <w:rtl w:val="true"/>
        </w:rPr>
        <w:footnoteReference w:id="4147"/>
      </w:r>
      <w:r>
        <w:rPr>
          <w:rFonts w:ascii="Amiri" w:hAnsi="Amiri" w:eastAsia="Amiri" w:cs="Amiri"/>
          <w:color w:val="111111"/>
          <w:sz w:val="28"/>
          <w:sz w:val="28"/>
          <w:szCs w:val="28"/>
          <w:rtl w:val="true"/>
          <w:lang w:bidi="ar-SA"/>
        </w:rPr>
        <w:t>وفاةِ موسَى بنِ جعفرٍ عليه السلامُ‌، و مُشاهَدةِ كَثيرٍ مِن الناسِ له مَيّتاً علىٰ حَدٍّ إن لَم يَزِدْ في الوضوحِ علىٰ مَوتِ آبائه عليهم السلامُ لَم يَنقُصْ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ما يَجوزُ أن يَكونَ صَحيحاً إلّاقولُ مَن ذَهَبَ إلىٰ إمامةِ ابنِ الحَسَنِ ؛ فيَجِبُ أن يَكونَ صَحيحاً، و إلّاأدّىٰ ذلكَ إلىٰ أنّ الحَقَّ مفقودٌ مِن أقوالِ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الجُملةُ </w:t>
      </w:r>
      <w:r>
        <w:rPr>
          <w:rStyle w:val="FootnoteAnchor"/>
          <w:rtl w:val="true"/>
        </w:rPr>
        <w:footnoteReference w:id="4148"/>
      </w:r>
      <w:r>
        <w:rPr>
          <w:rFonts w:ascii="Amiri" w:hAnsi="Amiri" w:eastAsia="Amiri" w:cs="Amiri"/>
          <w:color w:val="111111"/>
          <w:sz w:val="28"/>
          <w:sz w:val="28"/>
          <w:szCs w:val="28"/>
          <w:rtl w:val="true"/>
          <w:lang w:bidi="ar-SA"/>
        </w:rPr>
        <w:t xml:space="preserve">تُبيِّنُ أنّ ما ادَّعىٰ صاحبُ الكتابِ تَعذُّرَه علينا مُمكِنٌ مُتَسهِّلٌ </w:t>
      </w:r>
      <w:r>
        <w:rPr>
          <w:rStyle w:val="FootnoteAnchor"/>
          <w:rtl w:val="true"/>
        </w:rPr>
        <w:footnoteReference w:id="4149"/>
      </w:r>
      <w:r>
        <w:rPr>
          <w:rFonts w:ascii="Amiri" w:hAnsi="Amiri" w:eastAsia="Amiri" w:cs="Amiri"/>
          <w:color w:val="111111"/>
          <w:sz w:val="28"/>
          <w:sz w:val="28"/>
          <w:szCs w:val="28"/>
          <w:rtl w:val="true"/>
          <w:lang w:bidi="ar-SA"/>
        </w:rPr>
        <w:t>، بحَمدِ اللّٰهِ و مَنِّه</w:t>
      </w:r>
      <w:r>
        <w:rPr>
          <w:rStyle w:val="FootnoteAnchor"/>
          <w:rtl w:val="true"/>
        </w:rPr>
        <w:footnoteReference w:id="4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7" w:name="__RefHeading___Toc964527_2320776876"/>
      <w:bookmarkStart w:id="748" w:name="_Toc267"/>
      <w:bookmarkEnd w:id="747"/>
      <w:r>
        <w:rPr>
          <w:rtl w:val="true"/>
        </w:rPr>
        <w:t>زيادة الخوف علىٰ صاحب الزمان عليه السلام من الأعداء، أكثر من غيره من الأئمّة عليهم السلام</w:t>
      </w:r>
      <w:bookmarkEnd w:id="748"/>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الغَيبةَ إن كانَ الخَوفُ سببَها فقَد كانَ يَجِبُ أن يَحصُلَ غَيبةُ الأئمّةِ في أيّامِ بَني أُمَيّةَ و كَثيرٍ مِن أيّامٍ بَني العَبّاسِ ؛ لأنّ الخَوفَ كانَ هُناكَ أظهَرَ و أكثَرَ</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ما نَقولُه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بخِلافِ ما ظَنَّه مِن زيادةِ الخَوفِ في تلكَ الأيّامِ علىٰ غيرِها؛ لأنّا نَعلَمُ أنّ مَن عَدا</w:t>
      </w:r>
      <w:r>
        <w:rPr>
          <w:rStyle w:val="FootnoteAnchor"/>
          <w:rtl w:val="true"/>
        </w:rPr>
        <w:footnoteReference w:id="4151"/>
      </w:r>
      <w:r>
        <w:rPr>
          <w:rFonts w:ascii="Amiri" w:hAnsi="Amiri" w:eastAsia="Amiri" w:cs="Amiri"/>
          <w:color w:val="111111"/>
          <w:sz w:val="28"/>
          <w:sz w:val="28"/>
          <w:szCs w:val="28"/>
          <w:rtl w:val="true"/>
          <w:lang w:bidi="ar-SA"/>
        </w:rPr>
        <w:t xml:space="preserve">إمامَ زمانِنا عليه السلامُ مِن آبائه عليهم السلامُ لَم </w:t>
      </w:r>
    </w:p>
    <w:p>
      <w:pPr>
        <w:pStyle w:val="BookText"/>
        <w:rPr/>
      </w:pPr>
      <w:r>
        <w:rPr>
          <w:rFonts w:ascii="Amiri" w:hAnsi="Amiri" w:eastAsia="Amiri" w:cs="Amiri"/>
          <w:color w:val="111111"/>
          <w:sz w:val="28"/>
          <w:sz w:val="28"/>
          <w:szCs w:val="28"/>
          <w:rtl w:val="true"/>
          <w:lang w:bidi="ar-SA"/>
        </w:rPr>
        <w:t>يَكُن أحَدٌ منهم يُدَّعىٰ له و يُحكَمُ فيه و يُنتَظَرُ منه إظهارُ العَدلِ‌</w:t>
      </w:r>
      <w:r>
        <w:rPr>
          <w:rStyle w:val="FootnoteAnchor"/>
          <w:rtl w:val="true"/>
        </w:rPr>
        <w:footnoteReference w:id="4152"/>
      </w:r>
      <w:r>
        <w:rPr>
          <w:rFonts w:ascii="Amiri" w:hAnsi="Amiri" w:eastAsia="Amiri" w:cs="Amiri"/>
          <w:color w:val="111111"/>
          <w:sz w:val="28"/>
          <w:sz w:val="28"/>
          <w:szCs w:val="28"/>
          <w:rtl w:val="true"/>
          <w:lang w:bidi="ar-SA"/>
        </w:rPr>
        <w:t>في مَشارقِ الأرضِ‌</w:t>
      </w:r>
    </w:p>
    <w:p>
      <w:pPr>
        <w:pStyle w:val="BookText"/>
        <w:rPr/>
      </w:pPr>
      <w:r>
        <w:rPr>
          <w:rFonts w:ascii="Amiri" w:hAnsi="Amiri" w:eastAsia="Amiri" w:cs="Amiri"/>
          <w:color w:val="111111"/>
          <w:sz w:val="28"/>
          <w:sz w:val="28"/>
          <w:szCs w:val="28"/>
          <w:rtl w:val="true"/>
          <w:lang w:bidi="ar-SA"/>
        </w:rPr>
        <w:t>و مَغارِبِها، و ابتزازُ الأمرِ</w:t>
      </w:r>
      <w:r>
        <w:rPr>
          <w:rStyle w:val="FootnoteAnchor"/>
          <w:rtl w:val="true"/>
        </w:rPr>
        <w:footnoteReference w:id="4153"/>
      </w:r>
      <w:r>
        <w:rPr>
          <w:rFonts w:ascii="Amiri" w:hAnsi="Amiri" w:eastAsia="Amiri" w:cs="Amiri"/>
          <w:color w:val="111111"/>
          <w:sz w:val="28"/>
          <w:sz w:val="28"/>
          <w:szCs w:val="28"/>
          <w:rtl w:val="true"/>
          <w:lang w:bidi="ar-SA"/>
        </w:rPr>
        <w:t>مِن أيدي الجائرينَ‌</w:t>
      </w:r>
      <w:r>
        <w:rPr>
          <w:rStyle w:val="FootnoteAnchor"/>
          <w:rtl w:val="true"/>
        </w:rPr>
        <w:footnoteReference w:id="4154"/>
      </w:r>
      <w:r>
        <w:rPr>
          <w:rFonts w:ascii="Amiri" w:hAnsi="Amiri" w:eastAsia="Amiri" w:cs="Amiri"/>
          <w:color w:val="111111"/>
          <w:sz w:val="28"/>
          <w:sz w:val="28"/>
          <w:szCs w:val="28"/>
          <w:rtl w:val="true"/>
          <w:lang w:bidi="ar-SA"/>
        </w:rPr>
        <w:t>و المُتغلِّبينَ‌؛ و لا</w:t>
      </w:r>
      <w:r>
        <w:rPr>
          <w:rStyle w:val="FootnoteAnchor"/>
          <w:rtl w:val="true"/>
        </w:rPr>
        <w:footnoteReference w:id="4155"/>
      </w:r>
      <w:r>
        <w:rPr>
          <w:rFonts w:ascii="Amiri" w:hAnsi="Amiri" w:eastAsia="Amiri" w:cs="Amiri"/>
          <w:color w:val="111111"/>
          <w:sz w:val="28"/>
          <w:sz w:val="28"/>
          <w:szCs w:val="28"/>
          <w:rtl w:val="true"/>
          <w:lang w:bidi="ar-SA"/>
        </w:rPr>
        <w:t>أنّه صاحبُ الزمانِ‌، و المَهديُّ المُنتَظَرُ لإصلاحِ ما فَسَدَ مِن الأُمورِ، و ارتجاعِ ما غُصِبَ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موجودٌ في إمامةِ صاحبِ الزمانِ‌، مفقودٌ في إمامةِ مَن تَقدَّمَه مِن آبائه عليهم السلامُ أجمَعينَ‌</w:t>
      </w:r>
      <w:r>
        <w:rPr>
          <w:rStyle w:val="FootnoteAnchor"/>
          <w:rtl w:val="true"/>
        </w:rPr>
        <w:footnoteReference w:id="4156"/>
      </w:r>
      <w:r>
        <w:rPr>
          <w:rFonts w:ascii="Amiri" w:hAnsi="Amiri" w:eastAsia="Amiri" w:cs="Amiri"/>
          <w:color w:val="111111"/>
          <w:sz w:val="28"/>
          <w:sz w:val="28"/>
          <w:szCs w:val="28"/>
          <w:rtl w:val="true"/>
          <w:lang w:bidi="ar-SA"/>
        </w:rPr>
        <w:t>و لهذا كُتِمَت</w:t>
      </w:r>
      <w:r>
        <w:rPr>
          <w:rStyle w:val="FootnoteAnchor"/>
          <w:rtl w:val="true"/>
        </w:rPr>
        <w:footnoteReference w:id="4157"/>
      </w:r>
      <w:r>
        <w:rPr>
          <w:rFonts w:ascii="Amiri" w:hAnsi="Amiri" w:eastAsia="Amiri" w:cs="Amiri"/>
          <w:color w:val="111111"/>
          <w:sz w:val="28"/>
          <w:sz w:val="28"/>
          <w:szCs w:val="28"/>
          <w:rtl w:val="true"/>
          <w:lang w:bidi="ar-SA"/>
        </w:rPr>
        <w:t>وِلادتُه، و أُخفيَ في الابتداءِ أمرُه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لا يَكونُ الحالُ كذلكَ‌، و لمّا ماتَ الحَسَنُ عليه السلامُ جَمَعَ جَواريَه و سَراريَه</w:t>
      </w:r>
      <w:r>
        <w:rPr>
          <w:rStyle w:val="FootnoteAnchor"/>
          <w:rtl w:val="true"/>
        </w:rPr>
        <w:footnoteReference w:id="4158"/>
      </w:r>
      <w:r>
        <w:rPr>
          <w:rFonts w:ascii="Amiri" w:hAnsi="Amiri" w:eastAsia="Amiri" w:cs="Amiri"/>
          <w:color w:val="111111"/>
          <w:sz w:val="28"/>
          <w:sz w:val="28"/>
          <w:szCs w:val="28"/>
          <w:rtl w:val="true"/>
          <w:lang w:bidi="ar-SA"/>
        </w:rPr>
        <w:t>و احتاطَ عليهم المُتملِّكُ في ذلكَ الوقتِ للأمرِ</w:t>
      </w:r>
      <w:r>
        <w:rPr>
          <w:rStyle w:val="FootnoteAnchor"/>
          <w:rtl w:val="true"/>
        </w:rPr>
        <w:footnoteReference w:id="4159"/>
      </w:r>
      <w:r>
        <w:rPr>
          <w:rFonts w:ascii="Amiri" w:hAnsi="Amiri" w:eastAsia="Amiri" w:cs="Amiri"/>
          <w:color w:val="111111"/>
          <w:sz w:val="28"/>
          <w:sz w:val="28"/>
          <w:szCs w:val="28"/>
          <w:rtl w:val="true"/>
          <w:lang w:bidi="ar-SA"/>
        </w:rPr>
        <w:t xml:space="preserve">ليَظهَرَ له ميلادُ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يُنتَظَرُ منه العَجائبُ‌، و قَلبُ الدُّوَلِ و المَمالكِ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يَعلَمْ أنّ ميلادَه قد تَقدَّمَ‌، و أنّه عليه السلامُ وُلِدَ قَبلَ وفاةِ أبيه بزَمانٍ طويلٍ؟ فكَيفَ يَجمَعُ مُنصِفٌ بَينَ أحوالِ صاحبِ الزمانِ مع ما ذَكرناه، و أحوالِ مَن تَقدَّمَ مِن آبائه عليهم السلامُ ، فيما يَقتَضي الخَوفَ و الغَيبةَ و الاستتارَ و الأمنَ؟ </w:t>
      </w:r>
    </w:p>
    <w:p>
      <w:pPr>
        <w:pStyle w:val="BookText"/>
        <w:rPr/>
      </w:pPr>
      <w:r>
        <w:rPr>
          <w:rFonts w:ascii="Amiri" w:hAnsi="Amiri" w:eastAsia="Amiri" w:cs="Amiri"/>
          <w:color w:val="111111"/>
          <w:sz w:val="28"/>
          <w:sz w:val="28"/>
          <w:szCs w:val="28"/>
          <w:rtl w:val="true"/>
          <w:lang w:bidi="ar-SA"/>
        </w:rPr>
        <w:t xml:space="preserve">و كَيفَ يُضَمُّ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الخَوفِ و التقيّةِ مِن المُتملِّكينَ للأُمورِ و المُستَبِدّينَ بالدُّوَلِ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 لا يَخافونَه علىٰ ما في أيديهِم و لا يُنازِعُهم شَيئاً مِن أُمورِهم و لا يُقضىٰ له و لا يُدَّعىٰ فيه أنّه المنصورُ عليهم، و السالبُ لنِعمتِهم</w:t>
      </w:r>
      <w:r>
        <w:rPr>
          <w:rStyle w:val="FootnoteAnchor"/>
          <w:rtl w:val="true"/>
        </w:rPr>
        <w:footnoteReference w:id="4160"/>
      </w:r>
      <w:r>
        <w:rPr>
          <w:rFonts w:ascii="Amiri" w:hAnsi="Amiri" w:eastAsia="Amiri" w:cs="Amiri"/>
          <w:color w:val="111111"/>
          <w:sz w:val="28"/>
          <w:sz w:val="28"/>
          <w:szCs w:val="28"/>
          <w:rtl w:val="true"/>
          <w:lang w:bidi="ar-SA"/>
        </w:rPr>
        <w:t>، و بَينَ مَن يَجتَمِعُ‌</w:t>
      </w:r>
      <w:r>
        <w:rPr>
          <w:rStyle w:val="FootnoteAnchor"/>
          <w:rtl w:val="true"/>
        </w:rPr>
        <w:footnoteReference w:id="4161"/>
      </w:r>
      <w:r>
        <w:rPr>
          <w:rFonts w:ascii="Amiri" w:hAnsi="Amiri" w:eastAsia="Amiri" w:cs="Amiri"/>
          <w:color w:val="111111"/>
          <w:sz w:val="28"/>
          <w:sz w:val="28"/>
          <w:szCs w:val="28"/>
          <w:rtl w:val="true"/>
          <w:lang w:bidi="ar-SA"/>
        </w:rPr>
        <w:t>فيه هذه الصفاتُ؟ و الفَرقُ بَينَ هذَينِ‌</w:t>
      </w:r>
      <w:r>
        <w:rPr>
          <w:rStyle w:val="FootnoteAnchor"/>
          <w:rtl w:val="true"/>
        </w:rPr>
        <w:footnoteReference w:id="4162"/>
      </w:r>
      <w:r>
        <w:rPr>
          <w:rFonts w:ascii="Amiri" w:hAnsi="Amiri" w:eastAsia="Amiri" w:cs="Amiri"/>
          <w:color w:val="111111"/>
          <w:sz w:val="28"/>
          <w:sz w:val="28"/>
          <w:szCs w:val="28"/>
          <w:rtl w:val="true"/>
          <w:lang w:bidi="ar-SA"/>
        </w:rPr>
        <w:t>الأمرَينِ فيما يَدعو إلَى الخَوفِ و التقيّةِ أوضَحُ مِن أن يُطنَبَ فيه، و هو بالعكسِ ممّا قَضىٰ به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أحوالَ الخائفِ إنّما يُرجَعُ </w:t>
      </w:r>
      <w:r>
        <w:rPr>
          <w:rStyle w:val="FootnoteAnchor"/>
          <w:rtl w:val="true"/>
        </w:rPr>
        <w:footnoteReference w:id="4163"/>
      </w:r>
      <w:r>
        <w:rPr>
          <w:rFonts w:ascii="Amiri" w:hAnsi="Amiri" w:eastAsia="Amiri" w:cs="Amiri"/>
          <w:color w:val="111111"/>
          <w:sz w:val="28"/>
          <w:sz w:val="28"/>
          <w:szCs w:val="28"/>
          <w:rtl w:val="true"/>
          <w:lang w:bidi="ar-SA"/>
        </w:rPr>
        <w:t>فيها إلَى اعتقاداتِه و ظُنونِه</w:t>
      </w:r>
      <w:r>
        <w:rPr>
          <w:rStyle w:val="FootnoteAnchor"/>
          <w:rtl w:val="true"/>
        </w:rPr>
        <w:footnoteReference w:id="4164"/>
      </w:r>
      <w:r>
        <w:rPr>
          <w:rFonts w:ascii="Amiri" w:hAnsi="Amiri" w:eastAsia="Amiri" w:cs="Amiri"/>
          <w:color w:val="111111"/>
          <w:sz w:val="28"/>
          <w:sz w:val="28"/>
          <w:szCs w:val="28"/>
          <w:rtl w:val="true"/>
          <w:lang w:bidi="ar-SA"/>
        </w:rPr>
        <w:t>، و اعتقاداتُه و ظُنونُه</w:t>
      </w:r>
      <w:r>
        <w:rPr>
          <w:rStyle w:val="FootnoteAnchor"/>
          <w:rtl w:val="true"/>
        </w:rPr>
        <w:footnoteReference w:id="4165"/>
      </w:r>
      <w:r>
        <w:rPr>
          <w:rFonts w:ascii="Amiri" w:hAnsi="Amiri" w:eastAsia="Amiri" w:cs="Amiri"/>
          <w:color w:val="111111"/>
          <w:sz w:val="28"/>
          <w:sz w:val="28"/>
          <w:szCs w:val="28"/>
          <w:rtl w:val="true"/>
          <w:lang w:bidi="ar-SA"/>
        </w:rPr>
        <w:t>بحَسَبِ ما يَظهَرُ له مِن الأماراتِ التي تَقتَضي الخَوفَ أو الأمنَ ، و لا</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مَرجِعَ في</w:t>
      </w:r>
      <w:r>
        <w:rPr>
          <w:rStyle w:val="FootnoteAnchor"/>
          <w:rtl w:val="true"/>
        </w:rPr>
        <w:footnoteReference w:id="4166"/>
      </w:r>
      <w:r>
        <w:rPr>
          <w:rFonts w:ascii="Amiri" w:hAnsi="Amiri" w:eastAsia="Amiri" w:cs="Amiri"/>
          <w:color w:val="111111"/>
          <w:sz w:val="28"/>
          <w:sz w:val="28"/>
          <w:szCs w:val="28"/>
          <w:rtl w:val="true"/>
          <w:lang w:bidi="ar-SA"/>
        </w:rPr>
        <w:t xml:space="preserve">أحوالِ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خَوفٍ و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و لهذا</w:t>
      </w:r>
      <w:r>
        <w:rPr>
          <w:rStyle w:val="FootnoteAnchor"/>
          <w:rtl w:val="true"/>
        </w:rPr>
        <w:footnoteReference w:id="4167"/>
      </w:r>
      <w:r>
        <w:rPr>
          <w:rFonts w:ascii="Amiri" w:hAnsi="Amiri" w:eastAsia="Amiri" w:cs="Amiri"/>
          <w:color w:val="111111"/>
          <w:sz w:val="28"/>
          <w:sz w:val="28"/>
          <w:szCs w:val="28"/>
          <w:rtl w:val="true"/>
          <w:lang w:bidi="ar-SA"/>
        </w:rPr>
        <w:t>نَجِدُ كَثيراً مِن العقلاءِ يُقدِمُ في بعضِ المَجالسِ التي يَلزَمُ فيها الخَوفُ و التقيّةُ في الظاهرِ علىٰ أفعالٍ و أقوالٍ لا نَراه يُقدِمُ علىٰ مِثلِها في غيرِ ذلكَ المَجلسِ ممّا</w:t>
      </w:r>
      <w:r>
        <w:rPr>
          <w:rStyle w:val="FootnoteAnchor"/>
          <w:rtl w:val="true"/>
        </w:rPr>
        <w:footnoteReference w:id="4168"/>
      </w:r>
      <w:r>
        <w:rPr>
          <w:rFonts w:ascii="Amiri" w:hAnsi="Amiri" w:eastAsia="Amiri" w:cs="Amiri"/>
          <w:color w:val="111111"/>
          <w:sz w:val="28"/>
          <w:sz w:val="28"/>
          <w:szCs w:val="28"/>
          <w:rtl w:val="true"/>
          <w:lang w:bidi="ar-SA"/>
        </w:rPr>
        <w:t>لا يَظهَرُ لنا فيه قُوّةُ أماراتِ الخَوفِ ، و لا يَلزَمُ أن نَنسِبَه</w:t>
      </w:r>
      <w:r>
        <w:rPr>
          <w:rStyle w:val="FootnoteAnchor"/>
          <w:rtl w:val="true"/>
        </w:rPr>
        <w:footnoteReference w:id="4169"/>
      </w:r>
      <w:r>
        <w:rPr>
          <w:rFonts w:ascii="Amiri" w:hAnsi="Amiri" w:eastAsia="Amiri" w:cs="Amiri"/>
          <w:color w:val="111111"/>
          <w:sz w:val="28"/>
          <w:sz w:val="28"/>
          <w:szCs w:val="28"/>
          <w:rtl w:val="true"/>
          <w:lang w:bidi="ar-SA"/>
        </w:rPr>
        <w:t xml:space="preserve">إلَى السَّفَهِ مِن حَيثُ لَم يَظهَرْ لنا ما ظَهَرَ له؛ لأنّه يَجوزُ أن يَختَصَّ بأماراتٍ تَقتَضي شِدّةَ الخَوفِ في المَوضِعِ الذي يَظهَرُ لنا فيه ضَعفُ الخَوفِ ، و يَختَصَّ بأماراتٍ تَقتَضي ضَعفَ الخَوفِ في المَوضِعِ الذي </w:t>
      </w:r>
      <w:bookmarkStart w:id="749" w:name="pg20017_202846"/>
    </w:p>
    <w:p>
      <w:pPr>
        <w:pStyle w:val="BookText"/>
        <w:rPr/>
      </w:pPr>
      <w:bookmarkEnd w:id="749"/>
      <w:r>
        <w:rPr>
          <w:rFonts w:ascii="Amiri" w:hAnsi="Amiri" w:eastAsia="Amiri" w:cs="Amiri"/>
          <w:color w:val="111111"/>
          <w:sz w:val="28"/>
          <w:sz w:val="28"/>
          <w:szCs w:val="28"/>
          <w:rtl w:val="true"/>
          <w:lang w:bidi="ar-SA"/>
        </w:rPr>
        <w:t xml:space="preserve">يَظهَرُ لنا قُوّتُه، و العاداتُ تَشهَدُ بِما ذَكرناه شَهادةً لا يُحتاجُ </w:t>
      </w:r>
      <w:r>
        <w:rPr>
          <w:rStyle w:val="FootnoteAnchor"/>
          <w:rtl w:val="true"/>
        </w:rPr>
        <w:footnoteReference w:id="4170"/>
      </w:r>
      <w:r>
        <w:rPr>
          <w:rFonts w:ascii="Amiri" w:hAnsi="Amiri" w:eastAsia="Amiri" w:cs="Amiri"/>
          <w:color w:val="111111"/>
          <w:sz w:val="28"/>
          <w:sz w:val="28"/>
          <w:szCs w:val="28"/>
          <w:rtl w:val="true"/>
          <w:lang w:bidi="ar-SA"/>
        </w:rPr>
        <w:t>معها إلَى الإكثارِ فيه</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964529_2320776876"/>
      <w:bookmarkStart w:id="751" w:name="_Toc268"/>
      <w:bookmarkEnd w:id="750"/>
      <w:r>
        <w:rPr>
          <w:rtl w:val="true"/>
        </w:rPr>
        <w:t>بيان أنّ سبب الغيبة هو فِعل الظالمين</w:t>
      </w:r>
      <w:bookmarkEnd w:id="751"/>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w:t>
      </w:r>
      <w:r>
        <w:rPr>
          <w:rStyle w:val="FootnoteAnchor"/>
          <w:rtl w:val="true"/>
        </w:rPr>
        <w:footnoteReference w:id="4171"/>
      </w:r>
      <w:r>
        <w:rPr>
          <w:rFonts w:ascii="Amiri" w:hAnsi="Amiri" w:eastAsia="Amiri" w:cs="Amiri"/>
          <w:color w:val="111111"/>
          <w:sz w:val="28"/>
          <w:sz w:val="28"/>
          <w:szCs w:val="28"/>
          <w:rtl w:val="true"/>
          <w:lang w:bidi="ar-SA"/>
        </w:rPr>
        <w:t>تَصِحُّ‌</w:t>
      </w:r>
      <w:r>
        <w:rPr>
          <w:rStyle w:val="FootnoteAnchor"/>
          <w:rtl w:val="true"/>
        </w:rPr>
        <w:footnoteReference w:id="4172"/>
      </w:r>
      <w:r>
        <w:rPr>
          <w:rFonts w:ascii="Amiri" w:hAnsi="Amiri" w:eastAsia="Amiri" w:cs="Amiri"/>
          <w:color w:val="111111"/>
          <w:sz w:val="28"/>
          <w:sz w:val="28"/>
          <w:szCs w:val="28"/>
          <w:rtl w:val="true"/>
          <w:lang w:bidi="ar-SA"/>
        </w:rPr>
        <w:t xml:space="preserve">الغَيبةُ مع شِدّةِ الحاجةِ إلَى الإمامِ فيما يَتَّصِلُ بالتكليفِ؟ و لَئن جازَ ذلكَ لِيَجوزَنَّ أن لا يَنصِبَ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w:t>
      </w:r>
      <w:r>
        <w:rPr>
          <w:rStyle w:val="FootnoteAnchor"/>
          <w:rtl w:val="true"/>
        </w:rPr>
        <w:footnoteReference w:id="4173"/>
      </w:r>
      <w:r>
        <w:rPr>
          <w:rFonts w:ascii="Amiri" w:hAnsi="Amiri" w:eastAsia="Amiri" w:cs="Amiri"/>
          <w:color w:val="111111"/>
          <w:sz w:val="28"/>
          <w:sz w:val="28"/>
          <w:szCs w:val="28"/>
          <w:rtl w:val="true"/>
          <w:lang w:bidi="ar-SA"/>
        </w:rPr>
        <w:t>الأدِلّةَ للمُكلَّفِ‌</w:t>
      </w:r>
      <w:r>
        <w:rPr>
          <w:rStyle w:val="FootnoteAnchor"/>
          <w:rtl w:val="true"/>
        </w:rPr>
        <w:footnoteReference w:id="4174"/>
      </w:r>
      <w:r>
        <w:rPr>
          <w:rFonts w:ascii="Amiri" w:hAnsi="Amiri" w:eastAsia="Amiri" w:cs="Amiri"/>
          <w:color w:val="111111"/>
          <w:sz w:val="28"/>
          <w:sz w:val="28"/>
          <w:szCs w:val="28"/>
          <w:rtl w:val="true"/>
          <w:lang w:bidi="ar-SA"/>
        </w:rPr>
        <w:t>مع قيامِ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مضَى الكلامُ في هذا المعنىٰ مُستَقصىً‌، و تَكرَّرَ في أثناءِ نَقضِنا عليه</w:t>
      </w:r>
      <w:r>
        <w:rPr>
          <w:rStyle w:val="FootnoteAnchor"/>
          <w:rtl w:val="true"/>
        </w:rPr>
        <w:footnoteReference w:id="4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أنّ سببَ الغَيبةِ هو فِعلُ الظالمينَ‌، و تقصيرُهم فيما يَلزَمُ مِن تمكينِ الإمامِ فيه</w:t>
      </w:r>
      <w:r>
        <w:rPr>
          <w:rStyle w:val="FootnoteAnchor"/>
          <w:rtl w:val="true"/>
        </w:rPr>
        <w:footnoteReference w:id="4176"/>
      </w:r>
      <w:r>
        <w:rPr>
          <w:rFonts w:ascii="Amiri" w:hAnsi="Amiri" w:eastAsia="Amiri" w:cs="Amiri"/>
          <w:color w:val="111111"/>
          <w:sz w:val="28"/>
          <w:sz w:val="28"/>
          <w:szCs w:val="28"/>
          <w:rtl w:val="true"/>
          <w:lang w:bidi="ar-SA"/>
        </w:rPr>
        <w:t>، و الإفراجِ بَينَه و بَينَ التصرُّفِ فيهم</w:t>
      </w:r>
      <w:r>
        <w:rPr>
          <w:rStyle w:val="FootnoteAnchor"/>
          <w:rtl w:val="true"/>
        </w:rPr>
        <w:footnoteReference w:id="4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أنّهم مع الغَيبةِ مُتمكِّنونَ مِن مَصلَحتِهم بأن يُزيلوا السببَ الموجِبَ للغَيبةِ‌؛ ليَظهَرَ الإمامُ و يَنتَفِعوا بتدبيرِه و سياستِه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فَرَّقنا بَينَ ذلكَ و بَينَ أن لا يَنصِبَ اللّٰهُ تَعالَى الأدِلّةَ للمُكلَّفِ ، أو لا يُمكِّنَه، بأن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عنه عُلوًّا كَبيراً</w:t>
      </w:r>
      <w:r>
        <w:rPr>
          <w:rStyle w:val="FootnoteAnchor"/>
          <w:rtl w:val="true"/>
        </w:rPr>
        <w:footnoteReference w:id="4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مُكلِّفاً لِما</w:t>
      </w:r>
      <w:r>
        <w:rPr>
          <w:rStyle w:val="FootnoteAnchor"/>
          <w:rtl w:val="true"/>
        </w:rPr>
        <w:footnoteReference w:id="4179"/>
      </w:r>
      <w:r>
        <w:rPr>
          <w:rFonts w:ascii="Amiri" w:hAnsi="Amiri" w:eastAsia="Amiri" w:cs="Amiri"/>
          <w:color w:val="111111"/>
          <w:sz w:val="28"/>
          <w:sz w:val="28"/>
          <w:szCs w:val="28"/>
          <w:rtl w:val="true"/>
          <w:lang w:bidi="ar-SA"/>
        </w:rPr>
        <w:t xml:space="preserve">لا يُطاقُ ، و لَكانَ فَقدُ العِلمِ و الانتفاعِ به مِن قِبَلِه تَعالىٰ خاصّةً ، و لا مَدخَلَ للمُكلَّفِ فيه، و لا أُتيَ فيه مِن </w:t>
      </w:r>
      <w:bookmarkStart w:id="752" w:name="pg20017_202847"/>
    </w:p>
    <w:p>
      <w:pPr>
        <w:pStyle w:val="BookText"/>
        <w:rPr/>
      </w:pPr>
      <w:bookmarkEnd w:id="752"/>
      <w:r>
        <w:rPr>
          <w:rFonts w:ascii="Amiri" w:hAnsi="Amiri" w:eastAsia="Amiri" w:cs="Amiri"/>
          <w:color w:val="111111"/>
          <w:sz w:val="28"/>
          <w:sz w:val="28"/>
          <w:szCs w:val="28"/>
          <w:rtl w:val="true"/>
          <w:lang w:bidi="ar-SA"/>
        </w:rPr>
        <w:t>تقصيرِه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غَيبةُ الإمامِ بخِلافِ ذلكَ ؛ لأنّ التمكُّنَ مِن المَصالحِ معها ثابتٌ ، و ما فُقِدَ مِن المَنافعِ بالغَيبةِ مَرجِعُه إلَى الظالمينَ الذين سَبَّبوها و أَلجَؤوا إليها</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964531_2320776876"/>
      <w:bookmarkStart w:id="754" w:name="_Toc269"/>
      <w:bookmarkEnd w:id="753"/>
      <w:r>
        <w:rPr>
          <w:rtl w:val="true"/>
        </w:rPr>
        <w:t>بيان ما يجوز من حراسة إمام الزمان عليه السلام ممّا يُخاف عليه، و ما لا يجوز</w:t>
      </w:r>
      <w:bookmarkEnd w:id="754"/>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هَلّا وَجَبَ علىٰ مَذهبِهم حِراسةُ إمامِ الزمانِ مِن جِهةِ اللّٰهِ تَعالىٰ‌، و أن يَعصِمَه مِن كُلِّ مَخافةٍ؟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نَقولُ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الحِراسةُ و العصمةُ مِن المَخافةِ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يُنافي التكليفَ‌، و لا يُخرِجُ المُكلَّفَ إلىٰ حَدِّ الإلجاءِ‌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قد</w:t>
      </w:r>
    </w:p>
    <w:p>
      <w:pPr>
        <w:pStyle w:val="BookText"/>
        <w:rPr/>
      </w:pPr>
      <w:r>
        <w:rPr>
          <w:rFonts w:ascii="Amiri" w:hAnsi="Amiri" w:eastAsia="Amiri" w:cs="Amiri"/>
          <w:color w:val="111111"/>
          <w:sz w:val="28"/>
          <w:sz w:val="28"/>
          <w:szCs w:val="28"/>
          <w:rtl w:val="true"/>
          <w:lang w:bidi="ar-SA"/>
        </w:rPr>
        <w:t>فَعَلَه اللّٰهُ تَعالىٰ علىٰ أبلَغِ الوجوهِ‌، و حَرَسَ الإمامَ بالحُجّةِ‌، و أيَّدَه و نَصَرَه بالأدِلّةِ‌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نافَى</w:t>
      </w:r>
      <w:r>
        <w:rPr>
          <w:rStyle w:val="FootnoteAnchor"/>
          <w:rtl w:val="true"/>
        </w:rPr>
        <w:footnoteReference w:id="4180"/>
      </w:r>
      <w:r>
        <w:rPr>
          <w:rFonts w:ascii="Amiri" w:hAnsi="Amiri" w:eastAsia="Amiri" w:cs="Amiri"/>
          <w:color w:val="111111"/>
          <w:sz w:val="28"/>
          <w:sz w:val="28"/>
          <w:szCs w:val="28"/>
          <w:rtl w:val="true"/>
          <w:lang w:bidi="ar-SA"/>
        </w:rPr>
        <w:t>التكليفَ‌، و أخرَجَ مِن استحقاقِ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إلزامُنا</w:t>
      </w:r>
      <w:r>
        <w:rPr>
          <w:rStyle w:val="FootnoteAnchor"/>
          <w:rtl w:val="true"/>
        </w:rPr>
        <w:footnoteReference w:id="4181"/>
      </w:r>
      <w:r>
        <w:rPr>
          <w:rFonts w:ascii="Amiri" w:hAnsi="Amiri" w:eastAsia="Amiri" w:cs="Amiri"/>
          <w:color w:val="111111"/>
          <w:sz w:val="28"/>
          <w:sz w:val="28"/>
          <w:szCs w:val="28"/>
          <w:rtl w:val="true"/>
          <w:lang w:bidi="ar-SA"/>
        </w:rPr>
        <w:t xml:space="preserve">هذا القِسمَ مِن عَجيبِ الأُمورِ؛ لأنّ الإمامَ إنّما يُحتاجُ إليه للمَصلَحةِ في التكليفِ ، فكَيفَ يُجمَعُ بَينَه و بَينَ ما نافاه التكليفُ </w:t>
      </w:r>
      <w:r>
        <w:rPr>
          <w:rStyle w:val="FootnoteAnchor"/>
          <w:rtl w:val="true"/>
        </w:rPr>
        <w:footnoteReference w:id="4182"/>
      </w:r>
      <w:r>
        <w:rPr>
          <w:rFonts w:ascii="Amiri" w:hAnsi="Amiri" w:eastAsia="Amiri" w:cs="Amiri"/>
          <w:color w:val="111111"/>
          <w:sz w:val="28"/>
          <w:sz w:val="28"/>
          <w:szCs w:val="28"/>
          <w:rtl w:val="true"/>
          <w:lang w:bidi="ar-SA"/>
        </w:rPr>
        <w:t>؟ و هَل هذا إلّا مُناقَضةٌ مِن المُلزِمِ ، أو قِلّةُ تأمُّلٍ لِما يَقولُه خُصومُه ؟</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964533_2320776876"/>
      <w:bookmarkStart w:id="756" w:name="_Toc270"/>
      <w:bookmarkEnd w:id="755"/>
      <w:r>
        <w:rPr>
          <w:rtl w:val="true"/>
        </w:rPr>
        <w:t xml:space="preserve">بيان أنّ حقيقة </w:t>
      </w:r>
      <w:r>
        <w:rPr>
          <w:rtl w:val="true"/>
        </w:rPr>
        <w:t>«</w:t>
      </w:r>
      <w:r>
        <w:rPr>
          <w:rtl w:val="true"/>
        </w:rPr>
        <w:t>الفترة</w:t>
      </w:r>
      <w:r>
        <w:rPr>
          <w:rtl w:val="true"/>
        </w:rPr>
        <w:t xml:space="preserve">» </w:t>
      </w:r>
      <w:r>
        <w:rPr>
          <w:rtl w:val="true"/>
        </w:rPr>
        <w:t>تختصُّ الرسل، لا مطلق الحجّة الذي يشمل الإمام</w:t>
      </w:r>
      <w:bookmarkEnd w:id="756"/>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حَكاه عن واصِلِ بنِ عَطاءٍ مِن ذِكرِ الفَترةِ و الاستشهادِ بالقُرآنِ و إجماعِ علماءِ المُسلِمينَ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بَعيدِ الكلامِ عن مَوقِعِ الحُجّةِ ؛ لأنّ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الْكِتٰابِ قَدْ جٰاءَكُمْ رَسُولُنٰا يُبَيِّنُ لَكُمْ عَلىٰ فَتْرَةٍ مِنَ الرُّسُلِ أَنْ تَقُولُوا مٰا جٰاءَنٰا </w:t>
      </w:r>
    </w:p>
    <w:p>
      <w:pPr>
        <w:pStyle w:val="BookText"/>
        <w:rPr/>
      </w:pPr>
      <w:r>
        <w:rPr>
          <w:rFonts w:ascii="Amiri" w:hAnsi="Amiri" w:eastAsia="Amiri" w:cs="Amiri"/>
          <w:color w:val="111111"/>
          <w:sz w:val="28"/>
          <w:sz w:val="28"/>
          <w:szCs w:val="28"/>
          <w:rtl w:val="true"/>
          <w:lang w:bidi="ar-SA"/>
        </w:rPr>
        <w:t>مِنْ بَشِيرٍ وَ لاٰ نَذِيرٍ</w:t>
      </w:r>
      <w:r>
        <w:rPr>
          <w:rFonts w:eastAsia="Amiri" w:cs="Amiri" w:ascii="Amiri" w:hAnsi="Amiri"/>
          <w:color w:val="111111"/>
          <w:sz w:val="28"/>
          <w:szCs w:val="28"/>
          <w:rtl w:val="true"/>
          <w:lang w:bidi="ar-SA"/>
        </w:rPr>
        <w:t xml:space="preserve">) </w:t>
      </w:r>
      <w:r>
        <w:rPr>
          <w:rStyle w:val="FootnoteAnchor"/>
          <w:rtl w:val="true"/>
        </w:rPr>
        <w:footnoteReference w:id="4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4184"/>
      </w:r>
      <w:r>
        <w:rPr>
          <w:rFonts w:ascii="Amiri" w:hAnsi="Amiri" w:eastAsia="Amiri" w:cs="Amiri"/>
          <w:color w:val="111111"/>
          <w:sz w:val="28"/>
          <w:sz w:val="28"/>
          <w:szCs w:val="28"/>
          <w:rtl w:val="true"/>
          <w:lang w:bidi="ar-SA"/>
        </w:rPr>
        <w:t xml:space="preserve">صَريحٌ في أنّ الفَترةَ تَختَصُّ الرسُلَ </w:t>
      </w:r>
      <w:r>
        <w:rPr>
          <w:rStyle w:val="FootnoteAnchor"/>
          <w:rtl w:val="true"/>
        </w:rPr>
        <w:footnoteReference w:id="4185"/>
      </w:r>
      <w:r>
        <w:rPr>
          <w:rFonts w:ascii="Amiri" w:hAnsi="Amiri" w:eastAsia="Amiri" w:cs="Amiri"/>
          <w:color w:val="111111"/>
          <w:sz w:val="28"/>
          <w:sz w:val="28"/>
          <w:szCs w:val="28"/>
          <w:rtl w:val="true"/>
          <w:lang w:bidi="ar-SA"/>
        </w:rPr>
        <w:t>، و أنّها عِبارةٌ عن الزمانِ الذي لا رسولَ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إنّما يَلزَمُ مَن ادَّعىٰ أنّ في كُلِّ زمانٍ حُجّةً هو رسولٌ ، فأمّا إذا لَم يَزِد علَى ادّعاءِ حُجّةٍ و جَوازِ</w:t>
      </w:r>
      <w:r>
        <w:rPr>
          <w:rStyle w:val="FootnoteAnchor"/>
          <w:rtl w:val="true"/>
        </w:rPr>
        <w:footnoteReference w:id="4186"/>
      </w:r>
      <w:r>
        <w:rPr>
          <w:rFonts w:ascii="Amiri" w:hAnsi="Amiri" w:eastAsia="Amiri" w:cs="Amiri"/>
          <w:color w:val="111111"/>
          <w:sz w:val="28"/>
          <w:sz w:val="28"/>
          <w:szCs w:val="28"/>
          <w:rtl w:val="true"/>
          <w:lang w:bidi="ar-SA"/>
        </w:rPr>
        <w:t>أن يَكونَ رسولاً و غيرَ رسولٍ ، فإنّ هذا الكلامَ لا يَكونُ حِجاجاً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ادّعاؤه إجماعَ علماءِ المُسلِمينَ علَى الفَتَراتِ بَينَ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بالفَتَراتِ خُلوَّ الزمانِ مِن رسولٍ‌، فهو صَحيحٌ ، و لا فائدةَ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أرادَ خُلوَّه مِن رسولٍ و حُجّةٍ </w:t>
      </w:r>
      <w:r>
        <w:rPr>
          <w:rStyle w:val="FootnoteAnchor"/>
          <w:rtl w:val="true"/>
        </w:rPr>
        <w:footnoteReference w:id="4187"/>
      </w:r>
      <w:r>
        <w:rPr>
          <w:rFonts w:ascii="Amiri" w:hAnsi="Amiri" w:eastAsia="Amiri" w:cs="Amiri"/>
          <w:color w:val="111111"/>
          <w:sz w:val="28"/>
          <w:sz w:val="28"/>
          <w:szCs w:val="28"/>
          <w:rtl w:val="true"/>
          <w:lang w:bidi="ar-SA"/>
        </w:rPr>
        <w:t>، فلا إجماعَ في ذلكَ ، و كُلُّ مَن يَقولُ بوجوبِ الإمامةِ في كُلِّ زمانٍ و عَصرٍ يُخالفُ في ذلكَ ؛ فكَيفَ يُدَّعَى الإجماعُ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الجُملةُ تُبيِّنُ فَسادَ جميعِ ما أورَدَه في الفَصلِ الذي حَكَيناه</w:t>
      </w:r>
      <w:r>
        <w:rPr>
          <w:rStyle w:val="FootnoteAnchor"/>
          <w:rtl w:val="true"/>
        </w:rPr>
        <w:footnoteReference w:id="4188"/>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7" w:name="pg20017_202850"/>
      <w:bookmarkStart w:id="758" w:name="pg20017_202850"/>
      <w:bookmarkEnd w:id="758"/>
    </w:p>
    <w:p>
      <w:pPr>
        <w:pStyle w:val="Heading2"/>
        <w:numPr>
          <w:ilvl w:val="1"/>
          <w:numId w:val="1"/>
        </w:numPr>
        <w:rPr/>
      </w:pPr>
      <w:bookmarkStart w:id="759" w:name="pg20017_202850"/>
      <w:bookmarkStart w:id="760" w:name="__RefHeading___Toc964535_2320776876"/>
      <w:bookmarkStart w:id="761" w:name="_Toc271"/>
      <w:bookmarkEnd w:id="759"/>
      <w:bookmarkEnd w:id="760"/>
      <w:r>
        <w:rPr>
          <w:rtl w:val="true"/>
        </w:rPr>
        <w:t>فهرس المطالب</w:t>
      </w:r>
      <w:bookmarkEnd w:id="761"/>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إبطال ما دفع به ثبوت النصّ و ورود السمع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الكلام في صحّة نقل النصّ عن طريق أمير المؤمنين عليه السلام علىٰ إمامة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استدلال الشيعة بالنصّ المرويّ عن الرسول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عدم دلالة سلوك أمير المؤمنين عليه السلام مع القوم علىٰ رضاه بإمامتهم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علّة احتجاج أمير المؤمنين عليه السلام علىٰ طلحة و الزبير بنكث البيعة دون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عدم دلالة ما نقله المخالفون علىٰ عدم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عدم توقّف صحّة دعوىٰ أمير المؤمنين عليه السلام الإمامةَ ، علىٰ عصمته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عدم المنافاة بين نقل النصّ عن طريق أميرِ المؤمنين عليه السلام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حصول العلم الضروريّ بكثرة من يدّعي النصّ من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عدم ثبوت معجزات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الكلام في تواتر النصوص التي ينقلها الشيعة و دلالتها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صحّة ما تدّعيه الشيعة من لفظ النصّ و تواتره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على الإمامة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وجود عُرف شرعيّ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استعمال الصحابة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ولاة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إبطال أن يكون النصّ ناظراً إلىٰ إثبات إمامة أمير المؤمنين عليه السلام بعد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إثبات كون النصّ أمراً و إيجاباً، لا إخباراً عن المستقبل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مناقَشةُ دَعوَى الإجماعِ علىٰ إمامةِ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عدم دخول الاحتمال في النصّ ، و دخوله في الإجماع علىٰ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نقض كلام القاضي بنفس طريقته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تهافت كلام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إلزام القاضي بنفس ما ألزم به القائلين بالنصّ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الكلام في الأدلّة الدالّة علىٰ إمامة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الدليل الأوّل و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العصمة، و الأفضليّة، و المطاعن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تقرير المصنّف لدليل 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دليل الأفضليّة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دليل المطاعن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نفي أن يكون الخلاف في شيء دليلاً علىٰ بطلانه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بيان الوجه الأَولىٰ في إبطال إمامة من تُدّعىٰ له الإمامة بلا استحقاق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تقرير المصنّف للاستدلال بآية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على التدبير و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علىٰ معنى التدبير و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إلىٰ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أمير المؤمنين عليه السلام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جواز حمل لفظ الجمع على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وجوب تخصيص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نفي عمومها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نفي أن يكون حمل الآية علىٰ إمامة أمير المؤمنين عليه السلام مستلزماً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نفي دلالة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التواضع و الخضوع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بيان عدم التنافي بين إيتاء الزكاة و الاشتغال بالصلاة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بيان دلالة الآية علىٰ إمامة أمير المؤمنين عليه السلام بعد الرسول صلى الله عليه و آله بلا 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نفي دلالة الآية على إمامة أمير المؤمنين عليه السلام بعد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معنىٰ وصفه تعالىٰ بأنّه وليّنا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صحّة وصف الرسول صلى الله عليه و آله بأنه وليّ بمعنىٰ إمضاء الحدود و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نفي دلالة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النصرة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دلالة اللغة علىٰ أنّ الركوع في الآية حالٌ لإيتاء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بيان حقيقة الزكاة التي آتاها أمير المؤمنين عليه السلام في حال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عدم دلالة الآية على الصلاة و الزكاة الواجبتين دون المستحبّتين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نفي أن يؤدّي إيتاء الزكاة إلىٰ بطلان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نفي أن يكون الركوع جهة فضل للزكاة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نفي دلالة الآية السابقة علىٰ آية الولاية، علىٰ عدم اختصاص آية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جواز اختصاص الآية السابقة علىٰ آية الولاية بأمير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نفي تطبيق الآية السابقة علىٰ آية الولاية، علىٰ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عدم دقّة صاحب المغني في نقله لكلام أبي مسلم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نفي نزول آية الولاية في حقّ عُبادة بن الصامت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تَظٰاهَرٰا عَلَيْهِ فَإِنَّ اللّٰهَ هُوَ مَوْلاٰهُ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نفي دلالة الآية على الإمامة، و إثبات دلالتها على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أمير المؤمنين عليه السلام أصلح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دلالة آية المباهلة على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إثبات دخول أمير المؤمنين عليه السلام في المباهلة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نفي أن يكون سببُ حضور أمير المؤمنين عليه السلام في المباهلة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نفي دلالة الآية علىٰ إمامة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مقدّمة في بيان تقريرات الاستدلال بحديث الغدير على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بمقدّمة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صحّة حديث الغدير و تواتره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نفي أن يكون أحدٌ شكّ في صحّة حديث الغدير أو اعتقد بطلانه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علىٰ صحّة حديث الغدير بالاحتجاج به في 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صحّة مقدّمة حديث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الغدير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بيان عموم إمامة أمير المؤمنين عليه السلام لكلّ ما يقوم به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بيان عموم إمامة أمير المؤمنين عليه السلام لجميع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التقسيم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التقرير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الإطلاق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مناقشة ما أورده القاضي علىٰ تقريرات الاستدلال بحديث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نفي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إيجاب الموالاة، مع القطع على الباطن،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بيان عموم الإمامة لكلّ الخلق و الأوقات، بناء علىٰ تفسير الولاية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تقدُّم منزلة الإمامة علىٰ منزلة الموالاة المخصوصة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نفي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الغدير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نفي شمول فرض طاعة أمير المؤمنين عليه السلام لحال حياة الرسول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عدم صحّة إرادة الموالاة المطلقة أو المخصوصة من حديث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بيان تواتر مقدّمة حديث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افتقار التقرير الأوّل لحديث الغدير إلى المقدّمة، خلافاً للثاني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دلالة مقدّمة حديث الغدير علىٰ معنىٰ فرض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مشاركة الأُمّة للنبيّ و الإمام بمعنىً خاصّ من المشاركة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إرجاع معنى الإشفاق و الرحمة إلىٰ معنىٰ فرض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نفي أن يكون فرض الطاعة غيرَ مقصود في مقدّمة حديث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نفي لزوم تفسير مقدّمة الحديث بالإمامة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التقرير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بيان الحاجة إلىٰ مقدّمة الحديث لأجل إثبات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إبطال الأخبار التي استُدِلَّ بها علىٰ سبيل المعارضة على النصّ علىٰ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بطلان حديثَي الخُلَّة و الاقتداء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بطلان دلالة حديثَي الخُلّة و الاقتداء و غيرهما على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نفي أن يكون حديث الغدير صادراً نتيجة منازعة 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دلالة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الأولىٰ بالتدبير، و أقسام ما تُستعمل فيه من معانٍ‌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صحّة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الوالِد و المستأجِر مع 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صحّة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الرئيس و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صحّة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مالك العبد من حيث كونه مالكاً لطاعته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بيان عدم توقّف الاستدلال بحديث الغدير علىٰ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دلالة كلام أبي مسلم الأصفهانيّ علىٰ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مخالفة كلام أبي مسلم لكلام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جواز استعمال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الواحد و الاثنين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جواز استفادة معنى الإمامة من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تقرير ابن قبة الرازي للاستدلال بحديث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نفي ادّعاء ابن قِبة الضرورةَ في معرفة النصّ على الإمامة من حديث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الدليلُ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مقدّمة في الاستدلال بحديث المنزلة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التقريرُ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صحّة حديث المنزلة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 هارون لو بقي حيّاً بعد موسىٰ لَخَلَفَه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هارون لموسىٰ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شراكة هارون لموسىٰ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نفي كون أمير المؤمنين عليه السلام مفترضَ الطاعة في حال حياة الرسول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نفي أن يكون الحديث ناظراً إلى المنازل التي كانت لهارون من جهة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 الحديث يُثبت جميع المنازل إلّاما استُثني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إبطال أن يكون الحديث مقصوراً علىٰ منزلة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عودة إلىٰ مناقشة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نفيُ أن يكون تقديرُ حصول الشيء مانعاً من وصفه بأنّه منزلة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عدم توقّف الاستدلال بحديث المنزلة علىٰ وصف المقدَّر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نفي أن يكون الاستثناء في الحديث،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نبوّتي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بيان شمول التشبيه في الحديث للمنازل أنفسِها، لا لأوقاتها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نفي الحاجة إلى اشتراط العيش بعد النبيّ في دلالة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وجوب المطابقة بين الاستثناء و المستثنىٰ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نفي خروج الاستثناء في الحديث عن حقيقته إذا تناول ما بعد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عدم دلالة الحديث علىٰ منازل أمير المؤمنين عليه السلام في حال حياة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نفي دلالة صدر الحديث على الإمامة، لا في الحال و لا في المستقبل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بيان أنّ منزلة خلافة هارون لموسىٰ هي إحدىٰ منازله، و إن كانت مقدّرة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اعتراضُ القاضي بوِصايةِ يوشَعَ بنِ نونٍ ، و الجوابُ عن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اقتضاء خلافة هارون في حياة موسىٰ ، لخلافته له بعد موته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بيان خلافة هارون لموسىٰ بقول موسىٰ و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لزوم استخلاف موسىٰ لهارون عند غيبته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تهافت كلام القاضي حول مسألة لزوم استخلاف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مناقشة ما ذكره القاضي من أنّ سبب الاستخلاف هو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بيان أنّ إثبات الإمامة المخصوصة بحال دون حال يستلزم الإمامة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بيان انفصال منزلة الإمامة عن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بيان انفصال منزلة خلافة هارون لموسىٰ في حياته، عن منزلة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خلط القاضي بين الاستدلال بالاستخلاف على المدينة،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بيان أنّ فرض الطاعة و عموم الولاية يستلزمان إثبات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بيان وجه الاستدلال بالاستخلاف على المدينة علىٰ إمامة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بيان الفرق بين النبوّة و الاستخلاف في اقتضاء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مناقشة أن يكون سبب صدور حديث المنزلة هو إرجاف 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عدم المنافاة بين تأويل الإماميّة للحديث، و تأويل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نفي دلالة العرف على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في بيان كون الاستثناء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تأويل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مجازيّاً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بيان زوال شكّ المنافقين و إرجافهم بناءً علىٰ تأويل المنزلة بالولاية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دلالة الحديث علىٰ منزلة خلافة أمير المؤمنين عليه السلام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بيان وجه القطع علىٰ بقاء أمير المؤمنين عليه السلام حيّاً بعد وفاة الرسول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إبطال تولية أبي بكر علىٰ أمير المؤمنين عليه السلام في الحجّ ،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نفي أن يكون استخلاف غير أمير المؤمنين على المدينة عزلاً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تهافت كلمات القاضي حول تولّي هارون لشؤون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إشارة إلىٰ ما تقدّم من أنّ إمامة هارون كانت لاستخلاف موسىٰ له، لا لنبوّته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بيان زوال أثر الاستخلاف علىٰ فرض تأثير النبوّة في القيام بشؤون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عدم توقّف الاستدلال بحديث المنزلة على الإمامة، علىٰ كون الاستخلاف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بيان عدم وجوب الإمامة لشخصٍ 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عدم دلالة حديث المنزلة علىٰ نظريّة الإمامة بكلّ تفاصيلها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نفي وجود مَن يساوي الرسول صلى الله عليه و آله و أمير المؤمنين عليه السلام في أيّام ولايتهما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بيان الفرق بين الاستخلاف في حياة الرسول صلى الله عليه و آله، و بعد وفاته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بيان عموم وصف الاستخلاف بأنّه منزلة، سواء كان الاستخلاف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الدليل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استخلافُ الرسولِ صلى الله عليه و آله عليّاً عليه السلام علَى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نفي دلالة الاستخلاف على المدينة، على النصّ علىٰ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دلالة استخلاف الرسول صلى الله عليه و آله في حال غيبته في حياته،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بيان الفرق بين أصل الاستخلاف و بين عدد المستخلَفين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نفي دلالة تبديل الخلفاء علىٰ عدم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نفي دلالة استخلاف الأُمراء لغيرهم، علىٰ مشاركتهم للرسول صلى الله عليه و آله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الدليل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 وَصيّي،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بيان تواتر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خليفتي من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بيان اللفظ الدالّ على الإمامة من بين ألفاظ الحديث الذي نقله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المؤاخاة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دلالة بعض الأفعال و الأقوال على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دلالة المؤاخاة على التقارب في المنزلة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بيان تكرّر واقعة المؤاخاة، و تعيين المؤاخاة الدالّة على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بيان دلالة المؤاخاة على الفضل و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الدليل الثالث عشر و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الرايةِ ، و حَديثُ الطائرِ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تقرير دلالة الحديثَين على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دلالة حديث الراية علىٰ أفضليّة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الدليل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تواتر حديث التسليم بإمرة المؤمنين، و أحاديث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إشارة إلىٰ حصول شروط التواتر في نقل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جواب إجماليّ لأخبار عدم الاستخلاف أو استخلاف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تفصيل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الجواب عن أخبار عدم الاستخلاف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مناقشة خبر عدم وصيّة أمير المؤمنين عليه السلام 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مناقشة خبر طلب العبّاس معرفة الإمام بعد الرسول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عودة إلىٰ مناقشة خبر عدم وصيّة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الجواب عن أخبار استخلاف أبي بكر و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مناقشة خبر استخلاف الرسول صلى الله عليه و آله لعمر بعد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مناقشة خبر تبشير أبي بكر و عمر بالجنّة و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مناقشة أخبار إرجاع الرسول صلى الله عليه و آله إلىٰ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مناقشة خبر أنّ الخلافة ثلاثون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مناقشة خبر مشاهدة أبي بكر لرقْمَين في عالم 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مناقشة خبر أنّ أبا بكر و عمر سيّدا كهول أهل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مناقشة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أخي و صاحبي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مناقشة خبر الأمر بالاقتداء بأبي بكر و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مناقشة أخبار مدح أمير المؤمنين عليه السلام لأبي بكر و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مناقشة الاستدلال علىٰ خلافة أبي بكر، بردّ أمير المؤمنين عليه السلام 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مناقشة خبر تمنّي أمير المؤمنين عليه السلام أن يلقى اللّٰه بصحيفة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مناقشة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متّخذاً خليلاً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بيان دلالة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بيان دلالة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سيّد المسلمين و قائد الغرّ المحجّلين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بيان دلالة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وليّ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بيان دلالة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الدليل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مقدّمة في بيان دلالة حديث الثقلين و السفينة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بيان صحّة حديث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بيان دلالة حديث الثقلين علىٰ أنّ إجماع أهل البيت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بيان إجماع أهل البيت علىٰ إمامة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بيان دلالة حديث الثقلين علىٰ ثبوت حجّةٍ مأمونٍ من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مناقشة الأخبار التي عارض بها القاضي دلالة حديث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مناقشة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مناقشة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الدليل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بيان دلالة آية التطهير على 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بيان اختصاص الآية بالمعصومين من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الدليل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تقرير دلالة الآية على الإمامة، بناءً علىٰ بعض المباني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بيان تناوُل عنوان الظالم لمن تاب بعد كفر و فسق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بيان دلالة الآية على الإمامة بمعنىٰ إقامة الحدود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بيان أنّ الإمام حجّة كالرسول، و بيان اختلاف حاله عن الأمير و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إمامة الأئمّة الاثني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مقدّمة حول إمكان الاستدلال علىٰ إمامة الأئمّة الاثني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تفصيل الدليل علىٰ إمامة الأئمّة الاثني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زيادة الخوف علىٰ صاحب الزمان عليه السلام من الأعداء، أكثر من غيره من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بيان أنّ سبب الغيبة هو فِعل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بيان ما يجوز من حراسة إمام الزمان عليه السلام ممّا يُخاف عليه، و ما لا يجوز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أنّ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الرسل، لا مطلق الحجّة الذي يشمل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أمير المؤمنين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الشيعة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 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ببيعته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ما يجري مجراه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ما يجري مجراه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تطرّق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مثل دعوى الاضطرار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متى ادّعوا الاضطرار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كذّبناهم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الاحتجاج في النصّ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ترويه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للإمرة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 قد ظلم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البراءة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بعد أن يعلم أنّه لا وجه له إلّاالرضا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مدحه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الاعتراف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يعارض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يدلّ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يرويه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إنّها اعتقدوه بشبهات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تثبت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يصحّ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هكذا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بثبوته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بدّ لذلك من وجه آخر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نرجع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بدّ إذا كان هذا حاله من أن ينقل فيذكر لفظه؛ ليعلم كيفيّة دلالته، و في إبطال ما تعلّق به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نمضي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ذكرته الشيعة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 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يجري مجرى ذلك</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نحلتهم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حكينا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أمير المؤمنين عليه السلام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بالنصّ من الرسول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ظهوره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أراده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ادّعائه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بالرجل الرجل الذي تقدّم ذكره في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عناه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ذكر بعض الإماميّة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يصرّح باسمه و لا بكتابه، و كذلك لم يتعرّض المصنّف رحمه اللّٰه لذكره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ادّعاه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العلّة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ادّعاء نقله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كانوا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اختلفوا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المجلّد الخامس عشر منه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 معرفة الإمامة بالاستدلال بها، كما يتوصّل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الفسحة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النصّ غير المبيَّن بقَولٍ معروفٍ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 و هكذا فيما يأتي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تخرج</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محالة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أنّ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خالف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فكذلك</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النقل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نفى</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انقطاع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يتمكّن المخالف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التلخيص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حجّة لنا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يجوز أن لو يدّعي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 يجوز أن يجري مجرى القرآن و يدّعي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هذه المعجزات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لوجب أن ينقلها أسلافنا كما نقلوا سواها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ظهور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ذكر ما أنكره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نثبت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 خبر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عليهم أن يدّعوا نصّاً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يمكنهم أن يدّعوا أيضاً أنّه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يحتمل عدّة وجوه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التأوّل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الإمامة في العلم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الإمامة في العلم الذي هو أصل الإمامة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يمكن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بدّ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ما بين المعقوفين من المصدر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جهتكم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يضرّنا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المولود من الكلام و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المصنوع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يروونها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حيث ظننت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فأجمع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المتحاذية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المتقاربة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بالشبهة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موهوماً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أدلّة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يمتنع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يرويها و يعتمد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منعناه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للنصّ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يدخل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يحتمل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تجويز</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يصحّ أن يقع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الشرعيّة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نحاه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وجدنا الكلّ الذين قطعوا على صحّته لا يفرّقون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بجميع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هكذا بالنسبة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يروونه من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القول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بالإمام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 الأمير و الخليفة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 أمير و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الألف و اللام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لفظ</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إمارة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 لفظ الإمامة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استعماله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أحدها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طريق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مجتمعة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لأمير المؤمنين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خروج</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ألفاظ</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ثبوت إمامته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 و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خبراً و أمراً أو إيجاباً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مانع</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جعل المنازل خبراً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لهذا القول، و كأنّه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يبايعني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ينسق، أي يعطف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صنعتي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 درهم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بالطريق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مباينة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ثبوته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تتعلّقون به و تزعمونه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 له ظاهر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تدّعونه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جميع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 ذلك</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يروون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يصرف عن ظاهره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لم نشتغل بأدلّتهم أصلاً، و لصحّ إلزامهم عند ذلك أن يكلّمونا في هذا الباب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كفيناهم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كفوهم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أنّ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يصحّ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 و يشهد له تكرار هذه العبارة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بهذه الدلالة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دلالتهم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إن 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المغني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الطائفة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ذلك يبيّن صحّة ما قدّمناه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إرادتهم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يلزمهم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بالآي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بتأويل الآي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يصلح</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 يذهب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يحملا على غير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يحملا إلّاعلى الإمامة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 يدّعونه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الإجماع المتعلّق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التعلّق بالإجماع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كفيناهم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كفيناهم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كفاهم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بأدلّتنا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القائلون بأنّ العبّاس منصوص على إمامته، و قد ذكرهم المصنّف رحمه اللّٰه في غير موضع من هذا الكتاب، و أشار إلى أنّهم كانوا قليلين في زمانهم، و أنّهم من الفرق المنقرضة في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ألّف الجاحظ كتاباً حكى فيه مقالتهم و حجاجهم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صاحبهم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يجعله ساقطاً من جملة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يعوّل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بفائدة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يجب أن يكلّم فيها من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يعتمدها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نشتغلَ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نشتغل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الكلام فيها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يصحّ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يزعم أنّ الإمامة إذا لم تكن إلّابنصّ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إمّا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بوجوه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المطبوع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نبيّن ما يليه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أصلين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يخلو الزمان منه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أوجبنا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الإرجاء على معنيين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بمعنى التأخير؛ لأنّهم كانوا يؤخّرون العمل عن النيّة و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إعطاء الرجاء؛ فإنّهم كانوا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تضرّ مع الإيمان معصية، كما لا تنفع مع الكفر 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الإرجاء تأخير حكم صاحب الكبيرة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المرجئة و الوعيديّة فرقتان متقابلتان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الإرجاء تأخير عليّ عليه السلام عن الدرجة الأُولى إلى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المرجئة أربعة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مرجئة الخوارج، و مرجئة القدريّة، و مرجئة الجبريّة، و المرجئة الخالصة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شبيب و الصالحي و الخالدي من مرجئة 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الفَرق بين الفِرق،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صاحبهما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ثبت أنّه عليه السلام أفضل من غيره وجبت له الإمامة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أعلم الأُمّة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علومه شيء</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رحمهم اللّٰه قديماً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فربّما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ذكروا من جملة المطاعن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يخرج</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من أخّر الولايات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بُعث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بعثه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المبعوث</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 و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هذا الجيش</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عونه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وجب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جهة العقل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بالنصّ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إنّما يحصل معصوماً بالنصّ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يخالف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الفاضل علّة يتعذّر إذا كان هناك عذر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يلزمنا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لا تقوله و لم نقله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اعتمدنا عليه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معصوماً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منصوصاً عليه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أشار إليه قد تقدّم في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دللنا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بدّ أن يكون معصوماً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اجتمعت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الإجماع على ارتفاع عصمته عليه السلام؛ باعتبار قول الإماميّة بها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ثبت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الحمد للّٰه ربّ العالمين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يغلو</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يولّىٰ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يسلكون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 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المغني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تثبت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أمير المؤمنين عليه السلام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اجتمعوا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فيذكر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يذكر و يقال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نبيّن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يجعل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يقدح</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يعتمد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يجري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يقول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نكون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تأخّره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شاء اللّٰه عزّ و جلّ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يدلّ على صحّة الأوّلة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تدلّ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يعتقدوا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يثبت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من تُدّعىٰ له الإمامة لا يصلح لها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انتفاء ما تثبت به الإمامة عمّن تُدّعىٰ له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تعلم أنّا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جواباً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جواباً و ينكره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خارج عن الذي نحن فيه، و عن الذي كلامنا عليه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بكون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يراه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لحصولها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ثبت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يشير إلىٰ دليل العصمة المتقدّم في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الذي سوف يشير إليه بعد قليل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التخصيص</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يَقُمْ دليلٌ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المراد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المراد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أن يكون يراد به المتولّي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قوم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فلم يبق</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يكون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النصوص</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بوليّكم المذكور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تدبيركم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الأصلين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المتحقّق</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يحتمل اللفظة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يحتمل اللفظ</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أربعة بحوث</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 و هو قتل النفس بالنفس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العفو</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الكميت بن زيد بن خنيس الأسدي، يكنّى أبا المستهلّ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مقدّم، عالم بلغات العرب، خبير بأيّامها، و كان معلّماً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منزله الكوفة، و مذهبه في التشيّع و مدح أهل البيت عليهم السلام في أيّام بني أُميّة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قصائده الهاشميّات من جيّد شعره و مختاره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في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دفن في الكوفة في موضع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الباقر عليه السلام لمّا 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لقلبٍ مُتَيَّمٍ مُستهامِ؟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تزال مؤيَّداً بروح القدس ما دمتَ تقول 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في المتن من هاشميّته</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أرادوا وليّ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وليّ الأمر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محمّد بن يزيد بن عبد الأكبر الثمالي الأزدي، المعروف بالمبرّد 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بغداد، و كان إماماً في النحو و اللغة، و له تصانيف كثيرة في مختلف العلوم و الأدب و اللغة تناهز المائة، بعضها مطبوع و بعضها مخطوط، منها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و الروضة، و المقتضب، و 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الكتاب الذي أشار إليه المصنّف في المتن، و هو في صفات اللّٰه تعالى كما يظهر من المتن، و لم نعثر عليه، و لعلّه من المخطوطات النادرة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الأدب عن أبي عثمان المازني و أبي حاتم السجستاني و أخذ عنه نفطويه و غيره من الأئمّة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أحقّ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أخبره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و آله السلام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لأنّ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حملوا أنفسهم على أن يجوز</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يصحّ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يستدلّ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نبطل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وحيه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يبصر في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الملقّبون بهذا اللقب كثيرون أنهاهم الآمدي في المؤتلف و المختلف إلى سبعة عشر شخصاً من جاهليّين و إسلاميّين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المائز بينهم الإضافة إلى القبيلة، كأعشى حمدان، و أعشى قيس، و أعشى تغلب، 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هنا أشهرهم أعشى بن قيس الذي يعرف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الأعشى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 بن قيس بن جندل بن شراحيل بن عوف، و يكنّى أبا بصير، و كان أعمى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و نشأ و مات في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مدينة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أحد الشعراء المشهورين في الجاهليّة، و أدرك الإسلام في آخر عمره و رحل إلى النبيّ صلّى اللّٰه عليه و آله ليسلم، و لكنّه لم يسلم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يغنّي في شعره، فكانت العرب تسمّيه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صنّاجة</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بلفظة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تحتمله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للفظ</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سواها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يشافههم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توجّهه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يشافهه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الاستدلال بها من الطريقين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بُنيتا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مجتمعة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بين قائلين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يقول إنّه عليه السلام المختصّ بها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طريقتين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 طريق</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العامّة و الخاصّة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مثال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ذكرناه و</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الخاصّة فلا كلام في إجماعهم على الأمر؛ لأنّهم يتّبعون أهل البيت عليهم السلام، و طرق التفسير عنهم واضحة الدلالة على نزولها في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العامّة فقد أطبقوا إلّامن شذّ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لمحبّ الدين الطبري،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باللفظ</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أُمور تفارقه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بعليّ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تخصّص</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من دليل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اللفظة على سبيل التعظيم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ما تقدّم عند تقرير الاستدلال بآية الولاية علىٰ إمامة أمير المؤمنين عليه السلام، و ذلك في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 الموصوف الواحد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وجب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استشهدنا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نراكم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جعلتم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الاستقبال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لأُخرى</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قولكم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تجمعها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 علامات الفعل المضارع</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تختصّ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يذكر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ذكرنا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وجه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نحتاج</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نتأوّل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بلفظة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نعلم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تأويل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الغائط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الواسع من الأرض، و لمّا كان مَن يريد قضاء الحاجة يطلب ذلك المكان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من الغائط، ثمّ نقلها العرف إلى المعنى المشهور حتّىٰ تُرك المعنى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الفروق في اللغة،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غوط</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نحمل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شاهد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 المشهور، و يتقدّم على الحقيقة المهجورة في باب التعارض</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لمخالف</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الخطاب</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فلن تكون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خِيَرِ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لصحّ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يستفد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تولّي المؤمن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تولّي المؤمنين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التحقيق</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تأوّلنا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الْمُؤْمِنُونَ وَ الْمُؤْمِنٰاتُ بَعْضُهُمْ أَوْلِيٰاءُ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تقدّمت هذه الآية في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واحد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اقتضيا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بدّ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ذكرته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فصارا مجازين على تأويلنا، و إذا سلّمنا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الجميع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هذه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يُقِيمُونَ الصَّلاٰةَ وَ يُؤْتُونَ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سوف يصرّح المصنّف رحمه اللّٰه بذلك في بداية جوابه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الجميع</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لأجل أنّه لا يمتنع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لأجل أنّه لا يمنع</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بالأثر أن نقطع غيره بذلك</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يؤتون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يؤتون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فأخرج حالهم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إخراجاً لهم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 طريق</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بوصفهم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 دامة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يؤدّى</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المدح في إيتاء الزكاة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 يحمل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المراد باللفظة الأُولى التي هي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المتفرّد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الخضوع</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يفهم منه إلّاالتطأطؤ المخصوص في اللغة و الشرع معاً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بن أحمد الفراهيدي الأزدي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الإمام النحوي اللغوي العروضي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استنبط علم العروض و حصر أقسامه في خمس دوائر و استخرج منها خمسة عشر بحراً، و هو أوّل من جمع حروف المعجم في بيت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النحو عنه سيبويه و الأصمعي و النضر بن شميل و هارون بن موسى 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قلادة النحر،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منكبّ بوجهه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 و 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فتمسّ ركبته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 و 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تمسّ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تطأطأ</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لبيد بن ربيعة بن مالك العامري الشاعر، أبو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شعراء الجاهليّة و فرسانهم، و كان من ذوي المعلّقات، مطلع معلّقته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 الديارُ مَحَلُّها فمُقامُها بِمِنىً تَأَبَّدَ غَوْلُها فرِجامُها</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لبيد،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كتاب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الحسن بن دُريد، أبو بكر الأزدي القحطاني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بالبصرة، و انتقل إلى عمان، فأقام بها اثنتي عشرة سنة و عاد إلى البصرة، ثمّ تنقّل في جزائر البحر و فارس، ثمّ رجع إلى بغداد، و اتّصل بالمقتدر العبّاسي، فأجرى عليه في كلّ شهر خمسين ديناراً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بقي في بغداد إلى أن توفّي فيها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من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يوم وفاة أبي هاشم الجبّائي، فقال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 علم اللغة و علم الكلام بموت ابن دريد و أبي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أئمّة اللغة و الشعر و الأدب حتّى 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دريد أشعر العلماء و أعلم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آية في الرواية و الحفظ، حتّى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إذا قرئ عليه ديوان شعر حفظه من أوّل مرّة، و حكي أنّه أملى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حفظه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فما استعان عليه بالنظر في شيء من الكتب إلّافي الهمزة و اللفيف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الجمهرة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و تهذيب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كتاب العين إلْ‍ لا أنّه قد غيّره</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سمقاء</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يكبو</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المصنّف رحمه اللّٰه فيما تقدّم نصَّ الخبر، لكنّه أشار إلىٰ وروده بطريقين مختلفين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طريق الخاصّة و العامّة، و ذلك في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للطوسي،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كنز الفوائد للكراجكي،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مجمع البيان،</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يتنافى</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للتعريف</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نزول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مبطلاً لها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يلي نصّ ما جاء في المغني، و هو من تتمّة كلامه المتقدّم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بعد، فليس في الآية إلّاإثبات الذين آمنوا وليّاً 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أنا 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يمنع ذلك كون غير من ذكر بهذه الصفة؛ لأنّ إثبات حكم لواحد لا ينفيه عن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المراد بالآية أمير المؤمنين، فمن أين أنّه المختصّ بها دون غيره ؟ و هذا أبعد من دليل الخطاب الذي تعلّق به بعض الفقهاء؛ لأنّهم يقولون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الحكم بصفة الشيء يدلّ على أنّه إذا لم يكن بتلك الصفة بخلافه، و لا يوجبون ذلك في غيره ما دخل تحت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لم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أمير المؤمنين ليس يولّىٰ ، فمن أين أنّ غيره لا يشركه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الوقت الذي أُقيم فيه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سلّمنا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يتولّاه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 عليه السلام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نعتمد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بأنّ الظاهر إثبات الحكم في كلّ وقت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 و عزّ</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يجب 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وجب له عزّ و جلّ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فيما بعد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قائم مقامه فيما كان يتولّاه و يقوم به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قائم مقامه فيها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يوصف جميعهما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يوصف جميعاً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تولّي النصرة في باب الدين، كما جاء في نهاية كلام صاحب المغني المتقدّم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 التي تقدّمت قبيل هذا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نصرهم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يلي نصّ ما جاء في المغني، و هو من تتمّة كلامه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لم نستدلّ بظاهر الآية، لكن بالرواية الصحيحة الدالّة علىٰ أنّها نزلت في أمير المؤمنين لمّا تصدّق بخاتمه و هو راكع؛ فيجب أن يكون هو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ذكره من الرواية غير مسلّم على الوجه الذي قصد به؛ لأنّه لا يمتنع ورود الآية عند فعله عليه السلام و لا يكون هو المراد فقط؛ لأنّ ورودها عند أمر لا يوجب صرفها إليه عن ظاهره، بل الواجب حملها على 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مثل ذلك عن كثير من المفسّرين؛ لأنّهم على 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فيه عليه السلام و يقولون ما أُريد بالآية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جميع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تسليم ذلك لا تدلّ على الإمامة لما قدّمناه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عليّ الجبّائي الذي تقدّمت ترجمته، و جاء ذكره في هذا الكتاب مراراً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فضلاء</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حالة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طريقهم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نعرف</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أُموره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للزكاة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أنّ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وجوبه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وجه الإنعام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وجه الإنفاق</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تأوّله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صفتهم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لكلام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الحجري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 في عينه حقير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يعظم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إتيانها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يُفهم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لقي زيداً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المطبوع و التلخيص</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ظاهر البطلان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مقيّداً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اللغة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الزكاة في اللغة الطهارة و النماء و البركة و المدح، و كلّ ذلك قد استُعمل في القرآن و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أدنىٰ مقادير نصاب الزكاة الواجبة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باب زكاة الذهب و الفضّة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زكاة الذهب؛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ما تجب فيه الزكاة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زكاة الغلّات و النقدين فالحكم إجماعيّ‌، و تشهد له الأخبار الكثيرة عن الأئمّة عليهم السلام، منها صحيح محمّد بن خالد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أبي جعفر الثاني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يجوز أن يُخرَجَ عمّا يجب في الحرث من الحنطة و الشعير و ما يجب على الذهبِ دراهمُ بقيمةِ ما يَسْوىٰ ، أم لا يجوز إلّاأن يُخرَجَ من كلّ شيءٍ ما فيه ؟ فأجاب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أيُّما تَيَسَّرَ يُخرَجُ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5962/1</w:t>
      </w:r>
      <w:r>
        <w:rPr>
          <w:rFonts w:ascii="IRNazanin" w:hAnsi="IRNazanin" w:eastAsia="IRNazanin"/>
          <w:b w:val="false"/>
          <w:b w:val="false"/>
          <w:bCs w:val="false"/>
          <w:i w:val="false"/>
          <w:i w:val="false"/>
          <w:iCs w:val="false"/>
          <w:color w:val="333333"/>
          <w:sz w:val="20"/>
          <w:sz w:val="20"/>
          <w:szCs w:val="20"/>
          <w:rtl w:val="true"/>
        </w:rPr>
        <w:t xml:space="preserve">، باب الرجل يعطي عن زكاته العوض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يستحضر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فيسأل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التبرّؤ من جناية ذنب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الواجبين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 المؤمن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عامّة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غلبة الصحابة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الذي أوجب عليهم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الذي وجب عليه زكاة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ينقض</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طريق</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المراد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طريقة لفعل الزكاة و الصلاة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لم يقصد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أنشد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محمّد بن الحسين بن مهرايزد النحوي المعلّم الأصبهاني الأديب، أبو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تفسيراً كبيراً في عشرين مجلّداً، و كان عارفاً بالنحو غالياً في الاعتزال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على أنباه النحاة،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طبقات المفسّرين،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الأضبط بن قريع السعدي، هو من بني عوف بن كعب بن سعد، كان الأضبط مفروكاً لا يتزوّج امرأة إلّاطلّقته، و كان إذا لقي في الحرب تقدّم أمام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قد أساء قومه مجاورته، فانتقل عنهم إلى آخرين، فكانوا كذلك، فقال المثل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بكلّ واد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أينما أوجَّه ألق سعداً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الأغاني،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الوافي بالوافيات،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لعلّك</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أمالي القالي،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التمثيل و المحاضرة،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أساس البلاغة،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وصف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الصامت بن قيس بن أصرم الخزرجي الأنصاري السالمي، يكنّى أبا الوليد، و هو من كبار الصحابة و من الموصوفين بالورع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العقبة مع السبعين من الأنصار و هو أحد النقباء الاثني عشر، و آخى رسول اللّٰه صلّى اللّٰه عليه و آله بينه و بين أبي مرثد الغنوي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عبادة بدراً و أُحداً و الخندق و المشاهد كلّها مع رسول اللّٰه صلّى اللّٰه عليه و آله، و كان ممّن تخلّف عن بيعة أبي بكر يوم السقيفة مع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عبادة رجلاً طوالاً جسيماً جميلاً، و مات بالرملة من أرض الشام سنة أربع و 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توفّي بالمدينة،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ببيت المقدس، بعد أن وجّهه عمر إلى الشام قاضياً و معلّماً، فأقام بحمص، ثمّ انتقل إلى فلسطين و مات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معجم الصحابة،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معرفة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تقويةُ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مقوّية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تبييناً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كلّ الأمر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بالائتمام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الصفات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الواو، و هو سهو</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الواجبين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حقيقة الإيمان عند المصنّف رحمه اللّٰه هي التصديق القلبي، و أمّا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منه إقامة الصلاة و إيتاء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داخلاً في حقيقة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ظاهرها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ظاهره الصلاة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ادّعاؤه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وجوداً قبل مقاديرها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العدد اليسير من الصحابة الذين أشار إليهم أبو هاشم في كلامه الذي نقله عنه صاحب المغني</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العدد اليسير الذي أشار إليهم و إخراج</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سوىٰ أمير المؤمنين عليه السلام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خفيّة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تقطع</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للقطع</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عمدة القاري،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وجب</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ناقضاً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علمنا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طريقة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للقصد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التميّز</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سواء</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ليميّز للمذكور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جرى</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شاعر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ممتنع</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و الحجري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تكون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واحد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صاحبها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نذكر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تدلّ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يكون جزاء 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لمتعلّق أن يتعلّق</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ترك</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تقتضيه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ظنّ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أنّ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مانع من أن يجعل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وافق</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أكثر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الأصحّ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22872</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3973</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الآية السابقة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العزّة على الكافرين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نكيتُ في العدوّ نكايةً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قتلتَ فيهم و جَرحتَ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نكى</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الضغطةُ ، أو الأخذةُ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وطأ</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يدانيه فيها أحد و لا يقاربه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بما يقتضي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غناء</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الآخر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الغمّ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وجهه، أعني الرسول عليه السلام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لم يحمّ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حَجَمَ و أحْجَمَ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أو نكص هيبةً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المقاوم في الشجاعة و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أحجم و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يسلم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للاختصاص</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صواب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الجهاد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انهزم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فراره مع عمر بن الخطّاب يوم خيبر، حينما بعثه النبيّ صلّى اللّٰه عليه و آله إلى يهود خيبر، فرجع منهزماً يجبّن أصحابه، فلمّا كان من الغد بعث عمر فرجع بما رجع به صاحبه بالأمس، و يفصح عن ذلك تأثّر النبيّ صلّى اللّٰه عليه و آله حتّى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لأُعطينّ الراية غداً رجلاً يحبّ اللّٰه و رسوله و يحبّه اللّٰه و رسوله، يفتح اللّٰه على يديه، كرّار ليس بفرّار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22872</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الكشف و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معالم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نفائس التأويل،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لم يخصّ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مدّعياً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الخصم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بالتحابل</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إمضائها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يصحّ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المراد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يختصّه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 الأمر و يختصّ به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نصّ عبارة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أبعد من الأوّل؛ لأنّه إن سُلّم أنّه المراد به فلا يدلّ على</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تتعلّق</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الآية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أفشتاه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صاحبتهما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نصرة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اشتركت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رواة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الكشف و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المتوسّط</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أنفسكم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الجميع</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أصلها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صالحو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فسقطت الواو</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الجميع</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بالدراية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الجميع</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المغني</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عِظَمَ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الغناء</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ذكر الجميع الذين ليست لهم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يدلّ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بالوليّ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قدّمناه في التقدّم و النصرة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لصحّة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بن العلاء بن عمّار بن العريان التميمي المازني البصري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أعلم الناس بالأدب و العربيّة و القرآن و الشعر، و هو أحد القرّاء السبعة، و لمّا كتب المصحف عرض على عثمان بن عفّان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فيه لحناً و لتقيمنّه العرب بألسنتها، و كان أبو عمرو إذا دخل شهر رمضان لم ينشد بيت شعر حتّى ينقضي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8737</w:t>
      </w:r>
      <w:r>
        <w:rPr>
          <w:rFonts w:ascii="IRNazanin" w:hAnsi="IRNazanin" w:eastAsia="IRNazanin"/>
          <w:b w:val="false"/>
          <w:b w:val="false"/>
          <w:bCs w:val="false"/>
          <w:i w:val="false"/>
          <w:i w:val="false"/>
          <w:iCs w:val="false"/>
          <w:color w:val="333333"/>
          <w:sz w:val="20"/>
          <w:sz w:val="20"/>
          <w:szCs w:val="20"/>
          <w:rtl w:val="true"/>
        </w:rPr>
        <w:t xml:space="preserve">؛ معجم الأُدباء،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إنباه الرواة،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أوس بن حجر بن عتّاب التميمي، من شعراء الجاهليّة، و قيل لعمرو بن معاذ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بصيراًبالشعر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أشعر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ذؤيب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أوس عاقلاً في شعره، كثير الوصف لمكارم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أوصفهم للخمر و السلاح، و لا سيّما للقوس، و سبق إلى دقيق المعاني و إلى أمثال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فحول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الأغاني،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معاوية بن ضباب بن جابر، أبو أمامة المعروف بالنابغة الذبياني، أحد شعراء الجاهليّة المشهورين، و من أعيان فحولهم المذكورين، و أهل الحجاز يفضّلون النابغة و زهيراً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النابغة أحسنهم ديباجة شعر و أكثرهم رونق كلام و أجزلهم بيتاً، كان شعره كلاماً ليس فيه تكلّف، و نبغ بالشعر بعد ما احتنك، و هلك قبل أن يهتر و يخرف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ربيعة بن قرط، زهير بن أبي سُلمىٰ ، و الناس ينسبونه إلى مُزينة و إنّما نسبه في 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يتّصل الشعر في ولد أحد من الفحول في الجاهلية ما اتّصل في ولد زهير، و في الإسلام ما اتّصل في ولد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زهير راوية أوس 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عكرمة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أشعر الناس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جاهليّة أم إسلاميّة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فحول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الفهرست لابن النديم،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فطأطأ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طأطأ</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توجّه الخطاب بالآية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بآيات المباهلة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نَدْعُ أَبْنٰاءَنٰا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الآية السابقة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عليه السلام لا 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المغني</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الآية السابقة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يقرب</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يقرب من القوم في النسب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32/2404</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إضافة إلىٰ الكثير من المصادر الأُخرىٰ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يصحّ أن يدعو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تكلّف إطباق</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أوردنا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قرب من النسب إليه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إسلام العبّاس و عقيل كان بعد واقعة بدر الكبرى بأشهر، و واقعة بدر كانت في السنة الثانية من الهجرة في أواخر رمضان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في قصّة المباهلة تزيد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بعدّة 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 بشهور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تقارب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الفضل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فيما بعد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بريدة بن الحصيب بن عبد اللّٰه بن الحارث الأسلمي، يكنّى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قبل بدر و لم يشهدها و شهد الحديبية، فكان ممّن بايع بيعة الرضوان تحت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حديث التسليم علىٰ عليٍّ عليه السلام بإمرة المؤمنين، و كان أحد الذين وقفوا في المسجد و اعترضوا علىٰ أبي بكر بسبب تولّيه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ساكني المدينة، ثمّ تحوّل إلى البصرة، ثمّ خرج إلى خراسان غازياً، فمات بمرو في إمرة يزيد بن معاوية و بقي ولده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2826</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9754</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ظهرت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لجمعهم 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لجمع منهم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جمع</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انفلاتهم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انقلابهم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الانفلال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الانكسار و الانهزام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 جمهرة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36449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14905/90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15317/502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شبهة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تكون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النكير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تتمّ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سَعة و فُسحة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ندح</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اعتمده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يحكى</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 من جهة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دلّ من جهة العقل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فيما بعد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أنفسكم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إشارته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تقال عند المدح و الرضا بالشيء و تكرّر للمبالغة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مبنيّة على السكون، فإن وَصَلتَ جررتَ و نوّنتَ ، فقلت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 بخٍ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شدّدت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العجيب</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18502</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36420</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تذكرة الخواصّ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شواهد التنزيل للحسكاني،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تفصيل المصادر في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يجوز أن لا يريد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ما يقتضيه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يجوز إلّاأن يريد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ما تقتضيه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لتقدّم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لتقديمها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مولاه، أي</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ليكون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تأخّر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يكون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 لا يكون إلّاالإمامة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بان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يأتي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ملك الرقّ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المعتَق</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ابن العمّ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امه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الطاعات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ملك الرقّ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أنّه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ملك الطاعة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الاقتداء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الاتّباع و الاقتداء</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بما يقول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يستمرّ بيان هذه المقدّمة المطوّلة إلىٰ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الوجه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هذا المقام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فيما بعد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تحتمل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لوجب</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الاستعمال من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بالإمامة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أوجب الأحكام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يكون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أربعة بحوث سوف يقوم المصنّف رحمه اللّٰه ببحثها فيما يلي تباعاً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يسمع</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المنشورة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ترويه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يتلقّونه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أحصى شيخنا الأميني في كتابه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رواة حديث الغدير، فكانوا مائة و عشرة من الصحابة، و أربعة و ثمانين من التابعين، و ثلاثمائة و سبعة و خمسين من العلماء، و معظمهم بل جميعهم من علماء السنّة، و أحصى من أفرد التأليف في الغدير من علماء الفريقين، فكانوا ستّة و عشرين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كثير في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اعتنى بأمر هذا الحديث أبو جعفر محمّد بن جرير الطبري صاحب التفسير و التاريخ، فجمع فيه مجلّدين أورد فيهما طرقه و ألفاظه، و كذلك الحافظ الكبير أبو القاسم ابن عساكر أورد أحاديث كثيرة في هذه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القندوزي في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حكي عن أبي المعالي الجويني الملقّب بإمام الحرمين أستاذ أبي حامد الغزالي رحمهما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يتعجّب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مجلّداً في بغداد في</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يشتركه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يشاركه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تعتبر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خيبر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يعلمها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كأكثر أخبار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ابنه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أُسامة بن زيد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بعد ذكر حديث غدير 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ذلك أنّ أُسامة قال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مولاي، إنّما مولاي رسول اللّٰه صلّى اللّٰه عليه و سلّم، فقال النبيّ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أيضاً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ذخائر العقبى،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كنز الفوائد للكراجكي،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المعيار و الموازنة،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يعلم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نقلهم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يتناول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تناول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يتناول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نعلم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تشنيع</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تصحيح</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سليمان بن الأشعث، أبو بكر بن أبي داود الأزدي السجستاني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رحل به أبوه من سجستان يطوف به شرقاً و غرباً، و سمع من علماء ذلك الوقت، و استوطن بغداد و صنّف المسند، و السنن، و التفسير، و القراءات، و الناسخ و المنسوخ، 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فهماً عالماً حافظاً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دمشق مع أبيه و سمع بها من محمود بن خالد، و هشام بن خالد، و إبراهيم بن مروان بن محمّد، و يزيد بن عبد اللّٰه بن زريق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يتّهم بالانحراف عن</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دفع</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حكي عن الخوارج مثله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بحر بن محبوب، أبو عثمان الجاحظ الليثي البصري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من أهل البصرة، و أحد شيوخ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بغداد فأقام بها 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تلميذ أبي إسحاق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و البيان و التبيين، و النبيّ و المتنبّي، و المعرفة، و نظم القرآن، و مسائل القرآن، و فضيلة المعتزلة، و الإمامة على مذهب الشيعة، 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كتبه العثمانية في دعم أنصار عثمان بن عفّان و إنكار فضائل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هذا الكتاب المظفّر بن محمّد الخراساني، و أبو جعفر محمّد بن عبد اللّٰه الإسكافي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لخّص ابن أبي الحديد العثمانيّة و نقضها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لابن أبي الحديد نقضاً عليها أيضاً، أشار إليه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ذكرنا في نقض العثمانية على شيخنا أبي عثمان الجاحظ ما رواه أصحابنا في كتبهم الكلاميّة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6669</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5316</w:t>
      </w:r>
      <w:r>
        <w:rPr>
          <w:rFonts w:ascii="IRNazanin" w:hAnsi="IRNazanin" w:eastAsia="IRNazanin"/>
          <w:b w:val="false"/>
          <w:b w:val="false"/>
          <w:bCs w:val="false"/>
          <w:i w:val="false"/>
          <w:i w:val="false"/>
          <w:iCs w:val="false"/>
          <w:color w:val="333333"/>
          <w:sz w:val="20"/>
          <w:sz w:val="20"/>
          <w:szCs w:val="20"/>
          <w:rtl w:val="true"/>
        </w:rPr>
        <w:t xml:space="preserve">؛ معجم الأُدباء،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يعتبر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يعتبر قوله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ذكرناه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فقد الخلافان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فقد الخلاف و قد سبقهما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تأخّر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تنصَّل فلانٌ من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بن يزيد الطبري، أبو جعفر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التصانيف المشهورة، المحدّث، و الفقيه، و المقرئ، و المؤرّخ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استوطن بغداد و أقام بها إلى حين وفاته، و كان قد عُرض عليه القضاء فامتنع، و المظالم فأبىٰ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الرسل و الملوك، و جامع البيان في تفسير القرآن، و اختلاف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6160</w:t>
      </w:r>
      <w:r>
        <w:rPr>
          <w:rFonts w:ascii="IRNazanin" w:hAnsi="IRNazanin" w:eastAsia="IRNazanin"/>
          <w:b w:val="false"/>
          <w:b w:val="false"/>
          <w:bCs w:val="false"/>
          <w:i w:val="false"/>
          <w:i w:val="false"/>
          <w:iCs w:val="false"/>
          <w:color w:val="333333"/>
          <w:sz w:val="20"/>
          <w:sz w:val="20"/>
          <w:szCs w:val="20"/>
          <w:rtl w:val="true"/>
        </w:rPr>
        <w:t xml:space="preserve">؛ معجم الأُدباء،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الفهرست للطوسي،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الدرّ الثمين،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طبقات الشافعيّة لابن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الجاحظ فلم يتجاسر أيضاً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صرّح الجاحظ و السجستاني</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أقوالهم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ضروب</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يأنس به، أي يسكن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ظنّ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فظنّ أنّ رجوعهم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جحدوا فضائله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لإمامة أمير المؤمنين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و الحجري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كانوا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أمير المؤمنين عليه السلام يوم الشورى تجده مفصّلاً في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7/667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5/1169</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نهج الحقّ ،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شكّ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النبي صلّى اللّٰه عليه و آله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و الحجري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محقّق الشافي المطبوع، حيث قال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المظنون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سهو القلم،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تستعمل إلّامع الجحد، خصوصاً إذا أُريد ترجيح ما بعدها على ما قبلها، حيث لا يستثنى بها إلّاما أُريد تعظيمه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بما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الحاضرون الشورى صدّقوا خبر الغدير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تجتمع أُمّتي على ضلال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تقدّم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الخطأ عقلاً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السمع</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يقولوا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اختاروه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باطل</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يسلك</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أعني</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بالمقدّمة 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لست أولى بكم من أنفسكم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الخبر بما يتعلّق بها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ننكر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يقاربها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نقلة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بعضهم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أقررهم بالخبر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ذكر القصّة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لظهوره 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لظهورها و لأنّ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يقرّرونه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أقررهم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جمل</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ائتني</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إهداء</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أصحاب المسانيد و السنن باختلاف يسير،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10667</w:t>
      </w:r>
      <w:r>
        <w:rPr>
          <w:rFonts w:ascii="IRNazanin" w:hAnsi="IRNazanin" w:eastAsia="IRNazanin"/>
          <w:b w:val="false"/>
          <w:b w:val="false"/>
          <w:bCs w:val="false"/>
          <w:i w:val="false"/>
          <w:i w:val="false"/>
          <w:iCs w:val="false"/>
          <w:color w:val="333333"/>
          <w:sz w:val="20"/>
          <w:sz w:val="20"/>
          <w:szCs w:val="20"/>
          <w:rtl w:val="true"/>
        </w:rPr>
        <w:t xml:space="preserve">؛ مسند البزّار،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7547</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6561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7466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9372</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هذه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ظهور الباقي</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إليها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الدلالة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استعمالها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متى</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أفحمتُ الخصمَ إفحاماً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أسكتَّه بالحجّة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اللغة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يتمكّن من ذلك إلّابإيراد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و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قاضيته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حاكمته أو صالحته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ذهب</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عبيدة معمّر بن المثنّى، التميمي بالولاء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متبحّراً في علم اللغة و الأدب و أيّام العرب و أخبارها، حتّى قال الجاحظ في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في الأرض أعلم بجميع العلوم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من صنّف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عليّ بن المغيرة الأثرم، و أبو عبيد القاسم بن سلّام، و أبو عثمان المازني، و أبو حاتم السجستاني، و النميري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مؤلّفاته كثيرة، منها نقائض جرير و الفرزدق، و مجاز القرآن، و المثالب، و أيّام العرب، و معاني القرآن، و الشوارد،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7210</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7576</w:t>
      </w:r>
      <w:r>
        <w:rPr>
          <w:rFonts w:ascii="IRNazanin" w:hAnsi="IRNazanin" w:eastAsia="IRNazanin"/>
          <w:b w:val="false"/>
          <w:b w:val="false"/>
          <w:bCs w:val="false"/>
          <w:i w:val="false"/>
          <w:i w:val="false"/>
          <w:iCs w:val="false"/>
          <w:color w:val="333333"/>
          <w:sz w:val="20"/>
          <w:sz w:val="20"/>
          <w:szCs w:val="20"/>
          <w:rtl w:val="true"/>
        </w:rPr>
        <w:t xml:space="preserve">؛ معجم الأُدباء،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كتابه المعروف بالمجاز في القرآن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معنى مولاكم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عاضداً لتأويله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لبيد بن ربيعة،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الجميع</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بالأولياء</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غياث بن غوث بن الصلت بن طارقة التغلبي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يكنّى أبا مالك، و كان</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قصيدة له في مدح يزيد بن معاوية،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 القلب إلّامن ضغائن فاتني بهنّ أمير مستبدّ فأصعدا</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مخاطباً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من قصيدة للأخطل في مدح عبد الملك بن مروان،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القطين فراحوا منك أو بكروا و أزعجتهم نوىً في صرفها غير</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منّا، و هذا البيت أيضاً من الأخطل، و لعلّ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إضافات النسّاخ</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لغبوا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تعبوا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تعبوا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الأخطل،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رؤبة، من بني مالك بن سعد، و كان يكنّى أبا الشعثاء، و الشعثاء ابنته، و يلقّب بالعجّاج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لقي أبا هريرة و سمع منه 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الجاهليّة و مات في أيّام الوليد بن عبد الملك، و هو أوّل من رفع الرجز و شبهه بالقصيد و جعل له أوائل و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العجّاج،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تحريم تزويج الأمة بغير إذن مولاها؛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إرشاد الطالبيّين،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منار الهدى،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زكريّا، يحيى بن زياد بن عبد اللّٰه بن منظور الديلمي، مولى بني منقر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أعاظم تلامذة</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القاسم بن محمّد بن بشّار الأنباري النحوي، صاحب التصانيف في النحو و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كتباً كثيرة في علوم القرآن و غريب الحديث و المشكل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أكثر الناس حفظاً لأيّام العرب و الشعر و الأخبار و شواهد القرآن،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يحفظ مائة و عشرين تفسيراً للقرآن و ثلاثمائة ألف شاهد من شواهده، و كان يملي عن نفسه لا عن كتاب، و كان مع حفظه زاهداً متواضعاً، سمع عالماً من الأئمّة في زمانه و روى عنه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بالأنبار على الفرات، و توفّي في بغداد سنة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قيل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و الهاءات، و الأضداد، و المذكّر و المؤنّث،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 إنباه الرواة،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كتاب مشكل القرآن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حلّزة اليشكري من بني يشكر، من بكر بن وائل، شاعر جاهلي من أهل بادية العراق، و هو أحد أصحاب المعلّقات، و كان أبرص فخوراً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أفخر من الحارث بن حلّزة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إكثاره من الفخر في معلّقته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ديوان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طبقات الشعراء،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الأغاني،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المعلّقات العشر و أخبار شعرائها،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مثلهم</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جميعه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معلوم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ذكرته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يتولّاه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مقطع من حديث تقدّم آنفاً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تدبير أمرها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تدبير أُمورها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المجاز، و المجاز</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اللغة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يستعمل</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المصنّف رحمه اللّٰه يذهب إلىٰ أنّ الاستعمال من علامات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الدلالة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بغيره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طريق</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مجرى</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حال</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تكرير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ذكرتموه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يتكرّر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 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المتقدّ مة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بوضع</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موصوفة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الأولى</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يحتمل ما تقدّم و يحتمل غيره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أزالت</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للتلخيص و المطبوع</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الحجري و التلخيص</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التلخيص</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مقيّدة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أوجبه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يلتزمونه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حكماهما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حصلت</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يحسن ما حكمنا بقبحه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وافقنا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رددت إليه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تحصل</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يمتنع</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الكلام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قدّرناه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معنى غير الأوّل</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تدبير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بتدبيره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قرابة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 أولى</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بأمرهم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قالوا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دلّوا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يحبّوه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يعظّموه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أحقّ بأمره و نهيه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الموضع</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لذلك</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اعتقدنا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طاعته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يمكن أن يقرأ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الذي</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فرض طاعته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 أنّه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أثبت</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ثبت أنّه عليه السلام مفترض الطاعة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دون بعض</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للأُمّة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بمثل هذا الوجه نجيب من قال</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بجميع</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يحتمله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يصحّ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يحتمله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الحليف</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سابقاً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جاء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ولاء العتق</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بالخبر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لمثل</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أوجب ما كان حاصلاً له؛ لأنّه صلّى اللّٰه عليه و آله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تحتمله اللغة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تقدّم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بيّنّاها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تطابق</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الدلالة الرابعة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يستند</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يبيّن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يقول</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 لم يرد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حكايته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بشيخيه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الجبّائي و ابنه أبو هاشم، و قد تكرّر ذكرهما في الكتاب</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ذلك</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من وجب ذلك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المغني</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المواضع</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المغني</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علم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على هذا الوجه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هو هذا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يمكن أحداً دفعه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إيجاب الموالاة و النصرة، مع القطع على الباطن، و في جميع الأوقات</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حمله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حكاه القاضي عن شيخيه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تستنده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الحال</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لوقت</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يستوعب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استيعاب</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ادّعاء</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القول</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يخصّص وقتاً من وقت</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الباطن و الظاهر و في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 و الحجري</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مقيّداً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يتحمّلها</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لتحصل</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تمحَّل، أي احتال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تَمَحَّلْ لي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بطلب</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غاول</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تمنعونا</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نعدل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ألزمته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يجمعوا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أوجبه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أوجبه عليه السلام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المثال في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محتملاً</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الكلام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شريكاً لغيره فيه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يمتنع</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يذكر جماعة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الحجري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شركائي</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و كذا</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يجري</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فكذا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الرسول صلّى اللّٰه عليه و آله عليه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ينكرون</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يقطع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يقطع علىٰ عدم جواز غيره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بين المنزلة</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الإمامة معناها</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يتمّ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باللفظ</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الخبر</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نسأل</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بالخبر</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كالقائلين</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فواجب</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هذه الحجّة</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إلّايجب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الإمام تجب</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الحال</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حدّ الموالاة و المحبّة التي تجب للمؤمنين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دون اشتراط أن يكون عليه السلام متمسِّكاً بالإيمان و ما يقتضي التبجيل و التعظيم</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تثبيت</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نثبت</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الجليلة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ينكر أن تكون</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كانت</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الدين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فلفظة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ذلك منه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يدلّ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إيجاب الموالاة، مع القطع على الباطن، و في جميع الأوقات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بيانه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و باطناً</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المغني</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قولاً</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قالوا</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أُوجب</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لساوىٰ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الحياة للرسول</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نفي</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الاستحقاق</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الإمامة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صامت</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إطلاق لفظة الإمامة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صمتاً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فيهم</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فرض الطاعة له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أوجب</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فامتنع</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الاسم بالإمامة</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الاستخلاف</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نسأل</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الموالاة</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بيّن</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قلنا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المزيّة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تفوق منزلة الإمامة</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يشرف</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بشرف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للوصول</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ليظهر</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جمعه عليه السلام لذلك الناس و يظهر هذه المنزلة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ثبت</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لسائر</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علاقة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للتوكيد بهذا الأمر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شافياً</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فإنّهم</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بمتواترة</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عليه السلام بصدد بيانه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فأمّا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لتوكيد</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لهذا</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تعترض</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ما يأتي في هامش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فممّا لا ينكر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لا ينكر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خالياً عنه</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يتصوّر</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طريقة</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يحتاج</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أوجبه</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ذكرتم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في الموارد الآتية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كأنّه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نسلّم أنّ المراد بها معنى الطاعة و الانقياد، و إنّما المراد</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لكنّهم لمّا لم يقوموا</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الرحمة</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قدحناه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نطلق</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ظاهر ما يقولون</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يطابق ذلك الاتّباع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نطلق ذلك بمعنى الاتّساع</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 بها و بما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ساعي</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ممّن تقدّم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المغني</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ما نقول</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الذين تكلّموا</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بوجوب الطاعة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لوجوب الطاعة له</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نفسه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إنّما وجب أن يطيعوه في بيان الشرع</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الأئمّة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يبيّنه</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يشاركه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يشارك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يشاركه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 الأُمّة مشاركة للنبيّ صلّى اللّٰه عليه و آله بمعنىٰ كونه مبيِّناً للشرع، و الأُمّة قائمة به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ذكره لنفسه فمثله في معنى الإمامة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المقبّحات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القبيح</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نظنّ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هما سهو</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التقدير</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بيان الشرع اختصّ بالنبي صلّى اللّٰه عليه و آله دون الإمام؛ لكون النبيّ صلّى اللّٰه عليه وآله يتمتّع بمزيّة مخصوصة، و هي كونه مبتدِئاً ببيان الشرع من دون واسطة أحد من البشر</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أنّ الأوامر من جهة الإمام و الامتثال من جهة الأُمّة، و أنّ الامتناع من القبيح و فِعل الواجب من جهة المكلّفين و ما هو لطف فيهما من جهة الإمام، و أنّ الإمام حجّة في بيان الشرع و الأُمّة مَحجوجةٌ ببيانه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قيّد به فقد عاد الأمر إلى لزوم الانقياد لأمره و نهيه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قيّدبه فقد عاد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يجب</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فكأنّ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لفرض</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يطيعه و ينقاد له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المقصود بمقدّمة حديث الغدير معنى النبوّة، أو معنى الإشفاق و الرحمة</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كون النبيّ صلّى اللّٰه عليه و آله مبيِّناً للشرع، و صفة الإشفاق و الرحمة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يحتاج</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سامَهُ الأمرَ سَوماً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سُمتُه خَسْفاً،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أولَيتُه إيّاه و أرَدتُه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سُمتُه حاجةً ، أي كلَّفتُه إيّاها و جَشَّمتُه إيّاها؛ مِن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يَسُومُونَكُمْ سُوءَ 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يُجشِّمونكم أشدَّ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لفرض</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امتناع</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ذكروه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بحصول</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فعلىٰ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فعلى هذا الوجه ما المانع</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المصنّف رحمه اللّٰه في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نَقَلة الشيعة كلّهم ينقلون الخبر بمقدّمته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رأيه رحمه اللّٰه أنّ نقل الشيعة كافٍ لحصول التواتر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أيضاً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مضى أنّ عند الشيعة يتواتر الخبر بمقدّمته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مضى أنّ الشيعة يتواتر بالخبر بمقدّمته</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18502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19321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5070</w:t>
      </w:r>
      <w:r>
        <w:rPr>
          <w:rFonts w:ascii="IRNazanin" w:hAnsi="IRNazanin" w:eastAsia="IRNazanin"/>
          <w:b w:val="false"/>
          <w:b w:val="false"/>
          <w:bCs w:val="false"/>
          <w:i w:val="false"/>
          <w:i w:val="false"/>
          <w:iCs w:val="false"/>
          <w:color w:val="333333"/>
          <w:sz w:val="20"/>
          <w:sz w:val="20"/>
          <w:szCs w:val="20"/>
          <w:rtl w:val="true"/>
        </w:rPr>
        <w:t xml:space="preserve">؛ مسند البزّار،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ذكره دون ذكر المقدّمة في الخبر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ذلك في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يعقبه</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في الموارد الآتية</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السيّد</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لست القيّم بأُموركم و النائب عنكم</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يكون</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لتقديمه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تقديم</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لغائط</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بول</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7362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مسند الحميدي،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أنّ الذي ذكرناه صرّح به عليه السلام لكان خارجاً من العبث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أنّ الذي ذكرناه صرّح به لكان خارجاً من العبث صلّى اللّٰه عليه و آله ليسلم من 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أنّ الذي ذكرناه صرّح به عليه السلام عند إرادته بيان ما يختصّ بحال الوقت ليسلم من العيب</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و باطناً</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لكان</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نَبَت، أي تباعدت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نَبا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مضى في كلامك و جوابنا عنه</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فغير</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يحصل</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بمنكر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التقرير</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فكلامه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أكثر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خارجاً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خارج</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يجوز أن يفهم و الحال هذه غير ذلك</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 الجملة كافية في إبطال ما ذكره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رضوان اللّٰه عليهم أجمعين</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 التنازع فيها في الإمامة</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 حال</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 حال بيّنة</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الموارد الآتية</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حمله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مطموسة في أصل المغني، و قال المحقّق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ثابتاً</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القيام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حال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حال حياة الرسول صلّى اللّٰه عليه و آله</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لأبي بكر</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اتركوا لي</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3/2383</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إمامة أبي بكر</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23/532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2/2382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7/2383</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3661</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10107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3816</w:t>
      </w:r>
      <w:r>
        <w:rPr>
          <w:rFonts w:ascii="IRNazanin" w:hAnsi="IRNazanin" w:eastAsia="IRNazanin"/>
          <w:b w:val="false"/>
          <w:b w:val="false"/>
          <w:bCs w:val="false"/>
          <w:i w:val="false"/>
          <w:i w:val="false"/>
          <w:iCs w:val="false"/>
          <w:color w:val="333333"/>
          <w:sz w:val="20"/>
          <w:sz w:val="20"/>
          <w:szCs w:val="20"/>
          <w:rtl w:val="true"/>
        </w:rPr>
        <w:t xml:space="preserve">؛ مسند الشاميين،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مسند الحميدي،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اشتهر بالرواية و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اشتهر في الرواية</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تقدّم</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صحّح</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أصحابنا قد تكلّموا قديماً</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يناقض</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15964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17885</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32594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المطبوع و الحجري و التلخيص</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خليل</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3689</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5180</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نافاه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اتّباع المختلفين متعذّر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الاقتداء بالمختلفين و الاتّباع لهما متعذّر</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القول</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عمير بن سويد بن حارثة اللخمي الكوفي القطبي الفرسي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قاضياً على الكوفة بعد الشعبي، و هو من مشاهير التابعين، رأى أمير المؤمنين عليه السلام، و روى عن 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وفاته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إمامته</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يروىٰ </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أردت</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تلخيص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الذي قتل عبد اللّٰه بن يقطر رسول الحسين بن عليّ إلى مسلم بن عقيل حيث رمى به ابن زياد من فوق القصر و به رمق، فأجهز عليه، فلمّا عوتب على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أردت أن أريحه، استهزاءً بالقتل و قلّة مبالاة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 من الأحاديث المتواترة عند الفريقين، رواه طائفة من علماء السنّة لا يحصون كثرة،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11119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11147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11227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19332</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مسند البزّار،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4981</w:t>
      </w:r>
      <w:r>
        <w:rPr>
          <w:rFonts w:ascii="IRNazanin" w:hAnsi="IRNazanin" w:eastAsia="IRNazanin"/>
          <w:b w:val="false"/>
          <w:b w:val="false"/>
          <w:bCs w:val="false"/>
          <w:i w:val="false"/>
          <w:i w:val="false"/>
          <w:iCs w:val="false"/>
          <w:color w:val="333333"/>
          <w:sz w:val="20"/>
          <w:sz w:val="20"/>
          <w:szCs w:val="20"/>
          <w:rtl w:val="true"/>
        </w:rPr>
        <w:t>، مع اختلاف يسير في المصادر</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للجميع</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بمنكر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اقتدوا باللذين</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 أنَّهما 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نداء لهما</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موجودة</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12329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12923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19792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6962</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19903</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الشَّغْبُ و الشَّغَبُ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تهييج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 المحيط الأعظم،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شغب</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أنهض بالحجّة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أدحض للحجّة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دَحَضَتِ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سيّما</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سيّما و التقية عنه زائلة</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وجوه الاحتجاج بالنصّ الذي نذهب إليه، عن الرجل منتفية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وجوه الاحتجاج له معرضة، و جميع ما تدّعيه الشيعة من الموانع عن الاحتجاج بالنصّ الذي يذهب إليه، عن الرجل منتفية</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لاحتجّ به</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رواه</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دعاؤه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أليق</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حاظراً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حَظَرَ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و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بنصّ </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يخالفهما</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يذكر أنّهم</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6369</w:t>
      </w:r>
      <w:r>
        <w:rPr>
          <w:rFonts w:ascii="IRNazanin" w:hAnsi="IRNazanin" w:eastAsia="IRNazanin"/>
          <w:b w:val="false"/>
          <w:b w:val="false"/>
          <w:bCs w:val="false"/>
          <w:i w:val="false"/>
          <w:i w:val="false"/>
          <w:iCs w:val="false"/>
          <w:color w:val="333333"/>
          <w:sz w:val="20"/>
          <w:sz w:val="20"/>
          <w:szCs w:val="20"/>
          <w:rtl w:val="true"/>
        </w:rPr>
        <w:t xml:space="preserve">؛ تلخيص الحبير،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2098</w:t>
      </w:r>
      <w:r>
        <w:rPr>
          <w:rFonts w:ascii="IRNazanin" w:hAnsi="IRNazanin" w:eastAsia="IRNazanin"/>
          <w:b w:val="false"/>
          <w:b w:val="false"/>
          <w:bCs w:val="false"/>
          <w:i w:val="false"/>
          <w:i w:val="false"/>
          <w:iCs w:val="false"/>
          <w:color w:val="333333"/>
          <w:sz w:val="20"/>
          <w:sz w:val="20"/>
          <w:szCs w:val="20"/>
          <w:rtl w:val="true"/>
        </w:rPr>
        <w:t xml:space="preserve">؛ طبقات الحنابلة،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سبل الهدى،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مروي من طريق جعفر بن عبد الواحد الهاشمي؛ قال الذهبي في ميزان الاعتدال</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بهداية</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4455</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5503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5840</w:t>
      </w:r>
      <w:r>
        <w:rPr>
          <w:rFonts w:ascii="IRNazanin" w:hAnsi="IRNazanin" w:eastAsia="IRNazanin"/>
          <w:b w:val="false"/>
          <w:b w:val="false"/>
          <w:bCs w:val="false"/>
          <w:i w:val="false"/>
          <w:i w:val="false"/>
          <w:iCs w:val="false"/>
          <w:color w:val="333333"/>
          <w:sz w:val="20"/>
          <w:sz w:val="20"/>
          <w:szCs w:val="20"/>
          <w:rtl w:val="true"/>
        </w:rPr>
        <w:t xml:space="preserve">؛ مسند الحميدي،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16367</w:t>
      </w:r>
      <w:r>
        <w:rPr>
          <w:rFonts w:ascii="IRNazanin" w:hAnsi="IRNazanin" w:eastAsia="IRNazanin"/>
          <w:b w:val="false"/>
          <w:b w:val="false"/>
          <w:bCs w:val="false"/>
          <w:i w:val="false"/>
          <w:i w:val="false"/>
          <w:iCs w:val="false"/>
          <w:color w:val="333333"/>
          <w:sz w:val="20"/>
          <w:sz w:val="20"/>
          <w:szCs w:val="20"/>
          <w:rtl w:val="true"/>
        </w:rPr>
        <w:t>، مع اختلاف يسير في بعض المصادر</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آخر غير حديث الخُلَّة، و هو معطوف عليه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محتملة</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حال من حالاتي</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الطريق</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سلكه</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محتملة</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ادّعاء</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ينطق</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مغالطة</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ادّعاه</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ينقلون</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الهذيل بن عبد اللّٰه بن مكحول العبدي، أبو الهذيل، المعروف بالعلّاف، المتكلّم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شيخ البصريين في الاعتزال و من أكبر علمائهم، و هو صاحب مقالات في مذهبهم و مجالس و مناظرات، و هو مولى عبد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حسن الجدال، قويّ الحجّة، كثير الاستعمال للأدلّة و الإلزامات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لأبي الهذيل كتاب يعرف بميلاس، و كان ميلاس رجلاً مجوسيّاً فأسلم و كان سبب إسلامه أنّه جمع بين أبي الهذيل و جماعة من الثنويّة فقطعهم أبو الهذيل فأسلم ميلاس عند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ولادة أبي الهذيل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بسرّ من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 الدرّ الثمين،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العلماء</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ظهرت معاداتهم له</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ولايته و فعاله و أفعالهم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ولايته؛ دافعاً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أفعالهم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دافعاً لهم</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تبيان</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ذكروا</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موت زيد</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الخبر خارجاً عليه لم يمنع</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لفظه</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و الحجري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يتغيّر</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يفيده</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أرض البلقاء كانت بها الوقعة المذكورة التي استشهد بها جعفر بن أبي طالب و زيد بن حارثة و عبد اللّٰه بن رواحة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اليوم تابعة للكرك من بلاد الأردن تبعد عن الطريق العامّ بحوالي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السيّد عبد الزهراء الحسيني الخطيب محقّق الطبعة السابقة من الشافي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مررت بها عام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أنا في طريقي إلى الحجّ ، و زرت مرقد جعفر عليه السلام و هو في مسجد جميل قد فرش بالسجّاد الفاخر، و مرقد زيد قريب منه، و عليه قبّة صغيرة جميلة، و مثلها القبّة على قبر عبد اللّٰه بن رواحة، و قريب من مراقدهم زرت المسجد الذي على أرضه الوقعة، و هو فخم البناء و مفروش بالسجّاد الفاخر أيضاً</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أسباب الأمر أخبار</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يحسن الاقتصار</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يمكنهم</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يتلقّاه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التلخيص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صفته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صفة</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سبيل سبب</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ثَلَجَتْ نفسي تَثْلُجُ ثُلوجاً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اطمأنَّت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ثلج</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الجواب عن احتجاجه</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الصحيحة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لرسول اللّٰه</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ابنه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بالذي</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يحسن</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ولاية</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موجبه</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يُحمل</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معلوم لكلّ أحد أنّ ولاء العتق لبني العمّ علماً لا يتخالجه فيه الشكّ و لا الارتياب</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القاضي في هذا الموضع الذي حذفه المصنّف رحمه اللّٰه، هو ما تقدّم من ادّعائه أنّ حديث الغدير إذا دلّ على إمامة أمير المؤمنين عليه السلام، دلّ عليها في حال صدور الحديث، أي في حال حياة رسول اللّٰه صلّى اللّٰه عليه و آله، و قد تقدّم بطلان ذلك 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تحتمله</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فيما يحتمله لفظه من مولى الرقّ </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المعتَق</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فيبطل</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لفظ الإمام يقتضي</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لفظ المولىٰ يطلق</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الطاعات تستفاد</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طاعة الولد للوالد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الولد</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مولاه</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يلزم إطاعته</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للعبد</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فوافق</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يوصف</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فإنّ مجموع ما في هذين الموضعين يعكس ما جاء في المتن هنا</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تستعمل</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التخصيص</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للعبد</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التخصيص</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بتدبيره</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غير تفسير</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إزالة اللبس</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الإبهام</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تحصل</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سمينا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التلخيص 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ألزمتمونا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الرجلَ أسومه سَوْماً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كلّفته عملاً أو أجشمته أمراً يكرهه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أدلّتنا 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تكن مانعة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أدلّتنا ثابتة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ثبت</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يقلّ في كلامهم استعماله</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صاحب الكتاب</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التصرّف</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الطاعة</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بمالك التصرّف</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لمملوك</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بمستحقّ بهذه المرتبة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المزيّة</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يطلق</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غير تقييده</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سميناك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سمّينا لك</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اللغة</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المبالاة، و ما أحفِلُ به، أي ما أُباليه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سمينا</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سقط</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يُتوصّل</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غير</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كلامنا في</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 أحقّ و أولىٰ مضافين</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استعمالها</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الثاني هو 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المقدّمة الأُولى 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لست أولى بكم منكم بأنفسكم ؟</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بمقتضى</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 قال عليه السلام</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الطاعة</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لمن يلين</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كأنّ </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رتبه</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المتعارف</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يخصّوا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يختصّها</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يكون</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تعلم</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يعرفه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يعرف ذلك</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ترك ما حمل شيوخنا الخبر عليه المتقدّمون و المتأخّرون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استدلّ بذلك</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ليس بصحيح ولا خافي الفساد</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المواضع</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نسب</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يجب</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يبذله</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قدّمنا</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مسلم مفقود،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نفائس التأويل،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يجريان</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ذكرناها</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 للآية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خلاف إلّابه</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حكيناه</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يقتصر</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يمكنه</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تجب</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دخوله بين الاثنين</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دخل</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عافيت</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كلّ </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جرىٰ </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بايعت</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يفيده</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الشريعة</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الاتّباع</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بذلك أبا جعفر بن قِبة، كما سيأتي ذلك في كلام المصنّف رحمه اللّٰه</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الموارد الآتية</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به لكان قد عمّى عليهم و تركهم في حيرة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حيرتهم</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يثبت</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ظاهره</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فجوّز</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بهذا الكلام</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قصده</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معمّا</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نشرع</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يذكره</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بإضمار</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في 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جوابه</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بخبرهم</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عبد الرحمن بن قبة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 عظيم القدر، حسن العقيدة، قويّ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قديماً من المعتزلة و من تلامذة أبي القاسم البلخي شيخ المعتزلة، ثمّ تبصّر و انتقل إلىٰ مذهب الإماميّة، و كتب في نصرة مذهبهم و الردّ على خصومهم، فألّف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الزيديّة و الردّ على أبي عليّ الجبّائي، و المسألة المفردة في الإمامة، و الإنصاف في الإمامة المذكور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هذا الكتاب قال ابن أبي الحديد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شرح الخطبة الشقشقية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 كثيراً منها في كتاب أبي جعفر بن قبة و هو الكتاب المعروف المشهور بكتاب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نقض أبو القاسم البلخي هذا الكتاب بكتاب المسترشد في الإمامة، فنقضه ابن قبة بكتاب المستثبت في الإمامة، فنقضه أبو القاسم بكتاب نقض المستثبت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ابن قبة في خراسان سنة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قبل أن يصل إليه هذا النقض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كتابه المعروف بالإنصاف هو</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محيِّراً ملبِّساً</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يخيل</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الإنصاف في الإمامة مفقود، و قد أُعيد تجميع ما تبقّىٰ منه في ضمن كتاب المتبقّى من تراث ابن قبة الرازي</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بخبر</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جرى</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وجب</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نفائس التأويل،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ادّعاء</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استقرأ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تتبّعه، و أصله من استقراء الناقة بعد الضراب ليَنظُر أ لَقِحَت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تقتضيه</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تقسيم</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لأنّهم لمّا دخلت عليهم الشبهة توهّموا</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نفائس التأويل،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الضروريّة</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للّٰه المنّة</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آخر المجلّدة الأُولى</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في الموارد الآتية</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المنزلة من الأحاديث المشهورة و المتواترة بين الفريقين، و نكتفي هنا بذكر بعض مصادر العامّة؛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2404/32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11290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14679</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9143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8433</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عليه السلام للنسائي،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مسند أبي يعلىٰ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 أُسد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32881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الاستدلال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الفضل</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 شركة النبوّة</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خليفة في حال غيبته</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نطعن فيما قلناه</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تعتبر</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حصول مثلها</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من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بن فلان</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يجوز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تراد</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تصير</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بعده</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منزله</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كمثل</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الحال</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التقرير الثاني في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طريقة أُخرى من الاستدلال بالخبر على النصّ ، و هي أنّه</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المتطرّق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المستطرق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المستطرف به</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التقدّم عنده في الفضل و 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الفضل و المحبّة</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يخلفه</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النسب</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من عرفهما</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خلّفه</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استقصيناه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استقصيناه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ممّاقد استقصيناه</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يقطع</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في المناشدة التي ذكرها الطبرسي في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بأكملها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صور أخرى للمناشدة ذكرها المحدّثون من الفريقين في كتبهم</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يُصحّحه</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ثبت</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ثبت</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 و القبح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دمم</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يجنبهم</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لمثلها</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يجتنبه</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أوجب أحدنا</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يجتنب</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التلخيص</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تجب له سائر شرائط</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يتابع</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تستمرّ</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تمنع</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أشرت في ذلك</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استبقاء</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النبوّة</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ينفىٰ </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كالسبب</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عند نفي الغير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لا ترى</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 مبلغاً عليه بأنّه</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ابتعها</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 فلاناً منزلته</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أرش جناية أو قيمة متلفة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أرش جنايته أو قيمة متلفه</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التلخيص</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ابتدائها</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تقدّم من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تقدّم ثمن البيع</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التلف</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فيقدّمان</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مناقض</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يرتّب</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يحمله</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يتفضّل</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المكابرة</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يمكن أن يرتّب الاستدلال علىٰ وجه يُسقط كثيراً ممّا قدّمناه من الأسئلة 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يمكن مع ثبوت هذه الجملة أن نرتّب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يمكن</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تجب</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لكان</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المفترضة</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يؤيّد أنّ المراد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 المصنّف رحمه اللّٰه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حقائقها</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مفيداً</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حيثما</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بقيت</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يمنع</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لنسب</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فروض</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مُوسىٰ لِأَخِيهِ هٰارُونَ اخْلُفْنِي فِي 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يبيّن</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ظنّ </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كمنزلة</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كمحلّ أبي عندي و حاله معي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كحال أبي عندي و محلّه فيهما</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لموسى</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مذهب المصنّف رحمه اللّٰه هو ذلك، كما تقدّم، فهو قد ذهب إلىٰ أنّه لم يوضَع لفظ في اللغة العربيّة يدلّ على الاستغراق و 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مراداً</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داخلاً</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عدا</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يناقش المصنّف رحمه اللّٰه هذا القول بعد قليل</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إرجاف المنافقين، كما سوف يأتي التصريح به بعد قليل</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لجميع</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للنبيّ </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بعد قليل</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تعديته</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سبب صدور الحديث، و المناسبة التي صدر فيها</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أرجَفَ القومُ في الشيء و به إرجافاً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أكثروا من الأخبار السيّئة و اختلاق الأقوال الكاذبة حتّيٰيضطرب الناس منها، و عليه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الْمُرْجِفُونَ فِي الْمَدِينَةِ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حدّ العلم</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حدّ تيقّن الخبر</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الحديث في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سيأتي ذكر هذه الأماكن مفصّلة في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يثبت</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استثقاله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استيقاله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استثقاله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باستثقاله</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يقتضي</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و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بن فلان</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فلان و فلان المذكورين في المثال</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دخولها</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ضربتُ </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دليل قول المدّعي، و ليس بياناً لوجه سقوط قوله</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هذا اللفظ</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يتناول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يتناول</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حصل له مجموعها</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متفرّع</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فيقع</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بلفظ 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بلفظة الواحدة</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نبطل</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العرف</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تستعمل</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تحصل</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فقد صحّ </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يستثن في ذلك الوقت</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مخصوص</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يتضمّنه</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يشتمل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تشتمل</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الدليل علىٰ ذلك في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الأصحّ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تكن دالّةً </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الأصحّ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فهي طريقة إثبات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إلّاأنّها ليست بمتعلّقة بالخبر</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استدلالاته</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رجع محقّقو المغني إلى الشافي لكانوا في غنى عن التعرّض إلى هذه التصحيفات و التحريفات و توجيهها، و هي كثيرة جدّاً، و قد ذكرنا بعضها فيما يلي</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تدخل</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أيضاً تصحيف</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فينا وجب أن ننظر</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ينظر</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تحصل</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التقرير</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التقدير</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تقدّرها</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كائنة</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المطبوع و المغني</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ثبت</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فنحن قبل</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وجوبه صحّة كونه كلامنا</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بسبب</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و</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كان تحت حصوله لولا الصانع لصحّ </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الحجري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منزلة</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يختصّ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المغني</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يصحّ </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يمتنع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أنكرت من</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بالمنزلة إذا كان سبب استحقاقه و وجوبه حاصلاً؟ و ليس يخرج بكونه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الحجري و التلخيص</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التلخيص</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يمتنع</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ذلك</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التقرّب</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الزلفة</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ثيابه</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كمنزلة</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شبهه</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سأل</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لأُجيب</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لوجب</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نعرفه</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التلخيص</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حصول</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مثل</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كلامك</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تجوز</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نسيباً</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لوجود</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ذكرناه</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يصحّ </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يحتاج</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استحقاقه</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لم تصف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لم توصف</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 الوفاة</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وجوب</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لثبتت</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بتمام شروطها</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المنصوص إليه</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فحال استحقاق التصرّف و القيام بالأمر المفوّض إليه غير حال استخلافه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التلخيص، إلّاأنّ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حال استحقاقه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حال استخلافه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أيضاً كما في التلخيص، إلّاأنّ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المنصوص إليه غير حال استحقاقه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ما أثبتناه قوله قبل 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التصرّف في الأمر المتعلّق بحال مخصوصة غير استحقاقه</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إلى المستخلِف و المستخلَف</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يتطرّق</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المتصرّف</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المتصرّف</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المستفيد</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حصول وقته</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الموجبتين</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بخلافة</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لامتناع</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تناول</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يتناول منزلة الخلافة بعد الموت</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ثابتاً قبله</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يتّصل كونه نبيّاً</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استثنىٰ </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استثناه منه فيه</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منازل هارون</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تدخل</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يكون النبيّ عليه السلام استثنىٰ </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منازل هارون</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لأجلها حصل</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حال الحياة من موسىٰ </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فالمراد ما أثبته في الحال</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بقرينة دالّة</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 له في الوقت المنزلة</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كيف</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لثبت</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هذا يمنع</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 أنّه إذا كان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نبيّ </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يدلّ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 ما أثبتناه تصريحه في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العبارة</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بأقوىٰ ممّا يدلّ لو أراد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وفاتي</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نعرف</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لفظه</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المغني</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إلزامهم</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يصرف</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سامَه الأمرَ، أي كلّفه إيّاه و أراده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 المراد نفي النبوّة بعد كونه نبيّاً</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تناول</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حكمناه</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يجب</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دلالة</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يمتنع</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الأصحّ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حقيقها</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الأصحّ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تقع</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ندعو إليه</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مدار كلامنا عليه في هذه الطريقة</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زمانهما و وجه حصولهما</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لأنفسها</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يخرج</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لثبتت</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 تعلّقها بكلّ 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 تعلّقه بمنزلة غير مخصوصة</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بذاته</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التلخيص</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قدّرنا</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المقتضاة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الحجري و التلخيص</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 </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إنّا</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بأنّا</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يدلّ </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يقتضي نفي النبوّة</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يُعلم</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الاختلاف</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يشتمل</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كما في المتن</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المسألة مفقودة</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فكأنّه عليه السلام قال</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أخيه</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يدلّ </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 شرط</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إمكان حمله علىٰ 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المغني</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يجب</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 القول</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بمنزلة الاستثناء</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السؤال</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يحصل حال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يثبت في حال الحياة</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لإثبات</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ينصرف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نَصرِفَ الكلامَ </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المقصد به</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الكلام إطلاقاً</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 أن يصرف الكلام عن الاستثناء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المغني</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القول</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ذكرته مقدّراً</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ليحصل</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كلامه</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فيما استثني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فيما استثني و</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عدم التعليق علىٰ شرط</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يناول</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لولا الاستثناء لثبتت تلك المنزلة</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شرط العيش بعد النبيّ صلّى اللّٰه عليه و آلِه</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تقدّم في صدر الحديث من منازل هارون</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قبليّة</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الحاجة إلىٰ هذا الشرط</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لهذه</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دخول الشرط في الاستثناء و المستثنىٰ منه</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يثبت</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آخراً</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استئناف كلامٍ </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فظاهر</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تكون</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يوجب إخراج</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ما سبق من عبارة المغني</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من جعل الاستثناء متعلّقاً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الغرض عنده</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أثبتوا</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الحال</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فساده</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عند قول القاضي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دخل تحت الإثبات</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نقول</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فدليل</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لمن جعل النفي متعلّقاً ببعد النبوّة</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استعمله</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بأولىٰ </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منّي بمنزلة هارون من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المغني، و بدله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بأن يتناول الحال أولىٰ من 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هو متّصل بالعبارة المنقولة منه قُبيل هذا</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يعتبر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يقرب</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علمنا</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حصل</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عليّ عليه السلام من النبيّ صلّى اللّٰه عليه و آله</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يكون</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 مذكورة</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لهارون من موسىٰ بعده</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يتناوله</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 لهم</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يوشع بن نون</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بيّنه</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يقرب</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دعوًى ثانية</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وجعله</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لهذه</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تصحّ </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تسمَّحنا</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توصف المنزلة</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ذكروه</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لعطيّته</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يكون</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يجري</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يشفع</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لا يجاب</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يقتضي حصولها</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يوشع بن نون</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بحال هارون</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يحصل</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منزلته</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نطق بها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 ثابتة بالقرآن</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يعترض</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للمجادل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لقائل</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بنبوّة</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يُعلم</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يوشع من موسىٰ </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خلفه</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 و بين من قال</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خلافته عليه السلام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خلافته منه عليه السلام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عليه السلام</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نصّ كلامه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بُدَّ مِن القولِ بأنّ الخِلافةَ في حالِ الحياةِ لا تَقتَضي ذلكَ‌، و إنّما يَقتَضيهِ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الاستخلافُ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يَخُصُّ وقتاً مِن وقتٍ ، فعند ذلك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أين أنّ موسىٰ عليه السلام استخلَفَ هارون بلفظ مطلق ليتمّ ما ذكرتموه ؟ فإن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لورود الكتاب به، 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مُوسىٰ لِأَخِيهِ هٰارُونَ اخْلُفْنِي فِي 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أين أنّه أطلَقَ و لَم يقيِّد، و نحن نعلم أنّ نفسَ هذا القولِ لَم يقع مِن موسىٰ ، و إنّما حُكي معنىٰ قولِه ؟ و ليس الخطابُ ممّا لا بُدَّ مِن معرفةِ معناه؛ فقد يجوز أن يكون استخلَفَه مقيَّداً أو علىٰ شرائط بيانها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يأت بيانها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استخلفه عند الغيبة و إن لم يذكر في اللفظ، فغير ممتنع أن يستخلفه مقيَّداً و إن لم يذكره</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تعلّق لنا به</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خليفته</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بقول موسىٰ عليه السلام و كلامه</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قوله</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يعني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اخْلُفْنِي فِي قَوْمِي</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المغني،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الطريقين</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كانت</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تصحّ </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بعض</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إعراضاً</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ذكرناه</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اقتضت</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التنفير</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يقوله</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فلهذا</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للإنسان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يقول الإنسان</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أداء فروض عبادتك</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ظاهره يقتضي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أنّه ظاهرة تقتضي</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موسىٰ عليه السلام لم يكن يتكلّم العربيّة التي نزل بها القرآن الكريم، و حَكىٰ بها كلامَه</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الإشكال ذكره القاضي في المغني، و قد حذف المصنّف رحمه اللّٰه عبارته، لكنّنا نقلناها في الهامش قبل قليل، فراجع</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بصيغته</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هذا الكلام عبارة عنه و حكاية له</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يستفيد</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الحجري و التلخيص</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ساغ</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حكايته</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مطيعاً</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الاستخلاف ثبت بقول موسىٰ عليه السلام</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لأنّه و إن كان شريكاً له في النبوّة فلا يمتنع أن يخصّ </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تقوم</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يجري</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تقوم</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فاعلموا</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تقوم</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يُقطع به</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تعليمهم</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مصالح الدين</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نبيّاً</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الحملة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يحمّله</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الذي يمنع من الشرع أن لا يجعل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إليك نصّ ما جاء في المغني، مع ما فيه من إبهام و سقط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يجوز عندنا في الحجّة في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يكون إلىٰ كلّ واحد منهم ما ليس إلىٰ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يجوز فيما يقوم به الإمام أن يقع التعنّت به أصلاً، علىٰ ما قدّمناه</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أُمّ كلثوم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فاحش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أُمّ مكتوم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عمرو بن قيس بن زائدة بن الأصمّ القرشي العامري الأعمىٰ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اسمه الحصين، سمّاه النبيّ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أهل المدينة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اللّٰه، و أهل العراق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مؤذّناً للنبيّ صلّى اللّٰه عليه و آله بعد هجرته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عاتكة بنت عبد اللّٰه بن عنكثة بن عامر بن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خال خديجة بنت خويلد؛ فإنّ أُمّ خديجة أُخت قيس بن زائدة و اسمها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في السابقين إلى الإسلام بمكّة، و كان من المهاجرين الأوّلين،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المدينة قبل النبيّ و بعد مصعب بن عمير،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بقليل،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استخلفه رسول اللّٰه صلّى اللّٰه عليه و آله على المدينة في بعض غزواته مرّتين،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عشرة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شهد حرب القادسيّة و معه راية سوداء، فقاتل و هو أعمىٰ ، و قُتل بالقادسيّة،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إلى المدينة، فتوفّي فيها عام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صفوة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الإصابة لابن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حال دون حال و في موضع دون موضع</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المكان</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خليفته</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حكاية كلامه هذا في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تقدّمت مناقشته في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التبليغ و الأداء</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الحالتين</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يقتضيهما</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الغيبة</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سبب استخلاف</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حال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آن الغيبة</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الحضر، في حياتي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الحضور، و في حياتي</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اعتبار 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باعتبار 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باعتبار زوال السبب</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بالمدينة</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عند بيان تقريرَي حديث المنزلة، المتقدّمَين في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دعاه</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السبب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سبب</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يختصّ </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صائراً</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أوجبه</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لأمير المؤمنين عليه السلام مثل هذه المنزلة، صحّ ما نقصده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 </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إمام</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يوجبون</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يُتكلّف</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ارتجعنا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 رجعنا</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تقتضيه</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يُحتج</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يبطل</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 أن يكون بعد موته عليه السلام إ ماماً له أن يقوم بذلك كما كان</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حال حياته</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المطبوع و المغني</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حال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وفاته</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ذلك</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لم يثبت له ذلك، فلأن يكون الخبر يقتضي نفي الإمامة 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فلمّاثبت ذلك له على الحدّ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فيمكن</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يقوم المصنّف رحمه اللّٰه بتقوية إشكال القاضي من خلال وجهَين، ثمّ يجيب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يدلّ علىٰ نزاهة نادرة، و ثقة عالية بالنفس و بالحقّ الذي هو عليه</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سيتكلّم المصنّف رحمه اللّٰه علىٰ لسان القاضي</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 فَقْد الاستخلاف</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حال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حياته</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فأوجبتم</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متّحدة</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يجعلوا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الحجري</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قيّدناه</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المنزلة في الخلافة</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تثبت</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بهارون</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بطلان</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منزله</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تستمرّ الوكالة و تتجدّد</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وجه</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للتصرّف</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يمنعون من تسميته</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بالإمامة</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يجري</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يثبت</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أوّل الفصل</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يقوم بسائر</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يحقّ الاستخلاف و يكون</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كانت الغيبة</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الحياة</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القيام</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استُخلف عليه السلام استخلافاً</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يستفاد</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يحصل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يحصل له</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 أمير المؤمنين عليه السلام إماماً</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المدينة</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يحضره</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دون الإمامة</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لكان 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المغني</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بأن ينزل في منازل هارون</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يبيّن</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ثبتت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الواو</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علىٰ </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قبل قليل في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يثبت</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القيام</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توليته</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تمسك</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توليتها</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العارض</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كلامه</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يعلّق الاستخلاف</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قدّمنا</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كلّ </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يقل</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يتغيّر</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ينتفي بعض الأحوال بعد المستخلف</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نعلم</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معاذ بن جبل، و المعروف أنّ رسول اللّٰه صلّى اللّٰه عليه و آله لمّا انصرف من مكّة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علىٰ مكّة عتّاب بن أُسيد و خلّف معه معاذ بن جبل يفقّه الناس، ثمّ بعثه إلى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أُمّ مكتوم استعمله رسول اللّٰه صلّى اللّٰه عليه و آله على المدينة في غزوة الفرع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نجران و هي قرية من ناحية المدينة، و استعمله على الصلاة في غزوة أُحد، و استعمله على الصلاة لمّا خرج إلىٰ بدر، ثمّ ردّ أبا لُبابة من الروحاء و استعمله على المدينة، و في غزوة ذي قَرَد، و قد 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بعد النبيّ </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تدلّ </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باختصاص العزل</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أنّها كانت مقصورة على المدينة فلا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أنّها لا يجوز</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يقتضي</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كان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أكانت يجب</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تقوم</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سبحانه و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بقي</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إيّاه</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بيّنّا</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يثبت</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يثبت</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المصنّف رحمه اللّٰه عند ما ينقل كلام القاضي في المغني ينقله بلفظه، فإذا أرادالردّ عليه نقله بتصرّف أحياناً، و لكن لا يخرجه عن معناه</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أوكد</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 بهذين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هذين</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يعزل</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 التنفير</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يجتنبه</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قوّة</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استناد</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خامَرَ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قاربه و خالطه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خامَرَ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في الموارد الآتية</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الموضع</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القلب</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بشهادة</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لشهادة</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السكون و في سائر الوجوه</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يجوز أن يستثني عليه السلام النبوّة لئلّا يُتوهّم</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بكونه استثنى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باستثناء</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يقتضي نفي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 نبوّته</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لرفيقه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لرفيع المحلّ في قلبه</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لم يكن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 بدل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هذا الباب في الوجه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فعلىٰ هذا الوجه أُجري قوله صلّى اللّٰه عليه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منزلة شريفة لأمير المؤمنين تكاد تزيد علىٰ منزلة الإمامة</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نصّ كلامه في المغني و هو من تتمّة كلامه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يبيّن أنّ المراد ما قلناه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صلّى اللّٰه عليه أثبت المنزلة في الوقت، فيجب أن يُحمل الكلام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يبيّن ذلك أنّ موسىٰ عليه السلام سأل اللّٰه تعالىٰ في أخيه أمرين؛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يشدّ به أزره، 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يشاركه في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فالنبيّ عليه السلام أثبت لأمير المؤمنين من المحلّ ما يقتضي شدّ الأزر به، فذلك لا يجوز إلّامع قوّة السكون و شدّة الاستقامة و الأحوال التي تنافي طريقة النفاق و مخالفة الظاهر للباطن، و استثنىٰ عليه السلام المنزلة الثابتة التي تتضمّنها الشركة في النبوّة</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الاستنامة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الاستقامة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استنام فلان إلى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أنِسَ به و اطمأنّ إليه و سكن</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ثبت</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خلّفه على المدينة يوم غزوة تبوك، كما في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و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و سنن النسائي،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ننكر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بنكر</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يدخل</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يضطرّ</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ما يتطرّق معه تهمة تتوجّه ظنّه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ما يتطرّق معه تهمة بتوجّه ظنّه</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يقتضي</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بيّنّاه</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يراد</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ادّعائه</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لا يصحّ </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المحبّة و السكون إليه و 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المحبّة و الاستكانة و السكون و الاستناد به</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يظنّ </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يقوله</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الكلام</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موصوفاً</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اعتذر</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قصده</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نحن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رحمه اللّٰه ينقل هنا مضمون كلام القاضي لا نصَّه</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الولاية و الإمامة</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منزلة المحلّ و الموقع من القلب</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منزلة الولاية و الامامة</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بالخبر</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إلى</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تستند</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مستقلّ </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بمعنى الجانب و الناحية</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المقطع الذي حذفه المصنّف رحمه اللّٰه لا فائدة في إيراده؛ لأنّ أكثره يحتوي علىٰ مطالب قد تقدّم الجواب عليها، فهو يحتوي إمّا علىٰ إشكالات أوردها القاضي علىٰ ما ذهب إليه من تأويل المنزلة و أجاب عنها، و قد تقدّم الجواب عمّا ذهب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علىٰ نقلِ كلام بعض المعتزلة ممّن جعل حديث المنزلة دالاًّ علىٰ أنّ أمير المؤمنين عليه السلام هو الأفضل بعد رسول اللّٰه صلّى اللّٰه عليه و آلِه، و قد تقدّم الكلام حول إثبات دلالة الحديث على الإمامة، لا علىٰ خصوص الأفضليّة، فلا داعي للإعادة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علىٰ بيان أنّ سبب استخلاف أمير المؤمنين عليه السلام على المدينة هو إبطال إرجاف المنافقين، و قد تقدّمت مناقشته أيضاً، إلىٰ غير ذلك من الأبحاث التي تقدّمت مناقشتها و الردّ عليها</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الموارد الآتية</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أُفيد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يفيده</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معنىً </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موضعه</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يتقدّم</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استخلافه عليّاً بالمدينة</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للصلاة</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بعضه</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القاضي علىٰ لسان أبي عليّ جوازَ أن يتقدّم هارونَ شخصٌ آخر من أُمّته، فيما لو بقي حيّاً بعد موسىٰ ، و قد تقدّمت مناقشة ذلك في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كما سوف يأتي ما له تعلّق بهذا البحث في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فاستخلف</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بمنزلة هارون من موسىٰ </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هذه الجهة</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مفارقة حقّ </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تظاهرت</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4675</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تأويلنا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تأويلنا نحن الإماميّة، و قد تقدّم نظيره</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تأوّلنا يقتضي أن لا يولّي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للخلافة</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غير استمرار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استحقاق الخلافة</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رأي المصنّف رحمه اللّٰه، و قد تقدّم في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المصنّف رحمه اللّٰه في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الرأيَ عن بعض الإماميّة</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يقول له</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تنفرد</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ينفرد به الشيعة في النقل</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مسند أحمد بسنده عن عليّ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نزلت عشر آيات من براءة على النبيّ صلّى اللّٰه عليه و سلّم دعا النبيّ أبابكر، فبعثه ليقرأها على أهل مكّة، ثمّ دعاني النبيّ صلّى اللّٰه عليه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أبابكر، فحيثما لحقته فخذ الكتاب منه، و اذهب به إلى مكّة، و اقرأها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فلحقته بالجحفة فأخذت الكتاب منه و رجع أبوبكر إلى النبيّ صلّى اللّٰه عليه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نزل فيّ شيء؟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 جبرئيل جاءني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يؤدّي عنك إلّاأنت أو رجل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xml:space="preserve">؛ سنن النسائي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11039</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تقابلت الروايات وجب الشكّ في موجَبها</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يُشكّ </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للخلافة</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حال غيبة الرسول صلّى اللّٰه عليه و آله، و إن كان ذلك في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الرأي المتقدّم عن بعض الإماميّة</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يرو أحد</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كان فيما يُروىٰ </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التلخيص</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ترجعون</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إثبات إمامة أبي بكر، و في إثبات تقديمه علىٰ أمير المؤمنين عليه السلام، و هو محلّ البحث هنا</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الرأيين اللذين سوف يشير إليهما بعد هذا مباشرة، و اللذين يدوران حول دلالة حديث المنزلة على استمرار الخلافة و عدمها</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يمتنع</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في حال غيبته زيداً و مع حضوره</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له</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الموضع الواحد، الواحد و الاثنان</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بعضه</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القاضي في هذا المقطع الذي حذفه المصنّف رحمه اللّٰه، عن أبي عليّ و غيره عدّةَ إشكالات تقدّمت الإجابة عنها؛ مثل أنّه لو كان الاستخلاف على المدينة يستلزم الإمامة، لزم أن يكون أُسامة و كلّ من ولّاه الرسول صلّى اللّٰه عليه و آلِه إماماً، و قد تقدّمت مناقشة ذلك في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 مثل عدم صحّة أن يراد بالحديث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موتي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تقدّمت مناقشة ذلك في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إلىٰ غير ذلك من الإشكالات و الأبحاث التي تقدّم الردّ عليها</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انضاف</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حالهما إذا كانت في النبوّة متّفقة</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لاتسع</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يقتضيه</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 يُقطع علىٰ وجه</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يصحّ </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نقطع</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أُشركا</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 شريعة</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يدخل</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شرائعهما</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حال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حالة حياته</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حال حياته أو</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في حال غيبته</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يبعث إليه</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بأمر الحدود</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لم يُعلم</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لا يقوم</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حكاية ذلك في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حكايته في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حكايته في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حكايته في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يظنّ </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لتأخّره</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الحاجز</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ذكرها</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كان يكون</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النبوّة لهارون</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فيما 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 يثبت</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يستمرّ</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تمنع نبوّته</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التنفير الذي تقدّم ذكره في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يجعل</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نعلم</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يمنع</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فساده</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يوجبه</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أزالته</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استخلافه</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يُثبت</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فلو ثبت أنّ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المغني</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شاء ترك</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صالحو</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تجويزاً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مجوّزاً</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تذهبون</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وجبت</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بسبب</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 فيه</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أنّ النبوّة و الإمامة مستحَقّة بعملٍ أو لا؟ و سوف تأتي هذه المسألة بالتفصيل بعد قليل</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حكيناها</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تثبت</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شاغل</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حسن القيام بأداء الشرائع</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فتكلّف النبوّة أحدهم</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يكون ذلك إلّاواجباً</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الأئمّة</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المصنّف رحمه اللّٰه إلىٰ أنّ النبوّة و الإمامة لا تكونان بالاستحقاق، بل بالتفضّل من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يرجع هذا الرأي إلىٰ إنكاره للعوالم المتقدّمة علىٰ عالَمنا مثل عالَم 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ذهب بعض الإماميّة إلىٰ أنّ النبوّة و الإمامة تكونان بالاستحقاق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الشافي،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فيمن</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عدم وجوب الإمامة لشخص بعينه، و أنّ الإمامة غير مستحقّة، و قد تقدّم ذلك آنفاً</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 الطائفة من المحقّقين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 الطائفة من المحقّقين منها</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يشير إلىٰ ما سوف يأتي بعد قليل من نفي وجود من يساوي الرسول صلّى اللّٰه عليه و آله و أمير المؤمنين عليه السلام في أيّام ولايتهما، فراجع</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يعني بذلك جماعة الإماميّة و جمهورهم</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وجوب الإمامة لشخص بعينه بالاستحقاق</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قيّم بنفسه</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هذه</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يدلّ </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يشتمل</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إمامة</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يستنّ به</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يجب</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اعتمد بها</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يقولوا</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يجعلوها</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مشتبهة</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يعتبر</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ثبوتها</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وفاته</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بسبب</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الموضع</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بيّن</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بمنزلة</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فكيف يدلّ علىٰ </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ينفي المصنّف رحمه اللّٰه دلالة هذا الدليل علىٰ إمامة أمير المؤمنين عليه السلام</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 الغيبة</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نصّه علىٰ من يخلفه</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يستخلف</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يُظنّ أنّ أحداً يستعمل معنىٰ بعض من حسن الظنّ </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يُبطل أن يُستدلّ </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بأولىٰ منه على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الكلام في المغني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بعد، فإنّ ذلك ليس بأن يدلّ على النصّ علىٰ واحدٍ بأولىٰ من أن يدلّ علىٰ غيره، و لا يمكنهم أن يتعلّقوا بذلك في وجوب النصّ علىٰ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سيأتي في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لأنّك لم تخلّ بالاستدلال</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الجملة، فليس هذا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وجوب أصل النصّ ، لا النصّ علىٰ إنسان معيّن؛ فهو قد نفىٰ صحّة ذلك قبل قليل</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قويّة</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في الموارد الآتية</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بسبب</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لجاز</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بان لنا</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لسبب</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كان لحال الموت المزيّة الظاهرة في علّة الاستخلاف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يمكن</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ذلك الاستخلاف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وجه الاستخلاف</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يزيد</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الموارد الآتية</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المكان و البلدان</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كان غائباً عنها</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الموت أبلغ</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فبأن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يجوز ذلك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إذاكان يجوز ذلك</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فذلك</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كان عندهم أنّ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المغني</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فذلك</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على النصّ </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أولىٰ </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في الموارد الآتية</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الاستخلاف</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الحال</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أمر كلّ بلدة</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و الصُّقع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صقع</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نعلم</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يختلف</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غير مشارك له</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صفة</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يولّه</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الحالة</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بما روي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روي عنه</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38/1131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تهذيب الآثار،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36371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وَ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فليس</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تفويض الأمر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المغني، و بدله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لا يكون كذلك إلّاو هو الذي يقوم عند القيام مقامه</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يدلّ </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كلّ ذلك يبيّن ما قلناه</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ففي بعضها</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فإنّهم</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فنذكر</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المغني</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يتناوله</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قاضي 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المغني</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بأن لا تقتضي ما يتبعها أولىٰ </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اختصّت</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أنّ </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قضيت</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بمجاز</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كان يؤدّي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يؤدّي</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غير ما لم يتحمّله من الشرائع</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620/10</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الإرشاد للمفيد،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952/9</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النعمان،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العثمانيّة للجاحظ،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فضائل أمير المؤمنين عليه السلام لابن عقدة،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وصيّي و أبو ولدي و زوج ابنتي و خليفتي علىٰ أُمّتي في حياتي و بعد موتي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بشارة المصطفىٰ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أخي و وصيّي و خليفتي علىٰ أُمّتي في حياتي و بعد مماتي</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المعروف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خليفتي</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 بها النبيّ صلّى اللّٰه عليه و آله بعده</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عمر</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يعتبر</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شيوخه</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تنفرد</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نعرفها</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يريدون</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بالإمامة</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في الموارد الآتية</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لأنّ </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بصراحتها</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بالخلافة</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نفسه</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يقتضي ذلك المعنىٰ ، و إلّالكان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يقتضي ذلك، و لو كانت المؤاخاة تقتضي هذا المعنىٰ لكان</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في الموارد الآتية</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أبي بكر</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التأليف</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الاستنامة</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التقرّب</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هذا الوجه</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أنّه أفضل</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أنّه</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ابتداء كلامنا</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المراتب</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قوّة فضله</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صدقاً</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حاله</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تدلّ </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المخالطة</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مرشّحاً لهؤلاء على المنازل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مرشّحاً له لهؤلاء على المنازل</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آخىٰ بين كلّ رجلين، أحدهما من الأنصار، و الآخر من المهاجرين</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التساند</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بكر فيها</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المؤاخاة</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فظاهر</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متبجّحاً</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مع اختلاف يسير في مصادر الخاصّة و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بن أبي طالب لمحمّد بن جرير الطبري الإمامي،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الفصول المختارة،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إعلام الورىٰ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12133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فضائل أحمد،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الخصائص للنسائي،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الأوائل لأبي هلال العسكري،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667/7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1169/5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نهج الحقّ ،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ينشقّ </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 التدوين في أخبار قزوين،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33047</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الكوفة</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31/329</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المسجد</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منزله</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4289</w:t>
      </w:r>
      <w:r>
        <w:rPr>
          <w:rFonts w:ascii="IRNazanin" w:hAnsi="IRNazanin" w:eastAsia="IRNazanin"/>
          <w:b w:val="false"/>
          <w:b w:val="false"/>
          <w:bCs w:val="false"/>
          <w:i w:val="false"/>
          <w:i w:val="false"/>
          <w:iCs w:val="false"/>
          <w:color w:val="333333"/>
          <w:sz w:val="20"/>
          <w:sz w:val="20"/>
          <w:szCs w:val="20"/>
          <w:rtl w:val="true"/>
        </w:rPr>
        <w:t xml:space="preserve">؛ تذكرة الخواصّ ،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في الموارد الآتية</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22872</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3973</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6287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6303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بما روي من قوله</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 و أكثر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ليأكل</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6437</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 xml:space="preserve">؛ مسند أبي يعلىٰ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xml:space="preserve">؛ مسند البزّار،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يتعلّق به</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واجبة في الأفضل؛ و قد ثبت</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فيمن</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حيث يقتضي دفع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المغني</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لمن يكون</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خبر الراية و الطائر</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أعلى</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ورد شيء من ذلك في المستقبل</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ذلك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يحبّه اللّٰه و رسوله</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كرّار</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يقاد</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كرّار</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استأذنه</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فأذن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المُقدِمُ الجَريءُ ؛ كانَ عليه السلاحُ أو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ديوان حسّان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الإرشاد للمفيد،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تقريب المعارف،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إعلام الورىٰ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انهزم و انهزم الناس</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يجبّن أصحابه و أصحابه يجبّنونه</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بالقاف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متشوّفين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تطلّع</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نُرائي</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يدعو رجلاً</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616/63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23043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23081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132/1807</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6243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6303</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مع اختلاف في الألفاظ و الراوي</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الجماعة</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يبين</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يدلّ علىٰ أنّه</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الرديءُ مِن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سَكَتَ ألْفاً، و نطَقَ خَلْفاً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سكت عن ألف كلمة، ثمّ تكلّم بخطإٍ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للرجُلِ يُطيلُ الصمتَ ، فإذا تكلَّمَ تكلَّمَ بالخطإ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دليل الخطاب</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بدليل الخطاب هنا مفهوم الوصف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يُطلَق علىٰ بحث المفاهيم من علم أُصول الفقه اسمُ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 كذا و كذا</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حَصُفَ حَصافةً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جيّدَ الرأي، محكم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حصف</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حقيقاً</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القيام</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يشعب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منعت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يشغب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يشغب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يشاركوه</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كانت قليلة ضعيفة</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الدليل يحتوي علىٰ مجموعة من الأحاديث الدالّة علىٰ إمامة أمير المؤمنين عليه السلام، و يمكن اعتبار كلّ واحد منها دليلاً قائماً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يحتوي هذا القسم من الكتاب علىٰ مناقشات مفصّلة للأخبار الدالّة علىٰ عدم وصيّة رسول اللّٰه صلّى اللّٰه عليه و آلِه لأحدٍ من بعده، و مناقشة أخبار استخلاف أبي بكر و عمر</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بأخبارهم</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يدّعونه</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في الموارد الآتية</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الصحابة</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بإمارة</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روي</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وليّ كلّ مؤمن بعدي</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يصحّ‌</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باب النصّ </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في بعضها أنّها ثابتة فيه</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عَمَّت؛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السحابُ الجَوَّ، و الغَيمُ السماءَ ، و الماءُ وجهَ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غَشّاه و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 التواتر</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أن نبيّن حصوله فيها</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يدّعى</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كثرة</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غير ذلك</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 و</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ادّعاؤهم</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شقيق بن سلمة، أبو وائل الأسدي، أحد بني مالك بن ثعلبة بن دودان بن أسد بن خزيمة،</w:t>
      </w:r>
    </w:p>
  </w:footnote>
  <w:footnote w:id="3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 أبي طالب</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سيجمعهم</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4467</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16350</w:t>
      </w:r>
      <w:r>
        <w:rPr>
          <w:rFonts w:ascii="IRNazanin" w:hAnsi="IRNazanin" w:eastAsia="IRNazanin"/>
          <w:b w:val="false"/>
          <w:b w:val="false"/>
          <w:bCs w:val="false"/>
          <w:i w:val="false"/>
          <w:i w:val="false"/>
          <w:iCs w:val="false"/>
          <w:color w:val="333333"/>
          <w:sz w:val="20"/>
          <w:sz w:val="20"/>
          <w:szCs w:val="20"/>
          <w:rtl w:val="true"/>
        </w:rPr>
        <w:t xml:space="preserve">؛ مسند البزّار،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شعب الإيمان،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7350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35681</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صعصعة بن صوحان بن حجر، و كان يكنّى أبا طلحة، و كان من أصحاب الخطط بالكوفة، و كان خطيباً، و كان من أصحاب عليّ بن أبي طالب عليه السلام، و شهد معه الجمل هو و أخواه زيد و سيحان ابنا صوحان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صعصعة بالكوفة في خلافة معاوية بن أبي سفيان، و كان ثقةً قليل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ضرب عليّاً</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فإنّا دخلنا علىٰ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المغني</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يتفرّقوا</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36562</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سل</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بالأمر</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بأولىٰ من الذي خالفهم بهذه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بأولىٰ ممّن خالفهم أن يتعلّق بهذه الأخبار</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أنّه صلّى اللّٰه عليه و آله لم يستخلف</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36267</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 بن مطعم بن عديّ بن نوفل بن عبد مناف بن قصيّ بن كلاب، أبو محمّد، له صحبة و رواية عن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جبير يوم الفتح و قيل عام خيبر، و مات بالمدينة سنة سبع و خمسين و قيل سنة تسع و خمسين في خلافة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9771</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فكلّمته</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أمرها</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 رأيت</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6794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2386/10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16801</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3676</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مالك الأشجعي،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عمرو بن الحارث بن هانئ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عطاء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معرفة الصحابة،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3418</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عريض، ذكره أبو حاتم الرازي عن محمّد بن دينار الخراساني، عن عبد اللّٰه بن المطّلب، عن محمّد بن جابر الحنفي، عن أبي مالك الأشجعي، عن أبي 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دليل رسول اللّٰه صلّى اللّٰه عليه و آله من أهل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أعطاني رسول اللّٰه صلّى اللّٰه عليه و آله مائة راحلة، فذكر حديثاً منكراً لا يصحّ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3088</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6092</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في الموارد الآتية</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ارجع</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يعطنيها</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فاسأله</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36333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36723</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مولىٰ رسول اللّٰه صلّى اللّٰه عليه و آله،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أُمّ سلمة زوجة النبيّ صلّى اللّٰه عليه و آله؛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أعتقه النبيّ ،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أعتقته أُمّ سلمة و اشترطت عليه خدمة النبيّ صلّى اللّٰه عليه و آله ما 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عبد الرحمن،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البختري، و الأوّل أكثر و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سفينة مهران، و كان من مولّدي الأعراب، 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أبناء فارس، و اسمه سقبة بن</w:t>
      </w:r>
    </w:p>
  </w:footnote>
  <w:footnote w:id="3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21978</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4647</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4697</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رقيمتين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يُكتَبُ على الثياب و غيرها من أثمانها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روي عنه أنّه قال</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3666</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أنّهما</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5407</w:t>
      </w:r>
      <w:r>
        <w:rPr>
          <w:rFonts w:ascii="IRNazanin" w:hAnsi="IRNazanin" w:eastAsia="IRNazanin"/>
          <w:b w:val="false"/>
          <w:b w:val="false"/>
          <w:bCs w:val="false"/>
          <w:i w:val="false"/>
          <w:i w:val="false"/>
          <w:iCs w:val="false"/>
          <w:color w:val="333333"/>
          <w:sz w:val="20"/>
          <w:sz w:val="20"/>
          <w:szCs w:val="20"/>
          <w:rtl w:val="true"/>
        </w:rPr>
        <w:t>،</w:t>
      </w:r>
    </w:p>
  </w:footnote>
  <w:footnote w:id="3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دعوا</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23293</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8426</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7952</w:t>
      </w:r>
      <w:r>
        <w:rPr>
          <w:rFonts w:ascii="IRNazanin" w:hAnsi="IRNazanin" w:eastAsia="IRNazanin"/>
          <w:b w:val="false"/>
          <w:b w:val="false"/>
          <w:bCs w:val="false"/>
          <w:i w:val="false"/>
          <w:i w:val="false"/>
          <w:iCs w:val="false"/>
          <w:color w:val="333333"/>
          <w:sz w:val="20"/>
          <w:sz w:val="20"/>
          <w:szCs w:val="20"/>
          <w:rtl w:val="true"/>
        </w:rPr>
        <w:t xml:space="preserve">؛ مسند الحميدي،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مسند الشاميّين،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عمّاي</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36107</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جحيفة، وهب بن عبد اللّٰه السوائي، و هو وهب الخير، نزل أبو جحيفة الكوفة و كان من صغار الصحابة، سمع من رسول اللّٰه صلّى اللّٰه عليه و آله و روىٰ عنه، و جعله عليّ بن أبي طالب علىٰ بيت المال بالكوفة، و شهد معه مشاهده كلّها، و كان يحبّه و يثق إليه، و يسمّيه وهب الخير، و وهب اللّٰه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أكل أبو جحيفة ملء بطنه حتّىٰ فارق الدنيا، كان إذا تعشى لا يتغدّىٰ ، و إذا تغدّىٰ لا يتعشّىٰ ، و توفّي في إمارة بشر بن مروان بالبصرة سنة اثنتين و 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معجم الصحابة،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محمّد بن الحنفيّة</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خير بن يزيد بن محمّد الهمداني، أبو عمارة، أدرك زمن النبيّ صلّى اللّٰه عليه و آله و لم يسمع منه، و هو من أصحاب عليّ عليه السلام و من كبارهم، ثقة مأمون، سكن الكوفة و حدّث بها عن عليّ بن أبي طالب، و كان ممّن شهد مع عليّ حرب الخوارج بالنهروان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 معرفة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5820</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1698</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سويد بن عفلة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سويد بن 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 الفاء المفتوحتين،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المهملة، و هو خلاف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أُميّة الجعفي، من كبار التابعين، ولد عام الفيل و قدم المدينة يوم دفن النبيّ صلّى اللّٰه عليه و آله، و كان مسلماً في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اليرموك و شهد صفّين مع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الشيخ في رجاله من أصحاب عليّ و الحسن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بالكوفة سنة إحدىٰ أو اثنتين و ثمانين و هو ابن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2647</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حكيمة، أحد الرواة عن عليّ عليه السلام، و روىٰ حديثه عبد الرحمن بن الأصبغ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خطبة</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النبيّ أبو بكر ثمّ عمر</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32684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36095</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أشاءُ </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شئت لسمّيت الثالث</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مسند أبي يعلىٰ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مسند البزّار،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2728</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أنهى</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لعقوبته</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لأملأها</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أبي بكر،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كنيته قبل إظهار الإسلام، و بعده كنّاه النبيّ صلّى اللّٰه عليه و آله بأبي بكر</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للإسلام</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بعض الأخبار أنّه عليه السلام خطب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المغني، و بدله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روي أنّه عاقب من شتمهما</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المحاسن و المساوئ،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السقيفة و فدك،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قتل</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بصحيفة</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3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فضائل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5206</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7/2383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2910</w:t>
      </w:r>
      <w:r>
        <w:rPr>
          <w:rFonts w:ascii="IRNazanin" w:hAnsi="IRNazanin" w:eastAsia="IRNazanin"/>
          <w:b w:val="false"/>
          <w:b w:val="false"/>
          <w:bCs w:val="false"/>
          <w:i w:val="false"/>
          <w:i w:val="false"/>
          <w:iCs w:val="false"/>
          <w:color w:val="333333"/>
          <w:sz w:val="20"/>
          <w:sz w:val="20"/>
          <w:szCs w:val="20"/>
          <w:rtl w:val="true"/>
        </w:rPr>
        <w:t>، عن ابن عبّاس و ابن مسعود</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كانت هذه الأخبار و نحوها منقولة ظاهرة</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أبو علي</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نسبة ذلك</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باب النقل</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 و يؤيّده تكرار هذه العبارة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مختلفة</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إماماً بأن يكون للمتّقين</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الصادقين</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يتأتّىٰ لهم</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بيّنّا أنّ وصف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يسلّموا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يسلّموا علىٰ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نسلّم عليه</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يتواتر</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معجم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5805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19942</w:t>
      </w:r>
      <w:r>
        <w:rPr>
          <w:rFonts w:ascii="IRNazanin" w:hAnsi="IRNazanin" w:eastAsia="IRNazanin"/>
          <w:b w:val="false"/>
          <w:b w:val="false"/>
          <w:bCs w:val="false"/>
          <w:i w:val="false"/>
          <w:i w:val="false"/>
          <w:iCs w:val="false"/>
          <w:color w:val="333333"/>
          <w:sz w:val="20"/>
          <w:sz w:val="20"/>
          <w:szCs w:val="20"/>
          <w:rtl w:val="true"/>
        </w:rPr>
        <w:t xml:space="preserve">؛ مسند الطيالسي،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مسند أبي يعلىٰ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سنن النسائي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بنقلها</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رواياتهم</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 الآحاد</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استفدناه مما تقدّم من عبارة المغني</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نبيّن</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شروط</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ليت</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التفارق</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يعلم</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الشروط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تقدّم ذكر ثبوتها في نقل الشيعة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يعلم</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يوازيه</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حكّمنا</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معارضة</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تذهب</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النصّ </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يَحطِبُ حَطْباًو حَطَباً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حطب</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يوفّ </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تدفعها و تنكرها و تكذّب رواتها</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اعتمدناها</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اعتمدنا في الشيعة</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واقعاً</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3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رووه</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أراد اللّٰه بالأُمّة</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استجمعهم</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أمير المؤمنين عليه السلام</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أنّه خير منه، و الظاهر من أحوال أمير المؤمنين</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أقواله و أحواله</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 ما كان يعترف لأحد</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مقلّداً</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أقواله و 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أقواله و أفعاله و أحواله</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يعلم ذلك</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إلّافالشبهة مع الإنصاف في هذا زائلة</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11154</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4627</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36448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36456</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3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3984</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33044</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الفصول المختارة،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34201</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الخليفة</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الخليفة</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11031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13362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1064/149</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4765</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غير هذا</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فكلّ </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ينفرد</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بإزاء</w:t>
      </w:r>
      <w:r>
        <w:rPr>
          <w:rFonts w:eastAsia="IRNazanin" w:cs="IRNazanin"/>
          <w:b w:val="false"/>
          <w:bCs w:val="false"/>
          <w:i w:val="false"/>
          <w:iCs w:val="false"/>
          <w:color w:val="333333"/>
          <w:sz w:val="20"/>
          <w:szCs w:val="20"/>
          <w:rtl w:val="true"/>
        </w:rPr>
        <w:t>».</w:t>
      </w:r>
    </w:p>
  </w:footnote>
  <w:footnote w:id="3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رووا</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أحد هذين الخبرين قبل قليل و ناقشه المصنّف رحمه اللّٰه بالتفصيل، و أمّا الخبر الآخرفقد تقدّم في عبارة المغني، فراجع</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روتها</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يتضمّن بأنّه</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ابنه الحسن</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حضره الموت</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إعلام الورىٰ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الغيبة للطوسي،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تتمّة الحديث علىٰ ما في الكافي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لابنه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 أمرني رسول اللّٰه صلّى اللّٰه عليه و آله أن أُوصي إليك، و أن أدفع إليك كتبي و سلاحي، كما أوصىٰ إليّ رسول اللّٰه صلّى اللّٰه عليه و آله و دفع إليّ كتبه و سلاحه، و أمرني أن آمرك إذا حضرك الموت أن تدفعه إلىٰ أخيك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 على ابنه الحسين،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أمرك رسول اللّٰه صلّى اللّٰه عليه و آله أن تدفعه إلى ابنك هذا، ثم أخذ بيد ابن ابنه عليّ بن الحسين، ثمّ قال لعليّ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 أمرك رسول اللّٰه صلّى اللّٰه عليه و آله أن تدفعه إلى ابنك محمّد بن عليّ ، و أقرئه من رسول اللّٰه صلّى اللّٰه عليه و آله و منّي السلام</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يعارض</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معارضته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معارضة أبي عليّ لنا</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الاستخلاف لأبي بكر</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يعترض</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مسند البزّار،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9758</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16313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14134</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لجماعة المسلمين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أقيلوني، أقيلوني</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الأموال لابن زنجويه،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الأموال لأبي عبيدة،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مسند البزّار،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9758</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6792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4526</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16347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14254</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بالخلافة</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تضمّن</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 بن مالك</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 عليّاً عليه السلام ناشد الناس اللّٰه في الرحبة بالكوفة،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أُنشدكم اللّٰه رجلاً سمع رسول اللّٰه يقول لي و هو منصرف من حجّة الوداع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فهذا عليّ مولاه اللّهمّ وال من والاه، و 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رجال فشهدوا بذلك، فقال عليه السلام لأنس بن مالك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حضرتها، فما بالك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كبرت سنّي، و صار ما أنساه أكثر ممّا أذكره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كنت كاذباً فضربك اللّٰه بها بيضاء لا تواريها العمامة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مات حتّى أصابه 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جمهرة النسب،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المناقب لابن مردويه،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أنس أنّه بعد أن سمع من رسول اللّٰه صلّى اللّٰه عليه و آلِه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ائتني بأحبّخلقك إليك يأكل معي من هذا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عليّ بن أبي طالب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استأذِن لي علىٰ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علىٰ 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أحببتُ أن يجيء رجل من الأنصار، فرجع ثمّ 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رجوع الضمير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القاضي عبد الجبّار</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الموضوع</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يحتاج</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الاستخلاف أو شبهة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الاستخلاف أو شبهته</w:t>
      </w:r>
      <w:r>
        <w:rPr>
          <w:rFonts w:eastAsia="IRNazanin" w:cs="IRNazanin"/>
          <w:b w:val="false"/>
          <w:bCs w:val="false"/>
          <w:i w:val="false"/>
          <w:iCs w:val="false"/>
          <w:color w:val="333333"/>
          <w:sz w:val="20"/>
          <w:szCs w:val="20"/>
          <w:rtl w:val="true"/>
        </w:rPr>
        <w:t>».</w:t>
      </w:r>
    </w:p>
  </w:footnote>
  <w:footnote w:id="3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يعطيه</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منصوصة</w:t>
      </w:r>
      <w:r>
        <w:rPr>
          <w:rFonts w:eastAsia="IRNazanin" w:cs="IRNazanin"/>
          <w:b w:val="false"/>
          <w:bCs w:val="false"/>
          <w:i w:val="false"/>
          <w:iCs w:val="false"/>
          <w:color w:val="333333"/>
          <w:sz w:val="20"/>
          <w:szCs w:val="20"/>
          <w:rtl w:val="true"/>
        </w:rPr>
        <w:t>».</w:t>
      </w:r>
    </w:p>
  </w:footnote>
  <w:footnote w:id="3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واقعة باختيار صحيح</w:t>
      </w:r>
      <w:r>
        <w:rPr>
          <w:rFonts w:eastAsia="IRNazanin" w:cs="IRNazanin"/>
          <w:b w:val="false"/>
          <w:bCs w:val="false"/>
          <w:i w:val="false"/>
          <w:iCs w:val="false"/>
          <w:color w:val="333333"/>
          <w:sz w:val="20"/>
          <w:szCs w:val="20"/>
          <w:rtl w:val="true"/>
        </w:rPr>
        <w:t>».</w:t>
      </w:r>
    </w:p>
  </w:footnote>
  <w:footnote w:id="3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3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w:t>
      </w:r>
    </w:p>
  </w:footnote>
  <w:footnote w:id="3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وجوه</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يدلّ </w:t>
      </w:r>
      <w:r>
        <w:rPr>
          <w:rFonts w:eastAsia="IRNazanin" w:cs="IRNazanin"/>
          <w:b w:val="false"/>
          <w:bCs w:val="false"/>
          <w:i w:val="false"/>
          <w:iCs w:val="false"/>
          <w:color w:val="333333"/>
          <w:sz w:val="20"/>
          <w:szCs w:val="20"/>
          <w:rtl w:val="true"/>
        </w:rPr>
        <w:t>».</w:t>
      </w:r>
    </w:p>
  </w:footnote>
  <w:footnote w:id="3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تحقّقه و وجوده</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أنّه من حيث خبّر عن كونه حسنٌ </w:t>
      </w:r>
      <w:r>
        <w:rPr>
          <w:rFonts w:eastAsia="IRNazanin" w:cs="IRNazanin"/>
          <w:b w:val="false"/>
          <w:bCs w:val="false"/>
          <w:i w:val="false"/>
          <w:iCs w:val="false"/>
          <w:color w:val="333333"/>
          <w:sz w:val="20"/>
          <w:szCs w:val="20"/>
          <w:rtl w:val="true"/>
        </w:rPr>
        <w:t>».</w:t>
      </w:r>
    </w:p>
  </w:footnote>
  <w:footnote w:id="3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بين الكوفة و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عبد البرّ في الاستيعاب بسنده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أيّتكنّ صاحبة الجمل الأدبب تنبحها كلاب الحوأب، يُقتل حولها قتلىٰ كثير، و تنجو بعد ما كادت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من أعلام نبوّته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لمّا سمعت نباح الكلاب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ماء هذا؟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الحوأب، 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لِلّٰهِ وَ إِنّٰا إِلَيْهِ رٰاجِعُونَ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إنّي لهيه، قد سمعتُ رسول اللّٰه صلّى اللّٰه عليه و سلّم يقول و عنده نساؤه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 شعري، أيّتكنّ تنبحها كلاب الحوأب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فأرادت الرجوع، فأتاها عبد اللّٰه بن الزبير، فزُعم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من قال إنّ هذا 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يزل بها حتّىٰ مضت، فقدموا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العسقلاني في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هذا أحمد و أبو يعلىٰ و البزّار، و صحّحه ابن حِبّان و الحاكم سنده علىٰ شرط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4029</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الأدبب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الوبر، و رواه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الأذنب، أي طويل الذنب</w:t>
      </w:r>
      <w:r>
        <w:rPr>
          <w:rFonts w:eastAsia="IRNazanin" w:cs="IRNazanin"/>
          <w:b w:val="false"/>
          <w:bCs w:val="false"/>
          <w:i w:val="false"/>
          <w:iCs w:val="false"/>
          <w:color w:val="333333"/>
          <w:sz w:val="20"/>
          <w:szCs w:val="20"/>
          <w:rtl w:val="true"/>
        </w:rPr>
        <w:t>.</w:t>
      </w:r>
    </w:p>
  </w:footnote>
  <w:footnote w:id="3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كتاب أهل البغي؛ السنن الكبرى للبيهقي،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دلائل النبوّة،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مجرىً واحداً</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3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فلاناً</w:t>
      </w:r>
      <w:r>
        <w:rPr>
          <w:rFonts w:eastAsia="IRNazanin" w:cs="IRNazanin"/>
          <w:b w:val="false"/>
          <w:bCs w:val="false"/>
          <w:i w:val="false"/>
          <w:iCs w:val="false"/>
          <w:color w:val="333333"/>
          <w:sz w:val="20"/>
          <w:szCs w:val="20"/>
          <w:rtl w:val="true"/>
        </w:rPr>
        <w:t>».</w:t>
      </w:r>
    </w:p>
  </w:footnote>
  <w:footnote w:id="3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يدلّ على استحقاقه لهذه المنزلة و الولاية</w:t>
      </w:r>
      <w:r>
        <w:rPr>
          <w:rFonts w:eastAsia="IRNazanin" w:cs="IRNazanin"/>
          <w:b w:val="false"/>
          <w:bCs w:val="false"/>
          <w:i w:val="false"/>
          <w:iCs w:val="false"/>
          <w:color w:val="333333"/>
          <w:sz w:val="20"/>
          <w:szCs w:val="20"/>
          <w:rtl w:val="true"/>
        </w:rPr>
        <w:t>».</w:t>
      </w:r>
    </w:p>
  </w:footnote>
  <w:footnote w:id="3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يتولّىٰ </w:t>
      </w:r>
      <w:r>
        <w:rPr>
          <w:rFonts w:eastAsia="IRNazanin" w:cs="IRNazanin"/>
          <w:b w:val="false"/>
          <w:bCs w:val="false"/>
          <w:i w:val="false"/>
          <w:iCs w:val="false"/>
          <w:color w:val="333333"/>
          <w:sz w:val="20"/>
          <w:szCs w:val="20"/>
          <w:rtl w:val="true"/>
        </w:rPr>
        <w:t>».</w:t>
      </w:r>
    </w:p>
  </w:footnote>
  <w:footnote w:id="3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 و الحجري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هؤلاءالأربعة</w:t>
      </w:r>
      <w:r>
        <w:rPr>
          <w:rFonts w:eastAsia="IRNazanin" w:cs="IRNazanin"/>
          <w:b w:val="false"/>
          <w:bCs w:val="false"/>
          <w:i w:val="false"/>
          <w:iCs w:val="false"/>
          <w:color w:val="333333"/>
          <w:sz w:val="20"/>
          <w:szCs w:val="20"/>
          <w:rtl w:val="true"/>
        </w:rPr>
        <w:t>».</w:t>
      </w:r>
    </w:p>
  </w:footnote>
  <w:footnote w:id="3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لاثني عشرة</w:t>
      </w:r>
      <w:r>
        <w:rPr>
          <w:rFonts w:eastAsia="IRNazanin" w:cs="IRNazanin"/>
          <w:b w:val="false"/>
          <w:bCs w:val="false"/>
          <w:i w:val="false"/>
          <w:iCs w:val="false"/>
          <w:color w:val="333333"/>
          <w:sz w:val="20"/>
          <w:szCs w:val="20"/>
          <w:rtl w:val="true"/>
        </w:rPr>
        <w:t>».</w:t>
      </w:r>
    </w:p>
  </w:footnote>
  <w:footnote w:id="3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يرى الكليني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باب مولد النبيّ و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جمهور العامّة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أكثر مؤرّخي الشيعة يرون وفاته صلّى اللّٰه عليه و آله لليلتين بقيتا من صفر سنة عشر من الهجرة و هو ابن ثلاث و ستّين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استعرض العلّامة المجلسي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باب وفاته و غسله و الصلاة عليه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الكثير في يوم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لليلتين خلتا من ربيع الأوّل، أو لثمان عشر خلت منه، أو لعشر خلون منه، أو لثمان بقين منه، أو لليلتين بقيتا من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 الخلاف في سنة وفاته أنّها عشر أو إحدىٰ عشرة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يختار و يرجّح القول المشهور لعامّة الشيعة أنّ وفاته كانت لليلتين بقيتا من صفر يوم الإثنين سنة عشر من الهجرة</w:t>
      </w:r>
      <w:r>
        <w:rPr>
          <w:rFonts w:eastAsia="IRNazanin" w:cs="IRNazanin"/>
          <w:b w:val="false"/>
          <w:bCs w:val="false"/>
          <w:i w:val="false"/>
          <w:iCs w:val="false"/>
          <w:color w:val="333333"/>
          <w:sz w:val="20"/>
          <w:szCs w:val="20"/>
          <w:rtl w:val="true"/>
        </w:rPr>
        <w:t>.</w:t>
      </w:r>
    </w:p>
  </w:footnote>
  <w:footnote w:id="3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إحدىٰ عشرة</w:t>
      </w:r>
      <w:r>
        <w:rPr>
          <w:rFonts w:eastAsia="IRNazanin" w:cs="IRNazanin"/>
          <w:b w:val="false"/>
          <w:bCs w:val="false"/>
          <w:i w:val="false"/>
          <w:iCs w:val="false"/>
          <w:color w:val="333333"/>
          <w:sz w:val="20"/>
          <w:szCs w:val="20"/>
          <w:rtl w:val="true"/>
        </w:rPr>
        <w:t>».</w:t>
      </w:r>
    </w:p>
  </w:footnote>
  <w:footnote w:id="3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لإحدىٰ عشر ليلة</w:t>
      </w:r>
      <w:r>
        <w:rPr>
          <w:rFonts w:eastAsia="IRNazanin" w:cs="IRNazanin"/>
          <w:b w:val="false"/>
          <w:bCs w:val="false"/>
          <w:i w:val="false"/>
          <w:iCs w:val="false"/>
          <w:color w:val="333333"/>
          <w:sz w:val="20"/>
          <w:szCs w:val="20"/>
          <w:rtl w:val="true"/>
        </w:rPr>
        <w:t>».</w:t>
      </w:r>
    </w:p>
  </w:footnote>
  <w:footnote w:id="3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بقين</w:t>
      </w:r>
      <w:r>
        <w:rPr>
          <w:rFonts w:eastAsia="IRNazanin" w:cs="IRNazanin"/>
          <w:b w:val="false"/>
          <w:bCs w:val="false"/>
          <w:i w:val="false"/>
          <w:iCs w:val="false"/>
          <w:color w:val="333333"/>
          <w:sz w:val="20"/>
          <w:szCs w:val="20"/>
          <w:rtl w:val="true"/>
        </w:rPr>
        <w:t>».</w:t>
      </w:r>
    </w:p>
  </w:footnote>
  <w:footnote w:id="3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w:t>
      </w:r>
    </w:p>
  </w:footnote>
  <w:footnote w:id="3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3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يُلتفت</w:t>
      </w:r>
      <w:r>
        <w:rPr>
          <w:rFonts w:eastAsia="IRNazanin" w:cs="IRNazanin"/>
          <w:b w:val="false"/>
          <w:bCs w:val="false"/>
          <w:i w:val="false"/>
          <w:iCs w:val="false"/>
          <w:color w:val="333333"/>
          <w:sz w:val="20"/>
          <w:szCs w:val="20"/>
          <w:rtl w:val="true"/>
        </w:rPr>
        <w:t>».</w:t>
      </w:r>
    </w:p>
  </w:footnote>
  <w:footnote w:id="3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3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بخليفة</w:t>
      </w:r>
      <w:r>
        <w:rPr>
          <w:rFonts w:eastAsia="IRNazanin" w:cs="IRNazanin"/>
          <w:b w:val="false"/>
          <w:bCs w:val="false"/>
          <w:i w:val="false"/>
          <w:iCs w:val="false"/>
          <w:color w:val="333333"/>
          <w:sz w:val="20"/>
          <w:szCs w:val="20"/>
          <w:rtl w:val="true"/>
        </w:rPr>
        <w:t>».</w:t>
      </w:r>
    </w:p>
  </w:footnote>
  <w:footnote w:id="3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بخليفة واحدة تكون</w:t>
      </w:r>
      <w:r>
        <w:rPr>
          <w:rFonts w:eastAsia="IRNazanin" w:cs="IRNazanin"/>
          <w:b w:val="false"/>
          <w:bCs w:val="false"/>
          <w:i w:val="false"/>
          <w:iCs w:val="false"/>
          <w:color w:val="333333"/>
          <w:sz w:val="20"/>
          <w:szCs w:val="20"/>
          <w:rtl w:val="true"/>
        </w:rPr>
        <w:t>».</w:t>
      </w:r>
    </w:p>
  </w:footnote>
  <w:footnote w:id="3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3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الاستخلاف</w:t>
      </w:r>
      <w:r>
        <w:rPr>
          <w:rFonts w:eastAsia="IRNazanin" w:cs="IRNazanin"/>
          <w:b w:val="false"/>
          <w:bCs w:val="false"/>
          <w:i w:val="false"/>
          <w:iCs w:val="false"/>
          <w:color w:val="333333"/>
          <w:sz w:val="20"/>
          <w:szCs w:val="20"/>
          <w:rtl w:val="true"/>
        </w:rPr>
        <w:t>».</w:t>
      </w:r>
    </w:p>
  </w:footnote>
  <w:footnote w:id="3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تضمّن</w:t>
      </w:r>
      <w:r>
        <w:rPr>
          <w:rFonts w:eastAsia="IRNazanin" w:cs="IRNazanin"/>
          <w:b w:val="false"/>
          <w:bCs w:val="false"/>
          <w:i w:val="false"/>
          <w:iCs w:val="false"/>
          <w:color w:val="333333"/>
          <w:sz w:val="20"/>
          <w:szCs w:val="20"/>
          <w:rtl w:val="true"/>
        </w:rPr>
        <w:t>».</w:t>
      </w:r>
    </w:p>
  </w:footnote>
  <w:footnote w:id="3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بعين الإنصاف</w:t>
      </w:r>
      <w:r>
        <w:rPr>
          <w:rFonts w:eastAsia="IRNazanin" w:cs="IRNazanin"/>
          <w:b w:val="false"/>
          <w:bCs w:val="false"/>
          <w:i w:val="false"/>
          <w:iCs w:val="false"/>
          <w:color w:val="333333"/>
          <w:sz w:val="20"/>
          <w:szCs w:val="20"/>
          <w:rtl w:val="true"/>
        </w:rPr>
        <w:t>».</w:t>
      </w:r>
    </w:p>
  </w:footnote>
  <w:footnote w:id="3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ماجة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 و من رجال سنده الحسن بن عمارة بن المغرب الكوفي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فقيه كبير، كذّاب، ساقط، متروك، و كان 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أن ينظر إلىٰ أكذب الناس فلينظر إلى الحسن بن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النضر بن شميل حدّثنا،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أفادني الحسن بن عمارة عن الحكم سبعين حديثاً، فلم يكن لها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متروك، أجمع أهل الحديث علىٰ ترك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إرشاد الساري،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عمر بن الخطّاب، وُلد علىٰ عهد رسول اللّٰه صلّى اللّٰه عليه و آله، و كان من أنجاد</w:t>
      </w:r>
    </w:p>
  </w:footnote>
  <w:footnote w:id="3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أنّهما سيّدا كهول من هو في الجنّة</w:t>
      </w:r>
      <w:r>
        <w:rPr>
          <w:rFonts w:eastAsia="IRNazanin" w:cs="IRNazanin"/>
          <w:b w:val="false"/>
          <w:bCs w:val="false"/>
          <w:i w:val="false"/>
          <w:iCs w:val="false"/>
          <w:color w:val="333333"/>
          <w:sz w:val="20"/>
          <w:szCs w:val="20"/>
          <w:rtl w:val="true"/>
        </w:rPr>
        <w:t>».</w:t>
      </w:r>
    </w:p>
  </w:footnote>
  <w:footnote w:id="3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الأستاذ محمّد فؤاد عبد الباقي على الحديث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سيّدا من مات كهلاً، و إلّافليس في الجنّة كهل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3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ليس علىٰ بدنه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و إنّما أراد به أنّ الشعر كان في أماكن من بدنه، كالمسربة و الساعدين و الساقين؛ فإنّ ضدّ الأجرد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 و هو الذي علىٰ جميع بدنه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الجنّة جُرْدٌ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w:t>
      </w:r>
    </w:p>
  </w:footnote>
  <w:footnote w:id="3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الذي طرّ شاربه و لم تنبت لحيته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3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3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روايته</w:t>
      </w:r>
      <w:r>
        <w:rPr>
          <w:rFonts w:eastAsia="IRNazanin" w:cs="IRNazanin"/>
          <w:b w:val="false"/>
          <w:bCs w:val="false"/>
          <w:i w:val="false"/>
          <w:iCs w:val="false"/>
          <w:color w:val="333333"/>
          <w:sz w:val="20"/>
          <w:szCs w:val="20"/>
          <w:rtl w:val="true"/>
        </w:rPr>
        <w:t>».</w:t>
      </w:r>
    </w:p>
  </w:footnote>
  <w:footnote w:id="3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p>
  </w:footnote>
  <w:footnote w:id="3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3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أبوبكر</w:t>
      </w:r>
      <w:r>
        <w:rPr>
          <w:rFonts w:eastAsia="IRNazanin" w:cs="IRNazanin"/>
          <w:b w:val="false"/>
          <w:bCs w:val="false"/>
          <w:i w:val="false"/>
          <w:iCs w:val="false"/>
          <w:color w:val="333333"/>
          <w:sz w:val="20"/>
          <w:szCs w:val="20"/>
          <w:rtl w:val="true"/>
        </w:rPr>
        <w:t>».</w:t>
      </w:r>
    </w:p>
  </w:footnote>
  <w:footnote w:id="3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شباب</w:t>
      </w:r>
      <w:r>
        <w:rPr>
          <w:rFonts w:eastAsia="IRNazanin" w:cs="IRNazanin"/>
          <w:b w:val="false"/>
          <w:bCs w:val="false"/>
          <w:i w:val="false"/>
          <w:iCs w:val="false"/>
          <w:color w:val="333333"/>
          <w:sz w:val="20"/>
          <w:szCs w:val="20"/>
          <w:rtl w:val="true"/>
        </w:rPr>
        <w:t>».</w:t>
      </w:r>
    </w:p>
  </w:footnote>
  <w:footnote w:id="3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سيّدا كهول أهل الجنّة</w:t>
      </w:r>
      <w:r>
        <w:rPr>
          <w:rFonts w:eastAsia="IRNazanin" w:cs="IRNazanin"/>
          <w:b w:val="false"/>
          <w:bCs w:val="false"/>
          <w:i w:val="false"/>
          <w:iCs w:val="false"/>
          <w:color w:val="333333"/>
          <w:sz w:val="20"/>
          <w:szCs w:val="20"/>
          <w:rtl w:val="true"/>
        </w:rPr>
        <w:t>».</w:t>
      </w:r>
    </w:p>
  </w:footnote>
  <w:footnote w:id="3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دخلا فيمن يسودهماالحسن و الحسين عليهما السلام إذا بلغا سنّاً من التكهيل</w:t>
      </w:r>
      <w:r>
        <w:rPr>
          <w:rFonts w:eastAsia="IRNazanin" w:cs="IRNazanin"/>
          <w:b w:val="false"/>
          <w:bCs w:val="false"/>
          <w:i w:val="false"/>
          <w:iCs w:val="false"/>
          <w:color w:val="333333"/>
          <w:sz w:val="20"/>
          <w:szCs w:val="20"/>
          <w:rtl w:val="true"/>
        </w:rPr>
        <w:t>».</w:t>
      </w:r>
    </w:p>
  </w:footnote>
  <w:footnote w:id="3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المنقولة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 عليه السلام</w:t>
      </w:r>
      <w:r>
        <w:rPr>
          <w:rFonts w:eastAsia="IRNazanin" w:cs="IRNazanin"/>
          <w:b w:val="false"/>
          <w:bCs w:val="false"/>
          <w:i w:val="false"/>
          <w:iCs w:val="false"/>
          <w:color w:val="333333"/>
          <w:sz w:val="20"/>
          <w:szCs w:val="20"/>
          <w:rtl w:val="true"/>
        </w:rPr>
        <w:t>».</w:t>
      </w:r>
    </w:p>
  </w:footnote>
  <w:footnote w:id="3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 الناس</w:t>
      </w:r>
      <w:r>
        <w:rPr>
          <w:rFonts w:eastAsia="IRNazanin" w:cs="IRNazanin"/>
          <w:b w:val="false"/>
          <w:bCs w:val="false"/>
          <w:i w:val="false"/>
          <w:iCs w:val="false"/>
          <w:color w:val="333333"/>
          <w:sz w:val="20"/>
          <w:szCs w:val="20"/>
          <w:rtl w:val="true"/>
        </w:rPr>
        <w:t>».</w:t>
      </w:r>
    </w:p>
  </w:footnote>
  <w:footnote w:id="3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3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المستقبل</w:t>
      </w:r>
      <w:r>
        <w:rPr>
          <w:rFonts w:eastAsia="IRNazanin" w:cs="IRNazanin"/>
          <w:b w:val="false"/>
          <w:bCs w:val="false"/>
          <w:i w:val="false"/>
          <w:iCs w:val="false"/>
          <w:color w:val="333333"/>
          <w:sz w:val="20"/>
          <w:szCs w:val="20"/>
          <w:rtl w:val="true"/>
        </w:rPr>
        <w:t>».</w:t>
      </w:r>
    </w:p>
  </w:footnote>
  <w:footnote w:id="3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الخبر معناه</w:t>
      </w:r>
      <w:r>
        <w:rPr>
          <w:rFonts w:eastAsia="IRNazanin" w:cs="IRNazanin"/>
          <w:b w:val="false"/>
          <w:bCs w:val="false"/>
          <w:i w:val="false"/>
          <w:iCs w:val="false"/>
          <w:color w:val="333333"/>
          <w:sz w:val="20"/>
          <w:szCs w:val="20"/>
          <w:rtl w:val="true"/>
        </w:rPr>
        <w:t>».</w:t>
      </w:r>
    </w:p>
  </w:footnote>
  <w:footnote w:id="3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ساغ أن يدلّ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ساغ به</w:t>
      </w:r>
      <w:r>
        <w:rPr>
          <w:rFonts w:eastAsia="IRNazanin" w:cs="IRNazanin"/>
          <w:b w:val="false"/>
          <w:bCs w:val="false"/>
          <w:i w:val="false"/>
          <w:iCs w:val="false"/>
          <w:color w:val="333333"/>
          <w:sz w:val="20"/>
          <w:szCs w:val="20"/>
          <w:rtl w:val="true"/>
        </w:rPr>
        <w:t>».</w:t>
      </w:r>
    </w:p>
  </w:footnote>
  <w:footnote w:id="3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سائر أصحاب النبيّ صلّى اللّٰه عليه و آله</w:t>
      </w:r>
      <w:r>
        <w:rPr>
          <w:rFonts w:eastAsia="IRNazanin" w:cs="IRNazanin"/>
          <w:b w:val="false"/>
          <w:bCs w:val="false"/>
          <w:i w:val="false"/>
          <w:iCs w:val="false"/>
          <w:color w:val="333333"/>
          <w:sz w:val="20"/>
          <w:szCs w:val="20"/>
          <w:rtl w:val="true"/>
        </w:rPr>
        <w:t>».</w:t>
      </w:r>
    </w:p>
  </w:footnote>
  <w:footnote w:id="3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3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هو</w:t>
      </w:r>
      <w:r>
        <w:rPr>
          <w:rFonts w:eastAsia="IRNazanin" w:cs="IRNazanin"/>
          <w:b w:val="false"/>
          <w:bCs w:val="false"/>
          <w:i w:val="false"/>
          <w:iCs w:val="false"/>
          <w:color w:val="333333"/>
          <w:sz w:val="20"/>
          <w:szCs w:val="20"/>
          <w:rtl w:val="true"/>
        </w:rPr>
        <w:t>».</w:t>
      </w:r>
    </w:p>
  </w:footnote>
  <w:footnote w:id="3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لكهول قبيلة من القبائل أو جماعة من الجماعات كماجعلوه متناولاً</w:t>
      </w:r>
      <w:r>
        <w:rPr>
          <w:rFonts w:eastAsia="IRNazanin" w:cs="IRNazanin"/>
          <w:b w:val="false"/>
          <w:bCs w:val="false"/>
          <w:i w:val="false"/>
          <w:iCs w:val="false"/>
          <w:color w:val="333333"/>
          <w:sz w:val="20"/>
          <w:szCs w:val="20"/>
          <w:rtl w:val="true"/>
        </w:rPr>
        <w:t>».</w:t>
      </w:r>
    </w:p>
  </w:footnote>
  <w:footnote w:id="3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ينافيها</w:t>
      </w:r>
      <w:r>
        <w:rPr>
          <w:rFonts w:eastAsia="IRNazanin" w:cs="IRNazanin"/>
          <w:b w:val="false"/>
          <w:bCs w:val="false"/>
          <w:i w:val="false"/>
          <w:iCs w:val="false"/>
          <w:color w:val="333333"/>
          <w:sz w:val="20"/>
          <w:szCs w:val="20"/>
          <w:rtl w:val="true"/>
        </w:rPr>
        <w:t>».</w:t>
      </w:r>
    </w:p>
  </w:footnote>
  <w:footnote w:id="3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الغيبة للطوسي،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595/5</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4940</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5050</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9803</w:t>
      </w:r>
      <w:r>
        <w:rPr>
          <w:rFonts w:ascii="IRNazanin" w:hAnsi="IRNazanin" w:eastAsia="IRNazanin"/>
          <w:b w:val="false"/>
          <w:b w:val="false"/>
          <w:bCs w:val="false"/>
          <w:i w:val="false"/>
          <w:i w:val="false"/>
          <w:iCs w:val="false"/>
          <w:color w:val="333333"/>
          <w:sz w:val="20"/>
          <w:sz w:val="20"/>
          <w:szCs w:val="20"/>
          <w:rtl w:val="true"/>
        </w:rPr>
        <w:t xml:space="preserve">؛ جواهر العقدين،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34162</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3666</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xml:space="preserve">؛ مسند أبي يعلىٰ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مسند البزّار،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فضائل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3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الصحابة</w:t>
      </w:r>
      <w:r>
        <w:rPr>
          <w:rFonts w:eastAsia="IRNazanin" w:cs="IRNazanin"/>
          <w:b w:val="false"/>
          <w:bCs w:val="false"/>
          <w:i w:val="false"/>
          <w:iCs w:val="false"/>
          <w:color w:val="333333"/>
          <w:sz w:val="20"/>
          <w:szCs w:val="20"/>
          <w:rtl w:val="true"/>
        </w:rPr>
        <w:t>».</w:t>
      </w:r>
    </w:p>
  </w:footnote>
  <w:footnote w:id="3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يشرّف به و يفضّل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يشرّف و يفضّل به</w:t>
      </w:r>
      <w:r>
        <w:rPr>
          <w:rFonts w:eastAsia="IRNazanin" w:cs="IRNazanin"/>
          <w:b w:val="false"/>
          <w:bCs w:val="false"/>
          <w:i w:val="false"/>
          <w:iCs w:val="false"/>
          <w:color w:val="333333"/>
          <w:sz w:val="20"/>
          <w:szCs w:val="20"/>
          <w:rtl w:val="true"/>
        </w:rPr>
        <w:t>».</w:t>
      </w:r>
    </w:p>
  </w:footnote>
  <w:footnote w:id="3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استأذن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الحديث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w:t>
      </w:r>
    </w:p>
  </w:footnote>
  <w:footnote w:id="3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6684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6834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2403/29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6548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19670</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3710</w:t>
      </w:r>
      <w:r>
        <w:rPr>
          <w:rFonts w:ascii="IRNazanin" w:hAnsi="IRNazanin" w:eastAsia="IRNazanin"/>
          <w:b w:val="false"/>
          <w:b w:val="false"/>
          <w:bCs w:val="false"/>
          <w:i w:val="false"/>
          <w:i w:val="false"/>
          <w:iCs w:val="false"/>
          <w:color w:val="333333"/>
          <w:sz w:val="20"/>
          <w:sz w:val="20"/>
          <w:szCs w:val="20"/>
          <w:rtl w:val="true"/>
        </w:rPr>
        <w:t xml:space="preserve">؛ سنن النسائي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8133</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13254</w:t>
      </w:r>
      <w:r>
        <w:rPr>
          <w:rFonts w:eastAsia="IRNazanin" w:cs="IRNazanin"/>
          <w:b w:val="false"/>
          <w:bCs w:val="false"/>
          <w:i w:val="false"/>
          <w:iCs w:val="false"/>
          <w:color w:val="333333"/>
          <w:sz w:val="20"/>
          <w:szCs w:val="20"/>
          <w:rtl w:val="true"/>
        </w:rPr>
        <w:t>.</w:t>
      </w:r>
    </w:p>
  </w:footnote>
  <w:footnote w:id="3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3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دعوا</w:t>
      </w:r>
      <w:r>
        <w:rPr>
          <w:rFonts w:eastAsia="IRNazanin" w:cs="IRNazanin"/>
          <w:b w:val="false"/>
          <w:bCs w:val="false"/>
          <w:i w:val="false"/>
          <w:iCs w:val="false"/>
          <w:color w:val="333333"/>
          <w:sz w:val="20"/>
          <w:szCs w:val="20"/>
          <w:rtl w:val="true"/>
        </w:rPr>
        <w:t>».</w:t>
      </w:r>
    </w:p>
  </w:footnote>
  <w:footnote w:id="3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بكر</w:t>
      </w:r>
      <w:r>
        <w:rPr>
          <w:rFonts w:eastAsia="IRNazanin" w:cs="IRNazanin"/>
          <w:b w:val="false"/>
          <w:bCs w:val="false"/>
          <w:i w:val="false"/>
          <w:iCs w:val="false"/>
          <w:color w:val="333333"/>
          <w:sz w:val="20"/>
          <w:szCs w:val="20"/>
          <w:rtl w:val="true"/>
        </w:rPr>
        <w:t>.</w:t>
      </w:r>
    </w:p>
  </w:footnote>
  <w:footnote w:id="3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مفتر</w:t>
      </w:r>
      <w:r>
        <w:rPr>
          <w:rFonts w:eastAsia="IRNazanin" w:cs="IRNazanin"/>
          <w:b w:val="false"/>
          <w:bCs w:val="false"/>
          <w:i w:val="false"/>
          <w:iCs w:val="false"/>
          <w:color w:val="333333"/>
          <w:sz w:val="20"/>
          <w:szCs w:val="20"/>
          <w:rtl w:val="true"/>
        </w:rPr>
        <w:t>».</w:t>
      </w:r>
    </w:p>
  </w:footnote>
  <w:footnote w:id="3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المعروف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 المعروف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p>
  </w:footnote>
  <w:footnote w:id="3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إطلاق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النبيّ صلّى اللّٰه عليه و آله علىٰ أمير المؤمنين عليه السلام قد ورد بعدّة روايات و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عليّ و الوصيّة للعلّامة العسكري، ففيه ما يقارب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3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3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3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يروونه عن</w:t>
      </w:r>
      <w:r>
        <w:rPr>
          <w:rFonts w:eastAsia="IRNazanin" w:cs="IRNazanin"/>
          <w:b w:val="false"/>
          <w:bCs w:val="false"/>
          <w:i w:val="false"/>
          <w:iCs w:val="false"/>
          <w:color w:val="333333"/>
          <w:sz w:val="20"/>
          <w:szCs w:val="20"/>
          <w:rtl w:val="true"/>
        </w:rPr>
        <w:t>».</w:t>
      </w:r>
    </w:p>
  </w:footnote>
  <w:footnote w:id="3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ما حكاه السائل عن أميرالمؤمنين عليه السلام في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بعدد</w:t>
      </w:r>
      <w:r>
        <w:rPr>
          <w:rFonts w:eastAsia="IRNazanin" w:cs="IRNazanin"/>
          <w:b w:val="false"/>
          <w:bCs w:val="false"/>
          <w:i w:val="false"/>
          <w:iCs w:val="false"/>
          <w:color w:val="333333"/>
          <w:sz w:val="20"/>
          <w:szCs w:val="20"/>
          <w:rtl w:val="true"/>
        </w:rPr>
        <w:t>».</w:t>
      </w:r>
    </w:p>
  </w:footnote>
  <w:footnote w:id="3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الجمل،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1526/1</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ربّي</w:t>
      </w:r>
      <w:r>
        <w:rPr>
          <w:rFonts w:eastAsia="IRNazanin" w:cs="IRNazanin"/>
          <w:b w:val="false"/>
          <w:bCs w:val="false"/>
          <w:i w:val="false"/>
          <w:iCs w:val="false"/>
          <w:color w:val="333333"/>
          <w:sz w:val="20"/>
          <w:szCs w:val="20"/>
          <w:rtl w:val="true"/>
        </w:rPr>
        <w:t>».</w:t>
      </w:r>
    </w:p>
  </w:footnote>
  <w:footnote w:id="3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لزقت</w:t>
      </w:r>
      <w:r>
        <w:rPr>
          <w:rFonts w:eastAsia="IRNazanin" w:cs="IRNazanin"/>
          <w:b w:val="false"/>
          <w:bCs w:val="false"/>
          <w:i w:val="false"/>
          <w:iCs w:val="false"/>
          <w:color w:val="333333"/>
          <w:sz w:val="20"/>
          <w:szCs w:val="20"/>
          <w:rtl w:val="true"/>
        </w:rPr>
        <w:t>».</w:t>
      </w:r>
    </w:p>
  </w:footnote>
  <w:footnote w:id="3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من كل شيء،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الترقوتين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w:t>
      </w:r>
    </w:p>
  </w:footnote>
  <w:footnote w:id="3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فاستخلف</w:t>
      </w:r>
      <w:r>
        <w:rPr>
          <w:rFonts w:eastAsia="IRNazanin" w:cs="IRNazanin"/>
          <w:b w:val="false"/>
          <w:bCs w:val="false"/>
          <w:i w:val="false"/>
          <w:iCs w:val="false"/>
          <w:color w:val="333333"/>
          <w:sz w:val="20"/>
          <w:szCs w:val="20"/>
          <w:rtl w:val="true"/>
        </w:rPr>
        <w:t>».</w:t>
      </w:r>
    </w:p>
  </w:footnote>
  <w:footnote w:id="3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أولى الناس بهم</w:t>
      </w:r>
      <w:r>
        <w:rPr>
          <w:rFonts w:eastAsia="IRNazanin" w:cs="IRNazanin"/>
          <w:b w:val="false"/>
          <w:bCs w:val="false"/>
          <w:i w:val="false"/>
          <w:iCs w:val="false"/>
          <w:color w:val="333333"/>
          <w:sz w:val="20"/>
          <w:szCs w:val="20"/>
          <w:rtl w:val="true"/>
        </w:rPr>
        <w:t>».</w:t>
      </w:r>
    </w:p>
  </w:footnote>
  <w:footnote w:id="3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ربّي</w:t>
      </w:r>
      <w:r>
        <w:rPr>
          <w:rFonts w:eastAsia="IRNazanin" w:cs="IRNazanin"/>
          <w:b w:val="false"/>
          <w:bCs w:val="false"/>
          <w:i w:val="false"/>
          <w:iCs w:val="false"/>
          <w:color w:val="333333"/>
          <w:sz w:val="20"/>
          <w:szCs w:val="20"/>
          <w:rtl w:val="true"/>
        </w:rPr>
        <w:t>».</w:t>
      </w:r>
    </w:p>
  </w:footnote>
  <w:footnote w:id="3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ربّي</w:t>
      </w:r>
      <w:r>
        <w:rPr>
          <w:rFonts w:eastAsia="IRNazanin" w:cs="IRNazanin"/>
          <w:b w:val="false"/>
          <w:bCs w:val="false"/>
          <w:i w:val="false"/>
          <w:iCs w:val="false"/>
          <w:color w:val="333333"/>
          <w:sz w:val="20"/>
          <w:szCs w:val="20"/>
          <w:rtl w:val="true"/>
        </w:rPr>
        <w:t>».</w:t>
      </w:r>
    </w:p>
  </w:footnote>
  <w:footnote w:id="3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الكفر بما 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وجدت إلّاالقتال أو الكفر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منبّهاً بذلك علىٰ سبب قتاله لطلحة و الزبير و معاوية و كفّه عمّن تقدّم؛ لأنّه لمّا وجد الأعوان و الأنصار لزمه الأمر، و تعيّن عليه فرض القتال و الدفاع حتّىٰ لم يجد إلّاالقتال أو الخلاف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الحال الأُولىٰ كان معذوراً؛ لفقد النصّار و الأعوان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تقريب المعارف،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حلية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يغني</w:t>
      </w:r>
      <w:r>
        <w:rPr>
          <w:rFonts w:eastAsia="IRNazanin" w:cs="IRNazanin"/>
          <w:b w:val="false"/>
          <w:bCs w:val="false"/>
          <w:i w:val="false"/>
          <w:iCs w:val="false"/>
          <w:color w:val="333333"/>
          <w:sz w:val="20"/>
          <w:szCs w:val="20"/>
          <w:rtl w:val="true"/>
        </w:rPr>
        <w:t>».</w:t>
      </w:r>
    </w:p>
  </w:footnote>
  <w:footnote w:id="3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رواه</w:t>
      </w:r>
      <w:r>
        <w:rPr>
          <w:rFonts w:eastAsia="IRNazanin" w:cs="IRNazanin"/>
          <w:b w:val="false"/>
          <w:bCs w:val="false"/>
          <w:i w:val="false"/>
          <w:iCs w:val="false"/>
          <w:color w:val="333333"/>
          <w:sz w:val="20"/>
          <w:szCs w:val="20"/>
          <w:rtl w:val="true"/>
        </w:rPr>
        <w:t>».</w:t>
      </w:r>
    </w:p>
  </w:footnote>
  <w:footnote w:id="3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مبغضاً</w:t>
      </w:r>
      <w:r>
        <w:rPr>
          <w:rFonts w:eastAsia="IRNazanin" w:cs="IRNazanin"/>
          <w:b w:val="false"/>
          <w:bCs w:val="false"/>
          <w:i w:val="false"/>
          <w:iCs w:val="false"/>
          <w:color w:val="333333"/>
          <w:sz w:val="20"/>
          <w:szCs w:val="20"/>
          <w:rtl w:val="true"/>
        </w:rPr>
        <w:t>».</w:t>
      </w:r>
    </w:p>
  </w:footnote>
  <w:footnote w:id="3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p>
  </w:footnote>
  <w:footnote w:id="3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 الماءُ العَطَشَ يَنْقَعُه نَقعاً و نُقوعاً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أذهبه و سكّنه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w:t>
      </w:r>
    </w:p>
  </w:footnote>
  <w:footnote w:id="3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صدى</w:t>
      </w:r>
      <w:r>
        <w:rPr>
          <w:rFonts w:eastAsia="IRNazanin" w:cs="IRNazanin"/>
          <w:b w:val="false"/>
          <w:bCs w:val="false"/>
          <w:i w:val="false"/>
          <w:iCs w:val="false"/>
          <w:color w:val="333333"/>
          <w:sz w:val="20"/>
          <w:szCs w:val="20"/>
          <w:rtl w:val="true"/>
        </w:rPr>
        <w:t>).</w:t>
      </w:r>
    </w:p>
  </w:footnote>
  <w:footnote w:id="3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البديع</w:t>
      </w:r>
      <w:r>
        <w:rPr>
          <w:rFonts w:eastAsia="IRNazanin" w:cs="IRNazanin"/>
          <w:b w:val="false"/>
          <w:bCs w:val="false"/>
          <w:i w:val="false"/>
          <w:iCs w:val="false"/>
          <w:color w:val="333333"/>
          <w:sz w:val="20"/>
          <w:szCs w:val="20"/>
          <w:rtl w:val="true"/>
        </w:rPr>
        <w:t>».</w:t>
      </w:r>
    </w:p>
  </w:footnote>
  <w:footnote w:id="3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3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فعلت</w:t>
      </w:r>
      <w:r>
        <w:rPr>
          <w:rFonts w:eastAsia="IRNazanin" w:cs="IRNazanin"/>
          <w:b w:val="false"/>
          <w:bCs w:val="false"/>
          <w:i w:val="false"/>
          <w:iCs w:val="false"/>
          <w:color w:val="333333"/>
          <w:sz w:val="20"/>
          <w:szCs w:val="20"/>
          <w:rtl w:val="true"/>
        </w:rPr>
        <w:t>».</w:t>
      </w:r>
    </w:p>
  </w:footnote>
  <w:footnote w:id="3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3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3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ترجمته، و هو غير معاذ بن الحارث الأنصاري المعروف بابن عفراء، و غير معاذبن الحارث الأنصاري النجّاري الذي هو أحد من أقامه عمر بمصلّى التراويح، المقتول يوم الحرّة</w:t>
      </w:r>
      <w:r>
        <w:rPr>
          <w:rFonts w:eastAsia="IRNazanin" w:cs="IRNazanin"/>
          <w:b w:val="false"/>
          <w:bCs w:val="false"/>
          <w:i w:val="false"/>
          <w:iCs w:val="false"/>
          <w:color w:val="333333"/>
          <w:sz w:val="20"/>
          <w:szCs w:val="20"/>
          <w:rtl w:val="true"/>
        </w:rPr>
        <w:t>.</w:t>
      </w:r>
    </w:p>
  </w:footnote>
  <w:footnote w:id="3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هوحفص بن عبد الرحمن البلخي، أبو عمر، الفقيه المعروف النيسابوري، قاضيها، روىٰ عن عاصم الأحول و سليمان التيمي و أبي حنيفة و خلق، و روىٰ عنه يحيى بن أكثم و محمّد بن رافع و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أفقه أصحاب أبي حنيفة الخراسانيّين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تسع و تسعين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3639</w:t>
      </w:r>
      <w:r>
        <w:rPr>
          <w:rFonts w:ascii="IRNazanin" w:hAnsi="IRNazanin" w:eastAsia="IRNazanin"/>
          <w:b w:val="false"/>
          <w:b w:val="false"/>
          <w:bCs w:val="false"/>
          <w:i w:val="false"/>
          <w:i w:val="false"/>
          <w:iCs w:val="false"/>
          <w:color w:val="333333"/>
          <w:sz w:val="20"/>
          <w:sz w:val="20"/>
          <w:szCs w:val="20"/>
          <w:rtl w:val="true"/>
        </w:rPr>
        <w:t xml:space="preserve">؛ التذكرة بمعرفة رجال الكتب العشرة،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الجواهر المضيئة،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الطبقات السنيّة،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3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3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خباب</w:t>
      </w:r>
      <w:r>
        <w:rPr>
          <w:rFonts w:eastAsia="IRNazanin" w:cs="IRNazanin"/>
          <w:b w:val="false"/>
          <w:bCs w:val="false"/>
          <w:i w:val="false"/>
          <w:iCs w:val="false"/>
          <w:color w:val="333333"/>
          <w:sz w:val="20"/>
          <w:szCs w:val="20"/>
          <w:rtl w:val="true"/>
        </w:rPr>
        <w:t>».</w:t>
      </w:r>
    </w:p>
  </w:footnote>
  <w:footnote w:id="3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شرحبيل، أبو ميسرة الهمداني، ثمّ الوادعي، روىٰ عن عمر و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معرفة الصحابة،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3693</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3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عوسجة الهمْداني ثمّ النهمي الكوفي، روىٰ عن البراء بن عازب و علقمة بن قيس و الضحّاك بن مزاحم، و أرسل عن عليّ عليه السلام، و كان قليل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يوم الزاوية مع ابن الأشعث سنة ثلاث و 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التذكرة بمعرفة رجال الكتب العشرة،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3980</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 بن عمّار، ابن تمّام الأشجعي الكوفي، روى عن أبي حازم سليمان الأشجعي و أبي عثمان النهدي و سعيد بن المسيّب و عكرمة، و روىٰ عنه الثوري و زائدة و زهير بن معاوية و أسباط بن نصر و عيسى بن مسلم الطهوري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 ذكره ابن حِبّان في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أسماء التابعين،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التذكرة بمعرفة رجال الكتب العشرة،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3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فضائل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3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فالمقدّمة</w:t>
      </w:r>
      <w:r>
        <w:rPr>
          <w:rFonts w:eastAsia="IRNazanin" w:cs="IRNazanin"/>
          <w:b w:val="false"/>
          <w:bCs w:val="false"/>
          <w:i w:val="false"/>
          <w:iCs w:val="false"/>
          <w:color w:val="333333"/>
          <w:sz w:val="20"/>
          <w:szCs w:val="20"/>
          <w:rtl w:val="true"/>
        </w:rPr>
        <w:t>».</w:t>
      </w:r>
    </w:p>
  </w:footnote>
  <w:footnote w:id="3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وبالاً</w:t>
      </w:r>
      <w:r>
        <w:rPr>
          <w:rFonts w:eastAsia="IRNazanin" w:cs="IRNazanin"/>
          <w:b w:val="false"/>
          <w:bCs w:val="false"/>
          <w:i w:val="false"/>
          <w:iCs w:val="false"/>
          <w:color w:val="333333"/>
          <w:sz w:val="20"/>
          <w:szCs w:val="20"/>
          <w:rtl w:val="true"/>
        </w:rPr>
        <w:t>».</w:t>
      </w:r>
    </w:p>
  </w:footnote>
  <w:footnote w:id="3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3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التهاون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أزريت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قصّرت به و تهاونت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w:t>
      </w:r>
      <w:r>
        <w:rPr>
          <w:rFonts w:eastAsia="IRNazanin" w:cs="IRNazanin"/>
          <w:b w:val="false"/>
          <w:bCs w:val="false"/>
          <w:i w:val="false"/>
          <w:iCs w:val="false"/>
          <w:color w:val="333333"/>
          <w:sz w:val="20"/>
          <w:szCs w:val="20"/>
          <w:rtl w:val="true"/>
        </w:rPr>
        <w:t>).</w:t>
      </w:r>
    </w:p>
  </w:footnote>
  <w:footnote w:id="3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التلخيص</w:t>
      </w:r>
      <w:r>
        <w:rPr>
          <w:rFonts w:eastAsia="IRNazanin" w:cs="IRNazanin"/>
          <w:b w:val="false"/>
          <w:bCs w:val="false"/>
          <w:i w:val="false"/>
          <w:iCs w:val="false"/>
          <w:color w:val="333333"/>
          <w:sz w:val="20"/>
          <w:szCs w:val="20"/>
          <w:rtl w:val="true"/>
        </w:rPr>
        <w:t>.</w:t>
      </w:r>
    </w:p>
  </w:footnote>
  <w:footnote w:id="3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الحقيقة</w:t>
      </w:r>
      <w:r>
        <w:rPr>
          <w:rFonts w:eastAsia="IRNazanin" w:cs="IRNazanin"/>
          <w:b w:val="false"/>
          <w:bCs w:val="false"/>
          <w:i w:val="false"/>
          <w:iCs w:val="false"/>
          <w:color w:val="333333"/>
          <w:sz w:val="20"/>
          <w:szCs w:val="20"/>
          <w:rtl w:val="true"/>
        </w:rPr>
        <w:t>».</w:t>
      </w:r>
    </w:p>
  </w:footnote>
  <w:footnote w:id="3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بقية</w:t>
      </w:r>
      <w:r>
        <w:rPr>
          <w:rFonts w:eastAsia="IRNazanin" w:cs="IRNazanin"/>
          <w:b w:val="false"/>
          <w:bCs w:val="false"/>
          <w:i w:val="false"/>
          <w:iCs w:val="false"/>
          <w:color w:val="333333"/>
          <w:sz w:val="20"/>
          <w:szCs w:val="20"/>
          <w:rtl w:val="true"/>
        </w:rPr>
        <w:t>».</w:t>
      </w:r>
    </w:p>
  </w:footnote>
  <w:footnote w:id="3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للأدلّة الظاهرة و الموجبة</w:t>
      </w:r>
      <w:r>
        <w:rPr>
          <w:rFonts w:eastAsia="IRNazanin" w:cs="IRNazanin"/>
          <w:b w:val="false"/>
          <w:bCs w:val="false"/>
          <w:i w:val="false"/>
          <w:iCs w:val="false"/>
          <w:color w:val="333333"/>
          <w:sz w:val="20"/>
          <w:szCs w:val="20"/>
          <w:rtl w:val="true"/>
        </w:rPr>
        <w:t>».</w:t>
      </w:r>
    </w:p>
  </w:footnote>
  <w:footnote w:id="3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بن أبي جحيفة وهب عبد اللّٰه السوائي الكوفي، روىٰ عن أبيه و مسلم بن رباح الثقفي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صحبة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المنذر بن جرير البجلي و عبد الرحمن بن سمير و مخنف بن سليم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آخر ولاية خالد على العراق، و قال ابن 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ستّ عشرة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بمعرفة رجال الكتب العشرة،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الحرب خدعة، يُروى بفتح الخاء، و ضمّها مع سكون الدال، و بضمّها مع فتح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الحرب ينقضي أمرها بخَدعَةٍ واحدة؛ من الخِداع، أي أنّ المقاتل إذا خُدِعَ مرّة واحدة لم تكن لها إقالة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أفصح الروايات و أصحّها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الثاني هو الاسم من الخِداع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الحرب تَخدَعُ الرجال و تمنّيهم و لا تفي لهم،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رجل لُعَبة و ضُحَكة، أي كثير اللعب و الضحك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w:t>
      </w:r>
      <w:r>
        <w:rPr>
          <w:rFonts w:eastAsia="IRNazanin" w:cs="IRNazanin"/>
          <w:b w:val="false"/>
          <w:bCs w:val="false"/>
          <w:i w:val="false"/>
          <w:iCs w:val="false"/>
          <w:color w:val="333333"/>
          <w:sz w:val="20"/>
          <w:szCs w:val="20"/>
          <w:rtl w:val="true"/>
        </w:rPr>
        <w:t>).</w:t>
      </w:r>
    </w:p>
  </w:footnote>
  <w:footnote w:id="3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6531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1066/154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4767</w:t>
      </w:r>
      <w:r>
        <w:rPr>
          <w:rFonts w:ascii="IRNazanin" w:hAnsi="IRNazanin" w:eastAsia="IRNazanin"/>
          <w:b w:val="false"/>
          <w:b w:val="false"/>
          <w:bCs w:val="false"/>
          <w:i w:val="false"/>
          <w:i w:val="false"/>
          <w:iCs w:val="false"/>
          <w:color w:val="333333"/>
          <w:sz w:val="20"/>
          <w:sz w:val="20"/>
          <w:szCs w:val="20"/>
          <w:rtl w:val="true"/>
        </w:rPr>
        <w:t xml:space="preserve">؛ مسند الطيالسي،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سنن النسائي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8563</w:t>
      </w:r>
      <w:r>
        <w:rPr>
          <w:rFonts w:ascii="IRNazanin" w:hAnsi="IRNazanin" w:eastAsia="IRNazanin"/>
          <w:b w:val="false"/>
          <w:b w:val="false"/>
          <w:bCs w:val="false"/>
          <w:i w:val="false"/>
          <w:i w:val="false"/>
          <w:iCs w:val="false"/>
          <w:color w:val="333333"/>
          <w:sz w:val="20"/>
          <w:sz w:val="20"/>
          <w:szCs w:val="20"/>
          <w:rtl w:val="true"/>
        </w:rPr>
        <w:t xml:space="preserve">؛ تهذيب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1655</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يدلّ علىٰ أنّ الكلام</w:t>
      </w:r>
      <w:r>
        <w:rPr>
          <w:rFonts w:eastAsia="IRNazanin" w:cs="IRNazanin"/>
          <w:b w:val="false"/>
          <w:bCs w:val="false"/>
          <w:i w:val="false"/>
          <w:iCs w:val="false"/>
          <w:color w:val="333333"/>
          <w:sz w:val="20"/>
          <w:szCs w:val="20"/>
          <w:rtl w:val="true"/>
        </w:rPr>
        <w:t>».</w:t>
      </w:r>
    </w:p>
  </w:footnote>
  <w:footnote w:id="3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اللَّبْسُ و اللَّبَسُ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عليه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خلطه عليه حتّىٰ لا يعرف جهته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w:t>
      </w:r>
    </w:p>
  </w:footnote>
  <w:footnote w:id="3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 يعتقدون</w:t>
      </w:r>
      <w:r>
        <w:rPr>
          <w:rFonts w:eastAsia="IRNazanin" w:cs="IRNazanin"/>
          <w:b w:val="false"/>
          <w:bCs w:val="false"/>
          <w:i w:val="false"/>
          <w:iCs w:val="false"/>
          <w:color w:val="333333"/>
          <w:sz w:val="20"/>
          <w:szCs w:val="20"/>
          <w:rtl w:val="true"/>
        </w:rPr>
        <w:t>».</w:t>
      </w:r>
    </w:p>
  </w:footnote>
  <w:footnote w:id="3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منهم من يفضّله</w:t>
      </w:r>
      <w:r>
        <w:rPr>
          <w:rFonts w:eastAsia="IRNazanin" w:cs="IRNazanin"/>
          <w:b w:val="false"/>
          <w:bCs w:val="false"/>
          <w:i w:val="false"/>
          <w:iCs w:val="false"/>
          <w:color w:val="333333"/>
          <w:sz w:val="20"/>
          <w:szCs w:val="20"/>
          <w:rtl w:val="true"/>
        </w:rPr>
        <w:t>».</w:t>
      </w:r>
    </w:p>
  </w:footnote>
  <w:footnote w:id="3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تبرّأ</w:t>
      </w:r>
      <w:r>
        <w:rPr>
          <w:rFonts w:eastAsia="IRNazanin" w:cs="IRNazanin"/>
          <w:b w:val="false"/>
          <w:bCs w:val="false"/>
          <w:i w:val="false"/>
          <w:iCs w:val="false"/>
          <w:color w:val="333333"/>
          <w:sz w:val="20"/>
          <w:szCs w:val="20"/>
          <w:rtl w:val="true"/>
        </w:rPr>
        <w:t>».</w:t>
      </w:r>
    </w:p>
  </w:footnote>
  <w:footnote w:id="3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3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3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لو لم 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3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يدفع</w:t>
      </w:r>
      <w:r>
        <w:rPr>
          <w:rFonts w:eastAsia="IRNazanin" w:cs="IRNazanin"/>
          <w:b w:val="false"/>
          <w:bCs w:val="false"/>
          <w:i w:val="false"/>
          <w:iCs w:val="false"/>
          <w:color w:val="333333"/>
          <w:sz w:val="20"/>
          <w:szCs w:val="20"/>
          <w:rtl w:val="true"/>
        </w:rPr>
        <w:t>».</w:t>
      </w:r>
    </w:p>
  </w:footnote>
  <w:footnote w:id="3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تفضيل الشيخين علىٰ أمير المؤمنين عليه السلام</w:t>
      </w:r>
      <w:r>
        <w:rPr>
          <w:rFonts w:eastAsia="IRNazanin" w:cs="IRNazanin"/>
          <w:b w:val="false"/>
          <w:bCs w:val="false"/>
          <w:i w:val="false"/>
          <w:iCs w:val="false"/>
          <w:color w:val="333333"/>
          <w:sz w:val="20"/>
          <w:szCs w:val="20"/>
          <w:rtl w:val="true"/>
        </w:rPr>
        <w:t>.</w:t>
      </w:r>
    </w:p>
  </w:footnote>
  <w:footnote w:id="3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بما جرىٰ </w:t>
      </w:r>
      <w:r>
        <w:rPr>
          <w:rFonts w:eastAsia="IRNazanin" w:cs="IRNazanin"/>
          <w:b w:val="false"/>
          <w:bCs w:val="false"/>
          <w:i w:val="false"/>
          <w:iCs w:val="false"/>
          <w:color w:val="333333"/>
          <w:sz w:val="20"/>
          <w:szCs w:val="20"/>
          <w:rtl w:val="true"/>
        </w:rPr>
        <w:t>».</w:t>
      </w:r>
    </w:p>
  </w:footnote>
  <w:footnote w:id="3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الحجري و التلخيص</w:t>
      </w:r>
      <w:r>
        <w:rPr>
          <w:rFonts w:eastAsia="IRNazanin" w:cs="IRNazanin"/>
          <w:b w:val="false"/>
          <w:bCs w:val="false"/>
          <w:i w:val="false"/>
          <w:iCs w:val="false"/>
          <w:color w:val="333333"/>
          <w:sz w:val="20"/>
          <w:szCs w:val="20"/>
          <w:rtl w:val="true"/>
        </w:rPr>
        <w:t>.</w:t>
      </w:r>
    </w:p>
  </w:footnote>
  <w:footnote w:id="3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استشهدوا بما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استشهدوا</w:t>
      </w:r>
      <w:r>
        <w:rPr>
          <w:rFonts w:eastAsia="IRNazanin" w:cs="IRNazanin"/>
          <w:b w:val="false"/>
          <w:bCs w:val="false"/>
          <w:i w:val="false"/>
          <w:iCs w:val="false"/>
          <w:color w:val="333333"/>
          <w:sz w:val="20"/>
          <w:szCs w:val="20"/>
          <w:rtl w:val="true"/>
        </w:rPr>
        <w:t>».</w:t>
      </w:r>
    </w:p>
  </w:footnote>
  <w:footnote w:id="3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7101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2377/167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4669</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2746</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قصص الأنبياء للراوندي،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14918/103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w:t>
      </w:r>
    </w:p>
  </w:footnote>
  <w:footnote w:id="3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بن الحارث بن عبد المطّلب بن هاشم بن عبد مناف القرشي الهاشمي، أبو سفيان بن الحارث، غلبت عليه كنيته، و كان أخا رسول اللّٰه صلّى اللّٰه عليه و آله من الرضاعة، رضعتهما حليمة بنت أبي ذؤيب السعديّة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الشعراء المطبوعين، و كان سبق له هجاء في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إسلامه يوم الفتح قبل دخول رسول اللّٰه صلّى اللّٰه عليه و آله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معجم الصحابة،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تاريخ الصحابة،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معرفة الصحابة،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2758</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3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6546</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5115</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w:t>
      </w:r>
    </w:p>
  </w:footnote>
  <w:footnote w:id="3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70/39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w:t>
      </w:r>
    </w:p>
  </w:footnote>
  <w:footnote w:id="3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أمير المؤمنين عليه السلام</w:t>
      </w:r>
      <w:r>
        <w:rPr>
          <w:rFonts w:eastAsia="IRNazanin" w:cs="IRNazanin"/>
          <w:b w:val="false"/>
          <w:bCs w:val="false"/>
          <w:i w:val="false"/>
          <w:iCs w:val="false"/>
          <w:color w:val="333333"/>
          <w:sz w:val="20"/>
          <w:szCs w:val="20"/>
          <w:rtl w:val="true"/>
        </w:rPr>
        <w:t>.</w:t>
      </w:r>
    </w:p>
  </w:footnote>
  <w:footnote w:id="3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ظريف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من الثمرو غيره</w:t>
      </w:r>
      <w:r>
        <w:rPr>
          <w:rFonts w:eastAsia="IRNazanin" w:cs="IRNazanin"/>
          <w:b w:val="false"/>
          <w:bCs w:val="false"/>
          <w:i w:val="false"/>
          <w:iCs w:val="false"/>
          <w:color w:val="333333"/>
          <w:sz w:val="20"/>
          <w:szCs w:val="20"/>
          <w:rtl w:val="true"/>
        </w:rPr>
        <w:t>.</w:t>
      </w:r>
    </w:p>
  </w:footnote>
  <w:footnote w:id="3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20702</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12788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14062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14064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14118</w:t>
      </w:r>
      <w:r>
        <w:rPr>
          <w:rFonts w:eastAsia="IRNazanin" w:cs="IRNazanin"/>
          <w:b w:val="false"/>
          <w:bCs w:val="false"/>
          <w:i w:val="false"/>
          <w:iCs w:val="false"/>
          <w:color w:val="333333"/>
          <w:sz w:val="20"/>
          <w:szCs w:val="20"/>
          <w:rtl w:val="true"/>
        </w:rPr>
        <w:t>.</w:t>
      </w:r>
    </w:p>
  </w:footnote>
  <w:footnote w:id="3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اللفظ و هذا الضرب</w:t>
      </w:r>
      <w:r>
        <w:rPr>
          <w:rFonts w:eastAsia="IRNazanin" w:cs="IRNazanin"/>
          <w:b w:val="false"/>
          <w:bCs w:val="false"/>
          <w:i w:val="false"/>
          <w:iCs w:val="false"/>
          <w:color w:val="333333"/>
          <w:sz w:val="20"/>
          <w:szCs w:val="20"/>
          <w:rtl w:val="true"/>
        </w:rPr>
        <w:t>».</w:t>
      </w:r>
    </w:p>
  </w:footnote>
  <w:footnote w:id="3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مفقود عندهم</w:t>
      </w:r>
      <w:r>
        <w:rPr>
          <w:rFonts w:eastAsia="IRNazanin" w:cs="IRNazanin"/>
          <w:b w:val="false"/>
          <w:bCs w:val="false"/>
          <w:i w:val="false"/>
          <w:iCs w:val="false"/>
          <w:color w:val="333333"/>
          <w:sz w:val="20"/>
          <w:szCs w:val="20"/>
          <w:rtl w:val="true"/>
        </w:rPr>
        <w:t>».</w:t>
      </w:r>
    </w:p>
  </w:footnote>
  <w:footnote w:id="3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تبتغي</w:t>
      </w:r>
      <w:r>
        <w:rPr>
          <w:rFonts w:eastAsia="IRNazanin" w:cs="IRNazanin"/>
          <w:b w:val="false"/>
          <w:bCs w:val="false"/>
          <w:i w:val="false"/>
          <w:iCs w:val="false"/>
          <w:color w:val="333333"/>
          <w:sz w:val="20"/>
          <w:szCs w:val="20"/>
          <w:rtl w:val="true"/>
        </w:rPr>
        <w:t>».</w:t>
      </w:r>
    </w:p>
  </w:footnote>
  <w:footnote w:id="3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مفاعلة من الخروج</w:t>
      </w:r>
      <w:r>
        <w:rPr>
          <w:rFonts w:eastAsia="IRNazanin" w:cs="IRNazanin"/>
          <w:b w:val="false"/>
          <w:bCs w:val="false"/>
          <w:i w:val="false"/>
          <w:iCs w:val="false"/>
          <w:color w:val="333333"/>
          <w:sz w:val="20"/>
          <w:szCs w:val="20"/>
          <w:rtl w:val="true"/>
        </w:rPr>
        <w:t>.</w:t>
      </w:r>
    </w:p>
  </w:footnote>
  <w:footnote w:id="3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المحاربة</w:t>
      </w:r>
      <w:r>
        <w:rPr>
          <w:rFonts w:eastAsia="IRNazanin" w:cs="IRNazanin"/>
          <w:b w:val="false"/>
          <w:bCs w:val="false"/>
          <w:i w:val="false"/>
          <w:iCs w:val="false"/>
          <w:color w:val="333333"/>
          <w:sz w:val="20"/>
          <w:szCs w:val="20"/>
          <w:rtl w:val="true"/>
        </w:rPr>
        <w:t>».</w:t>
      </w:r>
    </w:p>
  </w:footnote>
  <w:footnote w:id="3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مؤدّيان</w:t>
      </w:r>
      <w:r>
        <w:rPr>
          <w:rFonts w:eastAsia="IRNazanin" w:cs="IRNazanin"/>
          <w:b w:val="false"/>
          <w:bCs w:val="false"/>
          <w:i w:val="false"/>
          <w:iCs w:val="false"/>
          <w:color w:val="333333"/>
          <w:sz w:val="20"/>
          <w:szCs w:val="20"/>
          <w:rtl w:val="true"/>
        </w:rPr>
        <w:t>».</w:t>
      </w:r>
    </w:p>
  </w:footnote>
  <w:footnote w:id="3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سيّما</w:t>
      </w:r>
      <w:r>
        <w:rPr>
          <w:rFonts w:eastAsia="IRNazanin" w:cs="IRNazanin"/>
          <w:b w:val="false"/>
          <w:bCs w:val="false"/>
          <w:i w:val="false"/>
          <w:iCs w:val="false"/>
          <w:color w:val="333333"/>
          <w:sz w:val="20"/>
          <w:szCs w:val="20"/>
          <w:rtl w:val="true"/>
        </w:rPr>
        <w:t>».</w:t>
      </w:r>
    </w:p>
  </w:footnote>
  <w:footnote w:id="3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التلبّس</w:t>
      </w:r>
      <w:r>
        <w:rPr>
          <w:rFonts w:eastAsia="IRNazanin" w:cs="IRNazanin"/>
          <w:b w:val="false"/>
          <w:bCs w:val="false"/>
          <w:i w:val="false"/>
          <w:iCs w:val="false"/>
          <w:color w:val="333333"/>
          <w:sz w:val="20"/>
          <w:szCs w:val="20"/>
          <w:rtl w:val="true"/>
        </w:rPr>
        <w:t>».</w:t>
      </w:r>
    </w:p>
  </w:footnote>
  <w:footnote w:id="3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مخارجته</w:t>
      </w:r>
      <w:r>
        <w:rPr>
          <w:rFonts w:eastAsia="IRNazanin" w:cs="IRNazanin"/>
          <w:b w:val="false"/>
          <w:bCs w:val="false"/>
          <w:i w:val="false"/>
          <w:iCs w:val="false"/>
          <w:color w:val="333333"/>
          <w:sz w:val="20"/>
          <w:szCs w:val="20"/>
          <w:rtl w:val="true"/>
        </w:rPr>
        <w:t>».</w:t>
      </w:r>
    </w:p>
  </w:footnote>
  <w:footnote w:id="3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ما رواه من تمنّي أمير المؤمنين عليه السلام أن يلقى اللّٰه</w:t>
      </w:r>
      <w:r>
        <w:rPr>
          <w:rFonts w:eastAsia="IRNazanin" w:cs="IRNazanin"/>
          <w:b w:val="false"/>
          <w:bCs w:val="false"/>
          <w:i w:val="false"/>
          <w:iCs w:val="false"/>
          <w:color w:val="333333"/>
          <w:sz w:val="20"/>
          <w:szCs w:val="20"/>
          <w:rtl w:val="true"/>
        </w:rPr>
        <w:t>».</w:t>
      </w:r>
    </w:p>
  </w:footnote>
  <w:footnote w:id="3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أحد غيره</w:t>
      </w:r>
      <w:r>
        <w:rPr>
          <w:rFonts w:eastAsia="IRNazanin" w:cs="IRNazanin"/>
          <w:b w:val="false"/>
          <w:bCs w:val="false"/>
          <w:i w:val="false"/>
          <w:iCs w:val="false"/>
          <w:color w:val="333333"/>
          <w:sz w:val="20"/>
          <w:szCs w:val="20"/>
          <w:rtl w:val="true"/>
        </w:rPr>
        <w:t>».</w:t>
      </w:r>
    </w:p>
  </w:footnote>
  <w:footnote w:id="3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بصحيفة</w:t>
      </w:r>
      <w:r>
        <w:rPr>
          <w:rFonts w:eastAsia="IRNazanin" w:cs="IRNazanin"/>
          <w:b w:val="false"/>
          <w:bCs w:val="false"/>
          <w:i w:val="false"/>
          <w:iCs w:val="false"/>
          <w:color w:val="333333"/>
          <w:sz w:val="20"/>
          <w:szCs w:val="20"/>
          <w:rtl w:val="true"/>
        </w:rPr>
        <w:t>».</w:t>
      </w:r>
    </w:p>
  </w:footnote>
  <w:footnote w:id="3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3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أمير المؤمنين</w:t>
      </w:r>
      <w:r>
        <w:rPr>
          <w:rFonts w:eastAsia="IRNazanin" w:cs="IRNazanin"/>
          <w:b w:val="false"/>
          <w:bCs w:val="false"/>
          <w:i w:val="false"/>
          <w:iCs w:val="false"/>
          <w:color w:val="333333"/>
          <w:sz w:val="20"/>
          <w:szCs w:val="20"/>
          <w:rtl w:val="true"/>
        </w:rPr>
        <w:t>».</w:t>
      </w:r>
    </w:p>
  </w:footnote>
  <w:footnote w:id="3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إنّه إذا صحّ </w:t>
      </w:r>
      <w:r>
        <w:rPr>
          <w:rFonts w:eastAsia="IRNazanin" w:cs="IRNazanin"/>
          <w:b w:val="false"/>
          <w:bCs w:val="false"/>
          <w:i w:val="false"/>
          <w:iCs w:val="false"/>
          <w:color w:val="333333"/>
          <w:sz w:val="20"/>
          <w:szCs w:val="20"/>
          <w:rtl w:val="true"/>
        </w:rPr>
        <w:t>».</w:t>
      </w:r>
    </w:p>
  </w:footnote>
  <w:footnote w:id="3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نظير</w:t>
      </w:r>
      <w:r>
        <w:rPr>
          <w:rFonts w:eastAsia="IRNazanin" w:cs="IRNazanin"/>
          <w:b w:val="false"/>
          <w:bCs w:val="false"/>
          <w:i w:val="false"/>
          <w:iCs w:val="false"/>
          <w:color w:val="333333"/>
          <w:sz w:val="20"/>
          <w:szCs w:val="20"/>
          <w:rtl w:val="true"/>
        </w:rPr>
        <w:t>».</w:t>
      </w:r>
    </w:p>
  </w:footnote>
  <w:footnote w:id="3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3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جاز</w:t>
      </w:r>
      <w:r>
        <w:rPr>
          <w:rFonts w:eastAsia="IRNazanin" w:cs="IRNazanin"/>
          <w:b w:val="false"/>
          <w:bCs w:val="false"/>
          <w:i w:val="false"/>
          <w:iCs w:val="false"/>
          <w:color w:val="333333"/>
          <w:sz w:val="20"/>
          <w:szCs w:val="20"/>
          <w:rtl w:val="true"/>
        </w:rPr>
        <w:t>».</w:t>
      </w:r>
    </w:p>
  </w:footnote>
  <w:footnote w:id="3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الدعوتان</w:t>
      </w:r>
      <w:r>
        <w:rPr>
          <w:rFonts w:eastAsia="IRNazanin" w:cs="IRNazanin"/>
          <w:b w:val="false"/>
          <w:bCs w:val="false"/>
          <w:i w:val="false"/>
          <w:iCs w:val="false"/>
          <w:color w:val="333333"/>
          <w:sz w:val="20"/>
          <w:szCs w:val="20"/>
          <w:rtl w:val="true"/>
        </w:rPr>
        <w:t>».</w:t>
      </w:r>
    </w:p>
  </w:footnote>
  <w:footnote w:id="3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ليخاصمه بها</w:t>
      </w:r>
      <w:r>
        <w:rPr>
          <w:rFonts w:eastAsia="IRNazanin" w:cs="IRNazanin"/>
          <w:b w:val="false"/>
          <w:bCs w:val="false"/>
          <w:i w:val="false"/>
          <w:iCs w:val="false"/>
          <w:color w:val="333333"/>
          <w:sz w:val="20"/>
          <w:szCs w:val="20"/>
          <w:rtl w:val="true"/>
        </w:rPr>
        <w:t>».</w:t>
      </w:r>
    </w:p>
  </w:footnote>
  <w:footnote w:id="3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أمر الصحيفة التي اتّفق القوم فيها علىٰ إزالة الأمر عن مستحقّه بعد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حول أمر الصحيفة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باب تمهيد غصب الخلافة و قصّة الصحيفة الملعونة</w:t>
      </w:r>
      <w:r>
        <w:rPr>
          <w:rFonts w:eastAsia="IRNazanin" w:cs="IRNazanin"/>
          <w:b w:val="false"/>
          <w:bCs w:val="false"/>
          <w:i w:val="false"/>
          <w:iCs w:val="false"/>
          <w:color w:val="333333"/>
          <w:sz w:val="20"/>
          <w:szCs w:val="20"/>
          <w:rtl w:val="true"/>
        </w:rPr>
        <w:t>.</w:t>
      </w:r>
    </w:p>
  </w:footnote>
  <w:footnote w:id="3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3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ظاهره العموم، إلّاأن يقوم دليل علىٰ تخصيصه</w:t>
      </w:r>
      <w:r>
        <w:rPr>
          <w:rFonts w:eastAsia="IRNazanin" w:cs="IRNazanin"/>
          <w:b w:val="false"/>
          <w:bCs w:val="false"/>
          <w:i w:val="false"/>
          <w:iCs w:val="false"/>
          <w:color w:val="333333"/>
          <w:sz w:val="20"/>
          <w:szCs w:val="20"/>
          <w:rtl w:val="true"/>
        </w:rPr>
        <w:t>».</w:t>
      </w:r>
    </w:p>
  </w:footnote>
  <w:footnote w:id="3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حقيقتها يتضمّن</w:t>
      </w:r>
      <w:r>
        <w:rPr>
          <w:rFonts w:eastAsia="IRNazanin" w:cs="IRNazanin"/>
          <w:b w:val="false"/>
          <w:bCs w:val="false"/>
          <w:i w:val="false"/>
          <w:iCs w:val="false"/>
          <w:color w:val="333333"/>
          <w:sz w:val="20"/>
          <w:szCs w:val="20"/>
          <w:rtl w:val="true"/>
        </w:rPr>
        <w:t>».</w:t>
      </w:r>
    </w:p>
  </w:footnote>
  <w:footnote w:id="3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بدّ</w:t>
      </w:r>
      <w:r>
        <w:rPr>
          <w:rFonts w:eastAsia="IRNazanin" w:cs="IRNazanin"/>
          <w:b w:val="false"/>
          <w:bCs w:val="false"/>
          <w:i w:val="false"/>
          <w:iCs w:val="false"/>
          <w:color w:val="333333"/>
          <w:sz w:val="20"/>
          <w:szCs w:val="20"/>
          <w:rtl w:val="true"/>
        </w:rPr>
        <w:t>».</w:t>
      </w:r>
    </w:p>
  </w:footnote>
  <w:footnote w:id="3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3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3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3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الخصم</w:t>
      </w:r>
      <w:r>
        <w:rPr>
          <w:rFonts w:eastAsia="IRNazanin" w:cs="IRNazanin"/>
          <w:b w:val="false"/>
          <w:bCs w:val="false"/>
          <w:i w:val="false"/>
          <w:iCs w:val="false"/>
          <w:color w:val="333333"/>
          <w:sz w:val="20"/>
          <w:szCs w:val="20"/>
          <w:rtl w:val="true"/>
        </w:rPr>
        <w:t>».</w:t>
      </w:r>
    </w:p>
  </w:footnote>
  <w:footnote w:id="3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w:t>
      </w:r>
      <w:r>
        <w:rPr>
          <w:rFonts w:eastAsia="IRNazanin" w:cs="IRNazanin"/>
          <w:b w:val="false"/>
          <w:bCs w:val="false"/>
          <w:i w:val="false"/>
          <w:iCs w:val="false"/>
          <w:color w:val="333333"/>
          <w:sz w:val="20"/>
          <w:szCs w:val="20"/>
          <w:rtl w:val="true"/>
        </w:rPr>
        <w:t>».</w:t>
      </w:r>
    </w:p>
  </w:footnote>
  <w:footnote w:id="3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3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3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ترجع</w:t>
      </w:r>
      <w:r>
        <w:rPr>
          <w:rFonts w:eastAsia="IRNazanin" w:cs="IRNazanin"/>
          <w:b w:val="false"/>
          <w:bCs w:val="false"/>
          <w:i w:val="false"/>
          <w:iCs w:val="false"/>
          <w:color w:val="333333"/>
          <w:sz w:val="20"/>
          <w:szCs w:val="20"/>
          <w:rtl w:val="true"/>
        </w:rPr>
        <w:t>».</w:t>
      </w:r>
    </w:p>
  </w:footnote>
  <w:footnote w:id="3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متقارب</w:t>
      </w:r>
      <w:r>
        <w:rPr>
          <w:rFonts w:eastAsia="IRNazanin" w:cs="IRNazanin"/>
          <w:b w:val="false"/>
          <w:bCs w:val="false"/>
          <w:i w:val="false"/>
          <w:iCs w:val="false"/>
          <w:color w:val="333333"/>
          <w:sz w:val="20"/>
          <w:szCs w:val="20"/>
          <w:rtl w:val="true"/>
        </w:rPr>
        <w:t>».</w:t>
      </w:r>
    </w:p>
  </w:footnote>
  <w:footnote w:id="3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مؤمنة</w:t>
      </w:r>
      <w:r>
        <w:rPr>
          <w:rFonts w:eastAsia="IRNazanin" w:cs="IRNazanin"/>
          <w:b w:val="false"/>
          <w:bCs w:val="false"/>
          <w:i w:val="false"/>
          <w:iCs w:val="false"/>
          <w:color w:val="333333"/>
          <w:sz w:val="20"/>
          <w:szCs w:val="20"/>
          <w:rtl w:val="true"/>
        </w:rPr>
        <w:t>».</w:t>
      </w:r>
    </w:p>
  </w:footnote>
  <w:footnote w:id="3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p>
  </w:footnote>
  <w:footnote w:id="3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3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ما</w:t>
      </w:r>
      <w:r>
        <w:rPr>
          <w:rFonts w:eastAsia="IRNazanin" w:cs="IRNazanin"/>
          <w:b w:val="false"/>
          <w:bCs w:val="false"/>
          <w:i w:val="false"/>
          <w:iCs w:val="false"/>
          <w:color w:val="333333"/>
          <w:sz w:val="20"/>
          <w:szCs w:val="20"/>
          <w:rtl w:val="true"/>
        </w:rPr>
        <w:t>».</w:t>
      </w:r>
    </w:p>
  </w:footnote>
  <w:footnote w:id="3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في الموارد الآتية</w:t>
      </w:r>
      <w:r>
        <w:rPr>
          <w:rFonts w:eastAsia="IRNazanin" w:cs="IRNazanin"/>
          <w:b w:val="false"/>
          <w:bCs w:val="false"/>
          <w:i w:val="false"/>
          <w:iCs w:val="false"/>
          <w:color w:val="333333"/>
          <w:sz w:val="20"/>
          <w:szCs w:val="20"/>
          <w:rtl w:val="true"/>
        </w:rPr>
        <w:t>.</w:t>
      </w:r>
    </w:p>
  </w:footnote>
  <w:footnote w:id="3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إنّهما</w:t>
      </w:r>
      <w:r>
        <w:rPr>
          <w:rFonts w:eastAsia="IRNazanin" w:cs="IRNazanin"/>
          <w:b w:val="false"/>
          <w:bCs w:val="false"/>
          <w:i w:val="false"/>
          <w:iCs w:val="false"/>
          <w:color w:val="333333"/>
          <w:sz w:val="20"/>
          <w:szCs w:val="20"/>
          <w:rtl w:val="true"/>
        </w:rPr>
        <w:t>».</w:t>
      </w:r>
    </w:p>
  </w:footnote>
  <w:footnote w:id="3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نفترق حتّىٰ نرد</w:t>
      </w:r>
      <w:r>
        <w:rPr>
          <w:rFonts w:eastAsia="IRNazanin" w:cs="IRNazanin"/>
          <w:b w:val="false"/>
          <w:bCs w:val="false"/>
          <w:i w:val="false"/>
          <w:iCs w:val="false"/>
          <w:color w:val="333333"/>
          <w:sz w:val="20"/>
          <w:szCs w:val="20"/>
          <w:rtl w:val="true"/>
        </w:rPr>
        <w:t>».</w:t>
      </w:r>
    </w:p>
  </w:footnote>
  <w:footnote w:id="3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 بهذا النصّ و شبهه متواتر بين الفريقين بحيث أصبح متسالماً عليه بينهم، و نحن نكتفي بذكر بعض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11119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11147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11227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11578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19285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21618</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2408/37</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4969</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مسند أبي يعلىٰ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4577</w:t>
      </w:r>
      <w:r>
        <w:rPr>
          <w:rFonts w:ascii="IRNazanin" w:hAnsi="IRNazanin" w:eastAsia="IRNazanin"/>
          <w:b w:val="false"/>
          <w:b w:val="false"/>
          <w:bCs w:val="false"/>
          <w:i w:val="false"/>
          <w:i w:val="false"/>
          <w:iCs w:val="false"/>
          <w:color w:val="333333"/>
          <w:sz w:val="20"/>
          <w:sz w:val="20"/>
          <w:szCs w:val="20"/>
          <w:rtl w:val="true"/>
        </w:rPr>
        <w:t>،</w:t>
      </w:r>
    </w:p>
  </w:footnote>
  <w:footnote w:id="3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3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12388</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4720</w:t>
      </w:r>
      <w:r>
        <w:rPr>
          <w:rFonts w:ascii="IRNazanin" w:hAnsi="IRNazanin" w:eastAsia="IRNazanin"/>
          <w:b w:val="false"/>
          <w:b w:val="false"/>
          <w:bCs w:val="false"/>
          <w:i w:val="false"/>
          <w:i w:val="false"/>
          <w:iCs w:val="false"/>
          <w:color w:val="333333"/>
          <w:sz w:val="20"/>
          <w:sz w:val="20"/>
          <w:szCs w:val="20"/>
          <w:rtl w:val="true"/>
        </w:rPr>
        <w:t xml:space="preserve">؛ مسند البزّار،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3900</w:t>
      </w:r>
      <w:r>
        <w:rPr>
          <w:rFonts w:ascii="IRNazanin" w:hAnsi="IRNazanin" w:eastAsia="IRNazanin"/>
          <w:b w:val="false"/>
          <w:b w:val="false"/>
          <w:bCs w:val="false"/>
          <w:i w:val="false"/>
          <w:i w:val="false"/>
          <w:iCs w:val="false"/>
          <w:color w:val="333333"/>
          <w:sz w:val="20"/>
          <w:sz w:val="20"/>
          <w:szCs w:val="20"/>
          <w:rtl w:val="true"/>
        </w:rPr>
        <w:t xml:space="preserve">؛ مسند الشهاب،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34151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34169</w:t>
      </w:r>
      <w:r>
        <w:rPr>
          <w:rFonts w:eastAsia="IRNazanin" w:cs="IRNazanin"/>
          <w:b w:val="false"/>
          <w:bCs w:val="false"/>
          <w:i w:val="false"/>
          <w:iCs w:val="false"/>
          <w:color w:val="333333"/>
          <w:sz w:val="20"/>
          <w:szCs w:val="20"/>
          <w:rtl w:val="true"/>
        </w:rPr>
        <w:t>.</w:t>
      </w:r>
    </w:p>
  </w:footnote>
  <w:footnote w:id="3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3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يجوز أن يريد عليه السلام بذلك إلّاجملتهم و</w:t>
      </w:r>
      <w:r>
        <w:rPr>
          <w:rFonts w:eastAsia="IRNazanin" w:cs="IRNazanin"/>
          <w:b w:val="false"/>
          <w:bCs w:val="false"/>
          <w:i w:val="false"/>
          <w:iCs w:val="false"/>
          <w:color w:val="333333"/>
          <w:sz w:val="20"/>
          <w:szCs w:val="20"/>
          <w:rtl w:val="true"/>
        </w:rPr>
        <w:t>».</w:t>
      </w:r>
    </w:p>
  </w:footnote>
  <w:footnote w:id="3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3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 الخلاف قد يقع بينهم</w:t>
      </w:r>
      <w:r>
        <w:rPr>
          <w:rFonts w:eastAsia="IRNazanin" w:cs="IRNazanin"/>
          <w:b w:val="false"/>
          <w:bCs w:val="false"/>
          <w:i w:val="false"/>
          <w:iCs w:val="false"/>
          <w:color w:val="333333"/>
          <w:sz w:val="20"/>
          <w:szCs w:val="20"/>
          <w:rtl w:val="true"/>
        </w:rPr>
        <w:t>».</w:t>
      </w:r>
    </w:p>
  </w:footnote>
  <w:footnote w:id="3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هذا حاله لا يجوز</w:t>
      </w:r>
      <w:r>
        <w:rPr>
          <w:rFonts w:eastAsia="IRNazanin" w:cs="IRNazanin"/>
          <w:b w:val="false"/>
          <w:bCs w:val="false"/>
          <w:i w:val="false"/>
          <w:iCs w:val="false"/>
          <w:color w:val="333333"/>
          <w:sz w:val="20"/>
          <w:szCs w:val="20"/>
          <w:rtl w:val="true"/>
        </w:rPr>
        <w:t>».</w:t>
      </w:r>
    </w:p>
  </w:footnote>
  <w:footnote w:id="3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اجتمعوا</w:t>
      </w:r>
      <w:r>
        <w:rPr>
          <w:rFonts w:eastAsia="IRNazanin" w:cs="IRNazanin"/>
          <w:b w:val="false"/>
          <w:bCs w:val="false"/>
          <w:i w:val="false"/>
          <w:iCs w:val="false"/>
          <w:color w:val="333333"/>
          <w:sz w:val="20"/>
          <w:szCs w:val="20"/>
          <w:rtl w:val="true"/>
        </w:rPr>
        <w:t>».</w:t>
      </w:r>
    </w:p>
  </w:footnote>
  <w:footnote w:id="3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نفترق حتّىٰ نرد</w:t>
      </w:r>
      <w:r>
        <w:rPr>
          <w:rFonts w:eastAsia="IRNazanin" w:cs="IRNazanin"/>
          <w:b w:val="false"/>
          <w:bCs w:val="false"/>
          <w:i w:val="false"/>
          <w:iCs w:val="false"/>
          <w:color w:val="333333"/>
          <w:sz w:val="20"/>
          <w:szCs w:val="20"/>
          <w:rtl w:val="true"/>
        </w:rPr>
        <w:t>».</w:t>
      </w:r>
    </w:p>
  </w:footnote>
  <w:footnote w:id="3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المستفاد</w:t>
      </w:r>
      <w:r>
        <w:rPr>
          <w:rFonts w:eastAsia="IRNazanin" w:cs="IRNazanin"/>
          <w:b w:val="false"/>
          <w:bCs w:val="false"/>
          <w:i w:val="false"/>
          <w:iCs w:val="false"/>
          <w:color w:val="333333"/>
          <w:sz w:val="20"/>
          <w:szCs w:val="20"/>
          <w:rtl w:val="true"/>
        </w:rPr>
        <w:t>».</w:t>
      </w:r>
    </w:p>
  </w:footnote>
  <w:footnote w:id="3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تختصّ </w:t>
      </w:r>
      <w:r>
        <w:rPr>
          <w:rFonts w:eastAsia="IRNazanin" w:cs="IRNazanin"/>
          <w:b w:val="false"/>
          <w:bCs w:val="false"/>
          <w:i w:val="false"/>
          <w:iCs w:val="false"/>
          <w:color w:val="333333"/>
          <w:sz w:val="20"/>
          <w:szCs w:val="20"/>
          <w:rtl w:val="true"/>
        </w:rPr>
        <w:t>».</w:t>
      </w:r>
    </w:p>
  </w:footnote>
  <w:footnote w:id="3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بيّنّا أنّ الخبر وارد في جميعهم</w:t>
      </w:r>
      <w:r>
        <w:rPr>
          <w:rFonts w:eastAsia="IRNazanin" w:cs="IRNazanin"/>
          <w:b w:val="false"/>
          <w:bCs w:val="false"/>
          <w:i w:val="false"/>
          <w:iCs w:val="false"/>
          <w:color w:val="333333"/>
          <w:sz w:val="20"/>
          <w:szCs w:val="20"/>
          <w:rtl w:val="true"/>
        </w:rPr>
        <w:t>».</w:t>
      </w:r>
    </w:p>
  </w:footnote>
  <w:footnote w:id="3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خالف</w:t>
      </w:r>
      <w:r>
        <w:rPr>
          <w:rFonts w:eastAsia="IRNazanin" w:cs="IRNazanin"/>
          <w:b w:val="false"/>
          <w:bCs w:val="false"/>
          <w:i w:val="false"/>
          <w:iCs w:val="false"/>
          <w:color w:val="333333"/>
          <w:sz w:val="20"/>
          <w:szCs w:val="20"/>
          <w:rtl w:val="true"/>
        </w:rPr>
        <w:t>».</w:t>
      </w:r>
    </w:p>
  </w:footnote>
  <w:footnote w:id="3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 الأمر يكون حالّاً</w:t>
      </w:r>
      <w:r>
        <w:rPr>
          <w:rFonts w:eastAsia="IRNazanin" w:cs="IRNazanin"/>
          <w:b w:val="false"/>
          <w:bCs w:val="false"/>
          <w:i w:val="false"/>
          <w:iCs w:val="false"/>
          <w:color w:val="333333"/>
          <w:sz w:val="20"/>
          <w:szCs w:val="20"/>
          <w:rtl w:val="true"/>
        </w:rPr>
        <w:t>».</w:t>
      </w:r>
    </w:p>
  </w:footnote>
  <w:footnote w:id="3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ثبوت العترة</w:t>
      </w:r>
      <w:r>
        <w:rPr>
          <w:rFonts w:eastAsia="IRNazanin" w:cs="IRNazanin"/>
          <w:b w:val="false"/>
          <w:bCs w:val="false"/>
          <w:i w:val="false"/>
          <w:iCs w:val="false"/>
          <w:color w:val="333333"/>
          <w:sz w:val="20"/>
          <w:szCs w:val="20"/>
          <w:rtl w:val="true"/>
        </w:rPr>
        <w:t>».</w:t>
      </w:r>
    </w:p>
  </w:footnote>
  <w:footnote w:id="3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بالكلام</w:t>
      </w:r>
      <w:r>
        <w:rPr>
          <w:rFonts w:eastAsia="IRNazanin" w:cs="IRNazanin"/>
          <w:b w:val="false"/>
          <w:bCs w:val="false"/>
          <w:i w:val="false"/>
          <w:iCs w:val="false"/>
          <w:color w:val="333333"/>
          <w:sz w:val="20"/>
          <w:szCs w:val="20"/>
          <w:rtl w:val="true"/>
        </w:rPr>
        <w:t>».</w:t>
      </w:r>
    </w:p>
  </w:footnote>
  <w:footnote w:id="3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علم</w:t>
      </w:r>
      <w:r>
        <w:rPr>
          <w:rFonts w:eastAsia="IRNazanin" w:cs="IRNazanin"/>
          <w:b w:val="false"/>
          <w:bCs w:val="false"/>
          <w:i w:val="false"/>
          <w:iCs w:val="false"/>
          <w:color w:val="333333"/>
          <w:sz w:val="20"/>
          <w:szCs w:val="20"/>
          <w:rtl w:val="true"/>
        </w:rPr>
        <w:t>».</w:t>
      </w:r>
    </w:p>
  </w:footnote>
  <w:footnote w:id="3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العترة</w:t>
      </w:r>
      <w:r>
        <w:rPr>
          <w:rFonts w:eastAsia="IRNazanin" w:cs="IRNazanin"/>
          <w:b w:val="false"/>
          <w:bCs w:val="false"/>
          <w:i w:val="false"/>
          <w:iCs w:val="false"/>
          <w:color w:val="333333"/>
          <w:sz w:val="20"/>
          <w:szCs w:val="20"/>
          <w:rtl w:val="true"/>
        </w:rPr>
        <w:t>».</w:t>
      </w:r>
    </w:p>
  </w:footnote>
  <w:footnote w:id="3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3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لهذا المقصد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لهذا القصد</w:t>
      </w:r>
      <w:r>
        <w:rPr>
          <w:rFonts w:eastAsia="IRNazanin" w:cs="IRNazanin"/>
          <w:b w:val="false"/>
          <w:bCs w:val="false"/>
          <w:i w:val="false"/>
          <w:iCs w:val="false"/>
          <w:color w:val="333333"/>
          <w:sz w:val="20"/>
          <w:szCs w:val="20"/>
          <w:rtl w:val="true"/>
        </w:rPr>
        <w:t>».</w:t>
      </w:r>
    </w:p>
  </w:footnote>
  <w:footnote w:id="3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3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w:t>
      </w:r>
    </w:p>
  </w:footnote>
  <w:footnote w:id="3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3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شاكل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كمثل ذلك</w:t>
      </w:r>
      <w:r>
        <w:rPr>
          <w:rFonts w:eastAsia="IRNazanin" w:cs="IRNazanin"/>
          <w:b w:val="false"/>
          <w:bCs w:val="false"/>
          <w:i w:val="false"/>
          <w:iCs w:val="false"/>
          <w:color w:val="333333"/>
          <w:sz w:val="20"/>
          <w:szCs w:val="20"/>
          <w:rtl w:val="true"/>
        </w:rPr>
        <w:t>».</w:t>
      </w:r>
    </w:p>
  </w:footnote>
  <w:footnote w:id="3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الرتبة</w:t>
      </w:r>
      <w:r>
        <w:rPr>
          <w:rFonts w:eastAsia="IRNazanin" w:cs="IRNazanin"/>
          <w:b w:val="false"/>
          <w:bCs w:val="false"/>
          <w:i w:val="false"/>
          <w:iCs w:val="false"/>
          <w:color w:val="333333"/>
          <w:sz w:val="20"/>
          <w:szCs w:val="20"/>
          <w:rtl w:val="true"/>
        </w:rPr>
        <w:t>».</w:t>
      </w:r>
    </w:p>
  </w:footnote>
  <w:footnote w:id="3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 فصل بالنصّ </w:t>
      </w:r>
      <w:r>
        <w:rPr>
          <w:rFonts w:eastAsia="IRNazanin" w:cs="IRNazanin"/>
          <w:b w:val="false"/>
          <w:bCs w:val="false"/>
          <w:i w:val="false"/>
          <w:iCs w:val="false"/>
          <w:color w:val="333333"/>
          <w:sz w:val="20"/>
          <w:szCs w:val="20"/>
          <w:rtl w:val="true"/>
        </w:rPr>
        <w:t>».</w:t>
      </w:r>
    </w:p>
  </w:footnote>
  <w:footnote w:id="3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البيت</w:t>
      </w:r>
      <w:r>
        <w:rPr>
          <w:rFonts w:eastAsia="IRNazanin" w:cs="IRNazanin"/>
          <w:b w:val="false"/>
          <w:bCs w:val="false"/>
          <w:i w:val="false"/>
          <w:iCs w:val="false"/>
          <w:color w:val="333333"/>
          <w:sz w:val="20"/>
          <w:szCs w:val="20"/>
          <w:rtl w:val="true"/>
        </w:rPr>
        <w:t>».</w:t>
      </w:r>
    </w:p>
  </w:footnote>
  <w:footnote w:id="3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يتكلّموا</w:t>
      </w:r>
      <w:r>
        <w:rPr>
          <w:rFonts w:eastAsia="IRNazanin" w:cs="IRNazanin"/>
          <w:b w:val="false"/>
          <w:bCs w:val="false"/>
          <w:i w:val="false"/>
          <w:iCs w:val="false"/>
          <w:color w:val="333333"/>
          <w:sz w:val="20"/>
          <w:szCs w:val="20"/>
          <w:rtl w:val="true"/>
        </w:rPr>
        <w:t>».</w:t>
      </w:r>
    </w:p>
  </w:footnote>
  <w:footnote w:id="3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3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3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3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تهذيب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المحيط في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المحكم و المحيط الأعظم،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3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768/3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3787</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4743</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مع اختلاف يسير في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حجر في الصواعق المحرقة،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المفسّرين علىٰ أنّها نزلت في عليّ و فاطمة و الحسن و الحسين؛ لتذكير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3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أُلحق</w:t>
      </w:r>
      <w:r>
        <w:rPr>
          <w:rFonts w:eastAsia="IRNazanin" w:cs="IRNazanin"/>
          <w:b w:val="false"/>
          <w:bCs w:val="false"/>
          <w:i w:val="false"/>
          <w:iCs w:val="false"/>
          <w:color w:val="333333"/>
          <w:sz w:val="20"/>
          <w:szCs w:val="20"/>
          <w:rtl w:val="true"/>
        </w:rPr>
        <w:t>».</w:t>
      </w:r>
    </w:p>
  </w:footnote>
  <w:footnote w:id="3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3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أولاد</w:t>
      </w:r>
      <w:r>
        <w:rPr>
          <w:rFonts w:eastAsia="IRNazanin" w:cs="IRNazanin"/>
          <w:b w:val="false"/>
          <w:bCs w:val="false"/>
          <w:i w:val="false"/>
          <w:iCs w:val="false"/>
          <w:color w:val="333333"/>
          <w:sz w:val="20"/>
          <w:szCs w:val="20"/>
          <w:rtl w:val="true"/>
        </w:rPr>
        <w:t>».</w:t>
      </w:r>
    </w:p>
  </w:footnote>
  <w:footnote w:id="3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 و منه حديث أبي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تَفَقَّأَتْ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انفلقت و انشقّت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فقأ</w:t>
      </w:r>
      <w:r>
        <w:rPr>
          <w:rFonts w:eastAsia="IRNazanin" w:cs="IRNazanin"/>
          <w:b w:val="false"/>
          <w:bCs w:val="false"/>
          <w:i w:val="false"/>
          <w:iCs w:val="false"/>
          <w:color w:val="333333"/>
          <w:sz w:val="20"/>
          <w:szCs w:val="20"/>
          <w:rtl w:val="true"/>
        </w:rPr>
        <w:t>).</w:t>
      </w:r>
    </w:p>
  </w:footnote>
  <w:footnote w:id="3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11707</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3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3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لروايته</w:t>
      </w:r>
      <w:r>
        <w:rPr>
          <w:rFonts w:eastAsia="IRNazanin" w:cs="IRNazanin"/>
          <w:b w:val="false"/>
          <w:bCs w:val="false"/>
          <w:i w:val="false"/>
          <w:iCs w:val="false"/>
          <w:color w:val="333333"/>
          <w:sz w:val="20"/>
          <w:szCs w:val="20"/>
          <w:rtl w:val="true"/>
        </w:rPr>
        <w:t>».</w:t>
      </w:r>
    </w:p>
  </w:footnote>
  <w:footnote w:id="3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قربىٰ </w:t>
      </w:r>
      <w:r>
        <w:rPr>
          <w:rFonts w:eastAsia="IRNazanin" w:cs="IRNazanin"/>
          <w:b w:val="false"/>
          <w:bCs w:val="false"/>
          <w:i w:val="false"/>
          <w:iCs w:val="false"/>
          <w:color w:val="333333"/>
          <w:sz w:val="20"/>
          <w:szCs w:val="20"/>
          <w:rtl w:val="true"/>
        </w:rPr>
        <w:t>».</w:t>
      </w:r>
    </w:p>
  </w:footnote>
  <w:footnote w:id="3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3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بأبوين</w:t>
      </w:r>
      <w:r>
        <w:rPr>
          <w:rFonts w:eastAsia="IRNazanin" w:cs="IRNazanin"/>
          <w:b w:val="false"/>
          <w:bCs w:val="false"/>
          <w:i w:val="false"/>
          <w:iCs w:val="false"/>
          <w:color w:val="333333"/>
          <w:sz w:val="20"/>
          <w:szCs w:val="20"/>
          <w:rtl w:val="true"/>
        </w:rPr>
        <w:t>».</w:t>
      </w:r>
    </w:p>
  </w:footnote>
  <w:footnote w:id="3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3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التلخيص</w:t>
      </w:r>
      <w:r>
        <w:rPr>
          <w:rFonts w:eastAsia="IRNazanin" w:cs="IRNazanin"/>
          <w:b w:val="false"/>
          <w:bCs w:val="false"/>
          <w:i w:val="false"/>
          <w:iCs w:val="false"/>
          <w:color w:val="333333"/>
          <w:sz w:val="20"/>
          <w:szCs w:val="20"/>
          <w:rtl w:val="true"/>
        </w:rPr>
        <w:t>.</w:t>
      </w:r>
    </w:p>
  </w:footnote>
  <w:footnote w:id="3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3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أطلق</w:t>
      </w:r>
      <w:r>
        <w:rPr>
          <w:rFonts w:eastAsia="IRNazanin" w:cs="IRNazanin"/>
          <w:b w:val="false"/>
          <w:bCs w:val="false"/>
          <w:i w:val="false"/>
          <w:iCs w:val="false"/>
          <w:color w:val="333333"/>
          <w:sz w:val="20"/>
          <w:szCs w:val="20"/>
          <w:rtl w:val="true"/>
        </w:rPr>
        <w:t>».</w:t>
      </w:r>
    </w:p>
  </w:footnote>
  <w:footnote w:id="3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يقول من له أدنىٰ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w:t>
      </w:r>
    </w:p>
  </w:footnote>
  <w:footnote w:id="3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اللّٰه و 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w:t>
      </w:r>
    </w:p>
  </w:footnote>
  <w:footnote w:id="3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بصفة معلوم و أنّها</w:t>
      </w:r>
      <w:r>
        <w:rPr>
          <w:rFonts w:eastAsia="IRNazanin" w:cs="IRNazanin"/>
          <w:b w:val="false"/>
          <w:bCs w:val="false"/>
          <w:i w:val="false"/>
          <w:iCs w:val="false"/>
          <w:color w:val="333333"/>
          <w:sz w:val="20"/>
          <w:szCs w:val="20"/>
          <w:rtl w:val="true"/>
        </w:rPr>
        <w:t>».</w:t>
      </w:r>
    </w:p>
  </w:footnote>
  <w:footnote w:id="3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3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التمسّك</w:t>
      </w:r>
      <w:r>
        <w:rPr>
          <w:rFonts w:eastAsia="IRNazanin" w:cs="IRNazanin"/>
          <w:b w:val="false"/>
          <w:bCs w:val="false"/>
          <w:i w:val="false"/>
          <w:iCs w:val="false"/>
          <w:color w:val="333333"/>
          <w:sz w:val="20"/>
          <w:szCs w:val="20"/>
          <w:rtl w:val="true"/>
        </w:rPr>
        <w:t>».</w:t>
      </w:r>
    </w:p>
  </w:footnote>
  <w:footnote w:id="3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التمسّك</w:t>
      </w:r>
      <w:r>
        <w:rPr>
          <w:rFonts w:eastAsia="IRNazanin" w:cs="IRNazanin"/>
          <w:b w:val="false"/>
          <w:bCs w:val="false"/>
          <w:i w:val="false"/>
          <w:iCs w:val="false"/>
          <w:color w:val="333333"/>
          <w:sz w:val="20"/>
          <w:szCs w:val="20"/>
          <w:rtl w:val="true"/>
        </w:rPr>
        <w:t>».</w:t>
      </w:r>
    </w:p>
  </w:footnote>
  <w:footnote w:id="3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عمّن يتمسّك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المتمسّك</w:t>
      </w:r>
      <w:r>
        <w:rPr>
          <w:rFonts w:eastAsia="IRNazanin" w:cs="IRNazanin"/>
          <w:b w:val="false"/>
          <w:bCs w:val="false"/>
          <w:i w:val="false"/>
          <w:iCs w:val="false"/>
          <w:color w:val="333333"/>
          <w:sz w:val="20"/>
          <w:szCs w:val="20"/>
          <w:rtl w:val="true"/>
        </w:rPr>
        <w:t>».</w:t>
      </w:r>
    </w:p>
  </w:footnote>
  <w:footnote w:id="3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للمتمسّك</w:t>
      </w:r>
      <w:r>
        <w:rPr>
          <w:rFonts w:eastAsia="IRNazanin" w:cs="IRNazanin"/>
          <w:b w:val="false"/>
          <w:bCs w:val="false"/>
          <w:i w:val="false"/>
          <w:iCs w:val="false"/>
          <w:color w:val="333333"/>
          <w:sz w:val="20"/>
          <w:szCs w:val="20"/>
          <w:rtl w:val="true"/>
        </w:rPr>
        <w:t>».</w:t>
      </w:r>
    </w:p>
  </w:footnote>
  <w:footnote w:id="3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يكن قولهم حجّة</w:t>
      </w:r>
      <w:r>
        <w:rPr>
          <w:rFonts w:eastAsia="IRNazanin" w:cs="IRNazanin"/>
          <w:b w:val="false"/>
          <w:bCs w:val="false"/>
          <w:i w:val="false"/>
          <w:iCs w:val="false"/>
          <w:color w:val="333333"/>
          <w:sz w:val="20"/>
          <w:szCs w:val="20"/>
          <w:rtl w:val="true"/>
        </w:rPr>
        <w:t>».</w:t>
      </w:r>
    </w:p>
  </w:footnote>
  <w:footnote w:id="3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3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يحتمله</w:t>
      </w:r>
      <w:r>
        <w:rPr>
          <w:rFonts w:eastAsia="IRNazanin" w:cs="IRNazanin"/>
          <w:b w:val="false"/>
          <w:bCs w:val="false"/>
          <w:i w:val="false"/>
          <w:iCs w:val="false"/>
          <w:color w:val="333333"/>
          <w:sz w:val="20"/>
          <w:szCs w:val="20"/>
          <w:rtl w:val="true"/>
        </w:rPr>
        <w:t>».</w:t>
      </w:r>
    </w:p>
  </w:footnote>
  <w:footnote w:id="3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بما لا يحتمله</w:t>
      </w:r>
      <w:r>
        <w:rPr>
          <w:rFonts w:eastAsia="IRNazanin" w:cs="IRNazanin"/>
          <w:b w:val="false"/>
          <w:bCs w:val="false"/>
          <w:i w:val="false"/>
          <w:iCs w:val="false"/>
          <w:color w:val="333333"/>
          <w:sz w:val="20"/>
          <w:szCs w:val="20"/>
          <w:rtl w:val="true"/>
        </w:rPr>
        <w:t>».</w:t>
      </w:r>
    </w:p>
  </w:footnote>
  <w:footnote w:id="3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يذهب مذاهبَ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يذهب مذهبَ </w:t>
      </w:r>
      <w:r>
        <w:rPr>
          <w:rFonts w:eastAsia="IRNazanin" w:cs="IRNazanin"/>
          <w:b w:val="false"/>
          <w:bCs w:val="false"/>
          <w:i w:val="false"/>
          <w:iCs w:val="false"/>
          <w:color w:val="333333"/>
          <w:sz w:val="20"/>
          <w:szCs w:val="20"/>
          <w:rtl w:val="true"/>
        </w:rPr>
        <w:t>».</w:t>
      </w:r>
    </w:p>
  </w:footnote>
  <w:footnote w:id="3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الرقيّ ، و هو الصعود و الارتفاع، و المعنىٰ أنّه يرتفع إلى الباطل و يتوصّل بذلك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مزيغاً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الزيغ، و هو 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لفائدة عاجلة، مرتقًى به</w:t>
      </w:r>
      <w:r>
        <w:rPr>
          <w:rFonts w:eastAsia="IRNazanin" w:cs="IRNazanin"/>
          <w:b w:val="false"/>
          <w:bCs w:val="false"/>
          <w:i w:val="false"/>
          <w:iCs w:val="false"/>
          <w:color w:val="333333"/>
          <w:sz w:val="20"/>
          <w:szCs w:val="20"/>
          <w:rtl w:val="true"/>
        </w:rPr>
        <w:t>».</w:t>
      </w:r>
    </w:p>
  </w:footnote>
  <w:footnote w:id="3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بالشذوذ</w:t>
      </w:r>
      <w:r>
        <w:rPr>
          <w:rFonts w:eastAsia="IRNazanin" w:cs="IRNazanin"/>
          <w:b w:val="false"/>
          <w:bCs w:val="false"/>
          <w:i w:val="false"/>
          <w:iCs w:val="false"/>
          <w:color w:val="333333"/>
          <w:sz w:val="20"/>
          <w:szCs w:val="20"/>
          <w:rtl w:val="true"/>
        </w:rPr>
        <w:t>».</w:t>
      </w:r>
    </w:p>
  </w:footnote>
  <w:footnote w:id="3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استغراق</w:t>
      </w:r>
      <w:r>
        <w:rPr>
          <w:rFonts w:eastAsia="IRNazanin" w:cs="IRNazanin"/>
          <w:b w:val="false"/>
          <w:bCs w:val="false"/>
          <w:i w:val="false"/>
          <w:iCs w:val="false"/>
          <w:color w:val="333333"/>
          <w:sz w:val="20"/>
          <w:szCs w:val="20"/>
          <w:rtl w:val="true"/>
        </w:rPr>
        <w:t>».</w:t>
      </w:r>
    </w:p>
  </w:footnote>
  <w:footnote w:id="3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نعلم</w:t>
      </w:r>
      <w:r>
        <w:rPr>
          <w:rFonts w:eastAsia="IRNazanin" w:cs="IRNazanin"/>
          <w:b w:val="false"/>
          <w:bCs w:val="false"/>
          <w:i w:val="false"/>
          <w:iCs w:val="false"/>
          <w:color w:val="333333"/>
          <w:sz w:val="20"/>
          <w:szCs w:val="20"/>
          <w:rtl w:val="true"/>
        </w:rPr>
        <w:t>».</w:t>
      </w:r>
    </w:p>
  </w:footnote>
  <w:footnote w:id="3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الباطنيّة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الباطنيّة من فرق الإسماعيليّة، و يسمّون بالمزدكيّة و القرامطة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قيل لهم باطنيّة لحكمهم بأنّ لكلّ ظاهر باطناً و لكلّ تنزيل تأويلاً، و يؤوّلون الآيات و الأحاديث، و لا يعتبرون ظاهرها صحيحاً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ينظرون إلىٰ باطنها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فضائح الباطنية للغزالي،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الملل و النحل للشهرستاني،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أعداد</w:t>
      </w:r>
      <w:r>
        <w:rPr>
          <w:rFonts w:eastAsia="IRNazanin" w:cs="IRNazanin"/>
          <w:b w:val="false"/>
          <w:bCs w:val="false"/>
          <w:i w:val="false"/>
          <w:iCs w:val="false"/>
          <w:color w:val="333333"/>
          <w:sz w:val="20"/>
          <w:szCs w:val="20"/>
          <w:rtl w:val="true"/>
        </w:rPr>
        <w:t>».</w:t>
      </w:r>
    </w:p>
  </w:footnote>
  <w:footnote w:id="3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 ذلك فلا يمنعنا هذا</w:t>
      </w:r>
      <w:r>
        <w:rPr>
          <w:rFonts w:eastAsia="IRNazanin" w:cs="IRNazanin"/>
          <w:b w:val="false"/>
          <w:bCs w:val="false"/>
          <w:i w:val="false"/>
          <w:iCs w:val="false"/>
          <w:color w:val="333333"/>
          <w:sz w:val="20"/>
          <w:szCs w:val="20"/>
          <w:rtl w:val="true"/>
        </w:rPr>
        <w:t>».</w:t>
      </w:r>
    </w:p>
  </w:footnote>
  <w:footnote w:id="3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تقرير</w:t>
      </w:r>
      <w:r>
        <w:rPr>
          <w:rFonts w:eastAsia="IRNazanin" w:cs="IRNazanin"/>
          <w:b w:val="false"/>
          <w:bCs w:val="false"/>
          <w:i w:val="false"/>
          <w:iCs w:val="false"/>
          <w:color w:val="333333"/>
          <w:sz w:val="20"/>
          <w:szCs w:val="20"/>
          <w:rtl w:val="true"/>
        </w:rPr>
        <w:t>».</w:t>
      </w:r>
    </w:p>
  </w:footnote>
  <w:footnote w:id="3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يُعتدّ</w:t>
      </w:r>
      <w:r>
        <w:rPr>
          <w:rFonts w:eastAsia="IRNazanin" w:cs="IRNazanin"/>
          <w:b w:val="false"/>
          <w:bCs w:val="false"/>
          <w:i w:val="false"/>
          <w:iCs w:val="false"/>
          <w:color w:val="333333"/>
          <w:sz w:val="20"/>
          <w:szCs w:val="20"/>
          <w:rtl w:val="true"/>
        </w:rPr>
        <w:t>».</w:t>
      </w:r>
    </w:p>
  </w:footnote>
  <w:footnote w:id="3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أضعاف</w:t>
      </w:r>
      <w:r>
        <w:rPr>
          <w:rFonts w:eastAsia="IRNazanin" w:cs="IRNazanin"/>
          <w:b w:val="false"/>
          <w:bCs w:val="false"/>
          <w:i w:val="false"/>
          <w:iCs w:val="false"/>
          <w:color w:val="333333"/>
          <w:sz w:val="20"/>
          <w:szCs w:val="20"/>
          <w:rtl w:val="true"/>
        </w:rPr>
        <w:t>».</w:t>
      </w:r>
    </w:p>
  </w:footnote>
  <w:footnote w:id="3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الإجماع علىٰ عقاب الكفّار يبقىٰ حجّة، على الرغم من مخالفة بعض الفقهاء و أهل الفتيا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الإجماع علىٰ عقاب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بالينا؛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حفله و ما حفل به، أي ما بالىٰ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w:t>
      </w:r>
    </w:p>
  </w:footnote>
  <w:footnote w:id="3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ذكرناه</w:t>
      </w:r>
      <w:r>
        <w:rPr>
          <w:rFonts w:eastAsia="IRNazanin" w:cs="IRNazanin"/>
          <w:b w:val="false"/>
          <w:bCs w:val="false"/>
          <w:i w:val="false"/>
          <w:iCs w:val="false"/>
          <w:color w:val="333333"/>
          <w:sz w:val="20"/>
          <w:szCs w:val="20"/>
          <w:rtl w:val="true"/>
        </w:rPr>
        <w:t>».</w:t>
      </w:r>
    </w:p>
  </w:footnote>
  <w:footnote w:id="3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مذهب المعتزلة المشار إليه في الإشكال</w:t>
      </w:r>
      <w:r>
        <w:rPr>
          <w:rFonts w:eastAsia="IRNazanin" w:cs="IRNazanin"/>
          <w:b w:val="false"/>
          <w:bCs w:val="false"/>
          <w:i w:val="false"/>
          <w:iCs w:val="false"/>
          <w:color w:val="333333"/>
          <w:sz w:val="20"/>
          <w:szCs w:val="20"/>
          <w:rtl w:val="true"/>
        </w:rPr>
        <w:t>.</w:t>
      </w:r>
    </w:p>
  </w:footnote>
  <w:footnote w:id="3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إنّا</w:t>
      </w:r>
      <w:r>
        <w:rPr>
          <w:rFonts w:eastAsia="IRNazanin" w:cs="IRNazanin"/>
          <w:b w:val="false"/>
          <w:bCs w:val="false"/>
          <w:i w:val="false"/>
          <w:iCs w:val="false"/>
          <w:color w:val="333333"/>
          <w:sz w:val="20"/>
          <w:szCs w:val="20"/>
          <w:rtl w:val="true"/>
        </w:rPr>
        <w:t>».</w:t>
      </w:r>
    </w:p>
  </w:footnote>
  <w:footnote w:id="3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نعلم</w:t>
      </w:r>
      <w:r>
        <w:rPr>
          <w:rFonts w:eastAsia="IRNazanin" w:cs="IRNazanin"/>
          <w:b w:val="false"/>
          <w:bCs w:val="false"/>
          <w:i w:val="false"/>
          <w:iCs w:val="false"/>
          <w:color w:val="333333"/>
          <w:sz w:val="20"/>
          <w:szCs w:val="20"/>
          <w:rtl w:val="true"/>
        </w:rPr>
        <w:t>».</w:t>
      </w:r>
    </w:p>
  </w:footnote>
  <w:footnote w:id="3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 المذهب</w:t>
      </w:r>
      <w:r>
        <w:rPr>
          <w:rFonts w:eastAsia="IRNazanin" w:cs="IRNazanin"/>
          <w:b w:val="false"/>
          <w:bCs w:val="false"/>
          <w:i w:val="false"/>
          <w:iCs w:val="false"/>
          <w:color w:val="333333"/>
          <w:sz w:val="20"/>
          <w:szCs w:val="20"/>
          <w:rtl w:val="true"/>
        </w:rPr>
        <w:t>».</w:t>
      </w:r>
    </w:p>
  </w:footnote>
  <w:footnote w:id="3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جهة</w:t>
      </w:r>
      <w:r>
        <w:rPr>
          <w:rFonts w:eastAsia="IRNazanin" w:cs="IRNazanin"/>
          <w:b w:val="false"/>
          <w:bCs w:val="false"/>
          <w:i w:val="false"/>
          <w:iCs w:val="false"/>
          <w:color w:val="333333"/>
          <w:sz w:val="20"/>
          <w:szCs w:val="20"/>
          <w:rtl w:val="true"/>
        </w:rPr>
        <w:t>».</w:t>
      </w:r>
    </w:p>
  </w:footnote>
  <w:footnote w:id="3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ريبة، و هي الشكّ و الظِّنّة و التهمة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w:t>
      </w:r>
    </w:p>
  </w:footnote>
  <w:footnote w:id="3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21618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21697</w:t>
      </w:r>
      <w:r>
        <w:rPr>
          <w:rFonts w:ascii="IRNazanin" w:hAnsi="IRNazanin" w:eastAsia="IRNazanin"/>
          <w:b w:val="false"/>
          <w:b w:val="false"/>
          <w:bCs w:val="false"/>
          <w:i w:val="false"/>
          <w:i w:val="false"/>
          <w:iCs w:val="false"/>
          <w:color w:val="333333"/>
          <w:sz w:val="20"/>
          <w:sz w:val="20"/>
          <w:szCs w:val="20"/>
          <w:rtl w:val="true"/>
        </w:rPr>
        <w:t xml:space="preserve">؛ 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3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3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3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3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اجتمعت</w:t>
      </w:r>
      <w:r>
        <w:rPr>
          <w:rFonts w:eastAsia="IRNazanin" w:cs="IRNazanin"/>
          <w:b w:val="false"/>
          <w:bCs w:val="false"/>
          <w:i w:val="false"/>
          <w:iCs w:val="false"/>
          <w:color w:val="333333"/>
          <w:sz w:val="20"/>
          <w:szCs w:val="20"/>
          <w:rtl w:val="true"/>
        </w:rPr>
        <w:t>».</w:t>
      </w:r>
    </w:p>
  </w:footnote>
  <w:footnote w:id="3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دليل</w:t>
      </w:r>
      <w:r>
        <w:rPr>
          <w:rFonts w:eastAsia="IRNazanin" w:cs="IRNazanin"/>
          <w:b w:val="false"/>
          <w:bCs w:val="false"/>
          <w:i w:val="false"/>
          <w:iCs w:val="false"/>
          <w:color w:val="333333"/>
          <w:sz w:val="20"/>
          <w:szCs w:val="20"/>
          <w:rtl w:val="true"/>
        </w:rPr>
        <w:t>».</w:t>
      </w:r>
    </w:p>
  </w:footnote>
  <w:footnote w:id="3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بالأدلّة الخالصة الحاصلة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بالأدلّة الحاصلة</w:t>
      </w:r>
      <w:r>
        <w:rPr>
          <w:rFonts w:eastAsia="IRNazanin" w:cs="IRNazanin"/>
          <w:b w:val="false"/>
          <w:bCs w:val="false"/>
          <w:i w:val="false"/>
          <w:iCs w:val="false"/>
          <w:color w:val="333333"/>
          <w:sz w:val="20"/>
          <w:szCs w:val="20"/>
          <w:rtl w:val="true"/>
        </w:rPr>
        <w:t>».</w:t>
      </w:r>
    </w:p>
  </w:footnote>
  <w:footnote w:id="3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ليُجمع</w:t>
      </w:r>
      <w:r>
        <w:rPr>
          <w:rFonts w:eastAsia="IRNazanin" w:cs="IRNazanin"/>
          <w:b w:val="false"/>
          <w:bCs w:val="false"/>
          <w:i w:val="false"/>
          <w:iCs w:val="false"/>
          <w:color w:val="333333"/>
          <w:sz w:val="20"/>
          <w:szCs w:val="20"/>
          <w:rtl w:val="true"/>
        </w:rPr>
        <w:t>».</w:t>
      </w:r>
    </w:p>
  </w:footnote>
  <w:footnote w:id="3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قولهم، أعني العترة</w:t>
      </w:r>
      <w:r>
        <w:rPr>
          <w:rFonts w:eastAsia="IRNazanin" w:cs="IRNazanin"/>
          <w:b w:val="false"/>
          <w:bCs w:val="false"/>
          <w:i w:val="false"/>
          <w:iCs w:val="false"/>
          <w:color w:val="333333"/>
          <w:sz w:val="20"/>
          <w:szCs w:val="20"/>
          <w:rtl w:val="true"/>
        </w:rPr>
        <w:t>».</w:t>
      </w:r>
    </w:p>
  </w:footnote>
  <w:footnote w:id="3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وجبت</w:t>
      </w:r>
      <w:r>
        <w:rPr>
          <w:rFonts w:eastAsia="IRNazanin" w:cs="IRNazanin"/>
          <w:b w:val="false"/>
          <w:bCs w:val="false"/>
          <w:i w:val="false"/>
          <w:iCs w:val="false"/>
          <w:color w:val="333333"/>
          <w:sz w:val="20"/>
          <w:szCs w:val="20"/>
          <w:rtl w:val="true"/>
        </w:rPr>
        <w:t>».</w:t>
      </w:r>
    </w:p>
  </w:footnote>
  <w:footnote w:id="3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بيّنّا</w:t>
      </w:r>
      <w:r>
        <w:rPr>
          <w:rFonts w:eastAsia="IRNazanin" w:cs="IRNazanin"/>
          <w:b w:val="false"/>
          <w:bCs w:val="false"/>
          <w:i w:val="false"/>
          <w:iCs w:val="false"/>
          <w:color w:val="333333"/>
          <w:sz w:val="20"/>
          <w:szCs w:val="20"/>
          <w:rtl w:val="true"/>
        </w:rPr>
        <w:t>».</w:t>
      </w:r>
    </w:p>
  </w:footnote>
  <w:footnote w:id="3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3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المخالفون</w:t>
      </w:r>
      <w:r>
        <w:rPr>
          <w:rFonts w:eastAsia="IRNazanin" w:cs="IRNazanin"/>
          <w:b w:val="false"/>
          <w:bCs w:val="false"/>
          <w:i w:val="false"/>
          <w:iCs w:val="false"/>
          <w:color w:val="333333"/>
          <w:sz w:val="20"/>
          <w:szCs w:val="20"/>
          <w:rtl w:val="true"/>
        </w:rPr>
        <w:t>».</w:t>
      </w:r>
    </w:p>
  </w:footnote>
  <w:footnote w:id="3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رواته</w:t>
      </w:r>
      <w:r>
        <w:rPr>
          <w:rFonts w:eastAsia="IRNazanin" w:cs="IRNazanin"/>
          <w:b w:val="false"/>
          <w:bCs w:val="false"/>
          <w:i w:val="false"/>
          <w:iCs w:val="false"/>
          <w:color w:val="333333"/>
          <w:sz w:val="20"/>
          <w:szCs w:val="20"/>
          <w:rtl w:val="true"/>
        </w:rPr>
        <w:t>».</w:t>
      </w:r>
    </w:p>
  </w:footnote>
  <w:footnote w:id="3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يجري</w:t>
      </w:r>
      <w:r>
        <w:rPr>
          <w:rFonts w:eastAsia="IRNazanin" w:cs="IRNazanin"/>
          <w:b w:val="false"/>
          <w:bCs w:val="false"/>
          <w:i w:val="false"/>
          <w:iCs w:val="false"/>
          <w:color w:val="333333"/>
          <w:sz w:val="20"/>
          <w:szCs w:val="20"/>
          <w:rtl w:val="true"/>
        </w:rPr>
        <w:t>».</w:t>
      </w:r>
    </w:p>
  </w:footnote>
  <w:footnote w:id="3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3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3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ليظهر</w:t>
      </w:r>
      <w:r>
        <w:rPr>
          <w:rFonts w:eastAsia="IRNazanin" w:cs="IRNazanin"/>
          <w:b w:val="false"/>
          <w:bCs w:val="false"/>
          <w:i w:val="false"/>
          <w:iCs w:val="false"/>
          <w:color w:val="333333"/>
          <w:sz w:val="20"/>
          <w:szCs w:val="20"/>
          <w:rtl w:val="true"/>
        </w:rPr>
        <w:t>».</w:t>
      </w:r>
    </w:p>
  </w:footnote>
  <w:footnote w:id="3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المسند،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طريقه عبد اللّٰه بن عمرالعمري، و قد طعن علماء الجرح و التعديل في مرويّاته؛ 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يزيد في الأسانيد و يخالف، كما ضعّفه عليّ بن المديني و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في طريقه جهم بن أبي الجهم؛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بالشيء</w:t>
      </w:r>
      <w:r>
        <w:rPr>
          <w:rFonts w:eastAsia="IRNazanin" w:cs="IRNazanin"/>
          <w:b w:val="false"/>
          <w:bCs w:val="false"/>
          <w:i w:val="false"/>
          <w:iCs w:val="false"/>
          <w:color w:val="333333"/>
          <w:sz w:val="20"/>
          <w:szCs w:val="20"/>
          <w:rtl w:val="true"/>
        </w:rPr>
        <w:t>».</w:t>
      </w:r>
    </w:p>
  </w:footnote>
  <w:footnote w:id="3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قال عمر هذه الكلمة و نظائرها في عدّة قضايا أخطأ فيها و أنقذه منها أمير المؤمنين عليه السلام، استعرضها العلّامة الأميني في كتاب 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الأثر في علم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منها أنّه أراد عمر رجم المرأة التي ولدت لستّة أشهر، فقال له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تعالىٰ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حَمْلُهُ وَ فِصٰالُهُ ثَلاٰثُونَ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فِصٰالُهُ فِي عٰامَيْنِ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فالحمل ستّة أشهر، و الفصال في عامين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فترك عمر رجمها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عليّ لهلك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المناقب لابن مردويه،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تذكرة الخواصّ ،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جواهر العقدين،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الحدائق الورديّة،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تاريخ قضاة الأندلس،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البيهقي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إلىٰ عمر بن الخطّاب،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إنّي غبت عن امرأتي سنتين، فجئت و هي حبلىٰ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فشاور عمر ناساً في رجمها، فقال معاذ بن جبل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إن كان لك عليها سبيل فليس لك علىٰ ما في بطنها سبيل، فاتركها حتّى تضع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فتركها، فولدت غلاماً قد خرجت ثناياه، فعرف الرجل الشبه فيه،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 و ربّ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عجزت النساء أن يلدن مثل معاذ، لولا معاذ لهلك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13454</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7481</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8055</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يحتجّ </w:t>
      </w:r>
      <w:r>
        <w:rPr>
          <w:rFonts w:eastAsia="IRNazanin" w:cs="IRNazanin"/>
          <w:b w:val="false"/>
          <w:bCs w:val="false"/>
          <w:i w:val="false"/>
          <w:iCs w:val="false"/>
          <w:color w:val="333333"/>
          <w:sz w:val="20"/>
          <w:szCs w:val="20"/>
          <w:rtl w:val="true"/>
        </w:rPr>
        <w:t>».</w:t>
      </w:r>
    </w:p>
  </w:footnote>
  <w:footnote w:id="3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3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w:t>
      </w:r>
    </w:p>
  </w:footnote>
  <w:footnote w:id="3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w:t>
      </w:r>
      <w:r>
        <w:rPr>
          <w:rFonts w:eastAsia="IRNazanin" w:cs="IRNazanin"/>
          <w:b w:val="false"/>
          <w:bCs w:val="false"/>
          <w:i w:val="false"/>
          <w:iCs w:val="false"/>
          <w:color w:val="333333"/>
          <w:sz w:val="20"/>
          <w:szCs w:val="20"/>
          <w:rtl w:val="true"/>
        </w:rPr>
        <w:t>».</w:t>
      </w:r>
    </w:p>
  </w:footnote>
  <w:footnote w:id="3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3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w:t>
      </w:r>
    </w:p>
  </w:footnote>
  <w:footnote w:id="3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الجماعة</w:t>
      </w:r>
      <w:r>
        <w:rPr>
          <w:rFonts w:eastAsia="IRNazanin" w:cs="IRNazanin"/>
          <w:b w:val="false"/>
          <w:bCs w:val="false"/>
          <w:i w:val="false"/>
          <w:iCs w:val="false"/>
          <w:color w:val="333333"/>
          <w:sz w:val="20"/>
          <w:szCs w:val="20"/>
          <w:rtl w:val="true"/>
        </w:rPr>
        <w:t>».</w:t>
      </w:r>
    </w:p>
  </w:footnote>
  <w:footnote w:id="3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فصل في بغي معاوية و وجوب محاربته</w:t>
      </w:r>
      <w:r>
        <w:rPr>
          <w:rFonts w:eastAsia="IRNazanin" w:cs="IRNazanin"/>
          <w:b w:val="false"/>
          <w:bCs w:val="false"/>
          <w:i w:val="false"/>
          <w:iCs w:val="false"/>
          <w:color w:val="333333"/>
          <w:sz w:val="20"/>
          <w:szCs w:val="20"/>
          <w:rtl w:val="true"/>
        </w:rPr>
        <w:t>.</w:t>
      </w:r>
    </w:p>
  </w:footnote>
  <w:footnote w:id="3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المعتزلة، قال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معاوية مطعون في دينه عند شيوخنا رحمهم اللّٰه يُرمىٰ بالزندقة، و قد ذكرنا في نقض السفيانيّة علىٰ شيخنا أبي عثمان الجاحظ ما رواه أصحابنا في كتبهم الكلاميّة عنه من الإلحاد، و التعرّض لرسول اللّٰه صلّى اللّٰه عليه و آله، و ما تظاهر به من الجبر و الإرجاء؛ و لو لم يكن شيء من ذلك لكان في محاربة الإمام ما يكفي في فساد حاله، لا سيّما علىٰ قواعد أصحابنا، و كونهم بالكبيرة الواحدة يقطعون على المصير إلى النار و الخلود فيها إن لم تكفّرها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جملتهم</w:t>
      </w:r>
      <w:r>
        <w:rPr>
          <w:rFonts w:eastAsia="IRNazanin" w:cs="IRNazanin"/>
          <w:b w:val="false"/>
          <w:bCs w:val="false"/>
          <w:i w:val="false"/>
          <w:iCs w:val="false"/>
          <w:color w:val="333333"/>
          <w:sz w:val="20"/>
          <w:szCs w:val="20"/>
          <w:rtl w:val="true"/>
        </w:rPr>
        <w:t>».</w:t>
      </w:r>
    </w:p>
  </w:footnote>
  <w:footnote w:id="3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القوم تابوا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توبتهم</w:t>
      </w:r>
      <w:r>
        <w:rPr>
          <w:rFonts w:eastAsia="IRNazanin" w:cs="IRNazanin"/>
          <w:b w:val="false"/>
          <w:bCs w:val="false"/>
          <w:i w:val="false"/>
          <w:iCs w:val="false"/>
          <w:color w:val="333333"/>
          <w:sz w:val="20"/>
          <w:szCs w:val="20"/>
          <w:rtl w:val="true"/>
        </w:rPr>
        <w:t>».</w:t>
      </w:r>
    </w:p>
  </w:footnote>
  <w:footnote w:id="3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المدّعون توبتهم هم المعتزلة؛ قال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أصحاب الجمل فهم عند أصحابنا هالكون كلّهم إلّاعائشة و طلحة و الزبير رحمهم اللّٰه، فإنّهم تابوا، و لولا التوبة لحُكم لهم بالنار؛ لإصرارهم على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كسعد بن أبي وقّاص و محمّد بن مسلمة؛ قال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بايعه المسلمون بالمدينة إلّا محمّد بن مسلمة و عبد اللّٰه بن عمر و أُسامة بن زيد و سعد بن أبي وقّاص و كعب بن مالك و حسّان بن ثابت و عبد اللّٰه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p>
  </w:footnote>
  <w:footnote w:id="3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بدّ</w:t>
      </w:r>
      <w:r>
        <w:rPr>
          <w:rFonts w:eastAsia="IRNazanin" w:cs="IRNazanin"/>
          <w:b w:val="false"/>
          <w:bCs w:val="false"/>
          <w:i w:val="false"/>
          <w:iCs w:val="false"/>
          <w:color w:val="333333"/>
          <w:sz w:val="20"/>
          <w:szCs w:val="20"/>
          <w:rtl w:val="true"/>
        </w:rPr>
        <w:t>».</w:t>
      </w:r>
    </w:p>
  </w:footnote>
  <w:footnote w:id="3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3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محشورون</w:t>
      </w:r>
      <w:r>
        <w:rPr>
          <w:rFonts w:eastAsia="IRNazanin" w:cs="IRNazanin"/>
          <w:b w:val="false"/>
          <w:bCs w:val="false"/>
          <w:i w:val="false"/>
          <w:iCs w:val="false"/>
          <w:color w:val="333333"/>
          <w:sz w:val="20"/>
          <w:szCs w:val="20"/>
          <w:rtl w:val="true"/>
        </w:rPr>
        <w:t>».</w:t>
      </w:r>
    </w:p>
  </w:footnote>
  <w:footnote w:id="3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58/2860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2087</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12312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12508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3673</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26663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26701</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31491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قبل ربّي</w:t>
      </w:r>
      <w:r>
        <w:rPr>
          <w:rFonts w:eastAsia="IRNazanin" w:cs="IRNazanin"/>
          <w:b w:val="false"/>
          <w:bCs w:val="false"/>
          <w:i w:val="false"/>
          <w:iCs w:val="false"/>
          <w:color w:val="333333"/>
          <w:sz w:val="20"/>
          <w:szCs w:val="20"/>
          <w:rtl w:val="true"/>
        </w:rPr>
        <w:t>».</w:t>
      </w:r>
    </w:p>
  </w:footnote>
  <w:footnote w:id="3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3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6643</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39/249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26588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 xml:space="preserve">؛ سنن النسائي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11460</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7001</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 نقلاً عن الشافي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ينفع</w:t>
      </w:r>
      <w:r>
        <w:rPr>
          <w:rFonts w:eastAsia="IRNazanin" w:cs="IRNazanin"/>
          <w:b w:val="false"/>
          <w:bCs w:val="false"/>
          <w:i w:val="false"/>
          <w:iCs w:val="false"/>
          <w:color w:val="333333"/>
          <w:sz w:val="20"/>
          <w:szCs w:val="20"/>
          <w:rtl w:val="true"/>
        </w:rPr>
        <w:t>».</w:t>
      </w:r>
    </w:p>
  </w:footnote>
  <w:footnote w:id="3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الأنساب</w:t>
      </w:r>
      <w:r>
        <w:rPr>
          <w:rFonts w:eastAsia="IRNazanin" w:cs="IRNazanin"/>
          <w:b w:val="false"/>
          <w:bCs w:val="false"/>
          <w:i w:val="false"/>
          <w:iCs w:val="false"/>
          <w:color w:val="333333"/>
          <w:sz w:val="20"/>
          <w:szCs w:val="20"/>
          <w:rtl w:val="true"/>
        </w:rPr>
        <w:t>».</w:t>
      </w:r>
    </w:p>
  </w:footnote>
  <w:footnote w:id="3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11154</w:t>
      </w:r>
      <w:r>
        <w:rPr>
          <w:rFonts w:ascii="IRNazanin" w:hAnsi="IRNazanin" w:eastAsia="IRNazanin"/>
          <w:b w:val="false"/>
          <w:b w:val="false"/>
          <w:bCs w:val="false"/>
          <w:i w:val="false"/>
          <w:i w:val="false"/>
          <w:iCs w:val="false"/>
          <w:color w:val="333333"/>
          <w:sz w:val="20"/>
          <w:sz w:val="20"/>
          <w:szCs w:val="20"/>
          <w:rtl w:val="true"/>
        </w:rPr>
        <w:t>،</w:t>
      </w:r>
    </w:p>
  </w:footnote>
  <w:footnote w:id="3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بسنن</w:t>
      </w:r>
      <w:r>
        <w:rPr>
          <w:rFonts w:eastAsia="IRNazanin" w:cs="IRNazanin"/>
          <w:b w:val="false"/>
          <w:bCs w:val="false"/>
          <w:i w:val="false"/>
          <w:iCs w:val="false"/>
          <w:color w:val="333333"/>
          <w:sz w:val="20"/>
          <w:szCs w:val="20"/>
          <w:rtl w:val="true"/>
        </w:rPr>
        <w:t>».</w:t>
      </w:r>
    </w:p>
  </w:footnote>
  <w:footnote w:id="3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جحر</w:t>
      </w:r>
      <w:r>
        <w:rPr>
          <w:rFonts w:eastAsia="IRNazanin" w:cs="IRNazanin"/>
          <w:b w:val="false"/>
          <w:bCs w:val="false"/>
          <w:i w:val="false"/>
          <w:iCs w:val="false"/>
          <w:color w:val="333333"/>
          <w:sz w:val="20"/>
          <w:szCs w:val="20"/>
          <w:rtl w:val="true"/>
        </w:rPr>
        <w:t>».</w:t>
      </w:r>
    </w:p>
  </w:footnote>
  <w:footnote w:id="3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6889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2/2669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8322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10649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11817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11861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11916</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20764</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8404</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6403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2710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7009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1679/29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20516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20685</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13336</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5982</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الصحابة</w:t>
      </w:r>
      <w:r>
        <w:rPr>
          <w:rFonts w:eastAsia="IRNazanin" w:cs="IRNazanin"/>
          <w:b w:val="false"/>
          <w:bCs w:val="false"/>
          <w:i w:val="false"/>
          <w:iCs w:val="false"/>
          <w:color w:val="333333"/>
          <w:sz w:val="20"/>
          <w:szCs w:val="20"/>
          <w:rtl w:val="true"/>
        </w:rPr>
        <w:t>».</w:t>
      </w:r>
    </w:p>
  </w:footnote>
  <w:footnote w:id="3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 و 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w:t>
      </w:r>
    </w:p>
  </w:footnote>
  <w:footnote w:id="3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الإمامة</w:t>
      </w:r>
      <w:r>
        <w:rPr>
          <w:rFonts w:eastAsia="IRNazanin" w:cs="IRNazanin"/>
          <w:b w:val="false"/>
          <w:bCs w:val="false"/>
          <w:i w:val="false"/>
          <w:iCs w:val="false"/>
          <w:color w:val="333333"/>
          <w:sz w:val="20"/>
          <w:szCs w:val="20"/>
          <w:rtl w:val="true"/>
        </w:rPr>
        <w:t>».</w:t>
      </w:r>
    </w:p>
  </w:footnote>
  <w:footnote w:id="3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يثبت</w:t>
      </w:r>
      <w:r>
        <w:rPr>
          <w:rFonts w:eastAsia="IRNazanin" w:cs="IRNazanin"/>
          <w:b w:val="false"/>
          <w:bCs w:val="false"/>
          <w:i w:val="false"/>
          <w:iCs w:val="false"/>
          <w:color w:val="333333"/>
          <w:sz w:val="20"/>
          <w:szCs w:val="20"/>
          <w:rtl w:val="true"/>
        </w:rPr>
        <w:t>».</w:t>
      </w:r>
    </w:p>
  </w:footnote>
  <w:footnote w:id="3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الرجس عنهم</w:t>
      </w:r>
      <w:r>
        <w:rPr>
          <w:rFonts w:eastAsia="IRNazanin" w:cs="IRNazanin"/>
          <w:b w:val="false"/>
          <w:bCs w:val="false"/>
          <w:i w:val="false"/>
          <w:iCs w:val="false"/>
          <w:color w:val="333333"/>
          <w:sz w:val="20"/>
          <w:szCs w:val="20"/>
          <w:rtl w:val="true"/>
        </w:rPr>
        <w:t>».</w:t>
      </w:r>
    </w:p>
  </w:footnote>
  <w:footnote w:id="3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3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يطهّر</w:t>
      </w:r>
      <w:r>
        <w:rPr>
          <w:rFonts w:eastAsia="IRNazanin" w:cs="IRNazanin"/>
          <w:b w:val="false"/>
          <w:bCs w:val="false"/>
          <w:i w:val="false"/>
          <w:iCs w:val="false"/>
          <w:color w:val="333333"/>
          <w:sz w:val="20"/>
          <w:szCs w:val="20"/>
          <w:rtl w:val="true"/>
        </w:rPr>
        <w:t>».</w:t>
      </w:r>
    </w:p>
  </w:footnote>
  <w:footnote w:id="3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w:t>
      </w:r>
      <w:r>
        <w:rPr>
          <w:rFonts w:eastAsia="IRNazanin" w:cs="IRNazanin"/>
          <w:b w:val="false"/>
          <w:bCs w:val="false"/>
          <w:i w:val="false"/>
          <w:iCs w:val="false"/>
          <w:color w:val="333333"/>
          <w:sz w:val="20"/>
          <w:szCs w:val="20"/>
          <w:rtl w:val="true"/>
        </w:rPr>
        <w:t>».</w:t>
      </w:r>
    </w:p>
  </w:footnote>
  <w:footnote w:id="3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للمؤمنين</w:t>
      </w:r>
      <w:r>
        <w:rPr>
          <w:rFonts w:eastAsia="IRNazanin" w:cs="IRNazanin"/>
          <w:b w:val="false"/>
          <w:bCs w:val="false"/>
          <w:i w:val="false"/>
          <w:iCs w:val="false"/>
          <w:color w:val="333333"/>
          <w:sz w:val="20"/>
          <w:szCs w:val="20"/>
          <w:rtl w:val="true"/>
        </w:rPr>
        <w:t>».</w:t>
      </w:r>
    </w:p>
  </w:footnote>
  <w:footnote w:id="3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زكيّاً</w:t>
      </w:r>
      <w:r>
        <w:rPr>
          <w:rFonts w:eastAsia="IRNazanin" w:cs="IRNazanin"/>
          <w:b w:val="false"/>
          <w:bCs w:val="false"/>
          <w:i w:val="false"/>
          <w:iCs w:val="false"/>
          <w:color w:val="333333"/>
          <w:sz w:val="20"/>
          <w:szCs w:val="20"/>
          <w:rtl w:val="true"/>
        </w:rPr>
        <w:t>».</w:t>
      </w:r>
    </w:p>
  </w:footnote>
  <w:footnote w:id="3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بشرع</w:t>
      </w:r>
      <w:r>
        <w:rPr>
          <w:rFonts w:eastAsia="IRNazanin" w:cs="IRNazanin"/>
          <w:b w:val="false"/>
          <w:bCs w:val="false"/>
          <w:i w:val="false"/>
          <w:iCs w:val="false"/>
          <w:color w:val="333333"/>
          <w:sz w:val="20"/>
          <w:szCs w:val="20"/>
          <w:rtl w:val="true"/>
        </w:rPr>
        <w:t>».</w:t>
      </w:r>
    </w:p>
  </w:footnote>
  <w:footnote w:id="3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 المطيعين</w:t>
      </w:r>
      <w:r>
        <w:rPr>
          <w:rFonts w:eastAsia="IRNazanin" w:cs="IRNazanin"/>
          <w:b w:val="false"/>
          <w:bCs w:val="false"/>
          <w:i w:val="false"/>
          <w:iCs w:val="false"/>
          <w:color w:val="333333"/>
          <w:sz w:val="20"/>
          <w:szCs w:val="20"/>
          <w:rtl w:val="true"/>
        </w:rPr>
        <w:t>».</w:t>
      </w:r>
    </w:p>
  </w:footnote>
  <w:footnote w:id="3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دلّ </w:t>
      </w:r>
      <w:r>
        <w:rPr>
          <w:rFonts w:eastAsia="IRNazanin" w:cs="IRNazanin"/>
          <w:b w:val="false"/>
          <w:bCs w:val="false"/>
          <w:i w:val="false"/>
          <w:iCs w:val="false"/>
          <w:color w:val="333333"/>
          <w:sz w:val="20"/>
          <w:szCs w:val="20"/>
          <w:rtl w:val="true"/>
        </w:rPr>
        <w:t>».</w:t>
      </w:r>
    </w:p>
  </w:footnote>
  <w:footnote w:id="3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احتيج</w:t>
      </w:r>
      <w:r>
        <w:rPr>
          <w:rFonts w:eastAsia="IRNazanin" w:cs="IRNazanin"/>
          <w:b w:val="false"/>
          <w:bCs w:val="false"/>
          <w:i w:val="false"/>
          <w:iCs w:val="false"/>
          <w:color w:val="333333"/>
          <w:sz w:val="20"/>
          <w:szCs w:val="20"/>
          <w:rtl w:val="true"/>
        </w:rPr>
        <w:t>».</w:t>
      </w:r>
    </w:p>
  </w:footnote>
  <w:footnote w:id="3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التعليل</w:t>
      </w:r>
      <w:r>
        <w:rPr>
          <w:rFonts w:eastAsia="IRNazanin" w:cs="IRNazanin"/>
          <w:b w:val="false"/>
          <w:bCs w:val="false"/>
          <w:i w:val="false"/>
          <w:iCs w:val="false"/>
          <w:color w:val="333333"/>
          <w:sz w:val="20"/>
          <w:szCs w:val="20"/>
          <w:rtl w:val="true"/>
        </w:rPr>
        <w:t>».</w:t>
      </w:r>
    </w:p>
  </w:footnote>
  <w:footnote w:id="3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ينفي ذلك عن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يدلّ علىٰ أنّ غيرهم في ذلك بخلافهم</w:t>
      </w:r>
      <w:r>
        <w:rPr>
          <w:rFonts w:eastAsia="IRNazanin" w:cs="IRNazanin"/>
          <w:b w:val="false"/>
          <w:bCs w:val="false"/>
          <w:i w:val="false"/>
          <w:iCs w:val="false"/>
          <w:color w:val="333333"/>
          <w:sz w:val="20"/>
          <w:szCs w:val="20"/>
          <w:rtl w:val="true"/>
        </w:rPr>
        <w:t>».</w:t>
      </w:r>
    </w:p>
  </w:footnote>
  <w:footnote w:id="3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ما يدلّ علىٰ نفيه عن غيرها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يدلّ علىٰ نفيه عن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3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لفظة الآية تقتضي</w:t>
      </w:r>
      <w:r>
        <w:rPr>
          <w:rFonts w:eastAsia="IRNazanin" w:cs="IRNazanin"/>
          <w:b w:val="false"/>
          <w:bCs w:val="false"/>
          <w:i w:val="false"/>
          <w:iCs w:val="false"/>
          <w:color w:val="333333"/>
          <w:sz w:val="20"/>
          <w:szCs w:val="20"/>
          <w:rtl w:val="true"/>
        </w:rPr>
        <w:t>».</w:t>
      </w:r>
    </w:p>
  </w:footnote>
  <w:footnote w:id="3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ذكرنا</w:t>
      </w:r>
      <w:r>
        <w:rPr>
          <w:rFonts w:eastAsia="IRNazanin" w:cs="IRNazanin"/>
          <w:b w:val="false"/>
          <w:bCs w:val="false"/>
          <w:i w:val="false"/>
          <w:iCs w:val="false"/>
          <w:color w:val="333333"/>
          <w:sz w:val="20"/>
          <w:szCs w:val="20"/>
          <w:rtl w:val="true"/>
        </w:rPr>
        <w:t>».</w:t>
      </w:r>
    </w:p>
  </w:footnote>
  <w:footnote w:id="3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إرادة الطهارة</w:t>
      </w:r>
      <w:r>
        <w:rPr>
          <w:rFonts w:eastAsia="IRNazanin" w:cs="IRNazanin"/>
          <w:b w:val="false"/>
          <w:bCs w:val="false"/>
          <w:i w:val="false"/>
          <w:iCs w:val="false"/>
          <w:color w:val="333333"/>
          <w:sz w:val="20"/>
          <w:szCs w:val="20"/>
          <w:rtl w:val="true"/>
        </w:rPr>
        <w:t>».</w:t>
      </w:r>
    </w:p>
  </w:footnote>
  <w:footnote w:id="3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3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روي من</w:t>
      </w:r>
      <w:r>
        <w:rPr>
          <w:rFonts w:eastAsia="IRNazanin" w:cs="IRNazanin"/>
          <w:b w:val="false"/>
          <w:bCs w:val="false"/>
          <w:i w:val="false"/>
          <w:iCs w:val="false"/>
          <w:color w:val="333333"/>
          <w:sz w:val="20"/>
          <w:szCs w:val="20"/>
          <w:rtl w:val="true"/>
        </w:rPr>
        <w:t>».</w:t>
      </w:r>
    </w:p>
  </w:footnote>
  <w:footnote w:id="3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فصورة</w:t>
      </w:r>
      <w:r>
        <w:rPr>
          <w:rFonts w:eastAsia="IRNazanin" w:cs="IRNazanin"/>
          <w:b w:val="false"/>
          <w:bCs w:val="false"/>
          <w:i w:val="false"/>
          <w:iCs w:val="false"/>
          <w:color w:val="333333"/>
          <w:sz w:val="20"/>
          <w:szCs w:val="20"/>
          <w:rtl w:val="true"/>
        </w:rPr>
        <w:t>».</w:t>
      </w:r>
    </w:p>
  </w:footnote>
  <w:footnote w:id="3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3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للمدحة</w:t>
      </w:r>
      <w:r>
        <w:rPr>
          <w:rFonts w:eastAsia="IRNazanin" w:cs="IRNazanin"/>
          <w:b w:val="false"/>
          <w:bCs w:val="false"/>
          <w:i w:val="false"/>
          <w:iCs w:val="false"/>
          <w:color w:val="333333"/>
          <w:sz w:val="20"/>
          <w:szCs w:val="20"/>
          <w:rtl w:val="true"/>
        </w:rPr>
        <w:t>».</w:t>
      </w:r>
    </w:p>
  </w:footnote>
  <w:footnote w:id="3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اللطف</w:t>
      </w:r>
      <w:r>
        <w:rPr>
          <w:rFonts w:eastAsia="IRNazanin" w:cs="IRNazanin"/>
          <w:b w:val="false"/>
          <w:bCs w:val="false"/>
          <w:i w:val="false"/>
          <w:iCs w:val="false"/>
          <w:color w:val="333333"/>
          <w:sz w:val="20"/>
          <w:szCs w:val="20"/>
          <w:rtl w:val="true"/>
        </w:rPr>
        <w:t>».</w:t>
      </w:r>
    </w:p>
  </w:footnote>
  <w:footnote w:id="3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المدح</w:t>
      </w:r>
      <w:r>
        <w:rPr>
          <w:rFonts w:eastAsia="IRNazanin" w:cs="IRNazanin"/>
          <w:b w:val="false"/>
          <w:bCs w:val="false"/>
          <w:i w:val="false"/>
          <w:iCs w:val="false"/>
          <w:color w:val="333333"/>
          <w:sz w:val="20"/>
          <w:szCs w:val="20"/>
          <w:rtl w:val="true"/>
        </w:rPr>
        <w:t>».</w:t>
      </w:r>
    </w:p>
  </w:footnote>
  <w:footnote w:id="3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متضمّنة</w:t>
      </w:r>
      <w:r>
        <w:rPr>
          <w:rFonts w:eastAsia="IRNazanin" w:cs="IRNazanin"/>
          <w:b w:val="false"/>
          <w:bCs w:val="false"/>
          <w:i w:val="false"/>
          <w:iCs w:val="false"/>
          <w:color w:val="333333"/>
          <w:sz w:val="20"/>
          <w:szCs w:val="20"/>
          <w:rtl w:val="true"/>
        </w:rPr>
        <w:t>».</w:t>
      </w:r>
    </w:p>
  </w:footnote>
  <w:footnote w:id="3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 المسلمون</w:t>
      </w:r>
      <w:r>
        <w:rPr>
          <w:rFonts w:eastAsia="IRNazanin" w:cs="IRNazanin"/>
          <w:b w:val="false"/>
          <w:bCs w:val="false"/>
          <w:i w:val="false"/>
          <w:iCs w:val="false"/>
          <w:color w:val="333333"/>
          <w:sz w:val="20"/>
          <w:szCs w:val="20"/>
          <w:rtl w:val="true"/>
        </w:rPr>
        <w:t>».</w:t>
      </w:r>
    </w:p>
  </w:footnote>
  <w:footnote w:id="3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تخل</w:t>
      </w:r>
      <w:r>
        <w:rPr>
          <w:rFonts w:eastAsia="IRNazanin" w:cs="IRNazanin"/>
          <w:b w:val="false"/>
          <w:bCs w:val="false"/>
          <w:i w:val="false"/>
          <w:iCs w:val="false"/>
          <w:color w:val="333333"/>
          <w:sz w:val="20"/>
          <w:szCs w:val="20"/>
          <w:rtl w:val="true"/>
        </w:rPr>
        <w:t>».</w:t>
      </w:r>
    </w:p>
  </w:footnote>
  <w:footnote w:id="3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اختلفت</w:t>
      </w:r>
      <w:r>
        <w:rPr>
          <w:rFonts w:eastAsia="IRNazanin" w:cs="IRNazanin"/>
          <w:b w:val="false"/>
          <w:bCs w:val="false"/>
          <w:i w:val="false"/>
          <w:iCs w:val="false"/>
          <w:color w:val="333333"/>
          <w:sz w:val="20"/>
          <w:szCs w:val="20"/>
          <w:rtl w:val="true"/>
        </w:rPr>
        <w:t>».</w:t>
      </w:r>
    </w:p>
  </w:footnote>
  <w:footnote w:id="3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3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w:t>
      </w:r>
    </w:p>
  </w:footnote>
  <w:footnote w:id="3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المختصّ </w:t>
      </w:r>
      <w:r>
        <w:rPr>
          <w:rFonts w:eastAsia="IRNazanin" w:cs="IRNazanin"/>
          <w:b w:val="false"/>
          <w:bCs w:val="false"/>
          <w:i w:val="false"/>
          <w:iCs w:val="false"/>
          <w:color w:val="333333"/>
          <w:sz w:val="20"/>
          <w:szCs w:val="20"/>
          <w:rtl w:val="true"/>
        </w:rPr>
        <w:t>».</w:t>
      </w:r>
    </w:p>
  </w:footnote>
  <w:footnote w:id="3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3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3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447/39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1174/1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13754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14072</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مسند أبي يعلىٰ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3978</w:t>
      </w:r>
      <w:r>
        <w:rPr>
          <w:rFonts w:ascii="IRNazanin" w:hAnsi="IRNazanin" w:eastAsia="IRNazanin"/>
          <w:b w:val="false"/>
          <w:b w:val="false"/>
          <w:bCs w:val="false"/>
          <w:i w:val="false"/>
          <w:i w:val="false"/>
          <w:iCs w:val="false"/>
          <w:color w:val="333333"/>
          <w:sz w:val="20"/>
          <w:sz w:val="20"/>
          <w:szCs w:val="20"/>
          <w:rtl w:val="true"/>
        </w:rPr>
        <w:t xml:space="preserve">؛ مسند الطيالسي،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2059</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4748</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وجب أن يكون معصوماً طاهراً</w:t>
      </w:r>
      <w:r>
        <w:rPr>
          <w:rFonts w:eastAsia="IRNazanin" w:cs="IRNazanin"/>
          <w:b w:val="false"/>
          <w:bCs w:val="false"/>
          <w:i w:val="false"/>
          <w:iCs w:val="false"/>
          <w:color w:val="333333"/>
          <w:sz w:val="20"/>
          <w:szCs w:val="20"/>
          <w:rtl w:val="true"/>
        </w:rPr>
        <w:t>».</w:t>
      </w:r>
    </w:p>
  </w:footnote>
  <w:footnote w:id="3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w:t>
      </w:r>
    </w:p>
  </w:footnote>
  <w:footnote w:id="3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أوردناه</w:t>
      </w:r>
      <w:r>
        <w:rPr>
          <w:rFonts w:eastAsia="IRNazanin" w:cs="IRNazanin"/>
          <w:b w:val="false"/>
          <w:bCs w:val="false"/>
          <w:i w:val="false"/>
          <w:iCs w:val="false"/>
          <w:color w:val="333333"/>
          <w:sz w:val="20"/>
          <w:szCs w:val="20"/>
          <w:rtl w:val="true"/>
        </w:rPr>
        <w:t>».</w:t>
      </w:r>
    </w:p>
  </w:footnote>
  <w:footnote w:id="3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يدلّ </w:t>
      </w:r>
      <w:r>
        <w:rPr>
          <w:rFonts w:eastAsia="IRNazanin" w:cs="IRNazanin"/>
          <w:b w:val="false"/>
          <w:bCs w:val="false"/>
          <w:i w:val="false"/>
          <w:iCs w:val="false"/>
          <w:color w:val="333333"/>
          <w:sz w:val="20"/>
          <w:szCs w:val="20"/>
          <w:rtl w:val="true"/>
        </w:rPr>
        <w:t>».</w:t>
      </w:r>
    </w:p>
  </w:footnote>
  <w:footnote w:id="3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3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التفضيل</w:t>
      </w:r>
      <w:r>
        <w:rPr>
          <w:rFonts w:eastAsia="IRNazanin" w:cs="IRNazanin"/>
          <w:b w:val="false"/>
          <w:bCs w:val="false"/>
          <w:i w:val="false"/>
          <w:iCs w:val="false"/>
          <w:color w:val="333333"/>
          <w:sz w:val="20"/>
          <w:szCs w:val="20"/>
          <w:rtl w:val="true"/>
        </w:rPr>
        <w:t>».</w:t>
      </w:r>
    </w:p>
  </w:footnote>
  <w:footnote w:id="3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ذلك</w:t>
      </w:r>
      <w:r>
        <w:rPr>
          <w:rFonts w:eastAsia="IRNazanin" w:cs="IRNazanin"/>
          <w:b w:val="false"/>
          <w:bCs w:val="false"/>
          <w:i w:val="false"/>
          <w:iCs w:val="false"/>
          <w:color w:val="333333"/>
          <w:sz w:val="20"/>
          <w:szCs w:val="20"/>
          <w:rtl w:val="true"/>
        </w:rPr>
        <w:t>».</w:t>
      </w:r>
    </w:p>
  </w:footnote>
  <w:footnote w:id="3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يدلّ علىٰ </w:t>
      </w:r>
      <w:r>
        <w:rPr>
          <w:rFonts w:eastAsia="IRNazanin" w:cs="IRNazanin"/>
          <w:b w:val="false"/>
          <w:bCs w:val="false"/>
          <w:i w:val="false"/>
          <w:iCs w:val="false"/>
          <w:color w:val="333333"/>
          <w:sz w:val="20"/>
          <w:szCs w:val="20"/>
          <w:rtl w:val="true"/>
        </w:rPr>
        <w:t>».</w:t>
      </w:r>
    </w:p>
  </w:footnote>
  <w:footnote w:id="3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أُثبتت</w:t>
      </w:r>
      <w:r>
        <w:rPr>
          <w:rFonts w:eastAsia="IRNazanin" w:cs="IRNazanin"/>
          <w:b w:val="false"/>
          <w:bCs w:val="false"/>
          <w:i w:val="false"/>
          <w:iCs w:val="false"/>
          <w:color w:val="333333"/>
          <w:sz w:val="20"/>
          <w:szCs w:val="20"/>
          <w:rtl w:val="true"/>
        </w:rPr>
        <w:t>».</w:t>
      </w:r>
    </w:p>
  </w:footnote>
  <w:footnote w:id="3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لغيرهم</w:t>
      </w:r>
      <w:r>
        <w:rPr>
          <w:rFonts w:eastAsia="IRNazanin" w:cs="IRNazanin"/>
          <w:b w:val="false"/>
          <w:bCs w:val="false"/>
          <w:i w:val="false"/>
          <w:iCs w:val="false"/>
          <w:color w:val="333333"/>
          <w:sz w:val="20"/>
          <w:szCs w:val="20"/>
          <w:rtl w:val="true"/>
        </w:rPr>
        <w:t>».</w:t>
      </w:r>
    </w:p>
  </w:footnote>
  <w:footnote w:id="3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3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3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3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w:t>
      </w:r>
      <w:r>
        <w:rPr>
          <w:rFonts w:eastAsia="IRNazanin" w:cs="IRNazanin"/>
          <w:b w:val="false"/>
          <w:bCs w:val="false"/>
          <w:i w:val="false"/>
          <w:iCs w:val="false"/>
          <w:color w:val="333333"/>
          <w:sz w:val="20"/>
          <w:szCs w:val="20"/>
          <w:rtl w:val="true"/>
        </w:rPr>
        <w:t>».</w:t>
      </w:r>
    </w:p>
  </w:footnote>
  <w:footnote w:id="3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p>
  </w:footnote>
  <w:footnote w:id="3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3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وقت</w:t>
      </w:r>
      <w:r>
        <w:rPr>
          <w:rFonts w:eastAsia="IRNazanin" w:cs="IRNazanin"/>
          <w:b w:val="false"/>
          <w:bCs w:val="false"/>
          <w:i w:val="false"/>
          <w:iCs w:val="false"/>
          <w:color w:val="333333"/>
          <w:sz w:val="20"/>
          <w:szCs w:val="20"/>
          <w:rtl w:val="true"/>
        </w:rPr>
        <w:t>».</w:t>
      </w:r>
    </w:p>
  </w:footnote>
  <w:footnote w:id="3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غير دليل الآية</w:t>
      </w:r>
      <w:r>
        <w:rPr>
          <w:rFonts w:eastAsia="IRNazanin" w:cs="IRNazanin"/>
          <w:b w:val="false"/>
          <w:bCs w:val="false"/>
          <w:i w:val="false"/>
          <w:iCs w:val="false"/>
          <w:color w:val="333333"/>
          <w:sz w:val="20"/>
          <w:szCs w:val="20"/>
          <w:rtl w:val="true"/>
        </w:rPr>
        <w:t>».</w:t>
      </w:r>
    </w:p>
  </w:footnote>
  <w:footnote w:id="3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فريقان</w:t>
      </w:r>
      <w:r>
        <w:rPr>
          <w:rFonts w:eastAsia="IRNazanin" w:cs="IRNazanin"/>
          <w:b w:val="false"/>
          <w:bCs w:val="false"/>
          <w:i w:val="false"/>
          <w:iCs w:val="false"/>
          <w:color w:val="333333"/>
          <w:sz w:val="20"/>
          <w:szCs w:val="20"/>
          <w:rtl w:val="true"/>
        </w:rPr>
        <w:t>».</w:t>
      </w:r>
    </w:p>
  </w:footnote>
  <w:footnote w:id="3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الدنس و</w:t>
      </w:r>
      <w:r>
        <w:rPr>
          <w:rFonts w:eastAsia="IRNazanin" w:cs="IRNazanin"/>
          <w:b w:val="false"/>
          <w:bCs w:val="false"/>
          <w:i w:val="false"/>
          <w:iCs w:val="false"/>
          <w:color w:val="333333"/>
          <w:sz w:val="20"/>
          <w:szCs w:val="20"/>
          <w:rtl w:val="true"/>
        </w:rPr>
        <w:t>».</w:t>
      </w:r>
    </w:p>
  </w:footnote>
  <w:footnote w:id="3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الظالمين</w:t>
      </w:r>
      <w:r>
        <w:rPr>
          <w:rFonts w:eastAsia="IRNazanin" w:cs="IRNazanin"/>
          <w:b w:val="false"/>
          <w:bCs w:val="false"/>
          <w:i w:val="false"/>
          <w:iCs w:val="false"/>
          <w:color w:val="333333"/>
          <w:sz w:val="20"/>
          <w:szCs w:val="20"/>
          <w:rtl w:val="true"/>
        </w:rPr>
        <w:t>».</w:t>
      </w:r>
    </w:p>
  </w:footnote>
  <w:footnote w:id="3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حاله</w:t>
      </w:r>
      <w:r>
        <w:rPr>
          <w:rFonts w:eastAsia="IRNazanin" w:cs="IRNazanin"/>
          <w:b w:val="false"/>
          <w:bCs w:val="false"/>
          <w:i w:val="false"/>
          <w:iCs w:val="false"/>
          <w:color w:val="333333"/>
          <w:sz w:val="20"/>
          <w:szCs w:val="20"/>
          <w:rtl w:val="true"/>
        </w:rPr>
        <w:t>».</w:t>
      </w:r>
    </w:p>
  </w:footnote>
  <w:footnote w:id="3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 الحكم للآية أن لا يمنع</w:t>
      </w:r>
      <w:r>
        <w:rPr>
          <w:rFonts w:eastAsia="IRNazanin" w:cs="IRNazanin"/>
          <w:b w:val="false"/>
          <w:bCs w:val="false"/>
          <w:i w:val="false"/>
          <w:iCs w:val="false"/>
          <w:color w:val="333333"/>
          <w:sz w:val="20"/>
          <w:szCs w:val="20"/>
          <w:rtl w:val="true"/>
        </w:rPr>
        <w:t>».</w:t>
      </w:r>
    </w:p>
  </w:footnote>
  <w:footnote w:id="3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ينال</w:t>
      </w:r>
      <w:r>
        <w:rPr>
          <w:rFonts w:eastAsia="IRNazanin" w:cs="IRNazanin"/>
          <w:b w:val="false"/>
          <w:bCs w:val="false"/>
          <w:i w:val="false"/>
          <w:iCs w:val="false"/>
          <w:color w:val="333333"/>
          <w:sz w:val="20"/>
          <w:szCs w:val="20"/>
          <w:rtl w:val="true"/>
        </w:rPr>
        <w:t>».</w:t>
      </w:r>
    </w:p>
  </w:footnote>
  <w:footnote w:id="3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أن</w:t>
      </w:r>
      <w:r>
        <w:rPr>
          <w:rFonts w:eastAsia="IRNazanin" w:cs="IRNazanin"/>
          <w:b w:val="false"/>
          <w:bCs w:val="false"/>
          <w:i w:val="false"/>
          <w:iCs w:val="false"/>
          <w:color w:val="333333"/>
          <w:sz w:val="20"/>
          <w:szCs w:val="20"/>
          <w:rtl w:val="true"/>
        </w:rPr>
        <w:t>».</w:t>
      </w:r>
    </w:p>
  </w:footnote>
  <w:footnote w:id="3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تدخل</w:t>
      </w:r>
      <w:r>
        <w:rPr>
          <w:rFonts w:eastAsia="IRNazanin" w:cs="IRNazanin"/>
          <w:b w:val="false"/>
          <w:bCs w:val="false"/>
          <w:i w:val="false"/>
          <w:iCs w:val="false"/>
          <w:color w:val="333333"/>
          <w:sz w:val="20"/>
          <w:szCs w:val="20"/>
          <w:rtl w:val="true"/>
        </w:rPr>
        <w:t>».</w:t>
      </w:r>
    </w:p>
  </w:footnote>
  <w:footnote w:id="3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أن يكون قدوة في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المغني</w:t>
      </w:r>
      <w:r>
        <w:rPr>
          <w:rFonts w:eastAsia="IRNazanin" w:cs="IRNazanin"/>
          <w:b w:val="false"/>
          <w:bCs w:val="false"/>
          <w:i w:val="false"/>
          <w:iCs w:val="false"/>
          <w:color w:val="333333"/>
          <w:sz w:val="20"/>
          <w:szCs w:val="20"/>
          <w:rtl w:val="true"/>
        </w:rPr>
        <w:t>.</w:t>
      </w:r>
    </w:p>
  </w:footnote>
  <w:footnote w:id="4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كلّ حال</w:t>
      </w:r>
      <w:r>
        <w:rPr>
          <w:rFonts w:eastAsia="IRNazanin" w:cs="IRNazanin"/>
          <w:b w:val="false"/>
          <w:bCs w:val="false"/>
          <w:i w:val="false"/>
          <w:iCs w:val="false"/>
          <w:color w:val="333333"/>
          <w:sz w:val="20"/>
          <w:szCs w:val="20"/>
          <w:rtl w:val="true"/>
        </w:rPr>
        <w:t>».</w:t>
      </w:r>
    </w:p>
  </w:footnote>
  <w:footnote w:id="4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يكون بفعلها ظالماً</w:t>
      </w:r>
      <w:r>
        <w:rPr>
          <w:rFonts w:eastAsia="IRNazanin" w:cs="IRNazanin"/>
          <w:b w:val="false"/>
          <w:bCs w:val="false"/>
          <w:i w:val="false"/>
          <w:iCs w:val="false"/>
          <w:color w:val="333333"/>
          <w:sz w:val="20"/>
          <w:szCs w:val="20"/>
          <w:rtl w:val="true"/>
        </w:rPr>
        <w:t>».</w:t>
      </w:r>
    </w:p>
  </w:footnote>
  <w:footnote w:id="4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الطريقة الأُولىٰ </w:t>
      </w:r>
      <w:r>
        <w:rPr>
          <w:rFonts w:eastAsia="IRNazanin" w:cs="IRNazanin"/>
          <w:b w:val="false"/>
          <w:bCs w:val="false"/>
          <w:i w:val="false"/>
          <w:iCs w:val="false"/>
          <w:color w:val="333333"/>
          <w:sz w:val="20"/>
          <w:szCs w:val="20"/>
          <w:rtl w:val="true"/>
        </w:rPr>
        <w:t>».</w:t>
      </w:r>
    </w:p>
  </w:footnote>
  <w:footnote w:id="4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4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يحمله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يحتمله</w:t>
      </w:r>
      <w:r>
        <w:rPr>
          <w:rFonts w:eastAsia="IRNazanin" w:cs="IRNazanin"/>
          <w:b w:val="false"/>
          <w:bCs w:val="false"/>
          <w:i w:val="false"/>
          <w:iCs w:val="false"/>
          <w:color w:val="333333"/>
          <w:sz w:val="20"/>
          <w:szCs w:val="20"/>
          <w:rtl w:val="true"/>
        </w:rPr>
        <w:t>».</w:t>
      </w:r>
    </w:p>
  </w:footnote>
  <w:footnote w:id="4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الإمام بخلافه، بل بمنزلة الأمير و الحاكم</w:t>
      </w:r>
      <w:r>
        <w:rPr>
          <w:rFonts w:eastAsia="IRNazanin" w:cs="IRNazanin"/>
          <w:b w:val="false"/>
          <w:bCs w:val="false"/>
          <w:i w:val="false"/>
          <w:iCs w:val="false"/>
          <w:color w:val="333333"/>
          <w:sz w:val="20"/>
          <w:szCs w:val="20"/>
          <w:rtl w:val="true"/>
        </w:rPr>
        <w:t>».</w:t>
      </w:r>
    </w:p>
  </w:footnote>
  <w:footnote w:id="4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المصنّف رحمه اللّٰه، فقد ذهب إلىٰ إنكار وجود لفظ يدلّ على الاستغراق و العموم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لا يستدلّ هو بهذه الآية على الإمامة كما صرّح بذلك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سوف يكون بحثه التالي و استدلاله بالآية على الإمامة مبنيّاً على القول الآخر الذي يؤمن بوجود لفظ يدلّ على الاستغراق و العموم، كما سوف يصرّح بذلك فيما بعد</w:t>
      </w:r>
      <w:r>
        <w:rPr>
          <w:rFonts w:eastAsia="IRNazanin" w:cs="IRNazanin"/>
          <w:b w:val="false"/>
          <w:bCs w:val="false"/>
          <w:i w:val="false"/>
          <w:iCs w:val="false"/>
          <w:color w:val="333333"/>
          <w:sz w:val="20"/>
          <w:szCs w:val="20"/>
          <w:rtl w:val="true"/>
        </w:rPr>
        <w:t>.</w:t>
      </w:r>
    </w:p>
  </w:footnote>
  <w:footnote w:id="4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لكنّها</w:t>
      </w:r>
      <w:r>
        <w:rPr>
          <w:rFonts w:eastAsia="IRNazanin" w:cs="IRNazanin"/>
          <w:b w:val="false"/>
          <w:bCs w:val="false"/>
          <w:i w:val="false"/>
          <w:iCs w:val="false"/>
          <w:color w:val="333333"/>
          <w:sz w:val="20"/>
          <w:szCs w:val="20"/>
          <w:rtl w:val="true"/>
        </w:rPr>
        <w:t>».</w:t>
      </w:r>
    </w:p>
  </w:footnote>
  <w:footnote w:id="4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مسرّ الظلم</w:t>
      </w:r>
      <w:r>
        <w:rPr>
          <w:rFonts w:eastAsia="IRNazanin" w:cs="IRNazanin"/>
          <w:b w:val="false"/>
          <w:bCs w:val="false"/>
          <w:i w:val="false"/>
          <w:iCs w:val="false"/>
          <w:color w:val="333333"/>
          <w:sz w:val="20"/>
          <w:szCs w:val="20"/>
          <w:rtl w:val="true"/>
        </w:rPr>
        <w:t>».</w:t>
      </w:r>
    </w:p>
  </w:footnote>
  <w:footnote w:id="4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القبح</w:t>
      </w:r>
      <w:r>
        <w:rPr>
          <w:rFonts w:eastAsia="IRNazanin" w:cs="IRNazanin"/>
          <w:b w:val="false"/>
          <w:bCs w:val="false"/>
          <w:i w:val="false"/>
          <w:iCs w:val="false"/>
          <w:color w:val="333333"/>
          <w:sz w:val="20"/>
          <w:szCs w:val="20"/>
          <w:rtl w:val="true"/>
        </w:rPr>
        <w:t>».</w:t>
      </w:r>
    </w:p>
  </w:footnote>
  <w:footnote w:id="4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فالكلام</w:t>
      </w:r>
      <w:r>
        <w:rPr>
          <w:rFonts w:eastAsia="IRNazanin" w:cs="IRNazanin"/>
          <w:b w:val="false"/>
          <w:bCs w:val="false"/>
          <w:i w:val="false"/>
          <w:iCs w:val="false"/>
          <w:color w:val="333333"/>
          <w:sz w:val="20"/>
          <w:szCs w:val="20"/>
          <w:rtl w:val="true"/>
        </w:rPr>
        <w:t>».</w:t>
      </w:r>
    </w:p>
  </w:footnote>
  <w:footnote w:id="4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متىٰ تاب بعد الكفر أو الفسق</w:t>
      </w:r>
      <w:r>
        <w:rPr>
          <w:rFonts w:eastAsia="IRNazanin" w:cs="IRNazanin"/>
          <w:b w:val="false"/>
          <w:bCs w:val="false"/>
          <w:i w:val="false"/>
          <w:iCs w:val="false"/>
          <w:color w:val="333333"/>
          <w:sz w:val="20"/>
          <w:szCs w:val="20"/>
          <w:rtl w:val="true"/>
        </w:rPr>
        <w:t>».</w:t>
      </w:r>
    </w:p>
  </w:footnote>
  <w:footnote w:id="4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يتناوله</w:t>
      </w:r>
      <w:r>
        <w:rPr>
          <w:rFonts w:eastAsia="IRNazanin" w:cs="IRNazanin"/>
          <w:b w:val="false"/>
          <w:bCs w:val="false"/>
          <w:i w:val="false"/>
          <w:iCs w:val="false"/>
          <w:color w:val="333333"/>
          <w:sz w:val="20"/>
          <w:szCs w:val="20"/>
          <w:rtl w:val="true"/>
        </w:rPr>
        <w:t>».</w:t>
      </w:r>
    </w:p>
  </w:footnote>
  <w:footnote w:id="4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4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آيات الوعد و الوعيد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آيات الوعيد</w:t>
      </w:r>
      <w:r>
        <w:rPr>
          <w:rFonts w:eastAsia="IRNazanin" w:cs="IRNazanin"/>
          <w:b w:val="false"/>
          <w:bCs w:val="false"/>
          <w:i w:val="false"/>
          <w:iCs w:val="false"/>
          <w:color w:val="333333"/>
          <w:sz w:val="20"/>
          <w:szCs w:val="20"/>
          <w:rtl w:val="true"/>
        </w:rPr>
        <w:t>».</w:t>
      </w:r>
    </w:p>
  </w:footnote>
  <w:footnote w:id="4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يقال</w:t>
      </w:r>
      <w:r>
        <w:rPr>
          <w:rFonts w:eastAsia="IRNazanin" w:cs="IRNazanin"/>
          <w:b w:val="false"/>
          <w:bCs w:val="false"/>
          <w:i w:val="false"/>
          <w:iCs w:val="false"/>
          <w:color w:val="333333"/>
          <w:sz w:val="20"/>
          <w:szCs w:val="20"/>
          <w:rtl w:val="true"/>
        </w:rPr>
        <w:t>».</w:t>
      </w:r>
    </w:p>
  </w:footnote>
  <w:footnote w:id="4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4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يقم</w:t>
      </w:r>
      <w:r>
        <w:rPr>
          <w:rFonts w:eastAsia="IRNazanin" w:cs="IRNazanin"/>
          <w:b w:val="false"/>
          <w:bCs w:val="false"/>
          <w:i w:val="false"/>
          <w:iCs w:val="false"/>
          <w:color w:val="333333"/>
          <w:sz w:val="20"/>
          <w:szCs w:val="20"/>
          <w:rtl w:val="true"/>
        </w:rPr>
        <w:t>».</w:t>
      </w:r>
    </w:p>
  </w:footnote>
  <w:footnote w:id="4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مستحقّة</w:t>
      </w:r>
      <w:r>
        <w:rPr>
          <w:rFonts w:eastAsia="IRNazanin" w:cs="IRNazanin"/>
          <w:b w:val="false"/>
          <w:bCs w:val="false"/>
          <w:i w:val="false"/>
          <w:iCs w:val="false"/>
          <w:color w:val="333333"/>
          <w:sz w:val="20"/>
          <w:szCs w:val="20"/>
          <w:rtl w:val="true"/>
        </w:rPr>
        <w:t>».</w:t>
      </w:r>
    </w:p>
  </w:footnote>
  <w:footnote w:id="4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4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كان ذلك فقد سلف نقضه</w:t>
      </w:r>
      <w:r>
        <w:rPr>
          <w:rFonts w:eastAsia="IRNazanin" w:cs="IRNazanin"/>
          <w:b w:val="false"/>
          <w:bCs w:val="false"/>
          <w:i w:val="false"/>
          <w:iCs w:val="false"/>
          <w:color w:val="333333"/>
          <w:sz w:val="20"/>
          <w:szCs w:val="20"/>
          <w:rtl w:val="true"/>
        </w:rPr>
        <w:t>».</w:t>
      </w:r>
    </w:p>
  </w:footnote>
  <w:footnote w:id="4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أيضاً بمشيئة اللّٰه تعالىٰ </w:t>
      </w:r>
      <w:r>
        <w:rPr>
          <w:rFonts w:eastAsia="IRNazanin" w:cs="IRNazanin"/>
          <w:b w:val="false"/>
          <w:bCs w:val="false"/>
          <w:i w:val="false"/>
          <w:iCs w:val="false"/>
          <w:color w:val="333333"/>
          <w:sz w:val="20"/>
          <w:szCs w:val="20"/>
          <w:rtl w:val="true"/>
        </w:rPr>
        <w:t>».</w:t>
      </w:r>
    </w:p>
  </w:footnote>
  <w:footnote w:id="4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يكون إليه تبليغ الرسالة و إقامة الحدود</w:t>
      </w:r>
      <w:r>
        <w:rPr>
          <w:rFonts w:eastAsia="IRNazanin" w:cs="IRNazanin"/>
          <w:b w:val="false"/>
          <w:bCs w:val="false"/>
          <w:i w:val="false"/>
          <w:iCs w:val="false"/>
          <w:color w:val="333333"/>
          <w:sz w:val="20"/>
          <w:szCs w:val="20"/>
          <w:rtl w:val="true"/>
        </w:rPr>
        <w:t>».</w:t>
      </w:r>
    </w:p>
  </w:footnote>
  <w:footnote w:id="4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محتملة</w:t>
      </w:r>
      <w:r>
        <w:rPr>
          <w:rFonts w:eastAsia="IRNazanin" w:cs="IRNazanin"/>
          <w:b w:val="false"/>
          <w:bCs w:val="false"/>
          <w:i w:val="false"/>
          <w:iCs w:val="false"/>
          <w:color w:val="333333"/>
          <w:sz w:val="20"/>
          <w:szCs w:val="20"/>
          <w:rtl w:val="true"/>
        </w:rPr>
        <w:t>».</w:t>
      </w:r>
    </w:p>
  </w:footnote>
  <w:footnote w:id="4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يصحّ </w:t>
      </w:r>
      <w:r>
        <w:rPr>
          <w:rFonts w:eastAsia="IRNazanin" w:cs="IRNazanin"/>
          <w:b w:val="false"/>
          <w:bCs w:val="false"/>
          <w:i w:val="false"/>
          <w:iCs w:val="false"/>
          <w:color w:val="333333"/>
          <w:sz w:val="20"/>
          <w:szCs w:val="20"/>
          <w:rtl w:val="true"/>
        </w:rPr>
        <w:t>».</w:t>
      </w:r>
    </w:p>
  </w:footnote>
  <w:footnote w:id="4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4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4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لفظة عهدي</w:t>
      </w:r>
      <w:r>
        <w:rPr>
          <w:rFonts w:eastAsia="IRNazanin" w:cs="IRNazanin"/>
          <w:b w:val="false"/>
          <w:bCs w:val="false"/>
          <w:i w:val="false"/>
          <w:iCs w:val="false"/>
          <w:color w:val="333333"/>
          <w:sz w:val="20"/>
          <w:szCs w:val="20"/>
          <w:rtl w:val="true"/>
        </w:rPr>
        <w:t>».</w:t>
      </w:r>
    </w:p>
  </w:footnote>
  <w:footnote w:id="4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4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p>
  </w:footnote>
  <w:footnote w:id="4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هذه الطريقة في كلام القاضي آنفاً</w:t>
      </w:r>
      <w:r>
        <w:rPr>
          <w:rFonts w:eastAsia="IRNazanin" w:cs="IRNazanin"/>
          <w:b w:val="false"/>
          <w:bCs w:val="false"/>
          <w:i w:val="false"/>
          <w:iCs w:val="false"/>
          <w:color w:val="333333"/>
          <w:sz w:val="20"/>
          <w:szCs w:val="20"/>
          <w:rtl w:val="true"/>
        </w:rPr>
        <w:t>.</w:t>
      </w:r>
    </w:p>
  </w:footnote>
  <w:footnote w:id="4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يحتمله</w:t>
      </w:r>
      <w:r>
        <w:rPr>
          <w:rFonts w:eastAsia="IRNazanin" w:cs="IRNazanin"/>
          <w:b w:val="false"/>
          <w:bCs w:val="false"/>
          <w:i w:val="false"/>
          <w:iCs w:val="false"/>
          <w:color w:val="333333"/>
          <w:sz w:val="20"/>
          <w:szCs w:val="20"/>
          <w:rtl w:val="true"/>
        </w:rPr>
        <w:t>».</w:t>
      </w:r>
    </w:p>
  </w:footnote>
  <w:footnote w:id="4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نعلم</w:t>
      </w:r>
      <w:r>
        <w:rPr>
          <w:rFonts w:eastAsia="IRNazanin" w:cs="IRNazanin"/>
          <w:b w:val="false"/>
          <w:bCs w:val="false"/>
          <w:i w:val="false"/>
          <w:iCs w:val="false"/>
          <w:color w:val="333333"/>
          <w:sz w:val="20"/>
          <w:szCs w:val="20"/>
          <w:rtl w:val="true"/>
        </w:rPr>
        <w:t>».</w:t>
      </w:r>
    </w:p>
  </w:footnote>
  <w:footnote w:id="4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4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يبيّن</w:t>
      </w:r>
      <w:r>
        <w:rPr>
          <w:rFonts w:eastAsia="IRNazanin" w:cs="IRNazanin"/>
          <w:b w:val="false"/>
          <w:bCs w:val="false"/>
          <w:i w:val="false"/>
          <w:iCs w:val="false"/>
          <w:color w:val="333333"/>
          <w:sz w:val="20"/>
          <w:szCs w:val="20"/>
          <w:rtl w:val="true"/>
        </w:rPr>
        <w:t>».</w:t>
      </w:r>
    </w:p>
  </w:footnote>
  <w:footnote w:id="4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4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تبطل به</w:t>
      </w:r>
      <w:r>
        <w:rPr>
          <w:rFonts w:eastAsia="IRNazanin" w:cs="IRNazanin"/>
          <w:b w:val="false"/>
          <w:bCs w:val="false"/>
          <w:i w:val="false"/>
          <w:iCs w:val="false"/>
          <w:color w:val="333333"/>
          <w:sz w:val="20"/>
          <w:szCs w:val="20"/>
          <w:rtl w:val="true"/>
        </w:rPr>
        <w:t>».</w:t>
      </w:r>
    </w:p>
  </w:footnote>
  <w:footnote w:id="4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بدّ من نصّ عليه 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النصّ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النصّ عليه</w:t>
      </w:r>
      <w:r>
        <w:rPr>
          <w:rFonts w:eastAsia="IRNazanin" w:cs="IRNazanin"/>
          <w:b w:val="false"/>
          <w:bCs w:val="false"/>
          <w:i w:val="false"/>
          <w:iCs w:val="false"/>
          <w:color w:val="333333"/>
          <w:sz w:val="20"/>
          <w:szCs w:val="20"/>
          <w:rtl w:val="true"/>
        </w:rPr>
        <w:t>».</w:t>
      </w:r>
    </w:p>
  </w:footnote>
  <w:footnote w:id="4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أعظم الأُمور و أركان الدين</w:t>
      </w:r>
      <w:r>
        <w:rPr>
          <w:rFonts w:eastAsia="IRNazanin" w:cs="IRNazanin"/>
          <w:b w:val="false"/>
          <w:bCs w:val="false"/>
          <w:i w:val="false"/>
          <w:iCs w:val="false"/>
          <w:color w:val="333333"/>
          <w:sz w:val="20"/>
          <w:szCs w:val="20"/>
          <w:rtl w:val="true"/>
        </w:rPr>
        <w:t>».</w:t>
      </w:r>
    </w:p>
  </w:footnote>
  <w:footnote w:id="4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تعلم</w:t>
      </w:r>
      <w:r>
        <w:rPr>
          <w:rFonts w:eastAsia="IRNazanin" w:cs="IRNazanin"/>
          <w:b w:val="false"/>
          <w:bCs w:val="false"/>
          <w:i w:val="false"/>
          <w:iCs w:val="false"/>
          <w:color w:val="333333"/>
          <w:sz w:val="20"/>
          <w:szCs w:val="20"/>
          <w:rtl w:val="true"/>
        </w:rPr>
        <w:t>».</w:t>
      </w:r>
    </w:p>
  </w:footnote>
  <w:footnote w:id="4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 الحسين</w:t>
      </w:r>
      <w:r>
        <w:rPr>
          <w:rFonts w:eastAsia="IRNazanin" w:cs="IRNazanin"/>
          <w:b w:val="false"/>
          <w:bCs w:val="false"/>
          <w:i w:val="false"/>
          <w:iCs w:val="false"/>
          <w:color w:val="333333"/>
          <w:sz w:val="20"/>
          <w:szCs w:val="20"/>
          <w:rtl w:val="true"/>
        </w:rPr>
        <w:t>».</w:t>
      </w:r>
    </w:p>
  </w:footnote>
  <w:footnote w:id="4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يمكنهم ذكرها</w:t>
      </w:r>
      <w:r>
        <w:rPr>
          <w:rFonts w:eastAsia="IRNazanin" w:cs="IRNazanin"/>
          <w:b w:val="false"/>
          <w:bCs w:val="false"/>
          <w:i w:val="false"/>
          <w:iCs w:val="false"/>
          <w:color w:val="333333"/>
          <w:sz w:val="20"/>
          <w:szCs w:val="20"/>
          <w:rtl w:val="true"/>
        </w:rPr>
        <w:t>».</w:t>
      </w:r>
    </w:p>
  </w:footnote>
  <w:footnote w:id="4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دلّت لم تدلّ </w:t>
      </w:r>
      <w:r>
        <w:rPr>
          <w:rFonts w:eastAsia="IRNazanin" w:cs="IRNazanin"/>
          <w:b w:val="false"/>
          <w:bCs w:val="false"/>
          <w:i w:val="false"/>
          <w:iCs w:val="false"/>
          <w:color w:val="333333"/>
          <w:sz w:val="20"/>
          <w:szCs w:val="20"/>
          <w:rtl w:val="true"/>
        </w:rPr>
        <w:t>».</w:t>
      </w:r>
    </w:p>
  </w:footnote>
  <w:footnote w:id="4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 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 متوازية</w:t>
      </w:r>
      <w:r>
        <w:rPr>
          <w:rFonts w:eastAsia="IRNazanin" w:cs="IRNazanin"/>
          <w:b w:val="false"/>
          <w:bCs w:val="false"/>
          <w:i w:val="false"/>
          <w:iCs w:val="false"/>
          <w:color w:val="333333"/>
          <w:sz w:val="20"/>
          <w:szCs w:val="20"/>
          <w:rtl w:val="true"/>
        </w:rPr>
        <w:t>».</w:t>
      </w:r>
    </w:p>
  </w:footnote>
  <w:footnote w:id="4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لان صحّ ذلك</w:t>
      </w:r>
      <w:r>
        <w:rPr>
          <w:rFonts w:eastAsia="IRNazanin" w:cs="IRNazanin"/>
          <w:b w:val="false"/>
          <w:bCs w:val="false"/>
          <w:i w:val="false"/>
          <w:iCs w:val="false"/>
          <w:color w:val="333333"/>
          <w:sz w:val="20"/>
          <w:szCs w:val="20"/>
          <w:rtl w:val="true"/>
        </w:rPr>
        <w:t>».</w:t>
      </w:r>
    </w:p>
  </w:footnote>
  <w:footnote w:id="4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p>
  </w:footnote>
  <w:footnote w:id="4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4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يحصل</w:t>
      </w:r>
      <w:r>
        <w:rPr>
          <w:rFonts w:eastAsia="IRNazanin" w:cs="IRNazanin"/>
          <w:b w:val="false"/>
          <w:bCs w:val="false"/>
          <w:i w:val="false"/>
          <w:iCs w:val="false"/>
          <w:color w:val="333333"/>
          <w:sz w:val="20"/>
          <w:szCs w:val="20"/>
          <w:rtl w:val="true"/>
        </w:rPr>
        <w:t>».</w:t>
      </w:r>
    </w:p>
  </w:footnote>
  <w:footnote w:id="4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غيبة الإمام</w:t>
      </w:r>
      <w:r>
        <w:rPr>
          <w:rFonts w:eastAsia="IRNazanin" w:cs="IRNazanin"/>
          <w:b w:val="false"/>
          <w:bCs w:val="false"/>
          <w:i w:val="false"/>
          <w:iCs w:val="false"/>
          <w:color w:val="333333"/>
          <w:sz w:val="20"/>
          <w:szCs w:val="20"/>
          <w:rtl w:val="true"/>
        </w:rPr>
        <w:t>».</w:t>
      </w:r>
    </w:p>
  </w:footnote>
  <w:footnote w:id="4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في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4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مذاهبهم</w:t>
      </w:r>
      <w:r>
        <w:rPr>
          <w:rFonts w:eastAsia="IRNazanin" w:cs="IRNazanin"/>
          <w:b w:val="false"/>
          <w:bCs w:val="false"/>
          <w:i w:val="false"/>
          <w:iCs w:val="false"/>
          <w:color w:val="333333"/>
          <w:sz w:val="20"/>
          <w:szCs w:val="20"/>
          <w:rtl w:val="true"/>
        </w:rPr>
        <w:t>».</w:t>
      </w:r>
    </w:p>
  </w:footnote>
  <w:footnote w:id="4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w:t>
      </w:r>
    </w:p>
  </w:footnote>
  <w:footnote w:id="4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ادّعاء</w:t>
      </w:r>
      <w:r>
        <w:rPr>
          <w:rFonts w:eastAsia="IRNazanin" w:cs="IRNazanin"/>
          <w:b w:val="false"/>
          <w:bCs w:val="false"/>
          <w:i w:val="false"/>
          <w:iCs w:val="false"/>
          <w:color w:val="333333"/>
          <w:sz w:val="20"/>
          <w:szCs w:val="20"/>
          <w:rtl w:val="true"/>
        </w:rPr>
        <w:t>».</w:t>
      </w:r>
    </w:p>
  </w:footnote>
  <w:footnote w:id="4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الرسل</w:t>
      </w:r>
      <w:r>
        <w:rPr>
          <w:rFonts w:eastAsia="IRNazanin" w:cs="IRNazanin"/>
          <w:b w:val="false"/>
          <w:bCs w:val="false"/>
          <w:i w:val="false"/>
          <w:iCs w:val="false"/>
          <w:color w:val="333333"/>
          <w:sz w:val="20"/>
          <w:szCs w:val="20"/>
          <w:rtl w:val="true"/>
        </w:rPr>
        <w:t>».</w:t>
      </w:r>
    </w:p>
  </w:footnote>
  <w:footnote w:id="4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مجراهما</w:t>
      </w:r>
      <w:r>
        <w:rPr>
          <w:rFonts w:eastAsia="IRNazanin" w:cs="IRNazanin"/>
          <w:b w:val="false"/>
          <w:bCs w:val="false"/>
          <w:i w:val="false"/>
          <w:iCs w:val="false"/>
          <w:color w:val="333333"/>
          <w:sz w:val="20"/>
          <w:szCs w:val="20"/>
          <w:rtl w:val="true"/>
        </w:rPr>
        <w:t>».</w:t>
      </w:r>
    </w:p>
  </w:footnote>
  <w:footnote w:id="4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4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يذكر من الحجج علىٰ ذلك</w:t>
      </w:r>
      <w:r>
        <w:rPr>
          <w:rFonts w:eastAsia="IRNazanin" w:cs="IRNazanin"/>
          <w:b w:val="false"/>
          <w:bCs w:val="false"/>
          <w:i w:val="false"/>
          <w:iCs w:val="false"/>
          <w:color w:val="333333"/>
          <w:sz w:val="20"/>
          <w:szCs w:val="20"/>
          <w:rtl w:val="true"/>
        </w:rPr>
        <w:t>».</w:t>
      </w:r>
    </w:p>
  </w:footnote>
  <w:footnote w:id="4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4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زماننا</w:t>
      </w:r>
      <w:r>
        <w:rPr>
          <w:rFonts w:eastAsia="IRNazanin" w:cs="IRNazanin"/>
          <w:b w:val="false"/>
          <w:bCs w:val="false"/>
          <w:i w:val="false"/>
          <w:iCs w:val="false"/>
          <w:color w:val="333333"/>
          <w:sz w:val="20"/>
          <w:szCs w:val="20"/>
          <w:rtl w:val="true"/>
        </w:rPr>
        <w:t>».</w:t>
      </w:r>
    </w:p>
  </w:footnote>
  <w:footnote w:id="4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4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يذكر</w:t>
      </w:r>
      <w:r>
        <w:rPr>
          <w:rFonts w:eastAsia="IRNazanin" w:cs="IRNazanin"/>
          <w:b w:val="false"/>
          <w:bCs w:val="false"/>
          <w:i w:val="false"/>
          <w:iCs w:val="false"/>
          <w:color w:val="333333"/>
          <w:sz w:val="20"/>
          <w:szCs w:val="20"/>
          <w:rtl w:val="true"/>
        </w:rPr>
        <w:t>».</w:t>
      </w:r>
    </w:p>
  </w:footnote>
  <w:footnote w:id="4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نتعلّق به</w:t>
      </w:r>
      <w:r>
        <w:rPr>
          <w:rFonts w:eastAsia="IRNazanin" w:cs="IRNazanin"/>
          <w:b w:val="false"/>
          <w:bCs w:val="false"/>
          <w:i w:val="false"/>
          <w:iCs w:val="false"/>
          <w:color w:val="333333"/>
          <w:sz w:val="20"/>
          <w:szCs w:val="20"/>
          <w:rtl w:val="true"/>
        </w:rPr>
        <w:t>».</w:t>
      </w:r>
    </w:p>
  </w:footnote>
  <w:footnote w:id="4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يتعاطىٰ </w:t>
      </w:r>
      <w:r>
        <w:rPr>
          <w:rFonts w:eastAsia="IRNazanin" w:cs="IRNazanin"/>
          <w:b w:val="false"/>
          <w:bCs w:val="false"/>
          <w:i w:val="false"/>
          <w:iCs w:val="false"/>
          <w:color w:val="333333"/>
          <w:sz w:val="20"/>
          <w:szCs w:val="20"/>
          <w:rtl w:val="true"/>
        </w:rPr>
        <w:t>».</w:t>
      </w:r>
    </w:p>
  </w:footnote>
  <w:footnote w:id="4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يحكم</w:t>
      </w:r>
      <w:r>
        <w:rPr>
          <w:rFonts w:eastAsia="IRNazanin" w:cs="IRNazanin"/>
          <w:b w:val="false"/>
          <w:bCs w:val="false"/>
          <w:i w:val="false"/>
          <w:iCs w:val="false"/>
          <w:color w:val="333333"/>
          <w:sz w:val="20"/>
          <w:szCs w:val="20"/>
          <w:rtl w:val="true"/>
        </w:rPr>
        <w:t>».</w:t>
      </w:r>
    </w:p>
  </w:footnote>
  <w:footnote w:id="4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4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مجراهما</w:t>
      </w:r>
      <w:r>
        <w:rPr>
          <w:rFonts w:eastAsia="IRNazanin" w:cs="IRNazanin"/>
          <w:b w:val="false"/>
          <w:bCs w:val="false"/>
          <w:i w:val="false"/>
          <w:iCs w:val="false"/>
          <w:color w:val="333333"/>
          <w:sz w:val="20"/>
          <w:szCs w:val="20"/>
          <w:rtl w:val="true"/>
        </w:rPr>
        <w:t>».</w:t>
      </w:r>
    </w:p>
  </w:footnote>
  <w:footnote w:id="4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قطع العناد</w:t>
      </w:r>
      <w:r>
        <w:rPr>
          <w:rFonts w:eastAsia="IRNazanin" w:cs="IRNazanin"/>
          <w:b w:val="false"/>
          <w:bCs w:val="false"/>
          <w:i w:val="false"/>
          <w:iCs w:val="false"/>
          <w:color w:val="333333"/>
          <w:sz w:val="20"/>
          <w:szCs w:val="20"/>
          <w:rtl w:val="true"/>
        </w:rPr>
        <w:t>».</w:t>
      </w:r>
    </w:p>
  </w:footnote>
  <w:footnote w:id="4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التمكين</w:t>
      </w:r>
      <w:r>
        <w:rPr>
          <w:rFonts w:eastAsia="IRNazanin" w:cs="IRNazanin"/>
          <w:b w:val="false"/>
          <w:bCs w:val="false"/>
          <w:i w:val="false"/>
          <w:iCs w:val="false"/>
          <w:color w:val="333333"/>
          <w:sz w:val="20"/>
          <w:szCs w:val="20"/>
          <w:rtl w:val="true"/>
        </w:rPr>
        <w:t>».</w:t>
      </w:r>
    </w:p>
  </w:footnote>
  <w:footnote w:id="4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يجري مجراه في الحجّة</w:t>
      </w:r>
      <w:r>
        <w:rPr>
          <w:rFonts w:eastAsia="IRNazanin" w:cs="IRNazanin"/>
          <w:b w:val="false"/>
          <w:bCs w:val="false"/>
          <w:i w:val="false"/>
          <w:iCs w:val="false"/>
          <w:color w:val="333333"/>
          <w:sz w:val="20"/>
          <w:szCs w:val="20"/>
          <w:rtl w:val="true"/>
        </w:rPr>
        <w:t>».</w:t>
      </w:r>
    </w:p>
  </w:footnote>
  <w:footnote w:id="4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تسلم</w:t>
      </w:r>
      <w:r>
        <w:rPr>
          <w:rFonts w:eastAsia="IRNazanin" w:cs="IRNazanin"/>
          <w:b w:val="false"/>
          <w:bCs w:val="false"/>
          <w:i w:val="false"/>
          <w:iCs w:val="false"/>
          <w:color w:val="333333"/>
          <w:sz w:val="20"/>
          <w:szCs w:val="20"/>
          <w:rtl w:val="true"/>
        </w:rPr>
        <w:t>».</w:t>
      </w:r>
    </w:p>
  </w:footnote>
  <w:footnote w:id="4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ترويه</w:t>
      </w:r>
      <w:r>
        <w:rPr>
          <w:rFonts w:eastAsia="IRNazanin" w:cs="IRNazanin"/>
          <w:b w:val="false"/>
          <w:bCs w:val="false"/>
          <w:i w:val="false"/>
          <w:iCs w:val="false"/>
          <w:color w:val="333333"/>
          <w:sz w:val="20"/>
          <w:szCs w:val="20"/>
          <w:rtl w:val="true"/>
        </w:rPr>
        <w:t>».</w:t>
      </w:r>
    </w:p>
  </w:footnote>
  <w:footnote w:id="4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الدار و يسمّىٰ يوم الإنذار أيضاً، و المراد بالدار دار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ذلك لمّا أنزل اللّٰه تعالىٰ علىٰ نبيّه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أَنْذِرْ عَشِيرَتَكَ الْأَقْرَبِينَ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فدعاهم صلّى اللّٰه عليه و آله إلىٰ دار عمّه أبي طالب، و هم يومئذ أربعون رجلاً</w:t>
      </w:r>
    </w:p>
  </w:footnote>
  <w:footnote w:id="4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فيها ما يختصّ الشيعة بنقلها فلا يشركها فيها مخالفها</w:t>
      </w:r>
      <w:r>
        <w:rPr>
          <w:rFonts w:eastAsia="IRNazanin" w:cs="IRNazanin"/>
          <w:b w:val="false"/>
          <w:bCs w:val="false"/>
          <w:i w:val="false"/>
          <w:iCs w:val="false"/>
          <w:color w:val="333333"/>
          <w:sz w:val="20"/>
          <w:szCs w:val="20"/>
          <w:rtl w:val="true"/>
        </w:rPr>
        <w:t>».</w:t>
      </w:r>
    </w:p>
  </w:footnote>
  <w:footnote w:id="4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القسم الأخير</w:t>
      </w:r>
      <w:r>
        <w:rPr>
          <w:rFonts w:eastAsia="IRNazanin" w:cs="IRNazanin"/>
          <w:b w:val="false"/>
          <w:bCs w:val="false"/>
          <w:i w:val="false"/>
          <w:iCs w:val="false"/>
          <w:color w:val="333333"/>
          <w:sz w:val="20"/>
          <w:szCs w:val="20"/>
          <w:rtl w:val="true"/>
        </w:rPr>
        <w:t>.</w:t>
      </w:r>
    </w:p>
  </w:footnote>
  <w:footnote w:id="4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p>
  </w:footnote>
  <w:footnote w:id="4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4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تفصيلاً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مفصّلاً</w:t>
      </w:r>
      <w:r>
        <w:rPr>
          <w:rFonts w:eastAsia="IRNazanin" w:cs="IRNazanin"/>
          <w:b w:val="false"/>
          <w:bCs w:val="false"/>
          <w:i w:val="false"/>
          <w:iCs w:val="false"/>
          <w:color w:val="333333"/>
          <w:sz w:val="20"/>
          <w:szCs w:val="20"/>
          <w:rtl w:val="true"/>
        </w:rPr>
        <w:t>».</w:t>
      </w:r>
    </w:p>
  </w:footnote>
  <w:footnote w:id="4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بأعدادهم</w:t>
      </w:r>
      <w:r>
        <w:rPr>
          <w:rFonts w:eastAsia="IRNazanin" w:cs="IRNazanin"/>
          <w:b w:val="false"/>
          <w:bCs w:val="false"/>
          <w:i w:val="false"/>
          <w:iCs w:val="false"/>
          <w:color w:val="333333"/>
          <w:sz w:val="20"/>
          <w:szCs w:val="20"/>
          <w:rtl w:val="true"/>
        </w:rPr>
        <w:t>».</w:t>
      </w:r>
    </w:p>
  </w:footnote>
  <w:footnote w:id="4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p>
  </w:footnote>
  <w:footnote w:id="4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4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4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الكافي للكليني،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إثبات الهداة بالنصوص و المعجزات للحرّ العاملي، و غيرها</w:t>
      </w:r>
      <w:r>
        <w:rPr>
          <w:rFonts w:eastAsia="IRNazanin" w:cs="IRNazanin"/>
          <w:b w:val="false"/>
          <w:bCs w:val="false"/>
          <w:i w:val="false"/>
          <w:iCs w:val="false"/>
          <w:color w:val="333333"/>
          <w:sz w:val="20"/>
          <w:szCs w:val="20"/>
          <w:rtl w:val="true"/>
        </w:rPr>
        <w:t>.</w:t>
      </w:r>
    </w:p>
  </w:footnote>
  <w:footnote w:id="4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يمكن</w:t>
      </w:r>
      <w:r>
        <w:rPr>
          <w:rFonts w:eastAsia="IRNazanin" w:cs="IRNazanin"/>
          <w:b w:val="false"/>
          <w:bCs w:val="false"/>
          <w:i w:val="false"/>
          <w:iCs w:val="false"/>
          <w:color w:val="333333"/>
          <w:sz w:val="20"/>
          <w:szCs w:val="20"/>
          <w:rtl w:val="true"/>
        </w:rPr>
        <w:t>».</w:t>
      </w:r>
    </w:p>
  </w:footnote>
  <w:footnote w:id="4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شيء</w:t>
      </w:r>
      <w:r>
        <w:rPr>
          <w:rFonts w:eastAsia="IRNazanin" w:cs="IRNazanin"/>
          <w:b w:val="false"/>
          <w:bCs w:val="false"/>
          <w:i w:val="false"/>
          <w:iCs w:val="false"/>
          <w:color w:val="333333"/>
          <w:sz w:val="20"/>
          <w:szCs w:val="20"/>
          <w:rtl w:val="true"/>
        </w:rPr>
        <w:t>».</w:t>
      </w:r>
    </w:p>
  </w:footnote>
  <w:footnote w:id="4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سلفه</w:t>
      </w:r>
      <w:r>
        <w:rPr>
          <w:rFonts w:eastAsia="IRNazanin" w:cs="IRNazanin"/>
          <w:b w:val="false"/>
          <w:bCs w:val="false"/>
          <w:i w:val="false"/>
          <w:iCs w:val="false"/>
          <w:color w:val="333333"/>
          <w:sz w:val="20"/>
          <w:szCs w:val="20"/>
          <w:rtl w:val="true"/>
        </w:rPr>
        <w:t>».</w:t>
      </w:r>
    </w:p>
  </w:footnote>
  <w:footnote w:id="4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صحّة</w:t>
      </w:r>
      <w:r>
        <w:rPr>
          <w:rFonts w:eastAsia="IRNazanin" w:cs="IRNazanin"/>
          <w:b w:val="false"/>
          <w:bCs w:val="false"/>
          <w:i w:val="false"/>
          <w:iCs w:val="false"/>
          <w:color w:val="333333"/>
          <w:sz w:val="20"/>
          <w:szCs w:val="20"/>
          <w:rtl w:val="true"/>
        </w:rPr>
        <w:t>».</w:t>
      </w:r>
    </w:p>
  </w:footnote>
  <w:footnote w:id="4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الإيرادات</w:t>
      </w:r>
      <w:r>
        <w:rPr>
          <w:rFonts w:eastAsia="IRNazanin" w:cs="IRNazanin"/>
          <w:b w:val="false"/>
          <w:bCs w:val="false"/>
          <w:i w:val="false"/>
          <w:iCs w:val="false"/>
          <w:color w:val="333333"/>
          <w:sz w:val="20"/>
          <w:szCs w:val="20"/>
          <w:rtl w:val="true"/>
        </w:rPr>
        <w:t>».</w:t>
      </w:r>
    </w:p>
  </w:footnote>
  <w:footnote w:id="4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w:t>
      </w:r>
    </w:p>
  </w:footnote>
  <w:footnote w:id="4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4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4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نعتمد</w:t>
      </w:r>
      <w:r>
        <w:rPr>
          <w:rFonts w:eastAsia="IRNazanin" w:cs="IRNazanin"/>
          <w:b w:val="false"/>
          <w:bCs w:val="false"/>
          <w:i w:val="false"/>
          <w:iCs w:val="false"/>
          <w:color w:val="333333"/>
          <w:sz w:val="20"/>
          <w:szCs w:val="20"/>
          <w:rtl w:val="true"/>
        </w:rPr>
        <w:t>».</w:t>
      </w:r>
    </w:p>
  </w:footnote>
  <w:footnote w:id="4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 البناء</w:t>
      </w:r>
      <w:r>
        <w:rPr>
          <w:rFonts w:eastAsia="IRNazanin" w:cs="IRNazanin"/>
          <w:b w:val="false"/>
          <w:bCs w:val="false"/>
          <w:i w:val="false"/>
          <w:iCs w:val="false"/>
          <w:color w:val="333333"/>
          <w:sz w:val="20"/>
          <w:szCs w:val="20"/>
          <w:rtl w:val="true"/>
        </w:rPr>
        <w:t>».</w:t>
      </w:r>
    </w:p>
  </w:footnote>
  <w:footnote w:id="4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 جنبه</w:t>
      </w:r>
      <w:r>
        <w:rPr>
          <w:rFonts w:eastAsia="IRNazanin" w:cs="IRNazanin"/>
          <w:b w:val="false"/>
          <w:bCs w:val="false"/>
          <w:i w:val="false"/>
          <w:iCs w:val="false"/>
          <w:color w:val="333333"/>
          <w:sz w:val="20"/>
          <w:szCs w:val="20"/>
          <w:rtl w:val="true"/>
        </w:rPr>
        <w:t>».</w:t>
      </w:r>
    </w:p>
  </w:footnote>
  <w:footnote w:id="4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الأدلّة</w:t>
      </w:r>
      <w:r>
        <w:rPr>
          <w:rFonts w:eastAsia="IRNazanin" w:cs="IRNazanin"/>
          <w:b w:val="false"/>
          <w:bCs w:val="false"/>
          <w:i w:val="false"/>
          <w:iCs w:val="false"/>
          <w:color w:val="333333"/>
          <w:sz w:val="20"/>
          <w:szCs w:val="20"/>
          <w:rtl w:val="true"/>
        </w:rPr>
        <w:t>».</w:t>
      </w:r>
    </w:p>
  </w:footnote>
  <w:footnote w:id="4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4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يفترقون</w:t>
      </w:r>
      <w:r>
        <w:rPr>
          <w:rFonts w:eastAsia="IRNazanin" w:cs="IRNazanin"/>
          <w:b w:val="false"/>
          <w:bCs w:val="false"/>
          <w:i w:val="false"/>
          <w:iCs w:val="false"/>
          <w:color w:val="333333"/>
          <w:sz w:val="20"/>
          <w:szCs w:val="20"/>
          <w:rtl w:val="true"/>
        </w:rPr>
        <w:t>».</w:t>
      </w:r>
    </w:p>
  </w:footnote>
  <w:footnote w:id="4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4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مجاهرته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فسقه</w:t>
      </w:r>
      <w:r>
        <w:rPr>
          <w:rFonts w:eastAsia="IRNazanin" w:cs="IRNazanin"/>
          <w:b w:val="false"/>
          <w:bCs w:val="false"/>
          <w:i w:val="false"/>
          <w:iCs w:val="false"/>
          <w:color w:val="333333"/>
          <w:sz w:val="20"/>
          <w:szCs w:val="20"/>
          <w:rtl w:val="true"/>
        </w:rPr>
        <w:t>».</w:t>
      </w:r>
    </w:p>
  </w:footnote>
  <w:footnote w:id="4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w:t>
      </w:r>
    </w:p>
  </w:footnote>
  <w:footnote w:id="4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الفرقة التي ساقت الإمامة بعد أمير المؤمنين عليه السلام إلى ابنه محمّد بن الحنفيّة مباشرة، و سمّاها البعض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الرزاميّة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رِزام بن رِزام، و هي إحدىٰ فرق الكيسانيّة التي قالت كلّها بإمامة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شاهدوا محمّداً رحمه اللّٰه في جميع أحواله بعد أمير المؤمنين عليه السلام راجعاً إليهما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بيّنّا مقولة محمّد رحمه اللّٰه في جميع أحواله بعد أمير المؤمنين عليه السلام راجعاً إليهما</w:t>
      </w:r>
      <w:r>
        <w:rPr>
          <w:rFonts w:eastAsia="IRNazanin" w:cs="IRNazanin"/>
          <w:b w:val="false"/>
          <w:bCs w:val="false"/>
          <w:i w:val="false"/>
          <w:iCs w:val="false"/>
          <w:color w:val="333333"/>
          <w:sz w:val="20"/>
          <w:szCs w:val="20"/>
          <w:rtl w:val="true"/>
        </w:rPr>
        <w:t>».</w:t>
      </w:r>
    </w:p>
  </w:footnote>
  <w:footnote w:id="4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الفضل و العلم</w:t>
      </w:r>
      <w:r>
        <w:rPr>
          <w:rFonts w:eastAsia="IRNazanin" w:cs="IRNazanin"/>
          <w:b w:val="false"/>
          <w:bCs w:val="false"/>
          <w:i w:val="false"/>
          <w:iCs w:val="false"/>
          <w:color w:val="333333"/>
          <w:sz w:val="20"/>
          <w:szCs w:val="20"/>
          <w:rtl w:val="true"/>
        </w:rPr>
        <w:t>».</w:t>
      </w:r>
    </w:p>
  </w:footnote>
  <w:footnote w:id="4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يخفىٰ </w:t>
      </w:r>
      <w:r>
        <w:rPr>
          <w:rFonts w:eastAsia="IRNazanin" w:cs="IRNazanin"/>
          <w:b w:val="false"/>
          <w:bCs w:val="false"/>
          <w:i w:val="false"/>
          <w:iCs w:val="false"/>
          <w:color w:val="333333"/>
          <w:sz w:val="20"/>
          <w:szCs w:val="20"/>
          <w:rtl w:val="true"/>
        </w:rPr>
        <w:t>».</w:t>
      </w:r>
    </w:p>
  </w:footnote>
  <w:footnote w:id="4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4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التقيّة عنه منهما</w:t>
      </w:r>
      <w:r>
        <w:rPr>
          <w:rFonts w:eastAsia="IRNazanin" w:cs="IRNazanin"/>
          <w:b w:val="false"/>
          <w:bCs w:val="false"/>
          <w:i w:val="false"/>
          <w:iCs w:val="false"/>
          <w:color w:val="333333"/>
          <w:sz w:val="20"/>
          <w:szCs w:val="20"/>
          <w:rtl w:val="true"/>
        </w:rPr>
        <w:t>».</w:t>
      </w:r>
    </w:p>
  </w:footnote>
  <w:footnote w:id="4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p>
  </w:footnote>
  <w:footnote w:id="4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ادّعىٰ بعضهم أنّها كانت بعد أخويه له</w:t>
      </w:r>
      <w:r>
        <w:rPr>
          <w:rFonts w:eastAsia="IRNazanin" w:cs="IRNazanin"/>
          <w:b w:val="false"/>
          <w:bCs w:val="false"/>
          <w:i w:val="false"/>
          <w:iCs w:val="false"/>
          <w:color w:val="333333"/>
          <w:sz w:val="20"/>
          <w:szCs w:val="20"/>
          <w:rtl w:val="true"/>
        </w:rPr>
        <w:t>».</w:t>
      </w:r>
    </w:p>
  </w:footnote>
  <w:footnote w:id="4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 آنفاً</w:t>
      </w:r>
      <w:r>
        <w:rPr>
          <w:rFonts w:eastAsia="IRNazanin" w:cs="IRNazanin"/>
          <w:b w:val="false"/>
          <w:bCs w:val="false"/>
          <w:i w:val="false"/>
          <w:iCs w:val="false"/>
          <w:color w:val="333333"/>
          <w:sz w:val="20"/>
          <w:szCs w:val="20"/>
          <w:rtl w:val="true"/>
        </w:rPr>
        <w:t>.</w:t>
      </w:r>
    </w:p>
  </w:footnote>
  <w:footnote w:id="4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رأينا</w:t>
      </w:r>
      <w:r>
        <w:rPr>
          <w:rFonts w:eastAsia="IRNazanin" w:cs="IRNazanin"/>
          <w:b w:val="false"/>
          <w:bCs w:val="false"/>
          <w:i w:val="false"/>
          <w:iCs w:val="false"/>
          <w:color w:val="333333"/>
          <w:sz w:val="20"/>
          <w:szCs w:val="20"/>
          <w:rtl w:val="true"/>
        </w:rPr>
        <w:t>».</w:t>
      </w:r>
    </w:p>
  </w:footnote>
  <w:footnote w:id="4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ينقرض</w:t>
      </w:r>
      <w:r>
        <w:rPr>
          <w:rFonts w:eastAsia="IRNazanin" w:cs="IRNazanin"/>
          <w:b w:val="false"/>
          <w:bCs w:val="false"/>
          <w:i w:val="false"/>
          <w:iCs w:val="false"/>
          <w:color w:val="333333"/>
          <w:sz w:val="20"/>
          <w:szCs w:val="20"/>
          <w:rtl w:val="true"/>
        </w:rPr>
        <w:t>».</w:t>
      </w:r>
    </w:p>
  </w:footnote>
  <w:footnote w:id="4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قائل به</w:t>
      </w:r>
      <w:r>
        <w:rPr>
          <w:rFonts w:eastAsia="IRNazanin" w:cs="IRNazanin"/>
          <w:b w:val="false"/>
          <w:bCs w:val="false"/>
          <w:i w:val="false"/>
          <w:iCs w:val="false"/>
          <w:color w:val="333333"/>
          <w:sz w:val="20"/>
          <w:szCs w:val="20"/>
          <w:rtl w:val="true"/>
        </w:rPr>
        <w:t>».</w:t>
      </w:r>
    </w:p>
  </w:footnote>
  <w:footnote w:id="4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4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كالمعتزلة، و منهم القاضي عبد الجبّار، فقد أثبت إمامة الإمام الحسن عليه السلام ببيعة فريق من الناس له بعد موت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يفسد بما ذكرنا و دلّلنا عليه</w:t>
      </w:r>
      <w:r>
        <w:rPr>
          <w:rFonts w:eastAsia="IRNazanin" w:cs="IRNazanin"/>
          <w:b w:val="false"/>
          <w:bCs w:val="false"/>
          <w:i w:val="false"/>
          <w:iCs w:val="false"/>
          <w:color w:val="333333"/>
          <w:sz w:val="20"/>
          <w:szCs w:val="20"/>
          <w:rtl w:val="true"/>
        </w:rPr>
        <w:t>».</w:t>
      </w:r>
    </w:p>
  </w:footnote>
  <w:footnote w:id="4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المتين</w:t>
      </w:r>
      <w:r>
        <w:rPr>
          <w:rFonts w:eastAsia="IRNazanin" w:cs="IRNazanin"/>
          <w:b w:val="false"/>
          <w:bCs w:val="false"/>
          <w:i w:val="false"/>
          <w:iCs w:val="false"/>
          <w:color w:val="333333"/>
          <w:sz w:val="20"/>
          <w:szCs w:val="20"/>
          <w:rtl w:val="true"/>
        </w:rPr>
        <w:t>».</w:t>
      </w:r>
    </w:p>
  </w:footnote>
  <w:footnote w:id="4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تتبّعت</w:t>
      </w:r>
      <w:r>
        <w:rPr>
          <w:rFonts w:eastAsia="IRNazanin" w:cs="IRNazanin"/>
          <w:b w:val="false"/>
          <w:bCs w:val="false"/>
          <w:i w:val="false"/>
          <w:iCs w:val="false"/>
          <w:color w:val="333333"/>
          <w:sz w:val="20"/>
          <w:szCs w:val="20"/>
          <w:rtl w:val="true"/>
        </w:rPr>
        <w:t>».</w:t>
      </w:r>
    </w:p>
  </w:footnote>
  <w:footnote w:id="4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مستقيماً مستوياً، أو واضحاً،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طريق 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مستوياً لاحَدَب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الطراز،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4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4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ينفي وجوبها بصفات الأئمّة</w:t>
      </w:r>
      <w:r>
        <w:rPr>
          <w:rFonts w:eastAsia="IRNazanin" w:cs="IRNazanin"/>
          <w:b w:val="false"/>
          <w:bCs w:val="false"/>
          <w:i w:val="false"/>
          <w:iCs w:val="false"/>
          <w:color w:val="333333"/>
          <w:sz w:val="20"/>
          <w:szCs w:val="20"/>
          <w:rtl w:val="true"/>
        </w:rPr>
        <w:t>».</w:t>
      </w:r>
    </w:p>
  </w:footnote>
  <w:footnote w:id="4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4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إشارة إلىٰ قول الواقفة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سوف يأتي تصريح المصنّف رحمه اللّٰه بذلك بعد قليل</w:t>
      </w:r>
      <w:r>
        <w:rPr>
          <w:rFonts w:eastAsia="IRNazanin" w:cs="IRNazanin"/>
          <w:b w:val="false"/>
          <w:bCs w:val="false"/>
          <w:i w:val="false"/>
          <w:iCs w:val="false"/>
          <w:color w:val="333333"/>
          <w:sz w:val="20"/>
          <w:szCs w:val="20"/>
          <w:rtl w:val="true"/>
        </w:rPr>
        <w:t>.</w:t>
      </w:r>
    </w:p>
  </w:footnote>
  <w:footnote w:id="4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المعجز</w:t>
      </w:r>
      <w:r>
        <w:rPr>
          <w:rFonts w:eastAsia="IRNazanin" w:cs="IRNazanin"/>
          <w:b w:val="false"/>
          <w:bCs w:val="false"/>
          <w:i w:val="false"/>
          <w:iCs w:val="false"/>
          <w:color w:val="333333"/>
          <w:sz w:val="20"/>
          <w:szCs w:val="20"/>
          <w:rtl w:val="true"/>
        </w:rPr>
        <w:t>».</w:t>
      </w:r>
    </w:p>
  </w:footnote>
  <w:footnote w:id="4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الزمان</w:t>
      </w:r>
      <w:r>
        <w:rPr>
          <w:rFonts w:eastAsia="IRNazanin" w:cs="IRNazanin"/>
          <w:b w:val="false"/>
          <w:bCs w:val="false"/>
          <w:i w:val="false"/>
          <w:iCs w:val="false"/>
          <w:color w:val="333333"/>
          <w:sz w:val="20"/>
          <w:szCs w:val="20"/>
          <w:rtl w:val="true"/>
        </w:rPr>
        <w:t>».</w:t>
      </w:r>
    </w:p>
  </w:footnote>
  <w:footnote w:id="4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شغبة</w:t>
      </w:r>
      <w:r>
        <w:rPr>
          <w:rFonts w:eastAsia="IRNazanin" w:cs="IRNazanin"/>
          <w:b w:val="false"/>
          <w:bCs w:val="false"/>
          <w:i w:val="false"/>
          <w:iCs w:val="false"/>
          <w:color w:val="333333"/>
          <w:sz w:val="20"/>
          <w:szCs w:val="20"/>
          <w:rtl w:val="true"/>
        </w:rPr>
        <w:t>».</w:t>
      </w:r>
    </w:p>
  </w:footnote>
  <w:footnote w:id="4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أقوال المختلفين</w:t>
      </w:r>
      <w:r>
        <w:rPr>
          <w:rFonts w:eastAsia="IRNazanin" w:cs="IRNazanin"/>
          <w:b w:val="false"/>
          <w:bCs w:val="false"/>
          <w:i w:val="false"/>
          <w:iCs w:val="false"/>
          <w:color w:val="333333"/>
          <w:sz w:val="20"/>
          <w:szCs w:val="20"/>
          <w:rtl w:val="true"/>
        </w:rPr>
        <w:t>».</w:t>
      </w:r>
    </w:p>
  </w:footnote>
  <w:footnote w:id="4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4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اليسيرة من الشراب تبقىٰ في أسفل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صبب</w:t>
      </w:r>
      <w:r>
        <w:rPr>
          <w:rFonts w:eastAsia="IRNazanin" w:cs="IRNazanin"/>
          <w:b w:val="false"/>
          <w:bCs w:val="false"/>
          <w:i w:val="false"/>
          <w:iCs w:val="false"/>
          <w:color w:val="333333"/>
          <w:sz w:val="20"/>
          <w:szCs w:val="20"/>
          <w:rtl w:val="true"/>
        </w:rPr>
        <w:t>).</w:t>
      </w:r>
    </w:p>
  </w:footnote>
  <w:footnote w:id="4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p>
  </w:footnote>
  <w:footnote w:id="4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 جملة</w:t>
      </w:r>
      <w:r>
        <w:rPr>
          <w:rFonts w:eastAsia="IRNazanin" w:cs="IRNazanin"/>
          <w:b w:val="false"/>
          <w:bCs w:val="false"/>
          <w:i w:val="false"/>
          <w:iCs w:val="false"/>
          <w:color w:val="333333"/>
          <w:sz w:val="20"/>
          <w:szCs w:val="20"/>
          <w:rtl w:val="true"/>
        </w:rPr>
        <w:t>».</w:t>
      </w:r>
    </w:p>
  </w:footnote>
  <w:footnote w:id="4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4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بمنّه</w:t>
      </w:r>
      <w:r>
        <w:rPr>
          <w:rFonts w:eastAsia="IRNazanin" w:cs="IRNazanin"/>
          <w:b w:val="false"/>
          <w:bCs w:val="false"/>
          <w:i w:val="false"/>
          <w:iCs w:val="false"/>
          <w:color w:val="333333"/>
          <w:sz w:val="20"/>
          <w:szCs w:val="20"/>
          <w:rtl w:val="true"/>
        </w:rPr>
        <w:t>».</w:t>
      </w:r>
    </w:p>
  </w:footnote>
  <w:footnote w:id="4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تقدّم</w:t>
      </w:r>
      <w:r>
        <w:rPr>
          <w:rFonts w:eastAsia="IRNazanin" w:cs="IRNazanin"/>
          <w:b w:val="false"/>
          <w:bCs w:val="false"/>
          <w:i w:val="false"/>
          <w:iCs w:val="false"/>
          <w:color w:val="333333"/>
          <w:sz w:val="20"/>
          <w:szCs w:val="20"/>
          <w:rtl w:val="true"/>
        </w:rPr>
        <w:t>».</w:t>
      </w:r>
    </w:p>
  </w:footnote>
  <w:footnote w:id="4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إظهار العذر</w:t>
      </w:r>
      <w:r>
        <w:rPr>
          <w:rFonts w:eastAsia="IRNazanin" w:cs="IRNazanin"/>
          <w:b w:val="false"/>
          <w:bCs w:val="false"/>
          <w:i w:val="false"/>
          <w:iCs w:val="false"/>
          <w:color w:val="333333"/>
          <w:sz w:val="20"/>
          <w:szCs w:val="20"/>
          <w:rtl w:val="true"/>
        </w:rPr>
        <w:t>».</w:t>
      </w:r>
    </w:p>
  </w:footnote>
  <w:footnote w:id="4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4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الجبّارين</w:t>
      </w:r>
      <w:r>
        <w:rPr>
          <w:rFonts w:eastAsia="IRNazanin" w:cs="IRNazanin"/>
          <w:b w:val="false"/>
          <w:bCs w:val="false"/>
          <w:i w:val="false"/>
          <w:iCs w:val="false"/>
          <w:color w:val="333333"/>
          <w:sz w:val="20"/>
          <w:szCs w:val="20"/>
          <w:rtl w:val="true"/>
        </w:rPr>
        <w:t>».</w:t>
      </w:r>
    </w:p>
  </w:footnote>
  <w:footnote w:id="4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أنّ أحداً من الأئمّة يدّعى له</w:t>
      </w:r>
      <w:r>
        <w:rPr>
          <w:rFonts w:eastAsia="IRNazanin" w:cs="IRNazanin"/>
          <w:b w:val="false"/>
          <w:bCs w:val="false"/>
          <w:i w:val="false"/>
          <w:iCs w:val="false"/>
          <w:color w:val="333333"/>
          <w:sz w:val="20"/>
          <w:szCs w:val="20"/>
          <w:rtl w:val="true"/>
        </w:rPr>
        <w:t>.</w:t>
      </w:r>
    </w:p>
  </w:footnote>
  <w:footnote w:id="4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أجمعين</w:t>
      </w:r>
      <w:r>
        <w:rPr>
          <w:rFonts w:eastAsia="IRNazanin" w:cs="IRNazanin"/>
          <w:b w:val="false"/>
          <w:bCs w:val="false"/>
          <w:i w:val="false"/>
          <w:iCs w:val="false"/>
          <w:color w:val="333333"/>
          <w:sz w:val="20"/>
          <w:szCs w:val="20"/>
          <w:rtl w:val="true"/>
        </w:rPr>
        <w:t>».</w:t>
      </w:r>
    </w:p>
  </w:footnote>
  <w:footnote w:id="4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لهذا ما كتمت</w:t>
      </w:r>
      <w:r>
        <w:rPr>
          <w:rFonts w:eastAsia="IRNazanin" w:cs="IRNazanin"/>
          <w:b w:val="false"/>
          <w:bCs w:val="false"/>
          <w:i w:val="false"/>
          <w:iCs w:val="false"/>
          <w:color w:val="333333"/>
          <w:sz w:val="20"/>
          <w:szCs w:val="20"/>
          <w:rtl w:val="true"/>
        </w:rPr>
        <w:t>».</w:t>
      </w:r>
    </w:p>
  </w:footnote>
  <w:footnote w:id="4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التي بَوَّأتَها بيتاً، و هي فُعْلِيَّة، منسوبة إلى السرّ، و هو الجماع أوالإخفاء؛ لأنّ الإنسان كثيراً ما يُسِرُّها و يَستُرُها من حُرّته، و إنّما ضُمّت سينُه لأنّ الأبنية قد تُغيّر في النسبة خاصّة، كما قالوا في النسبة إلى الدهر دُهْرِيّ ، و إلى الأرض السَّهلة سُهليّ ،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الأخفش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مشتقّة من السرور؛ لأنّه يُسَرُّ بها،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تَسَرَّرْتُ جارية، و تَسَرَّيتُ أيضاً، كما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تَظَنَّنْتُ و تَظَنَّيْتُ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4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للأمر</w:t>
      </w:r>
      <w:r>
        <w:rPr>
          <w:rFonts w:eastAsia="IRNazanin" w:cs="IRNazanin"/>
          <w:b w:val="false"/>
          <w:bCs w:val="false"/>
          <w:i w:val="false"/>
          <w:iCs w:val="false"/>
          <w:color w:val="333333"/>
          <w:sz w:val="20"/>
          <w:szCs w:val="20"/>
          <w:rtl w:val="true"/>
        </w:rPr>
        <w:t>».</w:t>
      </w:r>
    </w:p>
  </w:footnote>
  <w:footnote w:id="4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المنصوص عليه و السالب لنعمهم</w:t>
      </w:r>
      <w:r>
        <w:rPr>
          <w:rFonts w:eastAsia="IRNazanin" w:cs="IRNazanin"/>
          <w:b w:val="false"/>
          <w:bCs w:val="false"/>
          <w:i w:val="false"/>
          <w:iCs w:val="false"/>
          <w:color w:val="333333"/>
          <w:sz w:val="20"/>
          <w:szCs w:val="20"/>
          <w:rtl w:val="true"/>
        </w:rPr>
        <w:t>».</w:t>
      </w:r>
    </w:p>
  </w:footnote>
  <w:footnote w:id="4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تجتمع</w:t>
      </w:r>
      <w:r>
        <w:rPr>
          <w:rFonts w:eastAsia="IRNazanin" w:cs="IRNazanin"/>
          <w:b w:val="false"/>
          <w:bCs w:val="false"/>
          <w:i w:val="false"/>
          <w:iCs w:val="false"/>
          <w:color w:val="333333"/>
          <w:sz w:val="20"/>
          <w:szCs w:val="20"/>
          <w:rtl w:val="true"/>
        </w:rPr>
        <w:t>».</w:t>
      </w:r>
    </w:p>
  </w:footnote>
  <w:footnote w:id="4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هذين</w:t>
      </w:r>
      <w:r>
        <w:rPr>
          <w:rFonts w:eastAsia="IRNazanin" w:cs="IRNazanin"/>
          <w:b w:val="false"/>
          <w:bCs w:val="false"/>
          <w:i w:val="false"/>
          <w:iCs w:val="false"/>
          <w:color w:val="333333"/>
          <w:sz w:val="20"/>
          <w:szCs w:val="20"/>
          <w:rtl w:val="true"/>
        </w:rPr>
        <w:t>».</w:t>
      </w:r>
    </w:p>
  </w:footnote>
  <w:footnote w:id="4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ترجع</w:t>
      </w:r>
      <w:r>
        <w:rPr>
          <w:rFonts w:eastAsia="IRNazanin" w:cs="IRNazanin"/>
          <w:b w:val="false"/>
          <w:bCs w:val="false"/>
          <w:i w:val="false"/>
          <w:iCs w:val="false"/>
          <w:color w:val="333333"/>
          <w:sz w:val="20"/>
          <w:szCs w:val="20"/>
          <w:rtl w:val="true"/>
        </w:rPr>
        <w:t>».</w:t>
      </w:r>
    </w:p>
  </w:footnote>
  <w:footnote w:id="4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فظنونه</w:t>
      </w:r>
      <w:r>
        <w:rPr>
          <w:rFonts w:eastAsia="IRNazanin" w:cs="IRNazanin"/>
          <w:b w:val="false"/>
          <w:bCs w:val="false"/>
          <w:i w:val="false"/>
          <w:iCs w:val="false"/>
          <w:color w:val="333333"/>
          <w:sz w:val="20"/>
          <w:szCs w:val="20"/>
          <w:rtl w:val="true"/>
        </w:rPr>
        <w:t>».</w:t>
      </w:r>
    </w:p>
  </w:footnote>
  <w:footnote w:id="4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ظنونه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اعتقاداته و ظنونه</w:t>
      </w:r>
      <w:r>
        <w:rPr>
          <w:rFonts w:eastAsia="IRNazanin" w:cs="IRNazanin"/>
          <w:b w:val="false"/>
          <w:bCs w:val="false"/>
          <w:i w:val="false"/>
          <w:iCs w:val="false"/>
          <w:color w:val="333333"/>
          <w:sz w:val="20"/>
          <w:szCs w:val="20"/>
          <w:rtl w:val="true"/>
        </w:rPr>
        <w:t>».</w:t>
      </w:r>
    </w:p>
  </w:footnote>
  <w:footnote w:id="4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مرجع في</w:t>
      </w:r>
      <w:r>
        <w:rPr>
          <w:rFonts w:eastAsia="IRNazanin" w:cs="IRNazanin"/>
          <w:b w:val="false"/>
          <w:bCs w:val="false"/>
          <w:i w:val="false"/>
          <w:iCs w:val="false"/>
          <w:color w:val="333333"/>
          <w:sz w:val="20"/>
          <w:szCs w:val="20"/>
          <w:rtl w:val="true"/>
        </w:rPr>
        <w:t>».</w:t>
      </w:r>
    </w:p>
  </w:footnote>
  <w:footnote w:id="4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w:t>
      </w:r>
    </w:p>
  </w:footnote>
  <w:footnote w:id="4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4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ينسبه</w:t>
      </w:r>
      <w:r>
        <w:rPr>
          <w:rFonts w:eastAsia="IRNazanin" w:cs="IRNazanin"/>
          <w:b w:val="false"/>
          <w:bCs w:val="false"/>
          <w:i w:val="false"/>
          <w:iCs w:val="false"/>
          <w:color w:val="333333"/>
          <w:sz w:val="20"/>
          <w:szCs w:val="20"/>
          <w:rtl w:val="true"/>
        </w:rPr>
        <w:t>».</w:t>
      </w:r>
    </w:p>
  </w:footnote>
  <w:footnote w:id="4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نحتاج</w:t>
      </w:r>
      <w:r>
        <w:rPr>
          <w:rFonts w:eastAsia="IRNazanin" w:cs="IRNazanin"/>
          <w:b w:val="false"/>
          <w:bCs w:val="false"/>
          <w:i w:val="false"/>
          <w:iCs w:val="false"/>
          <w:color w:val="333333"/>
          <w:sz w:val="20"/>
          <w:szCs w:val="20"/>
          <w:rtl w:val="true"/>
        </w:rPr>
        <w:t>».</w:t>
      </w:r>
    </w:p>
  </w:footnote>
  <w:footnote w:id="4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4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يصحّ </w:t>
      </w:r>
      <w:r>
        <w:rPr>
          <w:rFonts w:eastAsia="IRNazanin" w:cs="IRNazanin"/>
          <w:b w:val="false"/>
          <w:bCs w:val="false"/>
          <w:i w:val="false"/>
          <w:iCs w:val="false"/>
          <w:color w:val="333333"/>
          <w:sz w:val="20"/>
          <w:szCs w:val="20"/>
          <w:rtl w:val="true"/>
        </w:rPr>
        <w:t>».</w:t>
      </w:r>
    </w:p>
  </w:footnote>
  <w:footnote w:id="4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استفدناه من عبارة المغني المتقدّمة</w:t>
      </w:r>
      <w:r>
        <w:rPr>
          <w:rFonts w:eastAsia="IRNazanin" w:cs="IRNazanin"/>
          <w:b w:val="false"/>
          <w:bCs w:val="false"/>
          <w:i w:val="false"/>
          <w:iCs w:val="false"/>
          <w:color w:val="333333"/>
          <w:sz w:val="20"/>
          <w:szCs w:val="20"/>
          <w:rtl w:val="true"/>
        </w:rPr>
        <w:t>.</w:t>
      </w:r>
    </w:p>
  </w:footnote>
  <w:footnote w:id="4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المكلّف</w:t>
      </w:r>
      <w:r>
        <w:rPr>
          <w:rFonts w:eastAsia="IRNazanin" w:cs="IRNazanin"/>
          <w:b w:val="false"/>
          <w:bCs w:val="false"/>
          <w:i w:val="false"/>
          <w:iCs w:val="false"/>
          <w:color w:val="333333"/>
          <w:sz w:val="20"/>
          <w:szCs w:val="20"/>
          <w:rtl w:val="true"/>
        </w:rPr>
        <w:t>».</w:t>
      </w:r>
    </w:p>
  </w:footnote>
  <w:footnote w:id="4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4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4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 علوّاً كبيراً</w:t>
      </w:r>
      <w:r>
        <w:rPr>
          <w:rFonts w:eastAsia="IRNazanin" w:cs="IRNazanin"/>
          <w:b w:val="false"/>
          <w:bCs w:val="false"/>
          <w:i w:val="false"/>
          <w:iCs w:val="false"/>
          <w:color w:val="333333"/>
          <w:sz w:val="20"/>
          <w:szCs w:val="20"/>
          <w:rtl w:val="true"/>
        </w:rPr>
        <w:t>».</w:t>
      </w:r>
    </w:p>
  </w:footnote>
  <w:footnote w:id="4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4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منافي</w:t>
      </w:r>
      <w:r>
        <w:rPr>
          <w:rFonts w:eastAsia="IRNazanin" w:cs="IRNazanin"/>
          <w:b w:val="false"/>
          <w:bCs w:val="false"/>
          <w:i w:val="false"/>
          <w:iCs w:val="false"/>
          <w:color w:val="333333"/>
          <w:sz w:val="20"/>
          <w:szCs w:val="20"/>
          <w:rtl w:val="true"/>
        </w:rPr>
        <w:t>».</w:t>
      </w:r>
    </w:p>
  </w:footnote>
  <w:footnote w:id="4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فإلزامنا</w:t>
      </w:r>
      <w:r>
        <w:rPr>
          <w:rFonts w:eastAsia="IRNazanin" w:cs="IRNazanin"/>
          <w:b w:val="false"/>
          <w:bCs w:val="false"/>
          <w:i w:val="false"/>
          <w:iCs w:val="false"/>
          <w:color w:val="333333"/>
          <w:sz w:val="20"/>
          <w:szCs w:val="20"/>
          <w:rtl w:val="true"/>
        </w:rPr>
        <w:t>».</w:t>
      </w:r>
    </w:p>
  </w:footnote>
  <w:footnote w:id="4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 ما نافى 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 مانافاه و نافى التكليف</w:t>
      </w:r>
      <w:r>
        <w:rPr>
          <w:rFonts w:eastAsia="IRNazanin" w:cs="IRNazanin"/>
          <w:b w:val="false"/>
          <w:bCs w:val="false"/>
          <w:i w:val="false"/>
          <w:iCs w:val="false"/>
          <w:color w:val="333333"/>
          <w:sz w:val="20"/>
          <w:szCs w:val="20"/>
          <w:rtl w:val="true"/>
        </w:rPr>
        <w:t>».</w:t>
      </w:r>
    </w:p>
  </w:footnote>
  <w:footnote w:id="4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4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بالرسل</w:t>
      </w:r>
      <w:r>
        <w:rPr>
          <w:rFonts w:eastAsia="IRNazanin" w:cs="IRNazanin"/>
          <w:b w:val="false"/>
          <w:bCs w:val="false"/>
          <w:i w:val="false"/>
          <w:iCs w:val="false"/>
          <w:color w:val="333333"/>
          <w:sz w:val="20"/>
          <w:szCs w:val="20"/>
          <w:rtl w:val="true"/>
        </w:rPr>
        <w:t>».</w:t>
      </w:r>
    </w:p>
  </w:footnote>
  <w:footnote w:id="4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جوّز</w:t>
      </w:r>
      <w:r>
        <w:rPr>
          <w:rFonts w:eastAsia="IRNazanin" w:cs="IRNazanin"/>
          <w:b w:val="false"/>
          <w:bCs w:val="false"/>
          <w:i w:val="false"/>
          <w:iCs w:val="false"/>
          <w:color w:val="333333"/>
          <w:sz w:val="20"/>
          <w:szCs w:val="20"/>
          <w:rtl w:val="true"/>
        </w:rPr>
        <w:t>».</w:t>
      </w:r>
    </w:p>
  </w:footnote>
  <w:footnote w:id="4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أراد بالفترات خلوّ الزمان من رسول و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أرادبالفترات خلوّ الزمان من رسول، فهو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4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حكينا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image" Target="media/image2.jpeg"/><Relationship Id="rId531" Type="http://schemas.openxmlformats.org/officeDocument/2006/relationships/image" Target="media/image2.jpeg"/><Relationship Id="rId532" Type="http://schemas.openxmlformats.org/officeDocument/2006/relationships/footer" Target="footer525.xml"/><Relationship Id="rId533" Type="http://schemas.openxmlformats.org/officeDocument/2006/relationships/footnotes" Target="footnotes.xml"/><Relationship Id="rId534" Type="http://schemas.openxmlformats.org/officeDocument/2006/relationships/numbering" Target="numbering.xml"/><Relationship Id="rId535" Type="http://schemas.openxmlformats.org/officeDocument/2006/relationships/fontTable" Target="fontTable.xml"/><Relationship Id="rId536" Type="http://schemas.openxmlformats.org/officeDocument/2006/relationships/settings" Target="settings.xml"/><Relationship Id="rId5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533</Pages>
  <Words>31173</Words>
  <Characters>122645</Characters>
  <CharactersWithSpaces>152898</CharactersWithSpaces>
  <Paragraphs>1103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2026-08-26T07:03:42Z</dcterms:created>
  <dc:creator>ghaemiyeh.com</dc:creator>
  <dc:description/>
  <dc:language>en-US</dc:language>
  <cp:lastModifiedBy/>
  <dcterms:modified xsi:type="dcterms:W3CDTF">2026-08-26T10:34:08Z</dcterms:modified>
  <cp:revision>1</cp:revision>
  <dc:subject/>
  <dc:title>الشافی فی الإمامة المجلد 3</dc:title>
</cp:coreProperties>
</file>

<file path=docProps/custom.xml><?xml version="1.0" encoding="utf-8"?>
<Properties xmlns="http://schemas.openxmlformats.org/officeDocument/2006/custom-properties" xmlns:vt="http://schemas.openxmlformats.org/officeDocument/2006/docPropsVTypes"/>
</file>