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المکاسب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18833_231460929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118835_231460929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118837_2314609296">
            <w:r>
              <w:rPr>
                <w:webHidden/>
                <w:rStyle w:val="IndexLink"/>
                <w:rtl w:val="true"/>
              </w:rPr>
              <w:t>[</w:t>
            </w:r>
            <w:r>
              <w:rPr>
                <w:rStyle w:val="IndexLink"/>
                <w:rtl w:val="true"/>
              </w:rPr>
              <w:t>تتمة کتاب البیع</w:t>
            </w:r>
            <w:r>
              <w:rPr>
                <w:rStyle w:val="IndexLink"/>
                <w:rtl w:val="true"/>
              </w:rPr>
              <w:t>]</w:t>
              <w:tab/>
            </w:r>
            <w:r>
              <w:rPr>
                <w:rStyle w:val="IndexLink"/>
              </w:rPr>
              <w:t>9</w:t>
            </w:r>
          </w:hyperlink>
        </w:p>
        <w:p>
          <w:pPr>
            <w:pStyle w:val="Contents3"/>
            <w:tabs>
              <w:tab w:val="clear" w:pos="8459"/>
              <w:tab w:val="right" w:pos="9026" w:leader="dot"/>
            </w:tabs>
            <w:rPr/>
          </w:pPr>
          <w:hyperlink w:anchor="__RefHeading___Toc5118839_2314609296">
            <w:r>
              <w:rPr>
                <w:webHidden/>
                <w:rStyle w:val="IndexLink"/>
                <w:rtl w:val="true"/>
              </w:rPr>
              <w:t>القول فی شرائط العوضین</w:t>
            </w:r>
            <w:r>
              <w:rPr>
                <w:rStyle w:val="IndexLink"/>
                <w:rtl w:val="true"/>
              </w:rPr>
              <w:tab/>
            </w:r>
            <w:r>
              <w:rPr>
                <w:rStyle w:val="IndexLink"/>
              </w:rPr>
              <w:t>9</w:t>
            </w:r>
          </w:hyperlink>
        </w:p>
        <w:p>
          <w:pPr>
            <w:pStyle w:val="Contents4"/>
            <w:tabs>
              <w:tab w:val="clear" w:pos="8176"/>
              <w:tab w:val="right" w:pos="9026" w:leader="dot"/>
            </w:tabs>
            <w:rPr/>
          </w:pPr>
          <w:hyperlink w:anchor="__RefHeading___Toc5118841_2314609296">
            <w:r>
              <w:rPr>
                <w:webHidden/>
                <w:rStyle w:val="IndexLink"/>
                <w:rtl w:val="true"/>
              </w:rPr>
              <w:t>اشاره</w:t>
            </w:r>
            <w:r>
              <w:rPr>
                <w:rStyle w:val="IndexLink"/>
                <w:rtl w:val="true"/>
              </w:rPr>
              <w:tab/>
            </w:r>
            <w:r>
              <w:rPr>
                <w:rStyle w:val="IndexLink"/>
              </w:rPr>
              <w:t>9</w:t>
            </w:r>
          </w:hyperlink>
        </w:p>
        <w:p>
          <w:pPr>
            <w:pStyle w:val="Contents4"/>
            <w:tabs>
              <w:tab w:val="clear" w:pos="8176"/>
              <w:tab w:val="right" w:pos="9026" w:leader="dot"/>
            </w:tabs>
            <w:rPr/>
          </w:pPr>
          <w:hyperlink w:anchor="__RefHeading___Toc5118843_2314609296">
            <w:r>
              <w:rPr>
                <w:webHidden/>
                <w:rStyle w:val="IndexLink"/>
                <w:rtl w:val="true"/>
              </w:rPr>
              <w:t>مسألة</w:t>
            </w:r>
            <w:r>
              <w:rPr>
                <w:rStyle w:val="IndexLink"/>
                <w:rtl w:val="true"/>
              </w:rPr>
              <w:t>] [</w:t>
            </w:r>
            <w:r>
              <w:rPr>
                <w:rStyle w:val="IndexLink"/>
                <w:rtl w:val="true"/>
              </w:rPr>
              <w:t>من شروط العوضین</w:t>
            </w:r>
            <w:r>
              <w:rPr>
                <w:rStyle w:val="IndexLink"/>
                <w:rtl w:val="true"/>
              </w:rPr>
              <w:t>:</w:t>
            </w:r>
            <w:r>
              <w:rPr>
                <w:rStyle w:val="IndexLink"/>
                <w:rtl w:val="true"/>
              </w:rPr>
              <w:t>المالیة</w:t>
            </w:r>
            <w:r>
              <w:rPr>
                <w:rStyle w:val="IndexLink"/>
                <w:rtl w:val="true"/>
              </w:rPr>
              <w:t>]</w:t>
              <w:tab/>
            </w:r>
            <w:r>
              <w:rPr>
                <w:rStyle w:val="IndexLink"/>
              </w:rPr>
              <w:t>10</w:t>
            </w:r>
          </w:hyperlink>
        </w:p>
        <w:p>
          <w:pPr>
            <w:pStyle w:val="Contents5"/>
            <w:tabs>
              <w:tab w:val="clear" w:pos="7892"/>
              <w:tab w:val="right" w:pos="9026" w:leader="dot"/>
            </w:tabs>
            <w:rPr/>
          </w:pPr>
          <w:hyperlink w:anchor="__RefHeading___Toc5118845_2314609296">
            <w:r>
              <w:rPr>
                <w:webHidden/>
                <w:rStyle w:val="IndexLink"/>
                <w:rtl w:val="true"/>
              </w:rPr>
              <w:t>اشارة</w:t>
            </w:r>
            <w:r>
              <w:rPr>
                <w:rStyle w:val="IndexLink"/>
                <w:rtl w:val="true"/>
              </w:rPr>
              <w:tab/>
            </w:r>
            <w:r>
              <w:rPr>
                <w:rStyle w:val="IndexLink"/>
              </w:rPr>
              <w:t>10</w:t>
            </w:r>
          </w:hyperlink>
        </w:p>
        <w:p>
          <w:pPr>
            <w:pStyle w:val="Contents5"/>
            <w:tabs>
              <w:tab w:val="clear" w:pos="7892"/>
              <w:tab w:val="right" w:pos="9026" w:leader="dot"/>
            </w:tabs>
            <w:rPr/>
          </w:pPr>
          <w:hyperlink w:anchor="__RefHeading___Toc5118847_2314609296">
            <w:r>
              <w:rPr>
                <w:webHidden/>
                <w:rStyle w:val="IndexLink"/>
                <w:rtl w:val="true"/>
              </w:rPr>
              <w:t>[</w:t>
            </w:r>
            <w:r>
              <w:rPr>
                <w:rStyle w:val="IndexLink"/>
                <w:rtl w:val="true"/>
              </w:rPr>
              <w:t>أقسام الأرضین و أحکامها</w:t>
            </w:r>
            <w:r>
              <w:rPr>
                <w:rStyle w:val="IndexLink"/>
                <w:rtl w:val="true"/>
              </w:rPr>
              <w:t>]</w:t>
              <w:tab/>
            </w:r>
            <w:r>
              <w:rPr>
                <w:rStyle w:val="IndexLink"/>
              </w:rPr>
              <w:t>13</w:t>
            </w:r>
          </w:hyperlink>
        </w:p>
        <w:p>
          <w:pPr>
            <w:pStyle w:val="Contents6"/>
            <w:tabs>
              <w:tab w:val="clear" w:pos="7609"/>
              <w:tab w:val="right" w:pos="9026" w:leader="dot"/>
            </w:tabs>
            <w:rPr/>
          </w:pPr>
          <w:hyperlink w:anchor="__RefHeading___Toc5118849_2314609296">
            <w:r>
              <w:rPr>
                <w:webHidden/>
                <w:rStyle w:val="IndexLink"/>
                <w:rtl w:val="true"/>
              </w:rPr>
              <w:t>اشاره</w:t>
            </w:r>
            <w:r>
              <w:rPr>
                <w:rStyle w:val="IndexLink"/>
                <w:rtl w:val="true"/>
              </w:rPr>
              <w:tab/>
            </w:r>
            <w:r>
              <w:rPr>
                <w:rStyle w:val="IndexLink"/>
              </w:rPr>
              <w:t>13</w:t>
            </w:r>
          </w:hyperlink>
        </w:p>
        <w:p>
          <w:pPr>
            <w:pStyle w:val="Contents6"/>
            <w:tabs>
              <w:tab w:val="clear" w:pos="7609"/>
              <w:tab w:val="right" w:pos="9026" w:leader="dot"/>
            </w:tabs>
            <w:rPr/>
          </w:pPr>
          <w:hyperlink w:anchor="__RefHeading___Toc5118851_2314609296">
            <w:r>
              <w:rPr>
                <w:webHidden/>
                <w:rStyle w:val="IndexLink"/>
                <w:rtl w:val="true"/>
              </w:rPr>
              <w:t>فالأقسام أربعة لا خامس لها</w:t>
            </w:r>
            <w:r>
              <w:rPr>
                <w:rStyle w:val="IndexLink"/>
                <w:rtl w:val="true"/>
              </w:rPr>
              <w:t>:</w:t>
              <w:tab/>
            </w:r>
            <w:r>
              <w:rPr>
                <w:rStyle w:val="IndexLink"/>
              </w:rPr>
              <w:t>13</w:t>
            </w:r>
          </w:hyperlink>
        </w:p>
        <w:p>
          <w:pPr>
            <w:pStyle w:val="Contents6"/>
            <w:tabs>
              <w:tab w:val="clear" w:pos="7609"/>
              <w:tab w:val="right" w:pos="9026" w:leader="dot"/>
            </w:tabs>
            <w:rPr/>
          </w:pPr>
          <w:hyperlink w:anchor="__RefHeading___Toc5118853_2314609296">
            <w:r>
              <w:rPr>
                <w:webHidden/>
                <w:rStyle w:val="IndexLink"/>
                <w:rtl w:val="true"/>
              </w:rPr>
              <w:t>الأوّل</w:t>
            </w:r>
            <w:r>
              <w:rPr>
                <w:rStyle w:val="IndexLink"/>
                <w:rtl w:val="true"/>
              </w:rPr>
              <w:t>:</w:t>
            </w:r>
            <w:r>
              <w:rPr>
                <w:rStyle w:val="IndexLink"/>
                <w:rtl w:val="true"/>
              </w:rPr>
              <w:t>ما یکون مواتاً بالأصالة،</w:t>
            </w:r>
            <w:r>
              <w:rPr>
                <w:rStyle w:val="IndexLink"/>
                <w:rtl w:val="true"/>
              </w:rPr>
              <w:tab/>
            </w:r>
            <w:r>
              <w:rPr>
                <w:rStyle w:val="IndexLink"/>
              </w:rPr>
              <w:t>13</w:t>
            </w:r>
          </w:hyperlink>
        </w:p>
        <w:p>
          <w:pPr>
            <w:pStyle w:val="Contents6"/>
            <w:tabs>
              <w:tab w:val="clear" w:pos="7609"/>
              <w:tab w:val="right" w:pos="9026" w:leader="dot"/>
            </w:tabs>
            <w:rPr/>
          </w:pPr>
          <w:hyperlink w:anchor="__RefHeading___Toc5118855_2314609296">
            <w:r>
              <w:rPr>
                <w:webHidden/>
                <w:rStyle w:val="IndexLink"/>
                <w:rtl w:val="true"/>
              </w:rPr>
              <w:t>الثانی</w:t>
            </w:r>
            <w:r>
              <w:rPr>
                <w:rStyle w:val="IndexLink"/>
                <w:rtl w:val="true"/>
              </w:rPr>
              <w:t>:</w:t>
            </w:r>
            <w:r>
              <w:rPr>
                <w:rStyle w:val="IndexLink"/>
                <w:rtl w:val="true"/>
              </w:rPr>
              <w:t>ما کانت عامرة بالأصالة،</w:t>
            </w:r>
            <w:r>
              <w:rPr>
                <w:rStyle w:val="IndexLink"/>
                <w:rtl w:val="true"/>
              </w:rPr>
              <w:tab/>
            </w:r>
            <w:r>
              <w:rPr>
                <w:rStyle w:val="IndexLink"/>
              </w:rPr>
              <w:t>17</w:t>
            </w:r>
          </w:hyperlink>
        </w:p>
        <w:p>
          <w:pPr>
            <w:pStyle w:val="Contents6"/>
            <w:tabs>
              <w:tab w:val="clear" w:pos="7609"/>
              <w:tab w:val="right" w:pos="9026" w:leader="dot"/>
            </w:tabs>
            <w:rPr/>
          </w:pPr>
          <w:hyperlink w:anchor="__RefHeading___Toc5118857_2314609296">
            <w:r>
              <w:rPr>
                <w:webHidden/>
                <w:rStyle w:val="IndexLink"/>
                <w:rtl w:val="true"/>
              </w:rPr>
              <w:t>الثالث</w:t>
            </w:r>
            <w:r>
              <w:rPr>
                <w:rStyle w:val="IndexLink"/>
                <w:rtl w:val="true"/>
              </w:rPr>
              <w:t>:</w:t>
            </w:r>
            <w:r>
              <w:rPr>
                <w:rStyle w:val="IndexLink"/>
                <w:rtl w:val="true"/>
              </w:rPr>
              <w:t>ما عرض له الحیاة بعد الموت</w:t>
            </w:r>
            <w:r>
              <w:rPr>
                <w:rStyle w:val="IndexLink"/>
                <w:rtl w:val="true"/>
              </w:rPr>
              <w:tab/>
            </w:r>
            <w:r>
              <w:rPr>
                <w:rStyle w:val="IndexLink"/>
              </w:rPr>
              <w:t>18</w:t>
            </w:r>
          </w:hyperlink>
        </w:p>
        <w:p>
          <w:pPr>
            <w:pStyle w:val="Contents6"/>
            <w:tabs>
              <w:tab w:val="clear" w:pos="7609"/>
              <w:tab w:val="right" w:pos="9026" w:leader="dot"/>
            </w:tabs>
            <w:rPr/>
          </w:pPr>
          <w:hyperlink w:anchor="__RefHeading___Toc5118859_2314609296">
            <w:r>
              <w:rPr>
                <w:webHidden/>
                <w:rStyle w:val="IndexLink"/>
                <w:rtl w:val="true"/>
              </w:rPr>
              <w:t>الرابع</w:t>
            </w:r>
            <w:r>
              <w:rPr>
                <w:rStyle w:val="IndexLink"/>
                <w:rtl w:val="true"/>
              </w:rPr>
              <w:t>:</w:t>
            </w:r>
            <w:r>
              <w:rPr>
                <w:rStyle w:val="IndexLink"/>
                <w:rtl w:val="true"/>
              </w:rPr>
              <w:t>ما عرض له الموت بعد العمارة</w:t>
            </w:r>
            <w:r>
              <w:rPr>
                <w:rStyle w:val="IndexLink"/>
                <w:rtl w:val="true"/>
              </w:rPr>
              <w:tab/>
            </w:r>
            <w:r>
              <w:rPr>
                <w:rStyle w:val="IndexLink"/>
              </w:rPr>
              <w:t>18</w:t>
            </w:r>
          </w:hyperlink>
        </w:p>
        <w:p>
          <w:pPr>
            <w:pStyle w:val="Contents6"/>
            <w:tabs>
              <w:tab w:val="clear" w:pos="7609"/>
              <w:tab w:val="right" w:pos="9026" w:leader="dot"/>
            </w:tabs>
            <w:rPr/>
          </w:pPr>
          <w:hyperlink w:anchor="__RefHeading___Toc5118861_2314609296">
            <w:r>
              <w:rPr>
                <w:webHidden/>
                <w:rStyle w:val="IndexLink"/>
                <w:rtl w:val="true"/>
              </w:rPr>
              <w:t>[</w:t>
            </w:r>
            <w:r>
              <w:rPr>
                <w:rStyle w:val="IndexLink"/>
                <w:rtl w:val="true"/>
              </w:rPr>
              <w:t>رجوع إلی أحکام القسم الثالث</w:t>
            </w:r>
            <w:r>
              <w:rPr>
                <w:rStyle w:val="IndexLink"/>
                <w:rtl w:val="true"/>
              </w:rPr>
              <w:t>]</w:t>
              <w:tab/>
            </w:r>
            <w:r>
              <w:rPr>
                <w:rStyle w:val="IndexLink"/>
              </w:rPr>
              <w:t>19</w:t>
            </w:r>
          </w:hyperlink>
        </w:p>
        <w:p>
          <w:pPr>
            <w:pStyle w:val="Contents6"/>
            <w:tabs>
              <w:tab w:val="clear" w:pos="7609"/>
              <w:tab w:val="right" w:pos="9026" w:leader="dot"/>
            </w:tabs>
            <w:rPr/>
          </w:pPr>
          <w:hyperlink w:anchor="__RefHeading___Toc5118863_2314609296">
            <w:r>
              <w:rPr>
                <w:webHidden/>
                <w:rStyle w:val="IndexLink"/>
                <w:rtl w:val="true"/>
              </w:rPr>
              <w:t>[</w:t>
            </w:r>
            <w:r>
              <w:rPr>
                <w:rStyle w:val="IndexLink"/>
                <w:rtl w:val="true"/>
              </w:rPr>
              <w:t>لو کانت العمارة فیها من المسلمین</w:t>
            </w:r>
            <w:r>
              <w:rPr>
                <w:rStyle w:val="IndexLink"/>
                <w:rtl w:val="true"/>
              </w:rPr>
              <w:t>]</w:t>
              <w:tab/>
            </w:r>
            <w:r>
              <w:rPr>
                <w:rStyle w:val="IndexLink"/>
              </w:rPr>
              <w:t>19</w:t>
            </w:r>
          </w:hyperlink>
        </w:p>
        <w:p>
          <w:pPr>
            <w:pStyle w:val="Contents6"/>
            <w:tabs>
              <w:tab w:val="clear" w:pos="7609"/>
              <w:tab w:val="right" w:pos="9026" w:leader="dot"/>
            </w:tabs>
            <w:rPr/>
          </w:pPr>
          <w:hyperlink w:anchor="__RefHeading___Toc5118865_2314609296">
            <w:r>
              <w:rPr>
                <w:webHidden/>
                <w:rStyle w:val="IndexLink"/>
                <w:rtl w:val="true"/>
              </w:rPr>
              <w:t>و إن کان من الکفّار،</w:t>
            </w:r>
            <w:r>
              <w:rPr>
                <w:rStyle w:val="IndexLink"/>
                <w:rtl w:val="true"/>
              </w:rPr>
              <w:tab/>
            </w:r>
            <w:r>
              <w:rPr>
                <w:rStyle w:val="IndexLink"/>
              </w:rPr>
              <w:t>19</w:t>
            </w:r>
          </w:hyperlink>
        </w:p>
        <w:p>
          <w:pPr>
            <w:pStyle w:val="Contents6"/>
            <w:tabs>
              <w:tab w:val="clear" w:pos="7609"/>
              <w:tab w:val="right" w:pos="9026" w:leader="dot"/>
            </w:tabs>
            <w:rPr/>
          </w:pPr>
          <w:hyperlink w:anchor="__RefHeading___Toc5118867_2314609296">
            <w:r>
              <w:rPr>
                <w:webHidden/>
                <w:rStyle w:val="IndexLink"/>
                <w:rtl w:val="true"/>
              </w:rPr>
              <w:t>ثمّ ما ملکه الکافر</w:t>
            </w:r>
            <w:r>
              <w:rPr>
                <w:rStyle w:val="IndexLink"/>
                <w:rtl w:val="true"/>
              </w:rPr>
              <w:tab/>
            </w:r>
            <w:r>
              <w:rPr>
                <w:rStyle w:val="IndexLink"/>
              </w:rPr>
              <w:t>19</w:t>
            </w:r>
          </w:hyperlink>
        </w:p>
        <w:p>
          <w:pPr>
            <w:pStyle w:val="Contents6"/>
            <w:tabs>
              <w:tab w:val="clear" w:pos="7609"/>
              <w:tab w:val="right" w:pos="9026" w:leader="dot"/>
            </w:tabs>
            <w:rPr/>
          </w:pPr>
          <w:hyperlink w:anchor="__RefHeading___Toc5118869_2314609296">
            <w:r>
              <w:rPr>
                <w:webHidden/>
                <w:rStyle w:val="IndexLink"/>
                <w:rtl w:val="true"/>
              </w:rPr>
              <w:t>[</w:t>
            </w:r>
            <w:r>
              <w:rPr>
                <w:rStyle w:val="IndexLink"/>
                <w:rtl w:val="true"/>
              </w:rPr>
              <w:t>الأراضی المفتوحة عنوة ملک للمسلمین</w:t>
            </w:r>
            <w:r>
              <w:rPr>
                <w:rStyle w:val="IndexLink"/>
                <w:rtl w:val="true"/>
              </w:rPr>
              <w:t>]</w:t>
              <w:tab/>
            </w:r>
            <w:r>
              <w:rPr>
                <w:rStyle w:val="IndexLink"/>
              </w:rPr>
              <w:t>20</w:t>
            </w:r>
          </w:hyperlink>
        </w:p>
        <w:p>
          <w:pPr>
            <w:pStyle w:val="Contents6"/>
            <w:tabs>
              <w:tab w:val="clear" w:pos="7609"/>
              <w:tab w:val="right" w:pos="9026" w:leader="dot"/>
            </w:tabs>
            <w:rPr/>
          </w:pPr>
          <w:hyperlink w:anchor="__RefHeading___Toc5118871_2314609296">
            <w:r>
              <w:rPr>
                <w:webHidden/>
                <w:rStyle w:val="IndexLink"/>
                <w:rtl w:val="true"/>
              </w:rPr>
              <w:t>و النصوصُ به مستفیضة</w:t>
            </w:r>
            <w:r>
              <w:rPr>
                <w:rStyle w:val="IndexLink"/>
                <w:rtl w:val="true"/>
              </w:rPr>
              <w:t>:</w:t>
              <w:tab/>
            </w:r>
            <w:r>
              <w:rPr>
                <w:rStyle w:val="IndexLink"/>
              </w:rPr>
              <w:t>20</w:t>
            </w:r>
          </w:hyperlink>
        </w:p>
        <w:p>
          <w:pPr>
            <w:pStyle w:val="Contents6"/>
            <w:tabs>
              <w:tab w:val="clear" w:pos="7609"/>
              <w:tab w:val="right" w:pos="9026" w:leader="dot"/>
            </w:tabs>
            <w:rPr/>
          </w:pPr>
          <w:hyperlink w:anchor="__RefHeading___Toc5118873_2314609296">
            <w:r>
              <w:rPr>
                <w:webHidden/>
                <w:rStyle w:val="IndexLink"/>
                <w:rtl w:val="true"/>
              </w:rPr>
              <w:t>ففی روایة أبی بردة</w:t>
            </w:r>
            <w:r>
              <w:rPr>
                <w:rStyle w:val="IndexLink"/>
                <w:rtl w:val="true"/>
              </w:rPr>
              <w:tab/>
            </w:r>
            <w:r>
              <w:rPr>
                <w:rStyle w:val="IndexLink"/>
              </w:rPr>
              <w:t>20</w:t>
            </w:r>
          </w:hyperlink>
        </w:p>
        <w:p>
          <w:pPr>
            <w:pStyle w:val="Contents6"/>
            <w:tabs>
              <w:tab w:val="clear" w:pos="7609"/>
              <w:tab w:val="right" w:pos="9026" w:leader="dot"/>
            </w:tabs>
            <w:rPr/>
          </w:pPr>
          <w:hyperlink w:anchor="__RefHeading___Toc5118875_2314609296">
            <w:r>
              <w:rPr>
                <w:webHidden/>
                <w:rStyle w:val="IndexLink"/>
                <w:rtl w:val="true"/>
              </w:rPr>
              <w:t>و فی مرسلة حمّاد</w:t>
            </w:r>
            <w:r>
              <w:rPr>
                <w:rStyle w:val="IndexLink"/>
                <w:rtl w:val="true"/>
              </w:rPr>
              <w:tab/>
            </w:r>
            <w:r>
              <w:rPr>
                <w:rStyle w:val="IndexLink"/>
              </w:rPr>
              <w:t>21</w:t>
            </w:r>
          </w:hyperlink>
        </w:p>
        <w:p>
          <w:pPr>
            <w:pStyle w:val="Contents6"/>
            <w:tabs>
              <w:tab w:val="clear" w:pos="7609"/>
              <w:tab w:val="right" w:pos="9026" w:leader="dot"/>
            </w:tabs>
            <w:rPr/>
          </w:pPr>
          <w:hyperlink w:anchor="__RefHeading___Toc5118877_2314609296">
            <w:r>
              <w:rPr>
                <w:webHidden/>
                <w:rStyle w:val="IndexLink"/>
                <w:rtl w:val="true"/>
              </w:rPr>
              <w:t>و فی صحیحة الحلبی،</w:t>
            </w:r>
            <w:r>
              <w:rPr>
                <w:rStyle w:val="IndexLink"/>
                <w:rtl w:val="true"/>
              </w:rPr>
              <w:tab/>
            </w:r>
            <w:r>
              <w:rPr>
                <w:rStyle w:val="IndexLink"/>
              </w:rPr>
              <w:t>21</w:t>
            </w:r>
          </w:hyperlink>
        </w:p>
        <w:p>
          <w:pPr>
            <w:pStyle w:val="Contents6"/>
            <w:tabs>
              <w:tab w:val="clear" w:pos="7609"/>
              <w:tab w:val="right" w:pos="9026" w:leader="dot"/>
            </w:tabs>
            <w:rPr/>
          </w:pPr>
          <w:hyperlink w:anchor="__RefHeading___Toc5118879_2314609296">
            <w:r>
              <w:rPr>
                <w:webHidden/>
                <w:rStyle w:val="IndexLink"/>
                <w:rtl w:val="true"/>
              </w:rPr>
              <w:t>و روایة ابن شریح</w:t>
            </w:r>
            <w:r>
              <w:rPr>
                <w:rStyle w:val="IndexLink"/>
                <w:rtl w:val="true"/>
              </w:rPr>
              <w:t>:</w:t>
              <w:tab/>
            </w:r>
            <w:r>
              <w:rPr>
                <w:rStyle w:val="IndexLink"/>
              </w:rPr>
              <w:t>22</w:t>
            </w:r>
          </w:hyperlink>
        </w:p>
        <w:p>
          <w:pPr>
            <w:pStyle w:val="Contents6"/>
            <w:tabs>
              <w:tab w:val="clear" w:pos="7609"/>
              <w:tab w:val="right" w:pos="9026" w:leader="dot"/>
            </w:tabs>
            <w:rPr/>
          </w:pPr>
          <w:hyperlink w:anchor="__RefHeading___Toc5118881_2314609296">
            <w:r>
              <w:rPr>
                <w:webHidden/>
                <w:rStyle w:val="IndexLink"/>
                <w:rtl w:val="true"/>
              </w:rPr>
              <w:t>و روایة إسماعیل بن الفضل الهاشمی</w:t>
            </w:r>
            <w:r>
              <w:rPr>
                <w:rStyle w:val="IndexLink"/>
                <w:rtl w:val="true"/>
              </w:rPr>
              <w:tab/>
            </w:r>
            <w:r>
              <w:rPr>
                <w:rStyle w:val="IndexLink"/>
              </w:rPr>
              <w:t>22</w:t>
            </w:r>
          </w:hyperlink>
        </w:p>
        <w:p>
          <w:pPr>
            <w:pStyle w:val="Contents6"/>
            <w:tabs>
              <w:tab w:val="clear" w:pos="7609"/>
              <w:tab w:val="right" w:pos="9026" w:leader="dot"/>
            </w:tabs>
            <w:rPr/>
          </w:pPr>
          <w:hyperlink w:anchor="__RefHeading___Toc5118883_2314609296">
            <w:r>
              <w:rPr>
                <w:webHidden/>
                <w:rStyle w:val="IndexLink"/>
                <w:rtl w:val="true"/>
              </w:rPr>
              <w:t>و فی خبر أبی الربیع</w:t>
            </w:r>
            <w:r>
              <w:rPr>
                <w:rStyle w:val="IndexLink"/>
                <w:rtl w:val="true"/>
              </w:rPr>
              <w:t>:</w:t>
              <w:tab/>
            </w:r>
            <w:r>
              <w:rPr>
                <w:rStyle w:val="IndexLink"/>
              </w:rPr>
              <w:t>22</w:t>
            </w:r>
          </w:hyperlink>
        </w:p>
        <w:p>
          <w:pPr>
            <w:pStyle w:val="Contents6"/>
            <w:tabs>
              <w:tab w:val="clear" w:pos="7609"/>
              <w:tab w:val="right" w:pos="9026" w:leader="dot"/>
            </w:tabs>
            <w:rPr/>
          </w:pPr>
          <w:hyperlink w:anchor="__RefHeading___Toc5118885_2314609296">
            <w:r>
              <w:rPr>
                <w:webHidden/>
                <w:rStyle w:val="IndexLink"/>
                <w:rtl w:val="true"/>
              </w:rPr>
              <w:t>و ظاهره</w:t>
            </w:r>
            <w:r>
              <w:rPr>
                <w:rStyle w:val="IndexLink"/>
                <w:rtl w:val="true"/>
              </w:rPr>
              <w:tab/>
            </w:r>
            <w:r>
              <w:rPr>
                <w:rStyle w:val="IndexLink"/>
              </w:rPr>
              <w:t>23</w:t>
            </w:r>
          </w:hyperlink>
        </w:p>
        <w:p>
          <w:pPr>
            <w:pStyle w:val="Contents6"/>
            <w:tabs>
              <w:tab w:val="clear" w:pos="7609"/>
              <w:tab w:val="right" w:pos="9026" w:leader="dot"/>
            </w:tabs>
            <w:rPr/>
          </w:pPr>
          <w:hyperlink w:anchor="__RefHeading___Toc5118887_2314609296">
            <w:r>
              <w:rPr>
                <w:webHidden/>
                <w:rStyle w:val="IndexLink"/>
                <w:rtl w:val="true"/>
              </w:rPr>
              <w:t>[</w:t>
            </w:r>
            <w:r>
              <w:rPr>
                <w:rStyle w:val="IndexLink"/>
                <w:rtl w:val="true"/>
              </w:rPr>
              <w:t>ثبوت حق الأولویة فیها للمشتری</w:t>
            </w:r>
            <w:r>
              <w:rPr>
                <w:rStyle w:val="IndexLink"/>
                <w:rtl w:val="true"/>
              </w:rPr>
              <w:t>]</w:t>
              <w:tab/>
            </w:r>
            <w:r>
              <w:rPr>
                <w:rStyle w:val="IndexLink"/>
              </w:rPr>
              <w:t>23</w:t>
            </w:r>
          </w:hyperlink>
        </w:p>
        <w:p>
          <w:pPr>
            <w:pStyle w:val="Contents6"/>
            <w:tabs>
              <w:tab w:val="clear" w:pos="7609"/>
              <w:tab w:val="right" w:pos="9026" w:leader="dot"/>
            </w:tabs>
            <w:rPr/>
          </w:pPr>
          <w:hyperlink w:anchor="__RefHeading___Toc5118889_2314609296">
            <w:r>
              <w:rPr>
                <w:webHidden/>
                <w:rStyle w:val="IndexLink"/>
                <w:rtl w:val="true"/>
              </w:rPr>
              <w:t>ظاهر عبارة المبسوط إطلاق المنع عن التصرّف فیها،</w:t>
            </w:r>
            <w:r>
              <w:rPr>
                <w:rStyle w:val="IndexLink"/>
                <w:rtl w:val="true"/>
              </w:rPr>
              <w:tab/>
            </w:r>
            <w:r>
              <w:rPr>
                <w:rStyle w:val="IndexLink"/>
              </w:rPr>
              <w:t>23</w:t>
            </w:r>
          </w:hyperlink>
        </w:p>
        <w:p>
          <w:pPr>
            <w:pStyle w:val="Contents6"/>
            <w:tabs>
              <w:tab w:val="clear" w:pos="7609"/>
              <w:tab w:val="right" w:pos="9026" w:leader="dot"/>
            </w:tabs>
            <w:rPr/>
          </w:pPr>
          <w:hyperlink w:anchor="__RefHeading___Toc5118891_2314609296">
            <w:r>
              <w:rPr>
                <w:webHidden/>
                <w:rStyle w:val="IndexLink"/>
                <w:rtl w:val="true"/>
              </w:rPr>
              <w:t>[</w:t>
            </w:r>
            <w:r>
              <w:rPr>
                <w:rStyle w:val="IndexLink"/>
                <w:rtl w:val="true"/>
              </w:rPr>
              <w:t>کلام الشهید فی الدروس</w:t>
            </w:r>
            <w:r>
              <w:rPr>
                <w:rStyle w:val="IndexLink"/>
                <w:rtl w:val="true"/>
              </w:rPr>
              <w:t>]</w:t>
              <w:tab/>
            </w:r>
            <w:r>
              <w:rPr>
                <w:rStyle w:val="IndexLink"/>
              </w:rPr>
              <w:t>24</w:t>
            </w:r>
          </w:hyperlink>
        </w:p>
        <w:p>
          <w:pPr>
            <w:pStyle w:val="Contents6"/>
            <w:tabs>
              <w:tab w:val="clear" w:pos="7609"/>
              <w:tab w:val="right" w:pos="9026" w:leader="dot"/>
            </w:tabs>
            <w:rPr/>
          </w:pPr>
          <w:hyperlink w:anchor="__RefHeading___Toc5118893_2314609296">
            <w:r>
              <w:rPr>
                <w:webHidden/>
                <w:rStyle w:val="IndexLink"/>
                <w:rtl w:val="true"/>
              </w:rPr>
              <w:t>[</w:t>
            </w:r>
            <w:r>
              <w:rPr>
                <w:rStyle w:val="IndexLink"/>
                <w:rtl w:val="true"/>
              </w:rPr>
              <w:t>ظهور کلام الشهید الثانی فی جواز البیع تبعا للآثار</w:t>
            </w:r>
            <w:r>
              <w:rPr>
                <w:rStyle w:val="IndexLink"/>
                <w:rtl w:val="true"/>
              </w:rPr>
              <w:t>]</w:t>
              <w:tab/>
            </w:r>
            <w:r>
              <w:rPr>
                <w:rStyle w:val="IndexLink"/>
              </w:rPr>
              <w:t>24</w:t>
            </w:r>
          </w:hyperlink>
        </w:p>
        <w:p>
          <w:pPr>
            <w:pStyle w:val="Contents6"/>
            <w:tabs>
              <w:tab w:val="clear" w:pos="7609"/>
              <w:tab w:val="right" w:pos="9026" w:leader="dot"/>
            </w:tabs>
            <w:rPr/>
          </w:pPr>
          <w:hyperlink w:anchor="__RefHeading___Toc5118895_2314609296">
            <w:r>
              <w:rPr>
                <w:webHidden/>
                <w:rStyle w:val="IndexLink"/>
                <w:rtl w:val="true"/>
              </w:rPr>
              <w:t>ربما یظهر من عبارة الشیخ فی التهذیب جواز البیع و الشراء فی نفس الرقبة،</w:t>
            </w:r>
            <w:r>
              <w:rPr>
                <w:rStyle w:val="IndexLink"/>
                <w:rtl w:val="true"/>
              </w:rPr>
              <w:tab/>
            </w:r>
            <w:r>
              <w:rPr>
                <w:rStyle w:val="IndexLink"/>
              </w:rPr>
              <w:t>25</w:t>
            </w:r>
          </w:hyperlink>
        </w:p>
        <w:p>
          <w:pPr>
            <w:pStyle w:val="Contents6"/>
            <w:tabs>
              <w:tab w:val="clear" w:pos="7609"/>
              <w:tab w:val="right" w:pos="9026" w:leader="dot"/>
            </w:tabs>
            <w:rPr/>
          </w:pPr>
          <w:hyperlink w:anchor="__RefHeading___Toc5118897_2314609296">
            <w:r>
              <w:rPr>
                <w:webHidden/>
                <w:rStyle w:val="IndexLink"/>
                <w:rtl w:val="true"/>
              </w:rPr>
              <w:t>[</w:t>
            </w:r>
            <w:r>
              <w:rPr>
                <w:rStyle w:val="IndexLink"/>
                <w:rtl w:val="true"/>
              </w:rPr>
              <w:t>المتیقن ثبوت حق الاختصاص للمتصرف لا الملک</w:t>
            </w:r>
            <w:r>
              <w:rPr>
                <w:rStyle w:val="IndexLink"/>
                <w:rtl w:val="true"/>
              </w:rPr>
              <w:t>]</w:t>
              <w:tab/>
            </w:r>
            <w:r>
              <w:rPr>
                <w:rStyle w:val="IndexLink"/>
              </w:rPr>
              <w:t>26</w:t>
            </w:r>
          </w:hyperlink>
        </w:p>
        <w:p>
          <w:pPr>
            <w:pStyle w:val="Contents6"/>
            <w:tabs>
              <w:tab w:val="clear" w:pos="7609"/>
              <w:tab w:val="right" w:pos="9026" w:leader="dot"/>
            </w:tabs>
            <w:rPr/>
          </w:pPr>
          <w:hyperlink w:anchor="__RefHeading___Toc5118899_2314609296">
            <w:r>
              <w:rPr>
                <w:webHidden/>
                <w:rStyle w:val="IndexLink"/>
                <w:rtl w:val="true"/>
              </w:rPr>
              <w:t>فی زمان الحضور و التمکّن من الاستئذان،فلا ینبغی الإشکال فی توقّف التصرّف علی إذن الإمام علیه السلام؛</w:t>
            </w:r>
            <w:r>
              <w:rPr>
                <w:rStyle w:val="IndexLink"/>
                <w:rtl w:val="true"/>
              </w:rPr>
              <w:tab/>
            </w:r>
            <w:r>
              <w:rPr>
                <w:rStyle w:val="IndexLink"/>
              </w:rPr>
              <w:t>26</w:t>
            </w:r>
          </w:hyperlink>
        </w:p>
        <w:p>
          <w:pPr>
            <w:pStyle w:val="Contents6"/>
            <w:tabs>
              <w:tab w:val="clear" w:pos="7609"/>
              <w:tab w:val="right" w:pos="9026" w:leader="dot"/>
            </w:tabs>
            <w:rPr/>
          </w:pPr>
          <w:hyperlink w:anchor="__RefHeading___Toc5118901_2314609296">
            <w:r>
              <w:rPr>
                <w:webHidden/>
                <w:rStyle w:val="IndexLink"/>
                <w:rtl w:val="true"/>
              </w:rPr>
              <w:t>و أمّا فی زمان الغیبة،</w:t>
            </w:r>
            <w:r>
              <w:rPr>
                <w:rStyle w:val="IndexLink"/>
                <w:rtl w:val="true"/>
              </w:rPr>
              <w:tab/>
            </w:r>
            <w:r>
              <w:rPr>
                <w:rStyle w:val="IndexLink"/>
              </w:rPr>
              <w:t>26</w:t>
            </w:r>
          </w:hyperlink>
        </w:p>
        <w:p>
          <w:pPr>
            <w:pStyle w:val="Contents6"/>
            <w:tabs>
              <w:tab w:val="clear" w:pos="7609"/>
              <w:tab w:val="right" w:pos="9026" w:leader="dot"/>
            </w:tabs>
            <w:rPr/>
          </w:pPr>
          <w:hyperlink w:anchor="__RefHeading___Toc5118903_2314609296">
            <w:r>
              <w:rPr>
                <w:webHidden/>
                <w:rStyle w:val="IndexLink"/>
                <w:rtl w:val="true"/>
              </w:rPr>
              <w:t>[</w:t>
            </w:r>
            <w:r>
              <w:rPr>
                <w:rStyle w:val="IndexLink"/>
                <w:rtl w:val="true"/>
              </w:rPr>
              <w:t>حکم ما ینفصل من المفتوح عنوة</w:t>
            </w:r>
            <w:r>
              <w:rPr>
                <w:rStyle w:val="IndexLink"/>
                <w:rtl w:val="true"/>
              </w:rPr>
              <w:t>]</w:t>
              <w:tab/>
            </w:r>
            <w:r>
              <w:rPr>
                <w:rStyle w:val="IndexLink"/>
              </w:rPr>
              <w:t>28</w:t>
            </w:r>
          </w:hyperlink>
        </w:p>
        <w:p>
          <w:pPr>
            <w:pStyle w:val="Contents4"/>
            <w:tabs>
              <w:tab w:val="clear" w:pos="8176"/>
              <w:tab w:val="right" w:pos="9026" w:leader="dot"/>
            </w:tabs>
            <w:rPr/>
          </w:pPr>
          <w:hyperlink w:anchor="__RefHeading___Toc5118905_2314609296">
            <w:r>
              <w:rPr>
                <w:webHidden/>
                <w:rStyle w:val="IndexLink"/>
                <w:rtl w:val="true"/>
              </w:rPr>
              <w:t xml:space="preserve">مسألة </w:t>
            </w:r>
            <w:r>
              <w:rPr>
                <w:rStyle w:val="IndexLink"/>
                <w:rtl w:val="true"/>
              </w:rPr>
              <w:t>[</w:t>
            </w:r>
            <w:r>
              <w:rPr>
                <w:rStyle w:val="IndexLink"/>
                <w:rtl w:val="true"/>
              </w:rPr>
              <w:t>من شروط العوضین</w:t>
            </w:r>
            <w:r>
              <w:rPr>
                <w:rStyle w:val="IndexLink"/>
                <w:rtl w:val="true"/>
              </w:rPr>
              <w:t>:</w:t>
            </w:r>
            <w:r>
              <w:rPr>
                <w:rStyle w:val="IndexLink"/>
                <w:rtl w:val="true"/>
              </w:rPr>
              <w:t>کونه طِلْقاً</w:t>
            </w:r>
            <w:r>
              <w:rPr>
                <w:rStyle w:val="IndexLink"/>
                <w:rtl w:val="true"/>
              </w:rPr>
              <w:t>]</w:t>
              <w:tab/>
            </w:r>
            <w:r>
              <w:rPr>
                <w:rStyle w:val="IndexLink"/>
              </w:rPr>
              <w:t>30</w:t>
            </w:r>
          </w:hyperlink>
        </w:p>
        <w:p>
          <w:pPr>
            <w:pStyle w:val="Contents5"/>
            <w:tabs>
              <w:tab w:val="clear" w:pos="7892"/>
              <w:tab w:val="right" w:pos="9026" w:leader="dot"/>
            </w:tabs>
            <w:rPr/>
          </w:pPr>
          <w:hyperlink w:anchor="__RefHeading___Toc5118907_2314609296">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5118909_2314609296">
            <w:r>
              <w:rPr>
                <w:webHidden/>
                <w:rStyle w:val="IndexLink"/>
                <w:rtl w:val="true"/>
              </w:rPr>
              <w:t>و المراد ب</w:t>
            </w:r>
            <w:r>
              <w:rPr>
                <w:rStyle w:val="IndexLink"/>
                <w:rtl w:val="true"/>
              </w:rPr>
              <w:t>«</w:t>
            </w:r>
            <w:r>
              <w:rPr>
                <w:rStyle w:val="IndexLink"/>
                <w:rtl w:val="true"/>
              </w:rPr>
              <w:t>الطلْق</w:t>
            </w:r>
            <w:r>
              <w:rPr>
                <w:rStyle w:val="IndexLink"/>
                <w:rtl w:val="true"/>
              </w:rPr>
              <w:t>»</w:t>
            </w:r>
            <w:r>
              <w:rPr>
                <w:rStyle w:val="IndexLink"/>
                <w:rtl w:val="true"/>
              </w:rPr>
              <w:t>تمام السلطنة علی الملک</w:t>
            </w:r>
            <w:r>
              <w:rPr>
                <w:rStyle w:val="IndexLink"/>
                <w:rtl w:val="true"/>
              </w:rPr>
              <w:tab/>
            </w:r>
            <w:r>
              <w:rPr>
                <w:rStyle w:val="IndexLink"/>
              </w:rPr>
              <w:t>30</w:t>
            </w:r>
          </w:hyperlink>
        </w:p>
        <w:p>
          <w:pPr>
            <w:pStyle w:val="Contents5"/>
            <w:tabs>
              <w:tab w:val="clear" w:pos="7892"/>
              <w:tab w:val="right" w:pos="9026" w:leader="dot"/>
            </w:tabs>
            <w:rPr/>
          </w:pPr>
          <w:hyperlink w:anchor="__RefHeading___Toc5118911_2314609296">
            <w:r>
              <w:rPr>
                <w:webHidden/>
                <w:rStyle w:val="IndexLink"/>
                <w:rtl w:val="true"/>
              </w:rPr>
              <w:t>[</w:t>
            </w:r>
            <w:r>
              <w:rPr>
                <w:rStyle w:val="IndexLink"/>
                <w:rtl w:val="true"/>
              </w:rPr>
              <w:t>الحقوق المانعة عن تصرف المالک فی ملکه</w:t>
            </w:r>
            <w:r>
              <w:rPr>
                <w:rStyle w:val="IndexLink"/>
                <w:rtl w:val="true"/>
              </w:rPr>
              <w:t>]</w:t>
              <w:tab/>
            </w:r>
            <w:r>
              <w:rPr>
                <w:rStyle w:val="IndexLink"/>
              </w:rPr>
              <w:t>31</w:t>
            </w:r>
          </w:hyperlink>
        </w:p>
        <w:p>
          <w:pPr>
            <w:pStyle w:val="Contents5"/>
            <w:tabs>
              <w:tab w:val="clear" w:pos="7892"/>
              <w:tab w:val="right" w:pos="9026" w:leader="dot"/>
            </w:tabs>
            <w:rPr/>
          </w:pPr>
          <w:hyperlink w:anchor="__RefHeading___Toc5118913_2314609296">
            <w:r>
              <w:rPr>
                <w:webHidden/>
                <w:rStyle w:val="IndexLink"/>
                <w:rtl w:val="true"/>
              </w:rPr>
              <w:t>مسألة لا یجوز بیع الوقف إجماعاً محقّقاً فی الجملة و محکیّاً</w:t>
            </w:r>
            <w:r>
              <w:rPr>
                <w:rStyle w:val="IndexLink"/>
                <w:rtl w:val="true"/>
              </w:rPr>
              <w:tab/>
            </w:r>
            <w:r>
              <w:rPr>
                <w:rStyle w:val="IndexLink"/>
              </w:rPr>
              <w:t>34</w:t>
            </w:r>
          </w:hyperlink>
        </w:p>
        <w:p>
          <w:pPr>
            <w:pStyle w:val="Contents6"/>
            <w:tabs>
              <w:tab w:val="clear" w:pos="7609"/>
              <w:tab w:val="right" w:pos="9026" w:leader="dot"/>
            </w:tabs>
            <w:rPr/>
          </w:pPr>
          <w:hyperlink w:anchor="__RefHeading___Toc5118915_2314609296">
            <w:r>
              <w:rPr>
                <w:webHidden/>
                <w:rStyle w:val="IndexLink"/>
                <w:rtl w:val="true"/>
              </w:rPr>
              <w:t>اشاره</w:t>
            </w:r>
            <w:r>
              <w:rPr>
                <w:rStyle w:val="IndexLink"/>
                <w:rtl w:val="true"/>
              </w:rPr>
              <w:tab/>
            </w:r>
            <w:r>
              <w:rPr>
                <w:rStyle w:val="IndexLink"/>
              </w:rPr>
              <w:t>34</w:t>
            </w:r>
          </w:hyperlink>
        </w:p>
        <w:p>
          <w:pPr>
            <w:pStyle w:val="Contents6"/>
            <w:tabs>
              <w:tab w:val="clear" w:pos="7609"/>
              <w:tab w:val="right" w:pos="9026" w:leader="dot"/>
            </w:tabs>
            <w:rPr/>
          </w:pPr>
          <w:hyperlink w:anchor="__RefHeading___Toc5118917_2314609296">
            <w:r>
              <w:rPr>
                <w:webHidden/>
                <w:rStyle w:val="IndexLink"/>
                <w:rtl w:val="true"/>
              </w:rPr>
              <w:t>[</w:t>
            </w:r>
            <w:r>
              <w:rPr>
                <w:rStyle w:val="IndexLink"/>
                <w:rtl w:val="true"/>
              </w:rPr>
              <w:t>صورة وقف أمیر المؤمنین علیه السلام</w:t>
            </w:r>
            <w:r>
              <w:rPr>
                <w:rStyle w:val="IndexLink"/>
                <w:rtl w:val="true"/>
              </w:rPr>
              <w:t>]</w:t>
              <w:tab/>
            </w:r>
            <w:r>
              <w:rPr>
                <w:rStyle w:val="IndexLink"/>
              </w:rPr>
              <w:t>35</w:t>
            </w:r>
          </w:hyperlink>
        </w:p>
        <w:p>
          <w:pPr>
            <w:pStyle w:val="Contents6"/>
            <w:tabs>
              <w:tab w:val="clear" w:pos="7609"/>
              <w:tab w:val="right" w:pos="9026" w:leader="dot"/>
            </w:tabs>
            <w:rPr/>
          </w:pPr>
          <w:hyperlink w:anchor="__RefHeading___Toc5118919_2314609296">
            <w:r>
              <w:rPr>
                <w:webHidden/>
                <w:rStyle w:val="IndexLink"/>
                <w:rtl w:val="true"/>
              </w:rPr>
              <w:t>أنّ المانع عن بیع الوقف أُمور ثلاثة</w:t>
            </w:r>
            <w:r>
              <w:rPr>
                <w:rStyle w:val="IndexLink"/>
                <w:rtl w:val="true"/>
              </w:rPr>
              <w:t>:</w:t>
              <w:tab/>
            </w:r>
            <w:r>
              <w:rPr>
                <w:rStyle w:val="IndexLink"/>
              </w:rPr>
              <w:t>36</w:t>
            </w:r>
          </w:hyperlink>
        </w:p>
        <w:p>
          <w:pPr>
            <w:pStyle w:val="Contents6"/>
            <w:tabs>
              <w:tab w:val="clear" w:pos="7609"/>
              <w:tab w:val="right" w:pos="9026" w:leader="dot"/>
            </w:tabs>
            <w:rPr/>
          </w:pPr>
          <w:hyperlink w:anchor="__RefHeading___Toc5118921_2314609296">
            <w:r>
              <w:rPr>
                <w:webHidden/>
                <w:rStyle w:val="IndexLink"/>
                <w:rtl w:val="true"/>
              </w:rPr>
              <w:t>حقّ الواقف،</w:t>
            </w:r>
            <w:r>
              <w:rPr>
                <w:rStyle w:val="IndexLink"/>
                <w:rtl w:val="true"/>
              </w:rPr>
              <w:tab/>
            </w:r>
            <w:r>
              <w:rPr>
                <w:rStyle w:val="IndexLink"/>
              </w:rPr>
              <w:t>36</w:t>
            </w:r>
          </w:hyperlink>
        </w:p>
        <w:p>
          <w:pPr>
            <w:pStyle w:val="Contents6"/>
            <w:tabs>
              <w:tab w:val="clear" w:pos="7609"/>
              <w:tab w:val="right" w:pos="9026" w:leader="dot"/>
            </w:tabs>
            <w:rPr/>
          </w:pPr>
          <w:hyperlink w:anchor="__RefHeading___Toc5118923_2314609296">
            <w:r>
              <w:rPr>
                <w:webHidden/>
                <w:rStyle w:val="IndexLink"/>
                <w:rtl w:val="true"/>
              </w:rPr>
              <w:t>و حقّ البطون المتأخّرة عن بطن البائع</w:t>
            </w:r>
            <w:r>
              <w:rPr>
                <w:rStyle w:val="IndexLink"/>
                <w:rtl w:val="true"/>
              </w:rPr>
              <w:tab/>
            </w:r>
            <w:r>
              <w:rPr>
                <w:rStyle w:val="IndexLink"/>
              </w:rPr>
              <w:t>36</w:t>
            </w:r>
          </w:hyperlink>
        </w:p>
        <w:p>
          <w:pPr>
            <w:pStyle w:val="Contents6"/>
            <w:tabs>
              <w:tab w:val="clear" w:pos="7609"/>
              <w:tab w:val="right" w:pos="9026" w:leader="dot"/>
            </w:tabs>
            <w:rPr/>
          </w:pPr>
          <w:hyperlink w:anchor="__RefHeading___Toc5118925_2314609296">
            <w:r>
              <w:rPr>
                <w:webHidden/>
                <w:rStyle w:val="IndexLink"/>
                <w:rtl w:val="true"/>
              </w:rPr>
              <w:t>و التعبّد الشرعی المکشوف عنه بالروایات؛</w:t>
            </w:r>
            <w:r>
              <w:rPr>
                <w:rStyle w:val="IndexLink"/>
                <w:rtl w:val="true"/>
              </w:rPr>
              <w:tab/>
            </w:r>
            <w:r>
              <w:rPr>
                <w:rStyle w:val="IndexLink"/>
              </w:rPr>
              <w:t>37</w:t>
            </w:r>
          </w:hyperlink>
        </w:p>
        <w:p>
          <w:pPr>
            <w:pStyle w:val="Contents6"/>
            <w:tabs>
              <w:tab w:val="clear" w:pos="7609"/>
              <w:tab w:val="right" w:pos="9026" w:leader="dot"/>
            </w:tabs>
            <w:rPr/>
          </w:pPr>
          <w:hyperlink w:anchor="__RefHeading___Toc5118927_2314609296">
            <w:r>
              <w:rPr>
                <w:webHidden/>
                <w:rStyle w:val="IndexLink"/>
                <w:rtl w:val="true"/>
              </w:rPr>
              <w:t>[</w:t>
            </w:r>
            <w:r>
              <w:rPr>
                <w:rStyle w:val="IndexLink"/>
                <w:rtl w:val="true"/>
              </w:rPr>
              <w:t>هل الوقف یبطل بنفس البیع أو بجوازه</w:t>
            </w:r>
            <w:r>
              <w:rPr>
                <w:rStyle w:val="IndexLink"/>
                <w:rtl w:val="true"/>
              </w:rPr>
              <w:t>]</w:t>
              <w:tab/>
            </w:r>
            <w:r>
              <w:rPr>
                <w:rStyle w:val="IndexLink"/>
              </w:rPr>
              <w:t>37</w:t>
            </w:r>
          </w:hyperlink>
        </w:p>
        <w:p>
          <w:pPr>
            <w:pStyle w:val="Contents6"/>
            <w:tabs>
              <w:tab w:val="clear" w:pos="7609"/>
              <w:tab w:val="right" w:pos="9026" w:leader="dot"/>
            </w:tabs>
            <w:rPr/>
          </w:pPr>
          <w:hyperlink w:anchor="__RefHeading___Toc5118929_2314609296">
            <w:r>
              <w:rPr>
                <w:webHidden/>
                <w:rStyle w:val="IndexLink"/>
                <w:rtl w:val="true"/>
              </w:rPr>
              <w:t>[</w:t>
            </w:r>
            <w:r>
              <w:rPr>
                <w:rStyle w:val="IndexLink"/>
                <w:rtl w:val="true"/>
              </w:rPr>
              <w:t>کلام صاحب الجواهر و کاشف الغطاء فی أن الوقف یبطل بمجرد جواز البیع و المناقشة فیما أفاد صاحب الجواهر و کاشف الغطاء</w:t>
            </w:r>
            <w:r>
              <w:rPr>
                <w:rStyle w:val="IndexLink"/>
                <w:rtl w:val="true"/>
              </w:rPr>
              <w:t>]</w:t>
              <w:tab/>
            </w:r>
            <w:r>
              <w:rPr>
                <w:rStyle w:val="IndexLink"/>
              </w:rPr>
              <w:t>37</w:t>
            </w:r>
          </w:hyperlink>
        </w:p>
        <w:p>
          <w:pPr>
            <w:pStyle w:val="Contents6"/>
            <w:tabs>
              <w:tab w:val="clear" w:pos="7609"/>
              <w:tab w:val="right" w:pos="9026" w:leader="dot"/>
            </w:tabs>
            <w:rPr/>
          </w:pPr>
          <w:hyperlink w:anchor="__RefHeading___Toc5118931_2314609296">
            <w:r>
              <w:rPr>
                <w:webHidden/>
                <w:rStyle w:val="IndexLink"/>
                <w:rtl w:val="true"/>
              </w:rPr>
              <w:t>[</w:t>
            </w:r>
            <w:r>
              <w:rPr>
                <w:rStyle w:val="IndexLink"/>
                <w:rtl w:val="true"/>
              </w:rPr>
              <w:t>الأقوال فی الخروج عن عموم منع بیع الوقف</w:t>
            </w:r>
            <w:r>
              <w:rPr>
                <w:rStyle w:val="IndexLink"/>
                <w:rtl w:val="true"/>
              </w:rPr>
              <w:t>]</w:t>
              <w:tab/>
            </w:r>
            <w:r>
              <w:rPr>
                <w:rStyle w:val="IndexLink"/>
              </w:rPr>
              <w:t>39</w:t>
            </w:r>
          </w:hyperlink>
        </w:p>
        <w:p>
          <w:pPr>
            <w:pStyle w:val="Contents6"/>
            <w:tabs>
              <w:tab w:val="clear" w:pos="7609"/>
              <w:tab w:val="right" w:pos="9026" w:leader="dot"/>
            </w:tabs>
            <w:rPr/>
          </w:pPr>
          <w:hyperlink w:anchor="__RefHeading___Toc5118933_2314609296">
            <w:r>
              <w:rPr>
                <w:webHidden/>
                <w:rStyle w:val="IndexLink"/>
                <w:rtl w:val="true"/>
              </w:rPr>
              <w:t>فاعلم أنّ لأصحابنا فی الخروج عن عموم المنع فی الجملة أقوالاً</w:t>
            </w:r>
            <w:r>
              <w:rPr>
                <w:rStyle w:val="IndexLink"/>
                <w:rtl w:val="true"/>
              </w:rPr>
              <w:t>:</w:t>
              <w:tab/>
            </w:r>
            <w:r>
              <w:rPr>
                <w:rStyle w:val="IndexLink"/>
              </w:rPr>
              <w:t>39</w:t>
            </w:r>
          </w:hyperlink>
        </w:p>
        <w:p>
          <w:pPr>
            <w:pStyle w:val="Contents6"/>
            <w:tabs>
              <w:tab w:val="clear" w:pos="7609"/>
              <w:tab w:val="right" w:pos="9026" w:leader="dot"/>
            </w:tabs>
            <w:rPr/>
          </w:pPr>
          <w:hyperlink w:anchor="__RefHeading___Toc5118935_2314609296">
            <w:r>
              <w:rPr>
                <w:webHidden/>
                <w:rStyle w:val="IndexLink"/>
                <w:rtl w:val="true"/>
              </w:rPr>
              <w:t>أحدها</w:t>
            </w:r>
            <w:r>
              <w:rPr>
                <w:rStyle w:val="IndexLink"/>
                <w:rtl w:val="true"/>
              </w:rPr>
              <w:t xml:space="preserve">: </w:t>
            </w:r>
            <w:r>
              <w:rPr>
                <w:rStyle w:val="IndexLink"/>
                <w:rtl w:val="true"/>
              </w:rPr>
              <w:t>عدم الخروج عنه أصلاً،</w:t>
            </w:r>
            <w:r>
              <w:rPr>
                <w:rStyle w:val="IndexLink"/>
                <w:rtl w:val="true"/>
              </w:rPr>
              <w:tab/>
            </w:r>
            <w:r>
              <w:rPr>
                <w:rStyle w:val="IndexLink"/>
              </w:rPr>
              <w:t>39</w:t>
            </w:r>
          </w:hyperlink>
        </w:p>
        <w:p>
          <w:pPr>
            <w:pStyle w:val="Contents6"/>
            <w:tabs>
              <w:tab w:val="clear" w:pos="7609"/>
              <w:tab w:val="right" w:pos="9026" w:leader="dot"/>
            </w:tabs>
            <w:rPr/>
          </w:pPr>
          <w:hyperlink w:anchor="__RefHeading___Toc5118937_2314609296">
            <w:r>
              <w:rPr>
                <w:webHidden/>
                <w:rStyle w:val="IndexLink"/>
                <w:rtl w:val="true"/>
              </w:rPr>
              <w:t>الثانی الخروج عن عموم المنع فی المنقطع فی الجملة</w:t>
            </w:r>
            <w:r>
              <w:rPr>
                <w:rStyle w:val="IndexLink"/>
                <w:rtl w:val="true"/>
              </w:rPr>
              <w:tab/>
            </w:r>
            <w:r>
              <w:rPr>
                <w:rStyle w:val="IndexLink"/>
              </w:rPr>
              <w:t>41</w:t>
            </w:r>
          </w:hyperlink>
        </w:p>
        <w:p>
          <w:pPr>
            <w:pStyle w:val="Contents6"/>
            <w:tabs>
              <w:tab w:val="clear" w:pos="7609"/>
              <w:tab w:val="right" w:pos="9026" w:leader="dot"/>
            </w:tabs>
            <w:rPr/>
          </w:pPr>
          <w:hyperlink w:anchor="__RefHeading___Toc5118939_2314609296">
            <w:r>
              <w:rPr>
                <w:webHidden/>
                <w:rStyle w:val="IndexLink"/>
                <w:rtl w:val="true"/>
              </w:rPr>
              <w:t>الثالث</w:t>
            </w:r>
            <w:r>
              <w:rPr>
                <w:rStyle w:val="IndexLink"/>
                <w:rtl w:val="true"/>
              </w:rPr>
              <w:t xml:space="preserve">: </w:t>
            </w:r>
            <w:r>
              <w:rPr>
                <w:rStyle w:val="IndexLink"/>
                <w:rtl w:val="true"/>
              </w:rPr>
              <w:t>الخروج عن عموم المنع و الحکم بالجواز فی المؤبّد</w:t>
            </w:r>
            <w:r>
              <w:rPr>
                <w:rStyle w:val="IndexLink"/>
                <w:rtl w:val="true"/>
              </w:rPr>
              <w:tab/>
            </w:r>
            <w:r>
              <w:rPr>
                <w:rStyle w:val="IndexLink"/>
              </w:rPr>
              <w:t>44</w:t>
            </w:r>
          </w:hyperlink>
        </w:p>
        <w:p>
          <w:pPr>
            <w:pStyle w:val="Contents6"/>
            <w:tabs>
              <w:tab w:val="clear" w:pos="7609"/>
              <w:tab w:val="right" w:pos="9026" w:leader="dot"/>
            </w:tabs>
            <w:rPr/>
          </w:pPr>
          <w:hyperlink w:anchor="__RefHeading___Toc5118941_2314609296">
            <w:r>
              <w:rPr>
                <w:webHidden/>
                <w:rStyle w:val="IndexLink"/>
                <w:rtl w:val="true"/>
              </w:rPr>
              <w:t>و کیف کان،فالمناسب أوّلاً نقل عبائر هؤلاء،</w:t>
            </w:r>
            <w:r>
              <w:rPr>
                <w:rStyle w:val="IndexLink"/>
                <w:rtl w:val="true"/>
              </w:rPr>
              <w:tab/>
            </w:r>
            <w:r>
              <w:rPr>
                <w:rStyle w:val="IndexLink"/>
              </w:rPr>
              <w:t>44</w:t>
            </w:r>
          </w:hyperlink>
        </w:p>
        <w:p>
          <w:pPr>
            <w:pStyle w:val="Contents6"/>
            <w:tabs>
              <w:tab w:val="clear" w:pos="7609"/>
              <w:tab w:val="right" w:pos="9026" w:leader="dot"/>
            </w:tabs>
            <w:rPr/>
          </w:pPr>
          <w:hyperlink w:anchor="__RefHeading___Toc5118943_2314609296">
            <w:r>
              <w:rPr>
                <w:webHidden/>
                <w:rStyle w:val="IndexLink"/>
                <w:rtl w:val="true"/>
              </w:rPr>
              <w:t>قال المفید فی المقنعة</w:t>
            </w:r>
            <w:r>
              <w:rPr>
                <w:rStyle w:val="IndexLink"/>
                <w:rtl w:val="true"/>
              </w:rPr>
              <w:t>:</w:t>
              <w:tab/>
            </w:r>
            <w:r>
              <w:rPr>
                <w:rStyle w:val="IndexLink"/>
              </w:rPr>
              <w:t>44</w:t>
            </w:r>
          </w:hyperlink>
        </w:p>
        <w:p>
          <w:pPr>
            <w:pStyle w:val="Contents6"/>
            <w:tabs>
              <w:tab w:val="clear" w:pos="7609"/>
              <w:tab w:val="right" w:pos="9026" w:leader="dot"/>
            </w:tabs>
            <w:rPr/>
          </w:pPr>
          <w:hyperlink w:anchor="__RefHeading___Toc5118945_2314609296">
            <w:r>
              <w:rPr>
                <w:webHidden/>
                <w:rStyle w:val="IndexLink"/>
                <w:rtl w:val="true"/>
              </w:rPr>
              <w:t>[</w:t>
            </w:r>
            <w:r>
              <w:rPr>
                <w:rStyle w:val="IndexLink"/>
                <w:rtl w:val="true"/>
              </w:rPr>
              <w:t>کلام السید المرتضی قدس سره</w:t>
            </w:r>
            <w:r>
              <w:rPr>
                <w:rStyle w:val="IndexLink"/>
                <w:rtl w:val="true"/>
              </w:rPr>
              <w:t>]</w:t>
              <w:tab/>
            </w:r>
            <w:r>
              <w:rPr>
                <w:rStyle w:val="IndexLink"/>
              </w:rPr>
              <w:t>46</w:t>
            </w:r>
          </w:hyperlink>
        </w:p>
        <w:p>
          <w:pPr>
            <w:pStyle w:val="Contents6"/>
            <w:tabs>
              <w:tab w:val="clear" w:pos="7609"/>
              <w:tab w:val="right" w:pos="9026" w:leader="dot"/>
            </w:tabs>
            <w:rPr/>
          </w:pPr>
          <w:hyperlink w:anchor="__RefHeading___Toc5118947_2314609296">
            <w:r>
              <w:rPr>
                <w:webHidden/>
                <w:rStyle w:val="IndexLink"/>
                <w:rtl w:val="true"/>
              </w:rPr>
              <w:t>[</w:t>
            </w:r>
            <w:r>
              <w:rPr>
                <w:rStyle w:val="IndexLink"/>
                <w:rtl w:val="true"/>
              </w:rPr>
              <w:t>کلام الشیخ الطوسی فی المبسوط</w:t>
            </w:r>
            <w:r>
              <w:rPr>
                <w:rStyle w:val="IndexLink"/>
                <w:rtl w:val="true"/>
              </w:rPr>
              <w:t>]</w:t>
              <w:tab/>
            </w:r>
            <w:r>
              <w:rPr>
                <w:rStyle w:val="IndexLink"/>
              </w:rPr>
              <w:t>47</w:t>
            </w:r>
          </w:hyperlink>
        </w:p>
        <w:p>
          <w:pPr>
            <w:pStyle w:val="Contents6"/>
            <w:tabs>
              <w:tab w:val="clear" w:pos="7609"/>
              <w:tab w:val="right" w:pos="9026" w:leader="dot"/>
            </w:tabs>
            <w:rPr/>
          </w:pPr>
          <w:hyperlink w:anchor="__RefHeading___Toc5118949_2314609296">
            <w:r>
              <w:rPr>
                <w:webHidden/>
                <w:rStyle w:val="IndexLink"/>
                <w:rtl w:val="true"/>
              </w:rPr>
              <w:t>و قال سلّار فیما حکی عنه</w:t>
            </w:r>
            <w:r>
              <w:rPr>
                <w:rStyle w:val="IndexLink"/>
                <w:rtl w:val="true"/>
              </w:rPr>
              <w:t>-:</w:t>
              <w:tab/>
            </w:r>
            <w:r>
              <w:rPr>
                <w:rStyle w:val="IndexLink"/>
              </w:rPr>
              <w:t>47</w:t>
            </w:r>
          </w:hyperlink>
        </w:p>
        <w:p>
          <w:pPr>
            <w:pStyle w:val="Contents6"/>
            <w:tabs>
              <w:tab w:val="clear" w:pos="7609"/>
              <w:tab w:val="right" w:pos="9026" w:leader="dot"/>
            </w:tabs>
            <w:rPr/>
          </w:pPr>
          <w:hyperlink w:anchor="__RefHeading___Toc5118951_2314609296">
            <w:r>
              <w:rPr>
                <w:webHidden/>
                <w:rStyle w:val="IndexLink"/>
                <w:rtl w:val="true"/>
              </w:rPr>
              <w:t xml:space="preserve">و قال </w:t>
            </w:r>
            <w:r>
              <w:rPr>
                <w:rStyle w:val="IndexLink"/>
                <w:rtl w:val="true"/>
              </w:rPr>
              <w:t>[</w:t>
            </w:r>
            <w:r>
              <w:rPr>
                <w:rStyle w:val="IndexLink"/>
                <w:rtl w:val="true"/>
              </w:rPr>
              <w:t>ابن زهرة قدس سره</w:t>
            </w:r>
            <w:r>
              <w:rPr>
                <w:rStyle w:val="IndexLink"/>
                <w:rtl w:val="true"/>
              </w:rPr>
              <w:t xml:space="preserve">] </w:t>
            </w:r>
            <w:r>
              <w:rPr>
                <w:rStyle w:val="IndexLink"/>
                <w:rtl w:val="true"/>
              </w:rPr>
              <w:t>فی الغنیة علی ما حکی عنه</w:t>
            </w:r>
            <w:r>
              <w:rPr>
                <w:rStyle w:val="IndexLink"/>
                <w:rtl w:val="true"/>
              </w:rPr>
              <w:t>-:</w:t>
              <w:tab/>
            </w:r>
            <w:r>
              <w:rPr>
                <w:rStyle w:val="IndexLink"/>
              </w:rPr>
              <w:t>47</w:t>
            </w:r>
          </w:hyperlink>
        </w:p>
        <w:p>
          <w:pPr>
            <w:pStyle w:val="Contents6"/>
            <w:tabs>
              <w:tab w:val="clear" w:pos="7609"/>
              <w:tab w:val="right" w:pos="9026" w:leader="dot"/>
            </w:tabs>
            <w:rPr/>
          </w:pPr>
          <w:hyperlink w:anchor="__RefHeading___Toc5118953_2314609296">
            <w:r>
              <w:rPr>
                <w:webHidden/>
                <w:rStyle w:val="IndexLink"/>
                <w:rtl w:val="true"/>
              </w:rPr>
              <w:t xml:space="preserve">و قال </w:t>
            </w:r>
            <w:r>
              <w:rPr>
                <w:rStyle w:val="IndexLink"/>
                <w:rtl w:val="true"/>
              </w:rPr>
              <w:t>[</w:t>
            </w:r>
            <w:r>
              <w:rPr>
                <w:rStyle w:val="IndexLink"/>
                <w:rtl w:val="true"/>
              </w:rPr>
              <w:t>ابن حمزة قدس سره</w:t>
            </w:r>
            <w:r>
              <w:rPr>
                <w:rStyle w:val="IndexLink"/>
                <w:rtl w:val="true"/>
              </w:rPr>
              <w:t xml:space="preserve">] </w:t>
            </w:r>
            <w:r>
              <w:rPr>
                <w:rStyle w:val="IndexLink"/>
                <w:rtl w:val="true"/>
              </w:rPr>
              <w:t>فی الوسیلة</w:t>
            </w:r>
            <w:r>
              <w:rPr>
                <w:rStyle w:val="IndexLink"/>
                <w:rtl w:val="true"/>
              </w:rPr>
              <w:t>:</w:t>
              <w:tab/>
            </w:r>
            <w:r>
              <w:rPr>
                <w:rStyle w:val="IndexLink"/>
              </w:rPr>
              <w:t>48</w:t>
            </w:r>
          </w:hyperlink>
        </w:p>
        <w:p>
          <w:pPr>
            <w:pStyle w:val="Contents6"/>
            <w:tabs>
              <w:tab w:val="clear" w:pos="7609"/>
              <w:tab w:val="right" w:pos="9026" w:leader="dot"/>
            </w:tabs>
            <w:rPr/>
          </w:pPr>
          <w:hyperlink w:anchor="__RefHeading___Toc5118955_2314609296">
            <w:r>
              <w:rPr>
                <w:webHidden/>
                <w:rStyle w:val="IndexLink"/>
                <w:rtl w:val="true"/>
              </w:rPr>
              <w:t>و قال الراوندی فی فقه القرآن علی ما حکی عنه</w:t>
            </w:r>
            <w:r>
              <w:rPr>
                <w:rStyle w:val="IndexLink"/>
                <w:rtl w:val="true"/>
              </w:rPr>
              <w:t>-:</w:t>
              <w:tab/>
            </w:r>
            <w:r>
              <w:rPr>
                <w:rStyle w:val="IndexLink"/>
              </w:rPr>
              <w:t>48</w:t>
            </w:r>
          </w:hyperlink>
        </w:p>
        <w:p>
          <w:pPr>
            <w:pStyle w:val="Contents6"/>
            <w:tabs>
              <w:tab w:val="clear" w:pos="7609"/>
              <w:tab w:val="right" w:pos="9026" w:leader="dot"/>
            </w:tabs>
            <w:rPr/>
          </w:pPr>
          <w:hyperlink w:anchor="__RefHeading___Toc5118957_2314609296">
            <w:r>
              <w:rPr>
                <w:webHidden/>
                <w:rStyle w:val="IndexLink"/>
                <w:rtl w:val="true"/>
              </w:rPr>
              <w:t>[</w:t>
            </w:r>
            <w:r>
              <w:rPr>
                <w:rStyle w:val="IndexLink"/>
                <w:rtl w:val="true"/>
              </w:rPr>
              <w:t>کلمات ابن سعید فی الجامع و النزهة</w:t>
            </w:r>
            <w:r>
              <w:rPr>
                <w:rStyle w:val="IndexLink"/>
                <w:rtl w:val="true"/>
              </w:rPr>
              <w:t>]</w:t>
              <w:tab/>
            </w:r>
            <w:r>
              <w:rPr>
                <w:rStyle w:val="IndexLink"/>
              </w:rPr>
              <w:t>48</w:t>
            </w:r>
          </w:hyperlink>
        </w:p>
        <w:p>
          <w:pPr>
            <w:pStyle w:val="Contents6"/>
            <w:tabs>
              <w:tab w:val="clear" w:pos="7609"/>
              <w:tab w:val="right" w:pos="9026" w:leader="dot"/>
            </w:tabs>
            <w:rPr/>
          </w:pPr>
          <w:hyperlink w:anchor="__RefHeading___Toc5118959_2314609296">
            <w:r>
              <w:rPr>
                <w:webHidden/>
                <w:rStyle w:val="IndexLink"/>
                <w:rtl w:val="true"/>
              </w:rPr>
              <w:t xml:space="preserve">و قال </w:t>
            </w:r>
            <w:r>
              <w:rPr>
                <w:rStyle w:val="IndexLink"/>
                <w:rtl w:val="true"/>
              </w:rPr>
              <w:t>[</w:t>
            </w:r>
            <w:r>
              <w:rPr>
                <w:rStyle w:val="IndexLink"/>
                <w:rtl w:val="true"/>
              </w:rPr>
              <w:t>المحقق قدس سره</w:t>
            </w:r>
            <w:r>
              <w:rPr>
                <w:rStyle w:val="IndexLink"/>
                <w:rtl w:val="true"/>
              </w:rPr>
              <w:t xml:space="preserve">] </w:t>
            </w:r>
            <w:r>
              <w:rPr>
                <w:rStyle w:val="IndexLink"/>
                <w:rtl w:val="true"/>
              </w:rPr>
              <w:t>فی الشرائع</w:t>
            </w:r>
            <w:r>
              <w:rPr>
                <w:rStyle w:val="IndexLink"/>
                <w:rtl w:val="true"/>
              </w:rPr>
              <w:t>:</w:t>
              <w:tab/>
            </w:r>
            <w:r>
              <w:rPr>
                <w:rStyle w:val="IndexLink"/>
              </w:rPr>
              <w:t>49</w:t>
            </w:r>
          </w:hyperlink>
        </w:p>
        <w:p>
          <w:pPr>
            <w:pStyle w:val="Contents6"/>
            <w:tabs>
              <w:tab w:val="clear" w:pos="7609"/>
              <w:tab w:val="right" w:pos="9026" w:leader="dot"/>
            </w:tabs>
            <w:rPr/>
          </w:pPr>
          <w:hyperlink w:anchor="__RefHeading___Toc5118961_2314609296">
            <w:r>
              <w:rPr>
                <w:webHidden/>
                <w:rStyle w:val="IndexLink"/>
                <w:rtl w:val="true"/>
              </w:rPr>
              <w:t>[</w:t>
            </w:r>
            <w:r>
              <w:rPr>
                <w:rStyle w:val="IndexLink"/>
                <w:rtl w:val="true"/>
              </w:rPr>
              <w:t>کلام العلامة فی التحریر و الإرشاد و التذکرة</w:t>
            </w:r>
            <w:r>
              <w:rPr>
                <w:rStyle w:val="IndexLink"/>
                <w:rtl w:val="true"/>
              </w:rPr>
              <w:t>]</w:t>
              <w:tab/>
            </w:r>
            <w:r>
              <w:rPr>
                <w:rStyle w:val="IndexLink"/>
              </w:rPr>
              <w:t>49</w:t>
            </w:r>
          </w:hyperlink>
        </w:p>
        <w:p>
          <w:pPr>
            <w:pStyle w:val="Contents6"/>
            <w:tabs>
              <w:tab w:val="clear" w:pos="7609"/>
              <w:tab w:val="right" w:pos="9026" w:leader="dot"/>
            </w:tabs>
            <w:rPr/>
          </w:pPr>
          <w:hyperlink w:anchor="__RefHeading___Toc5118963_2314609296">
            <w:r>
              <w:rPr>
                <w:webHidden/>
                <w:rStyle w:val="IndexLink"/>
                <w:rtl w:val="true"/>
              </w:rPr>
              <w:t>[</w:t>
            </w:r>
            <w:r>
              <w:rPr>
                <w:rStyle w:val="IndexLink"/>
                <w:rtl w:val="true"/>
              </w:rPr>
              <w:t>کلمات الشهید فی غایة المراد و الدروس و اللمعة</w:t>
            </w:r>
            <w:r>
              <w:rPr>
                <w:rStyle w:val="IndexLink"/>
                <w:rtl w:val="true"/>
              </w:rPr>
              <w:t>]</w:t>
              <w:tab/>
            </w:r>
            <w:r>
              <w:rPr>
                <w:rStyle w:val="IndexLink"/>
              </w:rPr>
              <w:t>50</w:t>
            </w:r>
          </w:hyperlink>
        </w:p>
        <w:p>
          <w:pPr>
            <w:pStyle w:val="Contents6"/>
            <w:tabs>
              <w:tab w:val="clear" w:pos="7609"/>
              <w:tab w:val="right" w:pos="9026" w:leader="dot"/>
            </w:tabs>
            <w:rPr/>
          </w:pPr>
          <w:hyperlink w:anchor="__RefHeading___Toc5118965_2314609296">
            <w:r>
              <w:rPr>
                <w:webHidden/>
                <w:rStyle w:val="IndexLink"/>
                <w:rtl w:val="true"/>
              </w:rPr>
              <w:t>[</w:t>
            </w:r>
            <w:r>
              <w:rPr>
                <w:rStyle w:val="IndexLink"/>
                <w:rtl w:val="true"/>
              </w:rPr>
              <w:t>کلام الصیمری</w:t>
            </w:r>
            <w:r>
              <w:rPr>
                <w:rStyle w:val="IndexLink"/>
                <w:rtl w:val="true"/>
              </w:rPr>
              <w:t>]</w:t>
              <w:tab/>
            </w:r>
            <w:r>
              <w:rPr>
                <w:rStyle w:val="IndexLink"/>
              </w:rPr>
              <w:t>51</w:t>
            </w:r>
          </w:hyperlink>
        </w:p>
        <w:p>
          <w:pPr>
            <w:pStyle w:val="Contents6"/>
            <w:tabs>
              <w:tab w:val="clear" w:pos="7609"/>
              <w:tab w:val="right" w:pos="9026" w:leader="dot"/>
            </w:tabs>
            <w:rPr/>
          </w:pPr>
          <w:hyperlink w:anchor="__RefHeading___Toc5118967_2314609296">
            <w:r>
              <w:rPr>
                <w:webHidden/>
                <w:rStyle w:val="IndexLink"/>
                <w:rtl w:val="true"/>
              </w:rPr>
              <w:t>[</w:t>
            </w:r>
            <w:r>
              <w:rPr>
                <w:rStyle w:val="IndexLink"/>
                <w:rtl w:val="true"/>
              </w:rPr>
              <w:t>کلام الفاضل المقداد قدس سره</w:t>
            </w:r>
            <w:r>
              <w:rPr>
                <w:rStyle w:val="IndexLink"/>
                <w:rtl w:val="true"/>
              </w:rPr>
              <w:t>]</w:t>
              <w:tab/>
            </w:r>
            <w:r>
              <w:rPr>
                <w:rStyle w:val="IndexLink"/>
              </w:rPr>
              <w:t>51</w:t>
            </w:r>
          </w:hyperlink>
        </w:p>
        <w:p>
          <w:pPr>
            <w:pStyle w:val="Contents6"/>
            <w:tabs>
              <w:tab w:val="clear" w:pos="7609"/>
              <w:tab w:val="right" w:pos="9026" w:leader="dot"/>
            </w:tabs>
            <w:rPr/>
          </w:pPr>
          <w:hyperlink w:anchor="__RefHeading___Toc5118969_2314609296">
            <w:r>
              <w:rPr>
                <w:webHidden/>
                <w:rStyle w:val="IndexLink"/>
                <w:rtl w:val="true"/>
              </w:rPr>
              <w:t>[</w:t>
            </w:r>
            <w:r>
              <w:rPr>
                <w:rStyle w:val="IndexLink"/>
                <w:rtl w:val="true"/>
              </w:rPr>
              <w:t>کلام الفاضل القطیفی</w:t>
            </w:r>
            <w:r>
              <w:rPr>
                <w:rStyle w:val="IndexLink"/>
                <w:rtl w:val="true"/>
              </w:rPr>
              <w:t>]</w:t>
              <w:tab/>
            </w:r>
            <w:r>
              <w:rPr>
                <w:rStyle w:val="IndexLink"/>
              </w:rPr>
              <w:t>51</w:t>
            </w:r>
          </w:hyperlink>
        </w:p>
        <w:p>
          <w:pPr>
            <w:pStyle w:val="Contents6"/>
            <w:tabs>
              <w:tab w:val="clear" w:pos="7609"/>
              <w:tab w:val="right" w:pos="9026" w:leader="dot"/>
            </w:tabs>
            <w:rPr/>
          </w:pPr>
          <w:hyperlink w:anchor="__RefHeading___Toc5118971_2314609296">
            <w:r>
              <w:rPr>
                <w:webHidden/>
                <w:rStyle w:val="IndexLink"/>
                <w:rtl w:val="true"/>
              </w:rPr>
              <w:t>[</w:t>
            </w:r>
            <w:r>
              <w:rPr>
                <w:rStyle w:val="IndexLink"/>
                <w:rtl w:val="true"/>
              </w:rPr>
              <w:t>کلام المحقق الثانی</w:t>
            </w:r>
            <w:r>
              <w:rPr>
                <w:rStyle w:val="IndexLink"/>
                <w:rtl w:val="true"/>
              </w:rPr>
              <w:t>]</w:t>
              <w:tab/>
            </w:r>
            <w:r>
              <w:rPr>
                <w:rStyle w:val="IndexLink"/>
              </w:rPr>
              <w:t>52</w:t>
            </w:r>
          </w:hyperlink>
        </w:p>
        <w:p>
          <w:pPr>
            <w:pStyle w:val="Contents6"/>
            <w:tabs>
              <w:tab w:val="clear" w:pos="7609"/>
              <w:tab w:val="right" w:pos="9026" w:leader="dot"/>
            </w:tabs>
            <w:rPr/>
          </w:pPr>
          <w:hyperlink w:anchor="__RefHeading___Toc5118973_2314609296">
            <w:r>
              <w:rPr>
                <w:webHidden/>
                <w:rStyle w:val="IndexLink"/>
                <w:rtl w:val="true"/>
              </w:rPr>
              <w:t>[</w:t>
            </w:r>
            <w:r>
              <w:rPr>
                <w:rStyle w:val="IndexLink"/>
                <w:rtl w:val="true"/>
              </w:rPr>
              <w:t>کلام الشهید الثانی</w:t>
            </w:r>
            <w:r>
              <w:rPr>
                <w:rStyle w:val="IndexLink"/>
                <w:rtl w:val="true"/>
              </w:rPr>
              <w:t>]</w:t>
              <w:tab/>
            </w:r>
            <w:r>
              <w:rPr>
                <w:rStyle w:val="IndexLink"/>
              </w:rPr>
              <w:t>53</w:t>
            </w:r>
          </w:hyperlink>
        </w:p>
        <w:p>
          <w:pPr>
            <w:pStyle w:val="Contents6"/>
            <w:tabs>
              <w:tab w:val="clear" w:pos="7609"/>
              <w:tab w:val="right" w:pos="9026" w:leader="dot"/>
            </w:tabs>
            <w:rPr/>
          </w:pPr>
          <w:hyperlink w:anchor="__RefHeading___Toc5118975_2314609296">
            <w:r>
              <w:rPr>
                <w:webHidden/>
                <w:rStyle w:val="IndexLink"/>
                <w:rtl w:val="true"/>
              </w:rPr>
              <w:t>فیقع الکلام تارة فی الوقف المؤبّد،و أُخری فی المنقطع</w:t>
            </w:r>
            <w:r>
              <w:rPr>
                <w:rStyle w:val="IndexLink"/>
                <w:rtl w:val="true"/>
              </w:rPr>
              <w:t>.</w:t>
              <w:tab/>
            </w:r>
            <w:r>
              <w:rPr>
                <w:rStyle w:val="IndexLink"/>
              </w:rPr>
              <w:t>54</w:t>
            </w:r>
          </w:hyperlink>
        </w:p>
        <w:p>
          <w:pPr>
            <w:pStyle w:val="Contents6"/>
            <w:tabs>
              <w:tab w:val="clear" w:pos="7609"/>
              <w:tab w:val="right" w:pos="9026" w:leader="dot"/>
            </w:tabs>
            <w:rPr/>
          </w:pPr>
          <w:hyperlink w:anchor="__RefHeading___Toc5118977_2314609296">
            <w:r>
              <w:rPr>
                <w:webHidden/>
                <w:rStyle w:val="IndexLink"/>
                <w:rtl w:val="true"/>
              </w:rPr>
              <w:t>[</w:t>
            </w:r>
            <w:r>
              <w:rPr>
                <w:rStyle w:val="IndexLink"/>
                <w:rtl w:val="true"/>
              </w:rPr>
              <w:t>الوقف المؤبّد</w:t>
            </w:r>
            <w:r>
              <w:rPr>
                <w:rStyle w:val="IndexLink"/>
                <w:rtl w:val="true"/>
              </w:rPr>
              <w:t>]</w:t>
              <w:tab/>
            </w:r>
            <w:r>
              <w:rPr>
                <w:rStyle w:val="IndexLink"/>
              </w:rPr>
              <w:t>54</w:t>
            </w:r>
          </w:hyperlink>
        </w:p>
        <w:p>
          <w:pPr>
            <w:pStyle w:val="Contents6"/>
            <w:tabs>
              <w:tab w:val="clear" w:pos="7609"/>
              <w:tab w:val="right" w:pos="9026" w:leader="dot"/>
            </w:tabs>
            <w:rPr/>
          </w:pPr>
          <w:hyperlink w:anchor="__RefHeading___Toc5118979_2314609296">
            <w:r>
              <w:rPr>
                <w:webHidden/>
                <w:rStyle w:val="IndexLink"/>
                <w:rtl w:val="true"/>
              </w:rPr>
              <w:t>إنّ الوقف علی قسمین</w:t>
            </w:r>
            <w:r>
              <w:rPr>
                <w:rStyle w:val="IndexLink"/>
                <w:rtl w:val="true"/>
              </w:rPr>
              <w:t>:</w:t>
              <w:tab/>
            </w:r>
            <w:r>
              <w:rPr>
                <w:rStyle w:val="IndexLink"/>
              </w:rPr>
              <w:t>54</w:t>
            </w:r>
          </w:hyperlink>
        </w:p>
        <w:p>
          <w:pPr>
            <w:pStyle w:val="Contents6"/>
            <w:tabs>
              <w:tab w:val="clear" w:pos="7609"/>
              <w:tab w:val="right" w:pos="9026" w:leader="dot"/>
            </w:tabs>
            <w:rPr/>
          </w:pPr>
          <w:hyperlink w:anchor="__RefHeading___Toc5118981_2314609296">
            <w:r>
              <w:rPr>
                <w:webHidden/>
                <w:rStyle w:val="IndexLink"/>
                <w:rtl w:val="true"/>
              </w:rPr>
              <w:t>أحدهما</w:t>
            </w:r>
            <w:r>
              <w:rPr>
                <w:rStyle w:val="IndexLink"/>
                <w:rtl w:val="true"/>
              </w:rPr>
              <w:t>:</w:t>
            </w:r>
            <w:r>
              <w:rPr>
                <w:rStyle w:val="IndexLink"/>
                <w:rtl w:val="true"/>
              </w:rPr>
              <w:t>ما یکون ملکاً للموقوف علیهم،</w:t>
            </w:r>
            <w:r>
              <w:rPr>
                <w:rStyle w:val="IndexLink"/>
                <w:rtl w:val="true"/>
              </w:rPr>
              <w:tab/>
            </w:r>
            <w:r>
              <w:rPr>
                <w:rStyle w:val="IndexLink"/>
              </w:rPr>
              <w:t>54</w:t>
            </w:r>
          </w:hyperlink>
        </w:p>
        <w:p>
          <w:pPr>
            <w:pStyle w:val="Contents6"/>
            <w:tabs>
              <w:tab w:val="clear" w:pos="7609"/>
              <w:tab w:val="right" w:pos="9026" w:leader="dot"/>
            </w:tabs>
            <w:rPr/>
          </w:pPr>
          <w:hyperlink w:anchor="__RefHeading___Toc5118983_2314609296">
            <w:r>
              <w:rPr>
                <w:webHidden/>
                <w:rStyle w:val="IndexLink"/>
                <w:rtl w:val="true"/>
              </w:rPr>
              <w:t>و الثانی</w:t>
            </w:r>
            <w:r>
              <w:rPr>
                <w:rStyle w:val="IndexLink"/>
                <w:rtl w:val="true"/>
              </w:rPr>
              <w:t>:</w:t>
            </w:r>
            <w:r>
              <w:rPr>
                <w:rStyle w:val="IndexLink"/>
                <w:rtl w:val="true"/>
              </w:rPr>
              <w:t>ما لا یکون ملکاً لأحد،</w:t>
            </w:r>
            <w:r>
              <w:rPr>
                <w:rStyle w:val="IndexLink"/>
                <w:rtl w:val="true"/>
              </w:rPr>
              <w:tab/>
            </w:r>
            <w:r>
              <w:rPr>
                <w:rStyle w:val="IndexLink"/>
              </w:rPr>
              <w:t>55</w:t>
            </w:r>
          </w:hyperlink>
        </w:p>
        <w:p>
          <w:pPr>
            <w:pStyle w:val="Contents6"/>
            <w:tabs>
              <w:tab w:val="clear" w:pos="7609"/>
              <w:tab w:val="right" w:pos="9026" w:leader="dot"/>
            </w:tabs>
            <w:rPr/>
          </w:pPr>
          <w:hyperlink w:anchor="__RefHeading___Toc5118985_2314609296">
            <w:r>
              <w:rPr>
                <w:webHidden/>
                <w:rStyle w:val="IndexLink"/>
                <w:rtl w:val="true"/>
              </w:rPr>
              <w:t>و الظاهر أنّ محلّ الکلام فی بیع الوقف إنّما هو القسم الأوّل،</w:t>
            </w:r>
            <w:r>
              <w:rPr>
                <w:rStyle w:val="IndexLink"/>
                <w:rtl w:val="true"/>
              </w:rPr>
              <w:tab/>
            </w:r>
            <w:r>
              <w:rPr>
                <w:rStyle w:val="IndexLink"/>
              </w:rPr>
              <w:t>55</w:t>
            </w:r>
          </w:hyperlink>
        </w:p>
        <w:p>
          <w:pPr>
            <w:pStyle w:val="Contents6"/>
            <w:tabs>
              <w:tab w:val="clear" w:pos="7609"/>
              <w:tab w:val="right" w:pos="9026" w:leader="dot"/>
            </w:tabs>
            <w:rPr/>
          </w:pPr>
          <w:hyperlink w:anchor="__RefHeading___Toc5118987_2314609296">
            <w:r>
              <w:rPr>
                <w:webHidden/>
                <w:rStyle w:val="IndexLink"/>
                <w:rtl w:val="true"/>
              </w:rPr>
              <w:t>صور جواز بیع الوقف</w:t>
            </w:r>
            <w:r>
              <w:rPr>
                <w:rStyle w:val="IndexLink"/>
                <w:rtl w:val="true"/>
              </w:rPr>
              <w:t>]</w:t>
              <w:tab/>
            </w:r>
            <w:r>
              <w:rPr>
                <w:rStyle w:val="IndexLink"/>
              </w:rPr>
              <w:t>62</w:t>
            </w:r>
          </w:hyperlink>
        </w:p>
        <w:p>
          <w:pPr>
            <w:pStyle w:val="Contents6"/>
            <w:tabs>
              <w:tab w:val="clear" w:pos="7609"/>
              <w:tab w:val="right" w:pos="9026" w:leader="dot"/>
            </w:tabs>
            <w:rPr/>
          </w:pPr>
          <w:hyperlink w:anchor="__RefHeading___Toc5118989_2314609296">
            <w:r>
              <w:rPr>
                <w:webHidden/>
                <w:rStyle w:val="IndexLink"/>
                <w:rtl w:val="true"/>
              </w:rPr>
              <w:t>فاعلم أنّ الکلام فی جواز بیع الوقف یقع فی صور</w:t>
            </w:r>
            <w:r>
              <w:rPr>
                <w:rStyle w:val="IndexLink"/>
                <w:rtl w:val="true"/>
              </w:rPr>
              <w:t>:</w:t>
              <w:tab/>
            </w:r>
            <w:r>
              <w:rPr>
                <w:rStyle w:val="IndexLink"/>
              </w:rPr>
              <w:t>62</w:t>
            </w:r>
          </w:hyperlink>
        </w:p>
        <w:p>
          <w:pPr>
            <w:pStyle w:val="Contents6"/>
            <w:tabs>
              <w:tab w:val="clear" w:pos="7609"/>
              <w:tab w:val="right" w:pos="9026" w:leader="dot"/>
            </w:tabs>
            <w:rPr/>
          </w:pPr>
          <w:hyperlink w:anchor="__RefHeading___Toc5118991_2314609296">
            <w:r>
              <w:rPr>
                <w:webHidden/>
                <w:rStyle w:val="IndexLink"/>
                <w:rtl w:val="true"/>
              </w:rPr>
              <w:t>الاُولی</w:t>
            </w:r>
            <w:r>
              <w:rPr>
                <w:rStyle w:val="IndexLink"/>
                <w:rtl w:val="true"/>
              </w:rPr>
              <w:t xml:space="preserve">: </w:t>
            </w:r>
            <w:r>
              <w:rPr>
                <w:rStyle w:val="IndexLink"/>
                <w:rtl w:val="true"/>
              </w:rPr>
              <w:t>أن یخرب الوقف بحیث لا یمکن الانتفاع به مع بقاء عینه،</w:t>
            </w:r>
            <w:r>
              <w:rPr>
                <w:rStyle w:val="IndexLink"/>
                <w:rtl w:val="true"/>
              </w:rPr>
              <w:tab/>
            </w:r>
            <w:r>
              <w:rPr>
                <w:rStyle w:val="IndexLink"/>
              </w:rPr>
              <w:t>62</w:t>
            </w:r>
          </w:hyperlink>
        </w:p>
        <w:p>
          <w:pPr>
            <w:pStyle w:val="Contents6"/>
            <w:tabs>
              <w:tab w:val="clear" w:pos="7609"/>
              <w:tab w:val="right" w:pos="9026" w:leader="dot"/>
            </w:tabs>
            <w:rPr/>
          </w:pPr>
          <w:hyperlink w:anchor="__RefHeading___Toc5118993_2314609296">
            <w:r>
              <w:rPr>
                <w:webHidden/>
                <w:rStyle w:val="IndexLink"/>
                <w:rtl w:val="true"/>
              </w:rPr>
              <w:t>الصورة الثانیة</w:t>
            </w:r>
            <w:r>
              <w:rPr>
                <w:rStyle w:val="IndexLink"/>
                <w:rtl w:val="true"/>
              </w:rPr>
              <w:t>:</w:t>
            </w:r>
            <w:r>
              <w:rPr>
                <w:rStyle w:val="IndexLink"/>
                <w:rtl w:val="true"/>
              </w:rPr>
              <w:t>أن یخرب بحیث یسقط عن الانتفاع المعتدّ به،</w:t>
            </w:r>
            <w:r>
              <w:rPr>
                <w:rStyle w:val="IndexLink"/>
                <w:rtl w:val="true"/>
              </w:rPr>
              <w:tab/>
            </w:r>
            <w:r>
              <w:rPr>
                <w:rStyle w:val="IndexLink"/>
              </w:rPr>
              <w:t>72</w:t>
            </w:r>
          </w:hyperlink>
        </w:p>
        <w:p>
          <w:pPr>
            <w:pStyle w:val="Contents6"/>
            <w:tabs>
              <w:tab w:val="clear" w:pos="7609"/>
              <w:tab w:val="right" w:pos="9026" w:leader="dot"/>
            </w:tabs>
            <w:rPr/>
          </w:pPr>
          <w:hyperlink w:anchor="__RefHeading___Toc5118995_2314609296">
            <w:r>
              <w:rPr>
                <w:webHidden/>
                <w:rStyle w:val="IndexLink"/>
                <w:rtl w:val="true"/>
              </w:rPr>
              <w:t>الصورة الثالثة</w:t>
            </w:r>
            <w:r>
              <w:rPr>
                <w:rStyle w:val="IndexLink"/>
                <w:rtl w:val="true"/>
              </w:rPr>
              <w:t>:</w:t>
            </w:r>
            <w:r>
              <w:rPr>
                <w:rStyle w:val="IndexLink"/>
                <w:rtl w:val="true"/>
              </w:rPr>
              <w:t>أن یخرب بحیث یقلّ منفعته،</w:t>
            </w:r>
            <w:r>
              <w:rPr>
                <w:rStyle w:val="IndexLink"/>
                <w:rtl w:val="true"/>
              </w:rPr>
              <w:tab/>
            </w:r>
            <w:r>
              <w:rPr>
                <w:rStyle w:val="IndexLink"/>
              </w:rPr>
              <w:t>77</w:t>
            </w:r>
          </w:hyperlink>
        </w:p>
        <w:p>
          <w:pPr>
            <w:pStyle w:val="Contents6"/>
            <w:tabs>
              <w:tab w:val="clear" w:pos="7609"/>
              <w:tab w:val="right" w:pos="9026" w:leader="dot"/>
            </w:tabs>
            <w:rPr/>
          </w:pPr>
          <w:hyperlink w:anchor="__RefHeading___Toc5118997_2314609296">
            <w:r>
              <w:rPr>
                <w:webHidden/>
                <w:rStyle w:val="IndexLink"/>
                <w:rtl w:val="true"/>
              </w:rPr>
              <w:t>الصورة الرابعة</w:t>
            </w:r>
            <w:r>
              <w:rPr>
                <w:rStyle w:val="IndexLink"/>
                <w:rtl w:val="true"/>
              </w:rPr>
              <w:t>:</w:t>
            </w:r>
            <w:r>
              <w:rPr>
                <w:rStyle w:val="IndexLink"/>
                <w:rtl w:val="true"/>
              </w:rPr>
              <w:t>أن یکون بیع الوقف أنفع و أعود للموقوف علیه</w:t>
            </w:r>
            <w:r>
              <w:rPr>
                <w:rStyle w:val="IndexLink"/>
                <w:rtl w:val="true"/>
              </w:rPr>
              <w:t>.</w:t>
              <w:tab/>
            </w:r>
            <w:r>
              <w:rPr>
                <w:rStyle w:val="IndexLink"/>
              </w:rPr>
              <w:t>79</w:t>
            </w:r>
          </w:hyperlink>
        </w:p>
        <w:p>
          <w:pPr>
            <w:pStyle w:val="Contents6"/>
            <w:tabs>
              <w:tab w:val="clear" w:pos="7609"/>
              <w:tab w:val="right" w:pos="9026" w:leader="dot"/>
            </w:tabs>
            <w:rPr/>
          </w:pPr>
          <w:hyperlink w:anchor="__RefHeading___Toc5118999_2314609296">
            <w:r>
              <w:rPr>
                <w:webHidden/>
                <w:rStyle w:val="IndexLink"/>
                <w:rtl w:val="true"/>
              </w:rPr>
              <w:t>الصورة الخامسة</w:t>
            </w:r>
            <w:r>
              <w:rPr>
                <w:rStyle w:val="IndexLink"/>
                <w:rtl w:val="true"/>
              </w:rPr>
              <w:t>:</w:t>
            </w:r>
            <w:r>
              <w:rPr>
                <w:rStyle w:val="IndexLink"/>
                <w:rtl w:val="true"/>
              </w:rPr>
              <w:t>أن یلحق الموقوفَ علیهم ضرورةٌ شدیدة</w:t>
            </w:r>
            <w:r>
              <w:rPr>
                <w:rStyle w:val="IndexLink"/>
                <w:rtl w:val="true"/>
              </w:rPr>
              <w:t>.</w:t>
              <w:tab/>
            </w:r>
            <w:r>
              <w:rPr>
                <w:rStyle w:val="IndexLink"/>
              </w:rPr>
              <w:t>84</w:t>
            </w:r>
          </w:hyperlink>
        </w:p>
        <w:p>
          <w:pPr>
            <w:pStyle w:val="Contents6"/>
            <w:tabs>
              <w:tab w:val="clear" w:pos="7609"/>
              <w:tab w:val="right" w:pos="9026" w:leader="dot"/>
            </w:tabs>
            <w:rPr/>
          </w:pPr>
          <w:hyperlink w:anchor="__RefHeading___Toc5119001_2314609296">
            <w:r>
              <w:rPr>
                <w:webHidden/>
                <w:rStyle w:val="IndexLink"/>
                <w:rtl w:val="true"/>
              </w:rPr>
              <w:t>الصورة السادسة</w:t>
            </w:r>
            <w:r>
              <w:rPr>
                <w:rStyle w:val="IndexLink"/>
                <w:rtl w:val="true"/>
              </w:rPr>
              <w:t>:</w:t>
            </w:r>
            <w:r>
              <w:rPr>
                <w:rStyle w:val="IndexLink"/>
                <w:rtl w:val="true"/>
              </w:rPr>
              <w:t>أن یشترط الواقف بیعه عند الحاجة،</w:t>
            </w:r>
            <w:r>
              <w:rPr>
                <w:rStyle w:val="IndexLink"/>
                <w:rtl w:val="true"/>
              </w:rPr>
              <w:tab/>
            </w:r>
            <w:r>
              <w:rPr>
                <w:rStyle w:val="IndexLink"/>
              </w:rPr>
              <w:t>85</w:t>
            </w:r>
          </w:hyperlink>
        </w:p>
        <w:p>
          <w:pPr>
            <w:pStyle w:val="Contents6"/>
            <w:tabs>
              <w:tab w:val="clear" w:pos="7609"/>
              <w:tab w:val="right" w:pos="9026" w:leader="dot"/>
            </w:tabs>
            <w:rPr/>
          </w:pPr>
          <w:hyperlink w:anchor="__RefHeading___Toc5119003_2314609296">
            <w:r>
              <w:rPr>
                <w:webHidden/>
                <w:rStyle w:val="IndexLink"/>
                <w:rtl w:val="true"/>
              </w:rPr>
              <w:t>الصورة السابعة</w:t>
            </w:r>
            <w:r>
              <w:rPr>
                <w:rStyle w:val="IndexLink"/>
                <w:rtl w:val="true"/>
              </w:rPr>
              <w:t>:</w:t>
            </w:r>
            <w:r>
              <w:rPr>
                <w:rStyle w:val="IndexLink"/>
                <w:rtl w:val="true"/>
              </w:rPr>
              <w:t>أن یؤدّی بقاؤه إلی خرابه علماً أو ظنّاً،</w:t>
            </w:r>
            <w:r>
              <w:rPr>
                <w:rStyle w:val="IndexLink"/>
                <w:rtl w:val="true"/>
              </w:rPr>
              <w:tab/>
            </w:r>
            <w:r>
              <w:rPr>
                <w:rStyle w:val="IndexLink"/>
              </w:rPr>
              <w:t>89</w:t>
            </w:r>
          </w:hyperlink>
        </w:p>
        <w:p>
          <w:pPr>
            <w:pStyle w:val="Contents6"/>
            <w:tabs>
              <w:tab w:val="clear" w:pos="7609"/>
              <w:tab w:val="right" w:pos="9026" w:leader="dot"/>
            </w:tabs>
            <w:rPr/>
          </w:pPr>
          <w:hyperlink w:anchor="__RefHeading___Toc5119005_2314609296">
            <w:r>
              <w:rPr>
                <w:webHidden/>
                <w:rStyle w:val="IndexLink"/>
                <w:rtl w:val="true"/>
              </w:rPr>
              <w:t>الصورة الثامنة</w:t>
            </w:r>
            <w:r>
              <w:rPr>
                <w:rStyle w:val="IndexLink"/>
                <w:rtl w:val="true"/>
              </w:rPr>
              <w:t>:</w:t>
            </w:r>
            <w:r>
              <w:rPr>
                <w:rStyle w:val="IndexLink"/>
                <w:rtl w:val="true"/>
              </w:rPr>
              <w:t>أن یقع بین الموقوف علیهم اختلافٌ لا یؤمن معه تلف المال</w:t>
            </w:r>
            <w:r>
              <w:rPr>
                <w:rStyle w:val="IndexLink"/>
                <w:rtl w:val="true"/>
              </w:rPr>
              <w:tab/>
            </w:r>
            <w:r>
              <w:rPr>
                <w:rStyle w:val="IndexLink"/>
              </w:rPr>
              <w:t>89</w:t>
            </w:r>
          </w:hyperlink>
        </w:p>
        <w:p>
          <w:pPr>
            <w:pStyle w:val="Contents6"/>
            <w:tabs>
              <w:tab w:val="clear" w:pos="7609"/>
              <w:tab w:val="right" w:pos="9026" w:leader="dot"/>
            </w:tabs>
            <w:rPr/>
          </w:pPr>
          <w:hyperlink w:anchor="__RefHeading___Toc5119007_2314609296">
            <w:r>
              <w:rPr>
                <w:webHidden/>
                <w:rStyle w:val="IndexLink"/>
                <w:rtl w:val="true"/>
              </w:rPr>
              <w:t>الصورة التاسعة</w:t>
            </w:r>
            <w:r>
              <w:rPr>
                <w:rStyle w:val="IndexLink"/>
                <w:rtl w:val="true"/>
              </w:rPr>
              <w:t>:</w:t>
            </w:r>
            <w:r>
              <w:rPr>
                <w:rStyle w:val="IndexLink"/>
                <w:rtl w:val="true"/>
              </w:rPr>
              <w:t>أن یؤدّی الاختلاف بینهم</w:t>
            </w:r>
            <w:r>
              <w:rPr>
                <w:rStyle w:val="IndexLink"/>
                <w:rtl w:val="true"/>
              </w:rPr>
              <w:tab/>
            </w:r>
            <w:r>
              <w:rPr>
                <w:rStyle w:val="IndexLink"/>
              </w:rPr>
              <w:t>90</w:t>
            </w:r>
          </w:hyperlink>
        </w:p>
        <w:p>
          <w:pPr>
            <w:pStyle w:val="Contents6"/>
            <w:tabs>
              <w:tab w:val="clear" w:pos="7609"/>
              <w:tab w:val="right" w:pos="9026" w:leader="dot"/>
            </w:tabs>
            <w:rPr/>
          </w:pPr>
          <w:hyperlink w:anchor="__RefHeading___Toc5119009_2314609296">
            <w:r>
              <w:rPr>
                <w:webHidden/>
                <w:rStyle w:val="IndexLink"/>
                <w:rtl w:val="true"/>
              </w:rPr>
              <w:t>الصورة العاشرة</w:t>
            </w:r>
            <w:r>
              <w:rPr>
                <w:rStyle w:val="IndexLink"/>
                <w:rtl w:val="true"/>
              </w:rPr>
              <w:t>:</w:t>
            </w:r>
            <w:r>
              <w:rPr>
                <w:rStyle w:val="IndexLink"/>
                <w:rtl w:val="true"/>
              </w:rPr>
              <w:t>أن یلزم فسادٌ یستباح منه الأنفس</w:t>
            </w:r>
            <w:r>
              <w:rPr>
                <w:rStyle w:val="IndexLink"/>
                <w:rtl w:val="true"/>
              </w:rPr>
              <w:t>.</w:t>
              <w:tab/>
            </w:r>
            <w:r>
              <w:rPr>
                <w:rStyle w:val="IndexLink"/>
              </w:rPr>
              <w:t>90</w:t>
            </w:r>
          </w:hyperlink>
        </w:p>
        <w:p>
          <w:pPr>
            <w:pStyle w:val="Contents6"/>
            <w:tabs>
              <w:tab w:val="clear" w:pos="7609"/>
              <w:tab w:val="right" w:pos="9026" w:leader="dot"/>
            </w:tabs>
            <w:rPr/>
          </w:pPr>
          <w:hyperlink w:anchor="__RefHeading___Toc5119011_2314609296">
            <w:r>
              <w:rPr>
                <w:webHidden/>
                <w:rStyle w:val="IndexLink"/>
                <w:rtl w:val="true"/>
              </w:rPr>
              <w:t>[</w:t>
            </w:r>
            <w:r>
              <w:rPr>
                <w:rStyle w:val="IndexLink"/>
                <w:rtl w:val="true"/>
              </w:rPr>
              <w:t>الوقف المنقطع</w:t>
            </w:r>
            <w:r>
              <w:rPr>
                <w:rStyle w:val="IndexLink"/>
                <w:rtl w:val="true"/>
              </w:rPr>
              <w:t>]</w:t>
              <w:tab/>
            </w:r>
            <w:r>
              <w:rPr>
                <w:rStyle w:val="IndexLink"/>
              </w:rPr>
              <w:t>102</w:t>
            </w:r>
          </w:hyperlink>
        </w:p>
        <w:p>
          <w:pPr>
            <w:pStyle w:val="Contents5"/>
            <w:tabs>
              <w:tab w:val="clear" w:pos="7892"/>
              <w:tab w:val="right" w:pos="9026" w:leader="dot"/>
            </w:tabs>
            <w:rPr/>
          </w:pPr>
          <w:hyperlink w:anchor="__RefHeading___Toc5119013_2314609296">
            <w:r>
              <w:rPr>
                <w:webHidden/>
                <w:rStyle w:val="IndexLink"/>
                <w:rtl w:val="true"/>
              </w:rPr>
              <w:t>مسألة و من أسباب خروج الملک عن کونه طِلْقاً</w:t>
            </w:r>
            <w:r>
              <w:rPr>
                <w:rStyle w:val="IndexLink"/>
                <w:rtl w:val="true"/>
              </w:rPr>
              <w:t>:</w:t>
            </w:r>
            <w:r>
              <w:rPr>
                <w:rStyle w:val="IndexLink"/>
                <w:rtl w:val="true"/>
              </w:rPr>
              <w:t>صیرورة المملوکة أُمّ ولدٍ لسیّدها،</w:t>
            </w:r>
            <w:r>
              <w:rPr>
                <w:rStyle w:val="IndexLink"/>
                <w:rtl w:val="true"/>
              </w:rPr>
              <w:tab/>
            </w:r>
            <w:r>
              <w:rPr>
                <w:rStyle w:val="IndexLink"/>
              </w:rPr>
              <w:t>108</w:t>
            </w:r>
          </w:hyperlink>
        </w:p>
        <w:p>
          <w:pPr>
            <w:pStyle w:val="Contents6"/>
            <w:tabs>
              <w:tab w:val="clear" w:pos="7609"/>
              <w:tab w:val="right" w:pos="9026" w:leader="dot"/>
            </w:tabs>
            <w:rPr/>
          </w:pPr>
          <w:hyperlink w:anchor="__RefHeading___Toc5119015_2314609296">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5119017_2314609296">
            <w:r>
              <w:rPr>
                <w:webHidden/>
                <w:rStyle w:val="IndexLink"/>
                <w:rtl w:val="true"/>
              </w:rPr>
              <w:t>و فی حکم البیع کلّ تصرّفٍ ناقلٍ للملک الغیر المستعقب بالعتق، أو مستلزمٍ للنقل کالرهن،</w:t>
            </w:r>
            <w:r>
              <w:rPr>
                <w:rStyle w:val="IndexLink"/>
                <w:rtl w:val="true"/>
              </w:rPr>
              <w:tab/>
            </w:r>
            <w:r>
              <w:rPr>
                <w:rStyle w:val="IndexLink"/>
              </w:rPr>
              <w:t>108</w:t>
            </w:r>
          </w:hyperlink>
        </w:p>
        <w:p>
          <w:pPr>
            <w:pStyle w:val="Contents6"/>
            <w:tabs>
              <w:tab w:val="clear" w:pos="7609"/>
              <w:tab w:val="right" w:pos="9026" w:leader="dot"/>
            </w:tabs>
            <w:rPr/>
          </w:pPr>
          <w:hyperlink w:anchor="__RefHeading___Toc5119019_2314609296">
            <w:r>
              <w:rPr>
                <w:webHidden/>
                <w:rStyle w:val="IndexLink"/>
                <w:rtl w:val="true"/>
              </w:rPr>
              <w:t>بقی الکلام فی معنی</w:t>
            </w:r>
            <w:r>
              <w:rPr>
                <w:rStyle w:val="IndexLink"/>
                <w:rtl w:val="true"/>
              </w:rPr>
              <w:t>«</w:t>
            </w:r>
            <w:r>
              <w:rPr>
                <w:rStyle w:val="IndexLink"/>
                <w:rtl w:val="true"/>
              </w:rPr>
              <w:t>أُمّ الولد</w:t>
            </w:r>
            <w:r>
              <w:rPr>
                <w:rStyle w:val="IndexLink"/>
                <w:rtl w:val="true"/>
              </w:rPr>
              <w:t>»</w:t>
            </w:r>
            <w:r>
              <w:rPr>
                <w:rStyle w:val="IndexLink"/>
                <w:rtl w:val="true"/>
              </w:rPr>
              <w:t>،</w:t>
            </w:r>
            <w:r>
              <w:rPr>
                <w:rStyle w:val="IndexLink"/>
                <w:rtl w:val="true"/>
              </w:rPr>
              <w:tab/>
            </w:r>
            <w:r>
              <w:rPr>
                <w:rStyle w:val="IndexLink"/>
              </w:rPr>
              <w:t>112</w:t>
            </w:r>
          </w:hyperlink>
        </w:p>
        <w:p>
          <w:pPr>
            <w:pStyle w:val="Contents6"/>
            <w:tabs>
              <w:tab w:val="clear" w:pos="7609"/>
              <w:tab w:val="right" w:pos="9026" w:leader="dot"/>
            </w:tabs>
            <w:rPr/>
          </w:pPr>
          <w:hyperlink w:anchor="__RefHeading___Toc5119021_2314609296">
            <w:r>
              <w:rPr>
                <w:webHidden/>
                <w:rStyle w:val="IndexLink"/>
                <w:rtl w:val="true"/>
              </w:rPr>
              <w:t>و أمّا المواضع القابلة للاستثناء</w:t>
            </w:r>
            <w:r>
              <w:rPr>
                <w:rStyle w:val="IndexLink"/>
                <w:rtl w:val="true"/>
              </w:rPr>
              <w:tab/>
            </w:r>
            <w:r>
              <w:rPr>
                <w:rStyle w:val="IndexLink"/>
              </w:rPr>
              <w:t>119</w:t>
            </w:r>
          </w:hyperlink>
        </w:p>
        <w:p>
          <w:pPr>
            <w:pStyle w:val="Contents6"/>
            <w:tabs>
              <w:tab w:val="clear" w:pos="7609"/>
              <w:tab w:val="right" w:pos="9026" w:leader="dot"/>
            </w:tabs>
            <w:rPr/>
          </w:pPr>
          <w:hyperlink w:anchor="__RefHeading___Toc5119023_2314609296">
            <w:r>
              <w:rPr>
                <w:webHidden/>
                <w:rStyle w:val="IndexLink"/>
                <w:rtl w:val="true"/>
              </w:rPr>
              <w:t>[</w:t>
            </w:r>
            <w:r>
              <w:rPr>
                <w:rStyle w:val="IndexLink"/>
                <w:rtl w:val="true"/>
              </w:rPr>
              <w:t>موارد القسم الأول أی تعلق حق للغیر بها</w:t>
            </w:r>
            <w:r>
              <w:rPr>
                <w:rStyle w:val="IndexLink"/>
                <w:rtl w:val="true"/>
              </w:rPr>
              <w:t>]</w:t>
              <w:tab/>
            </w:r>
            <w:r>
              <w:rPr>
                <w:rStyle w:val="IndexLink"/>
              </w:rPr>
              <w:t>119</w:t>
            </w:r>
          </w:hyperlink>
        </w:p>
        <w:p>
          <w:pPr>
            <w:pStyle w:val="Contents6"/>
            <w:tabs>
              <w:tab w:val="clear" w:pos="7609"/>
              <w:tab w:val="right" w:pos="9026" w:leader="dot"/>
            </w:tabs>
            <w:rPr/>
          </w:pPr>
          <w:hyperlink w:anchor="__RefHeading___Toc5119025_2314609296">
            <w:r>
              <w:rPr>
                <w:webHidden/>
                <w:rStyle w:val="IndexLink"/>
                <w:rtl w:val="true"/>
              </w:rPr>
              <w:t>فمن موارد القسم الأوّل</w:t>
            </w:r>
            <w:r>
              <w:rPr>
                <w:rStyle w:val="IndexLink"/>
                <w:rtl w:val="true"/>
              </w:rPr>
              <w:t xml:space="preserve">: </w:t>
            </w:r>
            <w:r>
              <w:rPr>
                <w:rStyle w:val="IndexLink"/>
                <w:rtl w:val="true"/>
              </w:rPr>
              <w:t>ما إذا کان علی مولاها دَیْنٌ و لم یکن له ما یؤدّی هذا الدین</w:t>
            </w:r>
            <w:r>
              <w:rPr>
                <w:rStyle w:val="IndexLink"/>
                <w:rtl w:val="true"/>
              </w:rPr>
              <w:t>.</w:t>
              <w:tab/>
            </w:r>
            <w:r>
              <w:rPr>
                <w:rStyle w:val="IndexLink"/>
              </w:rPr>
              <w:t>119</w:t>
            </w:r>
          </w:hyperlink>
        </w:p>
        <w:p>
          <w:pPr>
            <w:pStyle w:val="Contents6"/>
            <w:tabs>
              <w:tab w:val="clear" w:pos="7609"/>
              <w:tab w:val="right" w:pos="9026" w:leader="dot"/>
            </w:tabs>
            <w:rPr/>
          </w:pPr>
          <w:hyperlink w:anchor="__RefHeading___Toc5119027_2314609296">
            <w:r>
              <w:rPr>
                <w:webHidden/>
                <w:rStyle w:val="IndexLink"/>
                <w:rtl w:val="true"/>
              </w:rPr>
              <w:t>و منها</w:t>
            </w:r>
            <w:r>
              <w:rPr>
                <w:rStyle w:val="IndexLink"/>
                <w:rtl w:val="true"/>
              </w:rPr>
              <w:tab/>
            </w:r>
            <w:r>
              <w:rPr>
                <w:rStyle w:val="IndexLink"/>
              </w:rPr>
              <w:t>133</w:t>
            </w:r>
          </w:hyperlink>
        </w:p>
        <w:p>
          <w:pPr>
            <w:pStyle w:val="Contents6"/>
            <w:tabs>
              <w:tab w:val="clear" w:pos="7609"/>
              <w:tab w:val="right" w:pos="9026" w:leader="dot"/>
            </w:tabs>
            <w:rPr/>
          </w:pPr>
          <w:hyperlink w:anchor="__RefHeading___Toc5119029_2314609296">
            <w:r>
              <w:rPr>
                <w:webHidden/>
                <w:rStyle w:val="IndexLink"/>
                <w:rtl w:val="true"/>
              </w:rPr>
              <w:t>و منها</w:t>
            </w:r>
            <w:r>
              <w:rPr>
                <w:rStyle w:val="IndexLink"/>
                <w:rtl w:val="true"/>
              </w:rPr>
              <w:tab/>
            </w:r>
            <w:r>
              <w:rPr>
                <w:rStyle w:val="IndexLink"/>
              </w:rPr>
              <w:t>135</w:t>
            </w:r>
          </w:hyperlink>
        </w:p>
        <w:p>
          <w:pPr>
            <w:pStyle w:val="Contents6"/>
            <w:tabs>
              <w:tab w:val="clear" w:pos="7609"/>
              <w:tab w:val="right" w:pos="9026" w:leader="dot"/>
            </w:tabs>
            <w:rPr/>
          </w:pPr>
          <w:hyperlink w:anchor="__RefHeading___Toc5119031_2314609296">
            <w:r>
              <w:rPr>
                <w:webHidden/>
                <w:rStyle w:val="IndexLink"/>
                <w:rtl w:val="true"/>
              </w:rPr>
              <w:t>و منها</w:t>
            </w:r>
            <w:r>
              <w:rPr>
                <w:rStyle w:val="IndexLink"/>
                <w:rtl w:val="true"/>
              </w:rPr>
              <w:tab/>
            </w:r>
            <w:r>
              <w:rPr>
                <w:rStyle w:val="IndexLink"/>
              </w:rPr>
              <w:t>139</w:t>
            </w:r>
          </w:hyperlink>
        </w:p>
        <w:p>
          <w:pPr>
            <w:pStyle w:val="Contents6"/>
            <w:tabs>
              <w:tab w:val="clear" w:pos="7609"/>
              <w:tab w:val="right" w:pos="9026" w:leader="dot"/>
            </w:tabs>
            <w:rPr/>
          </w:pPr>
          <w:hyperlink w:anchor="__RefHeading___Toc5119033_2314609296">
            <w:r>
              <w:rPr>
                <w:webHidden/>
                <w:rStyle w:val="IndexLink"/>
                <w:rtl w:val="true"/>
              </w:rPr>
              <w:t>و منها</w:t>
            </w:r>
            <w:r>
              <w:rPr>
                <w:rStyle w:val="IndexLink"/>
                <w:rtl w:val="true"/>
              </w:rPr>
              <w:tab/>
            </w:r>
            <w:r>
              <w:rPr>
                <w:rStyle w:val="IndexLink"/>
              </w:rPr>
              <w:t>141</w:t>
            </w:r>
          </w:hyperlink>
        </w:p>
        <w:p>
          <w:pPr>
            <w:pStyle w:val="Contents6"/>
            <w:tabs>
              <w:tab w:val="clear" w:pos="7609"/>
              <w:tab w:val="right" w:pos="9026" w:leader="dot"/>
            </w:tabs>
            <w:rPr/>
          </w:pPr>
          <w:hyperlink w:anchor="__RefHeading___Toc5119035_2314609296">
            <w:r>
              <w:rPr>
                <w:webHidden/>
                <w:rStyle w:val="IndexLink"/>
                <w:rtl w:val="true"/>
              </w:rPr>
              <w:t>و منها</w:t>
            </w:r>
            <w:r>
              <w:rPr>
                <w:rStyle w:val="IndexLink"/>
                <w:rtl w:val="true"/>
              </w:rPr>
              <w:tab/>
            </w:r>
            <w:r>
              <w:rPr>
                <w:rStyle w:val="IndexLink"/>
              </w:rPr>
              <w:t>142</w:t>
            </w:r>
          </w:hyperlink>
        </w:p>
        <w:p>
          <w:pPr>
            <w:pStyle w:val="Contents6"/>
            <w:tabs>
              <w:tab w:val="clear" w:pos="7609"/>
              <w:tab w:val="right" w:pos="9026" w:leader="dot"/>
            </w:tabs>
            <w:rPr/>
          </w:pPr>
          <w:hyperlink w:anchor="__RefHeading___Toc5119037_2314609296">
            <w:r>
              <w:rPr>
                <w:webHidden/>
                <w:rStyle w:val="IndexLink"/>
                <w:rtl w:val="true"/>
              </w:rPr>
              <w:t>و منها</w:t>
            </w:r>
            <w:r>
              <w:rPr>
                <w:rStyle w:val="IndexLink"/>
                <w:rtl w:val="true"/>
              </w:rPr>
              <w:tab/>
            </w:r>
            <w:r>
              <w:rPr>
                <w:rStyle w:val="IndexLink"/>
              </w:rPr>
              <w:t>142</w:t>
            </w:r>
          </w:hyperlink>
        </w:p>
        <w:p>
          <w:pPr>
            <w:pStyle w:val="Contents6"/>
            <w:tabs>
              <w:tab w:val="clear" w:pos="7609"/>
              <w:tab w:val="right" w:pos="9026" w:leader="dot"/>
            </w:tabs>
            <w:rPr/>
          </w:pPr>
          <w:hyperlink w:anchor="__RefHeading___Toc5119039_2314609296">
            <w:r>
              <w:rPr>
                <w:webHidden/>
                <w:rStyle w:val="IndexLink"/>
                <w:rtl w:val="true"/>
              </w:rPr>
              <w:t>و منها</w:t>
            </w:r>
            <w:r>
              <w:rPr>
                <w:rStyle w:val="IndexLink"/>
                <w:rtl w:val="true"/>
              </w:rPr>
              <w:tab/>
            </w:r>
            <w:r>
              <w:rPr>
                <w:rStyle w:val="IndexLink"/>
              </w:rPr>
              <w:t>143</w:t>
            </w:r>
          </w:hyperlink>
        </w:p>
        <w:p>
          <w:pPr>
            <w:pStyle w:val="Contents6"/>
            <w:tabs>
              <w:tab w:val="clear" w:pos="7609"/>
              <w:tab w:val="right" w:pos="9026" w:leader="dot"/>
            </w:tabs>
            <w:rPr/>
          </w:pPr>
          <w:hyperlink w:anchor="__RefHeading___Toc5119041_2314609296">
            <w:r>
              <w:rPr>
                <w:webHidden/>
                <w:rStyle w:val="IndexLink"/>
                <w:rtl w:val="true"/>
              </w:rPr>
              <w:t>و أمّا القسم الثانی</w:t>
            </w:r>
            <w:r>
              <w:rPr>
                <w:rStyle w:val="IndexLink"/>
                <w:rtl w:val="true"/>
              </w:rPr>
              <w:tab/>
            </w:r>
            <w:r>
              <w:rPr>
                <w:rStyle w:val="IndexLink"/>
              </w:rPr>
              <w:t>143</w:t>
            </w:r>
          </w:hyperlink>
        </w:p>
        <w:p>
          <w:pPr>
            <w:pStyle w:val="Contents6"/>
            <w:tabs>
              <w:tab w:val="clear" w:pos="7609"/>
              <w:tab w:val="right" w:pos="9026" w:leader="dot"/>
            </w:tabs>
            <w:rPr/>
          </w:pPr>
          <w:hyperlink w:anchor="__RefHeading___Toc5119043_2314609296">
            <w:r>
              <w:rPr>
                <w:webHidden/>
                <w:rStyle w:val="IndexLink"/>
                <w:rtl w:val="true"/>
              </w:rPr>
              <w:t>فمن موارده</w:t>
            </w:r>
            <w:r>
              <w:rPr>
                <w:rStyle w:val="IndexLink"/>
                <w:rtl w:val="true"/>
              </w:rPr>
              <w:t>:</w:t>
              <w:tab/>
            </w:r>
            <w:r>
              <w:rPr>
                <w:rStyle w:val="IndexLink"/>
              </w:rPr>
              <w:t>143</w:t>
            </w:r>
          </w:hyperlink>
        </w:p>
        <w:p>
          <w:pPr>
            <w:pStyle w:val="Contents6"/>
            <w:tabs>
              <w:tab w:val="clear" w:pos="7609"/>
              <w:tab w:val="right" w:pos="9026" w:leader="dot"/>
            </w:tabs>
            <w:rPr/>
          </w:pPr>
          <w:hyperlink w:anchor="__RefHeading___Toc5119045_2314609296">
            <w:r>
              <w:rPr>
                <w:webHidden/>
                <w:rStyle w:val="IndexLink"/>
                <w:rtl w:val="true"/>
              </w:rPr>
              <w:t>و منها</w:t>
            </w:r>
            <w:r>
              <w:rPr>
                <w:rStyle w:val="IndexLink"/>
                <w:rtl w:val="true"/>
              </w:rPr>
              <w:tab/>
            </w:r>
            <w:r>
              <w:rPr>
                <w:rStyle w:val="IndexLink"/>
              </w:rPr>
              <w:t>144</w:t>
            </w:r>
          </w:hyperlink>
        </w:p>
        <w:p>
          <w:pPr>
            <w:pStyle w:val="Contents6"/>
            <w:tabs>
              <w:tab w:val="clear" w:pos="7609"/>
              <w:tab w:val="right" w:pos="9026" w:leader="dot"/>
            </w:tabs>
            <w:rPr/>
          </w:pPr>
          <w:hyperlink w:anchor="__RefHeading___Toc5119047_2314609296">
            <w:r>
              <w:rPr>
                <w:webHidden/>
                <w:rStyle w:val="IndexLink"/>
                <w:rtl w:val="true"/>
              </w:rPr>
              <w:t>و منها</w:t>
            </w:r>
            <w:r>
              <w:rPr>
                <w:rStyle w:val="IndexLink"/>
                <w:rtl w:val="true"/>
              </w:rPr>
              <w:tab/>
            </w:r>
            <w:r>
              <w:rPr>
                <w:rStyle w:val="IndexLink"/>
              </w:rPr>
              <w:t>145</w:t>
            </w:r>
          </w:hyperlink>
        </w:p>
        <w:p>
          <w:pPr>
            <w:pStyle w:val="Contents6"/>
            <w:tabs>
              <w:tab w:val="clear" w:pos="7609"/>
              <w:tab w:val="right" w:pos="9026" w:leader="dot"/>
            </w:tabs>
            <w:rPr/>
          </w:pPr>
          <w:hyperlink w:anchor="__RefHeading___Toc5119049_2314609296">
            <w:r>
              <w:rPr>
                <w:webHidden/>
                <w:rStyle w:val="IndexLink"/>
                <w:rtl w:val="true"/>
              </w:rPr>
              <w:t>و منها</w:t>
            </w:r>
            <w:r>
              <w:rPr>
                <w:rStyle w:val="IndexLink"/>
                <w:rtl w:val="true"/>
              </w:rPr>
              <w:tab/>
            </w:r>
            <w:r>
              <w:rPr>
                <w:rStyle w:val="IndexLink"/>
              </w:rPr>
              <w:t>146</w:t>
            </w:r>
          </w:hyperlink>
        </w:p>
        <w:p>
          <w:pPr>
            <w:pStyle w:val="Contents6"/>
            <w:tabs>
              <w:tab w:val="clear" w:pos="7609"/>
              <w:tab w:val="right" w:pos="9026" w:leader="dot"/>
            </w:tabs>
            <w:rPr/>
          </w:pPr>
          <w:hyperlink w:anchor="__RefHeading___Toc5119051_2314609296">
            <w:r>
              <w:rPr>
                <w:webHidden/>
                <w:rStyle w:val="IndexLink"/>
                <w:rtl w:val="true"/>
              </w:rPr>
              <w:t>[</w:t>
            </w:r>
            <w:r>
              <w:rPr>
                <w:rStyle w:val="IndexLink"/>
                <w:rtl w:val="true"/>
              </w:rPr>
              <w:t>موارد القسم الثالث أی تعلق حق سابق علی الاستیلاد</w:t>
            </w:r>
            <w:r>
              <w:rPr>
                <w:rStyle w:val="IndexLink"/>
                <w:rtl w:val="true"/>
              </w:rPr>
              <w:t>]</w:t>
              <w:tab/>
            </w:r>
            <w:r>
              <w:rPr>
                <w:rStyle w:val="IndexLink"/>
              </w:rPr>
              <w:t>147</w:t>
            </w:r>
          </w:hyperlink>
        </w:p>
        <w:p>
          <w:pPr>
            <w:pStyle w:val="Contents6"/>
            <w:tabs>
              <w:tab w:val="clear" w:pos="7609"/>
              <w:tab w:val="right" w:pos="9026" w:leader="dot"/>
            </w:tabs>
            <w:rPr/>
          </w:pPr>
          <w:hyperlink w:anchor="__RefHeading___Toc5119053_2314609296">
            <w:r>
              <w:rPr>
                <w:webHidden/>
                <w:rStyle w:val="IndexLink"/>
                <w:rtl w:val="true"/>
              </w:rPr>
              <w:t>و من</w:t>
            </w:r>
            <w:r>
              <w:rPr>
                <w:rStyle w:val="IndexLink"/>
                <w:rtl w:val="true"/>
              </w:rPr>
              <w:tab/>
            </w:r>
            <w:r>
              <w:rPr>
                <w:rStyle w:val="IndexLink"/>
              </w:rPr>
              <w:t>147</w:t>
            </w:r>
          </w:hyperlink>
        </w:p>
        <w:p>
          <w:pPr>
            <w:pStyle w:val="Contents6"/>
            <w:tabs>
              <w:tab w:val="clear" w:pos="7609"/>
              <w:tab w:val="right" w:pos="9026" w:leader="dot"/>
            </w:tabs>
            <w:rPr/>
          </w:pPr>
          <w:hyperlink w:anchor="__RefHeading___Toc5119055_2314609296">
            <w:r>
              <w:rPr>
                <w:webHidden/>
                <w:rStyle w:val="IndexLink"/>
                <w:rtl w:val="true"/>
              </w:rPr>
              <w:t>و منها</w:t>
            </w:r>
            <w:r>
              <w:rPr>
                <w:rStyle w:val="IndexLink"/>
                <w:rtl w:val="true"/>
              </w:rPr>
              <w:tab/>
            </w:r>
            <w:r>
              <w:rPr>
                <w:rStyle w:val="IndexLink"/>
              </w:rPr>
              <w:t>148</w:t>
            </w:r>
          </w:hyperlink>
        </w:p>
        <w:p>
          <w:pPr>
            <w:pStyle w:val="Contents6"/>
            <w:tabs>
              <w:tab w:val="clear" w:pos="7609"/>
              <w:tab w:val="right" w:pos="9026" w:leader="dot"/>
            </w:tabs>
            <w:rPr/>
          </w:pPr>
          <w:hyperlink w:anchor="__RefHeading___Toc5119057_2314609296">
            <w:r>
              <w:rPr>
                <w:webHidden/>
                <w:rStyle w:val="IndexLink"/>
                <w:rtl w:val="true"/>
              </w:rPr>
              <w:t>و منها</w:t>
            </w:r>
            <w:r>
              <w:rPr>
                <w:rStyle w:val="IndexLink"/>
                <w:rtl w:val="true"/>
              </w:rPr>
              <w:tab/>
            </w:r>
            <w:r>
              <w:rPr>
                <w:rStyle w:val="IndexLink"/>
              </w:rPr>
              <w:t>149</w:t>
            </w:r>
          </w:hyperlink>
        </w:p>
        <w:p>
          <w:pPr>
            <w:pStyle w:val="Contents6"/>
            <w:tabs>
              <w:tab w:val="clear" w:pos="7609"/>
              <w:tab w:val="right" w:pos="9026" w:leader="dot"/>
            </w:tabs>
            <w:rPr/>
          </w:pPr>
          <w:hyperlink w:anchor="__RefHeading___Toc5119059_2314609296">
            <w:r>
              <w:rPr>
                <w:webHidden/>
                <w:rStyle w:val="IndexLink"/>
                <w:rtl w:val="true"/>
              </w:rPr>
              <w:t>و منها</w:t>
            </w:r>
            <w:r>
              <w:rPr>
                <w:rStyle w:val="IndexLink"/>
                <w:rtl w:val="true"/>
              </w:rPr>
              <w:tab/>
            </w:r>
            <w:r>
              <w:rPr>
                <w:rStyle w:val="IndexLink"/>
              </w:rPr>
              <w:t>150</w:t>
            </w:r>
          </w:hyperlink>
        </w:p>
        <w:p>
          <w:pPr>
            <w:pStyle w:val="Contents6"/>
            <w:tabs>
              <w:tab w:val="clear" w:pos="7609"/>
              <w:tab w:val="right" w:pos="9026" w:leader="dot"/>
            </w:tabs>
            <w:rPr/>
          </w:pPr>
          <w:hyperlink w:anchor="__RefHeading___Toc5119061_2314609296">
            <w:r>
              <w:rPr>
                <w:webHidden/>
                <w:rStyle w:val="IndexLink"/>
                <w:rtl w:val="true"/>
              </w:rPr>
              <w:t>و منها</w:t>
            </w:r>
            <w:r>
              <w:rPr>
                <w:rStyle w:val="IndexLink"/>
                <w:rtl w:val="true"/>
              </w:rPr>
              <w:tab/>
            </w:r>
            <w:r>
              <w:rPr>
                <w:rStyle w:val="IndexLink"/>
              </w:rPr>
              <w:t>151</w:t>
            </w:r>
          </w:hyperlink>
        </w:p>
        <w:p>
          <w:pPr>
            <w:pStyle w:val="Contents6"/>
            <w:tabs>
              <w:tab w:val="clear" w:pos="7609"/>
              <w:tab w:val="right" w:pos="9026" w:leader="dot"/>
            </w:tabs>
            <w:rPr/>
          </w:pPr>
          <w:hyperlink w:anchor="__RefHeading___Toc5119063_2314609296">
            <w:r>
              <w:rPr>
                <w:webHidden/>
                <w:rStyle w:val="IndexLink"/>
                <w:rtl w:val="true"/>
              </w:rPr>
              <w:t>و منها</w:t>
            </w:r>
            <w:r>
              <w:rPr>
                <w:rStyle w:val="IndexLink"/>
                <w:rtl w:val="true"/>
              </w:rPr>
              <w:tab/>
            </w:r>
            <w:r>
              <w:rPr>
                <w:rStyle w:val="IndexLink"/>
              </w:rPr>
              <w:t>151</w:t>
            </w:r>
          </w:hyperlink>
        </w:p>
        <w:p>
          <w:pPr>
            <w:pStyle w:val="Contents6"/>
            <w:tabs>
              <w:tab w:val="clear" w:pos="7609"/>
              <w:tab w:val="right" w:pos="9026" w:leader="dot"/>
            </w:tabs>
            <w:rPr/>
          </w:pPr>
          <w:hyperlink w:anchor="__RefHeading___Toc5119065_2314609296">
            <w:r>
              <w:rPr>
                <w:webHidden/>
                <w:rStyle w:val="IndexLink"/>
                <w:rtl w:val="true"/>
              </w:rPr>
              <w:t>و منها</w:t>
            </w:r>
            <w:r>
              <w:rPr>
                <w:rStyle w:val="IndexLink"/>
                <w:rtl w:val="true"/>
              </w:rPr>
              <w:tab/>
            </w:r>
            <w:r>
              <w:rPr>
                <w:rStyle w:val="IndexLink"/>
              </w:rPr>
              <w:t>152</w:t>
            </w:r>
          </w:hyperlink>
        </w:p>
        <w:p>
          <w:pPr>
            <w:pStyle w:val="Contents6"/>
            <w:tabs>
              <w:tab w:val="clear" w:pos="7609"/>
              <w:tab w:val="right" w:pos="9026" w:leader="dot"/>
            </w:tabs>
            <w:rPr/>
          </w:pPr>
          <w:hyperlink w:anchor="__RefHeading___Toc5119067_2314609296">
            <w:r>
              <w:rPr>
                <w:webHidden/>
                <w:rStyle w:val="IndexLink"/>
                <w:rtl w:val="true"/>
              </w:rPr>
              <w:t>و القسم الرابع</w:t>
            </w:r>
            <w:r>
              <w:rPr>
                <w:rStyle w:val="IndexLink"/>
                <w:rtl w:val="true"/>
              </w:rPr>
              <w:tab/>
            </w:r>
            <w:r>
              <w:rPr>
                <w:rStyle w:val="IndexLink"/>
              </w:rPr>
              <w:t>152</w:t>
            </w:r>
          </w:hyperlink>
        </w:p>
        <w:p>
          <w:pPr>
            <w:pStyle w:val="Contents5"/>
            <w:tabs>
              <w:tab w:val="clear" w:pos="7892"/>
              <w:tab w:val="right" w:pos="9026" w:leader="dot"/>
            </w:tabs>
            <w:rPr/>
          </w:pPr>
          <w:hyperlink w:anchor="__RefHeading___Toc5119069_2314609296">
            <w:r>
              <w:rPr>
                <w:webHidden/>
                <w:rStyle w:val="IndexLink"/>
                <w:rtl w:val="true"/>
              </w:rPr>
              <w:t>مسألة و من أسباب خروج الملک عن کونه طِلْقاً</w:t>
            </w:r>
            <w:r>
              <w:rPr>
                <w:rStyle w:val="IndexLink"/>
                <w:rtl w:val="true"/>
              </w:rPr>
              <w:t>:</w:t>
            </w:r>
            <w:r>
              <w:rPr>
                <w:rStyle w:val="IndexLink"/>
                <w:rtl w:val="true"/>
              </w:rPr>
              <w:t>کونه مرهوناً</w:t>
            </w:r>
            <w:r>
              <w:rPr>
                <w:rStyle w:val="IndexLink"/>
                <w:rtl w:val="true"/>
              </w:rPr>
              <w:t>.</w:t>
              <w:tab/>
            </w:r>
            <w:r>
              <w:rPr>
                <w:rStyle w:val="IndexLink"/>
              </w:rPr>
              <w:t>154</w:t>
            </w:r>
          </w:hyperlink>
        </w:p>
        <w:p>
          <w:pPr>
            <w:pStyle w:val="Contents6"/>
            <w:tabs>
              <w:tab w:val="clear" w:pos="7609"/>
              <w:tab w:val="right" w:pos="9026" w:leader="dot"/>
            </w:tabs>
            <w:rPr/>
          </w:pPr>
          <w:hyperlink w:anchor="__RefHeading___Toc5119071_2314609296">
            <w:r>
              <w:rPr>
                <w:webHidden/>
                <w:rStyle w:val="IndexLink"/>
                <w:rtl w:val="true"/>
              </w:rPr>
              <w:t>اشاره</w:t>
            </w:r>
            <w:r>
              <w:rPr>
                <w:rStyle w:val="IndexLink"/>
                <w:rtl w:val="true"/>
              </w:rPr>
              <w:tab/>
            </w:r>
            <w:r>
              <w:rPr>
                <w:rStyle w:val="IndexLink"/>
              </w:rPr>
              <w:t>154</w:t>
            </w:r>
          </w:hyperlink>
        </w:p>
        <w:p>
          <w:pPr>
            <w:pStyle w:val="Contents6"/>
            <w:tabs>
              <w:tab w:val="clear" w:pos="7609"/>
              <w:tab w:val="right" w:pos="9026" w:leader="dot"/>
            </w:tabs>
            <w:rPr/>
          </w:pPr>
          <w:hyperlink w:anchor="__RefHeading___Toc5119073_2314609296">
            <w:r>
              <w:rPr>
                <w:webHidden/>
                <w:rStyle w:val="IndexLink"/>
                <w:rtl w:val="true"/>
              </w:rPr>
              <w:t>و إنّما الکلام فی أنّ بیع الراهن هل یقع باطلاً من أصله؟أو یقع موقوفاً علی الإجازة،</w:t>
            </w:r>
            <w:r>
              <w:rPr>
                <w:rStyle w:val="IndexLink"/>
                <w:rtl w:val="true"/>
              </w:rPr>
              <w:tab/>
            </w:r>
            <w:r>
              <w:rPr>
                <w:rStyle w:val="IndexLink"/>
              </w:rPr>
              <w:t>154</w:t>
            </w:r>
          </w:hyperlink>
        </w:p>
        <w:p>
          <w:pPr>
            <w:pStyle w:val="Contents6"/>
            <w:tabs>
              <w:tab w:val="clear" w:pos="7609"/>
              <w:tab w:val="right" w:pos="9026" w:leader="dot"/>
            </w:tabs>
            <w:rPr/>
          </w:pPr>
          <w:hyperlink w:anchor="__RefHeading___Toc5119075_2314609296">
            <w:r>
              <w:rPr>
                <w:webHidden/>
                <w:rStyle w:val="IndexLink"/>
                <w:rtl w:val="true"/>
              </w:rPr>
              <w:t>ثمّ إنّ الکلام فی کون الإجازة من المرتهن کاشفةً أو ناقلةً،هو الکلام فی مسألة الفضولی،</w:t>
            </w:r>
            <w:r>
              <w:rPr>
                <w:rStyle w:val="IndexLink"/>
                <w:rtl w:val="true"/>
              </w:rPr>
              <w:tab/>
            </w:r>
            <w:r>
              <w:rPr>
                <w:rStyle w:val="IndexLink"/>
              </w:rPr>
              <w:t>161</w:t>
            </w:r>
          </w:hyperlink>
        </w:p>
        <w:p>
          <w:pPr>
            <w:pStyle w:val="Contents6"/>
            <w:tabs>
              <w:tab w:val="clear" w:pos="7609"/>
              <w:tab w:val="right" w:pos="9026" w:leader="dot"/>
            </w:tabs>
            <w:rPr/>
          </w:pPr>
          <w:hyperlink w:anchor="__RefHeading___Toc5119077_2314609296">
            <w:r>
              <w:rPr>
                <w:webHidden/>
                <w:rStyle w:val="IndexLink"/>
                <w:rtl w:val="true"/>
              </w:rPr>
              <w:t>[</w:t>
            </w:r>
            <w:r>
              <w:rPr>
                <w:rStyle w:val="IndexLink"/>
                <w:rtl w:val="true"/>
              </w:rPr>
              <w:t>هل تنفع الإجازة بعد الرد أم لا</w:t>
            </w:r>
            <w:r>
              <w:rPr>
                <w:rStyle w:val="IndexLink"/>
                <w:rtl w:val="true"/>
              </w:rPr>
              <w:t>]</w:t>
              <w:tab/>
            </w:r>
            <w:r>
              <w:rPr>
                <w:rStyle w:val="IndexLink"/>
              </w:rPr>
              <w:t>162</w:t>
            </w:r>
          </w:hyperlink>
        </w:p>
        <w:p>
          <w:pPr>
            <w:pStyle w:val="Contents6"/>
            <w:tabs>
              <w:tab w:val="clear" w:pos="7609"/>
              <w:tab w:val="right" w:pos="9026" w:leader="dot"/>
            </w:tabs>
            <w:rPr/>
          </w:pPr>
          <w:hyperlink w:anchor="__RefHeading___Toc5119079_2314609296">
            <w:r>
              <w:rPr>
                <w:webHidden/>
                <w:rStyle w:val="IndexLink"/>
                <w:rtl w:val="true"/>
              </w:rPr>
              <w:t>[</w:t>
            </w:r>
            <w:r>
              <w:rPr>
                <w:rStyle w:val="IndexLink"/>
                <w:rtl w:val="true"/>
              </w:rPr>
              <w:t>فک الرهن بعد البیع بمنزلة الإجازة</w:t>
            </w:r>
            <w:r>
              <w:rPr>
                <w:rStyle w:val="IndexLink"/>
                <w:rtl w:val="true"/>
              </w:rPr>
              <w:t>]</w:t>
              <w:tab/>
            </w:r>
            <w:r>
              <w:rPr>
                <w:rStyle w:val="IndexLink"/>
              </w:rPr>
              <w:t>163</w:t>
            </w:r>
          </w:hyperlink>
        </w:p>
        <w:p>
          <w:pPr>
            <w:pStyle w:val="Contents6"/>
            <w:tabs>
              <w:tab w:val="clear" w:pos="7609"/>
              <w:tab w:val="right" w:pos="9026" w:leader="dot"/>
            </w:tabs>
            <w:rPr/>
          </w:pPr>
          <w:hyperlink w:anchor="__RefHeading___Toc5119081_2314609296">
            <w:r>
              <w:rPr>
                <w:webHidden/>
                <w:rStyle w:val="IndexLink"/>
                <w:rtl w:val="true"/>
              </w:rPr>
              <w:t>و الفرق بین الإجازة و الفکّ</w:t>
            </w:r>
            <w:r>
              <w:rPr>
                <w:rStyle w:val="IndexLink"/>
                <w:rtl w:val="true"/>
              </w:rPr>
              <w:t>:</w:t>
              <w:tab/>
            </w:r>
            <w:r>
              <w:rPr>
                <w:rStyle w:val="IndexLink"/>
              </w:rPr>
              <w:t>164</w:t>
            </w:r>
          </w:hyperlink>
        </w:p>
        <w:p>
          <w:pPr>
            <w:pStyle w:val="Contents6"/>
            <w:tabs>
              <w:tab w:val="clear" w:pos="7609"/>
              <w:tab w:val="right" w:pos="9026" w:leader="dot"/>
            </w:tabs>
            <w:rPr/>
          </w:pPr>
          <w:hyperlink w:anchor="__RefHeading___Toc5119083_2314609296">
            <w:r>
              <w:rPr>
                <w:webHidden/>
                <w:rStyle w:val="IndexLink"/>
                <w:rtl w:val="true"/>
              </w:rPr>
              <w:t>[</w:t>
            </w:r>
            <w:r>
              <w:rPr>
                <w:rStyle w:val="IndexLink"/>
                <w:rtl w:val="true"/>
              </w:rPr>
              <w:t>هل سقوط حق الرهانة کاشف أو ناقل</w:t>
            </w:r>
            <w:r>
              <w:rPr>
                <w:rStyle w:val="IndexLink"/>
                <w:rtl w:val="true"/>
              </w:rPr>
              <w:t>]</w:t>
              <w:tab/>
            </w:r>
            <w:r>
              <w:rPr>
                <w:rStyle w:val="IndexLink"/>
              </w:rPr>
              <w:t>165</w:t>
            </w:r>
          </w:hyperlink>
        </w:p>
        <w:p>
          <w:pPr>
            <w:pStyle w:val="Contents6"/>
            <w:tabs>
              <w:tab w:val="clear" w:pos="7609"/>
              <w:tab w:val="right" w:pos="9026" w:leader="dot"/>
            </w:tabs>
            <w:rPr/>
          </w:pPr>
          <w:hyperlink w:anchor="__RefHeading___Toc5119085_2314609296">
            <w:r>
              <w:rPr>
                <w:webHidden/>
                <w:rStyle w:val="IndexLink"/>
                <w:rtl w:val="true"/>
              </w:rPr>
              <w:t>[</w:t>
            </w:r>
            <w:r>
              <w:rPr>
                <w:rStyle w:val="IndexLink"/>
                <w:rtl w:val="true"/>
              </w:rPr>
              <w:t>ظاهر کل من قال بلزوم العقد هو الکشف</w:t>
            </w:r>
            <w:r>
              <w:rPr>
                <w:rStyle w:val="IndexLink"/>
                <w:rtl w:val="true"/>
              </w:rPr>
              <w:t>]</w:t>
              <w:tab/>
            </w:r>
            <w:r>
              <w:rPr>
                <w:rStyle w:val="IndexLink"/>
              </w:rPr>
              <w:t>166</w:t>
            </w:r>
          </w:hyperlink>
        </w:p>
        <w:p>
          <w:pPr>
            <w:pStyle w:val="Contents5"/>
            <w:tabs>
              <w:tab w:val="clear" w:pos="7892"/>
              <w:tab w:val="right" w:pos="9026" w:leader="dot"/>
            </w:tabs>
            <w:rPr/>
          </w:pPr>
          <w:hyperlink w:anchor="__RefHeading___Toc5119087_2314609296">
            <w:r>
              <w:rPr>
                <w:webHidden/>
                <w:rStyle w:val="IndexLink"/>
                <w:rtl w:val="true"/>
              </w:rPr>
              <w:t>مسألة إذا جنی العبد عمداً بما یوجب قتله أو استرقاق کلِّه أو بعضه،</w:t>
            </w:r>
            <w:r>
              <w:rPr>
                <w:rStyle w:val="IndexLink"/>
                <w:rtl w:val="true"/>
              </w:rPr>
              <w:tab/>
            </w:r>
            <w:r>
              <w:rPr>
                <w:rStyle w:val="IndexLink"/>
              </w:rPr>
              <w:t>168</w:t>
            </w:r>
          </w:hyperlink>
        </w:p>
        <w:p>
          <w:pPr>
            <w:pStyle w:val="Contents5"/>
            <w:tabs>
              <w:tab w:val="clear" w:pos="7892"/>
              <w:tab w:val="right" w:pos="9026" w:leader="dot"/>
            </w:tabs>
            <w:rPr/>
          </w:pPr>
          <w:hyperlink w:anchor="__RefHeading___Toc5119089_2314609296">
            <w:r>
              <w:rPr>
                <w:webHidden/>
                <w:rStyle w:val="IndexLink"/>
                <w:rtl w:val="true"/>
              </w:rPr>
              <w:t>مسألة إذا جنی العبد خطأً صحّ بیعه علی المشهور،</w:t>
            </w:r>
            <w:r>
              <w:rPr>
                <w:rStyle w:val="IndexLink"/>
                <w:rtl w:val="true"/>
              </w:rPr>
              <w:tab/>
            </w:r>
            <w:r>
              <w:rPr>
                <w:rStyle w:val="IndexLink"/>
              </w:rPr>
              <w:t>173</w:t>
            </w:r>
          </w:hyperlink>
        </w:p>
        <w:p>
          <w:pPr>
            <w:pStyle w:val="Contents4"/>
            <w:tabs>
              <w:tab w:val="clear" w:pos="8176"/>
              <w:tab w:val="right" w:pos="9026" w:leader="dot"/>
            </w:tabs>
            <w:rPr/>
          </w:pPr>
          <w:hyperlink w:anchor="__RefHeading___Toc5119091_2314609296">
            <w:r>
              <w:rPr>
                <w:webHidden/>
                <w:rStyle w:val="IndexLink"/>
                <w:rtl w:val="true"/>
              </w:rPr>
              <w:t>مسألة الثالث من شروط العوضین</w:t>
            </w:r>
            <w:r>
              <w:rPr>
                <w:rStyle w:val="IndexLink"/>
                <w:rtl w:val="true"/>
              </w:rPr>
              <w:t>:</w:t>
            </w:r>
            <w:r>
              <w:rPr>
                <w:rStyle w:val="IndexLink"/>
                <w:rtl w:val="true"/>
              </w:rPr>
              <w:t>القدرة علی التسلیم</w:t>
            </w:r>
            <w:r>
              <w:rPr>
                <w:rStyle w:val="IndexLink"/>
                <w:rtl w:val="true"/>
              </w:rPr>
              <w:tab/>
            </w:r>
            <w:r>
              <w:rPr>
                <w:rStyle w:val="IndexLink"/>
              </w:rPr>
              <w:t>176</w:t>
            </w:r>
          </w:hyperlink>
        </w:p>
        <w:p>
          <w:pPr>
            <w:pStyle w:val="Contents5"/>
            <w:tabs>
              <w:tab w:val="clear" w:pos="7892"/>
              <w:tab w:val="right" w:pos="9026" w:leader="dot"/>
            </w:tabs>
            <w:rPr/>
          </w:pPr>
          <w:hyperlink w:anchor="__RefHeading___Toc5119093_2314609296">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5119095_2314609296">
            <w:r>
              <w:rPr>
                <w:webHidden/>
                <w:rStyle w:val="IndexLink"/>
                <w:rtl w:val="true"/>
              </w:rPr>
              <w:t>[</w:t>
            </w:r>
            <w:r>
              <w:rPr>
                <w:rStyle w:val="IndexLink"/>
                <w:rtl w:val="true"/>
              </w:rPr>
              <w:t>معنی الغرر لغة</w:t>
            </w:r>
            <w:r>
              <w:rPr>
                <w:rStyle w:val="IndexLink"/>
                <w:rtl w:val="true"/>
              </w:rPr>
              <w:t>]</w:t>
              <w:tab/>
            </w:r>
            <w:r>
              <w:rPr>
                <w:rStyle w:val="IndexLink"/>
              </w:rPr>
              <w:t>177</w:t>
            </w:r>
          </w:hyperlink>
        </w:p>
        <w:p>
          <w:pPr>
            <w:pStyle w:val="Contents5"/>
            <w:tabs>
              <w:tab w:val="clear" w:pos="7892"/>
              <w:tab w:val="right" w:pos="9026" w:leader="dot"/>
            </w:tabs>
            <w:rPr/>
          </w:pPr>
          <w:hyperlink w:anchor="__RefHeading___Toc5119097_2314609296">
            <w:r>
              <w:rPr>
                <w:webHidden/>
                <w:rStyle w:val="IndexLink"/>
                <w:rtl w:val="true"/>
              </w:rPr>
              <w:t>[</w:t>
            </w:r>
            <w:r>
              <w:rPr>
                <w:rStyle w:val="IndexLink"/>
                <w:rtl w:val="true"/>
              </w:rPr>
              <w:t>الاستدلال الفریقین بالنبوی المذکور علی شرطیة القدرة</w:t>
            </w:r>
            <w:r>
              <w:rPr>
                <w:rStyle w:val="IndexLink"/>
                <w:rtl w:val="true"/>
              </w:rPr>
              <w:t>]</w:t>
              <w:tab/>
            </w:r>
            <w:r>
              <w:rPr>
                <w:rStyle w:val="IndexLink"/>
              </w:rPr>
              <w:t>180</w:t>
            </w:r>
          </w:hyperlink>
        </w:p>
        <w:p>
          <w:pPr>
            <w:pStyle w:val="Contents6"/>
            <w:tabs>
              <w:tab w:val="clear" w:pos="7609"/>
              <w:tab w:val="right" w:pos="9026" w:leader="dot"/>
            </w:tabs>
            <w:rPr/>
          </w:pPr>
          <w:hyperlink w:anchor="__RefHeading___Toc5119099_2314609296">
            <w:r>
              <w:rPr>
                <w:webHidden/>
                <w:rStyle w:val="IndexLink"/>
                <w:rtl w:val="true"/>
              </w:rPr>
              <w:t>اشاره</w:t>
            </w:r>
            <w:r>
              <w:rPr>
                <w:rStyle w:val="IndexLink"/>
                <w:rtl w:val="true"/>
              </w:rPr>
              <w:tab/>
            </w:r>
            <w:r>
              <w:rPr>
                <w:rStyle w:val="IndexLink"/>
              </w:rPr>
              <w:t>180</w:t>
            </w:r>
          </w:hyperlink>
        </w:p>
        <w:p>
          <w:pPr>
            <w:pStyle w:val="Contents6"/>
            <w:tabs>
              <w:tab w:val="clear" w:pos="7609"/>
              <w:tab w:val="right" w:pos="9026" w:leader="dot"/>
            </w:tabs>
            <w:rPr/>
          </w:pPr>
          <w:hyperlink w:anchor="__RefHeading___Toc5119101_2314609296">
            <w:r>
              <w:rPr>
                <w:webHidden/>
                <w:rStyle w:val="IndexLink"/>
                <w:rtl w:val="true"/>
              </w:rPr>
              <w:t>[</w:t>
            </w:r>
            <w:r>
              <w:rPr>
                <w:rStyle w:val="IndexLink"/>
                <w:rtl w:val="true"/>
              </w:rPr>
              <w:t>کلام الشهید فی القواعد فی تفسیر الغرر</w:t>
            </w:r>
            <w:r>
              <w:rPr>
                <w:rStyle w:val="IndexLink"/>
                <w:rtl w:val="true"/>
              </w:rPr>
              <w:t>]</w:t>
              <w:tab/>
            </w:r>
            <w:r>
              <w:rPr>
                <w:rStyle w:val="IndexLink"/>
              </w:rPr>
              <w:t>181</w:t>
            </w:r>
          </w:hyperlink>
        </w:p>
        <w:p>
          <w:pPr>
            <w:pStyle w:val="Contents6"/>
            <w:tabs>
              <w:tab w:val="clear" w:pos="7609"/>
              <w:tab w:val="right" w:pos="9026" w:leader="dot"/>
            </w:tabs>
            <w:rPr/>
          </w:pPr>
          <w:hyperlink w:anchor="__RefHeading___Toc5119103_2314609296">
            <w:r>
              <w:rPr>
                <w:webHidden/>
                <w:rStyle w:val="IndexLink"/>
                <w:rtl w:val="true"/>
              </w:rPr>
              <w:t>[</w:t>
            </w:r>
            <w:r>
              <w:rPr>
                <w:rStyle w:val="IndexLink"/>
                <w:rtl w:val="true"/>
              </w:rPr>
              <w:t>کلام الشهید فی شرح الإرشاد فی تفسیر الغرر</w:t>
            </w:r>
            <w:r>
              <w:rPr>
                <w:rStyle w:val="IndexLink"/>
                <w:rtl w:val="true"/>
              </w:rPr>
              <w:t>]</w:t>
              <w:tab/>
            </w:r>
            <w:r>
              <w:rPr>
                <w:rStyle w:val="IndexLink"/>
              </w:rPr>
              <w:t>182</w:t>
            </w:r>
          </w:hyperlink>
        </w:p>
        <w:p>
          <w:pPr>
            <w:pStyle w:val="Contents6"/>
            <w:tabs>
              <w:tab w:val="clear" w:pos="7609"/>
              <w:tab w:val="right" w:pos="9026" w:leader="dot"/>
            </w:tabs>
            <w:rPr/>
          </w:pPr>
          <w:hyperlink w:anchor="__RefHeading___Toc5119105_2314609296">
            <w:r>
              <w:rPr>
                <w:webHidden/>
                <w:rStyle w:val="IndexLink"/>
                <w:rtl w:val="true"/>
              </w:rPr>
              <w:t>[</w:t>
            </w:r>
            <w:r>
              <w:rPr>
                <w:rStyle w:val="IndexLink"/>
                <w:rtl w:val="true"/>
              </w:rPr>
              <w:t>المناقشة فیما أفاده الشهید فی شرح الإرشاد</w:t>
            </w:r>
            <w:r>
              <w:rPr>
                <w:rStyle w:val="IndexLink"/>
                <w:rtl w:val="true"/>
              </w:rPr>
              <w:t>]</w:t>
              <w:tab/>
            </w:r>
            <w:r>
              <w:rPr>
                <w:rStyle w:val="IndexLink"/>
              </w:rPr>
              <w:t>183</w:t>
            </w:r>
          </w:hyperlink>
        </w:p>
        <w:p>
          <w:pPr>
            <w:pStyle w:val="Contents6"/>
            <w:tabs>
              <w:tab w:val="clear" w:pos="7609"/>
              <w:tab w:val="right" w:pos="9026" w:leader="dot"/>
            </w:tabs>
            <w:rPr/>
          </w:pPr>
          <w:hyperlink w:anchor="__RefHeading___Toc5119107_2314609296">
            <w:r>
              <w:rPr>
                <w:webHidden/>
                <w:rStyle w:val="IndexLink"/>
                <w:rtl w:val="true"/>
              </w:rPr>
              <w:t>[</w:t>
            </w:r>
            <w:r>
              <w:rPr>
                <w:rStyle w:val="IndexLink"/>
                <w:rtl w:val="true"/>
              </w:rPr>
              <w:t>التمسک بالنبوی المذکور أخفی من المدعی</w:t>
            </w:r>
            <w:r>
              <w:rPr>
                <w:rStyle w:val="IndexLink"/>
                <w:rtl w:val="true"/>
              </w:rPr>
              <w:t>]</w:t>
              <w:tab/>
            </w:r>
            <w:r>
              <w:rPr>
                <w:rStyle w:val="IndexLink"/>
              </w:rPr>
              <w:t>184</w:t>
            </w:r>
          </w:hyperlink>
        </w:p>
        <w:p>
          <w:pPr>
            <w:pStyle w:val="Contents5"/>
            <w:tabs>
              <w:tab w:val="clear" w:pos="7892"/>
              <w:tab w:val="right" w:pos="9026" w:leader="dot"/>
            </w:tabs>
            <w:rPr/>
          </w:pPr>
          <w:hyperlink w:anchor="__RefHeading___Toc5119109_2314609296">
            <w:r>
              <w:rPr>
                <w:webHidden/>
                <w:rStyle w:val="IndexLink"/>
                <w:rtl w:val="true"/>
              </w:rPr>
              <w:t>ثمّ إنّه ربما یستدلّ علی هذا الشرط بوجوه أُخر</w:t>
            </w:r>
            <w:r>
              <w:rPr>
                <w:rStyle w:val="IndexLink"/>
                <w:rtl w:val="true"/>
              </w:rPr>
              <w:t>:</w:t>
              <w:tab/>
            </w:r>
            <w:r>
              <w:rPr>
                <w:rStyle w:val="IndexLink"/>
              </w:rPr>
              <w:t>184</w:t>
            </w:r>
          </w:hyperlink>
        </w:p>
        <w:p>
          <w:pPr>
            <w:pStyle w:val="Contents6"/>
            <w:tabs>
              <w:tab w:val="clear" w:pos="7609"/>
              <w:tab w:val="right" w:pos="9026" w:leader="dot"/>
            </w:tabs>
            <w:rPr/>
          </w:pPr>
          <w:hyperlink w:anchor="__RefHeading___Toc5119111_2314609296">
            <w:r>
              <w:rPr>
                <w:webHidden/>
                <w:rStyle w:val="IndexLink"/>
                <w:rtl w:val="true"/>
              </w:rPr>
              <w:t>منها</w:t>
            </w:r>
            <w:r>
              <w:rPr>
                <w:rStyle w:val="IndexLink"/>
                <w:rtl w:val="true"/>
              </w:rPr>
              <w:t xml:space="preserve">: </w:t>
            </w:r>
            <w:r>
              <w:rPr>
                <w:rStyle w:val="IndexLink"/>
                <w:rtl w:val="true"/>
              </w:rPr>
              <w:t>ما اشتهر عن النبی صلّی اللّٰه علیه و آله من قوله</w:t>
            </w:r>
            <w:r>
              <w:rPr>
                <w:rStyle w:val="IndexLink"/>
                <w:rtl w:val="true"/>
              </w:rPr>
              <w:t>:«</w:t>
            </w:r>
            <w:r>
              <w:rPr>
                <w:rStyle w:val="IndexLink"/>
                <w:rtl w:val="true"/>
              </w:rPr>
              <w:t>لا تبع ما لیس عندک</w:t>
            </w:r>
            <w:r>
              <w:rPr>
                <w:rStyle w:val="IndexLink"/>
                <w:rtl w:val="true"/>
              </w:rPr>
              <w:t>»</w:t>
              <w:tab/>
            </w:r>
            <w:r>
              <w:rPr>
                <w:rStyle w:val="IndexLink"/>
              </w:rPr>
              <w:t>184</w:t>
            </w:r>
          </w:hyperlink>
        </w:p>
        <w:p>
          <w:pPr>
            <w:pStyle w:val="Contents6"/>
            <w:tabs>
              <w:tab w:val="clear" w:pos="7609"/>
              <w:tab w:val="right" w:pos="9026" w:leader="dot"/>
            </w:tabs>
            <w:rPr/>
          </w:pPr>
          <w:hyperlink w:anchor="__RefHeading___Toc5119113_2314609296">
            <w:r>
              <w:rPr>
                <w:webHidden/>
                <w:rStyle w:val="IndexLink"/>
                <w:rtl w:val="true"/>
              </w:rPr>
              <w:t>و منها</w:t>
            </w:r>
            <w:r>
              <w:rPr>
                <w:rStyle w:val="IndexLink"/>
                <w:rtl w:val="true"/>
              </w:rPr>
              <w:t xml:space="preserve">: </w:t>
            </w:r>
            <w:r>
              <w:rPr>
                <w:rStyle w:val="IndexLink"/>
                <w:rtl w:val="true"/>
              </w:rPr>
              <w:t>أنّ لازم العقد وجوب تسلیم کلٍّ من المتبایعین العوضین إلی صاحبه،</w:t>
            </w:r>
            <w:r>
              <w:rPr>
                <w:rStyle w:val="IndexLink"/>
                <w:rtl w:val="true"/>
              </w:rPr>
              <w:tab/>
            </w:r>
            <w:r>
              <w:rPr>
                <w:rStyle w:val="IndexLink"/>
              </w:rPr>
              <w:t>186</w:t>
            </w:r>
          </w:hyperlink>
        </w:p>
        <w:p>
          <w:pPr>
            <w:pStyle w:val="Contents6"/>
            <w:tabs>
              <w:tab w:val="clear" w:pos="7609"/>
              <w:tab w:val="right" w:pos="9026" w:leader="dot"/>
            </w:tabs>
            <w:rPr/>
          </w:pPr>
          <w:hyperlink w:anchor="__RefHeading___Toc5119115_2314609296">
            <w:r>
              <w:rPr>
                <w:webHidden/>
                <w:rStyle w:val="IndexLink"/>
                <w:rtl w:val="true"/>
              </w:rPr>
              <w:t>و منها</w:t>
            </w:r>
            <w:r>
              <w:rPr>
                <w:rStyle w:val="IndexLink"/>
                <w:rtl w:val="true"/>
              </w:rPr>
              <w:t xml:space="preserve">: </w:t>
            </w:r>
            <w:r>
              <w:rPr>
                <w:rStyle w:val="IndexLink"/>
                <w:rtl w:val="true"/>
              </w:rPr>
              <w:t>أنّ الغرض من البیع انتفاع کلٍّ منهما بما یصیر إلیه،</w:t>
            </w:r>
            <w:r>
              <w:rPr>
                <w:rStyle w:val="IndexLink"/>
                <w:rtl w:val="true"/>
              </w:rPr>
              <w:tab/>
            </w:r>
            <w:r>
              <w:rPr>
                <w:rStyle w:val="IndexLink"/>
              </w:rPr>
              <w:t>186</w:t>
            </w:r>
          </w:hyperlink>
        </w:p>
        <w:p>
          <w:pPr>
            <w:pStyle w:val="Contents6"/>
            <w:tabs>
              <w:tab w:val="clear" w:pos="7609"/>
              <w:tab w:val="right" w:pos="9026" w:leader="dot"/>
            </w:tabs>
            <w:rPr/>
          </w:pPr>
          <w:hyperlink w:anchor="__RefHeading___Toc5119117_2314609296">
            <w:r>
              <w:rPr>
                <w:webHidden/>
                <w:rStyle w:val="IndexLink"/>
                <w:rtl w:val="true"/>
              </w:rPr>
              <w:t>و منها</w:t>
            </w:r>
            <w:r>
              <w:rPr>
                <w:rStyle w:val="IndexLink"/>
                <w:rtl w:val="true"/>
              </w:rPr>
              <w:t xml:space="preserve">: </w:t>
            </w:r>
            <w:r>
              <w:rPr>
                <w:rStyle w:val="IndexLink"/>
                <w:rtl w:val="true"/>
              </w:rPr>
              <w:t>أنّ بذل الثمن علی غیر المقدور سفهٌ،</w:t>
            </w:r>
            <w:r>
              <w:rPr>
                <w:rStyle w:val="IndexLink"/>
                <w:rtl w:val="true"/>
              </w:rPr>
              <w:tab/>
            </w:r>
            <w:r>
              <w:rPr>
                <w:rStyle w:val="IndexLink"/>
              </w:rPr>
              <w:t>187</w:t>
            </w:r>
          </w:hyperlink>
        </w:p>
        <w:p>
          <w:pPr>
            <w:pStyle w:val="Contents5"/>
            <w:tabs>
              <w:tab w:val="clear" w:pos="7892"/>
              <w:tab w:val="right" w:pos="9026" w:leader="dot"/>
            </w:tabs>
            <w:rPr/>
          </w:pPr>
          <w:hyperlink w:anchor="__RefHeading___Toc5119119_2314609296">
            <w:r>
              <w:rPr>
                <w:webHidden/>
                <w:rStyle w:val="IndexLink"/>
                <w:rtl w:val="true"/>
              </w:rPr>
              <w:t>[</w:t>
            </w:r>
            <w:r>
              <w:rPr>
                <w:rStyle w:val="IndexLink"/>
                <w:rtl w:val="true"/>
              </w:rPr>
              <w:t>هل القدرة شرط أو العجز مانع</w:t>
            </w:r>
            <w:r>
              <w:rPr>
                <w:rStyle w:val="IndexLink"/>
                <w:rtl w:val="true"/>
              </w:rPr>
              <w:t>]</w:t>
              <w:tab/>
            </w:r>
            <w:r>
              <w:rPr>
                <w:rStyle w:val="IndexLink"/>
              </w:rPr>
              <w:t>187</w:t>
            </w:r>
          </w:hyperlink>
        </w:p>
        <w:p>
          <w:pPr>
            <w:pStyle w:val="Contents6"/>
            <w:tabs>
              <w:tab w:val="clear" w:pos="7609"/>
              <w:tab w:val="right" w:pos="9026" w:leader="dot"/>
            </w:tabs>
            <w:rPr/>
          </w:pPr>
          <w:hyperlink w:anchor="__RefHeading___Toc5119121_2314609296">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5119123_2314609296">
            <w:r>
              <w:rPr>
                <w:webHidden/>
                <w:rStyle w:val="IndexLink"/>
                <w:rtl w:val="true"/>
              </w:rPr>
              <w:t>[</w:t>
            </w:r>
            <w:r>
              <w:rPr>
                <w:rStyle w:val="IndexLink"/>
                <w:rtl w:val="true"/>
              </w:rPr>
              <w:t>المناقشة فیما استظهره صاحب الجواهر</w:t>
            </w:r>
            <w:r>
              <w:rPr>
                <w:rStyle w:val="IndexLink"/>
                <w:rtl w:val="true"/>
              </w:rPr>
              <w:t>]</w:t>
              <w:tab/>
            </w:r>
            <w:r>
              <w:rPr>
                <w:rStyle w:val="IndexLink"/>
              </w:rPr>
              <w:t>187</w:t>
            </w:r>
          </w:hyperlink>
        </w:p>
        <w:p>
          <w:pPr>
            <w:pStyle w:val="Contents5"/>
            <w:tabs>
              <w:tab w:val="clear" w:pos="7892"/>
              <w:tab w:val="right" w:pos="9026" w:leader="dot"/>
            </w:tabs>
            <w:rPr/>
          </w:pPr>
          <w:hyperlink w:anchor="__RefHeading___Toc5119125_2314609296">
            <w:r>
              <w:rPr>
                <w:webHidden/>
                <w:rStyle w:val="IndexLink"/>
                <w:rtl w:val="true"/>
              </w:rPr>
              <w:t>[</w:t>
            </w:r>
            <w:r>
              <w:rPr>
                <w:rStyle w:val="IndexLink"/>
                <w:rtl w:val="true"/>
              </w:rPr>
              <w:t>العبرة بالقدرة فی زمان الاستحقاق</w:t>
            </w:r>
            <w:r>
              <w:rPr>
                <w:rStyle w:val="IndexLink"/>
                <w:rtl w:val="true"/>
              </w:rPr>
              <w:t>]</w:t>
              <w:tab/>
            </w:r>
            <w:r>
              <w:rPr>
                <w:rStyle w:val="IndexLink"/>
              </w:rPr>
              <w:t>188</w:t>
            </w:r>
          </w:hyperlink>
        </w:p>
        <w:p>
          <w:pPr>
            <w:pStyle w:val="Contents5"/>
            <w:tabs>
              <w:tab w:val="clear" w:pos="7892"/>
              <w:tab w:val="right" w:pos="9026" w:leader="dot"/>
            </w:tabs>
            <w:rPr/>
          </w:pPr>
          <w:hyperlink w:anchor="__RefHeading___Toc5119127_2314609296">
            <w:r>
              <w:rPr>
                <w:webHidden/>
                <w:rStyle w:val="IndexLink"/>
                <w:rtl w:val="true"/>
              </w:rPr>
              <w:t>[</w:t>
            </w:r>
            <w:r>
              <w:rPr>
                <w:rStyle w:val="IndexLink"/>
                <w:rtl w:val="true"/>
              </w:rPr>
              <w:t>القدرة علی التسلیم شرط بالتبع و المقصد الأصلی هو التسلم</w:t>
            </w:r>
            <w:r>
              <w:rPr>
                <w:rStyle w:val="IndexLink"/>
                <w:rtl w:val="true"/>
              </w:rPr>
              <w:t>]</w:t>
              <w:tab/>
            </w:r>
            <w:r>
              <w:rPr>
                <w:rStyle w:val="IndexLink"/>
              </w:rPr>
              <w:t>191</w:t>
            </w:r>
          </w:hyperlink>
        </w:p>
        <w:p>
          <w:pPr>
            <w:pStyle w:val="Contents5"/>
            <w:tabs>
              <w:tab w:val="clear" w:pos="7892"/>
              <w:tab w:val="right" w:pos="9026" w:leader="dot"/>
            </w:tabs>
            <w:rPr/>
          </w:pPr>
          <w:hyperlink w:anchor="__RefHeading___Toc5119129_2314609296">
            <w:r>
              <w:rPr>
                <w:webHidden/>
                <w:rStyle w:val="IndexLink"/>
                <w:rtl w:val="true"/>
              </w:rPr>
              <w:t>ثمّ إنّ الشرط هی القدرة المعلومة للمتبایعین؛</w:t>
            </w:r>
            <w:r>
              <w:rPr>
                <w:rStyle w:val="IndexLink"/>
                <w:rtl w:val="true"/>
              </w:rPr>
              <w:tab/>
            </w:r>
            <w:r>
              <w:rPr>
                <w:rStyle w:val="IndexLink"/>
              </w:rPr>
              <w:t>194</w:t>
            </w:r>
          </w:hyperlink>
        </w:p>
        <w:p>
          <w:pPr>
            <w:pStyle w:val="Contents5"/>
            <w:tabs>
              <w:tab w:val="clear" w:pos="7892"/>
              <w:tab w:val="right" w:pos="9026" w:leader="dot"/>
            </w:tabs>
            <w:rPr/>
          </w:pPr>
          <w:hyperlink w:anchor="__RefHeading___Toc5119131_2314609296">
            <w:r>
              <w:rPr>
                <w:webHidden/>
                <w:rStyle w:val="IndexLink"/>
                <w:rtl w:val="true"/>
              </w:rPr>
              <w:t>[</w:t>
            </w:r>
            <w:r>
              <w:rPr>
                <w:rStyle w:val="IndexLink"/>
                <w:rtl w:val="true"/>
              </w:rPr>
              <w:t>هل العبرة بقدرة الموکل أو الوکیل</w:t>
            </w:r>
            <w:r>
              <w:rPr>
                <w:rStyle w:val="IndexLink"/>
                <w:rtl w:val="true"/>
              </w:rPr>
              <w:t>]</w:t>
              <w:tab/>
            </w:r>
            <w:r>
              <w:rPr>
                <w:rStyle w:val="IndexLink"/>
              </w:rPr>
              <w:t>194</w:t>
            </w:r>
          </w:hyperlink>
        </w:p>
        <w:p>
          <w:pPr>
            <w:pStyle w:val="Contents5"/>
            <w:tabs>
              <w:tab w:val="clear" w:pos="7892"/>
              <w:tab w:val="right" w:pos="9026" w:leader="dot"/>
            </w:tabs>
            <w:rPr/>
          </w:pPr>
          <w:hyperlink w:anchor="__RefHeading___Toc5119133_2314609296">
            <w:r>
              <w:rPr>
                <w:webHidden/>
                <w:rStyle w:val="IndexLink"/>
                <w:rtl w:val="true"/>
              </w:rPr>
              <w:t>مسألة لا یجوز بیع الآبق منفرداً</w:t>
            </w:r>
            <w:r>
              <w:rPr>
                <w:rStyle w:val="IndexLink"/>
                <w:rtl w:val="true"/>
              </w:rPr>
              <w:tab/>
            </w:r>
            <w:r>
              <w:rPr>
                <w:rStyle w:val="IndexLink"/>
              </w:rPr>
              <w:t>196</w:t>
            </w:r>
          </w:hyperlink>
        </w:p>
        <w:p>
          <w:pPr>
            <w:pStyle w:val="Contents5"/>
            <w:tabs>
              <w:tab w:val="clear" w:pos="7892"/>
              <w:tab w:val="right" w:pos="9026" w:leader="dot"/>
            </w:tabs>
            <w:rPr/>
          </w:pPr>
          <w:hyperlink w:anchor="__RefHeading___Toc5119135_2314609296">
            <w:r>
              <w:rPr>
                <w:webHidden/>
                <w:rStyle w:val="IndexLink"/>
                <w:rtl w:val="true"/>
              </w:rPr>
              <w:t>مسألة یجوز بیع الآبق مع الضمیمة فی الجملة</w:t>
            </w:r>
            <w:r>
              <w:rPr>
                <w:rStyle w:val="IndexLink"/>
                <w:rtl w:val="true"/>
              </w:rPr>
              <w:tab/>
            </w:r>
            <w:r>
              <w:rPr>
                <w:rStyle w:val="IndexLink"/>
              </w:rPr>
              <w:t>202</w:t>
            </w:r>
          </w:hyperlink>
        </w:p>
        <w:p>
          <w:pPr>
            <w:pStyle w:val="Contents4"/>
            <w:tabs>
              <w:tab w:val="clear" w:pos="8176"/>
              <w:tab w:val="right" w:pos="9026" w:leader="dot"/>
            </w:tabs>
            <w:rPr/>
          </w:pPr>
          <w:hyperlink w:anchor="__RefHeading___Toc5119137_2314609296">
            <w:r>
              <w:rPr>
                <w:webHidden/>
                <w:rStyle w:val="IndexLink"/>
                <w:rtl w:val="true"/>
              </w:rPr>
              <w:t xml:space="preserve">مسألة </w:t>
            </w:r>
            <w:r>
              <w:rPr>
                <w:rStyle w:val="IndexLink"/>
                <w:rtl w:val="true"/>
              </w:rPr>
              <w:t>[</w:t>
            </w:r>
            <w:r>
              <w:rPr>
                <w:rStyle w:val="IndexLink"/>
                <w:rtl w:val="true"/>
              </w:rPr>
              <w:t>من شروط العوضین</w:t>
            </w:r>
            <w:r>
              <w:rPr>
                <w:rStyle w:val="IndexLink"/>
                <w:rtl w:val="true"/>
              </w:rPr>
              <w:t>:</w:t>
            </w:r>
            <w:r>
              <w:rPr>
                <w:rStyle w:val="IndexLink"/>
                <w:rtl w:val="true"/>
              </w:rPr>
              <w:t>العلم بقدر الثمن</w:t>
            </w:r>
            <w:r>
              <w:rPr>
                <w:rStyle w:val="IndexLink"/>
                <w:rtl w:val="true"/>
              </w:rPr>
              <w:t>]</w:t>
              <w:tab/>
            </w:r>
            <w:r>
              <w:rPr>
                <w:rStyle w:val="IndexLink"/>
              </w:rPr>
              <w:t>207</w:t>
            </w:r>
          </w:hyperlink>
        </w:p>
        <w:p>
          <w:pPr>
            <w:pStyle w:val="Contents4"/>
            <w:tabs>
              <w:tab w:val="clear" w:pos="8176"/>
              <w:tab w:val="right" w:pos="9026" w:leader="dot"/>
            </w:tabs>
            <w:rPr/>
          </w:pPr>
          <w:hyperlink w:anchor="__RefHeading___Toc5119139_2314609296">
            <w:r>
              <w:rPr>
                <w:webHidden/>
                <w:rStyle w:val="IndexLink"/>
                <w:rtl w:val="true"/>
              </w:rPr>
              <w:t xml:space="preserve">مسألة </w:t>
            </w:r>
            <w:r>
              <w:rPr>
                <w:rStyle w:val="IndexLink"/>
                <w:rtl w:val="true"/>
              </w:rPr>
              <w:t>[</w:t>
            </w:r>
            <w:r>
              <w:rPr>
                <w:rStyle w:val="IndexLink"/>
                <w:rtl w:val="true"/>
              </w:rPr>
              <w:t>من شروط العوضین</w:t>
            </w:r>
            <w:r>
              <w:rPr>
                <w:rStyle w:val="IndexLink"/>
                <w:rtl w:val="true"/>
              </w:rPr>
              <w:t>:</w:t>
            </w:r>
            <w:r>
              <w:rPr>
                <w:rStyle w:val="IndexLink"/>
                <w:rtl w:val="true"/>
              </w:rPr>
              <w:t>العلم بقدر المثمن</w:t>
            </w:r>
            <w:r>
              <w:rPr>
                <w:rStyle w:val="IndexLink"/>
                <w:rtl w:val="true"/>
              </w:rPr>
              <w:t>]</w:t>
              <w:tab/>
            </w:r>
            <w:r>
              <w:rPr>
                <w:rStyle w:val="IndexLink"/>
              </w:rPr>
              <w:t>211</w:t>
            </w:r>
          </w:hyperlink>
        </w:p>
        <w:p>
          <w:pPr>
            <w:pStyle w:val="Contents5"/>
            <w:tabs>
              <w:tab w:val="clear" w:pos="7892"/>
              <w:tab w:val="right" w:pos="9026" w:leader="dot"/>
            </w:tabs>
            <w:rPr/>
          </w:pPr>
          <w:hyperlink w:anchor="__RefHeading___Toc5119141_2314609296">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5119143_2314609296">
            <w:r>
              <w:rPr>
                <w:webHidden/>
                <w:rStyle w:val="IndexLink"/>
                <w:rtl w:val="true"/>
              </w:rPr>
              <w:t>و فی خصوص الکیل و الوزن خصوص الأخبار المعتبرة</w:t>
            </w:r>
            <w:r>
              <w:rPr>
                <w:rStyle w:val="IndexLink"/>
                <w:rtl w:val="true"/>
              </w:rPr>
              <w:t>:</w:t>
              <w:tab/>
            </w:r>
            <w:r>
              <w:rPr>
                <w:rStyle w:val="IndexLink"/>
              </w:rPr>
              <w:t>211</w:t>
            </w:r>
          </w:hyperlink>
        </w:p>
        <w:p>
          <w:pPr>
            <w:pStyle w:val="Contents6"/>
            <w:tabs>
              <w:tab w:val="clear" w:pos="7609"/>
              <w:tab w:val="right" w:pos="9026" w:leader="dot"/>
            </w:tabs>
            <w:rPr/>
          </w:pPr>
          <w:hyperlink w:anchor="__RefHeading___Toc5119145_2314609296">
            <w:r>
              <w:rPr>
                <w:webHidden/>
                <w:rStyle w:val="IndexLink"/>
                <w:rtl w:val="true"/>
              </w:rPr>
              <w:t>منها</w:t>
            </w:r>
            <w:r>
              <w:rPr>
                <w:rStyle w:val="IndexLink"/>
                <w:rtl w:val="true"/>
              </w:rPr>
              <w:t>:</w:t>
            </w:r>
            <w:r>
              <w:rPr>
                <w:rStyle w:val="IndexLink"/>
                <w:rtl w:val="true"/>
              </w:rPr>
              <w:t>صحیحة الحلبی</w:t>
            </w:r>
            <w:r>
              <w:rPr>
                <w:rStyle w:val="IndexLink"/>
                <w:rtl w:val="true"/>
              </w:rPr>
              <w:tab/>
            </w:r>
            <w:r>
              <w:rPr>
                <w:rStyle w:val="IndexLink"/>
              </w:rPr>
              <w:t>211</w:t>
            </w:r>
          </w:hyperlink>
        </w:p>
        <w:p>
          <w:pPr>
            <w:pStyle w:val="Contents6"/>
            <w:tabs>
              <w:tab w:val="clear" w:pos="7609"/>
              <w:tab w:val="right" w:pos="9026" w:leader="dot"/>
            </w:tabs>
            <w:rPr/>
          </w:pPr>
          <w:hyperlink w:anchor="__RefHeading___Toc5119147_2314609296">
            <w:r>
              <w:rPr>
                <w:webHidden/>
                <w:rStyle w:val="IndexLink"/>
                <w:rtl w:val="true"/>
              </w:rPr>
              <w:t>[</w:t>
            </w:r>
            <w:r>
              <w:rPr>
                <w:rStyle w:val="IndexLink"/>
                <w:rtl w:val="true"/>
              </w:rPr>
              <w:t>الإیراد علی الصحیحة و الجواب عنه</w:t>
            </w:r>
            <w:r>
              <w:rPr>
                <w:rStyle w:val="IndexLink"/>
                <w:rtl w:val="true"/>
              </w:rPr>
              <w:t>]</w:t>
              <w:tab/>
            </w:r>
            <w:r>
              <w:rPr>
                <w:rStyle w:val="IndexLink"/>
              </w:rPr>
              <w:t>212</w:t>
            </w:r>
          </w:hyperlink>
        </w:p>
        <w:p>
          <w:pPr>
            <w:pStyle w:val="Contents6"/>
            <w:tabs>
              <w:tab w:val="clear" w:pos="7609"/>
              <w:tab w:val="right" w:pos="9026" w:leader="dot"/>
            </w:tabs>
            <w:rPr/>
          </w:pPr>
          <w:hyperlink w:anchor="__RefHeading___Toc5119149_2314609296">
            <w:r>
              <w:rPr>
                <w:webHidden/>
                <w:rStyle w:val="IndexLink"/>
                <w:rtl w:val="true"/>
              </w:rPr>
              <w:t>[</w:t>
            </w:r>
            <w:r>
              <w:rPr>
                <w:rStyle w:val="IndexLink"/>
                <w:rtl w:val="true"/>
              </w:rPr>
              <w:t>روایة سماعة</w:t>
            </w:r>
            <w:r>
              <w:rPr>
                <w:rStyle w:val="IndexLink"/>
                <w:rtl w:val="true"/>
              </w:rPr>
              <w:t>]</w:t>
              <w:tab/>
            </w:r>
            <w:r>
              <w:rPr>
                <w:rStyle w:val="IndexLink"/>
              </w:rPr>
              <w:t>213</w:t>
            </w:r>
          </w:hyperlink>
        </w:p>
        <w:p>
          <w:pPr>
            <w:pStyle w:val="Contents6"/>
            <w:tabs>
              <w:tab w:val="clear" w:pos="7609"/>
              <w:tab w:val="right" w:pos="9026" w:leader="dot"/>
            </w:tabs>
            <w:rPr/>
          </w:pPr>
          <w:hyperlink w:anchor="__RefHeading___Toc5119151_2314609296">
            <w:r>
              <w:rPr>
                <w:webHidden/>
                <w:rStyle w:val="IndexLink"/>
                <w:rtl w:val="true"/>
              </w:rPr>
              <w:t>و روایة أبان،</w:t>
            </w:r>
            <w:r>
              <w:rPr>
                <w:rStyle w:val="IndexLink"/>
                <w:rtl w:val="true"/>
              </w:rPr>
              <w:tab/>
            </w:r>
            <w:r>
              <w:rPr>
                <w:rStyle w:val="IndexLink"/>
              </w:rPr>
              <w:t>213</w:t>
            </w:r>
          </w:hyperlink>
        </w:p>
        <w:p>
          <w:pPr>
            <w:pStyle w:val="Contents6"/>
            <w:tabs>
              <w:tab w:val="clear" w:pos="7609"/>
              <w:tab w:val="right" w:pos="9026" w:leader="dot"/>
            </w:tabs>
            <w:rPr/>
          </w:pPr>
          <w:hyperlink w:anchor="__RefHeading___Toc5119153_2314609296">
            <w:r>
              <w:rPr>
                <w:webHidden/>
                <w:rStyle w:val="IndexLink"/>
                <w:rtl w:val="true"/>
              </w:rPr>
              <w:t>[</w:t>
            </w:r>
            <w:r>
              <w:rPr>
                <w:rStyle w:val="IndexLink"/>
                <w:rtl w:val="true"/>
              </w:rPr>
              <w:t>روایة أبی العطارد</w:t>
            </w:r>
            <w:r>
              <w:rPr>
                <w:rStyle w:val="IndexLink"/>
                <w:rtl w:val="true"/>
              </w:rPr>
              <w:t>]</w:t>
              <w:tab/>
            </w:r>
            <w:r>
              <w:rPr>
                <w:rStyle w:val="IndexLink"/>
              </w:rPr>
              <w:t>214</w:t>
            </w:r>
          </w:hyperlink>
        </w:p>
        <w:p>
          <w:pPr>
            <w:pStyle w:val="Contents6"/>
            <w:tabs>
              <w:tab w:val="clear" w:pos="7609"/>
              <w:tab w:val="right" w:pos="9026" w:leader="dot"/>
            </w:tabs>
            <w:rPr/>
          </w:pPr>
          <w:hyperlink w:anchor="__RefHeading___Toc5119155_2314609296">
            <w:r>
              <w:rPr>
                <w:webHidden/>
                <w:rStyle w:val="IndexLink"/>
                <w:rtl w:val="true"/>
              </w:rPr>
              <w:t>و مرسلة ابن بکیر</w:t>
            </w:r>
            <w:r>
              <w:rPr>
                <w:rStyle w:val="IndexLink"/>
                <w:rtl w:val="true"/>
              </w:rPr>
              <w:tab/>
            </w:r>
            <w:r>
              <w:rPr>
                <w:rStyle w:val="IndexLink"/>
              </w:rPr>
              <w:t>214</w:t>
            </w:r>
          </w:hyperlink>
        </w:p>
        <w:p>
          <w:pPr>
            <w:pStyle w:val="Contents5"/>
            <w:tabs>
              <w:tab w:val="clear" w:pos="7892"/>
              <w:tab w:val="right" w:pos="9026" w:leader="dot"/>
            </w:tabs>
            <w:rPr/>
          </w:pPr>
          <w:hyperlink w:anchor="__RefHeading___Toc5119157_2314609296">
            <w:r>
              <w:rPr>
                <w:webHidden/>
                <w:rStyle w:val="IndexLink"/>
                <w:rtl w:val="true"/>
              </w:rPr>
              <w:t>[</w:t>
            </w:r>
            <w:r>
              <w:rPr>
                <w:rStyle w:val="IndexLink"/>
                <w:rtl w:val="true"/>
              </w:rPr>
              <w:t>هل الحکم منوط بالغرر الشخصی أم لا</w:t>
            </w:r>
            <w:r>
              <w:rPr>
                <w:rStyle w:val="IndexLink"/>
                <w:rtl w:val="true"/>
              </w:rPr>
              <w:t>]</w:t>
              <w:tab/>
            </w:r>
            <w:r>
              <w:rPr>
                <w:rStyle w:val="IndexLink"/>
              </w:rPr>
              <w:t>215</w:t>
            </w:r>
          </w:hyperlink>
        </w:p>
        <w:p>
          <w:pPr>
            <w:pStyle w:val="Contents5"/>
            <w:tabs>
              <w:tab w:val="clear" w:pos="7892"/>
              <w:tab w:val="right" w:pos="9026" w:leader="dot"/>
            </w:tabs>
            <w:rPr/>
          </w:pPr>
          <w:hyperlink w:anchor="__RefHeading___Toc5119159_2314609296">
            <w:r>
              <w:rPr>
                <w:webHidden/>
                <w:rStyle w:val="IndexLink"/>
                <w:rtl w:val="true"/>
              </w:rPr>
              <w:t>[</w:t>
            </w:r>
            <w:r>
              <w:rPr>
                <w:rStyle w:val="IndexLink"/>
                <w:rtl w:val="true"/>
              </w:rPr>
              <w:t>وجوب معرفة العدد فی المعدود و الدلیل علیه</w:t>
            </w:r>
            <w:r>
              <w:rPr>
                <w:rStyle w:val="IndexLink"/>
                <w:rtl w:val="true"/>
              </w:rPr>
              <w:t>]</w:t>
              <w:tab/>
            </w:r>
            <w:r>
              <w:rPr>
                <w:rStyle w:val="IndexLink"/>
              </w:rPr>
              <w:t>218</w:t>
            </w:r>
          </w:hyperlink>
        </w:p>
        <w:p>
          <w:pPr>
            <w:pStyle w:val="Contents4"/>
            <w:tabs>
              <w:tab w:val="clear" w:pos="8176"/>
              <w:tab w:val="right" w:pos="9026" w:leader="dot"/>
            </w:tabs>
            <w:rPr/>
          </w:pPr>
          <w:hyperlink w:anchor="__RefHeading___Toc5119161_2314609296">
            <w:r>
              <w:rPr>
                <w:webHidden/>
                <w:rStyle w:val="IndexLink"/>
                <w:rtl w:val="true"/>
              </w:rPr>
              <w:t xml:space="preserve">مسألة </w:t>
            </w:r>
            <w:r>
              <w:rPr>
                <w:rStyle w:val="IndexLink"/>
                <w:rtl w:val="true"/>
              </w:rPr>
              <w:t>[</w:t>
            </w:r>
            <w:r>
              <w:rPr>
                <w:rStyle w:val="IndexLink"/>
                <w:rtl w:val="true"/>
              </w:rPr>
              <w:t>التقدیر بغیر ما یتعارف التقدیر به</w:t>
            </w:r>
            <w:r>
              <w:rPr>
                <w:rStyle w:val="IndexLink"/>
                <w:rtl w:val="true"/>
              </w:rPr>
              <w:t>]</w:t>
              <w:tab/>
            </w:r>
            <w:r>
              <w:rPr>
                <w:rStyle w:val="IndexLink"/>
              </w:rPr>
              <w:t>220</w:t>
            </w:r>
          </w:hyperlink>
        </w:p>
        <w:p>
          <w:pPr>
            <w:pStyle w:val="Contents5"/>
            <w:tabs>
              <w:tab w:val="clear" w:pos="7892"/>
              <w:tab w:val="right" w:pos="9026" w:leader="dot"/>
            </w:tabs>
            <w:rPr/>
          </w:pPr>
          <w:hyperlink w:anchor="__RefHeading___Toc5119163_2314609296">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5119165_2314609296">
            <w:r>
              <w:rPr>
                <w:webHidden/>
                <w:rStyle w:val="IndexLink"/>
                <w:rtl w:val="true"/>
              </w:rPr>
              <w:t>[</w:t>
            </w:r>
            <w:r>
              <w:rPr>
                <w:rStyle w:val="IndexLink"/>
                <w:rtl w:val="true"/>
              </w:rPr>
              <w:t>هل یجوز بیع المکیل وزنا و بالعکس</w:t>
            </w:r>
            <w:r>
              <w:rPr>
                <w:rStyle w:val="IndexLink"/>
                <w:rtl w:val="true"/>
              </w:rPr>
              <w:t>]</w:t>
              <w:tab/>
            </w:r>
            <w:r>
              <w:rPr>
                <w:rStyle w:val="IndexLink"/>
              </w:rPr>
              <w:t>220</w:t>
            </w:r>
          </w:hyperlink>
        </w:p>
        <w:p>
          <w:pPr>
            <w:pStyle w:val="Contents6"/>
            <w:tabs>
              <w:tab w:val="clear" w:pos="7609"/>
              <w:tab w:val="right" w:pos="9026" w:leader="dot"/>
            </w:tabs>
            <w:rPr/>
          </w:pPr>
          <w:hyperlink w:anchor="__RefHeading___Toc5119167_2314609296">
            <w:r>
              <w:rPr>
                <w:webHidden/>
                <w:rStyle w:val="IndexLink"/>
                <w:rtl w:val="true"/>
              </w:rPr>
              <w:t>اشاره</w:t>
            </w:r>
            <w:r>
              <w:rPr>
                <w:rStyle w:val="IndexLink"/>
                <w:rtl w:val="true"/>
              </w:rPr>
              <w:tab/>
            </w:r>
            <w:r>
              <w:rPr>
                <w:rStyle w:val="IndexLink"/>
              </w:rPr>
              <w:t>220</w:t>
            </w:r>
          </w:hyperlink>
        </w:p>
        <w:p>
          <w:pPr>
            <w:pStyle w:val="Contents6"/>
            <w:tabs>
              <w:tab w:val="clear" w:pos="7609"/>
              <w:tab w:val="right" w:pos="9026" w:leader="dot"/>
            </w:tabs>
            <w:rPr/>
          </w:pPr>
          <w:hyperlink w:anchor="__RefHeading___Toc5119169_2314609296">
            <w:r>
              <w:rPr>
                <w:webHidden/>
                <w:rStyle w:val="IndexLink"/>
                <w:rtl w:val="true"/>
              </w:rPr>
              <w:t>[</w:t>
            </w:r>
            <w:r>
              <w:rPr>
                <w:rStyle w:val="IndexLink"/>
                <w:rtl w:val="true"/>
              </w:rPr>
              <w:t>الکلام فی مقامین</w:t>
            </w:r>
            <w:r>
              <w:rPr>
                <w:rStyle w:val="IndexLink"/>
                <w:rtl w:val="true"/>
              </w:rPr>
              <w:t>]</w:t>
              <w:tab/>
            </w:r>
            <w:r>
              <w:rPr>
                <w:rStyle w:val="IndexLink"/>
              </w:rPr>
              <w:t>221</w:t>
            </w:r>
          </w:hyperlink>
        </w:p>
        <w:p>
          <w:pPr>
            <w:pStyle w:val="Contents6"/>
            <w:tabs>
              <w:tab w:val="clear" w:pos="7609"/>
              <w:tab w:val="right" w:pos="9026" w:leader="dot"/>
            </w:tabs>
            <w:rPr/>
          </w:pPr>
          <w:hyperlink w:anchor="__RefHeading___Toc5119171_2314609296">
            <w:r>
              <w:rPr>
                <w:webHidden/>
                <w:rStyle w:val="IndexLink"/>
                <w:rtl w:val="true"/>
              </w:rPr>
              <w:t xml:space="preserve">أمّا الأوّل، </w:t>
            </w:r>
            <w:r>
              <w:rPr>
                <w:rStyle w:val="IndexLink"/>
                <w:rtl w:val="true"/>
              </w:rPr>
              <w:t>[</w:t>
            </w:r>
            <w:r>
              <w:rPr>
                <w:rStyle w:val="IndexLink"/>
                <w:rtl w:val="true"/>
              </w:rPr>
              <w:t>التقدیر بغیر ما تعارف تقدیره به من حیث جعله طریقا إلی ما تعارف فیه</w:t>
            </w:r>
            <w:r>
              <w:rPr>
                <w:rStyle w:val="IndexLink"/>
                <w:rtl w:val="true"/>
              </w:rPr>
              <w:t>]</w:t>
              <w:tab/>
            </w:r>
            <w:r>
              <w:rPr>
                <w:rStyle w:val="IndexLink"/>
              </w:rPr>
              <w:t>222</w:t>
            </w:r>
          </w:hyperlink>
        </w:p>
        <w:p>
          <w:pPr>
            <w:pStyle w:val="Contents6"/>
            <w:tabs>
              <w:tab w:val="clear" w:pos="7609"/>
              <w:tab w:val="right" w:pos="9026" w:leader="dot"/>
            </w:tabs>
            <w:rPr/>
          </w:pPr>
          <w:hyperlink w:anchor="__RefHeading___Toc5119173_2314609296">
            <w:r>
              <w:rPr>
                <w:webHidden/>
                <w:rStyle w:val="IndexLink"/>
                <w:rtl w:val="true"/>
              </w:rPr>
              <w:t>[</w:t>
            </w:r>
            <w:r>
              <w:rPr>
                <w:rStyle w:val="IndexLink"/>
                <w:rtl w:val="true"/>
              </w:rPr>
              <w:t>التقدیر بغیر ما تعارف تقدیره به مستقلا</w:t>
            </w:r>
            <w:r>
              <w:rPr>
                <w:rStyle w:val="IndexLink"/>
                <w:rtl w:val="true"/>
              </w:rPr>
              <w:t>]</w:t>
              <w:tab/>
            </w:r>
            <w:r>
              <w:rPr>
                <w:rStyle w:val="IndexLink"/>
              </w:rPr>
              <w:t>223</w:t>
            </w:r>
          </w:hyperlink>
        </w:p>
        <w:p>
          <w:pPr>
            <w:pStyle w:val="Contents5"/>
            <w:tabs>
              <w:tab w:val="clear" w:pos="7892"/>
              <w:tab w:val="right" w:pos="9026" w:leader="dot"/>
            </w:tabs>
            <w:rPr/>
          </w:pPr>
          <w:hyperlink w:anchor="__RefHeading___Toc5119175_2314609296">
            <w:r>
              <w:rPr>
                <w:webHidden/>
                <w:rStyle w:val="IndexLink"/>
                <w:rtl w:val="true"/>
              </w:rPr>
              <w:t>بقی الکلام فی تعیین المناط فی کون الشیء مکیلاً أو موزوناً</w:t>
            </w:r>
            <w:r>
              <w:rPr>
                <w:rStyle w:val="IndexLink"/>
                <w:rtl w:val="true"/>
              </w:rPr>
              <w:t>.</w:t>
              <w:tab/>
            </w:r>
            <w:r>
              <w:rPr>
                <w:rStyle w:val="IndexLink"/>
              </w:rPr>
              <w:t>226</w:t>
            </w:r>
          </w:hyperlink>
        </w:p>
        <w:p>
          <w:pPr>
            <w:pStyle w:val="Contents4"/>
            <w:tabs>
              <w:tab w:val="clear" w:pos="8176"/>
              <w:tab w:val="right" w:pos="9026" w:leader="dot"/>
            </w:tabs>
            <w:rPr/>
          </w:pPr>
          <w:hyperlink w:anchor="__RefHeading___Toc5119177_2314609296">
            <w:r>
              <w:rPr>
                <w:webHidden/>
                <w:rStyle w:val="IndexLink"/>
                <w:rtl w:val="true"/>
              </w:rPr>
              <w:t>مسألة لو أخبر البائع بمقدار المبیع جاز الاعتماد علیه علی المشهور،</w:t>
            </w:r>
            <w:r>
              <w:rPr>
                <w:rStyle w:val="IndexLink"/>
                <w:rtl w:val="true"/>
              </w:rPr>
              <w:tab/>
            </w:r>
            <w:r>
              <w:rPr>
                <w:rStyle w:val="IndexLink"/>
              </w:rPr>
              <w:t>241</w:t>
            </w:r>
          </w:hyperlink>
        </w:p>
        <w:p>
          <w:pPr>
            <w:pStyle w:val="Contents5"/>
            <w:tabs>
              <w:tab w:val="clear" w:pos="7892"/>
              <w:tab w:val="right" w:pos="9026" w:leader="dot"/>
            </w:tabs>
            <w:rPr/>
          </w:pPr>
          <w:hyperlink w:anchor="__RefHeading___Toc5119179_2314609296">
            <w:r>
              <w:rPr>
                <w:webHidden/>
                <w:rStyle w:val="IndexLink"/>
                <w:rtl w:val="true"/>
              </w:rPr>
              <w:t>اشاره</w:t>
            </w:r>
            <w:r>
              <w:rPr>
                <w:rStyle w:val="IndexLink"/>
                <w:rtl w:val="true"/>
              </w:rPr>
              <w:tab/>
            </w:r>
            <w:r>
              <w:rPr>
                <w:rStyle w:val="IndexLink"/>
              </w:rPr>
              <w:t>241</w:t>
            </w:r>
          </w:hyperlink>
        </w:p>
        <w:p>
          <w:pPr>
            <w:pStyle w:val="Contents5"/>
            <w:tabs>
              <w:tab w:val="clear" w:pos="7892"/>
              <w:tab w:val="right" w:pos="9026" w:leader="dot"/>
            </w:tabs>
            <w:rPr/>
          </w:pPr>
          <w:hyperlink w:anchor="__RefHeading___Toc5119181_2314609296">
            <w:r>
              <w:rPr>
                <w:webHidden/>
                <w:rStyle w:val="IndexLink"/>
                <w:rtl w:val="true"/>
              </w:rPr>
              <w:t>[</w:t>
            </w:r>
            <w:r>
              <w:rPr>
                <w:rStyle w:val="IndexLink"/>
                <w:rtl w:val="true"/>
              </w:rPr>
              <w:t>هل یعتبر کون الخبر طریقا عرفیا للمقدار</w:t>
            </w:r>
            <w:r>
              <w:rPr>
                <w:rStyle w:val="IndexLink"/>
                <w:rtl w:val="true"/>
              </w:rPr>
              <w:t>]</w:t>
              <w:tab/>
            </w:r>
            <w:r>
              <w:rPr>
                <w:rStyle w:val="IndexLink"/>
              </w:rPr>
              <w:t>241</w:t>
            </w:r>
          </w:hyperlink>
        </w:p>
        <w:p>
          <w:pPr>
            <w:pStyle w:val="Contents5"/>
            <w:tabs>
              <w:tab w:val="clear" w:pos="7892"/>
              <w:tab w:val="right" w:pos="9026" w:leader="dot"/>
            </w:tabs>
            <w:rPr/>
          </w:pPr>
          <w:hyperlink w:anchor="__RefHeading___Toc5119183_2314609296">
            <w:r>
              <w:rPr>
                <w:webHidden/>
                <w:rStyle w:val="IndexLink"/>
                <w:rtl w:val="true"/>
              </w:rPr>
              <w:t>[</w:t>
            </w:r>
            <w:r>
              <w:rPr>
                <w:rStyle w:val="IndexLink"/>
                <w:rtl w:val="true"/>
              </w:rPr>
              <w:t>ثبوت الخیار للمشتری لو تبین الخلاف بالنقیصة</w:t>
            </w:r>
            <w:r>
              <w:rPr>
                <w:rStyle w:val="IndexLink"/>
                <w:rtl w:val="true"/>
              </w:rPr>
              <w:t>]</w:t>
              <w:tab/>
            </w:r>
            <w:r>
              <w:rPr>
                <w:rStyle w:val="IndexLink"/>
              </w:rPr>
              <w:t>242</w:t>
            </w:r>
          </w:hyperlink>
        </w:p>
        <w:p>
          <w:pPr>
            <w:pStyle w:val="Contents6"/>
            <w:tabs>
              <w:tab w:val="clear" w:pos="7609"/>
              <w:tab w:val="right" w:pos="9026" w:leader="dot"/>
            </w:tabs>
            <w:rPr/>
          </w:pPr>
          <w:hyperlink w:anchor="__RefHeading___Toc5119185_2314609296">
            <w:r>
              <w:rPr>
                <w:webHidden/>
                <w:rStyle w:val="IndexLink"/>
                <w:rtl w:val="true"/>
              </w:rPr>
              <w:t>اشاره</w:t>
            </w:r>
            <w:r>
              <w:rPr>
                <w:rStyle w:val="IndexLink"/>
                <w:rtl w:val="true"/>
              </w:rPr>
              <w:tab/>
            </w:r>
            <w:r>
              <w:rPr>
                <w:rStyle w:val="IndexLink"/>
              </w:rPr>
              <w:t>242</w:t>
            </w:r>
          </w:hyperlink>
        </w:p>
        <w:p>
          <w:pPr>
            <w:pStyle w:val="Contents6"/>
            <w:tabs>
              <w:tab w:val="clear" w:pos="7609"/>
              <w:tab w:val="right" w:pos="9026" w:leader="dot"/>
            </w:tabs>
            <w:rPr/>
          </w:pPr>
          <w:hyperlink w:anchor="__RefHeading___Toc5119187_2314609296">
            <w:r>
              <w:rPr>
                <w:webHidden/>
                <w:rStyle w:val="IndexLink"/>
                <w:rtl w:val="true"/>
              </w:rPr>
              <w:t>[</w:t>
            </w:r>
            <w:r>
              <w:rPr>
                <w:rStyle w:val="IndexLink"/>
                <w:rtl w:val="true"/>
              </w:rPr>
              <w:t>عدم الإشکال فی کون هذا الخیار خیار التخلف</w:t>
            </w:r>
            <w:r>
              <w:rPr>
                <w:rStyle w:val="IndexLink"/>
                <w:rtl w:val="true"/>
              </w:rPr>
              <w:t>]</w:t>
              <w:tab/>
            </w:r>
            <w:r>
              <w:rPr>
                <w:rStyle w:val="IndexLink"/>
              </w:rPr>
              <w:t>244</w:t>
            </w:r>
          </w:hyperlink>
        </w:p>
        <w:p>
          <w:pPr>
            <w:pStyle w:val="Contents5"/>
            <w:tabs>
              <w:tab w:val="clear" w:pos="7892"/>
              <w:tab w:val="right" w:pos="9026" w:leader="dot"/>
            </w:tabs>
            <w:rPr/>
          </w:pPr>
          <w:hyperlink w:anchor="__RefHeading___Toc5119189_2314609296">
            <w:r>
              <w:rPr>
                <w:webHidden/>
                <w:rStyle w:val="IndexLink"/>
                <w:rtl w:val="true"/>
              </w:rPr>
              <w:t>[</w:t>
            </w:r>
            <w:r>
              <w:rPr>
                <w:rStyle w:val="IndexLink"/>
                <w:rtl w:val="true"/>
              </w:rPr>
              <w:t>کل ما یکون طریقا عرفیا إلی مقدار البیع فهو بحکم إخبار البائع</w:t>
            </w:r>
            <w:r>
              <w:rPr>
                <w:rStyle w:val="IndexLink"/>
                <w:rtl w:val="true"/>
              </w:rPr>
              <w:t>]</w:t>
              <w:tab/>
            </w:r>
            <w:r>
              <w:rPr>
                <w:rStyle w:val="IndexLink"/>
              </w:rPr>
              <w:t>245</w:t>
            </w:r>
          </w:hyperlink>
        </w:p>
        <w:p>
          <w:pPr>
            <w:pStyle w:val="Contents4"/>
            <w:tabs>
              <w:tab w:val="clear" w:pos="8176"/>
              <w:tab w:val="right" w:pos="9026" w:leader="dot"/>
            </w:tabs>
            <w:rPr/>
          </w:pPr>
          <w:hyperlink w:anchor="__RefHeading___Toc5119191_2314609296">
            <w:r>
              <w:rPr>
                <w:webHidden/>
                <w:rStyle w:val="IndexLink"/>
                <w:rtl w:val="true"/>
              </w:rPr>
              <w:t xml:space="preserve">مسألة </w:t>
            </w:r>
            <w:r>
              <w:rPr>
                <w:rStyle w:val="IndexLink"/>
                <w:rtl w:val="true"/>
              </w:rPr>
              <w:t>[</w:t>
            </w:r>
            <w:r>
              <w:rPr>
                <w:rStyle w:val="IndexLink"/>
                <w:rtl w:val="true"/>
              </w:rPr>
              <w:t>هل یجوز بیع الثوب و الأراضی مع المشاهدة</w:t>
            </w:r>
            <w:r>
              <w:rPr>
                <w:rStyle w:val="IndexLink"/>
                <w:rtl w:val="true"/>
              </w:rPr>
              <w:t>]</w:t>
              <w:tab/>
            </w:r>
            <w:r>
              <w:rPr>
                <w:rStyle w:val="IndexLink"/>
              </w:rPr>
              <w:t>246</w:t>
            </w:r>
          </w:hyperlink>
        </w:p>
        <w:p>
          <w:pPr>
            <w:pStyle w:val="Contents4"/>
            <w:tabs>
              <w:tab w:val="clear" w:pos="8176"/>
              <w:tab w:val="right" w:pos="9026" w:leader="dot"/>
            </w:tabs>
            <w:rPr/>
          </w:pPr>
          <w:hyperlink w:anchor="__RefHeading___Toc5119193_2314609296">
            <w:r>
              <w:rPr>
                <w:webHidden/>
                <w:rStyle w:val="IndexLink"/>
                <w:rtl w:val="true"/>
              </w:rPr>
              <w:t>مسألة بیع بعضٍ من جملةٍ متساویة الأجزاء</w:t>
            </w:r>
            <w:r>
              <w:rPr>
                <w:rStyle w:val="IndexLink"/>
                <w:rtl w:val="true"/>
              </w:rPr>
              <w:tab/>
            </w:r>
            <w:r>
              <w:rPr>
                <w:rStyle w:val="IndexLink"/>
              </w:rPr>
              <w:t>248</w:t>
            </w:r>
          </w:hyperlink>
        </w:p>
        <w:p>
          <w:pPr>
            <w:pStyle w:val="Contents5"/>
            <w:tabs>
              <w:tab w:val="clear" w:pos="7892"/>
              <w:tab w:val="right" w:pos="9026" w:leader="dot"/>
            </w:tabs>
            <w:rPr/>
          </w:pPr>
          <w:hyperlink w:anchor="__RefHeading___Toc5119195_2314609296">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5119197_2314609296">
            <w:r>
              <w:rPr>
                <w:webHidden/>
                <w:rStyle w:val="IndexLink"/>
                <w:rtl w:val="true"/>
              </w:rPr>
              <w:t>الأوّل</w:t>
            </w:r>
            <w:r>
              <w:rPr>
                <w:rStyle w:val="IndexLink"/>
                <w:rtl w:val="true"/>
              </w:rPr>
              <w:t xml:space="preserve">: </w:t>
            </w:r>
            <w:r>
              <w:rPr>
                <w:rStyle w:val="IndexLink"/>
                <w:rtl w:val="true"/>
              </w:rPr>
              <w:t>أن یرید</w:t>
            </w:r>
            <w:r>
              <w:rPr>
                <w:rStyle w:val="IndexLink"/>
                <w:rtl w:val="true"/>
              </w:rPr>
              <w:tab/>
            </w:r>
            <w:r>
              <w:rPr>
                <w:rStyle w:val="IndexLink"/>
              </w:rPr>
              <w:t>248</w:t>
            </w:r>
          </w:hyperlink>
        </w:p>
        <w:p>
          <w:pPr>
            <w:pStyle w:val="Contents5"/>
            <w:tabs>
              <w:tab w:val="clear" w:pos="7892"/>
              <w:tab w:val="right" w:pos="9026" w:leader="dot"/>
            </w:tabs>
            <w:rPr/>
          </w:pPr>
          <w:hyperlink w:anchor="__RefHeading___Toc5119199_2314609296">
            <w:r>
              <w:rPr>
                <w:webHidden/>
                <w:rStyle w:val="IndexLink"/>
                <w:rtl w:val="true"/>
              </w:rPr>
              <w:t>الثانی</w:t>
            </w:r>
            <w:r>
              <w:rPr>
                <w:rStyle w:val="IndexLink"/>
                <w:rtl w:val="true"/>
              </w:rPr>
              <w:t xml:space="preserve">: </w:t>
            </w:r>
            <w:r>
              <w:rPr>
                <w:rStyle w:val="IndexLink"/>
                <w:rtl w:val="true"/>
              </w:rPr>
              <w:t>أن یراد به بعض مردّد بین ما یمکن صدقه علیه من الأفراد المتصوّرة فی المجموع،</w:t>
            </w:r>
            <w:r>
              <w:rPr>
                <w:rStyle w:val="IndexLink"/>
                <w:rtl w:val="true"/>
              </w:rPr>
              <w:tab/>
            </w:r>
            <w:r>
              <w:rPr>
                <w:rStyle w:val="IndexLink"/>
              </w:rPr>
              <w:t>249</w:t>
            </w:r>
          </w:hyperlink>
        </w:p>
        <w:p>
          <w:pPr>
            <w:pStyle w:val="Contents6"/>
            <w:tabs>
              <w:tab w:val="clear" w:pos="7609"/>
              <w:tab w:val="right" w:pos="9026" w:leader="dot"/>
            </w:tabs>
            <w:rPr/>
          </w:pPr>
          <w:hyperlink w:anchor="__RefHeading___Toc5119201_2314609296">
            <w:r>
              <w:rPr>
                <w:webHidden/>
                <w:rStyle w:val="IndexLink"/>
                <w:rtl w:val="true"/>
              </w:rPr>
              <w:t>اشاره</w:t>
            </w:r>
            <w:r>
              <w:rPr>
                <w:rStyle w:val="IndexLink"/>
                <w:rtl w:val="true"/>
              </w:rPr>
              <w:tab/>
            </w:r>
            <w:r>
              <w:rPr>
                <w:rStyle w:val="IndexLink"/>
              </w:rPr>
              <w:t>249</w:t>
            </w:r>
          </w:hyperlink>
        </w:p>
        <w:p>
          <w:pPr>
            <w:pStyle w:val="Contents6"/>
            <w:tabs>
              <w:tab w:val="clear" w:pos="7609"/>
              <w:tab w:val="right" w:pos="9026" w:leader="dot"/>
            </w:tabs>
            <w:rPr/>
          </w:pPr>
          <w:hyperlink w:anchor="__RefHeading___Toc5119203_2314609296">
            <w:r>
              <w:rPr>
                <w:webHidden/>
                <w:rStyle w:val="IndexLink"/>
                <w:rtl w:val="true"/>
              </w:rPr>
              <w:t>فرع</w:t>
            </w:r>
            <w:r>
              <w:rPr>
                <w:rStyle w:val="IndexLink"/>
                <w:rtl w:val="true"/>
              </w:rPr>
              <w:t>:</w:t>
              <w:tab/>
            </w:r>
            <w:r>
              <w:rPr>
                <w:rStyle w:val="IndexLink"/>
              </w:rPr>
              <w:t>254</w:t>
            </w:r>
          </w:hyperlink>
        </w:p>
        <w:p>
          <w:pPr>
            <w:pStyle w:val="Contents5"/>
            <w:tabs>
              <w:tab w:val="clear" w:pos="7892"/>
              <w:tab w:val="right" w:pos="9026" w:leader="dot"/>
            </w:tabs>
            <w:rPr/>
          </w:pPr>
          <w:hyperlink w:anchor="__RefHeading___Toc5119205_2314609296">
            <w:r>
              <w:rPr>
                <w:webHidden/>
                <w:rStyle w:val="IndexLink"/>
                <w:rtl w:val="true"/>
              </w:rPr>
              <w:t>الثالث من وجوه بیع البعض من الکلّ</w:t>
            </w:r>
            <w:r>
              <w:rPr>
                <w:rStyle w:val="IndexLink"/>
                <w:rtl w:val="true"/>
              </w:rPr>
              <w:t>:</w:t>
            </w:r>
            <w:r>
              <w:rPr>
                <w:rStyle w:val="IndexLink"/>
                <w:rtl w:val="true"/>
              </w:rPr>
              <w:t>أن یکون المبیع طبیعة کلّیة منحصرة المصادیق</w:t>
            </w:r>
            <w:r>
              <w:rPr>
                <w:rStyle w:val="IndexLink"/>
                <w:rtl w:val="true"/>
              </w:rPr>
              <w:tab/>
            </w:r>
            <w:r>
              <w:rPr>
                <w:rStyle w:val="IndexLink"/>
              </w:rPr>
              <w:t>254</w:t>
            </w:r>
          </w:hyperlink>
        </w:p>
        <w:p>
          <w:pPr>
            <w:pStyle w:val="Contents6"/>
            <w:tabs>
              <w:tab w:val="clear" w:pos="7609"/>
              <w:tab w:val="right" w:pos="9026" w:leader="dot"/>
            </w:tabs>
            <w:rPr/>
          </w:pPr>
          <w:hyperlink w:anchor="__RefHeading___Toc5119207_2314609296">
            <w:r>
              <w:rPr>
                <w:webHidden/>
                <w:rStyle w:val="IndexLink"/>
                <w:rtl w:val="true"/>
              </w:rPr>
              <w:t>اشاره</w:t>
            </w:r>
            <w:r>
              <w:rPr>
                <w:rStyle w:val="IndexLink"/>
                <w:rtl w:val="true"/>
              </w:rPr>
              <w:tab/>
            </w:r>
            <w:r>
              <w:rPr>
                <w:rStyle w:val="IndexLink"/>
              </w:rPr>
              <w:t>254</w:t>
            </w:r>
          </w:hyperlink>
        </w:p>
        <w:p>
          <w:pPr>
            <w:pStyle w:val="Contents6"/>
            <w:tabs>
              <w:tab w:val="clear" w:pos="7609"/>
              <w:tab w:val="right" w:pos="9026" w:leader="dot"/>
            </w:tabs>
            <w:rPr/>
          </w:pPr>
          <w:hyperlink w:anchor="__RefHeading___Toc5119209_2314609296">
            <w:r>
              <w:rPr>
                <w:webHidden/>
                <w:rStyle w:val="IndexLink"/>
                <w:rtl w:val="true"/>
              </w:rPr>
              <w:t>و الفرق بین هذا الوجه و الوجه الثانی</w:t>
            </w:r>
            <w:r>
              <w:rPr>
                <w:rStyle w:val="IndexLink"/>
                <w:rtl w:val="true"/>
              </w:rPr>
              <w:tab/>
            </w:r>
            <w:r>
              <w:rPr>
                <w:rStyle w:val="IndexLink"/>
              </w:rPr>
              <w:t>255</w:t>
            </w:r>
          </w:hyperlink>
        </w:p>
        <w:p>
          <w:pPr>
            <w:pStyle w:val="Contents4"/>
            <w:tabs>
              <w:tab w:val="clear" w:pos="8176"/>
              <w:tab w:val="right" w:pos="9026" w:leader="dot"/>
            </w:tabs>
            <w:rPr/>
          </w:pPr>
          <w:hyperlink w:anchor="__RefHeading___Toc5119211_2314609296">
            <w:r>
              <w:rPr>
                <w:webHidden/>
                <w:rStyle w:val="IndexLink"/>
                <w:rtl w:val="true"/>
              </w:rPr>
              <w:t>مسألة</w:t>
            </w:r>
            <w:r>
              <w:rPr>
                <w:rStyle w:val="IndexLink"/>
                <w:rtl w:val="true"/>
              </w:rPr>
              <w:tab/>
            </w:r>
            <w:r>
              <w:rPr>
                <w:rStyle w:val="IndexLink"/>
              </w:rPr>
              <w:t>258</w:t>
            </w:r>
          </w:hyperlink>
        </w:p>
        <w:p>
          <w:pPr>
            <w:pStyle w:val="Contents5"/>
            <w:tabs>
              <w:tab w:val="clear" w:pos="7892"/>
              <w:tab w:val="right" w:pos="9026" w:leader="dot"/>
            </w:tabs>
            <w:rPr/>
          </w:pPr>
          <w:hyperlink w:anchor="__RefHeading___Toc5119213_2314609296">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5119215_2314609296">
            <w:r>
              <w:rPr>
                <w:webHidden/>
                <w:rStyle w:val="IndexLink"/>
                <w:rtl w:val="true"/>
              </w:rPr>
              <w:t>ثمّ إنّه یتفرّع علی المختار من کون المبیع کلّیاً أُمور</w:t>
            </w:r>
            <w:r>
              <w:rPr>
                <w:rStyle w:val="IndexLink"/>
                <w:rtl w:val="true"/>
              </w:rPr>
              <w:t>:</w:t>
              <w:tab/>
            </w:r>
            <w:r>
              <w:rPr>
                <w:rStyle w:val="IndexLink"/>
              </w:rPr>
              <w:t>260</w:t>
            </w:r>
          </w:hyperlink>
        </w:p>
        <w:p>
          <w:pPr>
            <w:pStyle w:val="Contents6"/>
            <w:tabs>
              <w:tab w:val="clear" w:pos="7609"/>
              <w:tab w:val="right" w:pos="9026" w:leader="dot"/>
            </w:tabs>
            <w:rPr/>
          </w:pPr>
          <w:hyperlink w:anchor="__RefHeading___Toc5119217_2314609296">
            <w:r>
              <w:rPr>
                <w:webHidden/>
                <w:rStyle w:val="IndexLink"/>
                <w:rtl w:val="true"/>
              </w:rPr>
              <w:t>أحدها</w:t>
            </w:r>
            <w:r>
              <w:rPr>
                <w:rStyle w:val="IndexLink"/>
                <w:rtl w:val="true"/>
              </w:rPr>
              <w:t>:</w:t>
            </w:r>
            <w:r>
              <w:rPr>
                <w:rStyle w:val="IndexLink"/>
                <w:rtl w:val="true"/>
              </w:rPr>
              <w:t>کون التخییر فی تعیینه بید البائع؛</w:t>
            </w:r>
            <w:r>
              <w:rPr>
                <w:rStyle w:val="IndexLink"/>
                <w:rtl w:val="true"/>
              </w:rPr>
              <w:tab/>
            </w:r>
            <w:r>
              <w:rPr>
                <w:rStyle w:val="IndexLink"/>
              </w:rPr>
              <w:t>260</w:t>
            </w:r>
          </w:hyperlink>
        </w:p>
        <w:p>
          <w:pPr>
            <w:pStyle w:val="Contents6"/>
            <w:tabs>
              <w:tab w:val="clear" w:pos="7609"/>
              <w:tab w:val="right" w:pos="9026" w:leader="dot"/>
            </w:tabs>
            <w:rPr/>
          </w:pPr>
          <w:hyperlink w:anchor="__RefHeading___Toc5119219_2314609296">
            <w:r>
              <w:rPr>
                <w:webHidden/>
                <w:rStyle w:val="IndexLink"/>
                <w:rtl w:val="true"/>
              </w:rPr>
              <w:t>و منها</w:t>
            </w:r>
            <w:r>
              <w:rPr>
                <w:rStyle w:val="IndexLink"/>
                <w:rtl w:val="true"/>
              </w:rPr>
              <w:t>:</w:t>
            </w:r>
            <w:r>
              <w:rPr>
                <w:rStyle w:val="IndexLink"/>
                <w:rtl w:val="true"/>
              </w:rPr>
              <w:t>أنّه لو تلف بعض الجملة و بقی مصداق الطبیعة انحصر حقّ المشتری فیه،</w:t>
            </w:r>
            <w:r>
              <w:rPr>
                <w:rStyle w:val="IndexLink"/>
                <w:rtl w:val="true"/>
              </w:rPr>
              <w:tab/>
            </w:r>
            <w:r>
              <w:rPr>
                <w:rStyle w:val="IndexLink"/>
              </w:rPr>
              <w:t>261</w:t>
            </w:r>
          </w:hyperlink>
        </w:p>
        <w:p>
          <w:pPr>
            <w:pStyle w:val="Contents6"/>
            <w:tabs>
              <w:tab w:val="clear" w:pos="7609"/>
              <w:tab w:val="right" w:pos="9026" w:leader="dot"/>
            </w:tabs>
            <w:rPr/>
          </w:pPr>
          <w:hyperlink w:anchor="__RefHeading___Toc5119221_2314609296">
            <w:r>
              <w:rPr>
                <w:webHidden/>
                <w:rStyle w:val="IndexLink"/>
                <w:rtl w:val="true"/>
              </w:rPr>
              <w:t>و منها</w:t>
            </w:r>
            <w:r>
              <w:rPr>
                <w:rStyle w:val="IndexLink"/>
                <w:rtl w:val="true"/>
              </w:rPr>
              <w:t>:</w:t>
            </w:r>
            <w:r>
              <w:rPr>
                <w:rStyle w:val="IndexLink"/>
                <w:rtl w:val="true"/>
              </w:rPr>
              <w:t>أنّه</w:t>
            </w:r>
            <w:r>
              <w:rPr>
                <w:rStyle w:val="IndexLink"/>
                <w:rtl w:val="true"/>
              </w:rPr>
              <w:tab/>
            </w:r>
            <w:r>
              <w:rPr>
                <w:rStyle w:val="IndexLink"/>
              </w:rPr>
              <w:t>261</w:t>
            </w:r>
          </w:hyperlink>
        </w:p>
        <w:p>
          <w:pPr>
            <w:pStyle w:val="Contents5"/>
            <w:tabs>
              <w:tab w:val="clear" w:pos="7892"/>
              <w:tab w:val="right" w:pos="9026" w:leader="dot"/>
            </w:tabs>
            <w:rPr/>
          </w:pPr>
          <w:hyperlink w:anchor="__RefHeading___Toc5119223_2314609296">
            <w:r>
              <w:rPr>
                <w:webHidden/>
                <w:rStyle w:val="IndexLink"/>
                <w:rtl w:val="true"/>
              </w:rPr>
              <w:t>[</w:t>
            </w:r>
            <w:r>
              <w:rPr>
                <w:rStyle w:val="IndexLink"/>
                <w:rtl w:val="true"/>
              </w:rPr>
              <w:t>صور إقباض الکلی</w:t>
            </w:r>
            <w:r>
              <w:rPr>
                <w:rStyle w:val="IndexLink"/>
                <w:rtl w:val="true"/>
              </w:rPr>
              <w:t>]</w:t>
              <w:tab/>
            </w:r>
            <w:r>
              <w:rPr>
                <w:rStyle w:val="IndexLink"/>
              </w:rPr>
              <w:t>261</w:t>
            </w:r>
          </w:hyperlink>
        </w:p>
        <w:p>
          <w:pPr>
            <w:pStyle w:val="Contents5"/>
            <w:tabs>
              <w:tab w:val="clear" w:pos="7892"/>
              <w:tab w:val="right" w:pos="9026" w:leader="dot"/>
            </w:tabs>
            <w:rPr/>
          </w:pPr>
          <w:hyperlink w:anchor="__RefHeading___Toc5119225_2314609296">
            <w:r>
              <w:rPr>
                <w:webHidden/>
                <w:rStyle w:val="IndexLink"/>
                <w:rtl w:val="true"/>
              </w:rPr>
              <w:t>[</w:t>
            </w:r>
            <w:r>
              <w:rPr>
                <w:rStyle w:val="IndexLink"/>
                <w:rtl w:val="true"/>
              </w:rPr>
              <w:t>لو باع ثمرة شجرات و استثنی منها أرطالا معلومة</w:t>
            </w:r>
            <w:r>
              <w:rPr>
                <w:rStyle w:val="IndexLink"/>
                <w:rtl w:val="true"/>
              </w:rPr>
              <w:t>]</w:t>
              <w:tab/>
            </w:r>
            <w:r>
              <w:rPr>
                <w:rStyle w:val="IndexLink"/>
              </w:rPr>
              <w:t>262</w:t>
            </w:r>
          </w:hyperlink>
        </w:p>
        <w:p>
          <w:pPr>
            <w:pStyle w:val="Contents5"/>
            <w:tabs>
              <w:tab w:val="clear" w:pos="7892"/>
              <w:tab w:val="right" w:pos="9026" w:leader="dot"/>
            </w:tabs>
            <w:rPr/>
          </w:pPr>
          <w:hyperlink w:anchor="__RefHeading___Toc5119227_2314609296">
            <w:r>
              <w:rPr>
                <w:webHidden/>
                <w:rStyle w:val="IndexLink"/>
                <w:rtl w:val="true"/>
              </w:rPr>
              <w:t>[</w:t>
            </w:r>
            <w:r>
              <w:rPr>
                <w:rStyle w:val="IndexLink"/>
                <w:rtl w:val="true"/>
              </w:rPr>
              <w:t>أقسام بیع الصبرة</w:t>
            </w:r>
            <w:r>
              <w:rPr>
                <w:rStyle w:val="IndexLink"/>
                <w:rtl w:val="true"/>
              </w:rPr>
              <w:t>]</w:t>
              <w:tab/>
            </w:r>
            <w:r>
              <w:rPr>
                <w:rStyle w:val="IndexLink"/>
              </w:rPr>
              <w:t>268</w:t>
            </w:r>
          </w:hyperlink>
        </w:p>
        <w:p>
          <w:pPr>
            <w:pStyle w:val="Contents4"/>
            <w:tabs>
              <w:tab w:val="clear" w:pos="8176"/>
              <w:tab w:val="right" w:pos="9026" w:leader="dot"/>
            </w:tabs>
            <w:rPr/>
          </w:pPr>
          <w:hyperlink w:anchor="__RefHeading___Toc5119229_2314609296">
            <w:r>
              <w:rPr>
                <w:webHidden/>
                <w:rStyle w:val="IndexLink"/>
                <w:rtl w:val="true"/>
              </w:rPr>
              <w:t>مسألة إذا شاهد عیناً فی زمان سابق علی العقد علیها،</w:t>
            </w:r>
            <w:r>
              <w:rPr>
                <w:rStyle w:val="IndexLink"/>
                <w:rtl w:val="true"/>
              </w:rPr>
              <w:tab/>
            </w:r>
            <w:r>
              <w:rPr>
                <w:rStyle w:val="IndexLink"/>
              </w:rPr>
              <w:t>272</w:t>
            </w:r>
          </w:hyperlink>
        </w:p>
        <w:p>
          <w:pPr>
            <w:pStyle w:val="Contents5"/>
            <w:tabs>
              <w:tab w:val="clear" w:pos="7892"/>
              <w:tab w:val="right" w:pos="9026" w:leader="dot"/>
            </w:tabs>
            <w:rPr/>
          </w:pPr>
          <w:hyperlink w:anchor="__RefHeading___Toc5119231_2314609296">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5119233_2314609296">
            <w:r>
              <w:rPr>
                <w:webHidden/>
                <w:rStyle w:val="IndexLink"/>
                <w:rtl w:val="true"/>
              </w:rPr>
              <w:t>فرعان</w:t>
            </w:r>
            <w:r>
              <w:rPr>
                <w:rStyle w:val="IndexLink"/>
                <w:rtl w:val="true"/>
              </w:rPr>
              <w:t>:</w:t>
              <w:tab/>
            </w:r>
            <w:r>
              <w:rPr>
                <w:rStyle w:val="IndexLink"/>
              </w:rPr>
              <w:t>275</w:t>
            </w:r>
          </w:hyperlink>
        </w:p>
        <w:p>
          <w:pPr>
            <w:pStyle w:val="Contents6"/>
            <w:tabs>
              <w:tab w:val="clear" w:pos="7609"/>
              <w:tab w:val="right" w:pos="9026" w:leader="dot"/>
            </w:tabs>
            <w:rPr/>
          </w:pPr>
          <w:hyperlink w:anchor="__RefHeading___Toc5119235_2314609296">
            <w:r>
              <w:rPr>
                <w:webHidden/>
                <w:rStyle w:val="IndexLink"/>
                <w:rtl w:val="true"/>
              </w:rPr>
              <w:t>الأوّل لو اختلفا فی التغییر</w:t>
            </w:r>
            <w:r>
              <w:rPr>
                <w:rStyle w:val="IndexLink"/>
                <w:rtl w:val="true"/>
              </w:rPr>
              <w:tab/>
            </w:r>
            <w:r>
              <w:rPr>
                <w:rStyle w:val="IndexLink"/>
              </w:rPr>
              <w:t>275</w:t>
            </w:r>
          </w:hyperlink>
        </w:p>
        <w:p>
          <w:pPr>
            <w:pStyle w:val="Contents6"/>
            <w:tabs>
              <w:tab w:val="clear" w:pos="7609"/>
              <w:tab w:val="right" w:pos="9026" w:leader="dot"/>
            </w:tabs>
            <w:rPr/>
          </w:pPr>
          <w:hyperlink w:anchor="__RefHeading___Toc5119237_2314609296">
            <w:r>
              <w:rPr>
                <w:webHidden/>
                <w:rStyle w:val="IndexLink"/>
                <w:rtl w:val="true"/>
              </w:rPr>
              <w:t>الفرع</w:t>
            </w:r>
            <w:r>
              <w:rPr>
                <w:rStyle w:val="IndexLink"/>
                <w:rtl w:val="true"/>
              </w:rPr>
              <w:tab/>
            </w:r>
            <w:r>
              <w:rPr>
                <w:rStyle w:val="IndexLink"/>
              </w:rPr>
              <w:t>284</w:t>
            </w:r>
          </w:hyperlink>
        </w:p>
        <w:p>
          <w:pPr>
            <w:pStyle w:val="Contents4"/>
            <w:tabs>
              <w:tab w:val="clear" w:pos="8176"/>
              <w:tab w:val="right" w:pos="9026" w:leader="dot"/>
            </w:tabs>
            <w:rPr/>
          </w:pPr>
          <w:hyperlink w:anchor="__RefHeading___Toc5119239_2314609296">
            <w:r>
              <w:rPr>
                <w:webHidden/>
                <w:rStyle w:val="IndexLink"/>
                <w:rtl w:val="true"/>
              </w:rPr>
              <w:t>مسألة لا بدّ من اختبار الطعم و اللون و الرائحة فیما یختلف قیمته باختلاف ذلک،</w:t>
            </w:r>
            <w:r>
              <w:rPr>
                <w:rStyle w:val="IndexLink"/>
                <w:rtl w:val="true"/>
              </w:rPr>
              <w:tab/>
            </w:r>
            <w:r>
              <w:rPr>
                <w:rStyle w:val="IndexLink"/>
              </w:rPr>
              <w:t>287</w:t>
            </w:r>
          </w:hyperlink>
        </w:p>
        <w:p>
          <w:pPr>
            <w:pStyle w:val="Contents4"/>
            <w:tabs>
              <w:tab w:val="clear" w:pos="8176"/>
              <w:tab w:val="right" w:pos="9026" w:leader="dot"/>
            </w:tabs>
            <w:rPr/>
          </w:pPr>
          <w:hyperlink w:anchor="__RefHeading___Toc5119241_2314609296">
            <w:r>
              <w:rPr>
                <w:webHidden/>
                <w:rStyle w:val="IndexLink"/>
                <w:rtl w:val="true"/>
              </w:rPr>
              <w:t>مسألة یجوز ابتیاع ما یفسده الاختبار من دون اختبار</w:t>
            </w:r>
            <w:r>
              <w:rPr>
                <w:rStyle w:val="IndexLink"/>
                <w:rtl w:val="true"/>
              </w:rPr>
              <w:tab/>
            </w:r>
            <w:r>
              <w:rPr>
                <w:rStyle w:val="IndexLink"/>
              </w:rPr>
              <w:t>295</w:t>
            </w:r>
          </w:hyperlink>
        </w:p>
        <w:p>
          <w:pPr>
            <w:pStyle w:val="Contents4"/>
            <w:tabs>
              <w:tab w:val="clear" w:pos="8176"/>
              <w:tab w:val="right" w:pos="9026" w:leader="dot"/>
            </w:tabs>
            <w:rPr/>
          </w:pPr>
          <w:hyperlink w:anchor="__RefHeading___Toc5119243_2314609296">
            <w:r>
              <w:rPr>
                <w:webHidden/>
                <w:rStyle w:val="IndexLink"/>
                <w:rtl w:val="true"/>
              </w:rPr>
              <w:t>مسألة المشهور من غیر خلاف یذکر جواز بیع المسک فی فأره</w:t>
            </w:r>
            <w:r>
              <w:rPr>
                <w:rStyle w:val="IndexLink"/>
                <w:rtl w:val="true"/>
              </w:rPr>
              <w:t>.</w:t>
              <w:tab/>
            </w:r>
            <w:r>
              <w:rPr>
                <w:rStyle w:val="IndexLink"/>
              </w:rPr>
              <w:t>305</w:t>
            </w:r>
          </w:hyperlink>
        </w:p>
        <w:p>
          <w:pPr>
            <w:pStyle w:val="Contents4"/>
            <w:tabs>
              <w:tab w:val="clear" w:pos="8176"/>
              <w:tab w:val="right" w:pos="9026" w:leader="dot"/>
            </w:tabs>
            <w:rPr/>
          </w:pPr>
          <w:hyperlink w:anchor="__RefHeading___Toc5119245_2314609296">
            <w:r>
              <w:rPr>
                <w:webHidden/>
                <w:rStyle w:val="IndexLink"/>
                <w:rtl w:val="true"/>
              </w:rPr>
              <w:t>مسألة لا فرق فی عدم جواز بیع المجهول بین ضمّ معلومٍ إلیه و عدمه؛</w:t>
            </w:r>
            <w:r>
              <w:rPr>
                <w:rStyle w:val="IndexLink"/>
                <w:rtl w:val="true"/>
              </w:rPr>
              <w:tab/>
            </w:r>
            <w:r>
              <w:rPr>
                <w:rStyle w:val="IndexLink"/>
              </w:rPr>
              <w:t>307</w:t>
            </w:r>
          </w:hyperlink>
        </w:p>
        <w:p>
          <w:pPr>
            <w:pStyle w:val="Contents4"/>
            <w:tabs>
              <w:tab w:val="clear" w:pos="8176"/>
              <w:tab w:val="right" w:pos="9026" w:leader="dot"/>
            </w:tabs>
            <w:rPr/>
          </w:pPr>
          <w:hyperlink w:anchor="__RefHeading___Toc5119247_2314609296">
            <w:r>
              <w:rPr>
                <w:webHidden/>
                <w:rStyle w:val="IndexLink"/>
                <w:rtl w:val="true"/>
              </w:rPr>
              <w:t>مسألة یجوز أن یُندر لظرفٍ ما یوزن مع ظرفه مقدارٌ یحتمل الزیادة و النقیصة</w:t>
            </w:r>
            <w:r>
              <w:rPr>
                <w:rStyle w:val="IndexLink"/>
                <w:rtl w:val="true"/>
              </w:rPr>
              <w:tab/>
            </w:r>
            <w:r>
              <w:rPr>
                <w:rStyle w:val="IndexLink"/>
              </w:rPr>
              <w:t>321</w:t>
            </w:r>
          </w:hyperlink>
        </w:p>
        <w:p>
          <w:pPr>
            <w:pStyle w:val="Contents4"/>
            <w:tabs>
              <w:tab w:val="clear" w:pos="8176"/>
              <w:tab w:val="right" w:pos="9026" w:leader="dot"/>
            </w:tabs>
            <w:rPr/>
          </w:pPr>
          <w:hyperlink w:anchor="__RefHeading___Toc5119249_2314609296">
            <w:r>
              <w:rPr>
                <w:webHidden/>
                <w:rStyle w:val="IndexLink"/>
                <w:rtl w:val="true"/>
              </w:rPr>
              <w:t>مسألة یجوز بیع المظروف مع ظرفه الموزون معه و إن لم یعلم إلّا بوزن المجموع،</w:t>
            </w:r>
            <w:r>
              <w:rPr>
                <w:rStyle w:val="IndexLink"/>
                <w:rtl w:val="true"/>
              </w:rPr>
              <w:tab/>
            </w:r>
            <w:r>
              <w:rPr>
                <w:rStyle w:val="IndexLink"/>
              </w:rPr>
              <w:t>333</w:t>
            </w:r>
          </w:hyperlink>
        </w:p>
        <w:p>
          <w:pPr>
            <w:pStyle w:val="Contents4"/>
            <w:tabs>
              <w:tab w:val="clear" w:pos="8176"/>
              <w:tab w:val="right" w:pos="9026" w:leader="dot"/>
            </w:tabs>
            <w:rPr/>
          </w:pPr>
          <w:hyperlink w:anchor="__RefHeading___Toc5119251_2314609296">
            <w:r>
              <w:rPr>
                <w:webHidden/>
                <w:rStyle w:val="IndexLink"/>
                <w:rtl w:val="true"/>
              </w:rPr>
              <w:t>[</w:t>
            </w:r>
            <w:r>
              <w:rPr>
                <w:rStyle w:val="IndexLink"/>
                <w:rtl w:val="true"/>
              </w:rPr>
              <w:t>تنبیهات البیع</w:t>
            </w:r>
            <w:r>
              <w:rPr>
                <w:rStyle w:val="IndexLink"/>
                <w:rtl w:val="true"/>
              </w:rPr>
              <w:t>]</w:t>
              <w:tab/>
            </w:r>
            <w:r>
              <w:rPr>
                <w:rStyle w:val="IndexLink"/>
              </w:rPr>
              <w:t>337</w:t>
            </w:r>
          </w:hyperlink>
        </w:p>
        <w:p>
          <w:pPr>
            <w:pStyle w:val="Contents5"/>
            <w:tabs>
              <w:tab w:val="clear" w:pos="7892"/>
              <w:tab w:val="right" w:pos="9026" w:leader="dot"/>
            </w:tabs>
            <w:rPr/>
          </w:pPr>
          <w:hyperlink w:anchor="__RefHeading___Toc5119253_2314609296">
            <w:r>
              <w:rPr>
                <w:webHidden/>
                <w:rStyle w:val="IndexLink"/>
                <w:rtl w:val="true"/>
              </w:rPr>
              <w:t>مسألة المعروف بین الأصحاب تبعاً لظاهر تعبیر الشیخ بلفظ</w:t>
            </w:r>
            <w:r>
              <w:rPr>
                <w:rStyle w:val="IndexLink"/>
                <w:rtl w:val="true"/>
              </w:rPr>
              <w:t>«</w:t>
            </w:r>
            <w:r>
              <w:rPr>
                <w:rStyle w:val="IndexLink"/>
                <w:rtl w:val="true"/>
              </w:rPr>
              <w:t>ینبغی</w:t>
            </w:r>
            <w:r>
              <w:rPr>
                <w:rStyle w:val="IndexLink"/>
                <w:rtl w:val="true"/>
              </w:rPr>
              <w:t>»</w:t>
              <w:tab/>
            </w:r>
            <w:r>
              <w:rPr>
                <w:rStyle w:val="IndexLink"/>
              </w:rPr>
              <w:t>337</w:t>
            </w:r>
          </w:hyperlink>
        </w:p>
        <w:p>
          <w:pPr>
            <w:pStyle w:val="Contents5"/>
            <w:tabs>
              <w:tab w:val="clear" w:pos="7892"/>
              <w:tab w:val="right" w:pos="9026" w:leader="dot"/>
            </w:tabs>
            <w:rPr/>
          </w:pPr>
          <w:hyperlink w:anchor="__RefHeading___Toc5119255_2314609296">
            <w:r>
              <w:rPr>
                <w:webHidden/>
                <w:rStyle w:val="IndexLink"/>
                <w:rtl w:val="true"/>
              </w:rPr>
              <w:t xml:space="preserve">مسألة </w:t>
            </w:r>
            <w:r>
              <w:rPr>
                <w:rStyle w:val="IndexLink"/>
                <w:rtl w:val="true"/>
              </w:rPr>
              <w:t>[</w:t>
            </w:r>
            <w:r>
              <w:rPr>
                <w:rStyle w:val="IndexLink"/>
                <w:rtl w:val="true"/>
              </w:rPr>
              <w:t>حکم تلقی الرکبان تکلیفا</w:t>
            </w:r>
            <w:r>
              <w:rPr>
                <w:rStyle w:val="IndexLink"/>
                <w:rtl w:val="true"/>
              </w:rPr>
              <w:t>]</w:t>
              <w:tab/>
            </w:r>
            <w:r>
              <w:rPr>
                <w:rStyle w:val="IndexLink"/>
              </w:rPr>
              <w:t>349</w:t>
            </w:r>
          </w:hyperlink>
        </w:p>
        <w:p>
          <w:pPr>
            <w:pStyle w:val="Contents5"/>
            <w:tabs>
              <w:tab w:val="clear" w:pos="7892"/>
              <w:tab w:val="right" w:pos="9026" w:leader="dot"/>
            </w:tabs>
            <w:rPr/>
          </w:pPr>
          <w:hyperlink w:anchor="__RefHeading___Toc5119257_2314609296">
            <w:r>
              <w:rPr>
                <w:webHidden/>
                <w:rStyle w:val="IndexLink"/>
                <w:rtl w:val="true"/>
              </w:rPr>
              <w:t>مسألة یحرم النجش</w:t>
            </w:r>
            <w:r>
              <w:rPr>
                <w:rStyle w:val="IndexLink"/>
                <w:rtl w:val="true"/>
              </w:rPr>
              <w:tab/>
            </w:r>
            <w:r>
              <w:rPr>
                <w:rStyle w:val="IndexLink"/>
              </w:rPr>
              <w:t>355</w:t>
            </w:r>
          </w:hyperlink>
        </w:p>
        <w:p>
          <w:pPr>
            <w:pStyle w:val="Contents5"/>
            <w:tabs>
              <w:tab w:val="clear" w:pos="7892"/>
              <w:tab w:val="right" w:pos="9026" w:leader="dot"/>
            </w:tabs>
            <w:rPr/>
          </w:pPr>
          <w:hyperlink w:anchor="__RefHeading___Toc5119259_2314609296">
            <w:r>
              <w:rPr>
                <w:webHidden/>
                <w:rStyle w:val="IndexLink"/>
                <w:rtl w:val="true"/>
              </w:rPr>
              <w:t>مسألة إذا دفع إنسان إلی غیره مالاً لیصرفه فی قَبیلٍ یکون المدفوع إلیه منهم،</w:t>
            </w:r>
            <w:r>
              <w:rPr>
                <w:rStyle w:val="IndexLink"/>
                <w:rtl w:val="true"/>
              </w:rPr>
              <w:tab/>
            </w:r>
            <w:r>
              <w:rPr>
                <w:rStyle w:val="IndexLink"/>
              </w:rPr>
              <w:t>357</w:t>
            </w:r>
          </w:hyperlink>
        </w:p>
        <w:p>
          <w:pPr>
            <w:pStyle w:val="Contents5"/>
            <w:tabs>
              <w:tab w:val="clear" w:pos="7892"/>
              <w:tab w:val="right" w:pos="9026" w:leader="dot"/>
            </w:tabs>
            <w:rPr/>
          </w:pPr>
          <w:hyperlink w:anchor="__RefHeading___Toc5119261_2314609296">
            <w:r>
              <w:rPr>
                <w:webHidden/>
                <w:rStyle w:val="IndexLink"/>
                <w:rtl w:val="true"/>
              </w:rPr>
              <w:t>مسألة احتکار الطعام</w:t>
            </w:r>
            <w:r>
              <w:rPr>
                <w:rStyle w:val="IndexLink"/>
                <w:rtl w:val="true"/>
              </w:rPr>
              <w:tab/>
            </w:r>
            <w:r>
              <w:rPr>
                <w:rStyle w:val="IndexLink"/>
              </w:rPr>
              <w:t>363</w:t>
            </w:r>
          </w:hyperlink>
        </w:p>
        <w:p>
          <w:pPr>
            <w:pStyle w:val="Contents6"/>
            <w:tabs>
              <w:tab w:val="clear" w:pos="7609"/>
              <w:tab w:val="right" w:pos="9026" w:leader="dot"/>
            </w:tabs>
            <w:rPr/>
          </w:pPr>
          <w:hyperlink w:anchor="__RefHeading___Toc5119263_2314609296">
            <w:r>
              <w:rPr>
                <w:webHidden/>
                <w:rStyle w:val="IndexLink"/>
                <w:rtl w:val="true"/>
              </w:rPr>
              <w:t>اشاره</w:t>
            </w:r>
            <w:r>
              <w:rPr>
                <w:rStyle w:val="IndexLink"/>
                <w:rtl w:val="true"/>
              </w:rPr>
              <w:tab/>
            </w:r>
            <w:r>
              <w:rPr>
                <w:rStyle w:val="IndexLink"/>
              </w:rPr>
              <w:t>363</w:t>
            </w:r>
          </w:hyperlink>
        </w:p>
        <w:p>
          <w:pPr>
            <w:pStyle w:val="Contents6"/>
            <w:tabs>
              <w:tab w:val="clear" w:pos="7609"/>
              <w:tab w:val="right" w:pos="9026" w:leader="dot"/>
            </w:tabs>
            <w:rPr/>
          </w:pPr>
          <w:hyperlink w:anchor="__RefHeading___Toc5119265_2314609296">
            <w:r>
              <w:rPr>
                <w:webHidden/>
                <w:rStyle w:val="IndexLink"/>
                <w:rtl w:val="true"/>
              </w:rPr>
              <w:t>ثمّ إنّ کشف الإبهام عن أطراف المسألة یتمّ ببیان أُمور</w:t>
            </w:r>
            <w:r>
              <w:rPr>
                <w:rStyle w:val="IndexLink"/>
                <w:rtl w:val="true"/>
              </w:rPr>
              <w:t>:</w:t>
              <w:tab/>
            </w:r>
            <w:r>
              <w:rPr>
                <w:rStyle w:val="IndexLink"/>
              </w:rPr>
              <w:t>367</w:t>
            </w:r>
          </w:hyperlink>
        </w:p>
        <w:p>
          <w:pPr>
            <w:pStyle w:val="Contents6"/>
            <w:tabs>
              <w:tab w:val="clear" w:pos="7609"/>
              <w:tab w:val="right" w:pos="9026" w:leader="dot"/>
            </w:tabs>
            <w:rPr/>
          </w:pPr>
          <w:hyperlink w:anchor="__RefHeading___Toc5119267_2314609296">
            <w:r>
              <w:rPr>
                <w:webHidden/>
                <w:rStyle w:val="IndexLink"/>
                <w:rtl w:val="true"/>
              </w:rPr>
              <w:t>الأوّل</w:t>
            </w:r>
            <w:r>
              <w:rPr>
                <w:rStyle w:val="IndexLink"/>
                <w:rtl w:val="true"/>
              </w:rPr>
              <w:t>:</w:t>
            </w:r>
            <w:r>
              <w:rPr>
                <w:rStyle w:val="IndexLink"/>
                <w:rtl w:val="true"/>
              </w:rPr>
              <w:t>فی مورد الاحتکار،</w:t>
            </w:r>
            <w:r>
              <w:rPr>
                <w:rStyle w:val="IndexLink"/>
                <w:rtl w:val="true"/>
              </w:rPr>
              <w:tab/>
            </w:r>
            <w:r>
              <w:rPr>
                <w:rStyle w:val="IndexLink"/>
              </w:rPr>
              <w:t>367</w:t>
            </w:r>
          </w:hyperlink>
        </w:p>
        <w:p>
          <w:pPr>
            <w:pStyle w:val="Contents6"/>
            <w:tabs>
              <w:tab w:val="clear" w:pos="7609"/>
              <w:tab w:val="right" w:pos="9026" w:leader="dot"/>
            </w:tabs>
            <w:rPr/>
          </w:pPr>
          <w:hyperlink w:anchor="__RefHeading___Toc5119269_2314609296">
            <w:r>
              <w:rPr>
                <w:webHidden/>
                <w:rStyle w:val="IndexLink"/>
                <w:rtl w:val="true"/>
              </w:rPr>
              <w:t xml:space="preserve">الثانی </w:t>
            </w:r>
            <w:r>
              <w:rPr>
                <w:rStyle w:val="IndexLink"/>
                <w:rtl w:val="true"/>
              </w:rPr>
              <w:t>[</w:t>
            </w:r>
            <w:r>
              <w:rPr>
                <w:rStyle w:val="IndexLink"/>
                <w:rtl w:val="true"/>
              </w:rPr>
              <w:t>ما هو حد الاحتکار</w:t>
            </w:r>
            <w:r>
              <w:rPr>
                <w:rStyle w:val="IndexLink"/>
                <w:rtl w:val="true"/>
              </w:rPr>
              <w:t>]</w:t>
              <w:tab/>
            </w:r>
            <w:r>
              <w:rPr>
                <w:rStyle w:val="IndexLink"/>
              </w:rPr>
              <w:t>370</w:t>
            </w:r>
          </w:hyperlink>
        </w:p>
        <w:p>
          <w:pPr>
            <w:pStyle w:val="Contents6"/>
            <w:tabs>
              <w:tab w:val="clear" w:pos="7609"/>
              <w:tab w:val="right" w:pos="9026" w:leader="dot"/>
            </w:tabs>
            <w:rPr/>
          </w:pPr>
          <w:hyperlink w:anchor="__RefHeading___Toc5119271_2314609296">
            <w:r>
              <w:rPr>
                <w:webHidden/>
                <w:rStyle w:val="IndexLink"/>
                <w:rtl w:val="true"/>
              </w:rPr>
              <w:t>الثالث</w:t>
            </w:r>
            <w:r>
              <w:rPr>
                <w:rStyle w:val="IndexLink"/>
                <w:rtl w:val="true"/>
              </w:rPr>
              <w:t>: [</w:t>
            </w:r>
            <w:r>
              <w:rPr>
                <w:rStyle w:val="IndexLink"/>
                <w:rtl w:val="true"/>
              </w:rPr>
              <w:t>عدم حصر الاحتکار فی شراء الطعام بل مطلق جمعه و حبسه</w:t>
            </w:r>
            <w:r>
              <w:rPr>
                <w:rStyle w:val="IndexLink"/>
                <w:rtl w:val="true"/>
              </w:rPr>
              <w:t>]</w:t>
              <w:tab/>
            </w:r>
            <w:r>
              <w:rPr>
                <w:rStyle w:val="IndexLink"/>
              </w:rPr>
              <w:t>371</w:t>
            </w:r>
          </w:hyperlink>
        </w:p>
        <w:p>
          <w:pPr>
            <w:pStyle w:val="Contents6"/>
            <w:tabs>
              <w:tab w:val="clear" w:pos="7609"/>
              <w:tab w:val="right" w:pos="9026" w:leader="dot"/>
            </w:tabs>
            <w:rPr/>
          </w:pPr>
          <w:hyperlink w:anchor="__RefHeading___Toc5119273_2314609296">
            <w:r>
              <w:rPr>
                <w:webHidden/>
                <w:rStyle w:val="IndexLink"/>
                <w:rtl w:val="true"/>
              </w:rPr>
              <w:t>الرابع</w:t>
            </w:r>
            <w:r>
              <w:rPr>
                <w:rStyle w:val="IndexLink"/>
                <w:rtl w:val="true"/>
              </w:rPr>
              <w:t>:</w:t>
            </w:r>
            <w:r>
              <w:rPr>
                <w:rStyle w:val="IndexLink"/>
                <w:rtl w:val="true"/>
              </w:rPr>
              <w:t>أقسام حبس الطعام</w:t>
            </w:r>
            <w:r>
              <w:rPr>
                <w:rStyle w:val="IndexLink"/>
                <w:rtl w:val="true"/>
              </w:rPr>
              <w:tab/>
            </w:r>
            <w:r>
              <w:rPr>
                <w:rStyle w:val="IndexLink"/>
              </w:rPr>
              <w:t>371</w:t>
            </w:r>
          </w:hyperlink>
        </w:p>
        <w:p>
          <w:pPr>
            <w:pStyle w:val="Contents6"/>
            <w:tabs>
              <w:tab w:val="clear" w:pos="7609"/>
              <w:tab w:val="right" w:pos="9026" w:leader="dot"/>
            </w:tabs>
            <w:rPr/>
          </w:pPr>
          <w:hyperlink w:anchor="__RefHeading___Toc5119275_2314609296">
            <w:r>
              <w:rPr>
                <w:webHidden/>
                <w:rStyle w:val="IndexLink"/>
                <w:rtl w:val="true"/>
              </w:rPr>
              <w:t>الخامس</w:t>
            </w:r>
            <w:r>
              <w:rPr>
                <w:rStyle w:val="IndexLink"/>
                <w:rtl w:val="true"/>
              </w:rPr>
              <w:t>:</w:t>
            </w:r>
            <w:r>
              <w:rPr>
                <w:rStyle w:val="IndexLink"/>
                <w:rtl w:val="true"/>
              </w:rPr>
              <w:t>الظاهر عدم الخلاف کما قیل</w:t>
            </w:r>
            <w:r>
              <w:rPr>
                <w:rStyle w:val="IndexLink"/>
                <w:rtl w:val="true"/>
              </w:rPr>
              <w:tab/>
            </w:r>
            <w:r>
              <w:rPr>
                <w:rStyle w:val="IndexLink"/>
              </w:rPr>
              <w:t>373</w:t>
            </w:r>
          </w:hyperlink>
        </w:p>
        <w:p>
          <w:pPr>
            <w:pStyle w:val="Contents5"/>
            <w:tabs>
              <w:tab w:val="clear" w:pos="7892"/>
              <w:tab w:val="right" w:pos="9026" w:leader="dot"/>
            </w:tabs>
            <w:rPr/>
          </w:pPr>
          <w:hyperlink w:anchor="__RefHeading___Toc5119277_2314609296">
            <w:r>
              <w:rPr>
                <w:webHidden/>
                <w:rStyle w:val="IndexLink"/>
                <w:rtl w:val="true"/>
              </w:rPr>
              <w:t>خاتمة و من أهمّ آداب التجارة الإجمال فی الطلب و الاقتصاد فیه،</w:t>
            </w:r>
            <w:r>
              <w:rPr>
                <w:rStyle w:val="IndexLink"/>
                <w:rtl w:val="true"/>
              </w:rPr>
              <w:tab/>
            </w:r>
            <w:r>
              <w:rPr>
                <w:rStyle w:val="IndexLink"/>
              </w:rPr>
              <w:t>375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61_202283"/>
      <w:bookmarkStart w:id="1" w:name="pg19861_202283"/>
      <w:bookmarkEnd w:id="1"/>
    </w:p>
    <w:p>
      <w:pPr>
        <w:pStyle w:val="Heading2"/>
        <w:numPr>
          <w:ilvl w:val="1"/>
          <w:numId w:val="1"/>
        </w:numPr>
        <w:rPr/>
      </w:pPr>
      <w:bookmarkStart w:id="2" w:name="pg19861_202283"/>
      <w:bookmarkStart w:id="3" w:name="__RefHeading___Toc5118833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المولف مرتضی الانصاری؛ اعداد لجنه تحقیق تراث الشیخ الاعظم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الاسلامی، </w:t>
      </w:r>
      <w:r>
        <w:rPr>
          <w:rFonts w:ascii="IRNazanin" w:hAnsi="IRNazanin" w:eastAsia="IRNazanin"/>
          <w:color w:val="111111"/>
          <w:sz w:val="28"/>
          <w:sz w:val="28"/>
          <w:szCs w:val="28"/>
          <w:lang w:bidi="fa-IR"/>
        </w:rPr>
        <w:t>۱۴</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مجمع‌الفکرالاسلامی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5662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چهارم،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به مناسبت دویستمین سالگرد تولد شیخ انصاری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تحقیق تراث الشیخ الاعظم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بزرگداشت دویستمین سالگرد تولد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دزفول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18835_2314609296"/>
      <w:bookmarkStart w:id="6" w:name="_Toc2"/>
      <w:bookmarkEnd w:id="5"/>
      <w:r>
        <w:rPr>
          <w:rtl w:val="true"/>
        </w:rPr>
        <w:t>اشارة</w:t>
      </w:r>
      <w:bookmarkStart w:id="7" w:name="pg19861_202289"/>
      <w:bookmarkEnd w:id="6"/>
    </w:p>
    <w:p>
      <w:pPr>
        <w:pStyle w:val="Heading2"/>
        <w:numPr>
          <w:ilvl w:val="1"/>
          <w:numId w:val="1"/>
        </w:numPr>
        <w:rPr/>
      </w:pPr>
      <w:bookmarkStart w:id="8" w:name="__RefHeading___Toc5118837_2314609296"/>
      <w:bookmarkStart w:id="9" w:name="_Toc3"/>
      <w:bookmarkEnd w:id="7"/>
      <w:bookmarkEnd w:id="8"/>
      <w:r>
        <w:rPr>
          <w:rtl w:val="true"/>
        </w:rPr>
        <w:t>[</w:t>
      </w:r>
      <w:r>
        <w:rPr>
          <w:rtl w:val="true"/>
        </w:rPr>
        <w:t>تتمة کتاب البیع</w:t>
      </w:r>
      <w:r>
        <w:rPr>
          <w:rtl w:val="true"/>
        </w:rPr>
        <w:t>]</w:t>
      </w:r>
      <w:bookmarkEnd w:id="9"/>
    </w:p>
    <w:p>
      <w:pPr>
        <w:pStyle w:val="Heading3"/>
        <w:numPr>
          <w:ilvl w:val="2"/>
          <w:numId w:val="1"/>
        </w:numPr>
        <w:rPr/>
      </w:pPr>
      <w:bookmarkStart w:id="10" w:name="__RefHeading___Toc5118839_2314609296"/>
      <w:bookmarkStart w:id="11" w:name="_Toc4"/>
      <w:bookmarkEnd w:id="10"/>
      <w:r>
        <w:rPr>
          <w:rtl w:val="true"/>
        </w:rPr>
        <w:t>القول فی شرائط العوضین</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 w:name="__RefHeading___Toc5118841_2314609296"/>
      <w:bookmarkStart w:id="13" w:name="_Toc5"/>
      <w:bookmarkEnd w:id="12"/>
      <w:r>
        <w:rPr>
          <w:rtl w:val="true"/>
        </w:rPr>
        <w:t>اشاره</w:t>
      </w:r>
      <w:bookmarkStart w:id="14" w:name="pg19861_202291"/>
      <w:bookmarkEnd w:id="13"/>
    </w:p>
    <w:p>
      <w:pPr>
        <w:pStyle w:val="Heading4"/>
        <w:numPr>
          <w:ilvl w:val="3"/>
          <w:numId w:val="1"/>
        </w:numPr>
        <w:rPr/>
      </w:pPr>
      <w:bookmarkStart w:id="15" w:name="__RefHeading___Toc5118843_2314609296"/>
      <w:bookmarkStart w:id="16" w:name="_Toc6"/>
      <w:bookmarkEnd w:id="14"/>
      <w:bookmarkEnd w:id="15"/>
      <w:r>
        <w:rPr>
          <w:rtl w:val="true"/>
        </w:rPr>
        <w:t>مسألة</w:t>
      </w:r>
      <w:r>
        <w:rPr>
          <w:rtl w:val="true"/>
        </w:rPr>
        <w:t>] [</w:t>
      </w:r>
      <w:r>
        <w:rPr>
          <w:rtl w:val="true"/>
        </w:rPr>
        <w:t>من شروط العوضین</w:t>
      </w:r>
      <w:r>
        <w:rPr>
          <w:rtl w:val="true"/>
        </w:rPr>
        <w:t>:</w:t>
      </w:r>
      <w:r>
        <w:rPr>
          <w:rtl w:val="true"/>
        </w:rPr>
        <w:t>المالیة</w:t>
      </w:r>
      <w:r>
        <w:rPr>
          <w:rtl w:val="true"/>
        </w:rPr>
        <w:t>]</w:t>
      </w:r>
      <w:bookmarkEnd w:id="16"/>
    </w:p>
    <w:p>
      <w:pPr>
        <w:pStyle w:val="Heading5"/>
        <w:numPr>
          <w:ilvl w:val="4"/>
          <w:numId w:val="1"/>
        </w:numPr>
        <w:rPr/>
      </w:pPr>
      <w:bookmarkStart w:id="17" w:name="__RefHeading___Toc5118845_2314609296"/>
      <w:bookmarkStart w:id="18" w:name="_Toc7"/>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شروط العوضین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المالیة</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یشترط فی کلٍّ منهما کونه متموَّلاً؛لأنّ البیع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مبادلة مالٍ بمال </w:t>
      </w:r>
      <w:r>
        <w:rPr>
          <w:rStyle w:val="FootnoteAnchor"/>
          <w:rtl w:val="true"/>
        </w:rPr>
        <w:footnoteReference w:id="3"/>
      </w:r>
      <w:r>
        <w:rPr>
          <w:rFonts w:ascii="IRNazanin" w:hAnsi="IRNazanin" w:eastAsia="IRNazanin"/>
          <w:color w:val="111111"/>
          <w:sz w:val="28"/>
          <w:sz w:val="28"/>
          <w:szCs w:val="28"/>
          <w:rtl w:val="true"/>
          <w:lang w:bidi="fa-IR"/>
        </w:rPr>
        <w:t>،و قد احترزوا بهذا الشرط عمّا لا ینتفع به منفعة مقصودة للعقلاء،محلَّلة فی الشرع؛لأنّ الأوّل لیس بمالٍ عرفاً کالخنافس و الدیدان؛فإنّه یصحّ عرفاً سلب المصرف لها و نفی الفائدة عنها،و الثانی لیس بمالٍ شرعاً کالخمر و الخنزیر</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قسّموا عدم الانتفاع إلی ما یستند إلی خسّة الشیء کالحشرات،و إلی ما یستند إلی قلّته کحبّة حنطة،و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لیس مالاً و إن کان یصدق علیه الملک </w:t>
      </w:r>
      <w:r>
        <w:rPr>
          <w:rStyle w:val="FootnoteAnchor"/>
          <w:rtl w:val="true"/>
        </w:rPr>
        <w:footnoteReference w:id="4"/>
      </w:r>
      <w:r>
        <w:rPr>
          <w:rFonts w:ascii="IRNazanin" w:hAnsi="IRNazanin" w:eastAsia="IRNazanin"/>
          <w:color w:val="111111"/>
          <w:sz w:val="28"/>
          <w:sz w:val="28"/>
          <w:szCs w:val="28"/>
          <w:rtl w:val="true"/>
          <w:lang w:bidi="fa-IR"/>
        </w:rPr>
        <w:t>و لذا یحرم غصبه إجماعاً،و عن</w:t>
      </w:r>
    </w:p>
    <w:p>
      <w:pPr>
        <w:pStyle w:val="BookText"/>
        <w:rPr/>
      </w:pPr>
      <w:r>
        <w:rPr>
          <w:rFonts w:ascii="Amiri" w:hAnsi="Amiri" w:eastAsia="Amiri" w:cs="Amiri"/>
          <w:color w:val="111111"/>
          <w:sz w:val="28"/>
          <w:sz w:val="28"/>
          <w:szCs w:val="28"/>
          <w:rtl w:val="true"/>
          <w:lang w:bidi="ar-SA"/>
        </w:rPr>
        <w:t>التذکرة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تلف لم یُضمن أصلاً </w:t>
      </w:r>
      <w:r>
        <w:rPr>
          <w:rStyle w:val="FootnoteAnchor"/>
          <w:rtl w:val="true"/>
        </w:rPr>
        <w:footnoteReference w:id="5"/>
      </w:r>
      <w:r>
        <w:rPr>
          <w:rFonts w:ascii="IRNazanin" w:hAnsi="IRNazanin" w:eastAsia="IRNazanin"/>
          <w:color w:val="111111"/>
          <w:sz w:val="28"/>
          <w:sz w:val="28"/>
          <w:szCs w:val="28"/>
          <w:rtl w:val="true"/>
          <w:lang w:bidi="fa-IR"/>
        </w:rPr>
        <w:t xml:space="preserve">،و اعترضه غیر واحد ممّن تأخّر عنه </w:t>
      </w:r>
      <w:r>
        <w:rPr>
          <w:rStyle w:val="FootnoteAnchor"/>
          <w:rtl w:val="true"/>
        </w:rPr>
        <w:footnoteReference w:id="6"/>
      </w:r>
      <w:r>
        <w:rPr>
          <w:rFonts w:ascii="IRNazanin" w:hAnsi="IRNazanin" w:eastAsia="IRNazanin"/>
          <w:color w:val="111111"/>
          <w:sz w:val="28"/>
          <w:sz w:val="28"/>
          <w:szCs w:val="28"/>
          <w:rtl w:val="true"/>
          <w:lang w:bidi="fa-IR"/>
        </w:rPr>
        <w:t>بوجوب ردّ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تحقّق أنّه لیس بمال عرفاً،فلا إشکال و لا خلاف فی عدم جواز وقوعه أحدَ العوضین؛إذ لا بیع إلّا فی ملک</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لم یتحقّق فیه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أکل المال فی مقابله أکلاً بالباطل عرفاً،فالظاهر فساد المقابلة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یتحقّق فیه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ثبت دلیل من نصّ أو إجماع علی عدم جواز بیعه فهو،و إلّا فلا یخفی وجوب الرجوع إلی عموماتِ صحّة البیع و التجارة،و خصوص قوله علیه السلام فی المرویّ عن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یکون لهم فیه الصلاح من جهةٍ من الجهات،فکلّ ذلک حلال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الروایة</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،و قد تقدّمت فی أوّل الکتاب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إنّهم احترزوا باعتبار الملکیّة فی العوضین من بیع ما یَشترک فیه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کالماء،و الکلأ،و السموک </w:t>
      </w:r>
      <w:r>
        <w:rPr>
          <w:rStyle w:val="FootnoteAnchor"/>
          <w:rtl w:val="true"/>
        </w:rPr>
        <w:footnoteReference w:id="9"/>
      </w:r>
      <w:r>
        <w:rPr>
          <w:rFonts w:ascii="IRNazanin" w:hAnsi="IRNazanin" w:eastAsia="IRNazanin"/>
          <w:color w:val="111111"/>
          <w:sz w:val="28"/>
          <w:sz w:val="28"/>
          <w:szCs w:val="28"/>
          <w:rtl w:val="true"/>
          <w:lang w:bidi="fa-IR"/>
        </w:rPr>
        <w:t xml:space="preserve">و الوحوش قبل اصطیادها؛ لِکون </w:t>
      </w:r>
      <w:r>
        <w:rPr>
          <w:rStyle w:val="FootnoteAnchor"/>
          <w:rtl w:val="true"/>
        </w:rPr>
        <w:footnoteReference w:id="10"/>
      </w:r>
      <w:r>
        <w:rPr>
          <w:rFonts w:ascii="IRNazanin" w:hAnsi="IRNazanin" w:eastAsia="IRNazanin"/>
          <w:color w:val="111111"/>
          <w:sz w:val="28"/>
          <w:sz w:val="28"/>
          <w:szCs w:val="28"/>
          <w:rtl w:val="true"/>
          <w:lang w:bidi="fa-IR"/>
        </w:rPr>
        <w:t>هذه کلّها غیر مملوکة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احترزوا أیضاً به عن الأرض المفتوحة عنوة؛و وجه الاحتراز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غیر مملوکة لملّاکها علی نحو سائر الأملاک بحیث یکون لکلٍّ منهم جزءٌ معیّن من عین الأرض و إن قلّ؛و لذا لا یورَّث،بل و لا من قبیل الوقف الخاصّ علی معیَّنین؛لعدم تملّکهم للمنفعة مشاعاً،و لا کالوقف علی غیر معیَّنین کالعلماء و المؤمنین،و لا من قبیل تملّک الفقراء للزکاة و السادة للخمس بمعنی کونهم مصارف له </w:t>
      </w:r>
      <w:r>
        <w:rPr>
          <w:rStyle w:val="FootnoteAnchor"/>
          <w:rtl w:val="true"/>
        </w:rPr>
        <w:footnoteReference w:id="11"/>
      </w:r>
      <w:r>
        <w:rPr>
          <w:rFonts w:ascii="IRNazanin" w:hAnsi="IRNazanin" w:eastAsia="IRNazanin"/>
          <w:color w:val="111111"/>
          <w:sz w:val="28"/>
          <w:sz w:val="28"/>
          <w:szCs w:val="28"/>
          <w:rtl w:val="true"/>
          <w:lang w:bidi="fa-IR"/>
        </w:rPr>
        <w:t xml:space="preserve">لعدم تملّکهم لمنافعها </w:t>
      </w:r>
      <w:r>
        <w:rPr>
          <w:rStyle w:val="FootnoteAnchor"/>
          <w:rtl w:val="true"/>
        </w:rPr>
        <w:footnoteReference w:id="12"/>
      </w:r>
      <w:r>
        <w:rPr>
          <w:rFonts w:ascii="IRNazanin" w:hAnsi="IRNazanin" w:eastAsia="IRNazanin"/>
          <w:color w:val="111111"/>
          <w:sz w:val="28"/>
          <w:sz w:val="28"/>
          <w:szCs w:val="28"/>
          <w:rtl w:val="true"/>
          <w:lang w:bidi="fa-IR"/>
        </w:rPr>
        <w:t xml:space="preserve">بالقبض؛لأنّ مصرفه </w:t>
      </w:r>
      <w:r>
        <w:rPr>
          <w:rStyle w:val="FootnoteAnchor"/>
          <w:rtl w:val="true"/>
        </w:rPr>
        <w:footnoteReference w:id="13"/>
      </w:r>
      <w:r>
        <w:rPr>
          <w:rFonts w:ascii="IRNazanin" w:hAnsi="IRNazanin" w:eastAsia="IRNazanin"/>
          <w:color w:val="111111"/>
          <w:sz w:val="28"/>
          <w:sz w:val="28"/>
          <w:szCs w:val="28"/>
          <w:rtl w:val="true"/>
          <w:lang w:bidi="fa-IR"/>
        </w:rPr>
        <w:t xml:space="preserve">منحصر فی مصالح المسلمین،فلا یجوز تقسیمه علیهم من دون ملاحظة مصالحهم،فهذه الملکیّة نحوٌ مستقلٌّ من الملکیّة قد دلّ علیه </w:t>
      </w:r>
      <w:r>
        <w:rPr>
          <w:rStyle w:val="FootnoteAnchor"/>
          <w:rtl w:val="true"/>
        </w:rPr>
        <w:footnoteReference w:id="14"/>
      </w:r>
      <w:r>
        <w:rPr>
          <w:rFonts w:ascii="IRNazanin" w:hAnsi="IRNazanin" w:eastAsia="IRNazanin"/>
          <w:color w:val="111111"/>
          <w:sz w:val="28"/>
          <w:sz w:val="28"/>
          <w:szCs w:val="28"/>
          <w:rtl w:val="true"/>
          <w:lang w:bidi="fa-IR"/>
        </w:rPr>
        <w:t>الدلیل،و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حاصل الملک فی مصالح الملّاک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کون هذه الأرض للمسلمین ممّا ادُّعی علیه الإجماع </w:t>
      </w:r>
      <w:r>
        <w:rPr>
          <w:rStyle w:val="FootnoteAnchor"/>
          <w:rtl w:val="true"/>
        </w:rPr>
        <w:footnoteReference w:id="15"/>
      </w:r>
      <w:bookmarkStart w:id="19" w:name="pg19861_202294"/>
    </w:p>
    <w:p>
      <w:pPr>
        <w:pStyle w:val="BookText"/>
        <w:rPr/>
      </w:pPr>
      <w:bookmarkEnd w:id="19"/>
      <w:r>
        <w:rPr>
          <w:rFonts w:ascii="IRNazanin" w:hAnsi="IRNazanin" w:eastAsia="IRNazanin"/>
          <w:color w:val="111111"/>
          <w:sz w:val="28"/>
          <w:sz w:val="28"/>
          <w:szCs w:val="28"/>
          <w:rtl w:val="true"/>
          <w:lang w:bidi="fa-IR"/>
        </w:rPr>
        <w:t xml:space="preserve">و دلّ علیه النصّ کمرسلة حمّاد الطویلة </w:t>
      </w:r>
      <w:r>
        <w:rPr>
          <w:rStyle w:val="FootnoteAnchor"/>
          <w:rtl w:val="true"/>
        </w:rPr>
        <w:footnoteReference w:id="16"/>
      </w:r>
      <w:r>
        <w:rPr>
          <w:rFonts w:ascii="IRNazanin" w:hAnsi="IRNazanin" w:eastAsia="IRNazanin"/>
          <w:color w:val="111111"/>
          <w:sz w:val="28"/>
          <w:sz w:val="28"/>
          <w:szCs w:val="28"/>
          <w:rtl w:val="true"/>
          <w:lang w:bidi="fa-IR"/>
        </w:rPr>
        <w:t xml:space="preserve">و غیرها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 w:name="__RefHeading___Toc5118847_2314609296"/>
      <w:bookmarkStart w:id="21" w:name="_Toc8"/>
      <w:bookmarkEnd w:id="20"/>
      <w:r>
        <w:rPr>
          <w:rtl w:val="true"/>
        </w:rPr>
        <w:t>[</w:t>
      </w:r>
      <w:r>
        <w:rPr>
          <w:rtl w:val="true"/>
        </w:rPr>
        <w:t>أقسام الأرضین و أحکامها</w:t>
      </w:r>
      <w:r>
        <w:rPr>
          <w:rtl w:val="true"/>
        </w:rPr>
        <w:t>]</w:t>
      </w:r>
      <w:bookmarkEnd w:id="21"/>
    </w:p>
    <w:p>
      <w:pPr>
        <w:pStyle w:val="Heading6"/>
        <w:numPr>
          <w:ilvl w:val="5"/>
          <w:numId w:val="1"/>
        </w:numPr>
        <w:rPr/>
      </w:pPr>
      <w:bookmarkStart w:id="22" w:name="__RefHeading___Toc5118849_2314609296"/>
      <w:bookmarkStart w:id="23" w:name="_Toc9"/>
      <w:bookmarkEnd w:id="22"/>
      <w:r>
        <w:rPr>
          <w:rtl w:val="true"/>
        </w:rPr>
        <w:t>اشاره</w:t>
      </w:r>
      <w:bookmarkEnd w:id="23"/>
    </w:p>
    <w:p>
      <w:pPr>
        <w:pStyle w:val="BookText"/>
        <w:rPr/>
      </w:pPr>
      <w:r>
        <w:rPr>
          <w:rStyle w:val="FootnoteAnchor"/>
          <w:rtl w:val="true"/>
        </w:rPr>
        <w:footnoteReference w:id="1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جری الکلام فی ذکر بعض أقسام الأرضین،فلا بأس بالإشارة إجمالاً إلی جمیع أقسام الأرضین و أحکامها،فنقول و من اللّٰه الاستعانة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الأرض إمّا موات و إمّا عامرة،و کلٌّ منهما إمّا أن یکون کذلک أصلیّة أو عرض لها ذلک،</w:t>
      </w:r>
    </w:p>
    <w:p>
      <w:pPr>
        <w:pStyle w:val="Heading6"/>
        <w:numPr>
          <w:ilvl w:val="5"/>
          <w:numId w:val="1"/>
        </w:numPr>
        <w:rPr/>
      </w:pPr>
      <w:bookmarkStart w:id="24" w:name="__RefHeading___Toc5118851_2314609296"/>
      <w:bookmarkStart w:id="25" w:name="_Toc10"/>
      <w:bookmarkEnd w:id="24"/>
      <w:r>
        <w:rPr>
          <w:rtl w:val="true"/>
        </w:rPr>
        <w:t>فالأقسام أربعة لا خامس لها</w:t>
      </w:r>
      <w:r>
        <w:rPr>
          <w:rtl w:val="true"/>
        </w:rPr>
        <w:t>:</w:t>
      </w:r>
      <w:bookmarkEnd w:id="25"/>
    </w:p>
    <w:p>
      <w:pPr>
        <w:pStyle w:val="Heading6"/>
        <w:numPr>
          <w:ilvl w:val="5"/>
          <w:numId w:val="1"/>
        </w:numPr>
        <w:rPr/>
      </w:pPr>
      <w:bookmarkStart w:id="26" w:name="__RefHeading___Toc5118853_2314609296"/>
      <w:bookmarkStart w:id="27" w:name="_Toc11"/>
      <w:bookmarkEnd w:id="26"/>
      <w:r>
        <w:rPr>
          <w:rtl w:val="true"/>
        </w:rPr>
        <w:t>الأوّل</w:t>
      </w:r>
      <w:r>
        <w:rPr>
          <w:rtl w:val="true"/>
        </w:rPr>
        <w:t>:</w:t>
      </w:r>
      <w:r>
        <w:rPr>
          <w:rtl w:val="true"/>
        </w:rPr>
        <w:t>ما یکون مواتاً بالأصالة،</w:t>
      </w:r>
      <w:bookmarkEnd w:id="27"/>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لم تکن مسبوقة بعمارة </w:t>
      </w:r>
      <w:r>
        <w:rPr>
          <w:rStyle w:val="FootnoteAnchor"/>
          <w:rtl w:val="true"/>
        </w:rPr>
        <w:footnoteReference w:id="19"/>
      </w:r>
      <w:r>
        <w:rPr>
          <w:rFonts w:ascii="IRNazanin" w:hAnsi="IRNazanin" w:eastAsia="IRNazanin"/>
          <w:color w:val="111111"/>
          <w:sz w:val="28"/>
          <w:sz w:val="28"/>
          <w:szCs w:val="28"/>
          <w:rtl w:val="true"/>
          <w:lang w:bidi="fa-IR"/>
        </w:rPr>
        <w:t xml:space="preserve">و لا إشکال و لا خلاف منّا فی کونها للإمام علیه السلام،و الإجماع علیه محکیّ عن الخلاف </w:t>
      </w:r>
      <w:r>
        <w:rPr>
          <w:rStyle w:val="FootnoteAnchor"/>
          <w:rtl w:val="true"/>
        </w:rPr>
        <w:footnoteReference w:id="20"/>
      </w:r>
      <w:r>
        <w:rPr>
          <w:rFonts w:ascii="IRNazanin" w:hAnsi="IRNazanin" w:eastAsia="IRNazanin"/>
          <w:color w:val="111111"/>
          <w:sz w:val="28"/>
          <w:sz w:val="28"/>
          <w:szCs w:val="28"/>
          <w:rtl w:val="true"/>
          <w:lang w:bidi="fa-IR"/>
        </w:rPr>
        <w:t xml:space="preserve">و الغنیة </w:t>
      </w:r>
      <w:r>
        <w:rPr>
          <w:rStyle w:val="FootnoteAnchor"/>
          <w:rtl w:val="true"/>
        </w:rPr>
        <w:footnoteReference w:id="21"/>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22"/>
      </w:r>
      <w:r>
        <w:rPr>
          <w:rFonts w:ascii="IRNazanin" w:hAnsi="IRNazanin" w:eastAsia="IRNazanin"/>
          <w:color w:val="111111"/>
          <w:sz w:val="28"/>
          <w:sz w:val="28"/>
          <w:szCs w:val="28"/>
          <w:rtl w:val="true"/>
          <w:lang w:bidi="fa-IR"/>
        </w:rPr>
        <w:t xml:space="preserve">و المسالک </w:t>
      </w:r>
      <w:r>
        <w:rPr>
          <w:rStyle w:val="FootnoteAnchor"/>
          <w:rtl w:val="true"/>
        </w:rPr>
        <w:footnoteReference w:id="23"/>
      </w:r>
      <w:r>
        <w:rPr>
          <w:rFonts w:ascii="IRNazanin" w:hAnsi="IRNazanin" w:eastAsia="IRNazanin"/>
          <w:color w:val="111111"/>
          <w:sz w:val="28"/>
          <w:sz w:val="28"/>
          <w:szCs w:val="28"/>
          <w:rtl w:val="true"/>
          <w:lang w:bidi="fa-IR"/>
        </w:rPr>
        <w:t>و ظاهر</w:t>
      </w:r>
    </w:p>
    <w:p>
      <w:pPr>
        <w:pStyle w:val="BookText"/>
        <w:rPr/>
      </w:pPr>
      <w:r>
        <w:rPr>
          <w:rFonts w:ascii="Amiri" w:hAnsi="Amiri" w:eastAsia="Amiri" w:cs="Amiri"/>
          <w:color w:val="111111"/>
          <w:sz w:val="28"/>
          <w:sz w:val="28"/>
          <w:szCs w:val="28"/>
          <w:rtl w:val="true"/>
          <w:lang w:bidi="ar-SA"/>
        </w:rPr>
        <w:t xml:space="preserve">جماعة أُخری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النصوص بذلک مستفیضة </w:t>
      </w:r>
      <w:r>
        <w:rPr>
          <w:rStyle w:val="FootnoteAnchor"/>
          <w:rtl w:val="true"/>
        </w:rPr>
        <w:footnoteReference w:id="25"/>
      </w: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متواترة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هی من الأنفال،نعم أُبیح التصرّف فیها بالإحیاء بلا عوض، و علیه یُحمل ما فی النبویّ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مَوَتان الأرض للّٰه و لرسوله </w:t>
      </w:r>
      <w:r>
        <w:rPr>
          <w:rStyle w:val="FootnoteAnchor"/>
          <w:rtl w:val="true"/>
        </w:rPr>
        <w:footnoteReference w:id="28"/>
      </w:r>
      <w:r>
        <w:rPr>
          <w:rFonts w:ascii="Amiri" w:hAnsi="Amiri" w:eastAsia="Amiri" w:cs="Amiri"/>
          <w:color w:val="111111"/>
          <w:sz w:val="28"/>
          <w:sz w:val="28"/>
          <w:szCs w:val="28"/>
          <w:rtl w:val="true"/>
          <w:lang w:bidi="ar-SA"/>
        </w:rPr>
        <w:t>صلّی اللّٰه علیه و آله، ثمّ هی لکم منّی أیّها المسلمون</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عادیُّ الأرض للّٰه و لرسوله،ثمّ هی لکم منّی</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یکون فی بعض الأخبار وجوب أداء خراجها إلی الإمام علیه السلام کما فی صحیحة الکابلی،قال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فی کتاب</w:t>
      </w:r>
    </w:p>
    <w:p>
      <w:pPr>
        <w:pStyle w:val="BookText"/>
        <w:rPr/>
      </w:pPr>
      <w:r>
        <w:rPr>
          <w:rFonts w:ascii="Amiri" w:hAnsi="Amiri" w:eastAsia="Amiri" w:cs="Amiri"/>
          <w:color w:val="111111"/>
          <w:sz w:val="28"/>
          <w:sz w:val="28"/>
          <w:szCs w:val="28"/>
          <w:rtl w:val="true"/>
          <w:lang w:bidi="ar-SA"/>
        </w:rPr>
        <w:t xml:space="preserve">علی علیه السلام إِنَّ الْأَرْضَ لِلّٰهِ یُورِثُهٰا مَنْ یَشٰاءُ مِنْ عِبٰادِهِ وَ الْعٰاقِبَةُ لِلْمُتَّقِینَ ،أنا </w:t>
      </w:r>
      <w:r>
        <w:rPr>
          <w:rStyle w:val="FootnoteAnchor"/>
          <w:rtl w:val="true"/>
        </w:rPr>
        <w:footnoteReference w:id="32"/>
      </w:r>
      <w:r>
        <w:rPr>
          <w:rFonts w:ascii="Amiri" w:hAnsi="Amiri" w:eastAsia="Amiri" w:cs="Amiri"/>
          <w:color w:val="111111"/>
          <w:sz w:val="28"/>
          <w:sz w:val="28"/>
          <w:szCs w:val="28"/>
          <w:rtl w:val="true"/>
          <w:lang w:bidi="ar-SA"/>
        </w:rPr>
        <w:t xml:space="preserve">و أهل بیتی الذین أورثَنَا اللّٰهُ الأرضَ،و نحن المتّقون، و الأرض کلّها لنا،فمن أحیا أرضاً </w:t>
      </w:r>
      <w:r>
        <w:rPr>
          <w:rStyle w:val="FootnoteAnchor"/>
          <w:rtl w:val="true"/>
        </w:rPr>
        <w:footnoteReference w:id="33"/>
      </w:r>
      <w:r>
        <w:rPr>
          <w:rFonts w:ascii="IRNazanin" w:hAnsi="IRNazanin" w:eastAsia="IRNazanin"/>
          <w:color w:val="111111"/>
          <w:sz w:val="28"/>
          <w:sz w:val="28"/>
          <w:szCs w:val="28"/>
          <w:rtl w:val="true"/>
          <w:lang w:bidi="fa-IR"/>
        </w:rPr>
        <w:t>من المسلمین فلیَعمرها و لیؤدِّ خراجها إلی الإمام من أهل بیتی،و له ما أکل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مصحَّحة عمر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 رجل أبا عبد اللّٰه علیه السلام عن رجل أخذ أرضاً مواتاً ترکها أهلها،فعمّرها و أجری أنهارها و بنی فیها بیوتاً،و غرس فیها نخلاً و شجراً،فقال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أحیا أرضاً من المؤمنین فهی له،و علیه طسقها یؤدّیه </w:t>
      </w:r>
      <w:r>
        <w:rPr>
          <w:rStyle w:val="FootnoteAnchor"/>
          <w:rtl w:val="true"/>
        </w:rPr>
        <w:footnoteReference w:id="35"/>
      </w:r>
      <w:r>
        <w:rPr>
          <w:rFonts w:ascii="IRNazanin" w:hAnsi="IRNazanin" w:eastAsia="IRNazanin"/>
          <w:color w:val="111111"/>
          <w:sz w:val="28"/>
          <w:sz w:val="28"/>
          <w:szCs w:val="28"/>
          <w:rtl w:val="true"/>
          <w:lang w:bidi="fa-IR"/>
        </w:rPr>
        <w:t>إلی الإمام علیه السلام فی حال الهُدنة،فإذا ظهر القائم فلیوطِّن نفسه علی أن تؤخذ منه</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حملها علی بیان الاستحقاق و وجوب إیصال الطسق إذا طلبه </w:t>
      </w:r>
      <w:r>
        <w:rPr>
          <w:rStyle w:val="FootnoteAnchor"/>
          <w:rtl w:val="true"/>
        </w:rPr>
        <w:footnoteReference w:id="37"/>
      </w:r>
      <w:r>
        <w:rPr>
          <w:rFonts w:ascii="IRNazanin" w:hAnsi="IRNazanin" w:eastAsia="IRNazanin"/>
          <w:color w:val="111111"/>
          <w:sz w:val="28"/>
          <w:sz w:val="28"/>
          <w:szCs w:val="28"/>
          <w:rtl w:val="true"/>
          <w:lang w:bidi="fa-IR"/>
        </w:rPr>
        <w:t>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الأئمّة علیهم السلام بعد أمیر المؤمنین علیه السلام حلّلوا شیعتهم، و أسقطوا ذلک عنهم،کما یدلّ علیه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لنا فهو لشیعتنا</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،و قوله علیه السلام فی روایة مسمع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کان فی أیدی شیعتنا من الأرض فهم فیه محلّلون،یَحلُّ لهم ذلک إلی أن یقوم قائمنا،فیجبیهم طسق </w:t>
      </w:r>
      <w:r>
        <w:rPr>
          <w:rStyle w:val="FootnoteAnchor"/>
          <w:rtl w:val="true"/>
        </w:rPr>
        <w:footnoteReference w:id="39"/>
      </w:r>
      <w:r>
        <w:rPr>
          <w:rFonts w:ascii="IRNazanin" w:hAnsi="IRNazanin" w:eastAsia="IRNazanin"/>
          <w:color w:val="111111"/>
          <w:sz w:val="28"/>
          <w:sz w:val="28"/>
          <w:szCs w:val="28"/>
          <w:rtl w:val="true"/>
          <w:lang w:bidi="fa-IR"/>
        </w:rPr>
        <w:t>ما کان فی أیدی سواهم،فإنّ کسبهم فی الأرض حرام علیهم حتّی یقوم قائمنا و یأخذ الأرض من أیدیهم، و یُخرجهم عنها صَغَرَة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نعم،ذکر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تصرّف فی الموات أحدٌ بغیر إذن الإمام کان علیه طسقها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حمل هذه الأخبار المذکورة علی حال الحضور،و إلّا فالظاهر عدم الخلاف فی عدم وجوب مالٍ للإمام </w:t>
      </w:r>
      <w:r>
        <w:rPr>
          <w:rStyle w:val="FootnoteAnchor"/>
          <w:rtl w:val="true"/>
        </w:rPr>
        <w:footnoteReference w:id="42"/>
      </w:r>
      <w:r>
        <w:rPr>
          <w:rFonts w:ascii="IRNazanin" w:hAnsi="IRNazanin" w:eastAsia="IRNazanin"/>
          <w:color w:val="111111"/>
          <w:sz w:val="28"/>
          <w:sz w:val="28"/>
          <w:szCs w:val="28"/>
          <w:rtl w:val="true"/>
          <w:lang w:bidi="fa-IR"/>
        </w:rPr>
        <w:t xml:space="preserve">فی الأراضی فی حال الغیبة،بل الأخبار متّفقة علی أنّها لمن أحیاها </w:t>
      </w:r>
      <w:r>
        <w:rPr>
          <w:rStyle w:val="FootnoteAnchor"/>
          <w:rtl w:val="true"/>
        </w:rPr>
        <w:footnoteReference w:id="43"/>
      </w:r>
      <w:r>
        <w:rPr>
          <w:rFonts w:ascii="IRNazanin" w:hAnsi="IRNazanin" w:eastAsia="IRNazanin"/>
          <w:color w:val="111111"/>
          <w:sz w:val="28"/>
          <w:sz w:val="28"/>
          <w:szCs w:val="28"/>
          <w:rtl w:val="true"/>
          <w:lang w:bidi="fa-IR"/>
        </w:rPr>
        <w:t xml:space="preserve">،و سیأتی حکایة إجماع المسلمین علی صیرورتها ملکاً بالإحیاء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bookmarkStart w:id="28" w:name="pg19861_202298"/>
    </w:p>
    <w:p>
      <w:pPr>
        <w:pStyle w:val="Heading6"/>
        <w:numPr>
          <w:ilvl w:val="5"/>
          <w:numId w:val="1"/>
        </w:numPr>
        <w:rPr/>
      </w:pPr>
      <w:bookmarkStart w:id="29" w:name="__RefHeading___Toc5118855_2314609296"/>
      <w:bookmarkStart w:id="30" w:name="_Toc12"/>
      <w:bookmarkEnd w:id="28"/>
      <w:bookmarkEnd w:id="29"/>
      <w:r>
        <w:rPr>
          <w:rtl w:val="true"/>
        </w:rPr>
        <w:t>الثانی</w:t>
      </w:r>
      <w:r>
        <w:rPr>
          <w:rtl w:val="true"/>
        </w:rPr>
        <w:t>:</w:t>
      </w:r>
      <w:r>
        <w:rPr>
          <w:rtl w:val="true"/>
        </w:rPr>
        <w:t>ما کانت عامرة بالأصالة،</w:t>
      </w:r>
      <w:bookmarkEnd w:id="30"/>
    </w:p>
    <w:p>
      <w:pPr>
        <w:pStyle w:val="BookText"/>
        <w:rPr/>
      </w:pPr>
      <w:r>
        <w:rPr>
          <w:rFonts w:ascii="IRNazanin" w:hAnsi="IRNazanin" w:eastAsia="IRNazanin"/>
          <w:color w:val="111111"/>
          <w:sz w:val="28"/>
          <w:sz w:val="28"/>
          <w:szCs w:val="28"/>
          <w:rtl w:val="true"/>
          <w:lang w:bidi="fa-IR"/>
        </w:rPr>
        <w:t>أی لا من معمِّر و الظاهر أنّها أیضاً للإمام علیه السلام و کونها من الأنفال،و هو ظاهر إطلاق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أرض لم یجرِ علیها ملک مسلم فهی للإمام علیه السلام</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،و عن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غیرها نفی الخلاف عنه </w:t>
      </w:r>
      <w:r>
        <w:rPr>
          <w:rStyle w:val="FootnoteAnchor"/>
          <w:rtl w:val="true"/>
        </w:rPr>
        <w:footnoteReference w:id="47"/>
      </w:r>
      <w:r>
        <w:rPr>
          <w:rFonts w:ascii="IRNazanin" w:hAnsi="IRNazanin" w:eastAsia="IRNazanin"/>
          <w:color w:val="111111"/>
          <w:sz w:val="28"/>
          <w:sz w:val="28"/>
          <w:szCs w:val="28"/>
          <w:rtl w:val="true"/>
          <w:lang w:bidi="fa-IR"/>
        </w:rPr>
        <w:t>لموثّقة أبان بن عثمان عن إسحاق بن عمّار المحکیّة عن تفسیر علیّ بن إبراهیم عن الصادق علیه السلام،حیث عَدّ من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أرض لا ربّ لها</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،و نحوها المحکی عن تفسیر العیاشی،عن أبی بصیر،عن أبی جعفر علیه السلام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یخصّص عموم ذلک بخصوص بعض الأخبار،حیث جُعل فیها من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أرض میّتة لا ربّ لها</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بناءً علی ثبوت المفهوم للوصف المسوق للاحتراز؛لأنّ الظاهر ورود الوصف مورد الغالب؛لأنّ</w:t>
      </w:r>
      <w:bookmarkStart w:id="31" w:name="pg19861_202299"/>
    </w:p>
    <w:p>
      <w:pPr>
        <w:pStyle w:val="BookText"/>
        <w:rPr/>
      </w:pPr>
      <w:bookmarkEnd w:id="31"/>
      <w:r>
        <w:rPr>
          <w:rFonts w:ascii="IRNazanin" w:hAnsi="IRNazanin" w:eastAsia="IRNazanin"/>
          <w:color w:val="111111"/>
          <w:sz w:val="28"/>
          <w:sz w:val="28"/>
          <w:szCs w:val="28"/>
          <w:rtl w:val="true"/>
          <w:lang w:bidi="fa-IR"/>
        </w:rPr>
        <w:t>الغالب فی الأرض التی لا مالک لها کونها مواتاً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تُملک هذه بالحیازة؟وجهان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کونه مال الإمام،و من عدم منافاته للتملّک بالحیازة،کما یُملک الموات بالإحیاء مع کونه مال الإمام،فدخل فی عموم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إلی ما لم یسبقه إلیه مسلم فهو أحقّ به</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 w:name="__RefHeading___Toc5118857_2314609296"/>
      <w:bookmarkStart w:id="33" w:name="_Toc13"/>
      <w:bookmarkEnd w:id="32"/>
      <w:r>
        <w:rPr>
          <w:rtl w:val="true"/>
        </w:rPr>
        <w:t>الثالث</w:t>
      </w:r>
      <w:r>
        <w:rPr>
          <w:rtl w:val="true"/>
        </w:rPr>
        <w:t>:</w:t>
      </w:r>
      <w:r>
        <w:rPr>
          <w:rtl w:val="true"/>
        </w:rPr>
        <w:t>ما عرض له الحیاة بعد الموت</w:t>
      </w:r>
      <w:bookmarkEnd w:id="33"/>
    </w:p>
    <w:p>
      <w:pPr>
        <w:pStyle w:val="BookText"/>
        <w:rPr/>
      </w:pPr>
      <w:r>
        <w:rPr>
          <w:rFonts w:ascii="IRNazanin" w:hAnsi="IRNazanin" w:eastAsia="IRNazanin"/>
          <w:color w:val="111111"/>
          <w:sz w:val="28"/>
          <w:sz w:val="28"/>
          <w:szCs w:val="28"/>
          <w:rtl w:val="true"/>
          <w:lang w:bidi="fa-IR"/>
        </w:rPr>
        <w:t xml:space="preserve">و هو ملک للمحیی،فیصیر ملکاً له بالشروط المذکورة فی باب الإحیاء بإجماع الأُمّة کما عن المهذّب </w:t>
      </w:r>
      <w:r>
        <w:rPr>
          <w:rStyle w:val="FootnoteAnchor"/>
          <w:rtl w:val="true"/>
        </w:rPr>
        <w:footnoteReference w:id="52"/>
      </w:r>
      <w:r>
        <w:rPr>
          <w:rFonts w:ascii="IRNazanin" w:hAnsi="IRNazanin" w:eastAsia="IRNazanin"/>
          <w:color w:val="111111"/>
          <w:sz w:val="28"/>
          <w:sz w:val="28"/>
          <w:szCs w:val="28"/>
          <w:rtl w:val="true"/>
          <w:lang w:bidi="fa-IR"/>
        </w:rPr>
        <w:t xml:space="preserve">،و بإجماع المسلمین کما عن التنقیح </w:t>
      </w:r>
      <w:r>
        <w:rPr>
          <w:rStyle w:val="FootnoteAnchor"/>
          <w:rtl w:val="true"/>
        </w:rPr>
        <w:footnoteReference w:id="53"/>
      </w:r>
      <w:r>
        <w:rPr>
          <w:rFonts w:ascii="IRNazanin" w:hAnsi="IRNazanin" w:eastAsia="IRNazanin"/>
          <w:color w:val="111111"/>
          <w:sz w:val="28"/>
          <w:sz w:val="28"/>
          <w:szCs w:val="28"/>
          <w:rtl w:val="true"/>
          <w:lang w:bidi="fa-IR"/>
        </w:rPr>
        <w:t xml:space="preserve">،و علیه عامّة فقهاء الأمصار کما عن التذکرة </w:t>
      </w:r>
      <w:r>
        <w:rPr>
          <w:rStyle w:val="FootnoteAnchor"/>
          <w:rtl w:val="true"/>
        </w:rPr>
        <w:footnoteReference w:id="54"/>
      </w:r>
      <w:r>
        <w:rPr>
          <w:rFonts w:ascii="IRNazanin" w:hAnsi="IRNazanin" w:eastAsia="IRNazanin"/>
          <w:color w:val="111111"/>
          <w:sz w:val="28"/>
          <w:sz w:val="28"/>
          <w:szCs w:val="28"/>
          <w:rtl w:val="true"/>
          <w:lang w:bidi="fa-IR"/>
        </w:rPr>
        <w:t xml:space="preserve">،لکن ببالی من المبسوط کلام یشعر بأنّه یملک التصرّف،لا نفس الرقبة </w:t>
      </w:r>
      <w:r>
        <w:rPr>
          <w:rStyle w:val="FootnoteAnchor"/>
          <w:rtl w:val="true"/>
        </w:rPr>
        <w:footnoteReference w:id="55"/>
      </w:r>
      <w:r>
        <w:rPr>
          <w:rFonts w:ascii="Amiri" w:hAnsi="Amiri" w:eastAsia="Amiri" w:cs="Amiri"/>
          <w:color w:val="111111"/>
          <w:sz w:val="28"/>
          <w:sz w:val="28"/>
          <w:szCs w:val="28"/>
          <w:rtl w:val="true"/>
          <w:lang w:bidi="ar-SA"/>
        </w:rPr>
        <w:t>،فلا بدّ من الملاحظة</w:t>
      </w:r>
      <w:r>
        <w:rPr>
          <w:rFonts w:eastAsia="Amiri" w:cs="Amiri" w:ascii="Amiri" w:hAnsi="Amiri"/>
          <w:color w:val="111111"/>
          <w:sz w:val="28"/>
          <w:szCs w:val="28"/>
          <w:rtl w:val="true"/>
          <w:lang w:bidi="ar-SA"/>
        </w:rPr>
        <w:t>.</w:t>
      </w:r>
    </w:p>
    <w:p>
      <w:pPr>
        <w:pStyle w:val="Heading6"/>
        <w:numPr>
          <w:ilvl w:val="5"/>
          <w:numId w:val="1"/>
        </w:numPr>
        <w:rPr/>
      </w:pPr>
      <w:bookmarkStart w:id="34" w:name="__RefHeading___Toc5118859_2314609296"/>
      <w:bookmarkStart w:id="35" w:name="_Toc14"/>
      <w:bookmarkEnd w:id="34"/>
      <w:r>
        <w:rPr>
          <w:rtl w:val="true"/>
        </w:rPr>
        <w:t>الرابع</w:t>
      </w:r>
      <w:r>
        <w:rPr>
          <w:rtl w:val="true"/>
        </w:rPr>
        <w:t>:</w:t>
      </w:r>
      <w:r>
        <w:rPr>
          <w:rtl w:val="true"/>
        </w:rPr>
        <w:t>ما عرض له الموت بعد العمارة</w:t>
      </w:r>
      <w:bookmarkEnd w:id="3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کانت العمارة أصلیّة،فهی مال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w:t>
      </w:r>
      <w:bookmarkStart w:id="36" w:name="pg19861_202300"/>
    </w:p>
    <w:p>
      <w:pPr>
        <w:pStyle w:val="BookText"/>
        <w:rPr/>
      </w:pPr>
      <w:bookmarkEnd w:id="36"/>
      <w:r>
        <w:rPr>
          <w:rFonts w:ascii="IRNazanin" w:hAnsi="IRNazanin" w:eastAsia="IRNazanin"/>
          <w:color w:val="111111"/>
          <w:sz w:val="28"/>
          <w:sz w:val="28"/>
          <w:szCs w:val="28"/>
          <w:rtl w:val="true"/>
          <w:lang w:bidi="fa-IR"/>
        </w:rPr>
        <w:t xml:space="preserve">العمارة من معمِّر،ففی بقائها علی ملک معمِّرها،أو خروجها عنه و صیرورتها ملکاً لمن عمّرها ثانیاً،خلاف معروف فی کتاب إحیاء الموات </w:t>
      </w:r>
      <w:r>
        <w:rPr>
          <w:rStyle w:val="FootnoteAnchor"/>
          <w:rtl w:val="true"/>
        </w:rPr>
        <w:footnoteReference w:id="56"/>
      </w:r>
      <w:r>
        <w:rPr>
          <w:rFonts w:ascii="IRNazanin" w:hAnsi="IRNazanin" w:eastAsia="IRNazanin"/>
          <w:color w:val="111111"/>
          <w:sz w:val="28"/>
          <w:sz w:val="28"/>
          <w:szCs w:val="28"/>
          <w:rtl w:val="true"/>
          <w:lang w:bidi="fa-IR"/>
        </w:rPr>
        <w:t xml:space="preserve">منشؤه اختلاف الأخبار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 w:name="__RefHeading___Toc5118861_2314609296"/>
      <w:bookmarkStart w:id="38" w:name="_Toc15"/>
      <w:bookmarkEnd w:id="37"/>
      <w:r>
        <w:rPr>
          <w:rtl w:val="true"/>
        </w:rPr>
        <w:t>[</w:t>
      </w:r>
      <w:r>
        <w:rPr>
          <w:rtl w:val="true"/>
        </w:rPr>
        <w:t>رجوع إلی أحکام القسم الثالث</w:t>
      </w:r>
      <w:r>
        <w:rPr>
          <w:rtl w:val="true"/>
        </w:rPr>
        <w:t>]</w:t>
      </w:r>
      <w:bookmarkEnd w:id="38"/>
    </w:p>
    <w:p>
      <w:pPr>
        <w:pStyle w:val="BookText"/>
        <w:rPr/>
      </w:pPr>
      <w:r>
        <w:rPr>
          <w:rFonts w:ascii="IRNazanin" w:hAnsi="IRNazanin" w:eastAsia="IRNazanin"/>
          <w:color w:val="111111"/>
          <w:sz w:val="28"/>
          <w:sz w:val="28"/>
          <w:szCs w:val="28"/>
          <w:rtl w:val="true"/>
          <w:lang w:bidi="fa-IR"/>
        </w:rPr>
        <w:t xml:space="preserve">ثمّ القسم الثالث،إمّا أن تکون العمارة فیه </w:t>
      </w:r>
      <w:r>
        <w:rPr>
          <w:rStyle w:val="FootnoteAnchor"/>
          <w:rtl w:val="true"/>
        </w:rPr>
        <w:footnoteReference w:id="58"/>
      </w:r>
      <w:r>
        <w:rPr>
          <w:rFonts w:ascii="IRNazanin" w:hAnsi="IRNazanin" w:eastAsia="IRNazanin"/>
          <w:color w:val="111111"/>
          <w:sz w:val="28"/>
          <w:sz w:val="28"/>
          <w:szCs w:val="28"/>
          <w:rtl w:val="true"/>
          <w:lang w:bidi="fa-IR"/>
        </w:rPr>
        <w:t>من المسلمین،أو من الکفّار</w:t>
      </w:r>
      <w:r>
        <w:rPr>
          <w:rFonts w:eastAsia="IRNazanin" w:cs="IRNazanin"/>
          <w:color w:val="111111"/>
          <w:sz w:val="28"/>
          <w:szCs w:val="28"/>
          <w:rtl w:val="true"/>
          <w:lang w:bidi="fa-IR"/>
        </w:rPr>
        <w:t>.</w:t>
      </w:r>
    </w:p>
    <w:p>
      <w:pPr>
        <w:pStyle w:val="Heading6"/>
        <w:numPr>
          <w:ilvl w:val="5"/>
          <w:numId w:val="1"/>
        </w:numPr>
        <w:rPr/>
      </w:pPr>
      <w:bookmarkStart w:id="39" w:name="__RefHeading___Toc5118863_2314609296"/>
      <w:bookmarkStart w:id="40" w:name="_Toc16"/>
      <w:bookmarkEnd w:id="39"/>
      <w:r>
        <w:rPr>
          <w:rtl w:val="true"/>
        </w:rPr>
        <w:t>[</w:t>
      </w:r>
      <w:r>
        <w:rPr>
          <w:rtl w:val="true"/>
        </w:rPr>
        <w:t>لو کانت العمارة فیها من المسلمین</w:t>
      </w:r>
      <w:r>
        <w:rPr>
          <w:rtl w:val="true"/>
        </w:rPr>
        <w:t>]</w:t>
      </w:r>
      <w:bookmarkEnd w:id="40"/>
    </w:p>
    <w:p>
      <w:pPr>
        <w:pStyle w:val="BookText"/>
        <w:rPr/>
      </w:pPr>
      <w:r>
        <w:rPr>
          <w:rFonts w:ascii="IRNazanin" w:hAnsi="IRNazanin" w:eastAsia="IRNazanin"/>
          <w:color w:val="111111"/>
          <w:sz w:val="28"/>
          <w:sz w:val="28"/>
          <w:szCs w:val="28"/>
          <w:rtl w:val="true"/>
          <w:lang w:bidi="fa-IR"/>
        </w:rPr>
        <w:t xml:space="preserve">فإن کان </w:t>
      </w:r>
      <w:r>
        <w:rPr>
          <w:rStyle w:val="FootnoteAnchor"/>
          <w:rtl w:val="true"/>
        </w:rPr>
        <w:footnoteReference w:id="59"/>
      </w:r>
      <w:r>
        <w:rPr>
          <w:rFonts w:ascii="IRNazanin" w:hAnsi="IRNazanin" w:eastAsia="IRNazanin"/>
          <w:color w:val="111111"/>
          <w:sz w:val="28"/>
          <w:sz w:val="28"/>
          <w:szCs w:val="28"/>
          <w:rtl w:val="true"/>
          <w:lang w:bidi="fa-IR"/>
        </w:rPr>
        <w:t>من المسلمین فملکهم لا یزول إلّا بناقل أو بطروّ الخراب علی أحد القولین</w:t>
      </w:r>
      <w:r>
        <w:rPr>
          <w:rFonts w:eastAsia="IRNazanin" w:cs="IRNazanin"/>
          <w:color w:val="111111"/>
          <w:sz w:val="28"/>
          <w:szCs w:val="28"/>
          <w:rtl w:val="true"/>
          <w:lang w:bidi="fa-IR"/>
        </w:rPr>
        <w:t>.</w:t>
      </w:r>
    </w:p>
    <w:p>
      <w:pPr>
        <w:pStyle w:val="Heading6"/>
        <w:numPr>
          <w:ilvl w:val="5"/>
          <w:numId w:val="1"/>
        </w:numPr>
        <w:rPr/>
      </w:pPr>
      <w:bookmarkStart w:id="41" w:name="__RefHeading___Toc5118865_2314609296"/>
      <w:bookmarkStart w:id="42" w:name="_Toc17"/>
      <w:bookmarkEnd w:id="41"/>
      <w:r>
        <w:rPr>
          <w:rtl w:val="true"/>
        </w:rPr>
        <w:t>و إن کان من الکفّار،</w:t>
      </w:r>
      <w:bookmarkEnd w:id="42"/>
    </w:p>
    <w:p>
      <w:pPr>
        <w:pStyle w:val="BookText"/>
        <w:rPr/>
      </w:pPr>
      <w:r>
        <w:rPr>
          <w:rFonts w:ascii="IRNazanin" w:hAnsi="IRNazanin" w:eastAsia="IRNazanin"/>
          <w:color w:val="111111"/>
          <w:sz w:val="28"/>
          <w:sz w:val="28"/>
          <w:szCs w:val="28"/>
          <w:rtl w:val="true"/>
          <w:lang w:bidi="fa-IR"/>
        </w:rPr>
        <w:t>فکذلک إن کان فی دار الإسلام و قلنا بعدم اعتبار الإسلام،و إن اعتبرنا الإسلام،کان باقیاً علی ملک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دار الکفر،فملکها یزول بما یزول به ملک المسلم،و بالاغتنام،کسائر أموالهم</w:t>
      </w:r>
      <w:r>
        <w:rPr>
          <w:rFonts w:eastAsia="IRNazanin" w:cs="IRNazanin"/>
          <w:color w:val="111111"/>
          <w:sz w:val="28"/>
          <w:szCs w:val="28"/>
          <w:rtl w:val="true"/>
          <w:lang w:bidi="fa-IR"/>
        </w:rPr>
        <w:t>.</w:t>
      </w:r>
    </w:p>
    <w:p>
      <w:pPr>
        <w:pStyle w:val="Heading6"/>
        <w:numPr>
          <w:ilvl w:val="5"/>
          <w:numId w:val="1"/>
        </w:numPr>
        <w:rPr/>
      </w:pPr>
      <w:bookmarkStart w:id="43" w:name="__RefHeading___Toc5118867_2314609296"/>
      <w:bookmarkStart w:id="44" w:name="_Toc18"/>
      <w:bookmarkEnd w:id="43"/>
      <w:r>
        <w:rPr>
          <w:rtl w:val="true"/>
        </w:rPr>
        <w:t>ثمّ ما ملکه الکافر</w:t>
      </w:r>
      <w:bookmarkEnd w:id="44"/>
    </w:p>
    <w:p>
      <w:pPr>
        <w:pStyle w:val="BookText"/>
        <w:rPr/>
      </w:pPr>
      <w:r>
        <w:rPr>
          <w:rFonts w:ascii="IRNazanin" w:hAnsi="IRNazanin" w:eastAsia="IRNazanin"/>
          <w:color w:val="111111"/>
          <w:sz w:val="28"/>
          <w:sz w:val="28"/>
          <w:szCs w:val="28"/>
          <w:rtl w:val="true"/>
          <w:lang w:bidi="fa-IR"/>
        </w:rPr>
        <w:t xml:space="preserve">ثمّ ما ملکه الکافر </w:t>
      </w:r>
      <w:r>
        <w:rPr>
          <w:rStyle w:val="FootnoteAnchor"/>
          <w:rtl w:val="true"/>
        </w:rPr>
        <w:footnoteReference w:id="60"/>
      </w:r>
      <w:r>
        <w:rPr>
          <w:rFonts w:ascii="IRNazanin" w:hAnsi="IRNazanin" w:eastAsia="IRNazanin"/>
          <w:color w:val="111111"/>
          <w:sz w:val="28"/>
          <w:sz w:val="28"/>
          <w:szCs w:val="28"/>
          <w:rtl w:val="true"/>
          <w:lang w:bidi="fa-IR"/>
        </w:rPr>
        <w:t>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یُسلم علیه طوعاً،فیبقی علی ملکه کسائر أملاکه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لا یسلم علیه طوعاً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بقی یده علیه کافراً،فهو </w:t>
      </w:r>
      <w:r>
        <w:rPr>
          <w:rStyle w:val="FootnoteAnchor"/>
          <w:rtl w:val="true"/>
        </w:rPr>
        <w:footnoteReference w:id="61"/>
      </w:r>
      <w:r>
        <w:rPr>
          <w:rFonts w:ascii="IRNazanin" w:hAnsi="IRNazanin" w:eastAsia="IRNazanin"/>
          <w:color w:val="111111"/>
          <w:sz w:val="28"/>
          <w:sz w:val="28"/>
          <w:szCs w:val="28"/>
          <w:rtl w:val="true"/>
          <w:lang w:bidi="fa-IR"/>
        </w:rPr>
        <w:t>أیضاً کسائر أملاکه تحت یده</w:t>
      </w:r>
      <w:r>
        <w:rPr>
          <w:rFonts w:eastAsia="IRNazanin" w:cs="IRNazanin"/>
          <w:color w:val="111111"/>
          <w:sz w:val="28"/>
          <w:szCs w:val="28"/>
          <w:rtl w:val="true"/>
          <w:lang w:bidi="fa-IR"/>
        </w:rPr>
        <w:t>.</w:t>
      </w:r>
      <w:bookmarkStart w:id="45" w:name="pg19861_202301"/>
    </w:p>
    <w:p>
      <w:pPr>
        <w:pStyle w:val="BookText"/>
        <w:rPr/>
      </w:pPr>
      <w:bookmarkEnd w:id="45"/>
      <w:r>
        <w:rPr>
          <w:rFonts w:ascii="IRNazanin" w:hAnsi="IRNazanin" w:eastAsia="IRNazanin"/>
          <w:color w:val="111111"/>
          <w:sz w:val="28"/>
          <w:sz w:val="28"/>
          <w:szCs w:val="28"/>
          <w:rtl w:val="true"/>
          <w:lang w:bidi="fa-IR"/>
        </w:rPr>
        <w:t xml:space="preserve">و إن ارتفعت یده عنها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فإمّا أن یکون بانجلاء المالک عنها و تخلیتها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بموت أهلها و عدم الوارث،فیصیر ملکاً للإمام علیه السلام،و یکون من الأنفال التی لم یوجف علیها بخیل و لا رکاب</w:t>
      </w:r>
      <w:r>
        <w:rPr>
          <w:rFonts w:eastAsia="IRNazanin" w:cs="IRNazanin"/>
          <w:color w:val="111111"/>
          <w:sz w:val="28"/>
          <w:szCs w:val="28"/>
          <w:rtl w:val="true"/>
          <w:lang w:bidi="fa-IR"/>
        </w:rPr>
        <w:t>.</w:t>
      </w:r>
    </w:p>
    <w:p>
      <w:pPr>
        <w:pStyle w:val="Heading6"/>
        <w:numPr>
          <w:ilvl w:val="5"/>
          <w:numId w:val="1"/>
        </w:numPr>
        <w:rPr/>
      </w:pPr>
      <w:bookmarkStart w:id="46" w:name="__RefHeading___Toc5118869_2314609296"/>
      <w:bookmarkStart w:id="47" w:name="_Toc19"/>
      <w:bookmarkEnd w:id="46"/>
      <w:r>
        <w:rPr>
          <w:rtl w:val="true"/>
        </w:rPr>
        <w:t>[</w:t>
      </w:r>
      <w:r>
        <w:rPr>
          <w:rtl w:val="true"/>
        </w:rPr>
        <w:t>الأراضی المفتوحة عنوة ملک للمسلمین</w:t>
      </w:r>
      <w:r>
        <w:rPr>
          <w:rtl w:val="true"/>
        </w:rPr>
        <w:t>]</w:t>
      </w:r>
      <w:bookmarkEnd w:id="47"/>
    </w:p>
    <w:p>
      <w:pPr>
        <w:pStyle w:val="BookText"/>
        <w:rPr/>
      </w:pPr>
      <w:r>
        <w:rPr>
          <w:rFonts w:ascii="IRNazanin" w:hAnsi="IRNazanin" w:eastAsia="IRNazanin"/>
          <w:color w:val="111111"/>
          <w:sz w:val="28"/>
          <w:sz w:val="28"/>
          <w:szCs w:val="28"/>
          <w:rtl w:val="true"/>
          <w:lang w:bidi="fa-IR"/>
        </w:rPr>
        <w:t xml:space="preserve">و إن رفعت یده عنها قهراً و عنوة،فهی کسائر ما لا یُنقل </w:t>
      </w:r>
      <w:r>
        <w:rPr>
          <w:rStyle w:val="FootnoteAnchor"/>
          <w:rtl w:val="true"/>
        </w:rPr>
        <w:footnoteReference w:id="63"/>
      </w:r>
      <w:r>
        <w:rPr>
          <w:rFonts w:ascii="IRNazanin" w:hAnsi="IRNazanin" w:eastAsia="IRNazanin"/>
          <w:color w:val="111111"/>
          <w:sz w:val="28"/>
          <w:sz w:val="28"/>
          <w:szCs w:val="28"/>
          <w:rtl w:val="true"/>
          <w:lang w:bidi="fa-IR"/>
        </w:rPr>
        <w:t xml:space="preserve">من الغنیمة کالنخل و الأشجار و البنیان للمسلمین کافّة إجماعاً،علی ما حکاه غیر واحد،کالخلاف </w:t>
      </w:r>
      <w:r>
        <w:rPr>
          <w:rStyle w:val="FootnoteAnchor"/>
          <w:rtl w:val="true"/>
        </w:rPr>
        <w:footnoteReference w:id="64"/>
      </w:r>
      <w:r>
        <w:rPr>
          <w:rFonts w:ascii="IRNazanin" w:hAnsi="IRNazanin" w:eastAsia="IRNazanin"/>
          <w:color w:val="111111"/>
          <w:sz w:val="28"/>
          <w:sz w:val="28"/>
          <w:szCs w:val="28"/>
          <w:rtl w:val="true"/>
          <w:lang w:bidi="fa-IR"/>
        </w:rPr>
        <w:t xml:space="preserve">و التذکرة </w:t>
      </w:r>
      <w:r>
        <w:rPr>
          <w:rStyle w:val="FootnoteAnchor"/>
          <w:rtl w:val="true"/>
        </w:rPr>
        <w:footnoteReference w:id="65"/>
      </w:r>
      <w:r>
        <w:rPr>
          <w:rFonts w:ascii="IRNazanin" w:hAnsi="IRNazanin" w:eastAsia="IRNazanin"/>
          <w:color w:val="111111"/>
          <w:sz w:val="28"/>
          <w:sz w:val="28"/>
          <w:szCs w:val="28"/>
          <w:rtl w:val="true"/>
          <w:lang w:bidi="fa-IR"/>
        </w:rPr>
        <w:t xml:space="preserve">و غیرهما </w:t>
      </w:r>
      <w:r>
        <w:rPr>
          <w:rStyle w:val="FootnoteAnchor"/>
          <w:rtl w:val="true"/>
        </w:rPr>
        <w:footnoteReference w:id="66"/>
      </w:r>
      <w:r>
        <w:rPr>
          <w:rFonts w:ascii="IRNazanin" w:hAnsi="IRNazanin" w:eastAsia="IRNazanin"/>
          <w:color w:val="111111"/>
          <w:sz w:val="28"/>
          <w:sz w:val="28"/>
          <w:szCs w:val="28"/>
          <w:rtl w:val="true"/>
          <w:lang w:bidi="fa-IR"/>
        </w:rPr>
        <w:t>،</w:t>
      </w:r>
    </w:p>
    <w:p>
      <w:pPr>
        <w:pStyle w:val="Heading6"/>
        <w:numPr>
          <w:ilvl w:val="5"/>
          <w:numId w:val="1"/>
        </w:numPr>
        <w:rPr/>
      </w:pPr>
      <w:bookmarkStart w:id="48" w:name="__RefHeading___Toc5118871_2314609296"/>
      <w:bookmarkStart w:id="49" w:name="_Toc20"/>
      <w:bookmarkEnd w:id="48"/>
      <w:r>
        <w:rPr>
          <w:rtl w:val="true"/>
        </w:rPr>
        <w:t>و النصوصُ به مستفیضة</w:t>
      </w:r>
      <w:r>
        <w:rPr>
          <w:rtl w:val="true"/>
        </w:rPr>
        <w:t>:</w:t>
      </w:r>
      <w:bookmarkEnd w:id="49"/>
    </w:p>
    <w:p>
      <w:pPr>
        <w:pStyle w:val="Heading6"/>
        <w:numPr>
          <w:ilvl w:val="5"/>
          <w:numId w:val="1"/>
        </w:numPr>
        <w:rPr/>
      </w:pPr>
      <w:bookmarkStart w:id="50" w:name="__RefHeading___Toc5118873_2314609296"/>
      <w:bookmarkStart w:id="51" w:name="_Toc21"/>
      <w:bookmarkEnd w:id="50"/>
      <w:r>
        <w:rPr>
          <w:rtl w:val="true"/>
        </w:rPr>
        <w:t>ففی روایة أبی بردة</w:t>
      </w:r>
      <w:bookmarkEnd w:id="5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المسئول فیها عن بیع أرض الخراج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أرض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یبیعها الذی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یصنع بخراج المسلمین ماذا؟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بأس،اشتر </w:t>
      </w:r>
      <w:r>
        <w:rPr>
          <w:rStyle w:val="FootnoteAnchor"/>
          <w:rtl w:val="true"/>
        </w:rPr>
        <w:footnoteReference w:id="67"/>
      </w:r>
      <w:r>
        <w:rPr>
          <w:rFonts w:ascii="IRNazanin" w:hAnsi="IRNazanin" w:eastAsia="IRNazanin"/>
          <w:color w:val="111111"/>
          <w:sz w:val="28"/>
          <w:sz w:val="28"/>
          <w:szCs w:val="28"/>
          <w:rtl w:val="true"/>
          <w:lang w:bidi="fa-IR"/>
        </w:rPr>
        <w:t>حقّه منها،و یحوّل حقّ المسلمین علیه،و لعلّه یکون أقوی علیها و أملی بخراجهم منه</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bookmarkStart w:id="52" w:name="pg19861_202302"/>
    </w:p>
    <w:p>
      <w:pPr>
        <w:pStyle w:val="Heading6"/>
        <w:numPr>
          <w:ilvl w:val="5"/>
          <w:numId w:val="1"/>
        </w:numPr>
        <w:rPr/>
      </w:pPr>
      <w:bookmarkStart w:id="53" w:name="__RefHeading___Toc5118875_2314609296"/>
      <w:bookmarkStart w:id="54" w:name="_Toc22"/>
      <w:bookmarkEnd w:id="52"/>
      <w:bookmarkEnd w:id="53"/>
      <w:r>
        <w:rPr>
          <w:rtl w:val="true"/>
        </w:rPr>
        <w:t>و فی مرسلة حمّاد</w:t>
      </w:r>
      <w:bookmarkEnd w:id="54"/>
    </w:p>
    <w:p>
      <w:pPr>
        <w:pStyle w:val="BookText"/>
        <w:rPr/>
      </w:pPr>
      <w:r>
        <w:rPr>
          <w:rFonts w:ascii="IRNazanin" w:hAnsi="IRNazanin" w:eastAsia="IRNazanin"/>
          <w:color w:val="111111"/>
          <w:sz w:val="28"/>
          <w:sz w:val="28"/>
          <w:szCs w:val="28"/>
          <w:rtl w:val="true"/>
          <w:lang w:bidi="fa-IR"/>
        </w:rPr>
        <w:t>الطویلة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لمن قاتل شیء من الأرضین و ما غلبوا علیه </w:t>
      </w:r>
      <w:r>
        <w:rPr>
          <w:rStyle w:val="FootnoteAnchor"/>
          <w:rtl w:val="true"/>
        </w:rPr>
        <w:footnoteReference w:id="69"/>
      </w:r>
      <w:r>
        <w:rPr>
          <w:rFonts w:ascii="Amiri" w:hAnsi="Amiri" w:eastAsia="Amiri" w:cs="Amiri"/>
          <w:color w:val="111111"/>
          <w:sz w:val="28"/>
          <w:sz w:val="28"/>
          <w:szCs w:val="28"/>
          <w:rtl w:val="true"/>
          <w:lang w:bidi="ar-SA"/>
        </w:rPr>
        <w:t xml:space="preserve">،إلّا ما حوی </w:t>
      </w:r>
      <w:r>
        <w:rPr>
          <w:rStyle w:val="FootnoteAnchor"/>
          <w:rtl w:val="true"/>
        </w:rPr>
        <w:footnoteReference w:id="70"/>
      </w:r>
      <w:r>
        <w:rPr>
          <w:rFonts w:ascii="IRNazanin" w:hAnsi="IRNazanin" w:eastAsia="IRNazanin"/>
          <w:color w:val="111111"/>
          <w:sz w:val="28"/>
          <w:sz w:val="28"/>
          <w:szCs w:val="28"/>
          <w:rtl w:val="true"/>
          <w:lang w:bidi="fa-IR"/>
        </w:rPr>
        <w:t>العسکر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التی أُخذت بخیل و رکاب فهی موقوفة متروکة فی ید من یعمرها و یحییها و یقوم علیها،علی ما صالحهم الوالی علی قدر طاقتهم من 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النصف أو الثلث أو الثلثین،علی قدر ما یکون لهم صالحاً و لا یضرّ بهم </w:t>
      </w:r>
      <w:r>
        <w:rPr>
          <w:rStyle w:val="FootnoteAnchor"/>
          <w:rtl w:val="true"/>
        </w:rPr>
        <w:footnoteReference w:id="71"/>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فیؤخذ ما بقی بعد </w:t>
      </w:r>
      <w:r>
        <w:rPr>
          <w:rStyle w:val="FootnoteAnchor"/>
          <w:rtl w:val="true"/>
        </w:rPr>
        <w:footnoteReference w:id="72"/>
      </w:r>
      <w:r>
        <w:rPr>
          <w:rFonts w:ascii="IRNazanin" w:hAnsi="IRNazanin" w:eastAsia="IRNazanin"/>
          <w:color w:val="111111"/>
          <w:sz w:val="28"/>
          <w:sz w:val="28"/>
          <w:szCs w:val="28"/>
          <w:rtl w:val="true"/>
          <w:lang w:bidi="fa-IR"/>
        </w:rPr>
        <w:t>العشر،فیقسم بین الوالی و بین شرکائه الذین هم عمّال الأرض و أکَرَتها،فیدفع إلیهم أنصباءهم علی قدر ما صالحهم علیه و یأخذ الباقی فیکون ذلک أرزاق أعوانه علی دین اللّٰه،و فی مصلحة ما ینوبه،من تقویة الإسلام و تقویة الدین فی وجوه الجهاد،و غیر ذلک ممّا فیه مصلحة العامّة،لیس لنفسه من ذلک قلیل و لا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 w:name="__RefHeading___Toc5118877_2314609296"/>
      <w:bookmarkStart w:id="56" w:name="_Toc23"/>
      <w:bookmarkEnd w:id="55"/>
      <w:r>
        <w:rPr>
          <w:rtl w:val="true"/>
        </w:rPr>
        <w:t>و فی صحیحة الحلبی،</w:t>
      </w:r>
      <w:bookmarkEnd w:id="5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علیه السلام عن السواد ما منزلته؟قال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لجمیع المسلمین،لمن هو الیوم،و لمن یدخل </w:t>
      </w:r>
      <w:r>
        <w:rPr>
          <w:rStyle w:val="FootnoteAnchor"/>
          <w:rtl w:val="true"/>
        </w:rPr>
        <w:footnoteReference w:id="74"/>
      </w:r>
      <w:r>
        <w:rPr>
          <w:rFonts w:ascii="IRNazanin" w:hAnsi="IRNazanin" w:eastAsia="IRNazanin"/>
          <w:color w:val="111111"/>
          <w:sz w:val="28"/>
          <w:sz w:val="28"/>
          <w:szCs w:val="28"/>
          <w:rtl w:val="true"/>
          <w:lang w:bidi="fa-IR"/>
        </w:rPr>
        <w:t>فی</w:t>
      </w:r>
      <w:bookmarkStart w:id="57" w:name="pg19861_202303"/>
    </w:p>
    <w:p>
      <w:pPr>
        <w:pStyle w:val="BookText"/>
        <w:rPr/>
      </w:pPr>
      <w:bookmarkEnd w:id="57"/>
      <w:r>
        <w:rPr>
          <w:rFonts w:ascii="IRNazanin" w:hAnsi="IRNazanin" w:eastAsia="IRNazanin"/>
          <w:color w:val="111111"/>
          <w:sz w:val="28"/>
          <w:sz w:val="28"/>
          <w:szCs w:val="28"/>
          <w:rtl w:val="true"/>
          <w:lang w:bidi="fa-IR"/>
        </w:rPr>
        <w:t>الإسلام بعد الیوم،و لمن لم یخلق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نشتریه من الدهاقین؟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یصلح،إلّا أن تشتریها منهم علی أن تصیّرها للمسلمین،فإن شاء ولیّ الأمر أن یأخذها أخذها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أخذها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 رأس ماله،و له ما أکل من غلّتها بما عمل</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 w:name="__RefHeading___Toc5118879_2314609296"/>
      <w:bookmarkStart w:id="59" w:name="_Toc24"/>
      <w:bookmarkEnd w:id="58"/>
      <w:r>
        <w:rPr>
          <w:rtl w:val="true"/>
        </w:rPr>
        <w:t>و روایة ابن شریح</w:t>
      </w:r>
      <w:r>
        <w:rPr>
          <w:rtl w:val="true"/>
        </w:rPr>
        <w:t>:</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علیه السلام عن شراء الأرض من أرض الخراج،فکرهه و </w:t>
      </w:r>
      <w:r>
        <w:rPr>
          <w:rStyle w:val="FootnoteAnchor"/>
          <w:rtl w:val="true"/>
        </w:rPr>
        <w:footnoteReference w:id="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أرض الخراج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یشتریها الرجل و علیه خراجها؟فقال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بأس،إلّا أن یستحیی من عیب ذلک</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 w:name="__RefHeading___Toc5118881_2314609296"/>
      <w:bookmarkStart w:id="61" w:name="_Toc25"/>
      <w:bookmarkEnd w:id="60"/>
      <w:r>
        <w:rPr>
          <w:rtl w:val="true"/>
        </w:rPr>
        <w:t>و روایة إسماعیل بن الفضل الهاشمی</w:t>
      </w:r>
      <w:bookmarkEnd w:id="61"/>
    </w:p>
    <w:p>
      <w:pPr>
        <w:pStyle w:val="BookText"/>
        <w:rPr/>
      </w:pPr>
      <w:r>
        <w:rPr>
          <w:rFonts w:ascii="IRNazanin" w:hAnsi="IRNazanin" w:eastAsia="IRNazanin"/>
          <w:color w:val="111111"/>
          <w:sz w:val="28"/>
          <w:sz w:val="28"/>
          <w:szCs w:val="28"/>
          <w:rtl w:val="true"/>
          <w:lang w:bidi="fa-IR"/>
        </w:rPr>
        <w:t>،ففیها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رجل اشتری أرضاً من أرض الخراج،فبنی بها أو لم یبنِ،غیر أنّ أُناساً من أهل الذمّة نزلوها،له أن یأخذ منهم اجرة البیوت إذا أدّوا جزیة رؤوسهم؟قال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یشارطهم،فما أخذ بعد الشرط فهو حلال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 w:name="__RefHeading___Toc5118883_2314609296"/>
      <w:bookmarkStart w:id="63" w:name="_Toc26"/>
      <w:bookmarkEnd w:id="62"/>
      <w:r>
        <w:rPr>
          <w:rtl w:val="true"/>
        </w:rPr>
        <w:t>و فی خبر أبی الربیع</w:t>
      </w:r>
      <w:r>
        <w:rPr>
          <w:rtl w:val="true"/>
        </w:rPr>
        <w:t>:</w:t>
      </w:r>
      <w:bookmarkEnd w:id="6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تشتر من أرض السواد شیئاً،إلّا من </w:t>
      </w:r>
      <w:r>
        <w:rPr>
          <w:rStyle w:val="FootnoteAnchor"/>
          <w:rtl w:val="true"/>
        </w:rPr>
        <w:footnoteReference w:id="80"/>
      </w:r>
      <w:r>
        <w:rPr>
          <w:rFonts w:ascii="IRNazanin" w:hAnsi="IRNazanin" w:eastAsia="IRNazanin"/>
          <w:color w:val="111111"/>
          <w:sz w:val="28"/>
          <w:sz w:val="28"/>
          <w:szCs w:val="28"/>
          <w:rtl w:val="true"/>
          <w:lang w:bidi="fa-IR"/>
        </w:rPr>
        <w:t>کانت له ذمّة فإنّما هی فیء للمسلمین</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bookmarkStart w:id="64" w:name="pg19861_202304"/>
    </w:p>
    <w:p>
      <w:pPr>
        <w:pStyle w:val="BookText"/>
        <w:rPr/>
      </w:pPr>
      <w:bookmarkEnd w:id="64"/>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 w:name="__RefHeading___Toc5118885_2314609296"/>
      <w:bookmarkStart w:id="66" w:name="_Toc27"/>
      <w:bookmarkEnd w:id="65"/>
      <w:r>
        <w:rPr>
          <w:rtl w:val="true"/>
        </w:rPr>
        <w:t>و ظاهره</w:t>
      </w:r>
      <w:bookmarkEnd w:id="66"/>
    </w:p>
    <w:p>
      <w:pPr>
        <w:pStyle w:val="BookText"/>
        <w:rPr/>
      </w:pPr>
      <w:r>
        <w:rPr>
          <w:rFonts w:ascii="IRNazanin" w:hAnsi="IRNazanin" w:eastAsia="IRNazanin"/>
          <w:color w:val="111111"/>
          <w:sz w:val="28"/>
          <w:sz w:val="28"/>
          <w:szCs w:val="28"/>
          <w:rtl w:val="true"/>
          <w:lang w:bidi="fa-IR"/>
        </w:rPr>
        <w:t xml:space="preserve">و ظاهره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بیعها</w:t>
      </w:r>
    </w:p>
    <w:p>
      <w:pPr>
        <w:pStyle w:val="BookText"/>
        <w:rPr/>
      </w:pPr>
      <w:r>
        <w:rPr>
          <w:rFonts w:ascii="IRNazanin" w:hAnsi="IRNazanin" w:eastAsia="IRNazanin"/>
          <w:color w:val="111111"/>
          <w:sz w:val="28"/>
          <w:sz w:val="28"/>
          <w:szCs w:val="28"/>
          <w:rtl w:val="true"/>
          <w:lang w:bidi="fa-IR"/>
        </w:rPr>
        <w:t>حتّی تبعاً للآثار المملوکة فیها علی أن تکون جزءاً من المبیع،فیدخل فی ملک المشتری</w:t>
      </w:r>
      <w:r>
        <w:rPr>
          <w:rFonts w:eastAsia="IRNazanin" w:cs="IRNazanin"/>
          <w:color w:val="111111"/>
          <w:sz w:val="28"/>
          <w:szCs w:val="28"/>
          <w:rtl w:val="true"/>
          <w:lang w:bidi="fa-IR"/>
        </w:rPr>
        <w:t>.</w:t>
      </w:r>
    </w:p>
    <w:p>
      <w:pPr>
        <w:pStyle w:val="Heading6"/>
        <w:numPr>
          <w:ilvl w:val="5"/>
          <w:numId w:val="1"/>
        </w:numPr>
        <w:rPr/>
      </w:pPr>
      <w:bookmarkStart w:id="67" w:name="__RefHeading___Toc5118887_2314609296"/>
      <w:bookmarkStart w:id="68" w:name="_Toc28"/>
      <w:bookmarkEnd w:id="67"/>
      <w:r>
        <w:rPr>
          <w:rtl w:val="true"/>
        </w:rPr>
        <w:t>[</w:t>
      </w:r>
      <w:r>
        <w:rPr>
          <w:rtl w:val="true"/>
        </w:rPr>
        <w:t>ثبوت حق الأولویة فیها للمشتری</w:t>
      </w:r>
      <w:r>
        <w:rPr>
          <w:rtl w:val="true"/>
        </w:rPr>
        <w:t>]</w:t>
      </w:r>
      <w:bookmarkEnd w:id="68"/>
    </w:p>
    <w:p>
      <w:pPr>
        <w:pStyle w:val="BookText"/>
        <w:rPr/>
      </w:pPr>
      <w:r>
        <w:rPr>
          <w:rFonts w:ascii="IRNazanin" w:hAnsi="IRNazanin" w:eastAsia="IRNazanin"/>
          <w:color w:val="111111"/>
          <w:sz w:val="28"/>
          <w:sz w:val="28"/>
          <w:szCs w:val="28"/>
          <w:rtl w:val="true"/>
          <w:lang w:bidi="fa-IR"/>
        </w:rPr>
        <w:t>نعم،یکون للمشتری علی وجه کان للبائع،أعنی مجرّد الأولویّة و عدم جواز مزاحمته إذا کان التصرّف و إحداث تلک الآثار بإذن الإمام علیه السلام أو بإجازته و لو لعموم الشیعة،کما إذا کان التصرّف بتقبیل السلطان الجائر أو بإذن الحاکم الشرعی،بناءً علی عموم ولایته لأُمور المسلمین و نیابته عن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w:t>
      </w:r>
    </w:p>
    <w:p>
      <w:pPr>
        <w:pStyle w:val="Heading6"/>
        <w:numPr>
          <w:ilvl w:val="5"/>
          <w:numId w:val="1"/>
        </w:numPr>
        <w:rPr/>
      </w:pPr>
      <w:bookmarkStart w:id="69" w:name="__RefHeading___Toc5118889_2314609296"/>
      <w:bookmarkStart w:id="70" w:name="_Toc29"/>
      <w:bookmarkEnd w:id="69"/>
      <w:r>
        <w:rPr>
          <w:rtl w:val="true"/>
        </w:rPr>
        <w:t>ظاهر عبارة المبسوط إطلاق المنع عن التصرّف فیها،</w:t>
      </w:r>
      <w:bookmarkEnd w:id="7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یجوز التصرّف فیها </w:t>
      </w:r>
      <w:r>
        <w:rPr>
          <w:rStyle w:val="FootnoteAnchor"/>
          <w:rtl w:val="true"/>
        </w:rPr>
        <w:footnoteReference w:id="84"/>
      </w:r>
      <w:r>
        <w:rPr>
          <w:rFonts w:ascii="IRNazanin" w:hAnsi="IRNazanin" w:eastAsia="IRNazanin"/>
          <w:color w:val="111111"/>
          <w:sz w:val="28"/>
          <w:sz w:val="28"/>
          <w:szCs w:val="28"/>
          <w:rtl w:val="true"/>
          <w:lang w:bidi="fa-IR"/>
        </w:rPr>
        <w:t xml:space="preserve">ببیعٍ و لا شراءٍ و لا هبةٍ و لا معاوضةٍ،و لا یصحّ أن یبنی دوراً و منازل و مساجد و سقایات،و لا </w:t>
      </w:r>
      <w:r>
        <w:rPr>
          <w:rStyle w:val="FootnoteAnchor"/>
          <w:rtl w:val="true"/>
        </w:rPr>
        <w:footnoteReference w:id="85"/>
      </w:r>
      <w:r>
        <w:rPr>
          <w:rFonts w:ascii="IRNazanin" w:hAnsi="IRNazanin" w:eastAsia="IRNazanin"/>
          <w:color w:val="111111"/>
          <w:sz w:val="28"/>
          <w:sz w:val="28"/>
          <w:szCs w:val="28"/>
          <w:rtl w:val="true"/>
          <w:lang w:bidi="fa-IR"/>
        </w:rPr>
        <w:t xml:space="preserve">غیر ذلک من أنواع التصرّف الذی یتبع الملک،و متی فعل شیئاً من ذلک کان التصرّف باطلاً،و هو علی حکم الأصل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حمل کلامه علی صورة عدم الإذن من الإمام علیه السلام حال</w:t>
      </w:r>
      <w:bookmarkStart w:id="71" w:name="pg19861_202305"/>
    </w:p>
    <w:p>
      <w:pPr>
        <w:pStyle w:val="BookText"/>
        <w:rPr/>
      </w:pPr>
      <w:bookmarkEnd w:id="71"/>
      <w:r>
        <w:rPr>
          <w:rFonts w:ascii="IRNazanin" w:hAnsi="IRNazanin" w:eastAsia="IRNazanin"/>
          <w:color w:val="111111"/>
          <w:sz w:val="28"/>
          <w:sz w:val="28"/>
          <w:szCs w:val="28"/>
          <w:rtl w:val="true"/>
          <w:lang w:bidi="fa-IR"/>
        </w:rPr>
        <w:t>حضوره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إرادة التصرّف بالبناء علی وجه الحیازة و التملّک</w:t>
      </w:r>
      <w:r>
        <w:rPr>
          <w:rFonts w:eastAsia="IRNazanin" w:cs="IRNazanin"/>
          <w:color w:val="111111"/>
          <w:sz w:val="28"/>
          <w:szCs w:val="28"/>
          <w:rtl w:val="true"/>
          <w:lang w:bidi="fa-IR"/>
        </w:rPr>
        <w:t>.</w:t>
      </w:r>
    </w:p>
    <w:p>
      <w:pPr>
        <w:pStyle w:val="Heading6"/>
        <w:numPr>
          <w:ilvl w:val="5"/>
          <w:numId w:val="1"/>
        </w:numPr>
        <w:rPr/>
      </w:pPr>
      <w:bookmarkStart w:id="72" w:name="__RefHeading___Toc5118891_2314609296"/>
      <w:bookmarkStart w:id="73" w:name="_Toc30"/>
      <w:bookmarkEnd w:id="72"/>
      <w:r>
        <w:rPr>
          <w:rtl w:val="true"/>
        </w:rPr>
        <w:t>[</w:t>
      </w:r>
      <w:r>
        <w:rPr>
          <w:rtl w:val="true"/>
        </w:rPr>
        <w:t>کلام الشهید فی الدروس</w:t>
      </w:r>
      <w:r>
        <w:rPr>
          <w:rtl w:val="true"/>
        </w:rPr>
        <w:t>]</w:t>
      </w:r>
      <w:bookmarkEnd w:id="73"/>
    </w:p>
    <w:p>
      <w:pPr>
        <w:pStyle w:val="BookText"/>
        <w:rPr/>
      </w:pPr>
      <w:r>
        <w:rPr>
          <w:rFonts w:ascii="IRNazanin" w:hAnsi="IRNazanin" w:eastAsia="IRNazanin"/>
          <w:color w:val="111111"/>
          <w:sz w:val="28"/>
          <w:sz w:val="28"/>
          <w:szCs w:val="28"/>
          <w:rtl w:val="true"/>
          <w:lang w:bidi="fa-IR"/>
        </w:rPr>
        <w:t>و قال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التصرّف فی المفتوحة عنوة إلّا بإذن الإمام،سواء کان بالبیع أو الوقف أو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حال الغیبة ینفذ ذلک،و أطلق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التصرّف فیها لا ینفذ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نبیع و نوقف تحجیرنا </w:t>
      </w:r>
      <w:r>
        <w:rPr>
          <w:rStyle w:val="FootnoteAnchor"/>
          <w:rtl w:val="true"/>
        </w:rPr>
        <w:footnoteReference w:id="87"/>
      </w:r>
      <w:r>
        <w:rPr>
          <w:rFonts w:ascii="IRNazanin" w:hAnsi="IRNazanin" w:eastAsia="IRNazanin"/>
          <w:color w:val="111111"/>
          <w:sz w:val="28"/>
          <w:sz w:val="28"/>
          <w:szCs w:val="28"/>
          <w:rtl w:val="true"/>
          <w:lang w:bidi="fa-IR"/>
        </w:rPr>
        <w:t xml:space="preserve">و بناءنا و تصرّفنا،لا نفس الأرض </w:t>
      </w:r>
      <w:r>
        <w:rPr>
          <w:rStyle w:val="FootnoteAnchor"/>
          <w:rtl w:val="true"/>
        </w:rPr>
        <w:footnoteReference w:id="8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ینسب إلی الدروس التفصیل بین زمانی الغیبة و الحضور، فیجوز التصرّف فی الأوّل و لو بالبیع و الوقف،لا فی الثانی إلّا بإذن الإمام علیه السلام </w:t>
      </w:r>
      <w:r>
        <w:rPr>
          <w:rStyle w:val="FootnoteAnchor"/>
          <w:rtl w:val="true"/>
        </w:rPr>
        <w:footnoteReference w:id="89"/>
      </w:r>
      <w:r>
        <w:rPr>
          <w:rFonts w:ascii="IRNazanin" w:hAnsi="IRNazanin" w:eastAsia="IRNazanin"/>
          <w:color w:val="111111"/>
          <w:sz w:val="28"/>
          <w:sz w:val="28"/>
          <w:szCs w:val="28"/>
          <w:rtl w:val="true"/>
          <w:lang w:bidi="fa-IR"/>
        </w:rPr>
        <w:t xml:space="preserve">،و کذا إلی جامع المقاصد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النسبة نظر،بل الظاهر موافقتهما لفتوی جماعة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جواز التصرّف فیه فی زمان الغیبة بإحداث الآثار و جواز نقل الأرض تبعاً للآثار،فیفعل ذلک بالأرض تبعاً للآثار،و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مملوکة ما دام الآثار موجودة</w:t>
      </w:r>
      <w:r>
        <w:rPr>
          <w:rFonts w:eastAsia="IRNazanin" w:cs="IRNazanin"/>
          <w:color w:val="111111"/>
          <w:sz w:val="28"/>
          <w:szCs w:val="28"/>
          <w:rtl w:val="true"/>
          <w:lang w:bidi="fa-IR"/>
        </w:rPr>
        <w:t>.</w:t>
      </w:r>
    </w:p>
    <w:p>
      <w:pPr>
        <w:pStyle w:val="Heading6"/>
        <w:numPr>
          <w:ilvl w:val="5"/>
          <w:numId w:val="1"/>
        </w:numPr>
        <w:rPr/>
      </w:pPr>
      <w:bookmarkStart w:id="74" w:name="__RefHeading___Toc5118893_2314609296"/>
      <w:bookmarkStart w:id="75" w:name="_Toc31"/>
      <w:bookmarkEnd w:id="74"/>
      <w:r>
        <w:rPr>
          <w:rtl w:val="true"/>
        </w:rPr>
        <w:t>[</w:t>
      </w:r>
      <w:r>
        <w:rPr>
          <w:rtl w:val="true"/>
        </w:rPr>
        <w:t>ظهور کلام الشهید الثانی فی جواز البیع تبعا للآثار</w:t>
      </w:r>
      <w:r>
        <w:rPr>
          <w:rtl w:val="true"/>
        </w:rPr>
        <w:t>]</w:t>
      </w:r>
      <w:bookmarkEnd w:id="7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قول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بیعها و لا</w:t>
      </w:r>
      <w:bookmarkStart w:id="76" w:name="pg19861_202306"/>
    </w:p>
    <w:p>
      <w:pPr>
        <w:pStyle w:val="BookText"/>
        <w:rPr/>
      </w:pPr>
      <w:bookmarkEnd w:id="76"/>
      <w:r>
        <w:rPr>
          <w:rFonts w:ascii="IRNazanin" w:hAnsi="IRNazanin" w:eastAsia="IRNazanin"/>
          <w:color w:val="111111"/>
          <w:sz w:val="28"/>
          <w:sz w:val="28"/>
          <w:szCs w:val="28"/>
          <w:rtl w:val="true"/>
          <w:lang w:bidi="fa-IR"/>
        </w:rPr>
        <w:t>هبتها و لا وقفها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یصحّ ذلک فی رقبة الأرض مستقلّة، أمّا </w:t>
      </w:r>
      <w:r>
        <w:rPr>
          <w:rStyle w:val="FootnoteAnchor"/>
          <w:rtl w:val="true"/>
        </w:rPr>
        <w:footnoteReference w:id="92"/>
      </w:r>
      <w:r>
        <w:rPr>
          <w:rFonts w:ascii="IRNazanin" w:hAnsi="IRNazanin" w:eastAsia="IRNazanin"/>
          <w:color w:val="111111"/>
          <w:sz w:val="28"/>
          <w:sz w:val="28"/>
          <w:szCs w:val="28"/>
          <w:rtl w:val="true"/>
          <w:lang w:bidi="fa-IR"/>
        </w:rPr>
        <w:t>فعل ذلک بها تبعاً لآثار التصرّف من بناء و غرس و زرع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فجائز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باعها بائع مع شیء من هذه الآثار دخل فی المبیع </w:t>
      </w:r>
      <w:r>
        <w:rPr>
          <w:rStyle w:val="FootnoteAnchor"/>
          <w:rtl w:val="true"/>
        </w:rPr>
        <w:footnoteReference w:id="93"/>
      </w:r>
      <w:r>
        <w:rPr>
          <w:rFonts w:ascii="IRNazanin" w:hAnsi="IRNazanin" w:eastAsia="IRNazanin"/>
          <w:color w:val="111111"/>
          <w:sz w:val="28"/>
          <w:sz w:val="28"/>
          <w:szCs w:val="28"/>
          <w:rtl w:val="true"/>
          <w:lang w:bidi="fa-IR"/>
        </w:rPr>
        <w:t xml:space="preserve">علی سبیل التبع،و کذا الوقف و غیره،و یستمرّ کذلک ما دام شیء من الآثار باقیاً،فإذا ذهبت أجمع انقطع حقّ المشتری و الموقوف علیه و غیرهما عنها،هکذا ذکره جمع،و علیه العمل </w:t>
      </w:r>
      <w:r>
        <w:rPr>
          <w:rStyle w:val="FootnoteAnchor"/>
          <w:rtl w:val="true"/>
        </w:rPr>
        <w:footnoteReference w:id="9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p>
    <w:p>
      <w:pPr>
        <w:pStyle w:val="Heading6"/>
        <w:numPr>
          <w:ilvl w:val="5"/>
          <w:numId w:val="1"/>
        </w:numPr>
        <w:rPr/>
      </w:pPr>
      <w:bookmarkStart w:id="77" w:name="__RefHeading___Toc5118895_2314609296"/>
      <w:bookmarkStart w:id="78" w:name="_Toc32"/>
      <w:bookmarkEnd w:id="77"/>
      <w:r>
        <w:rPr>
          <w:rtl w:val="true"/>
        </w:rPr>
        <w:t>ربما یظهر من عبارة الشیخ فی التهذیب جواز البیع و الشراء فی نفس الرقبة،</w:t>
      </w:r>
      <w:bookmarkEnd w:id="78"/>
    </w:p>
    <w:p>
      <w:p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ما ذکرتموه إنّما دلّ علی إباحة التصرّف فی هذه الأرضین،و لا یدلّ علی صحّة تملّکها بالشراء و البیع،و مع عدم صحّتها </w:t>
      </w:r>
      <w:r>
        <w:rPr>
          <w:rStyle w:val="FootnoteAnchor"/>
          <w:rtl w:val="true"/>
        </w:rPr>
        <w:footnoteReference w:id="95"/>
      </w:r>
      <w:r>
        <w:rPr>
          <w:rFonts w:ascii="Amiri" w:hAnsi="Amiri" w:eastAsia="Amiri" w:cs="Amiri"/>
          <w:color w:val="111111"/>
          <w:sz w:val="28"/>
          <w:sz w:val="28"/>
          <w:szCs w:val="28"/>
          <w:rtl w:val="true"/>
          <w:lang w:bidi="ar-SA"/>
        </w:rPr>
        <w:t xml:space="preserve">لا یصحّ ما یتفرّع علیها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قد قسّمنا الأرضین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أسلم أهلها علیها فهی ملک لهم یتصرّفون فیها،و أرض تؤخذ عنوة أو یصالح أهلها علیها،فقد أبحنا شراءَها و بیعها؛لأنّ لنا فی ذلک قسماً؛لأنّها</w:t>
      </w:r>
      <w:bookmarkStart w:id="79" w:name="pg19861_202307"/>
    </w:p>
    <w:p>
      <w:pPr>
        <w:pStyle w:val="BookText"/>
        <w:rPr/>
      </w:pPr>
      <w:bookmarkEnd w:id="79"/>
      <w:r>
        <w:rPr>
          <w:rFonts w:ascii="IRNazanin" w:hAnsi="IRNazanin" w:eastAsia="IRNazanin"/>
          <w:color w:val="111111"/>
          <w:sz w:val="28"/>
          <w:sz w:val="28"/>
          <w:szCs w:val="28"/>
          <w:rtl w:val="true"/>
          <w:lang w:bidi="fa-IR"/>
        </w:rPr>
        <w:t>أراضی المسلمین،و هذا القسم أیضاً یصحّ الشراء و البیع فیه علی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الأنفال و ما یجری مجراها فلا یصحّ تملّکها بالشراء و إنّما أُبیح لنا التصرّف فیها حسب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استدلّ علی أراضی الخراج بروایة أبی بردة السابقة </w:t>
      </w:r>
      <w:r>
        <w:rPr>
          <w:rStyle w:val="FootnoteAnchor"/>
          <w:rtl w:val="true"/>
        </w:rPr>
        <w:footnoteReference w:id="98"/>
      </w:r>
      <w:r>
        <w:rPr>
          <w:rFonts w:ascii="IRNazanin" w:hAnsi="IRNazanin" w:eastAsia="IRNazanin"/>
          <w:color w:val="111111"/>
          <w:sz w:val="28"/>
          <w:sz w:val="28"/>
          <w:szCs w:val="28"/>
          <w:rtl w:val="true"/>
          <w:lang w:bidi="fa-IR"/>
        </w:rPr>
        <w:t>الدالّة علی جواز بیع آثار التصرّف دون رقبة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دلیله قرینة علی توجیه کلامه</w:t>
      </w:r>
      <w:r>
        <w:rPr>
          <w:rFonts w:eastAsia="IRNazanin" w:cs="IRNazanin"/>
          <w:color w:val="111111"/>
          <w:sz w:val="28"/>
          <w:szCs w:val="28"/>
          <w:rtl w:val="true"/>
          <w:lang w:bidi="fa-IR"/>
        </w:rPr>
        <w:t>.</w:t>
      </w:r>
    </w:p>
    <w:p>
      <w:pPr>
        <w:pStyle w:val="Heading6"/>
        <w:numPr>
          <w:ilvl w:val="5"/>
          <w:numId w:val="1"/>
        </w:numPr>
        <w:rPr/>
      </w:pPr>
      <w:bookmarkStart w:id="80" w:name="__RefHeading___Toc5118897_2314609296"/>
      <w:bookmarkStart w:id="81" w:name="_Toc33"/>
      <w:bookmarkEnd w:id="80"/>
      <w:r>
        <w:rPr>
          <w:rtl w:val="true"/>
        </w:rPr>
        <w:t>[</w:t>
      </w:r>
      <w:r>
        <w:rPr>
          <w:rtl w:val="true"/>
        </w:rPr>
        <w:t>المتیقن ثبوت حق الاختصاص للمتصرف لا الملک</w:t>
      </w:r>
      <w:r>
        <w:rPr>
          <w:rtl w:val="true"/>
        </w:rPr>
        <w:t>]</w:t>
      </w:r>
      <w:bookmarkEnd w:id="81"/>
    </w:p>
    <w:p>
      <w:pPr>
        <w:pStyle w:val="BookText"/>
        <w:rPr/>
      </w:pPr>
      <w:r>
        <w:rPr>
          <w:rFonts w:ascii="IRNazanin" w:hAnsi="IRNazanin" w:eastAsia="IRNazanin"/>
          <w:color w:val="111111"/>
          <w:sz w:val="28"/>
          <w:sz w:val="28"/>
          <w:szCs w:val="28"/>
          <w:rtl w:val="true"/>
          <w:lang w:bidi="fa-IR"/>
        </w:rPr>
        <w:t>و کیف کان،فما ذکروه من حصول الملک تبعاً للآثار ممّا لا دلیل علیه إن أرادوا الانتقال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نعم،المتیقّن هو ثبوت حقّ الاختصاص للمتصرّف ما دام شیء من الآثار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ینبغی أن یصرف الکلام إلیه هو بیان الوجه الذی یجوز التصرّف معه حتّی یثبت حقّ الاختصاص،فنقول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w:t>
      </w:r>
    </w:p>
    <w:p>
      <w:pPr>
        <w:pStyle w:val="Heading6"/>
        <w:numPr>
          <w:ilvl w:val="5"/>
          <w:numId w:val="1"/>
        </w:numPr>
        <w:rPr/>
      </w:pPr>
      <w:bookmarkStart w:id="82" w:name="__RefHeading___Toc5118899_2314609296"/>
      <w:bookmarkStart w:id="83" w:name="_Toc34"/>
      <w:bookmarkEnd w:id="82"/>
      <w:r>
        <w:rPr>
          <w:rtl w:val="true"/>
        </w:rPr>
        <w:t>فی زمان الحضور و التمکّن من الاستئذان،فلا ینبغی الإشکال فی توقّف التصرّف علی إذن الإمام علیه السلام؛</w:t>
      </w:r>
      <w:bookmarkEnd w:id="83"/>
    </w:p>
    <w:p>
      <w:pPr>
        <w:pStyle w:val="BookText"/>
        <w:rPr/>
      </w:pPr>
      <w:r>
        <w:rPr>
          <w:rFonts w:ascii="IRNazanin" w:hAnsi="IRNazanin" w:eastAsia="IRNazanin"/>
          <w:color w:val="111111"/>
          <w:sz w:val="28"/>
          <w:sz w:val="28"/>
          <w:szCs w:val="28"/>
          <w:rtl w:val="true"/>
          <w:lang w:bidi="fa-IR"/>
        </w:rPr>
        <w:t>لأنّه ولیّ المسلمین فله نقلها عیناً و 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الظاهر أنّ کلام الشیخ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 فی المنع عن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علی صورة عدم إذن الإمام علیه السلام مع حضوره</w:t>
      </w:r>
      <w:r>
        <w:rPr>
          <w:rFonts w:eastAsia="IRNazanin" w:cs="IRNazanin"/>
          <w:color w:val="111111"/>
          <w:sz w:val="28"/>
          <w:szCs w:val="28"/>
          <w:rtl w:val="true"/>
          <w:lang w:bidi="fa-IR"/>
        </w:rPr>
        <w:t>.</w:t>
      </w:r>
    </w:p>
    <w:p>
      <w:pPr>
        <w:pStyle w:val="Heading6"/>
        <w:numPr>
          <w:ilvl w:val="5"/>
          <w:numId w:val="1"/>
        </w:numPr>
        <w:rPr/>
      </w:pPr>
      <w:bookmarkStart w:id="84" w:name="__RefHeading___Toc5118901_2314609296"/>
      <w:bookmarkStart w:id="85" w:name="_Toc35"/>
      <w:bookmarkEnd w:id="84"/>
      <w:r>
        <w:rPr>
          <w:rtl w:val="true"/>
        </w:rPr>
        <w:t>و أمّا فی زمان الغیبة،</w:t>
      </w:r>
      <w:bookmarkEnd w:id="85"/>
    </w:p>
    <w:p>
      <w:pPr>
        <w:pStyle w:val="BookText"/>
        <w:rPr/>
      </w:pPr>
      <w:r>
        <w:rPr>
          <w:rFonts w:ascii="IRNazanin" w:hAnsi="IRNazanin" w:eastAsia="IRNazanin"/>
          <w:color w:val="111111"/>
          <w:sz w:val="28"/>
          <w:sz w:val="28"/>
          <w:szCs w:val="28"/>
          <w:rtl w:val="true"/>
          <w:lang w:bidi="fa-IR"/>
        </w:rPr>
        <w:t>ففی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جواز التصرّف إلّا فیما أعطاه السلطان الذی حلّ قبولَ الخراج و المقاسمة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جوازه مطلقاً؛نظراً إلی عموم ما دلّ علی تحلیل مطلق الأرض للشیعة </w:t>
      </w:r>
      <w:r>
        <w:rPr>
          <w:rStyle w:val="FootnoteAnchor"/>
          <w:rtl w:val="true"/>
        </w:rPr>
        <w:footnoteReference w:id="100"/>
      </w:r>
      <w:r>
        <w:rPr>
          <w:rFonts w:ascii="IRNazanin" w:hAnsi="IRNazanin" w:eastAsia="IRNazanin"/>
          <w:color w:val="111111"/>
          <w:sz w:val="28"/>
          <w:sz w:val="28"/>
          <w:szCs w:val="28"/>
          <w:rtl w:val="true"/>
          <w:lang w:bidi="fa-IR"/>
        </w:rPr>
        <w:t>،لا خصوص الموات التی هی مال الإمام علیه السلام، و ربما یؤیّده جواز قبول الخراج الذی هو کاُجرة الأرض،فیجوز التصرّف فی عینها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عدم جوازه إلّا بإذن الحاکم الذی هو نائب الإمام علیه السلام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التفصیل بین من یستحقّ اجرة هذه الأرض،فیجوز له التصرّف فیها؛لما </w:t>
      </w:r>
      <w:r>
        <w:rPr>
          <w:rStyle w:val="FootnoteAnchor"/>
          <w:rtl w:val="true"/>
        </w:rPr>
        <w:footnoteReference w:id="101"/>
      </w:r>
      <w:r>
        <w:rPr>
          <w:rFonts w:ascii="IRNazanin" w:hAnsi="IRNazanin" w:eastAsia="IRNazanin"/>
          <w:color w:val="111111"/>
          <w:sz w:val="28"/>
          <w:sz w:val="28"/>
          <w:szCs w:val="28"/>
          <w:rtl w:val="true"/>
          <w:lang w:bidi="fa-IR"/>
        </w:rPr>
        <w:t>یظهر من قوله علیه السلام للمخاطب فی بعض أخبار حِلِّ 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لک نصیباً فی بیت المال</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،و بین غیره الذی یجب علیه حقّ الأرض،و لذا أفتی غیر واحد علی ما حکی </w:t>
      </w:r>
      <w:r>
        <w:rPr>
          <w:rStyle w:val="FootnoteAnchor"/>
          <w:rtl w:val="true"/>
        </w:rPr>
        <w:footnoteReference w:id="103"/>
      </w:r>
      <w:r>
        <w:rPr>
          <w:rFonts w:ascii="IRNazanin" w:hAnsi="IRNazanin" w:eastAsia="IRNazanin"/>
          <w:color w:val="111111"/>
          <w:sz w:val="28"/>
          <w:sz w:val="28"/>
          <w:szCs w:val="28"/>
          <w:rtl w:val="true"/>
          <w:lang w:bidi="fa-IR"/>
        </w:rPr>
        <w:t xml:space="preserve">بأنّه لا یجوز حبس الخراج و سرقته عن </w:t>
      </w:r>
      <w:r>
        <w:rPr>
          <w:rStyle w:val="FootnoteAnchor"/>
          <w:rtl w:val="true"/>
        </w:rPr>
        <w:footnoteReference w:id="104"/>
      </w:r>
      <w:r>
        <w:rPr>
          <w:rFonts w:ascii="IRNazanin" w:hAnsi="IRNazanin" w:eastAsia="IRNazanin"/>
          <w:color w:val="111111"/>
          <w:sz w:val="28"/>
          <w:sz w:val="28"/>
          <w:szCs w:val="28"/>
          <w:rtl w:val="true"/>
          <w:lang w:bidi="fa-IR"/>
        </w:rPr>
        <w:t xml:space="preserve">السلطان الجائر و الامتناع عنه، و استثنی بعضهم </w:t>
      </w:r>
      <w:r>
        <w:rPr>
          <w:rStyle w:val="FootnoteAnchor"/>
          <w:rtl w:val="true"/>
        </w:rPr>
        <w:footnoteReference w:id="105"/>
      </w:r>
      <w:r>
        <w:rPr>
          <w:rFonts w:ascii="IRNazanin" w:hAnsi="IRNazanin" w:eastAsia="IRNazanin"/>
          <w:color w:val="111111"/>
          <w:sz w:val="28"/>
          <w:sz w:val="28"/>
          <w:szCs w:val="28"/>
          <w:rtl w:val="true"/>
          <w:lang w:bidi="fa-IR"/>
        </w:rPr>
        <w:t>ما إذا دفعه إلی نائب الإمام علیه السلام</w:t>
      </w:r>
      <w:r>
        <w:rPr>
          <w:rFonts w:eastAsia="IRNazanin" w:cs="IRNazanin"/>
          <w:color w:val="111111"/>
          <w:sz w:val="28"/>
          <w:szCs w:val="28"/>
          <w:rtl w:val="true"/>
          <w:lang w:bidi="fa-IR"/>
        </w:rPr>
        <w:t>.</w:t>
      </w:r>
      <w:bookmarkStart w:id="86" w:name="pg19861_202309"/>
    </w:p>
    <w:p>
      <w:pPr>
        <w:pStyle w:val="BookText"/>
        <w:rPr/>
      </w:pPr>
      <w:bookmarkEnd w:id="86"/>
      <w:r>
        <w:rPr>
          <w:rFonts w:ascii="IRNazanin" w:hAnsi="IRNazanin" w:eastAsia="IRNazanin"/>
          <w:color w:val="111111"/>
          <w:sz w:val="28"/>
          <w:sz w:val="28"/>
          <w:szCs w:val="28"/>
          <w:rtl w:val="true"/>
          <w:lang w:bidi="fa-IR"/>
        </w:rPr>
        <w:t xml:space="preserve">أو بین ما عرض له الموت من الأرض المحیاة حال الفتح،و بین الباقیة علی عمارتها من حین الفتح فیجوز إحیاء الأوّل؛لعموم أدلّة الإحیاء </w:t>
      </w:r>
      <w:r>
        <w:rPr>
          <w:rStyle w:val="FootnoteAnchor"/>
          <w:rtl w:val="true"/>
        </w:rPr>
        <w:footnoteReference w:id="106"/>
      </w:r>
      <w:r>
        <w:rPr>
          <w:rFonts w:ascii="IRNazanin" w:hAnsi="IRNazanin" w:eastAsia="IRNazanin"/>
          <w:color w:val="111111"/>
          <w:sz w:val="28"/>
          <w:sz w:val="28"/>
          <w:szCs w:val="28"/>
          <w:rtl w:val="true"/>
          <w:lang w:bidi="fa-IR"/>
        </w:rPr>
        <w:t xml:space="preserve">و خصوص روایة سلیمان بن خالد </w:t>
      </w:r>
      <w:r>
        <w:rPr>
          <w:rStyle w:val="FootnoteAnchor"/>
          <w:rtl w:val="true"/>
        </w:rPr>
        <w:footnoteReference w:id="107"/>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وجوه،أوفقها بالقواعد الاحتمال الثالث،ثمّ الرابع،ثمّ الخامس</w:t>
      </w:r>
      <w:r>
        <w:rPr>
          <w:rFonts w:eastAsia="IRNazanin" w:cs="IRNazanin"/>
          <w:color w:val="111111"/>
          <w:sz w:val="28"/>
          <w:szCs w:val="28"/>
          <w:rtl w:val="true"/>
          <w:lang w:bidi="fa-IR"/>
        </w:rPr>
        <w:t>.</w:t>
      </w:r>
    </w:p>
    <w:p>
      <w:pPr>
        <w:pStyle w:val="Heading6"/>
        <w:numPr>
          <w:ilvl w:val="5"/>
          <w:numId w:val="1"/>
        </w:numPr>
        <w:rPr/>
      </w:pPr>
      <w:bookmarkStart w:id="87" w:name="__RefHeading___Toc5118903_2314609296"/>
      <w:bookmarkStart w:id="88" w:name="_Toc36"/>
      <w:bookmarkEnd w:id="87"/>
      <w:r>
        <w:rPr>
          <w:rtl w:val="true"/>
        </w:rPr>
        <w:t>[</w:t>
      </w:r>
      <w:r>
        <w:rPr>
          <w:rtl w:val="true"/>
        </w:rPr>
        <w:t>حکم ما ینفصل من المفتوح عنوة</w:t>
      </w:r>
      <w:r>
        <w:rPr>
          <w:rtl w:val="true"/>
        </w:rPr>
        <w:t>]</w:t>
      </w:r>
      <w:bookmarkEnd w:id="88"/>
    </w:p>
    <w:p>
      <w:pPr>
        <w:pStyle w:val="BookText"/>
        <w:rPr/>
      </w:pPr>
      <w:r>
        <w:rPr>
          <w:rFonts w:ascii="IRNazanin" w:hAnsi="IRNazanin" w:eastAsia="IRNazanin"/>
          <w:color w:val="111111"/>
          <w:sz w:val="28"/>
          <w:sz w:val="28"/>
          <w:szCs w:val="28"/>
          <w:rtl w:val="true"/>
          <w:lang w:bidi="fa-IR"/>
        </w:rPr>
        <w:t xml:space="preserve">و ممّا ذکرنا یعلم حال ما ینفصل من المفتوح عنوة،کأوراق الأشجار و أثمارها،و أخشاب الأبنیة و السقوف الواقعة،و الطین المأخوذ من سطح الأرض،و الجَصّ و الحجارة و نحو ذلک،فإنّ مقتضی القاعدة کون ما یحدث بعد الفتح من الأُمور المنقولة ملکاً للمسلمین؛و لذا صرّح جماعة،کالعلّامة </w:t>
      </w:r>
      <w:r>
        <w:rPr>
          <w:rStyle w:val="FootnoteAnchor"/>
          <w:rtl w:val="true"/>
        </w:rPr>
        <w:footnoteReference w:id="108"/>
      </w:r>
      <w:r>
        <w:rPr>
          <w:rFonts w:ascii="IRNazanin" w:hAnsi="IRNazanin" w:eastAsia="IRNazanin"/>
          <w:color w:val="111111"/>
          <w:sz w:val="28"/>
          <w:sz w:val="28"/>
          <w:szCs w:val="28"/>
          <w:rtl w:val="true"/>
          <w:lang w:bidi="fa-IR"/>
        </w:rPr>
        <w:t xml:space="preserve">و الشهید </w:t>
      </w:r>
      <w:r>
        <w:rPr>
          <w:rStyle w:val="FootnoteAnchor"/>
          <w:rtl w:val="true"/>
        </w:rPr>
        <w:footnoteReference w:id="109"/>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10"/>
      </w:r>
      <w:r>
        <w:rPr>
          <w:rFonts w:ascii="IRNazanin" w:hAnsi="IRNazanin" w:eastAsia="IRNazanin"/>
          <w:color w:val="111111"/>
          <w:sz w:val="28"/>
          <w:sz w:val="28"/>
          <w:szCs w:val="28"/>
          <w:rtl w:val="true"/>
          <w:lang w:bidi="fa-IR"/>
        </w:rPr>
        <w:t xml:space="preserve">و غیرهم </w:t>
      </w:r>
      <w:r>
        <w:rPr>
          <w:rStyle w:val="FootnoteAnchor"/>
          <w:rtl w:val="true"/>
        </w:rPr>
        <w:footnoteReference w:id="111"/>
      </w:r>
      <w:r>
        <w:rPr>
          <w:rFonts w:ascii="IRNazanin" w:hAnsi="IRNazanin" w:eastAsia="IRNazanin"/>
          <w:color w:val="111111"/>
          <w:sz w:val="28"/>
          <w:sz w:val="28"/>
          <w:szCs w:val="28"/>
          <w:rtl w:val="true"/>
          <w:lang w:bidi="fa-IR"/>
        </w:rPr>
        <w:t xml:space="preserve">علی ما حکی عنهم بتقیید جواز رهن أبنیة الأرض المفتوحة عنوة بما </w:t>
      </w:r>
      <w:r>
        <w:rPr>
          <w:rStyle w:val="FootnoteAnchor"/>
          <w:rtl w:val="true"/>
        </w:rPr>
        <w:footnoteReference w:id="112"/>
      </w:r>
      <w:r>
        <w:rPr>
          <w:rFonts w:ascii="IRNazanin" w:hAnsi="IRNazanin" w:eastAsia="IRNazanin"/>
          <w:color w:val="111111"/>
          <w:sz w:val="28"/>
          <w:sz w:val="28"/>
          <w:szCs w:val="28"/>
          <w:rtl w:val="true"/>
          <w:lang w:bidi="fa-IR"/>
        </w:rPr>
        <w:t>إذا لم تکن الآلات من تراب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الموجودة فیها حال الفتح للمقاتلین؛ لأنّه ممّا ینقل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حینئذٍ،فمقتضی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صحّة أخذها إلّا من السلطان الجائر أو من حاکم الشرع،مع إمکان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مدخل لسلطان</w:t>
      </w:r>
    </w:p>
    <w:p>
      <w:pPr>
        <w:pStyle w:val="BookText"/>
        <w:rPr/>
      </w:pPr>
      <w:r>
        <w:rPr>
          <w:rFonts w:ascii="IRNazanin" w:hAnsi="IRNazanin" w:eastAsia="IRNazanin"/>
          <w:color w:val="111111"/>
          <w:sz w:val="28"/>
          <w:sz w:val="28"/>
          <w:szCs w:val="28"/>
          <w:rtl w:val="true"/>
          <w:lang w:bidi="fa-IR"/>
        </w:rPr>
        <w:t>الجور؛لأنّ القدر المأذون فی تناوله منه منفعة الأرض،لا أجزاؤها،إلّا أن یکون الأخذ علی وجه الانتفاع لا التملّک،فیجوز</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کون ذلک بحکم المباحات؛لعموم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سبق إلی ما لم یسبقه </w:t>
      </w:r>
      <w:r>
        <w:rPr>
          <w:rStyle w:val="FootnoteAnchor"/>
          <w:rtl w:val="true"/>
        </w:rPr>
        <w:footnoteReference w:id="113"/>
      </w:r>
      <w:r>
        <w:rPr>
          <w:rFonts w:ascii="IRNazanin" w:hAnsi="IRNazanin" w:eastAsia="IRNazanin"/>
          <w:color w:val="111111"/>
          <w:sz w:val="28"/>
          <w:sz w:val="28"/>
          <w:szCs w:val="28"/>
          <w:rtl w:val="true"/>
          <w:lang w:bidi="fa-IR"/>
        </w:rPr>
        <w:t>إلیه مسلم فهو أحقّ به</w:t>
      </w:r>
      <w:r>
        <w:rPr>
          <w:rFonts w:eastAsia="IRNazanin" w:cs="IRNazanin"/>
          <w:color w:val="111111"/>
          <w:sz w:val="28"/>
          <w:szCs w:val="28"/>
          <w:rtl w:val="true"/>
          <w:lang w:bidi="fa-IR"/>
        </w:rPr>
        <w:t xml:space="preserve">»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یؤیّده،بل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استمرار السیرة خلفاً عن سلف علی بیع الأُمور المعمولة </w:t>
      </w:r>
      <w:r>
        <w:rPr>
          <w:rStyle w:val="FootnoteAnchor"/>
          <w:rtl w:val="true"/>
        </w:rPr>
        <w:footnoteReference w:id="115"/>
      </w:r>
      <w:r>
        <w:rPr>
          <w:rFonts w:ascii="IRNazanin" w:hAnsi="IRNazanin" w:eastAsia="IRNazanin"/>
          <w:color w:val="111111"/>
          <w:sz w:val="28"/>
          <w:sz w:val="28"/>
          <w:szCs w:val="28"/>
          <w:rtl w:val="true"/>
          <w:lang w:bidi="fa-IR"/>
        </w:rPr>
        <w:t xml:space="preserve">من تربة أرض العراق من الآجر و الکوز و الأوانی و ما عمل </w:t>
      </w:r>
      <w:r>
        <w:rPr>
          <w:rStyle w:val="FootnoteAnchor"/>
          <w:rtl w:val="true"/>
        </w:rPr>
        <w:footnoteReference w:id="116"/>
      </w:r>
      <w:r>
        <w:rPr>
          <w:rFonts w:ascii="IRNazanin" w:hAnsi="IRNazanin" w:eastAsia="IRNazanin"/>
          <w:color w:val="111111"/>
          <w:sz w:val="28"/>
          <w:sz w:val="28"/>
          <w:szCs w:val="28"/>
          <w:rtl w:val="true"/>
          <w:lang w:bidi="fa-IR"/>
        </w:rPr>
        <w:t>من التربة الحسینیة، و یقوی هذا الاحتمال بعد انفصال هذه الأجزاء من الأرض</w:t>
      </w:r>
      <w:r>
        <w:rPr>
          <w:rFonts w:eastAsia="IRNazanin" w:cs="IRNazanin"/>
          <w:color w:val="111111"/>
          <w:sz w:val="28"/>
          <w:szCs w:val="28"/>
          <w:rtl w:val="true"/>
          <w:lang w:bidi="fa-IR"/>
        </w:rPr>
        <w:t>.</w:t>
      </w:r>
      <w:bookmarkStart w:id="89" w:name="pg19861_202311"/>
    </w:p>
    <w:p>
      <w:pPr>
        <w:pStyle w:val="BookText"/>
        <w:rPr/>
      </w:pPr>
      <w:bookmarkEnd w:id="89"/>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 w:name="__RefHeading___Toc5118905_2314609296"/>
      <w:bookmarkStart w:id="91" w:name="_Toc37"/>
      <w:bookmarkEnd w:id="90"/>
      <w:r>
        <w:rPr>
          <w:rtl w:val="true"/>
        </w:rPr>
        <w:t xml:space="preserve">مسألة </w:t>
      </w:r>
      <w:r>
        <w:rPr>
          <w:rtl w:val="true"/>
        </w:rPr>
        <w:t>[</w:t>
      </w:r>
      <w:r>
        <w:rPr>
          <w:rtl w:val="true"/>
        </w:rPr>
        <w:t>من شروط العوضین</w:t>
      </w:r>
      <w:r>
        <w:rPr>
          <w:rtl w:val="true"/>
        </w:rPr>
        <w:t>:</w:t>
      </w:r>
      <w:r>
        <w:rPr>
          <w:rtl w:val="true"/>
        </w:rPr>
        <w:t>کونه طِلْقاً</w:t>
      </w:r>
      <w:r>
        <w:rPr>
          <w:rtl w:val="true"/>
        </w:rPr>
        <w:t>]</w:t>
      </w:r>
      <w:bookmarkEnd w:id="91"/>
    </w:p>
    <w:p>
      <w:pPr>
        <w:pStyle w:val="Heading5"/>
        <w:numPr>
          <w:ilvl w:val="4"/>
          <w:numId w:val="1"/>
        </w:numPr>
        <w:rPr/>
      </w:pPr>
      <w:bookmarkStart w:id="92" w:name="__RefHeading___Toc5118907_2314609296"/>
      <w:bookmarkStart w:id="93" w:name="_Toc38"/>
      <w:bookmarkEnd w:id="92"/>
      <w:r>
        <w:rPr>
          <w:rtl w:val="true"/>
        </w:rPr>
        <w:t>اشارة</w:t>
      </w:r>
      <w:bookmarkEnd w:id="93"/>
    </w:p>
    <w:p>
      <w:pPr>
        <w:pStyle w:val="BookText"/>
        <w:rPr/>
      </w:pP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أنّه ذکر الفاضلان </w:t>
      </w:r>
      <w:r>
        <w:rPr>
          <w:rStyle w:val="FootnoteAnchor"/>
          <w:rtl w:val="true"/>
        </w:rPr>
        <w:footnoteReference w:id="118"/>
      </w:r>
      <w:r>
        <w:rPr>
          <w:rFonts w:ascii="Amiri" w:hAnsi="Amiri" w:eastAsia="Amiri" w:cs="Amiri"/>
          <w:color w:val="111111"/>
          <w:sz w:val="28"/>
          <w:sz w:val="28"/>
          <w:szCs w:val="28"/>
          <w:rtl w:val="true"/>
          <w:lang w:bidi="ar-SA"/>
        </w:rPr>
        <w:t xml:space="preserve">و جمع ممّن تأخّر عنهما </w:t>
      </w:r>
      <w:r>
        <w:rPr>
          <w:rStyle w:val="FootnoteAnchor"/>
          <w:rtl w:val="true"/>
        </w:rPr>
        <w:footnoteReference w:id="119"/>
      </w:r>
      <w:r>
        <w:rPr>
          <w:rFonts w:ascii="IRNazanin" w:hAnsi="IRNazanin" w:eastAsia="IRNazanin"/>
          <w:color w:val="111111"/>
          <w:sz w:val="28"/>
          <w:sz w:val="28"/>
          <w:szCs w:val="28"/>
          <w:rtl w:val="true"/>
          <w:lang w:bidi="fa-IR"/>
        </w:rPr>
        <w:t>فی شروط العوضین بعد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بیع الوقف إلّا فیما استثنی،و لا الرهن إلّا بإذن المرتهن أو إجازته،و لا أُمّ الولد إلّا فی المواضع المستثناة</w:t>
      </w:r>
      <w:r>
        <w:rPr>
          <w:rFonts w:eastAsia="IRNazanin" w:cs="IRNazanin"/>
          <w:color w:val="111111"/>
          <w:sz w:val="28"/>
          <w:szCs w:val="28"/>
          <w:rtl w:val="true"/>
          <w:lang w:bidi="fa-IR"/>
        </w:rPr>
        <w:t>.</w:t>
      </w:r>
    </w:p>
    <w:p>
      <w:pPr>
        <w:pStyle w:val="Heading5"/>
        <w:numPr>
          <w:ilvl w:val="4"/>
          <w:numId w:val="1"/>
        </w:numPr>
        <w:rPr/>
      </w:pPr>
      <w:bookmarkStart w:id="94" w:name="__RefHeading___Toc5118909_2314609296"/>
      <w:bookmarkStart w:id="95" w:name="_Toc39"/>
      <w:bookmarkEnd w:id="94"/>
      <w:r>
        <w:rPr>
          <w:rtl w:val="true"/>
        </w:rPr>
        <w:t>و المراد ب</w:t>
      </w:r>
      <w:r>
        <w:rPr>
          <w:rtl w:val="true"/>
        </w:rPr>
        <w:t>«</w:t>
      </w:r>
      <w:r>
        <w:rPr>
          <w:rtl w:val="true"/>
        </w:rPr>
        <w:t>الطلْق</w:t>
      </w:r>
      <w:r>
        <w:rPr>
          <w:rtl w:val="true"/>
        </w:rPr>
        <w:t>»</w:t>
      </w:r>
      <w:r>
        <w:rPr>
          <w:rtl w:val="true"/>
        </w:rPr>
        <w:t>تمام السلطنة علی الملک</w:t>
      </w:r>
      <w:bookmarkEnd w:id="95"/>
    </w:p>
    <w:p>
      <w:pPr>
        <w:pStyle w:val="BookText"/>
        <w:rPr/>
      </w:pPr>
      <w:r>
        <w:rPr>
          <w:rFonts w:ascii="IRNazanin" w:hAnsi="IRNazanin" w:eastAsia="IRNazanin"/>
          <w:color w:val="111111"/>
          <w:sz w:val="28"/>
          <w:sz w:val="28"/>
          <w:szCs w:val="28"/>
          <w:rtl w:val="true"/>
          <w:lang w:bidi="fa-IR"/>
        </w:rPr>
        <w:t>بحیث یکون للمالک أن یفعل بملکه ما شاء،و یکون مطلق العنان فی ذلک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المعنی فی الحقیقة راجع إلی کون الملک ممّا یستقلّ المالک بنقله و یکون نقله ماضیاً فیه؛لعدم تعلّق حقٍّ به مانعٍ عن نقله</w:t>
      </w:r>
      <w:bookmarkStart w:id="96" w:name="pg19861_202312"/>
    </w:p>
    <w:p>
      <w:pPr>
        <w:pStyle w:val="BookText"/>
        <w:rPr/>
      </w:pPr>
      <w:bookmarkEnd w:id="96"/>
      <w:r>
        <w:rPr>
          <w:rFonts w:ascii="IRNazanin" w:hAnsi="IRNazanin" w:eastAsia="IRNazanin"/>
          <w:color w:val="111111"/>
          <w:sz w:val="28"/>
          <w:sz w:val="28"/>
          <w:szCs w:val="28"/>
          <w:rtl w:val="true"/>
          <w:lang w:bidi="fa-IR"/>
        </w:rPr>
        <w:t xml:space="preserve">بدون إذن ذی الحقّ،فمرجعه </w:t>
      </w:r>
      <w:r>
        <w:rPr>
          <w:rStyle w:val="FootnoteAnchor"/>
          <w:rtl w:val="true"/>
        </w:rPr>
        <w:footnoteReference w:id="120"/>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 شرط البیع أن یکون متعلّقه ممّا یصحّ للمالک بیعه مستقلا،و هذا ممّا </w:t>
      </w:r>
      <w:r>
        <w:rPr>
          <w:rStyle w:val="FootnoteAnchor"/>
          <w:rtl w:val="true"/>
        </w:rPr>
        <w:footnoteReference w:id="121"/>
      </w:r>
      <w:r>
        <w:rPr>
          <w:rFonts w:ascii="IRNazanin" w:hAnsi="IRNazanin" w:eastAsia="IRNazanin"/>
          <w:color w:val="111111"/>
          <w:sz w:val="28"/>
          <w:sz w:val="28"/>
          <w:szCs w:val="28"/>
          <w:rtl w:val="true"/>
          <w:lang w:bidi="fa-IR"/>
        </w:rPr>
        <w:t>لا محصّل له،فالظاهر أنّ هذا العنوان لیس فی نفسه شرطاً لیتفرّع علیه عدم جواز بیع الوقف و المرهون و أُمّ الولد،بل الشرط فی الحقیقة انتفاء کلٍّ من تلک الحقوق الخاصّة و غیرها ممّا ثبت منعه عن تصرّف المالک کالنذر و الخیار و نحوهما و هذا العنوان منتزع من انتفاء تلک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المالک مطلق العنان فی نقله غیر محبوس علیه لأحد الحقوق التی ثبت منعها للمالک عن التصرّف فی ملکه،فالتعبیر بهذا المفهوم </w:t>
      </w:r>
      <w:r>
        <w:rPr>
          <w:rStyle w:val="FootnoteAnchor"/>
          <w:rtl w:val="true"/>
        </w:rPr>
        <w:footnoteReference w:id="122"/>
      </w:r>
      <w:r>
        <w:rPr>
          <w:rFonts w:ascii="IRNazanin" w:hAnsi="IRNazanin" w:eastAsia="IRNazanin"/>
          <w:color w:val="111111"/>
          <w:sz w:val="28"/>
          <w:sz w:val="28"/>
          <w:szCs w:val="28"/>
          <w:rtl w:val="true"/>
          <w:lang w:bidi="fa-IR"/>
        </w:rPr>
        <w:t>المنتزع تمهید لذکر الحقوق المانعة عن التصرّف،لا تأسیس لشرط لیکون ما بعده فروعاً،بل الأمر فی الفرعیّة و الأصالة بالعکس</w:t>
      </w:r>
      <w:r>
        <w:rPr>
          <w:rFonts w:eastAsia="IRNazanin" w:cs="IRNazanin"/>
          <w:color w:val="111111"/>
          <w:sz w:val="28"/>
          <w:szCs w:val="28"/>
          <w:rtl w:val="true"/>
          <w:lang w:bidi="fa-IR"/>
        </w:rPr>
        <w:t>.</w:t>
      </w:r>
    </w:p>
    <w:p>
      <w:pPr>
        <w:pStyle w:val="Heading5"/>
        <w:numPr>
          <w:ilvl w:val="4"/>
          <w:numId w:val="1"/>
        </w:numPr>
        <w:rPr/>
      </w:pPr>
      <w:bookmarkStart w:id="97" w:name="__RefHeading___Toc5118911_2314609296"/>
      <w:bookmarkStart w:id="98" w:name="_Toc40"/>
      <w:bookmarkEnd w:id="97"/>
      <w:r>
        <w:rPr>
          <w:rtl w:val="true"/>
        </w:rPr>
        <w:t>[</w:t>
      </w:r>
      <w:r>
        <w:rPr>
          <w:rtl w:val="true"/>
        </w:rPr>
        <w:t>الحقوق المانعة عن تصرف المالک فی ملکه</w:t>
      </w:r>
      <w:r>
        <w:rPr>
          <w:rtl w:val="true"/>
        </w:rPr>
        <w:t>]</w:t>
      </w:r>
      <w:bookmarkEnd w:id="98"/>
    </w:p>
    <w:p>
      <w:pPr>
        <w:pStyle w:val="BookText"/>
        <w:rPr/>
      </w:pPr>
      <w:r>
        <w:rPr>
          <w:rFonts w:ascii="IRNazanin" w:hAnsi="IRNazanin" w:eastAsia="IRNazanin"/>
          <w:color w:val="111111"/>
          <w:sz w:val="28"/>
          <w:sz w:val="28"/>
          <w:szCs w:val="28"/>
          <w:rtl w:val="true"/>
          <w:lang w:bidi="fa-IR"/>
        </w:rPr>
        <w:t xml:space="preserve">ثمّ إنّ أکثر من تعرّض لهذا الشرط لم یذکر من الحقوق إلّا الثلاثة المذکورة،ثمّ عنونوا حقّ الجانی </w:t>
      </w:r>
      <w:r>
        <w:rPr>
          <w:rStyle w:val="FootnoteAnchor"/>
          <w:rtl w:val="true"/>
        </w:rPr>
        <w:footnoteReference w:id="123"/>
      </w:r>
      <w:r>
        <w:rPr>
          <w:rFonts w:ascii="IRNazanin" w:hAnsi="IRNazanin" w:eastAsia="IRNazanin"/>
          <w:color w:val="111111"/>
          <w:sz w:val="28"/>
          <w:sz w:val="28"/>
          <w:szCs w:val="28"/>
          <w:rtl w:val="true"/>
          <w:lang w:bidi="fa-IR"/>
        </w:rPr>
        <w:t>و اختلفوا فی حکم بیعه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أنّ الحقوق المانعة أکثر من هذه الثلاثة أو الأربعة،و قد أنهاها بعض من عاصرناه </w:t>
      </w:r>
      <w:r>
        <w:rPr>
          <w:rStyle w:val="FootnoteAnchor"/>
          <w:rtl w:val="true"/>
        </w:rPr>
        <w:footnoteReference w:id="124"/>
      </w:r>
      <w:r>
        <w:rPr>
          <w:rFonts w:ascii="IRNazanin" w:hAnsi="IRNazanin" w:eastAsia="IRNazanin"/>
          <w:color w:val="111111"/>
          <w:sz w:val="28"/>
          <w:sz w:val="28"/>
          <w:szCs w:val="28"/>
          <w:rtl w:val="true"/>
          <w:lang w:bidi="fa-IR"/>
        </w:rPr>
        <w:t>إلی أزید من عشرین،فذکر بعد الأربعة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المذکورة فی عبارة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النذر المتعلّق بالعین قبل البیع،و الخیارَ المتعلّق به،و الارتدادَ،و الحلفَ علی عدم بیعه،و تعیینَ الهدی للذبح، و اشتراطَ عتق العبد فی عقدٍ لازم،و الکتابة المشروطة أو المطلقة بالنسبة إلی ما لم یتحرّر منه؛حیث إنّ المولی ممنوع عن التصرّف بإخراجه عن ملکه قبل الأداء،و التدبیر المعلَّق علی موت غیر المولی،بناءً علی جواز ذلک،فإذا مات المولی و لم یمت من عُلِّق علیه العتق کان مملوکاً للورثة ممنوعاً من التصرّف فیه،و تعلّقَ حقّ الموصی له بالموصی به بعد موت الموصی و قبل قبوله،بناءً علی منع الوارث من التصرّف قبله </w:t>
      </w:r>
      <w:r>
        <w:rPr>
          <w:rStyle w:val="FootnoteAnchor"/>
          <w:rtl w:val="true"/>
        </w:rPr>
        <w:footnoteReference w:id="125"/>
      </w:r>
      <w:r>
        <w:rPr>
          <w:rFonts w:ascii="IRNazanin" w:hAnsi="IRNazanin" w:eastAsia="IRNazanin"/>
          <w:color w:val="111111"/>
          <w:sz w:val="28"/>
          <w:sz w:val="28"/>
          <w:szCs w:val="28"/>
          <w:rtl w:val="true"/>
          <w:lang w:bidi="fa-IR"/>
        </w:rPr>
        <w:t xml:space="preserve">،و تعلّقَ حقّ الشفعة بالمال؛فإنّه مانع من لزوم التصرّفات الواقعة من المالک، فللشفیع بعد الأخذ بالشفعة إبطالها،و تغذیةَ الولد المملوک بنطفة سیّده فیما إذا اشتری أمةً حُبلی فوطأها فأتت بالولد،بناءً علی عدم </w:t>
      </w:r>
      <w:r>
        <w:rPr>
          <w:rStyle w:val="FootnoteAnchor"/>
          <w:rtl w:val="true"/>
        </w:rPr>
        <w:footnoteReference w:id="126"/>
      </w:r>
      <w:r>
        <w:rPr>
          <w:rFonts w:ascii="IRNazanin" w:hAnsi="IRNazanin" w:eastAsia="IRNazanin"/>
          <w:color w:val="111111"/>
          <w:sz w:val="28"/>
          <w:sz w:val="28"/>
          <w:szCs w:val="28"/>
          <w:rtl w:val="true"/>
          <w:lang w:bidi="fa-IR"/>
        </w:rPr>
        <w:t xml:space="preserve">جواز بیعها </w:t>
      </w:r>
      <w:r>
        <w:rPr>
          <w:rStyle w:val="FootnoteAnchor"/>
          <w:rtl w:val="true"/>
        </w:rPr>
        <w:footnoteReference w:id="127"/>
      </w:r>
      <w:r>
        <w:rPr>
          <w:rFonts w:ascii="Amiri" w:hAnsi="Amiri" w:eastAsia="Amiri" w:cs="Amiri"/>
          <w:color w:val="111111"/>
          <w:sz w:val="28"/>
          <w:sz w:val="28"/>
          <w:szCs w:val="28"/>
          <w:rtl w:val="true"/>
          <w:lang w:bidi="ar-SA"/>
        </w:rPr>
        <w:t xml:space="preserve">،و کونَه مملوکاً ولد </w:t>
      </w:r>
      <w:r>
        <w:rPr>
          <w:rStyle w:val="FootnoteAnchor"/>
          <w:rtl w:val="true"/>
        </w:rPr>
        <w:footnoteReference w:id="128"/>
      </w:r>
      <w:r>
        <w:rPr>
          <w:rFonts w:ascii="Amiri" w:hAnsi="Amiri" w:eastAsia="Amiri" w:cs="Amiri"/>
          <w:color w:val="111111"/>
          <w:sz w:val="28"/>
          <w:sz w:val="28"/>
          <w:szCs w:val="28"/>
          <w:rtl w:val="true"/>
          <w:lang w:bidi="ar-SA"/>
        </w:rPr>
        <w:t xml:space="preserve">من حرّ شریک فی أُمّة </w:t>
      </w:r>
      <w:r>
        <w:rPr>
          <w:rStyle w:val="FootnoteAnchor"/>
          <w:rtl w:val="true"/>
        </w:rPr>
        <w:footnoteReference w:id="129"/>
      </w:r>
      <w:r>
        <w:rPr>
          <w:rFonts w:ascii="IRNazanin" w:hAnsi="IRNazanin" w:eastAsia="IRNazanin"/>
          <w:color w:val="111111"/>
          <w:sz w:val="28"/>
          <w:sz w:val="28"/>
          <w:szCs w:val="28"/>
          <w:rtl w:val="true"/>
          <w:lang w:bidi="fa-IR"/>
        </w:rPr>
        <w:t>حال الوطء، فإنّه مملوک له،لکن لیس له التصرّف فیه إلّا بتقویمه و أخذ قیمته،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تعارضَ السبب المملِّک و المزیل للملک،کما </w:t>
      </w:r>
      <w:r>
        <w:rPr>
          <w:rStyle w:val="FootnoteAnchor"/>
          <w:rtl w:val="true"/>
        </w:rPr>
        <w:footnoteReference w:id="130"/>
      </w:r>
      <w:r>
        <w:rPr>
          <w:rFonts w:ascii="Amiri" w:hAnsi="Amiri" w:eastAsia="Amiri" w:cs="Amiri"/>
          <w:color w:val="111111"/>
          <w:sz w:val="28"/>
          <w:sz w:val="28"/>
          <w:szCs w:val="28"/>
          <w:rtl w:val="true"/>
          <w:lang w:bidi="ar-SA"/>
        </w:rPr>
        <w:t xml:space="preserve">لو قَهَرَ حربیٌّ أباه </w:t>
      </w:r>
      <w:r>
        <w:rPr>
          <w:rStyle w:val="FootnoteAnchor"/>
          <w:rtl w:val="true"/>
        </w:rPr>
        <w:footnoteReference w:id="131"/>
      </w:r>
      <w:r>
        <w:rPr>
          <w:rFonts w:ascii="IRNazanin" w:hAnsi="IRNazanin" w:eastAsia="IRNazanin"/>
          <w:color w:val="111111"/>
          <w:sz w:val="28"/>
          <w:sz w:val="28"/>
          <w:szCs w:val="28"/>
          <w:rtl w:val="true"/>
          <w:lang w:bidi="fa-IR"/>
        </w:rPr>
        <w:t>، و الغنیمةَ قبل القسمة،بناءً علی حصول الملک بمجرّد الاستیلاء دون القسمة؛لاستحالة بقاء الملک بلا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ممّا سیقف علیه المتتبّع،لکنّا نقتصر علی ما اقتصر علیه الأصحاب من ذکر الوقف،ثمّ أُمّ الولد،ثمّ الرهن،ثمّ الجنایة،إن شاء اللّٰه</w:t>
      </w:r>
      <w:r>
        <w:rPr>
          <w:rFonts w:eastAsia="IRNazanin" w:cs="IRNazanin"/>
          <w:color w:val="111111"/>
          <w:sz w:val="28"/>
          <w:szCs w:val="28"/>
          <w:rtl w:val="true"/>
          <w:lang w:bidi="fa-IR"/>
        </w:rPr>
        <w:t>.</w:t>
      </w:r>
      <w:bookmarkStart w:id="99" w:name="pg19861_202315"/>
    </w:p>
    <w:p>
      <w:pPr>
        <w:pStyle w:val="Heading5"/>
        <w:numPr>
          <w:ilvl w:val="4"/>
          <w:numId w:val="1"/>
        </w:numPr>
        <w:rPr/>
      </w:pPr>
      <w:bookmarkStart w:id="100" w:name="__RefHeading___Toc5118913_2314609296"/>
      <w:bookmarkStart w:id="101" w:name="_Toc41"/>
      <w:bookmarkEnd w:id="99"/>
      <w:bookmarkEnd w:id="100"/>
      <w:r>
        <w:rPr>
          <w:rtl w:val="true"/>
        </w:rPr>
        <w:t>مسألة لا یجوز بیع الوقف إجماعاً محقّقاً فی الجملة و محکیّاً</w:t>
      </w:r>
      <w:bookmarkEnd w:id="101"/>
    </w:p>
    <w:p>
      <w:pPr>
        <w:pStyle w:val="Heading6"/>
        <w:numPr>
          <w:ilvl w:val="5"/>
          <w:numId w:val="1"/>
        </w:numPr>
        <w:rPr/>
      </w:pPr>
      <w:bookmarkStart w:id="102" w:name="__RefHeading___Toc5118915_2314609296"/>
      <w:bookmarkStart w:id="103" w:name="_Toc42"/>
      <w:bookmarkEnd w:id="102"/>
      <w:r>
        <w:rPr>
          <w:rtl w:val="true"/>
        </w:rPr>
        <w:t>اشاره</w:t>
      </w:r>
      <w:bookmarkEnd w:id="103"/>
    </w:p>
    <w:p>
      <w:pPr>
        <w:pStyle w:val="BookText"/>
        <w:rPr/>
      </w:pP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لعموم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أهلها</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أبی علی بن راشد،قال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 إنّی اشتریت أرضاً إلی جنب ضیعتی فلمّا عمّرتها خُبِّرت أنّها </w:t>
      </w:r>
      <w:r>
        <w:rPr>
          <w:rStyle w:val="FootnoteAnchor"/>
          <w:rtl w:val="true"/>
        </w:rPr>
        <w:footnoteReference w:id="134"/>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شراء الوقف،و لا تدخل الغلّة فی ملکک،ادفعها إلی مَن </w:t>
      </w:r>
      <w:r>
        <w:rPr>
          <w:rStyle w:val="FootnoteAnchor"/>
          <w:rtl w:val="true"/>
        </w:rPr>
        <w:footnoteReference w:id="135"/>
      </w:r>
      <w:r>
        <w:rPr>
          <w:rFonts w:ascii="Amiri" w:hAnsi="Amiri" w:eastAsia="Amiri" w:cs="Amiri"/>
          <w:color w:val="111111"/>
          <w:sz w:val="28"/>
          <w:sz w:val="28"/>
          <w:szCs w:val="28"/>
          <w:rtl w:val="true"/>
          <w:lang w:bidi="ar-SA"/>
        </w:rPr>
        <w:t>أُوقفت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 لها 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تصدّق بغلّتها</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bookmarkStart w:id="104" w:name="pg19861_202316"/>
    </w:p>
    <w:p>
      <w:pPr>
        <w:pStyle w:val="Heading6"/>
        <w:numPr>
          <w:ilvl w:val="5"/>
          <w:numId w:val="1"/>
        </w:numPr>
        <w:rPr/>
      </w:pPr>
      <w:bookmarkStart w:id="105" w:name="__RefHeading___Toc5118917_2314609296"/>
      <w:bookmarkStart w:id="106" w:name="_Toc43"/>
      <w:bookmarkEnd w:id="104"/>
      <w:bookmarkEnd w:id="105"/>
      <w:r>
        <w:rPr>
          <w:rtl w:val="true"/>
        </w:rPr>
        <w:t>[</w:t>
      </w:r>
      <w:r>
        <w:rPr>
          <w:rtl w:val="true"/>
        </w:rPr>
        <w:t>صورة وقف أمیر المؤمنین علیه السلام</w:t>
      </w:r>
      <w:r>
        <w:rPr>
          <w:rtl w:val="true"/>
        </w:rPr>
        <w:t>]</w:t>
      </w:r>
      <w:bookmarkEnd w:id="106"/>
    </w:p>
    <w:p>
      <w:pPr>
        <w:pStyle w:val="BookText"/>
        <w:rPr/>
      </w:pPr>
      <w:r>
        <w:rPr>
          <w:rFonts w:ascii="IRNazanin" w:hAnsi="IRNazanin" w:eastAsia="IRNazanin"/>
          <w:color w:val="111111"/>
          <w:sz w:val="28"/>
          <w:sz w:val="28"/>
          <w:szCs w:val="28"/>
          <w:rtl w:val="true"/>
          <w:lang w:bidi="fa-IR"/>
        </w:rPr>
        <w:t>و ما ورد من حکایة وقف أمیر المؤمنین علیه السلام و غیره من الأئمّة صلوات اللّٰه علیهم أجمعین،مثل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ربعی بن عبد اللّٰه عن أبی عبد اللّٰه علیه السلام فی صورة وقف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تصدّق به علیّ بن أبی طالب و هو حیٌّ 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تصدّق بداره التی فی بنی زُریق،صدقةً لا تباع و لا توهب حتّی یرثها اللّٰه الذی یرث السماوات و الأرض،و أسکن فلاناً هذه الصدقة ما عاش و عاش عقبه </w:t>
      </w:r>
      <w:r>
        <w:rPr>
          <w:rStyle w:val="FootnoteAnchor"/>
          <w:rtl w:val="true"/>
        </w:rPr>
        <w:footnoteReference w:id="137"/>
      </w:r>
      <w:r>
        <w:rPr>
          <w:rFonts w:ascii="IRNazanin" w:hAnsi="IRNazanin" w:eastAsia="IRNazanin"/>
          <w:color w:val="111111"/>
          <w:sz w:val="28"/>
          <w:sz w:val="28"/>
          <w:szCs w:val="28"/>
          <w:rtl w:val="true"/>
          <w:lang w:bidi="fa-IR"/>
        </w:rPr>
        <w:t>،فإذا انقرضوا فهی لذوی الحاجة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الخبر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الظاهر من الوصف کونها صفة لنوع الصدقة لا لشخصها، و یبعد کونها شرطاً خارجاً عن </w:t>
      </w:r>
      <w:r>
        <w:rPr>
          <w:rStyle w:val="FootnoteAnchor"/>
          <w:rtl w:val="true"/>
        </w:rPr>
        <w:footnoteReference w:id="140"/>
      </w:r>
      <w:r>
        <w:rPr>
          <w:rFonts w:ascii="IRNazanin" w:hAnsi="IRNazanin" w:eastAsia="IRNazanin"/>
          <w:color w:val="111111"/>
          <w:sz w:val="28"/>
          <w:sz w:val="28"/>
          <w:szCs w:val="28"/>
          <w:rtl w:val="true"/>
          <w:lang w:bidi="fa-IR"/>
        </w:rPr>
        <w:t>النوع مأخوذاً فی الشخص،مع أنّ سیاق الاشتراط یقتضی تأخّره عن رکن العقد،أعنی الموقوف علیهم، خصوصاً مع کونه اشتراطاً علیهم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لو جاز البیع فی بعض الأحیان کان اشتراط عدمه علی الإطلاق فاسداً،بل مفسداً؛لمخالفته للمشروع من جواز بیعه فی بعض</w:t>
      </w:r>
      <w:bookmarkStart w:id="107" w:name="pg19861_202317"/>
    </w:p>
    <w:p>
      <w:pPr>
        <w:pStyle w:val="BookText"/>
        <w:rPr/>
      </w:pPr>
      <w:bookmarkEnd w:id="107"/>
      <w:r>
        <w:rPr>
          <w:rFonts w:ascii="IRNazanin" w:hAnsi="IRNazanin" w:eastAsia="IRNazanin"/>
          <w:color w:val="111111"/>
          <w:sz w:val="28"/>
          <w:sz w:val="28"/>
          <w:szCs w:val="28"/>
          <w:rtl w:val="true"/>
          <w:lang w:bidi="fa-IR"/>
        </w:rPr>
        <w:t>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کدفع الفساد بین الموقوف علیهم أو رفعه،أو طروء الحاجة،أو صیرورته ممّا لا ینتفع به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الإطلاق نظیر الإطلاق المتقدّم فی روایة ابن راشد فی انصرافه إلی البیع لا لعذر،مع أنّ هذا التقیید ممّا لا بدّ منه علی تقدیر کون الصفة فصلاً للنوع أو شرطاً خارجیّاً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احتمال علم الإمام علیه السلام بعدم طروء هذه الأُمور المبیحة، و حینئذٍ یصحّ أن یستغنی بذلک عن التقیید علی تقدیر کون الصفة شرطاً،بخلاف ما لو جعل وصفاً داخلاً فی النوع؛فإنّ العلم بعدم طروء مسوّغات البیع فی الشخص لا یغنی عن تقیید إطلاق الوصف فی النوع،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التمسّک بإطلاق المنع عن البیع علی کون الوصف داخلاً فی أصل الوقف کما صدر عن بعض من عاصرناه </w:t>
      </w:r>
      <w:r>
        <w:rPr>
          <w:rStyle w:val="FootnoteAnchor"/>
          <w:rtl w:val="true"/>
        </w:rPr>
        <w:footnoteReference w:id="141"/>
      </w:r>
      <w:r>
        <w:rPr>
          <w:rFonts w:ascii="IRNazanin" w:hAnsi="IRNazanin" w:eastAsia="IRNazanin"/>
          <w:color w:val="111111"/>
          <w:sz w:val="28"/>
          <w:sz w:val="28"/>
          <w:szCs w:val="28"/>
          <w:rtl w:val="true"/>
          <w:lang w:bidi="fa-IR"/>
        </w:rPr>
        <w:t>لا یخلو عن نظر،و إن کان الإنصاف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ظهور سیاق الأوصاف فی کونها أوصافاً للنوع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w:t>
      </w:r>
    </w:p>
    <w:p>
      <w:pPr>
        <w:pStyle w:val="Heading6"/>
        <w:numPr>
          <w:ilvl w:val="5"/>
          <w:numId w:val="1"/>
        </w:numPr>
        <w:rPr/>
      </w:pPr>
      <w:bookmarkStart w:id="108" w:name="__RefHeading___Toc5118919_2314609296"/>
      <w:bookmarkStart w:id="109" w:name="_Toc44"/>
      <w:bookmarkEnd w:id="108"/>
      <w:r>
        <w:rPr>
          <w:rtl w:val="true"/>
        </w:rPr>
        <w:t>أنّ المانع عن بیع الوقف أُمور ثلاثة</w:t>
      </w:r>
      <w:r>
        <w:rPr>
          <w:rtl w:val="true"/>
        </w:rPr>
        <w:t>:</w:t>
      </w:r>
      <w:bookmarkEnd w:id="109"/>
    </w:p>
    <w:p>
      <w:pPr>
        <w:pStyle w:val="Heading6"/>
        <w:numPr>
          <w:ilvl w:val="5"/>
          <w:numId w:val="1"/>
        </w:numPr>
        <w:rPr/>
      </w:pPr>
      <w:bookmarkStart w:id="110" w:name="__RefHeading___Toc5118921_2314609296"/>
      <w:bookmarkStart w:id="111" w:name="_Toc45"/>
      <w:bookmarkEnd w:id="110"/>
      <w:r>
        <w:rPr>
          <w:rtl w:val="true"/>
        </w:rPr>
        <w:t>حقّ الواقف،</w:t>
      </w:r>
      <w:bookmarkEnd w:id="111"/>
    </w:p>
    <w:p>
      <w:pPr>
        <w:pStyle w:val="BookText"/>
        <w:rPr/>
      </w:pPr>
      <w:r>
        <w:rPr>
          <w:rFonts w:ascii="IRNazanin" w:hAnsi="IRNazanin" w:eastAsia="IRNazanin"/>
          <w:color w:val="111111"/>
          <w:sz w:val="28"/>
          <w:sz w:val="28"/>
          <w:szCs w:val="28"/>
          <w:rtl w:val="true"/>
          <w:lang w:bidi="fa-IR"/>
        </w:rPr>
        <w:t>حیث جعلها بمقتضی صیغة الوقف صدقة جاریة ینتفع بها</w:t>
      </w:r>
      <w:r>
        <w:rPr>
          <w:rFonts w:eastAsia="IRNazanin" w:cs="IRNazanin"/>
          <w:color w:val="111111"/>
          <w:sz w:val="28"/>
          <w:szCs w:val="28"/>
          <w:rtl w:val="true"/>
          <w:lang w:bidi="fa-IR"/>
        </w:rPr>
        <w:t>.</w:t>
      </w:r>
    </w:p>
    <w:p>
      <w:pPr>
        <w:pStyle w:val="Heading6"/>
        <w:numPr>
          <w:ilvl w:val="5"/>
          <w:numId w:val="1"/>
        </w:numPr>
        <w:rPr/>
      </w:pPr>
      <w:bookmarkStart w:id="112" w:name="__RefHeading___Toc5118923_2314609296"/>
      <w:bookmarkStart w:id="113" w:name="_Toc46"/>
      <w:bookmarkEnd w:id="112"/>
      <w:r>
        <w:rPr>
          <w:rtl w:val="true"/>
        </w:rPr>
        <w:t>و حقّ البطون المتأخّرة عن بطن البائع</w:t>
      </w:r>
      <w:bookmarkEnd w:id="11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114" w:name="pg19861_202318"/>
    </w:p>
    <w:p>
      <w:pPr>
        <w:pStyle w:val="Heading6"/>
        <w:numPr>
          <w:ilvl w:val="5"/>
          <w:numId w:val="1"/>
        </w:numPr>
        <w:rPr/>
      </w:pPr>
      <w:bookmarkStart w:id="115" w:name="__RefHeading___Toc5118925_2314609296"/>
      <w:bookmarkStart w:id="116" w:name="_Toc47"/>
      <w:bookmarkEnd w:id="114"/>
      <w:bookmarkEnd w:id="115"/>
      <w:r>
        <w:rPr>
          <w:rtl w:val="true"/>
        </w:rPr>
        <w:t>و التعبّد الشرعی المکشوف عنه بالروایات؛</w:t>
      </w:r>
      <w:bookmarkEnd w:id="116"/>
    </w:p>
    <w:p>
      <w:pPr>
        <w:pStyle w:val="BookText"/>
        <w:rPr/>
      </w:pPr>
      <w:r>
        <w:rPr>
          <w:rFonts w:ascii="Amiri" w:hAnsi="Amiri" w:eastAsia="Amiri" w:cs="Amiri"/>
          <w:color w:val="111111"/>
          <w:sz w:val="28"/>
          <w:sz w:val="28"/>
          <w:szCs w:val="28"/>
          <w:rtl w:val="true"/>
          <w:lang w:bidi="ar-SA"/>
        </w:rPr>
        <w:t>فإنّ الوقف متعلّق لحقّ اللّٰه؛حیث یعتبر فیه التقرّب و یکون للّٰه تعالی عمله و علیه عوضه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یرتفع بعض هذه الموانع فیبقی الباقی،و قد یرتفع کلّها، و سیجیء التفصیل</w:t>
      </w:r>
      <w:r>
        <w:rPr>
          <w:rFonts w:eastAsia="IRNazanin" w:cs="IRNazanin"/>
          <w:color w:val="111111"/>
          <w:sz w:val="28"/>
          <w:szCs w:val="28"/>
          <w:rtl w:val="true"/>
          <w:lang w:bidi="fa-IR"/>
        </w:rPr>
        <w:t>.</w:t>
      </w:r>
    </w:p>
    <w:p>
      <w:pPr>
        <w:pStyle w:val="Heading6"/>
        <w:numPr>
          <w:ilvl w:val="5"/>
          <w:numId w:val="1"/>
        </w:numPr>
        <w:rPr/>
      </w:pPr>
      <w:bookmarkStart w:id="117" w:name="__RefHeading___Toc5118927_2314609296"/>
      <w:bookmarkStart w:id="118" w:name="_Toc48"/>
      <w:bookmarkEnd w:id="117"/>
      <w:r>
        <w:rPr>
          <w:rtl w:val="true"/>
        </w:rPr>
        <w:t>[</w:t>
      </w:r>
      <w:r>
        <w:rPr>
          <w:rtl w:val="true"/>
        </w:rPr>
        <w:t>هل الوقف یبطل بنفس البیع أو بجوازه</w:t>
      </w:r>
      <w:r>
        <w:rPr>
          <w:rtl w:val="true"/>
        </w:rPr>
        <w:t>]</w:t>
      </w:r>
      <w:bookmarkEnd w:id="118"/>
    </w:p>
    <w:p>
      <w:pPr>
        <w:pStyle w:val="BookText"/>
        <w:rPr/>
      </w:pPr>
      <w:r>
        <w:rPr>
          <w:rFonts w:ascii="IRNazanin" w:hAnsi="IRNazanin" w:eastAsia="IRNazanin"/>
          <w:color w:val="111111"/>
          <w:sz w:val="28"/>
          <w:sz w:val="28"/>
          <w:szCs w:val="28"/>
          <w:rtl w:val="true"/>
          <w:lang w:bidi="fa-IR"/>
        </w:rPr>
        <w:t>ثمّ إنّ جواز البیع لا ینافی بقاء الوقف إلی أن یباع،فالوقف یبطل بنفس البیع لا بجوازه،فمعنی جواز بیع العین الموقوفة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إبطال وقفها إلی بدل أو لا إلیه؛فإنّ مدلول صیغة الوقف و إن أُخذ فیه الدوام و المنع عن المعاوضة علیه،إلّا أنّه قد یعرض ما یجوِّز مخالفة هذا الإنشاء،کما أنّ مقتضی العقد الجائز کالهبة تملیک المتّهَب المقتضی لتسلّطه المنافی لجواز انتزاعه من یده،و مع ذلک یجوز مخالفته و قطع سلطنته عنه،فتأمّل</w:t>
      </w:r>
      <w:r>
        <w:rPr>
          <w:rFonts w:eastAsia="IRNazanin" w:cs="IRNazanin"/>
          <w:color w:val="111111"/>
          <w:sz w:val="28"/>
          <w:szCs w:val="28"/>
          <w:rtl w:val="true"/>
          <w:lang w:bidi="fa-IR"/>
        </w:rPr>
        <w:t>.</w:t>
      </w:r>
    </w:p>
    <w:p>
      <w:pPr>
        <w:pStyle w:val="Heading6"/>
        <w:numPr>
          <w:ilvl w:val="5"/>
          <w:numId w:val="1"/>
        </w:numPr>
        <w:rPr/>
      </w:pPr>
      <w:bookmarkStart w:id="119" w:name="__RefHeading___Toc5118929_2314609296"/>
      <w:bookmarkStart w:id="120" w:name="_Toc49"/>
      <w:bookmarkEnd w:id="119"/>
      <w:r>
        <w:rPr>
          <w:rtl w:val="true"/>
        </w:rPr>
        <w:t>[</w:t>
      </w:r>
      <w:r>
        <w:rPr>
          <w:rtl w:val="true"/>
        </w:rPr>
        <w:t>کلام صاحب الجواهر و کاشف الغطاء فی أن الوقف یبطل بمجرد جواز البیع و المناقشة فیما أفاد صاحب الجواهر و کاشف الغطاء</w:t>
      </w:r>
      <w:r>
        <w:rPr>
          <w:rtl w:val="true"/>
        </w:rPr>
        <w:t>]</w:t>
      </w:r>
      <w:bookmarkEnd w:id="12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ذکر بعضٌ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یقوی فی النظر بعد إمعانه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الوقف ما دام وقفاً لا یجوز بیعه،بل لعلّ جواز بیعه مع کونه وقفاً من التضادّ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نعم،إذا بطل الوقف اتّجه حینئذٍ جواز بیعه،ثمّ ذکر بعض مبطلات الوقف المسوّغة لبیعه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سبقه إلی ذلک بعض الأساطین فی شرحه علی القواعد،حیث استدلّ علی المنع عن بیع الوقف بعد النصّ و الإجماع،بل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البیع و أضرابه ینافی حقیقة الوقف؛لأخذ الدوام فیه،و أنّ نفی المعاوضات مأخوذ فیه ابتداءً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أُرید من بطلانه انتفاء بعض آثاره و هو جواز البیع المسبَّب عن سقوط حقّ الموقوف علیهم عن شخص العین أو عنها و عن بدلها،حیث قلنا بکون الثمن للبطن الذی یبیع فهذا لا محصَّل له، فضلاً عن أن یحتاج إلی نظر،فضلاً عن إمعانه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أُرید به انتفاء أصل الوقف کما هو ظاهر کلامه حیث جعل المنع من البیع من مقوّمات مفهوم الوقف،ففیه مع کونه خلاف الإجماع؛إذ لم یقل أحد ممّن أجاز بیع الوقف فی بعض الموارد ببطلان الوقف و خروج الموقوف عن ملک الموقوف علیه إلی ملک الواقف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المنع عن البیع لیس مأخوذاً فی مفهومه،بل هو فی غیر المساجد و شبهها قسم من التملیک؛و لذا یطلق علیه الصدقة </w:t>
      </w:r>
      <w:r>
        <w:rPr>
          <w:rStyle w:val="FootnoteAnchor"/>
          <w:rtl w:val="true"/>
        </w:rPr>
        <w:footnoteReference w:id="145"/>
      </w:r>
      <w:r>
        <w:rPr>
          <w:rFonts w:ascii="IRNazanin" w:hAnsi="IRNazanin" w:eastAsia="IRNazanin"/>
          <w:color w:val="111111"/>
          <w:sz w:val="28"/>
          <w:sz w:val="28"/>
          <w:szCs w:val="28"/>
          <w:rtl w:val="true"/>
          <w:lang w:bidi="fa-IR"/>
        </w:rPr>
        <w:t xml:space="preserve">،و یجوز إیجابه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المالک له بطون متلاحقة،فإذا جاز بیعه مع الإبدال کان البائع ولیّاً عن جمیع الملّاک فی إبدال مالهم بمالٍ آخر،و إذا جاز لا معه کما إذا بیع لضرورة البطن الموجود علی القول بجوازه فقد جعل الشارع لهم حقّ إبطال الوقف ببیعه لأنفسهم،فإذا لم یبیعوا لم یبطل؛ و لذا </w:t>
      </w:r>
      <w:r>
        <w:rPr>
          <w:rStyle w:val="FootnoteAnchor"/>
          <w:rtl w:val="true"/>
        </w:rPr>
        <w:footnoteReference w:id="146"/>
      </w:r>
      <w:r>
        <w:rPr>
          <w:rFonts w:ascii="IRNazanin" w:hAnsi="IRNazanin" w:eastAsia="IRNazanin"/>
          <w:color w:val="111111"/>
          <w:sz w:val="28"/>
          <w:sz w:val="28"/>
          <w:szCs w:val="28"/>
          <w:rtl w:val="true"/>
          <w:lang w:bidi="fa-IR"/>
        </w:rPr>
        <w:t xml:space="preserve">لو فرض اندفاع الضرورة بعد الحکم بجواز البیع أو لم یتّفق البیع،کان الوقف علی حاله؛و لذا صرّح فی جامع المقاصد بعدم جواز رهن الوقف و إن بلغ حدّا یجوز بیعه؛معلّلاً باحتمال طروّ الیسار للموقوف علیهم عند إرادة بیعه فی دَین المرتهن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bookmarkStart w:id="121" w:name="pg19861_202320"/>
    </w:p>
    <w:p>
      <w:pPr>
        <w:pStyle w:val="Heading6"/>
        <w:numPr>
          <w:ilvl w:val="5"/>
          <w:numId w:val="1"/>
        </w:numPr>
        <w:rPr/>
      </w:pPr>
      <w:bookmarkStart w:id="122" w:name="__RefHeading___Toc5118931_2314609296"/>
      <w:bookmarkStart w:id="123" w:name="_Toc50"/>
      <w:bookmarkEnd w:id="121"/>
      <w:bookmarkEnd w:id="122"/>
      <w:r>
        <w:rPr>
          <w:rtl w:val="true"/>
        </w:rPr>
        <w:t>[</w:t>
      </w:r>
      <w:r>
        <w:rPr>
          <w:rtl w:val="true"/>
        </w:rPr>
        <w:t>الأقوال فی الخروج عن عموم منع بیع الوقف</w:t>
      </w:r>
      <w:r>
        <w:rPr>
          <w:rtl w:val="true"/>
        </w:rPr>
        <w:t>]</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الأقوال فی الخروج عن عموم منع بیع الوقف</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إذا عرفت </w:t>
      </w:r>
      <w:r>
        <w:rPr>
          <w:rStyle w:val="FootnoteAnchor"/>
          <w:rtl w:val="true"/>
        </w:rPr>
        <w:footnoteReference w:id="149"/>
      </w:r>
      <w:r>
        <w:rPr>
          <w:rFonts w:ascii="IRNazanin" w:hAnsi="IRNazanin" w:eastAsia="IRNazanin"/>
          <w:color w:val="111111"/>
          <w:sz w:val="28"/>
          <w:sz w:val="28"/>
          <w:szCs w:val="28"/>
          <w:rtl w:val="true"/>
          <w:lang w:bidi="fa-IR"/>
        </w:rPr>
        <w:t xml:space="preserve">أنّ مقتضی العمومات </w:t>
      </w:r>
      <w:r>
        <w:rPr>
          <w:rStyle w:val="FootnoteAnchor"/>
          <w:rtl w:val="true"/>
        </w:rPr>
        <w:footnoteReference w:id="150"/>
      </w:r>
      <w:r>
        <w:rPr>
          <w:rFonts w:ascii="IRNazanin" w:hAnsi="IRNazanin" w:eastAsia="IRNazanin"/>
          <w:color w:val="111111"/>
          <w:sz w:val="28"/>
          <w:sz w:val="28"/>
          <w:szCs w:val="28"/>
          <w:rtl w:val="true"/>
          <w:lang w:bidi="fa-IR"/>
        </w:rPr>
        <w:t>فی الوقف عدم جواز البیع،</w:t>
      </w:r>
    </w:p>
    <w:p>
      <w:pPr>
        <w:pStyle w:val="Heading6"/>
        <w:numPr>
          <w:ilvl w:val="5"/>
          <w:numId w:val="1"/>
        </w:numPr>
        <w:rPr/>
      </w:pPr>
      <w:bookmarkStart w:id="124" w:name="__RefHeading___Toc5118933_2314609296"/>
      <w:bookmarkStart w:id="125" w:name="_Toc51"/>
      <w:bookmarkEnd w:id="124"/>
      <w:r>
        <w:rPr>
          <w:rtl w:val="true"/>
        </w:rPr>
        <w:t>فاعلم أنّ لأصحابنا فی الخروج عن عموم المنع فی الجملة أقوالاً</w:t>
      </w:r>
      <w:r>
        <w:rPr>
          <w:rtl w:val="true"/>
        </w:rPr>
        <w:t>:</w:t>
      </w:r>
      <w:bookmarkEnd w:id="125"/>
    </w:p>
    <w:p>
      <w:pPr>
        <w:pStyle w:val="Heading6"/>
        <w:numPr>
          <w:ilvl w:val="5"/>
          <w:numId w:val="1"/>
        </w:numPr>
        <w:rPr/>
      </w:pPr>
      <w:bookmarkStart w:id="126" w:name="__RefHeading___Toc5118935_2314609296"/>
      <w:bookmarkStart w:id="127" w:name="_Toc52"/>
      <w:bookmarkEnd w:id="126"/>
      <w:r>
        <w:rPr>
          <w:rtl w:val="true"/>
        </w:rPr>
        <w:t>أحدها</w:t>
      </w:r>
      <w:r>
        <w:rPr>
          <w:rtl w:val="true"/>
        </w:rPr>
        <w:t xml:space="preserve">: </w:t>
      </w:r>
      <w:r>
        <w:rPr>
          <w:rtl w:val="true"/>
        </w:rPr>
        <w:t>عدم الخروج عنه أصلاً،</w:t>
      </w:r>
      <w:bookmarkEnd w:id="127"/>
    </w:p>
    <w:p>
      <w:pPr>
        <w:pStyle w:val="BookText"/>
        <w:rPr/>
      </w:pPr>
      <w:r>
        <w:rPr>
          <w:rFonts w:ascii="IRNazanin" w:hAnsi="IRNazanin" w:eastAsia="IRNazanin"/>
          <w:color w:val="111111"/>
          <w:sz w:val="28"/>
          <w:sz w:val="28"/>
          <w:szCs w:val="28"/>
          <w:rtl w:val="true"/>
          <w:lang w:bidi="fa-IR"/>
        </w:rPr>
        <w:t>و هو الظاهر من کلام الحلّی، حیث قال فی السرائر بعد نقل کلام المفید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یقتضیه مذهبنا أنّه بعد وقفه و تقبیضه </w:t>
      </w:r>
      <w:r>
        <w:rPr>
          <w:rStyle w:val="FootnoteAnchor"/>
          <w:rtl w:val="true"/>
        </w:rPr>
        <w:footnoteReference w:id="151"/>
      </w:r>
      <w:r>
        <w:rPr>
          <w:rFonts w:ascii="IRNazanin" w:hAnsi="IRNazanin" w:eastAsia="IRNazanin"/>
          <w:color w:val="111111"/>
          <w:sz w:val="28"/>
          <w:sz w:val="28"/>
          <w:szCs w:val="28"/>
          <w:rtl w:val="true"/>
          <w:lang w:bidi="fa-IR"/>
        </w:rPr>
        <w:t xml:space="preserve">لا یجوز الرجوع فیه،و لا تغییره عن وجوهه و سُبُله،و لا بیعه،سواء کان بیعه أدرّ </w:t>
      </w:r>
      <w:r>
        <w:rPr>
          <w:rStyle w:val="FootnoteAnchor"/>
          <w:rtl w:val="true"/>
        </w:rPr>
        <w:footnoteReference w:id="152"/>
      </w:r>
      <w:r>
        <w:rPr>
          <w:rFonts w:ascii="IRNazanin" w:hAnsi="IRNazanin" w:eastAsia="IRNazanin"/>
          <w:color w:val="111111"/>
          <w:sz w:val="28"/>
          <w:sz w:val="28"/>
          <w:szCs w:val="28"/>
          <w:rtl w:val="true"/>
          <w:lang w:bidi="fa-IR"/>
        </w:rPr>
        <w:t xml:space="preserve">علیهم أم لا،و سواء خرب الوقف و لا یوجد من یراعیه بعمارة من سلطان و غیره،أو یحصل بحیث لا یجدی نفعاً،أم لا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الشهید رحمه اللّٰه بعد نقل أقوال المجوّزین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إدریس سدَّ الباب،و هو نادر مع قوّته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ادّعی فی السرائر عدم الخلاف فی المؤبَّد،قال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الخلاف الذی حکیناه بین أصحابنا إنّما هو إذا کان الوقف علی قوم مخصوصین و لیس فیه شرط یقتضی رجوعه إلی غیرهم،و أمّا إذا کان الوقف علی قوم و مِن بعدهم علی غیرهم و کان الواقف قد اشترط رجوعه إلی غیره إلی أن یرث اللّٰه الأرض،لم یجز بیعه علی وجهٍ،بغیر خلاف بین أصحابنا </w:t>
      </w:r>
      <w:r>
        <w:rPr>
          <w:rStyle w:val="FootnoteAnchor"/>
          <w:rtl w:val="true"/>
        </w:rPr>
        <w:footnoteReference w:id="15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یظهر ممّا سیأتی من ظهور أقوال کثیرٍ من المجوّزین فی المؤبّد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المنع مطلقاً عن الإسکافی </w:t>
      </w:r>
      <w:r>
        <w:rPr>
          <w:rStyle w:val="FootnoteAnchor"/>
          <w:rtl w:val="true"/>
        </w:rPr>
        <w:footnoteReference w:id="156"/>
      </w:r>
      <w:r>
        <w:rPr>
          <w:rFonts w:ascii="IRNazanin" w:hAnsi="IRNazanin" w:eastAsia="IRNazanin"/>
          <w:color w:val="111111"/>
          <w:sz w:val="28"/>
          <w:sz w:val="28"/>
          <w:szCs w:val="28"/>
          <w:rtl w:val="true"/>
          <w:lang w:bidi="fa-IR"/>
        </w:rPr>
        <w:t xml:space="preserve">و فخر الإسلام </w:t>
      </w:r>
      <w:r>
        <w:rPr>
          <w:rStyle w:val="FootnoteAnchor"/>
          <w:rtl w:val="true"/>
        </w:rPr>
        <w:footnoteReference w:id="157"/>
      </w:r>
      <w:r>
        <w:rPr>
          <w:rFonts w:ascii="IRNazanin" w:hAnsi="IRNazanin" w:eastAsia="IRNazanin"/>
          <w:color w:val="111111"/>
          <w:sz w:val="28"/>
          <w:sz w:val="28"/>
          <w:szCs w:val="28"/>
          <w:rtl w:val="true"/>
          <w:lang w:bidi="fa-IR"/>
        </w:rPr>
        <w:t xml:space="preserve">أیضاً إلّا فی آلات الموقوف </w:t>
      </w:r>
      <w:r>
        <w:rPr>
          <w:rStyle w:val="FootnoteAnchor"/>
          <w:rtl w:val="true"/>
        </w:rPr>
        <w:footnoteReference w:id="158"/>
      </w:r>
      <w:r>
        <w:rPr>
          <w:rFonts w:ascii="IRNazanin" w:hAnsi="IRNazanin" w:eastAsia="IRNazanin"/>
          <w:color w:val="111111"/>
          <w:sz w:val="28"/>
          <w:sz w:val="28"/>
          <w:szCs w:val="28"/>
          <w:rtl w:val="true"/>
          <w:lang w:bidi="fa-IR"/>
        </w:rPr>
        <w:t>و أجزائه التی انحصر طریق الانتفاع بها فی البیع</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الإسکافی فیما </w:t>
      </w:r>
      <w:r>
        <w:rPr>
          <w:rStyle w:val="FootnoteAnchor"/>
          <w:rtl w:val="true"/>
        </w:rPr>
        <w:footnoteReference w:id="159"/>
      </w:r>
      <w:r>
        <w:rPr>
          <w:rFonts w:ascii="IRNazanin" w:hAnsi="IRNazanin" w:eastAsia="IRNazanin"/>
          <w:color w:val="111111"/>
          <w:sz w:val="28"/>
          <w:sz w:val="28"/>
          <w:szCs w:val="28"/>
          <w:rtl w:val="true"/>
          <w:lang w:bidi="fa-IR"/>
        </w:rPr>
        <w:t>حکی عنه فی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الموقوف </w:t>
      </w:r>
      <w:r>
        <w:rPr>
          <w:rStyle w:val="FootnoteAnchor"/>
          <w:rtl w:val="true"/>
        </w:rPr>
        <w:footnoteReference w:id="160"/>
      </w:r>
      <w:r>
        <w:rPr>
          <w:rFonts w:ascii="IRNazanin" w:hAnsi="IRNazanin" w:eastAsia="IRNazanin"/>
          <w:color w:val="111111"/>
          <w:sz w:val="28"/>
          <w:sz w:val="28"/>
          <w:szCs w:val="28"/>
          <w:rtl w:val="true"/>
          <w:lang w:bidi="fa-IR"/>
        </w:rPr>
        <w:t xml:space="preserve">رقیقاً أو غیره لو بلغ حاله إلی زوال ما سبّله من منفعته فلا بأس ببیعه و إبدال مکانه بثمنه إن أمکن،أو صرفه فیما کان یصرف </w:t>
      </w:r>
      <w:r>
        <w:rPr>
          <w:rStyle w:val="FootnoteAnchor"/>
          <w:rtl w:val="true"/>
        </w:rPr>
        <w:footnoteReference w:id="161"/>
      </w:r>
      <w:r>
        <w:rPr>
          <w:rFonts w:ascii="IRNazanin" w:hAnsi="IRNazanin" w:eastAsia="IRNazanin"/>
          <w:color w:val="111111"/>
          <w:sz w:val="28"/>
          <w:sz w:val="28"/>
          <w:szCs w:val="28"/>
          <w:rtl w:val="true"/>
          <w:lang w:bidi="fa-IR"/>
        </w:rPr>
        <w:t>إلیه منفعته، أو ردّ ثمنه علی منافع ما بقی من أصل ما حبس معه إذا کان</w:t>
      </w:r>
      <w:bookmarkStart w:id="128" w:name="pg19861_202322"/>
    </w:p>
    <w:p>
      <w:pPr>
        <w:pStyle w:val="BookText"/>
        <w:rPr/>
      </w:pPr>
      <w:bookmarkEnd w:id="128"/>
      <w:r>
        <w:rPr>
          <w:rFonts w:ascii="IRNazanin" w:hAnsi="IRNazanin" w:eastAsia="IRNazanin"/>
          <w:color w:val="111111"/>
          <w:sz w:val="28"/>
          <w:sz w:val="28"/>
          <w:szCs w:val="28"/>
          <w:rtl w:val="true"/>
          <w:lang w:bidi="fa-IR"/>
        </w:rPr>
        <w:t xml:space="preserve">فی ذلک صلاح </w:t>
      </w:r>
      <w:r>
        <w:rPr>
          <w:rStyle w:val="FootnoteAnchor"/>
          <w:rtl w:val="true"/>
        </w:rPr>
        <w:footnoteReference w:id="16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فخر الدین فی الإیضاح فی شرح قول والده 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خَلِقَ حصیر المسجد،و خرج عن الانتفاع به،أو انکسر الجذع بحیث لا ینتفع به فی غیر الإحراق،فالأقرب جواز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بعد احتمال المنع،بعموم النصّ فی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الأصحّ عندی جواز بیعه و صرف ثمنه فی المماثل إن أمکن،و إلّا ففی غیره </w:t>
      </w:r>
      <w:r>
        <w:rPr>
          <w:rStyle w:val="FootnoteAnchor"/>
          <w:rtl w:val="true"/>
        </w:rPr>
        <w:footnoteReference w:id="16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نسبة المنع إلیهما علی الإطلاق لا بدّ أن تُبنی علی خروج مثل هذا عن محلّ الخلاف،و سیظهر هذا من عبارة الحلبی فی الکافی أیضاً، فلاحظ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9" w:name="__RefHeading___Toc5118937_2314609296"/>
      <w:bookmarkStart w:id="130" w:name="_Toc53"/>
      <w:bookmarkEnd w:id="129"/>
      <w:r>
        <w:rPr>
          <w:rtl w:val="true"/>
        </w:rPr>
        <w:t>الثانی الخروج عن عموم المنع فی المنقطع فی الجملة</w:t>
      </w:r>
      <w:bookmarkEnd w:id="13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دون المؤبّد،و هو المحکیّ عن القاضی،حیث قال فی محکیّ 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الشیء وقفاً علی قوم و من بعدهم علی </w:t>
      </w:r>
      <w:r>
        <w:rPr>
          <w:rStyle w:val="FootnoteAnchor"/>
          <w:rtl w:val="true"/>
        </w:rPr>
        <w:footnoteReference w:id="166"/>
      </w:r>
      <w:r>
        <w:rPr>
          <w:rFonts w:ascii="IRNazanin" w:hAnsi="IRNazanin" w:eastAsia="IRNazanin"/>
          <w:color w:val="111111"/>
          <w:sz w:val="28"/>
          <w:sz w:val="28"/>
          <w:szCs w:val="28"/>
          <w:rtl w:val="true"/>
          <w:lang w:bidi="fa-IR"/>
        </w:rPr>
        <w:t>غیرهم و کان الواقف قد</w:t>
      </w:r>
    </w:p>
    <w:p>
      <w:pPr>
        <w:pStyle w:val="BookText"/>
        <w:rPr/>
      </w:pPr>
      <w:r>
        <w:rPr>
          <w:rFonts w:ascii="IRNazanin" w:hAnsi="IRNazanin" w:eastAsia="IRNazanin"/>
          <w:color w:val="111111"/>
          <w:sz w:val="28"/>
          <w:sz w:val="28"/>
          <w:szCs w:val="28"/>
          <w:rtl w:val="true"/>
          <w:lang w:bidi="fa-IR"/>
        </w:rPr>
        <w:t xml:space="preserve">اشترط رجوعه إلی غیر ذلک إلی أن یرث اللّٰه تعالی </w:t>
      </w:r>
      <w:r>
        <w:rPr>
          <w:rStyle w:val="FootnoteAnchor"/>
          <w:rtl w:val="true"/>
        </w:rPr>
        <w:footnoteReference w:id="167"/>
      </w:r>
      <w:r>
        <w:rPr>
          <w:rFonts w:ascii="IRNazanin" w:hAnsi="IRNazanin" w:eastAsia="IRNazanin"/>
          <w:color w:val="111111"/>
          <w:sz w:val="28"/>
          <w:sz w:val="28"/>
          <w:szCs w:val="28"/>
          <w:rtl w:val="true"/>
          <w:lang w:bidi="fa-IR"/>
        </w:rPr>
        <w:t>الأرض و من علیها،لم یجز بیعه علی وجهٍ من الوجوه،فإن کان وقفاً علی قومٍ مخصوصین و لیس فیه شرطٌ یقتضی رجوعه إلی غیرهم حسب ما قدّمناه، و حصل الخوف من هلاکه أو فساده،أو کان بأربابه حاجةٌ ضروریّة یکون بیعه أصلح لهم من بقائه علیهم،أو یخاف من وقوع خُلْفٍ بینهم یؤدّی إلی فساده؛فإنّه حینئذٍ یجوز بیعه و صرف ثمنه فی مصالحهم علی حسب استحقاقهم،فإن لم یحصل شیءٌ من ذلک لم یجز بیعه علی وجهٍ من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یجوز هبة الوقف،و لا الصدقة به أیضاً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حکی عن المختلف و جماعة </w:t>
      </w:r>
      <w:r>
        <w:rPr>
          <w:rStyle w:val="FootnoteAnchor"/>
          <w:rtl w:val="true"/>
        </w:rPr>
        <w:footnoteReference w:id="169"/>
      </w:r>
      <w:r>
        <w:rPr>
          <w:rFonts w:ascii="IRNazanin" w:hAnsi="IRNazanin" w:eastAsia="IRNazanin"/>
          <w:color w:val="111111"/>
          <w:sz w:val="28"/>
          <w:sz w:val="28"/>
          <w:szCs w:val="28"/>
          <w:rtl w:val="true"/>
          <w:lang w:bidi="fa-IR"/>
        </w:rPr>
        <w:t xml:space="preserve">نسبة التفصیل إلی الحلبی،لکن العبارة المحکیّة عن کافیه لا تساعده،بل ربما استظهر </w:t>
      </w:r>
      <w:r>
        <w:rPr>
          <w:rStyle w:val="FootnoteAnchor"/>
          <w:rtl w:val="true"/>
        </w:rPr>
        <w:footnoteReference w:id="170"/>
      </w:r>
      <w:r>
        <w:rPr>
          <w:rFonts w:ascii="IRNazanin" w:hAnsi="IRNazanin" w:eastAsia="IRNazanin"/>
          <w:color w:val="111111"/>
          <w:sz w:val="28"/>
          <w:sz w:val="28"/>
          <w:szCs w:val="28"/>
          <w:rtl w:val="true"/>
          <w:lang w:bidi="fa-IR"/>
        </w:rPr>
        <w:t>منه المنع علی الإطلاق،فراجع</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التفصیل المذکور عن الصدوق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المحکی عن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بعد روایة علی بن مهزیار الآتیة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وقف کان علیهم</w:t>
      </w:r>
    </w:p>
    <w:p>
      <w:pPr>
        <w:pStyle w:val="BookText"/>
        <w:rPr/>
      </w:pPr>
      <w:r>
        <w:rPr>
          <w:rFonts w:ascii="IRNazanin" w:hAnsi="IRNazanin" w:eastAsia="IRNazanin"/>
          <w:color w:val="111111"/>
          <w:sz w:val="28"/>
          <w:sz w:val="28"/>
          <w:szCs w:val="28"/>
          <w:rtl w:val="true"/>
          <w:lang w:bidi="fa-IR"/>
        </w:rPr>
        <w:t xml:space="preserve">دون مَن بعدهم،و لو کان علیهم و علی أولادهم ما تناسلوا و من بعد </w:t>
      </w:r>
      <w:r>
        <w:rPr>
          <w:rStyle w:val="FootnoteAnchor"/>
          <w:rtl w:val="true"/>
        </w:rPr>
        <w:footnoteReference w:id="173"/>
      </w:r>
      <w:r>
        <w:rPr>
          <w:rFonts w:ascii="IRNazanin" w:hAnsi="IRNazanin" w:eastAsia="IRNazanin"/>
          <w:color w:val="111111"/>
          <w:sz w:val="28"/>
          <w:sz w:val="28"/>
          <w:szCs w:val="28"/>
          <w:rtl w:val="true"/>
          <w:lang w:bidi="fa-IR"/>
        </w:rPr>
        <w:t xml:space="preserve">علی فقراء المسلمین إلی أن یرث اللّٰه تعالی الأرض و من علیها،لم یجز بیعه أبداً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جواز بیع ما عدا الطبقة الأخیرة فی المنقطع لا یظهر من کلام الصدوق و القاضی،کما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هؤلاء إن کانوا ممّن یقول </w:t>
      </w:r>
      <w:r>
        <w:rPr>
          <w:rStyle w:val="FootnoteAnchor"/>
          <w:rtl w:val="true"/>
        </w:rPr>
        <w:footnoteReference w:id="175"/>
      </w:r>
      <w:r>
        <w:rPr>
          <w:rFonts w:ascii="IRNazanin" w:hAnsi="IRNazanin" w:eastAsia="IRNazanin"/>
          <w:color w:val="111111"/>
          <w:sz w:val="28"/>
          <w:sz w:val="28"/>
          <w:szCs w:val="28"/>
          <w:rtl w:val="true"/>
          <w:lang w:bidi="fa-IR"/>
        </w:rPr>
        <w:t>برجوع الوقف المنقطع إلی ورثة الموقوف علیه،فللقول بجواز بیعه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إذا کان فیهم </w:t>
      </w:r>
      <w:r>
        <w:rPr>
          <w:rStyle w:val="FootnoteAnchor"/>
          <w:rtl w:val="true"/>
        </w:rPr>
        <w:footnoteReference w:id="176"/>
      </w:r>
      <w:r>
        <w:rPr>
          <w:rFonts w:ascii="IRNazanin" w:hAnsi="IRNazanin" w:eastAsia="IRNazanin"/>
          <w:color w:val="111111"/>
          <w:sz w:val="28"/>
          <w:sz w:val="28"/>
          <w:szCs w:val="28"/>
          <w:rtl w:val="true"/>
          <w:lang w:bidi="fa-IR"/>
        </w:rPr>
        <w:t>من یقول برجوعه بعد انقراض الموقوف علیه إلی الواقف أو ورثته،فلا وجه للحکم بجواز بیعه و صرف الموقوف علیهم ثَمَنه فی مصالحهم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حکی القول بهذین </w:t>
      </w:r>
      <w:r>
        <w:rPr>
          <w:rStyle w:val="FootnoteAnchor"/>
          <w:rtl w:val="true"/>
        </w:rPr>
        <w:footnoteReference w:id="177"/>
      </w:r>
      <w:r>
        <w:rPr>
          <w:rFonts w:ascii="IRNazanin" w:hAnsi="IRNazanin" w:eastAsia="IRNazanin"/>
          <w:color w:val="111111"/>
          <w:sz w:val="28"/>
          <w:sz w:val="28"/>
          <w:szCs w:val="28"/>
          <w:rtl w:val="true"/>
          <w:lang w:bidi="fa-IR"/>
        </w:rPr>
        <w:t xml:space="preserve">عن القاضی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یوجّه بأنّه لا یقول ببقائه علی ملک الواقف حین الوقف </w:t>
      </w:r>
      <w:r>
        <w:rPr>
          <w:rStyle w:val="FootnoteAnchor"/>
          <w:rtl w:val="true"/>
        </w:rPr>
        <w:footnoteReference w:id="179"/>
      </w:r>
      <w:r>
        <w:rPr>
          <w:rFonts w:ascii="IRNazanin" w:hAnsi="IRNazanin" w:eastAsia="IRNazanin"/>
          <w:color w:val="111111"/>
          <w:sz w:val="28"/>
          <w:sz w:val="28"/>
          <w:szCs w:val="28"/>
          <w:rtl w:val="true"/>
          <w:lang w:bidi="fa-IR"/>
        </w:rPr>
        <w:t>حتّی یکون حبساً،بل هو وقف حقیقی و تملیک للموقوف علیهم مدّة وجودهم،و حینئذٍ فبیعهم له مع تعلّق حقّ الواقف نظیر بیع البطن الأوّل مع تعلّق حقّ سائر البطون فی الوقف المؤبّد</w:t>
      </w:r>
      <w:r>
        <w:rPr>
          <w:rFonts w:eastAsia="IRNazanin" w:cs="IRNazanin"/>
          <w:color w:val="111111"/>
          <w:sz w:val="28"/>
          <w:szCs w:val="28"/>
          <w:rtl w:val="true"/>
          <w:lang w:bidi="fa-IR"/>
        </w:rPr>
        <w:t>.</w:t>
      </w:r>
      <w:bookmarkStart w:id="131" w:name="pg19861_202325"/>
    </w:p>
    <w:p>
      <w:pPr>
        <w:pStyle w:val="BookText"/>
        <w:rPr/>
      </w:pPr>
      <w:bookmarkEnd w:id="131"/>
      <w:r>
        <w:rPr>
          <w:rFonts w:ascii="IRNazanin" w:hAnsi="IRNazanin" w:eastAsia="IRNazanin"/>
          <w:color w:val="111111"/>
          <w:sz w:val="28"/>
          <w:sz w:val="28"/>
          <w:szCs w:val="28"/>
          <w:rtl w:val="true"/>
          <w:lang w:bidi="fa-IR"/>
        </w:rPr>
        <w:t xml:space="preserve">لکن هذا الوجه لا یدفع الإشکال عن الحلبی،المحکیّ عنه القول المتقدّم </w:t>
      </w:r>
      <w:r>
        <w:rPr>
          <w:rStyle w:val="FootnoteAnchor"/>
          <w:rtl w:val="true"/>
        </w:rPr>
        <w:footnoteReference w:id="180"/>
      </w:r>
      <w:r>
        <w:rPr>
          <w:rFonts w:ascii="IRNazanin" w:hAnsi="IRNazanin" w:eastAsia="IRNazanin"/>
          <w:color w:val="111111"/>
          <w:sz w:val="28"/>
          <w:sz w:val="28"/>
          <w:szCs w:val="28"/>
          <w:rtl w:val="true"/>
          <w:lang w:bidi="fa-IR"/>
        </w:rPr>
        <w:t xml:space="preserve">،حیث إنّه یقول ببقاء </w:t>
      </w:r>
      <w:r>
        <w:rPr>
          <w:rStyle w:val="FootnoteAnchor"/>
          <w:rtl w:val="true"/>
        </w:rPr>
        <w:footnoteReference w:id="181"/>
      </w:r>
      <w:r>
        <w:rPr>
          <w:rFonts w:ascii="IRNazanin" w:hAnsi="IRNazanin" w:eastAsia="IRNazanin"/>
          <w:color w:val="111111"/>
          <w:sz w:val="28"/>
          <w:sz w:val="28"/>
          <w:szCs w:val="28"/>
          <w:rtl w:val="true"/>
          <w:lang w:bidi="fa-IR"/>
        </w:rPr>
        <w:t xml:space="preserve">الوقف مطلقاً علی ملک الواقف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2" w:name="__RefHeading___Toc5118939_2314609296"/>
      <w:bookmarkStart w:id="133" w:name="_Toc54"/>
      <w:bookmarkEnd w:id="132"/>
      <w:r>
        <w:rPr>
          <w:rtl w:val="true"/>
        </w:rPr>
        <w:t>الثالث</w:t>
      </w:r>
      <w:r>
        <w:rPr>
          <w:rtl w:val="true"/>
        </w:rPr>
        <w:t xml:space="preserve">: </w:t>
      </w:r>
      <w:r>
        <w:rPr>
          <w:rtl w:val="true"/>
        </w:rPr>
        <w:t>الخروج عن عموم المنع و الحکم بالجواز فی المؤبّد</w:t>
      </w:r>
      <w:bookmarkEnd w:id="133"/>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عن عموم المنع و الحکم بالجواز فی المؤبّد </w:t>
      </w:r>
      <w:r>
        <w:rPr>
          <w:rStyle w:val="FootnoteAnchor"/>
          <w:rtl w:val="true"/>
        </w:rPr>
        <w:footnoteReference w:id="183"/>
      </w:r>
      <w:r>
        <w:rPr>
          <w:rFonts w:ascii="IRNazanin" w:hAnsi="IRNazanin" w:eastAsia="IRNazanin"/>
          <w:color w:val="111111"/>
          <w:sz w:val="28"/>
          <w:sz w:val="28"/>
          <w:szCs w:val="28"/>
          <w:rtl w:val="true"/>
          <w:lang w:bidi="fa-IR"/>
        </w:rPr>
        <w:t>فی الجملة،</w:t>
      </w:r>
    </w:p>
    <w:p>
      <w:pPr>
        <w:pStyle w:val="BookText"/>
        <w:rPr/>
      </w:pPr>
      <w:r>
        <w:rPr>
          <w:rFonts w:ascii="IRNazanin" w:hAnsi="IRNazanin" w:eastAsia="IRNazanin"/>
          <w:color w:val="111111"/>
          <w:sz w:val="28"/>
          <w:sz w:val="28"/>
          <w:szCs w:val="28"/>
          <w:rtl w:val="true"/>
          <w:lang w:bidi="fa-IR"/>
        </w:rPr>
        <w:t xml:space="preserve">و أمّا المنقطع فلم ینصّوا علیه و إن ظهر من بعضهم التعمیم و من بعضهم التخصیص بناءً علی قوله برجوع المنقطع إلی ورثة الواقف،کالشیخ </w:t>
      </w:r>
      <w:r>
        <w:rPr>
          <w:rStyle w:val="FootnoteAnchor"/>
          <w:rtl w:val="true"/>
        </w:rPr>
        <w:footnoteReference w:id="184"/>
      </w:r>
      <w:r>
        <w:rPr>
          <w:rFonts w:ascii="Amiri" w:hAnsi="Amiri" w:eastAsia="Amiri" w:cs="Amiri"/>
          <w:color w:val="111111"/>
          <w:sz w:val="28"/>
          <w:sz w:val="28"/>
          <w:szCs w:val="28"/>
          <w:rtl w:val="true"/>
          <w:lang w:bidi="ar-SA"/>
        </w:rPr>
        <w:t xml:space="preserve">و سلّار </w:t>
      </w:r>
      <w:r>
        <w:rPr>
          <w:rStyle w:val="FootnoteAnchor"/>
          <w:rtl w:val="true"/>
        </w:rPr>
        <w:footnoteReference w:id="185"/>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حکم برجوعه بعد انقراض الموقوف علیه إلی وجوه البرّ کالسیّد أبی المکارم ابن زهرة </w:t>
      </w:r>
      <w:r>
        <w:rPr>
          <w:rStyle w:val="FootnoteAnchor"/>
          <w:rtl w:val="true"/>
        </w:rPr>
        <w:footnoteReference w:id="186"/>
      </w:r>
      <w:r>
        <w:rPr>
          <w:rFonts w:ascii="IRNazanin" w:hAnsi="IRNazanin" w:eastAsia="IRNazanin"/>
          <w:color w:val="111111"/>
          <w:sz w:val="28"/>
          <w:sz w:val="28"/>
          <w:szCs w:val="28"/>
          <w:rtl w:val="true"/>
          <w:lang w:bidi="fa-IR"/>
        </w:rPr>
        <w:t>فلازمه جعله کالمؤبّد</w:t>
      </w:r>
      <w:r>
        <w:rPr>
          <w:rFonts w:eastAsia="IRNazanin" w:cs="IRNazanin"/>
          <w:color w:val="111111"/>
          <w:sz w:val="28"/>
          <w:szCs w:val="28"/>
          <w:rtl w:val="true"/>
          <w:lang w:bidi="fa-IR"/>
        </w:rPr>
        <w:t>.</w:t>
      </w:r>
    </w:p>
    <w:p>
      <w:pPr>
        <w:pStyle w:val="Heading6"/>
        <w:numPr>
          <w:ilvl w:val="5"/>
          <w:numId w:val="1"/>
        </w:numPr>
        <w:rPr/>
      </w:pPr>
      <w:bookmarkStart w:id="134" w:name="__RefHeading___Toc5118941_2314609296"/>
      <w:bookmarkStart w:id="135" w:name="_Toc55"/>
      <w:bookmarkEnd w:id="134"/>
      <w:r>
        <w:rPr>
          <w:rtl w:val="true"/>
        </w:rPr>
        <w:t>و کیف کان،فالمناسب أوّلاً نقل عبائر هؤلاء،</w:t>
      </w:r>
      <w:bookmarkEnd w:id="135"/>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6"/>
        <w:numPr>
          <w:ilvl w:val="5"/>
          <w:numId w:val="1"/>
        </w:numPr>
        <w:rPr/>
      </w:pPr>
      <w:bookmarkStart w:id="136" w:name="__RefHeading___Toc5118943_2314609296"/>
      <w:bookmarkStart w:id="137" w:name="_Toc56"/>
      <w:bookmarkEnd w:id="136"/>
      <w:r>
        <w:rPr>
          <w:rtl w:val="true"/>
        </w:rPr>
        <w:t>قال المفید فی المقنعة</w:t>
      </w:r>
      <w:r>
        <w:rPr>
          <w:rtl w:val="true"/>
        </w:rPr>
        <w:t>:</w:t>
      </w:r>
      <w:bookmarkEnd w:id="13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الوقوف فی الأصل صدقات لا یجوز</w:t>
      </w:r>
    </w:p>
    <w:p>
      <w:pPr>
        <w:pStyle w:val="BookText"/>
        <w:rPr/>
      </w:pPr>
      <w:r>
        <w:rPr>
          <w:rFonts w:ascii="IRNazanin" w:hAnsi="IRNazanin" w:eastAsia="IRNazanin"/>
          <w:color w:val="111111"/>
          <w:sz w:val="28"/>
          <w:sz w:val="28"/>
          <w:szCs w:val="28"/>
          <w:rtl w:val="true"/>
          <w:lang w:bidi="fa-IR"/>
        </w:rPr>
        <w:t xml:space="preserve">الرجوع فیها،إلّا أن یُحدِث الموقوف علیهم ما یمنع الشرع من معونتهم و التقرّب إلی اللّٰه بصلتهم،أو یکون تغییر الشرط فی الموقوف أدرّ </w:t>
      </w:r>
      <w:r>
        <w:rPr>
          <w:rStyle w:val="FootnoteAnchor"/>
          <w:rtl w:val="true"/>
        </w:rPr>
        <w:footnoteReference w:id="187"/>
      </w:r>
      <w:r>
        <w:rPr>
          <w:rFonts w:ascii="IRNazanin" w:hAnsi="IRNazanin" w:eastAsia="IRNazanin"/>
          <w:color w:val="111111"/>
          <w:sz w:val="28"/>
          <w:sz w:val="28"/>
          <w:szCs w:val="28"/>
          <w:rtl w:val="true"/>
          <w:lang w:bidi="fa-IR"/>
        </w:rPr>
        <w:t>علیهم و أنفع لهم من ترکه علی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أخرج الواقف الوقف عن یده إلی من وقف علیه،لم یجز له الرجوع فی شیءٍ منه،و لا تغییر شرائطه،و لا نقله عن وجوهه و سبله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اشترط الواقف فی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متی احتاج إلیه فی حیاته لفقرٍ کان له بیعه و صرف ثمنه فی مصالحه،جاز له فعل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لأرباب الوقف بعد وفاة الواقف أن یتصرّفوا فیه ببیع أو هبة أو یغیّروا شیئاً من شروطه،إلّا أن یخرب الوقف و لا یوجد من یراعیه بعمارةٍ من سلطان أو غیره،أو یحصل بحیث لا یجدی نفعاً </w:t>
      </w:r>
      <w:r>
        <w:rPr>
          <w:rStyle w:val="FootnoteAnchor"/>
          <w:rtl w:val="true"/>
        </w:rPr>
        <w:footnoteReference w:id="188"/>
      </w:r>
      <w:r>
        <w:rPr>
          <w:rFonts w:ascii="IRNazanin" w:hAnsi="IRNazanin" w:eastAsia="IRNazanin"/>
          <w:color w:val="111111"/>
          <w:sz w:val="28"/>
          <w:sz w:val="28"/>
          <w:szCs w:val="28"/>
          <w:rtl w:val="true"/>
          <w:lang w:bidi="fa-IR"/>
        </w:rPr>
        <w:t>،فلهم حینئذٍ بیعه و الانتفاع بثمنه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إن حصلت لهم </w:t>
      </w:r>
      <w:r>
        <w:rPr>
          <w:rStyle w:val="FootnoteAnchor"/>
          <w:rtl w:val="true"/>
        </w:rPr>
        <w:footnoteReference w:id="189"/>
      </w:r>
      <w:r>
        <w:rPr>
          <w:rFonts w:ascii="IRNazanin" w:hAnsi="IRNazanin" w:eastAsia="IRNazanin"/>
          <w:color w:val="111111"/>
          <w:sz w:val="28"/>
          <w:sz w:val="28"/>
          <w:szCs w:val="28"/>
          <w:rtl w:val="true"/>
          <w:lang w:bidi="fa-IR"/>
        </w:rPr>
        <w:t xml:space="preserve">ضرورة إلی ثمنه کان لهم حلّه،و لا یجوز ذلک مع عدم ما ذکرناه من الأسباب و الضرورات </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کلامه رحمه اللّٰه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استفاد من هذا الکلام فی غایة المراد جواز </w:t>
      </w:r>
      <w:r>
        <w:rPr>
          <w:rStyle w:val="FootnoteAnchor"/>
          <w:rtl w:val="true"/>
        </w:rPr>
        <w:footnoteReference w:id="191"/>
      </w:r>
      <w:r>
        <w:rPr>
          <w:rFonts w:ascii="IRNazanin" w:hAnsi="IRNazanin" w:eastAsia="IRNazanin"/>
          <w:color w:val="111111"/>
          <w:sz w:val="28"/>
          <w:sz w:val="28"/>
          <w:szCs w:val="28"/>
          <w:rtl w:val="true"/>
          <w:lang w:bidi="fa-IR"/>
        </w:rPr>
        <w:t xml:space="preserve">بیع الوقف فی خمسة مواضع،و ضمّ صورة جواز الرجوع و جواز تغیّر </w:t>
      </w:r>
      <w:r>
        <w:rPr>
          <w:rStyle w:val="FootnoteAnchor"/>
          <w:rtl w:val="true"/>
        </w:rPr>
        <w:footnoteReference w:id="192"/>
      </w:r>
      <w:r>
        <w:rPr>
          <w:rFonts w:ascii="IRNazanin" w:hAnsi="IRNazanin" w:eastAsia="IRNazanin"/>
          <w:color w:val="111111"/>
          <w:sz w:val="28"/>
          <w:sz w:val="28"/>
          <w:szCs w:val="28"/>
          <w:rtl w:val="true"/>
          <w:lang w:bidi="fa-IR"/>
        </w:rPr>
        <w:t>الشرط إلی المواضع الثلاثة المذکورة بعد وصول الموقوف إلی الموقوف علیهم و وفاة</w:t>
      </w:r>
      <w:bookmarkStart w:id="138" w:name="pg19861_202327"/>
    </w:p>
    <w:p>
      <w:pPr>
        <w:pStyle w:val="BookText"/>
        <w:rPr/>
      </w:pPr>
      <w:bookmarkEnd w:id="138"/>
      <w:r>
        <w:rPr>
          <w:rFonts w:ascii="IRNazanin" w:hAnsi="IRNazanin" w:eastAsia="IRNazanin"/>
          <w:color w:val="111111"/>
          <w:sz w:val="28"/>
          <w:sz w:val="28"/>
          <w:szCs w:val="28"/>
          <w:rtl w:val="true"/>
          <w:lang w:bidi="fa-IR"/>
        </w:rPr>
        <w:t xml:space="preserve">الواقف </w:t>
      </w:r>
      <w:r>
        <w:rPr>
          <w:rStyle w:val="FootnoteAnchor"/>
          <w:rtl w:val="true"/>
        </w:rPr>
        <w:footnoteReference w:id="193"/>
      </w:r>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العلّامة ذکر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 المفید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الرجوع فی الوقف إلّا أن یحدث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أنفع لهم من ترکه علی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،متأوّل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من شدّة مخالفته للقواعد لم یرتضِ بظاهره للمفید</w:t>
      </w:r>
      <w:r>
        <w:rPr>
          <w:rFonts w:eastAsia="IRNazanin" w:cs="IRNazanin"/>
          <w:color w:val="111111"/>
          <w:sz w:val="28"/>
          <w:szCs w:val="28"/>
          <w:rtl w:val="true"/>
          <w:lang w:bidi="fa-IR"/>
        </w:rPr>
        <w:t>.</w:t>
      </w:r>
    </w:p>
    <w:p>
      <w:pPr>
        <w:pStyle w:val="Heading6"/>
        <w:numPr>
          <w:ilvl w:val="5"/>
          <w:numId w:val="1"/>
        </w:numPr>
        <w:rPr/>
      </w:pPr>
      <w:bookmarkStart w:id="139" w:name="__RefHeading___Toc5118945_2314609296"/>
      <w:bookmarkStart w:id="140" w:name="_Toc57"/>
      <w:bookmarkEnd w:id="139"/>
      <w:r>
        <w:rPr>
          <w:rtl w:val="true"/>
        </w:rPr>
        <w:t>[</w:t>
      </w:r>
      <w:r>
        <w:rPr>
          <w:rtl w:val="true"/>
        </w:rPr>
        <w:t>کلام السید المرتضی قدس سره</w:t>
      </w:r>
      <w:r>
        <w:rPr>
          <w:rtl w:val="true"/>
        </w:rPr>
        <w:t>]</w:t>
      </w:r>
      <w:bookmarkEnd w:id="140"/>
    </w:p>
    <w:p>
      <w:pPr>
        <w:pStyle w:val="BookText"/>
        <w:rPr/>
      </w:pPr>
      <w:r>
        <w:rPr>
          <w:rFonts w:ascii="IRNazanin" w:hAnsi="IRNazanin" w:eastAsia="IRNazanin"/>
          <w:color w:val="111111"/>
          <w:sz w:val="28"/>
          <w:sz w:val="28"/>
          <w:szCs w:val="28"/>
          <w:rtl w:val="true"/>
          <w:lang w:bidi="fa-IR"/>
        </w:rPr>
        <w:t>و قال فی الانتصار علی ما حکی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انفردت الإمامیّة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بأنّ الوقف متی حصل له الخراب بحیث لا یجدی نفعاً جاز لمن هو وقف علیه بیعه و الانتفاع بثمنه،و أنّ أرباب الوقف متی دعتهم ضرورة شدیدة إلی ثمنه جاز لهم بیعه،و لا یجوز لهم ذلک مع فقد 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احتجّ باتّفاق الإمامیّة،ثمّ ذکر خلاف ابن الجنید،و ردّه بکونه مسبوقاً و ملحوقاً بالإجماع،و أنّه إنّما عوّل فی ذلک علی ظنونٍ له و حسبانٍ و أخبارٍ شاذّة لا یلتفت إلی مثلها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إذا صار الوقف </w:t>
      </w:r>
      <w:r>
        <w:rPr>
          <w:rStyle w:val="FootnoteAnchor"/>
          <w:rtl w:val="true"/>
        </w:rPr>
        <w:footnoteReference w:id="196"/>
      </w:r>
      <w:r>
        <w:rPr>
          <w:rFonts w:ascii="IRNazanin" w:hAnsi="IRNazanin" w:eastAsia="IRNazanin"/>
          <w:color w:val="111111"/>
          <w:sz w:val="28"/>
          <w:sz w:val="28"/>
          <w:szCs w:val="28"/>
          <w:rtl w:val="true"/>
          <w:lang w:bidi="fa-IR"/>
        </w:rPr>
        <w:t>بحیث لا یجدی نفعاً،أو دعت أربابه الضرورة إلی ثمنه؛لشدّة فقرهم،فالأحوط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جواز بیعه؛ لأنّه إنّما جُعل لمنافعهم،فإذا بطلت منافعهم منه فقد انتقض الغرض منه </w:t>
      </w:r>
      <w:r>
        <w:rPr>
          <w:rStyle w:val="FootnoteAnchor"/>
          <w:rtl w:val="true"/>
        </w:rPr>
        <w:footnoteReference w:id="197"/>
      </w:r>
      <w:bookmarkStart w:id="141" w:name="pg19861_202328"/>
    </w:p>
    <w:p>
      <w:pPr>
        <w:pStyle w:val="BookText"/>
        <w:rPr/>
      </w:pPr>
      <w:bookmarkEnd w:id="141"/>
      <w:r>
        <w:rPr>
          <w:rFonts w:ascii="IRNazanin" w:hAnsi="IRNazanin" w:eastAsia="IRNazanin"/>
          <w:color w:val="111111"/>
          <w:sz w:val="28"/>
          <w:sz w:val="28"/>
          <w:szCs w:val="28"/>
          <w:rtl w:val="true"/>
          <w:lang w:bidi="fa-IR"/>
        </w:rPr>
        <w:t xml:space="preserve">و لم یبقَ منفعة فیه </w:t>
      </w:r>
      <w:r>
        <w:rPr>
          <w:rStyle w:val="FootnoteAnchor"/>
          <w:rtl w:val="true"/>
        </w:rPr>
        <w:footnoteReference w:id="198"/>
      </w:r>
      <w:r>
        <w:rPr>
          <w:rFonts w:ascii="IRNazanin" w:hAnsi="IRNazanin" w:eastAsia="IRNazanin"/>
          <w:color w:val="111111"/>
          <w:sz w:val="28"/>
          <w:sz w:val="28"/>
          <w:szCs w:val="28"/>
          <w:rtl w:val="true"/>
          <w:lang w:bidi="fa-IR"/>
        </w:rPr>
        <w:t xml:space="preserve">إلّا من الوجه الذی ذکرناه </w:t>
      </w:r>
      <w:r>
        <w:rPr>
          <w:rStyle w:val="FootnoteAnchor"/>
          <w:rtl w:val="true"/>
        </w:rPr>
        <w:footnoteReference w:id="19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42" w:name="__RefHeading___Toc5118947_2314609296"/>
      <w:bookmarkStart w:id="143" w:name="_Toc58"/>
      <w:bookmarkEnd w:id="142"/>
      <w:r>
        <w:rPr>
          <w:rtl w:val="true"/>
        </w:rPr>
        <w:t>[</w:t>
      </w:r>
      <w:r>
        <w:rPr>
          <w:rtl w:val="true"/>
        </w:rPr>
        <w:t>کلام الشیخ الطوسی فی المبسوط</w:t>
      </w:r>
      <w:r>
        <w:rPr>
          <w:rtl w:val="true"/>
        </w:rPr>
        <w:t>]</w:t>
      </w:r>
      <w:bookmarkEnd w:id="143"/>
    </w:p>
    <w:p>
      <w:pPr>
        <w:pStyle w:val="BookText"/>
        <w:rPr/>
      </w:pP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یملک الموقوف علیه بیعه علی وجهٍ عندنا، و هو أنّه </w:t>
      </w:r>
      <w:r>
        <w:rPr>
          <w:rStyle w:val="FootnoteAnchor"/>
          <w:rtl w:val="true"/>
        </w:rPr>
        <w:footnoteReference w:id="200"/>
      </w:r>
      <w:r>
        <w:rPr>
          <w:rFonts w:ascii="IRNazanin" w:hAnsi="IRNazanin" w:eastAsia="IRNazanin"/>
          <w:color w:val="111111"/>
          <w:sz w:val="28"/>
          <w:sz w:val="28"/>
          <w:szCs w:val="28"/>
          <w:rtl w:val="true"/>
          <w:lang w:bidi="fa-IR"/>
        </w:rPr>
        <w:t xml:space="preserve">إذا خیف علی الوقف الخراب،أو کان بأربابه حاجةٌ شدیدة و لا یقدِرون علی القیام به،فحینئذٍ یجوز لهم بیعه،و مع عدم ذلک لا یجوز بیعه </w:t>
      </w:r>
      <w:r>
        <w:rPr>
          <w:rStyle w:val="FootnoteAnchor"/>
          <w:rtl w:val="true"/>
        </w:rPr>
        <w:footnoteReference w:id="20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احتجّ علی ذلک بالأخبار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4" w:name="__RefHeading___Toc5118949_2314609296"/>
      <w:bookmarkStart w:id="145" w:name="_Toc59"/>
      <w:bookmarkEnd w:id="144"/>
      <w:r>
        <w:rPr>
          <w:rtl w:val="true"/>
        </w:rPr>
        <w:t>و قال سلّار فیما حکی عنه</w:t>
      </w:r>
      <w:r>
        <w:rPr>
          <w:rtl w:val="true"/>
        </w:rPr>
        <w:t>-:</w:t>
      </w:r>
      <w:bookmarkEnd w:id="145"/>
    </w:p>
    <w:p>
      <w:pPr>
        <w:pStyle w:val="BookText"/>
        <w:rPr/>
      </w:pPr>
      <w:r>
        <w:rPr>
          <w:rFonts w:ascii="IRNazanin" w:hAnsi="IRNazanin" w:eastAsia="IRNazanin"/>
          <w:color w:val="111111"/>
          <w:sz w:val="28"/>
          <w:sz w:val="28"/>
          <w:szCs w:val="28"/>
          <w:rtl w:val="true"/>
          <w:lang w:bidi="fa-IR"/>
        </w:rPr>
        <w:t>و لا یخلو الحال فی الوقف و الموقوف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یبقی و یبقوا علی الحال التی وقف فیها،أو یتغیّر الحال،فإن لم یتغیّر الحال فلا یجوز بیع الموقوف علیهم الوقف و لا هبتُه و لا تغییر شیءٍ من أحواله،و إن تغیّر الحال فی الوقف حتّی لا ینتفع به علی أیّ وجهٍ کان،أو لَحِق الموقوفَ علیهم حاجةٌ شدیدة جاز بیعه و صرف ثمنه فیما هو أنفع لهم </w:t>
      </w:r>
      <w:r>
        <w:rPr>
          <w:rStyle w:val="FootnoteAnchor"/>
          <w:rtl w:val="true"/>
        </w:rPr>
        <w:footnoteReference w:id="20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46" w:name="__RefHeading___Toc5118951_2314609296"/>
      <w:bookmarkStart w:id="147" w:name="_Toc60"/>
      <w:bookmarkEnd w:id="146"/>
      <w:r>
        <w:rPr>
          <w:rtl w:val="true"/>
        </w:rPr>
        <w:t xml:space="preserve">و قال </w:t>
      </w:r>
      <w:r>
        <w:rPr>
          <w:rtl w:val="true"/>
        </w:rPr>
        <w:t>[</w:t>
      </w:r>
      <w:r>
        <w:rPr>
          <w:rtl w:val="true"/>
        </w:rPr>
        <w:t>ابن زهرة قدس سره</w:t>
      </w:r>
      <w:r>
        <w:rPr>
          <w:rtl w:val="true"/>
        </w:rPr>
        <w:t xml:space="preserve">] </w:t>
      </w:r>
      <w:r>
        <w:rPr>
          <w:rtl w:val="true"/>
        </w:rPr>
        <w:t>فی الغنیة علی ما حکی عنه</w:t>
      </w:r>
      <w:r>
        <w:rPr>
          <w:rtl w:val="true"/>
        </w:rPr>
        <w:t>-:</w:t>
      </w:r>
      <w:bookmarkEnd w:id="14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عندنا بیع الوقف</w:t>
      </w:r>
      <w:bookmarkStart w:id="148" w:name="pg19861_202329"/>
    </w:p>
    <w:p>
      <w:pPr>
        <w:pStyle w:val="BookText"/>
        <w:rPr/>
      </w:pPr>
      <w:bookmarkEnd w:id="148"/>
      <w:r>
        <w:rPr>
          <w:rFonts w:ascii="IRNazanin" w:hAnsi="IRNazanin" w:eastAsia="IRNazanin"/>
          <w:color w:val="111111"/>
          <w:sz w:val="28"/>
          <w:sz w:val="28"/>
          <w:szCs w:val="28"/>
          <w:rtl w:val="true"/>
          <w:lang w:bidi="fa-IR"/>
        </w:rPr>
        <w:t xml:space="preserve">للموقوف علیه </w:t>
      </w:r>
      <w:r>
        <w:rPr>
          <w:rStyle w:val="FootnoteAnchor"/>
          <w:rtl w:val="true"/>
        </w:rPr>
        <w:footnoteReference w:id="204"/>
      </w:r>
      <w:r>
        <w:rPr>
          <w:rFonts w:ascii="IRNazanin" w:hAnsi="IRNazanin" w:eastAsia="IRNazanin"/>
          <w:color w:val="111111"/>
          <w:sz w:val="28"/>
          <w:sz w:val="28"/>
          <w:szCs w:val="28"/>
          <w:rtl w:val="true"/>
          <w:lang w:bidi="fa-IR"/>
        </w:rPr>
        <w:t xml:space="preserve">إذا صار بحیث لا یجدی نفعاً و خیف خرابه،أو کانت بأربابه حاجةٌ شدیدةٌ دعتهم الضرورة إلی بیعه؛بدلیل إجماع الطائفة، و لأنّ غرض الواقف انتفاع الموقوف علیه،فإذا لم یبقَ له منفعة إلّا علی الوجه الذی ذکرنا جاز </w:t>
      </w:r>
      <w:r>
        <w:rPr>
          <w:rStyle w:val="FootnoteAnchor"/>
          <w:rtl w:val="true"/>
        </w:rPr>
        <w:footnoteReference w:id="20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49" w:name="__RefHeading___Toc5118953_2314609296"/>
      <w:bookmarkStart w:id="150" w:name="_Toc61"/>
      <w:bookmarkEnd w:id="149"/>
      <w:r>
        <w:rPr>
          <w:rtl w:val="true"/>
        </w:rPr>
        <w:t xml:space="preserve">و قال </w:t>
      </w:r>
      <w:r>
        <w:rPr>
          <w:rtl w:val="true"/>
        </w:rPr>
        <w:t>[</w:t>
      </w:r>
      <w:r>
        <w:rPr>
          <w:rtl w:val="true"/>
        </w:rPr>
        <w:t>ابن حمزة قدس سره</w:t>
      </w:r>
      <w:r>
        <w:rPr>
          <w:rtl w:val="true"/>
        </w:rPr>
        <w:t xml:space="preserve">] </w:t>
      </w:r>
      <w:r>
        <w:rPr>
          <w:rtl w:val="true"/>
        </w:rPr>
        <w:t>فی الوسیلة</w:t>
      </w:r>
      <w:r>
        <w:rPr>
          <w:rtl w:val="true"/>
        </w:rPr>
        <w:t>:</w:t>
      </w:r>
      <w:bookmarkEnd w:id="150"/>
    </w:p>
    <w:p>
      <w:pPr>
        <w:pStyle w:val="BookText"/>
        <w:rPr/>
      </w:pPr>
      <w:r>
        <w:rPr>
          <w:rFonts w:ascii="IRNazanin" w:hAnsi="IRNazanin" w:eastAsia="IRNazanin"/>
          <w:color w:val="111111"/>
          <w:sz w:val="28"/>
          <w:sz w:val="28"/>
          <w:szCs w:val="28"/>
          <w:rtl w:val="true"/>
          <w:lang w:bidi="fa-IR"/>
        </w:rPr>
        <w:t>و لا یجوز بیعه یعنی الوقف إلّا بأحد شرطین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الخوف من خرابه،أو حاجةٌ بالموقوف علیه شدیدةٌ لا یمکنه معها القیام به </w:t>
      </w:r>
      <w:r>
        <w:rPr>
          <w:rStyle w:val="FootnoteAnchor"/>
          <w:rtl w:val="true"/>
        </w:rPr>
        <w:footnoteReference w:id="20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51" w:name="__RefHeading___Toc5118955_2314609296"/>
      <w:bookmarkStart w:id="152" w:name="_Toc62"/>
      <w:bookmarkEnd w:id="151"/>
      <w:r>
        <w:rPr>
          <w:rtl w:val="true"/>
        </w:rPr>
        <w:t>و قال الراوندی فی فقه القرآن علی ما حکی عنه</w:t>
      </w:r>
      <w:r>
        <w:rPr>
          <w:rtl w:val="true"/>
        </w:rPr>
        <w:t>-:</w:t>
      </w:r>
      <w:bookmarkEnd w:id="152"/>
    </w:p>
    <w:p>
      <w:pPr>
        <w:pStyle w:val="BookText"/>
        <w:rPr/>
      </w:pPr>
      <w:r>
        <w:rPr>
          <w:rFonts w:ascii="IRNazanin" w:hAnsi="IRNazanin" w:eastAsia="IRNazanin"/>
          <w:color w:val="111111"/>
          <w:sz w:val="28"/>
          <w:sz w:val="28"/>
          <w:szCs w:val="28"/>
          <w:rtl w:val="true"/>
          <w:lang w:bidi="fa-IR"/>
        </w:rPr>
        <w:t xml:space="preserve">و إنّما یملک بیعه علی وجهٍ عندنا،و هو إذا خیف علی الوقف الخراب،أو کان بأربابه حاجةٌ شدیدةٌ </w:t>
      </w:r>
      <w:r>
        <w:rPr>
          <w:rStyle w:val="FootnoteAnchor"/>
          <w:rtl w:val="true"/>
        </w:rPr>
        <w:footnoteReference w:id="207"/>
      </w:r>
      <w:r>
        <w:rPr>
          <w:rFonts w:ascii="IRNazanin" w:hAnsi="IRNazanin" w:eastAsia="IRNazanin"/>
          <w:color w:val="111111"/>
          <w:sz w:val="28"/>
          <w:sz w:val="28"/>
          <w:szCs w:val="28"/>
          <w:rtl w:val="true"/>
          <w:lang w:bidi="fa-IR"/>
        </w:rPr>
        <w:t xml:space="preserve">،انتهی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3" w:name="__RefHeading___Toc5118957_2314609296"/>
      <w:bookmarkStart w:id="154" w:name="_Toc63"/>
      <w:bookmarkEnd w:id="153"/>
      <w:r>
        <w:rPr>
          <w:rtl w:val="true"/>
        </w:rPr>
        <w:t>[</w:t>
      </w:r>
      <w:r>
        <w:rPr>
          <w:rtl w:val="true"/>
        </w:rPr>
        <w:t>کلمات ابن سعید فی الجامع و النزهة</w:t>
      </w:r>
      <w:r>
        <w:rPr>
          <w:rtl w:val="true"/>
        </w:rPr>
        <w:t>]</w:t>
      </w:r>
      <w:bookmarkEnd w:id="154"/>
    </w:p>
    <w:p>
      <w:pPr>
        <w:pStyle w:val="BookText"/>
        <w:rPr/>
      </w:pPr>
      <w:r>
        <w:rPr>
          <w:rFonts w:ascii="IRNazanin" w:hAnsi="IRNazanin" w:eastAsia="IRNazanin"/>
          <w:color w:val="111111"/>
          <w:sz w:val="28"/>
          <w:sz w:val="28"/>
          <w:szCs w:val="28"/>
          <w:rtl w:val="true"/>
          <w:lang w:bidi="fa-IR"/>
        </w:rPr>
        <w:t>و قال فی الجامع علی ما حکی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خیف خرابه،أو کان بهم حاجةٌ شدیدةٌ،أو خیف وقوع فتنةٍ بینهم تستباح بها الأنفس، جاز بیعه </w:t>
      </w:r>
      <w:r>
        <w:rPr>
          <w:rStyle w:val="FootnoteAnchor"/>
          <w:rtl w:val="true"/>
        </w:rPr>
        <w:footnoteReference w:id="20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النزهة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الوقف إلّا أن یُخاف هلاکه،أو یؤدّی المنازعة فیه بین أربابه إلی ضررٍ عظیم،أو یکون فیهم حاجةٌ عظیمةٌ</w:t>
      </w:r>
      <w:bookmarkStart w:id="155" w:name="pg19861_202330"/>
    </w:p>
    <w:p>
      <w:pPr>
        <w:pStyle w:val="BookText"/>
        <w:rPr/>
      </w:pPr>
      <w:bookmarkEnd w:id="155"/>
      <w:r>
        <w:rPr>
          <w:rFonts w:ascii="IRNazanin" w:hAnsi="IRNazanin" w:eastAsia="IRNazanin"/>
          <w:color w:val="111111"/>
          <w:sz w:val="28"/>
          <w:sz w:val="28"/>
          <w:szCs w:val="28"/>
          <w:rtl w:val="true"/>
          <w:lang w:bidi="fa-IR"/>
        </w:rPr>
        <w:t xml:space="preserve">شدیدة و یکون بیع الوقف أصلح لهم </w:t>
      </w:r>
      <w:r>
        <w:rPr>
          <w:rStyle w:val="FootnoteAnchor"/>
          <w:rtl w:val="true"/>
        </w:rPr>
        <w:footnoteReference w:id="21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56" w:name="__RefHeading___Toc5118959_2314609296"/>
      <w:bookmarkStart w:id="157" w:name="_Toc64"/>
      <w:bookmarkEnd w:id="156"/>
      <w:r>
        <w:rPr>
          <w:rtl w:val="true"/>
        </w:rPr>
        <w:t xml:space="preserve">و قال </w:t>
      </w:r>
      <w:r>
        <w:rPr>
          <w:rtl w:val="true"/>
        </w:rPr>
        <w:t>[</w:t>
      </w:r>
      <w:r>
        <w:rPr>
          <w:rtl w:val="true"/>
        </w:rPr>
        <w:t>المحقق قدس سره</w:t>
      </w:r>
      <w:r>
        <w:rPr>
          <w:rtl w:val="true"/>
        </w:rPr>
        <w:t xml:space="preserve">] </w:t>
      </w:r>
      <w:r>
        <w:rPr>
          <w:rtl w:val="true"/>
        </w:rPr>
        <w:t>فی الشرائع</w:t>
      </w:r>
      <w:r>
        <w:rPr>
          <w:rtl w:val="true"/>
        </w:rPr>
        <w:t>:</w:t>
      </w:r>
      <w:bookmarkEnd w:id="157"/>
    </w:p>
    <w:p>
      <w:pPr>
        <w:pStyle w:val="BookText"/>
        <w:rPr/>
      </w:pPr>
      <w:r>
        <w:rPr>
          <w:rFonts w:ascii="IRNazanin" w:hAnsi="IRNazanin" w:eastAsia="IRNazanin"/>
          <w:color w:val="111111"/>
          <w:sz w:val="28"/>
          <w:sz w:val="28"/>
          <w:szCs w:val="28"/>
          <w:rtl w:val="true"/>
          <w:lang w:bidi="fa-IR"/>
        </w:rPr>
        <w:t>و لا یصحّ بیع الوقف ما لم یؤدّ بقاؤه إلی خرابه لخُلْفٍ بین أربابه و یکون البیع أعود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کتاب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وقع بین الموقوف علیهم </w:t>
      </w:r>
      <w:r>
        <w:rPr>
          <w:rStyle w:val="FootnoteAnchor"/>
          <w:rtl w:val="true"/>
        </w:rPr>
        <w:footnoteReference w:id="211"/>
      </w:r>
      <w:r>
        <w:rPr>
          <w:rFonts w:ascii="IRNazanin" w:hAnsi="IRNazanin" w:eastAsia="IRNazanin"/>
          <w:color w:val="111111"/>
          <w:sz w:val="28"/>
          <w:sz w:val="28"/>
          <w:szCs w:val="28"/>
          <w:rtl w:val="true"/>
          <w:lang w:bidi="fa-IR"/>
        </w:rPr>
        <w:t>خُلْفٌ بحیث یُخشی خرابه جاز بیعه، و لو لم یقع خُلْفٌ و لا خُشی خرابه،بل کان البیع أنفع لهم،قیل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بیعه،و الوجه المنع </w:t>
      </w:r>
      <w:r>
        <w:rPr>
          <w:rStyle w:val="FootnoteAnchor"/>
          <w:rtl w:val="true"/>
        </w:rPr>
        <w:footnoteReference w:id="21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عبارة الشرائع فی کتابی البیع و الوقف عبارة القواعد فی الکتابین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8" w:name="__RefHeading___Toc5118961_2314609296"/>
      <w:bookmarkStart w:id="159" w:name="_Toc65"/>
      <w:bookmarkEnd w:id="158"/>
      <w:r>
        <w:rPr>
          <w:rtl w:val="true"/>
        </w:rPr>
        <w:t>[</w:t>
      </w:r>
      <w:r>
        <w:rPr>
          <w:rtl w:val="true"/>
        </w:rPr>
        <w:t>کلام العلامة فی التحریر و الإرشاد و التذکرة</w:t>
      </w:r>
      <w:r>
        <w:rPr>
          <w:rtl w:val="true"/>
        </w:rPr>
        <w:t>]</w:t>
      </w:r>
      <w:bookmarkEnd w:id="159"/>
    </w:p>
    <w:p>
      <w:pPr>
        <w:pStyle w:val="BookText"/>
        <w:rPr/>
      </w:pPr>
      <w:r>
        <w:rPr>
          <w:rFonts w:ascii="IRNazanin" w:hAnsi="IRNazanin" w:eastAsia="IRNazanin"/>
          <w:color w:val="111111"/>
          <w:sz w:val="28"/>
          <w:sz w:val="28"/>
          <w:szCs w:val="28"/>
          <w:rtl w:val="true"/>
          <w:lang w:bidi="fa-IR"/>
        </w:rPr>
        <w:t>و قال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الوقف بحال،و لو انهدمت الدار لم تخرج العَرْصَة عن الوقف،و لم یجز 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وقع خُلْفٌ بین أرباب الوقف بحیث یخشی خرابه جاز بیعه علی ما رواه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کلام ابن إدریس و فتواه علی المنع مطلقاً و تنزیله قول بعض الأصحاب بالجواز علی المنقطع،و نفیَه الخلاف علی المنع فی المؤبّد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قیل بجواز البیع إذا ذهبت منافعه بالکلیّة کدارٍ انهدمت و عادت مواتاً و لم یتمکّن من عمارتها و یشتری بثمنه ما یکون وقفاً،کان وجهاً </w:t>
      </w:r>
      <w:r>
        <w:rPr>
          <w:rStyle w:val="FootnoteAnchor"/>
          <w:rtl w:val="true"/>
        </w:rPr>
        <w:footnoteReference w:id="21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بیع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بیع الوقف ما دام عامراً،و لو أدّی بقاؤه إلی خرابه جاز،و کذا یباع لو خشی وقوع فتنة بین أربابه</w:t>
      </w:r>
      <w:bookmarkStart w:id="160" w:name="pg19861_202331"/>
    </w:p>
    <w:p>
      <w:pPr>
        <w:pStyle w:val="BookText"/>
        <w:rPr/>
      </w:pPr>
      <w:bookmarkEnd w:id="160"/>
      <w:r>
        <w:rPr>
          <w:rFonts w:ascii="IRNazanin" w:hAnsi="IRNazanin" w:eastAsia="IRNazanin"/>
          <w:color w:val="111111"/>
          <w:sz w:val="28"/>
          <w:sz w:val="28"/>
          <w:szCs w:val="28"/>
          <w:rtl w:val="true"/>
          <w:lang w:bidi="fa-IR"/>
        </w:rPr>
        <w:t xml:space="preserve">مع بقائه علی الوقف </w:t>
      </w:r>
      <w:r>
        <w:rPr>
          <w:rStyle w:val="FootnoteAnchor"/>
          <w:rtl w:val="true"/>
        </w:rPr>
        <w:footnoteReference w:id="21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بیع </w:t>
      </w:r>
      <w:r>
        <w:rPr>
          <w:rStyle w:val="FootnoteAnchor"/>
          <w:rtl w:val="true"/>
        </w:rPr>
        <w:footnoteReference w:id="216"/>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یصحّ بیع الوقف إلّا أن یخرب،أو یؤدّی إلی الخُلْف بین أربابه علی رأیٍ </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فی باب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یصحّ بیع الوقف،إلّا أن یقع بین الموقوف علیهم </w:t>
      </w:r>
      <w:r>
        <w:rPr>
          <w:rStyle w:val="FootnoteAnchor"/>
          <w:rtl w:val="true"/>
        </w:rPr>
        <w:footnoteReference w:id="218"/>
      </w:r>
      <w:r>
        <w:rPr>
          <w:rFonts w:ascii="Amiri" w:hAnsi="Amiri" w:eastAsia="Amiri" w:cs="Amiri"/>
          <w:color w:val="111111"/>
          <w:sz w:val="28"/>
          <w:sz w:val="28"/>
          <w:szCs w:val="28"/>
          <w:rtl w:val="true"/>
          <w:lang w:bidi="ar-SA"/>
        </w:rPr>
        <w:t xml:space="preserve">خُلْفٌ یخشی </w:t>
      </w:r>
      <w:r>
        <w:rPr>
          <w:rStyle w:val="FootnoteAnchor"/>
          <w:rtl w:val="true"/>
        </w:rPr>
        <w:footnoteReference w:id="219"/>
      </w:r>
      <w:r>
        <w:rPr>
          <w:rFonts w:ascii="IRNazanin" w:hAnsi="IRNazanin" w:eastAsia="IRNazanin"/>
          <w:color w:val="111111"/>
          <w:sz w:val="28"/>
          <w:sz w:val="28"/>
          <w:szCs w:val="28"/>
          <w:rtl w:val="true"/>
          <w:lang w:bidi="fa-IR"/>
        </w:rPr>
        <w:t xml:space="preserve">به الخراب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التذکرة فی کتاب الوقف علی ما حکی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بیع الوقف مع خرابه و عدم التمکّن من عمارته،أو خوف فتنة بین أربابه یحصل باعتبارها فساد </w:t>
      </w:r>
      <w:r>
        <w:rPr>
          <w:rStyle w:val="FootnoteAnchor"/>
          <w:rtl w:val="true"/>
        </w:rPr>
        <w:footnoteReference w:id="22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کتاب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یصحّ بیع الوقف،لنقص </w:t>
      </w:r>
      <w:r>
        <w:rPr>
          <w:rStyle w:val="FootnoteAnchor"/>
          <w:rtl w:val="true"/>
        </w:rPr>
        <w:footnoteReference w:id="222"/>
      </w:r>
      <w:r>
        <w:rPr>
          <w:rFonts w:ascii="IRNazanin" w:hAnsi="IRNazanin" w:eastAsia="IRNazanin"/>
          <w:color w:val="111111"/>
          <w:sz w:val="28"/>
          <w:sz w:val="28"/>
          <w:szCs w:val="28"/>
          <w:rtl w:val="true"/>
          <w:lang w:bidi="fa-IR"/>
        </w:rPr>
        <w:t>الملک فیه؛إذ القصد منه التأبید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کان بیعه أعود علیهم،لوقوع خُلْفٍ بین أربابه و خشی تلفه أو ظهور فتنة بسببه جوّز أکثر علمائنا بیعه </w:t>
      </w:r>
      <w:r>
        <w:rPr>
          <w:rStyle w:val="FootnoteAnchor"/>
          <w:rtl w:val="true"/>
        </w:rPr>
        <w:footnoteReference w:id="22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Heading6"/>
        <w:numPr>
          <w:ilvl w:val="5"/>
          <w:numId w:val="1"/>
        </w:numPr>
        <w:rPr/>
      </w:pPr>
      <w:bookmarkStart w:id="161" w:name="__RefHeading___Toc5118963_2314609296"/>
      <w:bookmarkStart w:id="162" w:name="_Toc66"/>
      <w:bookmarkEnd w:id="161"/>
      <w:r>
        <w:rPr>
          <w:rtl w:val="true"/>
        </w:rPr>
        <w:t>[</w:t>
      </w:r>
      <w:r>
        <w:rPr>
          <w:rtl w:val="true"/>
        </w:rPr>
        <w:t>کلمات الشهید فی غایة المراد و الدروس و اللمعة</w:t>
      </w:r>
      <w:r>
        <w:rPr>
          <w:rtl w:val="true"/>
        </w:rPr>
        <w:t>]</w:t>
      </w:r>
      <w:bookmarkEnd w:id="16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غایة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بیعه فی 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الفساد</w:t>
      </w:r>
      <w:bookmarkStart w:id="163" w:name="pg19861_202332"/>
    </w:p>
    <w:p>
      <w:pPr>
        <w:pStyle w:val="BookText"/>
        <w:rPr/>
      </w:pPr>
      <w:bookmarkEnd w:id="163"/>
      <w:r>
        <w:rPr>
          <w:rFonts w:ascii="IRNazanin" w:hAnsi="IRNazanin" w:eastAsia="IRNazanin"/>
          <w:color w:val="111111"/>
          <w:sz w:val="28"/>
          <w:sz w:val="28"/>
          <w:szCs w:val="28"/>
          <w:rtl w:val="true"/>
          <w:lang w:bidi="fa-IR"/>
        </w:rPr>
        <w:t xml:space="preserve">بالاختلاف،و إذا کان البیع أعود مع الحاجة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بیع الوقف إلّا إذا خیف من خرابه أو خُلْفٍ أربابه المؤدّی إلی فساده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اللمعة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أدّی بقاؤه إلی خرابه لخُلْف أربابه،فالمشهور الجواز </w:t>
      </w:r>
      <w:r>
        <w:rPr>
          <w:rStyle w:val="FootnoteAnchor"/>
          <w:rtl w:val="true"/>
        </w:rPr>
        <w:footnoteReference w:id="22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64" w:name="__RefHeading___Toc5118965_2314609296"/>
      <w:bookmarkStart w:id="165" w:name="_Toc67"/>
      <w:bookmarkEnd w:id="164"/>
      <w:r>
        <w:rPr>
          <w:rtl w:val="true"/>
        </w:rPr>
        <w:t>[</w:t>
      </w:r>
      <w:r>
        <w:rPr>
          <w:rtl w:val="true"/>
        </w:rPr>
        <w:t>کلام الصیمری</w:t>
      </w:r>
      <w:r>
        <w:rPr>
          <w:rtl w:val="true"/>
        </w:rPr>
        <w:t>]</w:t>
      </w:r>
      <w:bookmarkEnd w:id="165"/>
    </w:p>
    <w:p>
      <w:pPr>
        <w:pStyle w:val="BookText"/>
        <w:rPr/>
      </w:pPr>
      <w:r>
        <w:rPr>
          <w:rFonts w:ascii="IRNazanin" w:hAnsi="IRNazanin" w:eastAsia="IRNazanin"/>
          <w:color w:val="111111"/>
          <w:sz w:val="28"/>
          <w:sz w:val="28"/>
          <w:szCs w:val="28"/>
          <w:rtl w:val="true"/>
          <w:lang w:bidi="fa-IR"/>
        </w:rPr>
        <w:t>و قال فی تلخیص الخلاف علی ما حکی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لأصحابنا فی بیع الوقف أقوالاً متعدّدة،أشهرها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جوازه إذا وقع بین أربابه خُلْفٌ و فتنة و خُشی خرابه و لا یمکن سدّ الفتنة بدون بیعه،و هو قول الشیخین،و اختاره نجم الدین و العلّامة </w:t>
      </w:r>
      <w:r>
        <w:rPr>
          <w:rStyle w:val="FootnoteAnchor"/>
          <w:rtl w:val="true"/>
        </w:rPr>
        <w:footnoteReference w:id="22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66" w:name="__RefHeading___Toc5118967_2314609296"/>
      <w:bookmarkStart w:id="167" w:name="_Toc68"/>
      <w:bookmarkEnd w:id="166"/>
      <w:r>
        <w:rPr>
          <w:rtl w:val="true"/>
        </w:rPr>
        <w:t>[</w:t>
      </w:r>
      <w:r>
        <w:rPr>
          <w:rtl w:val="true"/>
        </w:rPr>
        <w:t>کلام الفاضل المقداد قدس سره</w:t>
      </w:r>
      <w:r>
        <w:rPr>
          <w:rtl w:val="true"/>
        </w:rPr>
        <w:t>]</w:t>
      </w:r>
      <w:bookmarkEnd w:id="167"/>
    </w:p>
    <w:p>
      <w:pPr>
        <w:pStyle w:val="BookText"/>
        <w:rPr/>
      </w:pPr>
      <w:r>
        <w:rPr>
          <w:rFonts w:ascii="IRNazanin" w:hAnsi="IRNazanin" w:eastAsia="IRNazanin"/>
          <w:color w:val="111111"/>
          <w:sz w:val="28"/>
          <w:sz w:val="28"/>
          <w:szCs w:val="28"/>
          <w:rtl w:val="true"/>
          <w:lang w:bidi="fa-IR"/>
        </w:rPr>
        <w:t>و قال فی التنقیح علی ما حکی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آل إلی الخراب لأجل الاختلاف بحیث لا ینتفع به أصلاً،جاز بیعه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تعلیق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بیعه إذا کان فسادٌ یُستباح فیه الأنفس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8" w:name="__RefHeading___Toc5118969_2314609296"/>
      <w:bookmarkStart w:id="169" w:name="_Toc69"/>
      <w:bookmarkEnd w:id="168"/>
      <w:r>
        <w:rPr>
          <w:rtl w:val="true"/>
        </w:rPr>
        <w:t>[</w:t>
      </w:r>
      <w:r>
        <w:rPr>
          <w:rtl w:val="true"/>
        </w:rPr>
        <w:t>کلام الفاضل القطیفی</w:t>
      </w:r>
      <w:r>
        <w:rPr>
          <w:rtl w:val="true"/>
        </w:rPr>
        <w:t>]</w:t>
      </w:r>
      <w:bookmarkEnd w:id="16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إیضاح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جوّز بیعه إذا اختلف أربابه اختلافاً</w:t>
      </w:r>
      <w:bookmarkStart w:id="170" w:name="pg19861_202333"/>
    </w:p>
    <w:p>
      <w:pPr>
        <w:pStyle w:val="BookText"/>
        <w:rPr/>
      </w:pPr>
      <w:bookmarkEnd w:id="170"/>
      <w:r>
        <w:rPr>
          <w:rFonts w:ascii="IRNazanin" w:hAnsi="IRNazanin" w:eastAsia="IRNazanin"/>
          <w:color w:val="111111"/>
          <w:sz w:val="28"/>
          <w:sz w:val="28"/>
          <w:szCs w:val="28"/>
          <w:rtl w:val="true"/>
          <w:lang w:bidi="fa-IR"/>
        </w:rPr>
        <w:t xml:space="preserve">یخاف معه </w:t>
      </w:r>
      <w:r>
        <w:rPr>
          <w:rStyle w:val="FootnoteAnchor"/>
          <w:rtl w:val="true"/>
        </w:rPr>
        <w:footnoteReference w:id="230"/>
      </w:r>
      <w:r>
        <w:rPr>
          <w:rFonts w:ascii="IRNazanin" w:hAnsi="IRNazanin" w:eastAsia="IRNazanin"/>
          <w:color w:val="111111"/>
          <w:sz w:val="28"/>
          <w:sz w:val="28"/>
          <w:szCs w:val="28"/>
          <w:rtl w:val="true"/>
          <w:lang w:bidi="fa-IR"/>
        </w:rPr>
        <w:t>القتال و نهب الأموال و لم یندفع إلّا بالبیع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أمکن زواله و لو بحاکم الجور لم یجز،و لا اعتبار بخشیة الخراب و عدمه </w:t>
      </w:r>
      <w:r>
        <w:rPr>
          <w:rStyle w:val="FootnoteAnchor"/>
          <w:rtl w:val="true"/>
        </w:rPr>
        <w:footnoteReference w:id="23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کلامه </w:t>
      </w:r>
      <w:r>
        <w:rPr>
          <w:rStyle w:val="FootnoteAnchor"/>
          <w:rtl w:val="true"/>
        </w:rPr>
        <w:footnoteReference w:id="232"/>
      </w:r>
      <w:r>
        <w:rPr>
          <w:rFonts w:ascii="IRNazanin" w:hAnsi="IRNazanin" w:eastAsia="IRNazanin"/>
          <w:color w:val="111111"/>
          <w:sz w:val="28"/>
          <w:sz w:val="28"/>
          <w:szCs w:val="28"/>
          <w:rtl w:val="true"/>
          <w:lang w:bidi="fa-IR"/>
        </w:rPr>
        <w:t xml:space="preserve">المحکی عن تعلیقه علی الشرائع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1" w:name="__RefHeading___Toc5118971_2314609296"/>
      <w:bookmarkStart w:id="172" w:name="_Toc70"/>
      <w:bookmarkEnd w:id="171"/>
      <w:r>
        <w:rPr>
          <w:rtl w:val="true"/>
        </w:rPr>
        <w:t>[</w:t>
      </w:r>
      <w:r>
        <w:rPr>
          <w:rtl w:val="true"/>
        </w:rPr>
        <w:t>کلام المحقق الثانی</w:t>
      </w:r>
      <w:r>
        <w:rPr>
          <w:rtl w:val="true"/>
        </w:rPr>
        <w:t>]</w:t>
      </w:r>
      <w:bookmarkEnd w:id="172"/>
    </w:p>
    <w:p>
      <w:pPr>
        <w:pStyle w:val="BookText"/>
        <w:rPr/>
      </w:pPr>
      <w:r>
        <w:rPr>
          <w:rFonts w:ascii="IRNazanin" w:hAnsi="IRNazanin" w:eastAsia="IRNazanin"/>
          <w:color w:val="111111"/>
          <w:sz w:val="28"/>
          <w:sz w:val="28"/>
          <w:szCs w:val="28"/>
          <w:rtl w:val="true"/>
          <w:lang w:bidi="fa-IR"/>
        </w:rPr>
        <w:t>و قال فی جامع المقاصد بعد نسبة ما فی عبارة القواعد إلی موافقة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المعتمد جواز بیعه فی ثلاثة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خرب و اضمحلّ بحیث لا ینتفع به،کحُصُر </w:t>
      </w:r>
      <w:r>
        <w:rPr>
          <w:rStyle w:val="FootnoteAnchor"/>
          <w:rtl w:val="true"/>
        </w:rPr>
        <w:footnoteReference w:id="234"/>
      </w:r>
      <w:r>
        <w:rPr>
          <w:rFonts w:ascii="IRNazanin" w:hAnsi="IRNazanin" w:eastAsia="IRNazanin"/>
          <w:color w:val="111111"/>
          <w:sz w:val="28"/>
          <w:sz w:val="28"/>
          <w:szCs w:val="28"/>
          <w:rtl w:val="true"/>
          <w:lang w:bidi="fa-IR"/>
        </w:rPr>
        <w:t xml:space="preserve">المسجد إذا اندرست و جذوعه إذا انکسرت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حصل خُلْفٌ بین أربابه یخاف منه تلف الأموال، و مستنده صحیحة علی بن مهزیار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یُشتری بثمنه فی الموضعین ما یکون وقفاً علی وجهٍ یندفع به الخُلْفَ؛تحصیلاً لمطلوب الواقف بحسب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یتولّی ذلک الناظر الخاصّ إن کان،و إلّا فالحاکم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لحق بالموقوف علیه </w:t>
      </w:r>
      <w:r>
        <w:rPr>
          <w:rStyle w:val="FootnoteAnchor"/>
          <w:rtl w:val="true"/>
        </w:rPr>
        <w:footnoteReference w:id="237"/>
      </w:r>
      <w:r>
        <w:rPr>
          <w:rFonts w:ascii="IRNazanin" w:hAnsi="IRNazanin" w:eastAsia="IRNazanin"/>
          <w:color w:val="111111"/>
          <w:sz w:val="28"/>
          <w:sz w:val="28"/>
          <w:szCs w:val="28"/>
          <w:rtl w:val="true"/>
          <w:lang w:bidi="fa-IR"/>
        </w:rPr>
        <w:t>حاجةٌ شدیدة و لم یکن ما یکفیهم</w:t>
      </w:r>
      <w:bookmarkStart w:id="173" w:name="pg19861_202334"/>
    </w:p>
    <w:p>
      <w:pPr>
        <w:pStyle w:val="BookText"/>
        <w:rPr/>
      </w:pPr>
      <w:bookmarkEnd w:id="173"/>
      <w:r>
        <w:rPr>
          <w:rFonts w:ascii="IRNazanin" w:hAnsi="IRNazanin" w:eastAsia="IRNazanin"/>
          <w:color w:val="111111"/>
          <w:sz w:val="28"/>
          <w:sz w:val="28"/>
          <w:szCs w:val="28"/>
          <w:rtl w:val="true"/>
          <w:lang w:bidi="fa-IR"/>
        </w:rPr>
        <w:t xml:space="preserve">من غلّة و غیرها؛لروایة جعفر بن حنّان </w:t>
      </w:r>
      <w:r>
        <w:rPr>
          <w:rStyle w:val="FootnoteAnchor"/>
          <w:rtl w:val="true"/>
        </w:rPr>
        <w:footnoteReference w:id="238"/>
      </w:r>
      <w:r>
        <w:rPr>
          <w:rFonts w:ascii="IRNazanin" w:hAnsi="IRNazanin" w:eastAsia="IRNazanin"/>
          <w:color w:val="111111"/>
          <w:sz w:val="28"/>
          <w:sz w:val="28"/>
          <w:szCs w:val="28"/>
          <w:rtl w:val="true"/>
          <w:lang w:bidi="fa-IR"/>
        </w:rPr>
        <w:t xml:space="preserve">عن الصادق علیه السلام </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کلامه،رفع مقامه</w:t>
      </w:r>
      <w:r>
        <w:rPr>
          <w:rFonts w:eastAsia="IRNazanin" w:cs="IRNazanin"/>
          <w:color w:val="111111"/>
          <w:sz w:val="28"/>
          <w:szCs w:val="28"/>
          <w:rtl w:val="true"/>
          <w:lang w:bidi="fa-IR"/>
        </w:rPr>
        <w:t>.</w:t>
      </w:r>
    </w:p>
    <w:p>
      <w:pPr>
        <w:pStyle w:val="Heading6"/>
        <w:numPr>
          <w:ilvl w:val="5"/>
          <w:numId w:val="1"/>
        </w:numPr>
        <w:rPr/>
      </w:pPr>
      <w:bookmarkStart w:id="174" w:name="__RefHeading___Toc5118973_2314609296"/>
      <w:bookmarkStart w:id="175" w:name="_Toc71"/>
      <w:bookmarkEnd w:id="174"/>
      <w:r>
        <w:rPr>
          <w:rtl w:val="true"/>
        </w:rPr>
        <w:t>[</w:t>
      </w:r>
      <w:r>
        <w:rPr>
          <w:rtl w:val="true"/>
        </w:rPr>
        <w:t>کلام الشهید الثانی</w:t>
      </w:r>
      <w:r>
        <w:rPr>
          <w:rtl w:val="true"/>
        </w:rPr>
        <w:t>]</w:t>
      </w:r>
      <w:bookmarkEnd w:id="175"/>
    </w:p>
    <w:p>
      <w:pPr>
        <w:pStyle w:val="BookText"/>
        <w:rPr/>
      </w:pPr>
      <w:r>
        <w:rPr>
          <w:rFonts w:ascii="IRNazanin" w:hAnsi="IRNazanin" w:eastAsia="IRNazanin"/>
          <w:color w:val="111111"/>
          <w:sz w:val="28"/>
          <w:sz w:val="28"/>
          <w:szCs w:val="28"/>
          <w:rtl w:val="true"/>
          <w:lang w:bidi="fa-IR"/>
        </w:rPr>
        <w:t>و قال فی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فی المسألة ما دلّ علیه صحیحة علی ابن مهزیار عن أبی جعفر الجواد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جواز بیعه إذا وقع بین أربابه خُلْفٌ شدید،و علّله علیه السلام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جاء فیه تلف الأموال و النفوس</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،و ظاهره </w:t>
      </w:r>
      <w:r>
        <w:rPr>
          <w:rStyle w:val="FootnoteAnchor"/>
          <w:rtl w:val="true"/>
        </w:rPr>
        <w:footnoteReference w:id="241"/>
      </w:r>
      <w:r>
        <w:rPr>
          <w:rFonts w:ascii="IRNazanin" w:hAnsi="IRNazanin" w:eastAsia="IRNazanin"/>
          <w:color w:val="111111"/>
          <w:sz w:val="28"/>
          <w:sz w:val="28"/>
          <w:szCs w:val="28"/>
          <w:rtl w:val="true"/>
          <w:lang w:bidi="fa-IR"/>
        </w:rPr>
        <w:t>أنّ خوف أدائه إلیهما و إلی أحدهما لیس بشرط،بل هو مظنّة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یجوز بیعه فی غیر ما ذکرناه و إن احتاج إلیه أرباب الوقف و لم یکفهم غلّته،أو کان أعود،أو غیر ذلک ممّا قیل؛لعدم دلیلٍ صالحٍ علیه </w:t>
      </w:r>
      <w:r>
        <w:rPr>
          <w:rStyle w:val="FootnoteAnchor"/>
          <w:rtl w:val="true"/>
        </w:rPr>
        <w:footnoteReference w:id="24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ما عن الکفایة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جملة من کلماتهم المرئیّة أو المحکیّة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المراد بتأدیة بقاء الوقف إلی خرابه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الظنّ بذلک،الموجب لصدق الخوف،لا التأدیة علی وجه القطع،فیکون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تلک العبارات متّحداً مع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بعضها الآخر، و لذلک عبّر فقیهٌ واحد تارة بهذا،و أُخری بذاک کما اتّفق للفاضلین </w:t>
      </w:r>
      <w:r>
        <w:rPr>
          <w:rStyle w:val="FootnoteAnchor"/>
          <w:rtl w:val="true"/>
        </w:rPr>
        <w:footnoteReference w:id="244"/>
      </w:r>
      <w:bookmarkStart w:id="176" w:name="pg19861_202335"/>
    </w:p>
    <w:p>
      <w:pPr>
        <w:pStyle w:val="BookText"/>
        <w:rPr/>
      </w:pPr>
      <w:bookmarkEnd w:id="176"/>
      <w:r>
        <w:rPr>
          <w:rFonts w:ascii="IRNazanin" w:hAnsi="IRNazanin" w:eastAsia="IRNazanin"/>
          <w:color w:val="111111"/>
          <w:sz w:val="28"/>
          <w:sz w:val="28"/>
          <w:szCs w:val="28"/>
          <w:rtl w:val="true"/>
          <w:lang w:bidi="fa-IR"/>
        </w:rPr>
        <w:t xml:space="preserve">و الشهید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نسب بعضهم عنوان الخوف إلی الأکثر کالعلّامة فی التذکرة </w:t>
      </w:r>
      <w:r>
        <w:rPr>
          <w:rStyle w:val="FootnoteAnchor"/>
          <w:rtl w:val="true"/>
        </w:rPr>
        <w:footnoteReference w:id="246"/>
      </w:r>
      <w:r>
        <w:rPr>
          <w:rFonts w:ascii="IRNazanin" w:hAnsi="IRNazanin" w:eastAsia="IRNazanin"/>
          <w:color w:val="111111"/>
          <w:sz w:val="28"/>
          <w:sz w:val="28"/>
          <w:szCs w:val="28"/>
          <w:rtl w:val="true"/>
          <w:lang w:bidi="fa-IR"/>
        </w:rPr>
        <w:t xml:space="preserve">،و إلی الأشهر کما عن إیضاح النافع </w:t>
      </w:r>
      <w:r>
        <w:rPr>
          <w:rStyle w:val="FootnoteAnchor"/>
          <w:rtl w:val="true"/>
        </w:rPr>
        <w:footnoteReference w:id="247"/>
      </w:r>
      <w:r>
        <w:rPr>
          <w:rFonts w:ascii="IRNazanin" w:hAnsi="IRNazanin" w:eastAsia="IRNazanin"/>
          <w:color w:val="111111"/>
          <w:sz w:val="28"/>
          <w:sz w:val="28"/>
          <w:szCs w:val="28"/>
          <w:rtl w:val="true"/>
          <w:lang w:bidi="fa-IR"/>
        </w:rPr>
        <w:t xml:space="preserve">،و آخرٌ عنوان التأدیة إلی الأکثر کجامع المقاصد </w:t>
      </w:r>
      <w:r>
        <w:rPr>
          <w:rStyle w:val="FootnoteAnchor"/>
          <w:rtl w:val="true"/>
        </w:rPr>
        <w:footnoteReference w:id="248"/>
      </w:r>
      <w:r>
        <w:rPr>
          <w:rFonts w:ascii="IRNazanin" w:hAnsi="IRNazanin" w:eastAsia="IRNazanin"/>
          <w:color w:val="111111"/>
          <w:sz w:val="28"/>
          <w:sz w:val="28"/>
          <w:szCs w:val="28"/>
          <w:rtl w:val="true"/>
          <w:lang w:bidi="fa-IR"/>
        </w:rPr>
        <w:t xml:space="preserve">،أو إلی المشهور کاللمعة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جواز البیع بظنّ تأدیة بقائه إلی خرابه ممّا تحقّقت فیه الشهرة بین المجوِّزین،لکن المتیقَّن من فتوی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أجل اختلاف أربابه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یستظهر من کلماتهم کالنصّ کون الاختلاف من باب المقدّمة و أنّ الغایة المجوِّزة هی مظنّة الخراب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w:t>
      </w:r>
      <w:r>
        <w:rPr>
          <w:rStyle w:val="FootnoteAnchor"/>
          <w:rtl w:val="true"/>
        </w:rPr>
        <w:footnoteReference w:id="250"/>
      </w:r>
      <w:r>
        <w:rPr>
          <w:rFonts w:ascii="IRNazanin" w:hAnsi="IRNazanin" w:eastAsia="IRNazanin"/>
          <w:color w:val="111111"/>
          <w:sz w:val="28"/>
          <w:sz w:val="28"/>
          <w:szCs w:val="28"/>
          <w:rtl w:val="true"/>
          <w:lang w:bidi="fa-IR"/>
        </w:rPr>
        <w:t>عرفت ما ذکرنا،</w:t>
      </w:r>
    </w:p>
    <w:p>
      <w:pPr>
        <w:pStyle w:val="Heading6"/>
        <w:numPr>
          <w:ilvl w:val="5"/>
          <w:numId w:val="1"/>
        </w:numPr>
        <w:rPr/>
      </w:pPr>
      <w:bookmarkStart w:id="177" w:name="__RefHeading___Toc5118975_2314609296"/>
      <w:bookmarkStart w:id="178" w:name="_Toc72"/>
      <w:bookmarkEnd w:id="177"/>
      <w:r>
        <w:rPr>
          <w:rtl w:val="true"/>
        </w:rPr>
        <w:t>فیقع الکلام تارة فی الوقف المؤبّد،و أُخری فی المنقطع</w:t>
      </w:r>
      <w:r>
        <w:rPr>
          <w:rtl w:val="true"/>
        </w:rPr>
        <w:t>.</w:t>
      </w:r>
      <w:bookmarkEnd w:id="178"/>
    </w:p>
    <w:p>
      <w:pPr>
        <w:pStyle w:val="Heading6"/>
        <w:numPr>
          <w:ilvl w:val="5"/>
          <w:numId w:val="1"/>
        </w:numPr>
        <w:rPr/>
      </w:pPr>
      <w:bookmarkStart w:id="179" w:name="__RefHeading___Toc5118977_2314609296"/>
      <w:bookmarkStart w:id="180" w:name="_Toc73"/>
      <w:bookmarkEnd w:id="179"/>
      <w:r>
        <w:rPr>
          <w:rtl w:val="true"/>
        </w:rPr>
        <w:t>[</w:t>
      </w:r>
      <w:r>
        <w:rPr>
          <w:rtl w:val="true"/>
        </w:rPr>
        <w:t>الوقف المؤبّد</w:t>
      </w:r>
      <w:r>
        <w:rPr>
          <w:rtl w:val="true"/>
        </w:rPr>
        <w:t>]</w:t>
      </w:r>
      <w:bookmarkEnd w:id="180"/>
    </w:p>
    <w:p>
      <w:pPr>
        <w:pStyle w:val="BookText"/>
        <w:rPr/>
      </w:pP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ینبغی أن یقال فیه</w:t>
      </w:r>
    </w:p>
    <w:p>
      <w:pPr>
        <w:pStyle w:val="Heading6"/>
        <w:numPr>
          <w:ilvl w:val="5"/>
          <w:numId w:val="1"/>
        </w:numPr>
        <w:rPr/>
      </w:pPr>
      <w:bookmarkStart w:id="181" w:name="__RefHeading___Toc5118979_2314609296"/>
      <w:bookmarkStart w:id="182" w:name="_Toc74"/>
      <w:bookmarkEnd w:id="181"/>
      <w:r>
        <w:rPr>
          <w:rtl w:val="true"/>
        </w:rPr>
        <w:t>إنّ الوقف علی قسمین</w:t>
      </w:r>
      <w:r>
        <w:rPr>
          <w:rtl w:val="true"/>
        </w:rPr>
        <w:t>:</w:t>
      </w:r>
      <w:bookmarkEnd w:id="182"/>
    </w:p>
    <w:p>
      <w:pPr>
        <w:pStyle w:val="Heading6"/>
        <w:numPr>
          <w:ilvl w:val="5"/>
          <w:numId w:val="1"/>
        </w:numPr>
        <w:rPr/>
      </w:pPr>
      <w:bookmarkStart w:id="183" w:name="__RefHeading___Toc5118981_2314609296"/>
      <w:bookmarkStart w:id="184" w:name="_Toc75"/>
      <w:bookmarkEnd w:id="183"/>
      <w:r>
        <w:rPr>
          <w:rtl w:val="true"/>
        </w:rPr>
        <w:t>أحدهما</w:t>
      </w:r>
      <w:r>
        <w:rPr>
          <w:rtl w:val="true"/>
        </w:rPr>
        <w:t>:</w:t>
      </w:r>
      <w:r>
        <w:rPr>
          <w:rtl w:val="true"/>
        </w:rPr>
        <w:t>ما یکون ملکاً للموقوف علیهم،</w:t>
      </w:r>
      <w:bookmarkEnd w:id="18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فیملکون منفعته،فلهم</w:t>
      </w:r>
      <w:bookmarkStart w:id="185" w:name="pg19861_202336"/>
    </w:p>
    <w:p>
      <w:pPr>
        <w:pStyle w:val="BookText"/>
        <w:rPr/>
      </w:pPr>
      <w:bookmarkEnd w:id="185"/>
      <w:r>
        <w:rPr>
          <w:rFonts w:ascii="IRNazanin" w:hAnsi="IRNazanin" w:eastAsia="IRNazanin"/>
          <w:color w:val="111111"/>
          <w:sz w:val="28"/>
          <w:sz w:val="28"/>
          <w:szCs w:val="28"/>
          <w:rtl w:val="true"/>
          <w:lang w:bidi="fa-IR"/>
        </w:rPr>
        <w:t>استئجاره و أخذ أُجرته ممّن انتفع به بغیر حقّ</w:t>
      </w:r>
      <w:r>
        <w:rPr>
          <w:rFonts w:eastAsia="IRNazanin" w:cs="IRNazanin"/>
          <w:color w:val="111111"/>
          <w:sz w:val="28"/>
          <w:szCs w:val="28"/>
          <w:rtl w:val="true"/>
          <w:lang w:bidi="fa-IR"/>
        </w:rPr>
        <w:t>.</w:t>
      </w:r>
    </w:p>
    <w:p>
      <w:pPr>
        <w:pStyle w:val="Heading6"/>
        <w:numPr>
          <w:ilvl w:val="5"/>
          <w:numId w:val="1"/>
        </w:numPr>
        <w:rPr/>
      </w:pPr>
      <w:bookmarkStart w:id="186" w:name="__RefHeading___Toc5118983_2314609296"/>
      <w:bookmarkStart w:id="187" w:name="_Toc76"/>
      <w:bookmarkEnd w:id="186"/>
      <w:r>
        <w:rPr>
          <w:rtl w:val="true"/>
        </w:rPr>
        <w:t>و الثانی</w:t>
      </w:r>
      <w:r>
        <w:rPr>
          <w:rtl w:val="true"/>
        </w:rPr>
        <w:t>:</w:t>
      </w:r>
      <w:r>
        <w:rPr>
          <w:rtl w:val="true"/>
        </w:rPr>
        <w:t>ما لا یکون ملکاً لأحد،</w:t>
      </w:r>
      <w:bookmarkEnd w:id="187"/>
    </w:p>
    <w:p>
      <w:pPr>
        <w:pStyle w:val="BookText"/>
        <w:rPr/>
      </w:pPr>
      <w:r>
        <w:rPr>
          <w:rFonts w:ascii="IRNazanin" w:hAnsi="IRNazanin" w:eastAsia="IRNazanin"/>
          <w:color w:val="111111"/>
          <w:sz w:val="28"/>
          <w:sz w:val="28"/>
          <w:szCs w:val="28"/>
          <w:rtl w:val="true"/>
          <w:lang w:bidi="fa-IR"/>
        </w:rPr>
        <w:t xml:space="preserve">بل یکون فکّ ملک نظیر التحریر،کما فی المساجد و المدارس و الربُط؛بناءً علی القول بعدم دخولها فی ملک المسلمین کما هو مذهب جماعة </w:t>
      </w:r>
      <w:r>
        <w:rPr>
          <w:rStyle w:val="FootnoteAnchor"/>
          <w:rtl w:val="true"/>
        </w:rPr>
        <w:footnoteReference w:id="252"/>
      </w:r>
      <w:r>
        <w:rPr>
          <w:rFonts w:ascii="IRNazanin" w:hAnsi="IRNazanin" w:eastAsia="IRNazanin"/>
          <w:color w:val="111111"/>
          <w:sz w:val="28"/>
          <w:sz w:val="28"/>
          <w:szCs w:val="28"/>
          <w:rtl w:val="true"/>
          <w:lang w:bidi="fa-IR"/>
        </w:rPr>
        <w:t>،فإنّ الموقوف علیهم إنّما یملکون الانتفاع دون المنفعة،فلو سکنه أحدٌ بغیر حقٍّ فالظاهر أنّه لیس علیه اجرة المثل</w:t>
      </w:r>
      <w:r>
        <w:rPr>
          <w:rFonts w:eastAsia="IRNazanin" w:cs="IRNazanin"/>
          <w:color w:val="111111"/>
          <w:sz w:val="28"/>
          <w:szCs w:val="28"/>
          <w:rtl w:val="true"/>
          <w:lang w:bidi="fa-IR"/>
        </w:rPr>
        <w:t>.</w:t>
      </w:r>
    </w:p>
    <w:p>
      <w:pPr>
        <w:pStyle w:val="Heading6"/>
        <w:numPr>
          <w:ilvl w:val="5"/>
          <w:numId w:val="1"/>
        </w:numPr>
        <w:rPr/>
      </w:pPr>
      <w:bookmarkStart w:id="188" w:name="__RefHeading___Toc5118985_2314609296"/>
      <w:bookmarkStart w:id="189" w:name="_Toc77"/>
      <w:bookmarkEnd w:id="188"/>
      <w:r>
        <w:rPr>
          <w:rtl w:val="true"/>
        </w:rPr>
        <w:t>و الظاهر أنّ محلّ الکلام فی بیع الوقف إنّما هو القسم الأوّل،</w:t>
      </w:r>
      <w:bookmarkEnd w:id="189"/>
    </w:p>
    <w:p>
      <w:pPr>
        <w:pStyle w:val="BookText"/>
        <w:rPr/>
      </w:pPr>
      <w:r>
        <w:rPr>
          <w:rFonts w:ascii="IRNazanin" w:hAnsi="IRNazanin" w:eastAsia="IRNazanin"/>
          <w:color w:val="111111"/>
          <w:sz w:val="28"/>
          <w:sz w:val="28"/>
          <w:szCs w:val="28"/>
          <w:rtl w:val="true"/>
          <w:lang w:bidi="fa-IR"/>
        </w:rPr>
        <w:t xml:space="preserve">و أمّا الثانی فالظاهر عدم الخلاف فی عدم جواز بیعه؛لعدم الملک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بالجملة،فکلامهم هنا فیما کان ملکاً غیر طلق،لا فیما لم یکن ملکاً، و حینئذٍ فلو خرب المسجد و خربت القریة و انقطعت المارّة عن الطریق الذی فیه المسجد،لم یجز بیعه و صرف ثمنه فی إحداث مسجدٍ آخر أو تعمیره،و الظاهر عدم الخلاف فی ذلک کما اعترف به غیر واحد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نعم،ذکر بعض الأساطین بعد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یصحّ بیع الوقف العامّ مطلقاً،لا </w:t>
      </w:r>
      <w:r>
        <w:rPr>
          <w:rStyle w:val="FootnoteAnchor"/>
          <w:rtl w:val="true"/>
        </w:rPr>
        <w:footnoteReference w:id="255"/>
      </w:r>
      <w:r>
        <w:rPr>
          <w:rFonts w:ascii="IRNazanin" w:hAnsi="IRNazanin" w:eastAsia="IRNazanin"/>
          <w:color w:val="111111"/>
          <w:sz w:val="28"/>
          <w:sz w:val="28"/>
          <w:szCs w:val="28"/>
          <w:rtl w:val="true"/>
          <w:lang w:bidi="fa-IR"/>
        </w:rPr>
        <w:t>لعدم تمامیّة الملک،بل لعدم أصل الملک؛لرجوعها إلی اللّٰه و دخولها فی مشاعره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مع الیأس عن الانتفاع به فی الجهة المقصودة تؤجر للزراعة و نحوها،مع المحافظة علی الآداب اللازمة لها إن کان مسجداً مثلاً و إحکامِ السجلّات؛لئلّا یغلب الید فیُقضی بالملک،و تصرف فائدتها فیما یماثلها من الأوقاف مقدّماً للأقرب و الأحوج و الأفضل احتیاطاً،و مع التعارض فالمدار علی الراجح،و إن تعذّر صُرِف إلی غیر المماثل کذلک، فإن تعذّر صُرِف فی مصالح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غیر الأرض من الآلات و الفُرُش و الحیوانات و ثیاب الضرائح و نحوها،فإن بقیت علی حالها و أمکن الانتفاع بها فی خصوص المحلّ الذی أُعدّت له،کانت علی حالها،و إلّا جعلت فی المماثل،و إلّا فی غیره،و إلّا ففی المصالح،علی نحو ما مرّ،و إن تعذّر الانتفاع بها باقیةً علی حالها بالوجه المقصود منها أو ما قام مقامه،أشبهت الملک بعد إعراض المالک،فیقوم فیها احتمال الرجوع إلی حکم الإباحة،و العود ملکاً للمسلمین لِتُصرف فی مصالحهم،و العَوْد إلی المالک،و مع الیأس عن معرفته تدخل فی مجهول المالک،و یحتمل بقاؤه علی الوقف و یباع؛احترازاً عن التلف و الضرر و لزوم الحرج،و تُصرف مرتَّباً علی النحو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الأقوی کما صرّح به بعضهم </w:t>
      </w:r>
      <w:r>
        <w:rPr>
          <w:rStyle w:val="FootnoteAnchor"/>
          <w:rtl w:val="true"/>
        </w:rPr>
        <w:footnoteReference w:id="25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إجارة الأرض و بیع الآلات حسن لو ثبت دلیل علی کونها </w:t>
      </w:r>
      <w:r>
        <w:rPr>
          <w:rStyle w:val="FootnoteAnchor"/>
          <w:rtl w:val="true"/>
        </w:rPr>
        <w:footnoteReference w:id="257"/>
      </w:r>
      <w:r>
        <w:rPr>
          <w:rFonts w:ascii="Amiri" w:hAnsi="Amiri" w:eastAsia="Amiri" w:cs="Amiri"/>
          <w:color w:val="111111"/>
          <w:sz w:val="28"/>
          <w:sz w:val="28"/>
          <w:szCs w:val="28"/>
          <w:rtl w:val="true"/>
          <w:lang w:bidi="ar-SA"/>
        </w:rPr>
        <w:t xml:space="preserve">ملکاً </w:t>
      </w:r>
      <w:r>
        <w:rPr>
          <w:rStyle w:val="FootnoteAnchor"/>
          <w:rtl w:val="true"/>
        </w:rPr>
        <w:footnoteReference w:id="258"/>
      </w:r>
      <w:r>
        <w:rPr>
          <w:rFonts w:ascii="IRNazanin" w:hAnsi="IRNazanin" w:eastAsia="IRNazanin"/>
          <w:color w:val="111111"/>
          <w:sz w:val="28"/>
          <w:sz w:val="28"/>
          <w:szCs w:val="28"/>
          <w:rtl w:val="true"/>
          <w:lang w:bidi="fa-IR"/>
        </w:rPr>
        <w:t>للمسلمین و لو علی نحو الأرض المفتوحة عنوة،لکنّه</w:t>
      </w:r>
    </w:p>
    <w:p>
      <w:pPr>
        <w:pStyle w:val="BookText"/>
        <w:rPr/>
      </w:pPr>
      <w:r>
        <w:rPr>
          <w:rFonts w:ascii="IRNazanin" w:hAnsi="IRNazanin" w:eastAsia="IRNazanin"/>
          <w:color w:val="111111"/>
          <w:sz w:val="28"/>
          <w:sz w:val="28"/>
          <w:szCs w:val="28"/>
          <w:rtl w:val="true"/>
          <w:lang w:bidi="fa-IR"/>
        </w:rPr>
        <w:t xml:space="preserve">غیر ثابت،و المتیقّن خروجه عن ملک مالکه،أمّا </w:t>
      </w:r>
      <w:r>
        <w:rPr>
          <w:rStyle w:val="FootnoteAnchor"/>
          <w:rtl w:val="true"/>
        </w:rPr>
        <w:footnoteReference w:id="259"/>
      </w:r>
      <w:r>
        <w:rPr>
          <w:rFonts w:ascii="IRNazanin" w:hAnsi="IRNazanin" w:eastAsia="IRNazanin"/>
          <w:color w:val="111111"/>
          <w:sz w:val="28"/>
          <w:sz w:val="28"/>
          <w:szCs w:val="28"/>
          <w:rtl w:val="true"/>
          <w:lang w:bidi="fa-IR"/>
        </w:rPr>
        <w:t>دخوله فی ملک المسلمین فمنفیّ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الحکم بإباحة الانتفاع للمسلمین؛لأصالة الإباحة،و لا یتعلّق علیهم 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ربما ینافی ما ذکرنا من عدم جواز بیع القسم الثانی من الوقف ما ورد فی بیع ثوب الکعبة وهبته،مثل روایة مروان بن عبد الملک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رجل اشتری من کسوة الکعبة ما قضی ببعضه حاجتَه و بقی بعضه فی یده،هل یصلح له أن یبیع ما أراد؟قال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یبیع ما أراد،و یهب ما لم یرد،و ینتفع به و یطلب برکته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یکفّن به المیّت؟قال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استعماله،و بیع نفسه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و کذلک ما ذکروه فی بعض حُصُر </w:t>
      </w:r>
      <w:r>
        <w:rPr>
          <w:rStyle w:val="FootnoteAnchor"/>
          <w:rtl w:val="true"/>
        </w:rPr>
        <w:footnoteReference w:id="264"/>
      </w:r>
      <w:r>
        <w:rPr>
          <w:rFonts w:ascii="IRNazanin" w:hAnsi="IRNazanin" w:eastAsia="IRNazanin"/>
          <w:color w:val="111111"/>
          <w:sz w:val="28"/>
          <w:sz w:val="28"/>
          <w:szCs w:val="28"/>
          <w:rtl w:val="true"/>
          <w:lang w:bidi="fa-IR"/>
        </w:rPr>
        <w:t>المسجد إذا خلقت،و جذوعه إذا خرجت عن الانتفاع،اللهمّ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ثوب الکعبة و حصیر المسجد لیسا</w:t>
      </w:r>
    </w:p>
    <w:p>
      <w:pPr>
        <w:pStyle w:val="BookText"/>
        <w:rPr/>
      </w:pPr>
      <w:r>
        <w:rPr>
          <w:rFonts w:ascii="IRNazanin" w:hAnsi="IRNazanin" w:eastAsia="IRNazanin"/>
          <w:color w:val="111111"/>
          <w:sz w:val="28"/>
          <w:sz w:val="28"/>
          <w:szCs w:val="28"/>
          <w:rtl w:val="true"/>
          <w:lang w:bidi="fa-IR"/>
        </w:rPr>
        <w:t xml:space="preserve">من قبیل المسجد،بل هما مبذولان للبیت و المسجد،فیکون </w:t>
      </w:r>
      <w:r>
        <w:rPr>
          <w:rStyle w:val="FootnoteAnchor"/>
          <w:rtl w:val="true"/>
        </w:rPr>
        <w:footnoteReference w:id="265"/>
      </w:r>
      <w:r>
        <w:rPr>
          <w:rFonts w:ascii="IRNazanin" w:hAnsi="IRNazanin" w:eastAsia="IRNazanin"/>
          <w:color w:val="111111"/>
          <w:sz w:val="28"/>
          <w:sz w:val="28"/>
          <w:szCs w:val="28"/>
          <w:rtl w:val="true"/>
          <w:lang w:bidi="fa-IR"/>
        </w:rPr>
        <w:t xml:space="preserve">کسائر أموالهما،و معلومٌ أنّ وقفیّة أموال المساجد و الکعبة من قبیل القسم الأوّل و لیس </w:t>
      </w:r>
      <w:r>
        <w:rPr>
          <w:rStyle w:val="FootnoteAnchor"/>
          <w:rtl w:val="true"/>
        </w:rPr>
        <w:footnoteReference w:id="266"/>
      </w:r>
      <w:r>
        <w:rPr>
          <w:rFonts w:ascii="IRNazanin" w:hAnsi="IRNazanin" w:eastAsia="IRNazanin"/>
          <w:color w:val="111111"/>
          <w:sz w:val="28"/>
          <w:sz w:val="28"/>
          <w:szCs w:val="28"/>
          <w:rtl w:val="true"/>
          <w:lang w:bidi="fa-IR"/>
        </w:rPr>
        <w:t xml:space="preserve">من قبیل نفس المسجد،فهی ملک للمسلمین،فللناظر العامّ التصرّف فیها </w:t>
      </w:r>
      <w:r>
        <w:rPr>
          <w:rStyle w:val="FootnoteAnchor"/>
          <w:rtl w:val="true"/>
        </w:rPr>
        <w:footnoteReference w:id="267"/>
      </w:r>
      <w:r>
        <w:rPr>
          <w:rFonts w:ascii="IRNazanin" w:hAnsi="IRNazanin" w:eastAsia="IRNazanin"/>
          <w:color w:val="111111"/>
          <w:sz w:val="28"/>
          <w:sz w:val="28"/>
          <w:szCs w:val="28"/>
          <w:rtl w:val="true"/>
          <w:lang w:bidi="fa-IR"/>
        </w:rPr>
        <w:t>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نعم،فرق بین ما یکون ملکاً طلقاً کالحصیر المُشتری من مال المسجد،فهذا یجوز للناظر بیعه مع المصلحة و لو لم یخرج عن حیّز الانتفاع،بل کان جدیداً غیر مستعمل،و بین ما یکون من الأموال وقفاً علی المسجد کالحصیر الذی یشتریه الرجل و یضعه فی المسجد،و الثوب الذی یُلبس البیت،فمثل هذا یکون ملکاً للمسلمین لا یجوز لهم تغییره عن وضعه إلّا فی مواضع یسوغ فیها بیع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الفرق بین ثوب الکعبة و حصیر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الحصیر یتصوّر فیه کونه وقفاً علی المسلمین،لکن </w:t>
      </w:r>
      <w:r>
        <w:rPr>
          <w:rStyle w:val="FootnoteAnchor"/>
          <w:rtl w:val="true"/>
        </w:rPr>
        <w:footnoteReference w:id="268"/>
      </w:r>
      <w:r>
        <w:rPr>
          <w:rFonts w:ascii="IRNazanin" w:hAnsi="IRNazanin" w:eastAsia="IRNazanin"/>
          <w:color w:val="111111"/>
          <w:sz w:val="28"/>
          <w:sz w:val="28"/>
          <w:szCs w:val="28"/>
          <w:rtl w:val="true"/>
          <w:lang w:bidi="fa-IR"/>
        </w:rPr>
        <w:t>یضعه فی المسجد؛لأنّه أحد وجوه انتفاعهم،کالماء المسبّل الموضوع فی المسجد،فإذا خرب المسجد أو استغنی عنه جاز الانتفاع به و لو فی مسجد آخر،بل یمکن الانتفاع به فی غیره و لو مع حاجته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یبقی الکلام فی مورد الشکّ،مثل ما إذا فرش حصیراً فی المسجد أو وضع حبّ ماءٍ فیه،و إن کان الظاهر فی الأوّل الاختصاص و أوضح من ذلک الترَب الموضوعة فیه و فی الثانی العموم،فیجوز</w:t>
      </w:r>
    </w:p>
    <w:p>
      <w:pPr>
        <w:pStyle w:val="BookText"/>
        <w:rPr/>
      </w:pPr>
      <w:r>
        <w:rPr>
          <w:rFonts w:ascii="IRNazanin" w:hAnsi="IRNazanin" w:eastAsia="IRNazanin"/>
          <w:color w:val="111111"/>
          <w:sz w:val="28"/>
          <w:sz w:val="28"/>
          <w:szCs w:val="28"/>
          <w:rtl w:val="true"/>
          <w:lang w:bidi="fa-IR"/>
        </w:rPr>
        <w:t>التوضّؤ منه و إن لم یرد الصلاة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الحصیر </w:t>
      </w:r>
      <w:r>
        <w:rPr>
          <w:rStyle w:val="FootnoteAnchor"/>
          <w:rtl w:val="true"/>
        </w:rPr>
        <w:footnoteReference w:id="269"/>
      </w:r>
      <w:r>
        <w:rPr>
          <w:rFonts w:ascii="IRNazanin" w:hAnsi="IRNazanin" w:eastAsia="IRNazanin"/>
          <w:color w:val="111111"/>
          <w:sz w:val="28"/>
          <w:sz w:val="28"/>
          <w:szCs w:val="28"/>
          <w:rtl w:val="true"/>
          <w:lang w:bidi="fa-IR"/>
        </w:rPr>
        <w:t xml:space="preserve">و شبهها الموضوعة فی المساجد و شبهها یتصوّر فیها </w:t>
      </w:r>
      <w:r>
        <w:rPr>
          <w:rStyle w:val="FootnoteAnchor"/>
          <w:rtl w:val="true"/>
        </w:rPr>
        <w:footnoteReference w:id="270"/>
      </w:r>
      <w:r>
        <w:rPr>
          <w:rFonts w:ascii="IRNazanin" w:hAnsi="IRNazanin" w:eastAsia="IRNazanin"/>
          <w:color w:val="111111"/>
          <w:sz w:val="28"/>
          <w:sz w:val="28"/>
          <w:szCs w:val="28"/>
          <w:rtl w:val="true"/>
          <w:lang w:bidi="fa-IR"/>
        </w:rPr>
        <w:t>أقسام کثیرة یکون الملک فیها للمسلمین،و لیست من قبیل نفس المسجد و أضرابه،فتعرّض الأصحاب لبیعها لا ینافی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نعم،ما ذکرنا لا یجری فی الجذع المنکسر من جذوع المسجد التی هی من أجزاء البنیان،مع أنّ المحکی عن العلّامة </w:t>
      </w:r>
      <w:r>
        <w:rPr>
          <w:rStyle w:val="FootnoteAnchor"/>
          <w:rtl w:val="true"/>
        </w:rPr>
        <w:footnoteReference w:id="271"/>
      </w:r>
      <w:r>
        <w:rPr>
          <w:rFonts w:ascii="IRNazanin" w:hAnsi="IRNazanin" w:eastAsia="IRNazanin"/>
          <w:color w:val="111111"/>
          <w:sz w:val="28"/>
          <w:sz w:val="28"/>
          <w:szCs w:val="28"/>
          <w:rtl w:val="true"/>
          <w:lang w:bidi="fa-IR"/>
        </w:rPr>
        <w:t xml:space="preserve">و ولده </w:t>
      </w:r>
      <w:r>
        <w:rPr>
          <w:rStyle w:val="FootnoteAnchor"/>
          <w:rtl w:val="true"/>
        </w:rPr>
        <w:footnoteReference w:id="272"/>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273"/>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274"/>
      </w:r>
      <w:r>
        <w:rPr>
          <w:rFonts w:ascii="IRNazanin" w:hAnsi="IRNazanin" w:eastAsia="IRNazanin"/>
          <w:color w:val="111111"/>
          <w:sz w:val="28"/>
          <w:sz w:val="28"/>
          <w:szCs w:val="28"/>
          <w:rtl w:val="true"/>
          <w:lang w:bidi="fa-IR"/>
        </w:rPr>
        <w:t xml:space="preserve">جواز بیعه و إن اختلفوا فی تقیید الحکم و إطلاقه کما سیجیء </w:t>
      </w:r>
      <w:r>
        <w:rPr>
          <w:rStyle w:val="FootnoteAnchor"/>
          <w:rtl w:val="true"/>
        </w:rPr>
        <w:footnoteReference w:id="275"/>
      </w:r>
      <w:r>
        <w:rPr>
          <w:rFonts w:ascii="Amiri" w:hAnsi="Amiri" w:eastAsia="Amiri" w:cs="Amiri"/>
          <w:color w:val="111111"/>
          <w:sz w:val="28"/>
          <w:sz w:val="28"/>
          <w:szCs w:val="28"/>
          <w:rtl w:val="true"/>
          <w:lang w:bidi="ar-SA"/>
        </w:rPr>
        <w:t xml:space="preserve">،إلّا أن </w:t>
      </w:r>
      <w:r>
        <w:rPr>
          <w:rStyle w:val="FootnoteAnchor"/>
          <w:rtl w:val="true"/>
        </w:rPr>
        <w:footnoteReference w:id="276"/>
      </w:r>
      <w:r>
        <w:rPr>
          <w:rFonts w:ascii="IRNazanin" w:hAnsi="IRNazanin" w:eastAsia="IRNazanin"/>
          <w:color w:val="111111"/>
          <w:sz w:val="28"/>
          <w:sz w:val="28"/>
          <w:szCs w:val="28"/>
          <w:rtl w:val="true"/>
          <w:lang w:bidi="fa-IR"/>
        </w:rPr>
        <w:t xml:space="preserve">نلتزم </w:t>
      </w:r>
      <w:r>
        <w:rPr>
          <w:rStyle w:val="FootnoteAnchor"/>
          <w:rtl w:val="true"/>
        </w:rPr>
        <w:footnoteReference w:id="277"/>
      </w:r>
      <w:r>
        <w:rPr>
          <w:rFonts w:ascii="IRNazanin" w:hAnsi="IRNazanin" w:eastAsia="IRNazanin"/>
          <w:color w:val="111111"/>
          <w:sz w:val="28"/>
          <w:sz w:val="28"/>
          <w:szCs w:val="28"/>
          <w:rtl w:val="true"/>
          <w:lang w:bidi="fa-IR"/>
        </w:rPr>
        <w:t>بالفرق بین أرض المسجد،فإنّ وقفها و جعلها مسجداً فکّ ملک،بخلاف ما عداها من أجزاء البنیان کالأخشاب و الأحجار،فإنّها تصیر ملکاً للمسلمین،فتأمّل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کان،فالحکم فی أرض المسجد مع خروجها عن الانتفاع بها رأساً هو إبقاؤها مع التصرّف فی منافعها کما تقدّم عن بعض</w:t>
      </w:r>
    </w:p>
    <w:p>
      <w:pPr>
        <w:pStyle w:val="BookText"/>
        <w:rPr/>
      </w:pPr>
      <w:r>
        <w:rPr>
          <w:rFonts w:ascii="IRNazanin" w:hAnsi="IRNazanin" w:eastAsia="IRNazanin"/>
          <w:color w:val="111111"/>
          <w:sz w:val="28"/>
          <w:sz w:val="28"/>
          <w:szCs w:val="28"/>
          <w:rtl w:val="true"/>
          <w:lang w:bidi="fa-IR"/>
        </w:rPr>
        <w:t xml:space="preserve">الأساطین </w:t>
      </w:r>
      <w:r>
        <w:rPr>
          <w:rStyle w:val="FootnoteAnchor"/>
          <w:rtl w:val="true"/>
        </w:rPr>
        <w:footnoteReference w:id="278"/>
      </w:r>
      <w:r>
        <w:rPr>
          <w:rFonts w:ascii="IRNazanin" w:hAnsi="IRNazanin" w:eastAsia="IRNazanin"/>
          <w:color w:val="111111"/>
          <w:sz w:val="28"/>
          <w:sz w:val="28"/>
          <w:szCs w:val="28"/>
          <w:rtl w:val="true"/>
          <w:lang w:bidi="fa-IR"/>
        </w:rPr>
        <w:t>أو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أجزاؤه کجذوع سقفه و آجره من حائطه المنهدم فمع المصلحة فی صرف عینه </w:t>
      </w:r>
      <w:r>
        <w:rPr>
          <w:rStyle w:val="FootnoteAnchor"/>
          <w:rtl w:val="true"/>
        </w:rPr>
        <w:footnoteReference w:id="279"/>
      </w:r>
      <w:r>
        <w:rPr>
          <w:rFonts w:ascii="Amiri" w:hAnsi="Amiri" w:eastAsia="Amiri" w:cs="Amiri"/>
          <w:color w:val="111111"/>
          <w:sz w:val="28"/>
          <w:sz w:val="28"/>
          <w:szCs w:val="28"/>
          <w:rtl w:val="true"/>
          <w:lang w:bidi="ar-SA"/>
        </w:rPr>
        <w:t xml:space="preserve">فیه تعیّن </w:t>
      </w:r>
      <w:r>
        <w:rPr>
          <w:rStyle w:val="FootnoteAnchor"/>
          <w:rtl w:val="true"/>
        </w:rPr>
        <w:footnoteReference w:id="280"/>
      </w:r>
      <w:r>
        <w:rPr>
          <w:rFonts w:ascii="IRNazanin" w:hAnsi="IRNazanin" w:eastAsia="IRNazanin"/>
          <w:color w:val="111111"/>
          <w:sz w:val="28"/>
          <w:sz w:val="28"/>
          <w:szCs w:val="28"/>
          <w:rtl w:val="true"/>
          <w:lang w:bidi="fa-IR"/>
        </w:rPr>
        <w:t xml:space="preserve">لأنّ مقتضی وجوب إبقاء الوقوف و أجزائها </w:t>
      </w:r>
      <w:r>
        <w:rPr>
          <w:rStyle w:val="FootnoteAnchor"/>
          <w:rtl w:val="true"/>
        </w:rPr>
        <w:footnoteReference w:id="281"/>
      </w:r>
      <w:r>
        <w:rPr>
          <w:rFonts w:ascii="IRNazanin" w:hAnsi="IRNazanin" w:eastAsia="IRNazanin"/>
          <w:color w:val="111111"/>
          <w:sz w:val="28"/>
          <w:sz w:val="28"/>
          <w:szCs w:val="28"/>
          <w:rtl w:val="true"/>
          <w:lang w:bidi="fa-IR"/>
        </w:rPr>
        <w:t>علی حسب ما یوقفها أهلها وجوب إبقائه جزءاً للمسجد،لکن لا یجب صرف المال من المکلّف لمئونته،بل یُصرف من مال المسجد أو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یکن مصلحة فی ردّه جزءاً للمسجد،فبناءً </w:t>
      </w:r>
      <w:r>
        <w:rPr>
          <w:rStyle w:val="FootnoteAnchor"/>
          <w:rtl w:val="true"/>
        </w:rPr>
        <w:footnoteReference w:id="282"/>
      </w:r>
      <w:r>
        <w:rPr>
          <w:rFonts w:ascii="IRNazanin" w:hAnsi="IRNazanin" w:eastAsia="IRNazanin"/>
          <w:color w:val="111111"/>
          <w:sz w:val="28"/>
          <w:sz w:val="28"/>
          <w:szCs w:val="28"/>
          <w:rtl w:val="true"/>
          <w:lang w:bidi="fa-IR"/>
        </w:rPr>
        <w:t>علی ما تقدّم من أنّ الوقف فی المسجد و أضرابه فکّ ملک،لم یجز بیعه،لفرض عدم الملک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فإن قلنا بوجوب مراعاة الأقرب إلی مقصود الواقف فالأقرب،تعیّن </w:t>
      </w:r>
      <w:r>
        <w:rPr>
          <w:rStyle w:val="FootnoteAnchor"/>
          <w:rtl w:val="true"/>
        </w:rPr>
        <w:footnoteReference w:id="283"/>
      </w:r>
      <w:r>
        <w:rPr>
          <w:rFonts w:ascii="IRNazanin" w:hAnsi="IRNazanin" w:eastAsia="IRNazanin"/>
          <w:color w:val="111111"/>
          <w:sz w:val="28"/>
          <w:sz w:val="28"/>
          <w:szCs w:val="28"/>
          <w:rtl w:val="true"/>
          <w:lang w:bidi="fa-IR"/>
        </w:rPr>
        <w:t xml:space="preserve">صرفه فی مصالح ذلک،کإحراقه لآجر المسجد و نحو ذلک کما عن الروضة </w:t>
      </w:r>
      <w:r>
        <w:rPr>
          <w:rStyle w:val="FootnoteAnchor"/>
          <w:rtl w:val="true"/>
        </w:rPr>
        <w:footnoteReference w:id="284"/>
      </w:r>
      <w:r>
        <w:rPr>
          <w:rFonts w:ascii="Amiri" w:hAnsi="Amiri" w:eastAsia="Amiri" w:cs="Amiri"/>
          <w:color w:val="111111"/>
          <w:sz w:val="28"/>
          <w:sz w:val="28"/>
          <w:szCs w:val="28"/>
          <w:rtl w:val="true"/>
          <w:lang w:bidi="ar-SA"/>
        </w:rPr>
        <w:t xml:space="preserve">و إلّا صُرِف فی مسجدٍ آخر کما فی الدروس </w:t>
      </w:r>
      <w:r>
        <w:rPr>
          <w:rStyle w:val="FootnoteAnchor"/>
          <w:rtl w:val="true"/>
        </w:rPr>
        <w:footnoteReference w:id="285"/>
      </w:r>
      <w:r>
        <w:rPr>
          <w:rFonts w:ascii="Amiri" w:hAnsi="Amiri" w:eastAsia="Amiri" w:cs="Amiri"/>
          <w:color w:val="111111"/>
          <w:sz w:val="28"/>
          <w:sz w:val="28"/>
          <w:szCs w:val="28"/>
          <w:rtl w:val="true"/>
          <w:lang w:bidi="ar-SA"/>
        </w:rPr>
        <w:t>و إلّا صُرِف فی سائر مصالح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لکلّ أحد حیازته و تملّکه </w:t>
      </w:r>
      <w:r>
        <w:rPr>
          <w:rStyle w:val="FootnoteAnchor"/>
          <w:rtl w:val="true"/>
        </w:rPr>
        <w:footnoteReference w:id="286"/>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الحق </w:t>
      </w:r>
      <w:r>
        <w:rPr>
          <w:rStyle w:val="FootnoteAnchor"/>
          <w:rtl w:val="true"/>
        </w:rPr>
        <w:footnoteReference w:id="287"/>
      </w:r>
      <w:r>
        <w:rPr>
          <w:rFonts w:ascii="IRNazanin" w:hAnsi="IRNazanin" w:eastAsia="IRNazanin"/>
          <w:color w:val="111111"/>
          <w:sz w:val="28"/>
          <w:sz w:val="28"/>
          <w:szCs w:val="28"/>
          <w:rtl w:val="true"/>
          <w:lang w:bidi="fa-IR"/>
        </w:rPr>
        <w:t xml:space="preserve">بالمساجد المشاهد و المقابر و الخانات و المدارس و القناطر الموقوفة علی الطریقة المعروفة،و الکتب الموقوفة علی المشتغلین، و العبد المحبوس فی خدمة الکعبة و نحوها،و الأشجار الموقوفة لانتفاع المارّة،و البواری الموضوعة لصلاة المصلّین،و غیر ذلک ممّا قصد بوقفه الانتفاع العامّ لجمیع الناس أو للمسلمین و نحوهم من غیر المحصورین،لا لتحصیل المنافع بالإجارة و نحوها و صرفها فی مصارفها کما فی الحمّامات و الدکاکین و نحوها </w:t>
      </w:r>
      <w:r>
        <w:rPr>
          <w:rStyle w:val="FootnoteAnchor"/>
          <w:rtl w:val="true"/>
        </w:rPr>
        <w:footnoteReference w:id="288"/>
      </w:r>
      <w:r>
        <w:rPr>
          <w:rFonts w:ascii="IRNazanin" w:hAnsi="IRNazanin" w:eastAsia="IRNazanin"/>
          <w:color w:val="111111"/>
          <w:sz w:val="28"/>
          <w:sz w:val="28"/>
          <w:szCs w:val="28"/>
          <w:rtl w:val="true"/>
          <w:lang w:bidi="fa-IR"/>
        </w:rPr>
        <w:t>لأنّ جمیع ذلک صار بالوقف کالمباحات بالأصل، اللازم إبقاؤها علی الإباحة کالطرق العامّة و الأسواق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حسن علی تقدیر کون الوقف فیها فکّ ملک،لا تملیکاً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أتلف شیئاً من هذه الموقوفات أو أجزائها متلفٌ،ففی الضمان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صرف قیمته فی بدله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أنّ ما یطلب بقیمته یطلب بمنافعه،و المفروض عدم المطالبة بأُجرة منافع هذه لو استوفاها ظالم کما لو جعل المدرسة بیت المسکن أو محرزاً،و أنّ الظاهر من التأدیة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الإیصال إلی المالک فیختصّ بأملاک الناس،و الأوّل أحوط،و قوّاه بعض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bookmarkStart w:id="190" w:name="pg19861_202343"/>
    </w:p>
    <w:p>
      <w:pPr>
        <w:pStyle w:val="BookText"/>
        <w:rPr/>
      </w:pPr>
      <w:bookmarkEnd w:id="190"/>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1" w:name="__RefHeading___Toc5118987_2314609296"/>
      <w:bookmarkStart w:id="192" w:name="_Toc78"/>
      <w:bookmarkEnd w:id="191"/>
      <w:r>
        <w:rPr>
          <w:rtl w:val="true"/>
        </w:rPr>
        <w:t>صور جواز بیع الوقف</w:t>
      </w:r>
      <w:r>
        <w:rPr>
          <w:rtl w:val="true"/>
        </w:rPr>
        <w:t>]</w:t>
      </w:r>
      <w:bookmarkEnd w:id="192"/>
    </w:p>
    <w:p>
      <w:pPr>
        <w:pStyle w:val="BookText"/>
        <w:rPr/>
      </w:pP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جمیع ما ذکرنا،</w:t>
      </w:r>
    </w:p>
    <w:p>
      <w:pPr>
        <w:pStyle w:val="Heading6"/>
        <w:numPr>
          <w:ilvl w:val="5"/>
          <w:numId w:val="1"/>
        </w:numPr>
        <w:rPr/>
      </w:pPr>
      <w:bookmarkStart w:id="193" w:name="__RefHeading___Toc5118989_2314609296"/>
      <w:bookmarkStart w:id="194" w:name="_Toc79"/>
      <w:bookmarkEnd w:id="193"/>
      <w:r>
        <w:rPr>
          <w:rtl w:val="true"/>
        </w:rPr>
        <w:t>فاعلم أنّ الکلام فی جواز بیع الوقف یقع فی صور</w:t>
      </w:r>
      <w:r>
        <w:rPr>
          <w:rtl w:val="true"/>
        </w:rPr>
        <w:t>:</w:t>
      </w:r>
      <w:bookmarkEnd w:id="194"/>
    </w:p>
    <w:p>
      <w:pPr>
        <w:pStyle w:val="Heading6"/>
        <w:numPr>
          <w:ilvl w:val="5"/>
          <w:numId w:val="1"/>
        </w:numPr>
        <w:rPr/>
      </w:pPr>
      <w:bookmarkStart w:id="195" w:name="__RefHeading___Toc5118991_2314609296"/>
      <w:bookmarkStart w:id="196" w:name="_Toc80"/>
      <w:bookmarkEnd w:id="195"/>
      <w:r>
        <w:rPr>
          <w:rtl w:val="true"/>
        </w:rPr>
        <w:t>الاُولی</w:t>
      </w:r>
      <w:r>
        <w:rPr>
          <w:rtl w:val="true"/>
        </w:rPr>
        <w:t xml:space="preserve">: </w:t>
      </w:r>
      <w:r>
        <w:rPr>
          <w:rtl w:val="true"/>
        </w:rPr>
        <w:t>أن یخرب الوقف بحیث لا یمکن الانتفاع به مع بقاء عینه،</w:t>
      </w:r>
      <w:bookmarkEnd w:id="196"/>
    </w:p>
    <w:p>
      <w:pPr>
        <w:pStyle w:val="BookText"/>
        <w:rPr/>
      </w:pPr>
      <w:r>
        <w:rPr>
          <w:rFonts w:ascii="IRNazanin" w:hAnsi="IRNazanin" w:eastAsia="IRNazanin"/>
          <w:color w:val="111111"/>
          <w:sz w:val="28"/>
          <w:sz w:val="28"/>
          <w:szCs w:val="28"/>
          <w:rtl w:val="true"/>
          <w:lang w:bidi="fa-IR"/>
        </w:rPr>
        <w:t>کالحیوان المذبوح و الجذع البالی و الحصیر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جواز بیعه،وفاقاً لمن عرفت ممّن تقدّم نقل کلماتهم؛ لعدم جریان أدلّة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الإجماع،فواضح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شراء الوقف</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فلانصرافه إلی غیر هذه الحالة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أهلها</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فلا یدلّ علی المنع هنا؛لأنّه مسوق لبیان وجوب مراعاة الکیفیّة المرسومة فی إنشاء الوقف،و لیس منها عدم بیعه،بل عدم جواز البیع من أحکام الوقف و إن ذکر فی متن العقد؛للاتفاق علی أنّه لا فرق بین ذکره فیه و ترکه؛و قد تقدّم ذلک </w:t>
      </w:r>
      <w:r>
        <w:rPr>
          <w:rStyle w:val="FootnoteAnchor"/>
          <w:rtl w:val="true"/>
        </w:rPr>
        <w:footnoteReference w:id="293"/>
      </w:r>
      <w:r>
        <w:rPr>
          <w:rFonts w:ascii="IRNazanin" w:hAnsi="IRNazanin" w:eastAsia="IRNazanin"/>
          <w:color w:val="111111"/>
          <w:sz w:val="28"/>
          <w:sz w:val="28"/>
          <w:szCs w:val="28"/>
          <w:rtl w:val="true"/>
          <w:lang w:bidi="fa-IR"/>
        </w:rPr>
        <w:t xml:space="preserve">و تضعیف </w:t>
      </w:r>
      <w:r>
        <w:rPr>
          <w:rStyle w:val="FootnoteAnchor"/>
          <w:rtl w:val="true"/>
        </w:rPr>
        <w:footnoteReference w:id="294"/>
      </w:r>
      <w:r>
        <w:rPr>
          <w:rFonts w:ascii="IRNazanin" w:hAnsi="IRNazanin" w:eastAsia="IRNazanin"/>
          <w:color w:val="111111"/>
          <w:sz w:val="28"/>
          <w:sz w:val="28"/>
          <w:szCs w:val="28"/>
          <w:rtl w:val="true"/>
          <w:lang w:bidi="fa-IR"/>
        </w:rPr>
        <w:t>قول من قال ببطلان العقد إذا</w:t>
      </w:r>
    </w:p>
    <w:p>
      <w:pPr>
        <w:pStyle w:val="BookText"/>
        <w:rPr/>
      </w:pPr>
      <w:r>
        <w:rPr>
          <w:rFonts w:ascii="IRNazanin" w:hAnsi="IRNazanin" w:eastAsia="IRNazanin"/>
          <w:color w:val="111111"/>
          <w:sz w:val="28"/>
          <w:sz w:val="28"/>
          <w:szCs w:val="28"/>
          <w:rtl w:val="true"/>
          <w:lang w:bidi="fa-IR"/>
        </w:rPr>
        <w:t>حکم بجواز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أنّ المأخوذ فی الوقف إبقاء العین،فإنّما هو مأخوذ فیه من حیث کون المقصود انتفاع البطون به مع بقاء العین،و المفروض تعذّره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جواز بیعه هنا غیر منافٍ لما قصده الواقف فی وقفه،فهو ملک للبطون یجوز لهم البیع إذا اجتمع إذن البطن الموجود مع أولیاء سائر البطون،و هو الحاکم أو المتولی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الأمر دائر بین تعطیله </w:t>
      </w:r>
      <w:r>
        <w:rPr>
          <w:rStyle w:val="FootnoteAnchor"/>
          <w:rtl w:val="true"/>
        </w:rPr>
        <w:footnoteReference w:id="295"/>
      </w:r>
      <w:r>
        <w:rPr>
          <w:rFonts w:ascii="IRNazanin" w:hAnsi="IRNazanin" w:eastAsia="IRNazanin"/>
          <w:color w:val="111111"/>
          <w:sz w:val="28"/>
          <w:sz w:val="28"/>
          <w:szCs w:val="28"/>
          <w:rtl w:val="true"/>
          <w:lang w:bidi="fa-IR"/>
        </w:rPr>
        <w:t>حتّی یتلف بنفسه،و بین انتفاع البطن الموجود به بالإتلاف،و بین تبدیله بما یبقی و ینتفع به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تضییعٌ منافٍ لحقّ اللّٰه و حقّ الواقف و حقّ الموقوف علیه، و به یندفع استصحاب المنع،مضافاً إلی کون المنع السابق فی ضمن وجوب العمل بمقتضی الوقف،و هو انتفاع جمیع البطون بعینه،و قد ارتفع قطعاً،فلا یبقی ما کان فی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فمع منافاته لحقّ </w:t>
      </w:r>
      <w:r>
        <w:rPr>
          <w:rStyle w:val="FootnoteAnchor"/>
          <w:rtl w:val="true"/>
        </w:rPr>
        <w:footnoteReference w:id="296"/>
      </w:r>
      <w:r>
        <w:rPr>
          <w:rFonts w:ascii="IRNazanin" w:hAnsi="IRNazanin" w:eastAsia="IRNazanin"/>
          <w:color w:val="111111"/>
          <w:sz w:val="28"/>
          <w:sz w:val="28"/>
          <w:szCs w:val="28"/>
          <w:rtl w:val="true"/>
          <w:lang w:bidi="fa-IR"/>
        </w:rPr>
        <w:t>سائر البطون یستلزم جواز بیع البطن الأوّل؛إذ لا فرق بین إتلافه و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هو المطلوب</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الوقف ممّا لا یبقی بحسب استعداده العادی إلی آخر البطون،فلا وجه لمراعاتهم بتبدیله بما یبقی لهم،فینتهی</w:t>
      </w:r>
    </w:p>
    <w:p>
      <w:pPr>
        <w:pStyle w:val="BookText"/>
        <w:rPr/>
      </w:pPr>
      <w:r>
        <w:rPr>
          <w:rFonts w:ascii="IRNazanin" w:hAnsi="IRNazanin" w:eastAsia="IRNazanin"/>
          <w:color w:val="111111"/>
          <w:sz w:val="28"/>
          <w:sz w:val="28"/>
          <w:szCs w:val="28"/>
          <w:rtl w:val="true"/>
          <w:lang w:bidi="fa-IR"/>
        </w:rPr>
        <w:t>ملکه إلی من أدرک آخر أزمنة بقائه،فتأمّل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کان،فمع فرض ثبوت الحقّ للبطون اللاحقة،فلا وجه </w:t>
      </w:r>
      <w:r>
        <w:rPr>
          <w:rStyle w:val="FootnoteAnchor"/>
          <w:rtl w:val="true"/>
        </w:rPr>
        <w:footnoteReference w:id="297"/>
      </w:r>
      <w:r>
        <w:rPr>
          <w:rFonts w:ascii="IRNazanin" w:hAnsi="IRNazanin" w:eastAsia="IRNazanin"/>
          <w:color w:val="111111"/>
          <w:sz w:val="28"/>
          <w:sz w:val="28"/>
          <w:szCs w:val="28"/>
          <w:rtl w:val="true"/>
          <w:lang w:bidi="fa-IR"/>
        </w:rPr>
        <w:t>لترخیص البطن الموجود فی إتلافه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الثمن علی تقدیر البیع لا یخصّ به البطن الموجود،وفاقاً لمن تقدّم ممّن یظهر منه ذلک کالإسکافی </w:t>
      </w:r>
      <w:r>
        <w:rPr>
          <w:rStyle w:val="FootnoteAnchor"/>
          <w:rtl w:val="true"/>
        </w:rPr>
        <w:footnoteReference w:id="298"/>
      </w:r>
      <w:r>
        <w:rPr>
          <w:rFonts w:ascii="Amiri" w:hAnsi="Amiri" w:eastAsia="Amiri" w:cs="Amiri"/>
          <w:color w:val="111111"/>
          <w:sz w:val="28"/>
          <w:sz w:val="28"/>
          <w:szCs w:val="28"/>
          <w:rtl w:val="true"/>
          <w:lang w:bidi="ar-SA"/>
        </w:rPr>
        <w:t xml:space="preserve">و العلّامة </w:t>
      </w:r>
      <w:r>
        <w:rPr>
          <w:rStyle w:val="FootnoteAnchor"/>
          <w:rtl w:val="true"/>
        </w:rPr>
        <w:footnoteReference w:id="299"/>
      </w:r>
      <w:r>
        <w:rPr>
          <w:rFonts w:ascii="IRNazanin" w:hAnsi="IRNazanin" w:eastAsia="IRNazanin"/>
          <w:color w:val="111111"/>
          <w:sz w:val="28"/>
          <w:sz w:val="28"/>
          <w:szCs w:val="28"/>
          <w:rtl w:val="true"/>
          <w:lang w:bidi="fa-IR"/>
        </w:rPr>
        <w:t xml:space="preserve">و ولده </w:t>
      </w:r>
      <w:r>
        <w:rPr>
          <w:rStyle w:val="FootnoteAnchor"/>
          <w:rtl w:val="true"/>
        </w:rPr>
        <w:footnoteReference w:id="300"/>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301"/>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302"/>
      </w:r>
      <w:r>
        <w:rPr>
          <w:rFonts w:ascii="IRNazanin" w:hAnsi="IRNazanin" w:eastAsia="IRNazanin"/>
          <w:color w:val="111111"/>
          <w:sz w:val="28"/>
          <w:sz w:val="28"/>
          <w:szCs w:val="28"/>
          <w:rtl w:val="true"/>
          <w:lang w:bidi="fa-IR"/>
        </w:rPr>
        <w:t xml:space="preserve">،و حکی عن التنقیح </w:t>
      </w:r>
      <w:r>
        <w:rPr>
          <w:rStyle w:val="FootnoteAnchor"/>
          <w:rtl w:val="true"/>
        </w:rPr>
        <w:footnoteReference w:id="303"/>
      </w:r>
      <w:r>
        <w:rPr>
          <w:rFonts w:ascii="IRNazanin" w:hAnsi="IRNazanin" w:eastAsia="IRNazanin"/>
          <w:color w:val="111111"/>
          <w:sz w:val="28"/>
          <w:sz w:val="28"/>
          <w:szCs w:val="28"/>
          <w:rtl w:val="true"/>
          <w:lang w:bidi="fa-IR"/>
        </w:rPr>
        <w:t xml:space="preserve">و المقتصر </w:t>
      </w:r>
      <w:r>
        <w:rPr>
          <w:rStyle w:val="FootnoteAnchor"/>
          <w:rtl w:val="true"/>
        </w:rPr>
        <w:footnoteReference w:id="304"/>
      </w:r>
      <w:r>
        <w:rPr>
          <w:rFonts w:ascii="Amiri" w:hAnsi="Amiri" w:eastAsia="Amiri" w:cs="Amiri"/>
          <w:color w:val="111111"/>
          <w:sz w:val="28"/>
          <w:sz w:val="28"/>
          <w:szCs w:val="28"/>
          <w:rtl w:val="true"/>
          <w:lang w:bidi="ar-SA"/>
        </w:rPr>
        <w:t xml:space="preserve">و مجمع الفائدة </w:t>
      </w:r>
      <w:r>
        <w:rPr>
          <w:rStyle w:val="FootnoteAnchor"/>
          <w:rtl w:val="true"/>
        </w:rPr>
        <w:footnoteReference w:id="305"/>
      </w:r>
      <w:r>
        <w:rPr>
          <w:rFonts w:ascii="IRNazanin" w:hAnsi="IRNazanin" w:eastAsia="IRNazanin"/>
          <w:color w:val="111111"/>
          <w:sz w:val="28"/>
          <w:sz w:val="28"/>
          <w:szCs w:val="28"/>
          <w:rtl w:val="true"/>
          <w:lang w:bidi="fa-IR"/>
        </w:rPr>
        <w:t>لاقتضاء البدلیّة ذلک،فإنّ المبیع إذا کان ملکاً للموجودین بالفعل و للمعدومین بالقوّة کان الثمن کذلک،فإنّ الملکیّة اعتبار عرفی أو شرعی یلاحظها المعتبر عند تحقّق أسبابها،فکما أنّ الموجود مالک له فعلاً ما دام موجوداً بتملیک الواقف،فکذلک المعدوم مالک له شأناً بمقتضی تملیک الواقف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تعقّل الملک للمعدوم إنّما هو فی الملک الفعلی،لا الشأنی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الملک الشأنی لیس شیئاً محقَّقاً موجوداً،یکذّبها إنشاء الواقف له کإنشائه لملک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جاز أن تخرج العین الموقوفة إلی ملک الغیر بعوض لا یدخل فی ملک المعدوم علی نهج دخول المعوّض،جاز أن تخرج بعوض لا یدخل فی ملک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إلیه أشار الشهید قدّس سرّه فی الفرع الآتی،حیث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یعنی الثمن صار مملوکاً علی حدّ الملک الأوّل؛إذ یستحیل أن یملک لا علی حدّه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لظاهر بعض العبائر المتقدّمة </w:t>
      </w:r>
      <w:r>
        <w:rPr>
          <w:rStyle w:val="FootnoteAnchor"/>
          <w:rtl w:val="true"/>
        </w:rPr>
        <w:footnoteReference w:id="307"/>
      </w:r>
      <w:r>
        <w:rPr>
          <w:rFonts w:ascii="IRNazanin" w:hAnsi="IRNazanin" w:eastAsia="IRNazanin"/>
          <w:color w:val="111111"/>
          <w:sz w:val="28"/>
          <w:sz w:val="28"/>
          <w:szCs w:val="28"/>
          <w:rtl w:val="true"/>
          <w:lang w:bidi="fa-IR"/>
        </w:rPr>
        <w:t xml:space="preserve">،و اختاره المحقّق فی الشرائع فی دیة العبد الموقوف المقتول </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الوقف ملک للبطن الموجود،غایة الأمر تعلّق حقّ البطون اللاحقة به،فإذا فرض جواز بیعه انتقل الثمن إلی من هو مالک له فعلاً،و لا یلزم من تعلّق الحقّ بعین المبیع تعلّقه بالثمن،و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البدلیّة لا یوجب ترتّب جمیع اللوازم؛إذ لا عموم لفظی یقتضی البدلیّة و التنزیل،بل هو بدل له فی الملکیّة و ما یتبعها من حیث هو ملک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ینقل </w:t>
      </w:r>
      <w:r>
        <w:rPr>
          <w:rStyle w:val="FootnoteAnchor"/>
          <w:rtl w:val="true"/>
        </w:rPr>
        <w:footnoteReference w:id="309"/>
      </w:r>
      <w:r>
        <w:rPr>
          <w:rFonts w:ascii="IRNazanin" w:hAnsi="IRNazanin" w:eastAsia="IRNazanin"/>
          <w:color w:val="111111"/>
          <w:sz w:val="28"/>
          <w:sz w:val="28"/>
          <w:szCs w:val="28"/>
          <w:rtl w:val="true"/>
          <w:lang w:bidi="fa-IR"/>
        </w:rPr>
        <w:t xml:space="preserve">إلی المشتری إن کان هو الاختصاص الموقّت الثابت للبطن الموجود،لزم منه رجوع المبیع بعد انعدام البطن السابق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إلی البطن اللاحق،فلا یملکه المشتری ملکاً مستمرّاً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هو مطلق الاختصاص المستقرّ الذی لا یزول إلّا بالناقل،فهو لا یکون إلّا بثبوت </w:t>
      </w:r>
      <w:r>
        <w:rPr>
          <w:rStyle w:val="FootnoteAnchor"/>
          <w:rtl w:val="true"/>
        </w:rPr>
        <w:footnoteReference w:id="311"/>
      </w:r>
      <w:r>
        <w:rPr>
          <w:rFonts w:ascii="IRNazanin" w:hAnsi="IRNazanin" w:eastAsia="IRNazanin"/>
          <w:color w:val="111111"/>
          <w:sz w:val="28"/>
          <w:sz w:val="28"/>
          <w:szCs w:val="28"/>
          <w:rtl w:val="true"/>
          <w:lang w:bidi="fa-IR"/>
        </w:rPr>
        <w:t>جمیع الاختصاصات الحاصلة للبطون له،فالثمن لهم علی نحو المثمن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تعرف أنّ اشتراک البطون فی الثمن أولی من اشتراکهم فی دیة العبد المقتول؛حیث إنّه بدل شرعیّ یکون الحکم به متأخّراً عن تلف الوقف،فجاز عقلاً منع سرایة حقّ البطون اللاحقة إلیه،بخلاف الثمن،فإنّه یملکه من یملکه بنفس خروج الوقف عن ملکهم علی وجه المعاوضة </w:t>
      </w:r>
      <w:r>
        <w:rPr>
          <w:rStyle w:val="FootnoteAnchor"/>
          <w:rtl w:val="true"/>
        </w:rPr>
        <w:footnoteReference w:id="312"/>
      </w:r>
      <w:r>
        <w:rPr>
          <w:rFonts w:ascii="IRNazanin" w:hAnsi="IRNazanin" w:eastAsia="IRNazanin"/>
          <w:color w:val="111111"/>
          <w:sz w:val="28"/>
          <w:sz w:val="28"/>
          <w:szCs w:val="28"/>
          <w:rtl w:val="true"/>
          <w:lang w:bidi="fa-IR"/>
        </w:rPr>
        <w:t>الحقیقیّة،فلا یعقل اختصاص العوض بمن لم یختصّ بالمعوّض</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اتّضح أیضاً أنّ هذا أولی بالحکم من بدل الرهن الذی حکموا بکونه رهناً؛لأنّ حقّ الرهنیّة متعلّق بالعین من حیث إنّه ملک لمالکه الأوّل،فجاز أن یرتفع،لا </w:t>
      </w:r>
      <w:r>
        <w:rPr>
          <w:rStyle w:val="FootnoteAnchor"/>
          <w:rtl w:val="true"/>
        </w:rPr>
        <w:footnoteReference w:id="313"/>
      </w:r>
      <w:r>
        <w:rPr>
          <w:rFonts w:ascii="IRNazanin" w:hAnsi="IRNazanin" w:eastAsia="IRNazanin"/>
          <w:color w:val="111111"/>
          <w:sz w:val="28"/>
          <w:sz w:val="28"/>
          <w:szCs w:val="28"/>
          <w:rtl w:val="true"/>
          <w:lang w:bidi="fa-IR"/>
        </w:rPr>
        <w:t>إلی بدل بارتفاع ملکیّة المالک الأوّل،بخلاف الاختصاص الثابت للبطن المعدوم،فإنّه لیس قائماً بالعین من حیث إنّه ملک البطن الموجود،بل اختصاصٌ موقّت نظیر اختصاص البطن الموجود،مُنشَأٌ بإنشائه،مقارنٌ له بحسب الجعل، متأخّرٌ عنه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الثمن حکمه حکم الوقف فی کونه ملکاً لجمیع البطون علی ترتیبهم،فإن کان ممّا یمکن أن یبقی و ینتفع به البطون علی نحو المبدل و کانت مصلحة البطون فی بقائه ابقی،و إلّا أُبدل مکانه ما هو أصلح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ظهر عدم الحاجة إلی صیغة الوقف فی البدل،بل نفس البدلیّة تقتضی </w:t>
      </w:r>
      <w:r>
        <w:rPr>
          <w:rStyle w:val="FootnoteAnchor"/>
          <w:rtl w:val="true"/>
        </w:rPr>
        <w:footnoteReference w:id="314"/>
      </w:r>
      <w:r>
        <w:rPr>
          <w:rFonts w:ascii="IRNazanin" w:hAnsi="IRNazanin" w:eastAsia="IRNazanin"/>
          <w:color w:val="111111"/>
          <w:sz w:val="28"/>
          <w:sz w:val="28"/>
          <w:szCs w:val="28"/>
          <w:rtl w:val="true"/>
          <w:lang w:bidi="fa-IR"/>
        </w:rPr>
        <w:t>کونه کالمبدل؛و لذا علّله الشهید قدّس سرّه فی غایة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صار مملوکاً علی حدّ الملک الأوّل؛إذ یستحیل أن یملک لا علی حدّه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هذه </w:t>
      </w:r>
      <w:r>
        <w:rPr>
          <w:rStyle w:val="FootnoteAnchor"/>
          <w:rtl w:val="true"/>
        </w:rPr>
        <w:footnoteReference w:id="316"/>
      </w:r>
      <w:r>
        <w:rPr>
          <w:rFonts w:ascii="IRNazanin" w:hAnsi="IRNazanin" w:eastAsia="IRNazanin"/>
          <w:color w:val="111111"/>
          <w:sz w:val="28"/>
          <w:sz w:val="28"/>
          <w:szCs w:val="28"/>
          <w:rtl w:val="true"/>
          <w:lang w:bidi="fa-IR"/>
        </w:rPr>
        <w:t xml:space="preserve">العین حیث صارت ملکاً للبطون،فلهم أو لولیّهم أن ینظر فیه و یتصرّف فیه بحسب مصلحة جمیع البطون و لو بالإبدال بعین أُخری أصلح لهم،بل قد یجب إذا کان ترکه یعدّ تضییعاً للحقوق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مثل الأصل ممنوعاً عن بیعه إلّا لعذر؛لأنّ ذلک کان حکماً من أحکام الوقف الابتدائی،و بدل الوقف إنّما هو بدل له فی کونه ملکاً للبطون،فلا یترتّب علیه جمیع أحکام الوقف الابتدائی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أیضاً یظهر عدم وجوب شراء المماثل للوقف کما هو</w:t>
      </w:r>
    </w:p>
    <w:p>
      <w:pPr>
        <w:pStyle w:val="BookText"/>
        <w:rPr/>
      </w:pPr>
      <w:r>
        <w:rPr>
          <w:rFonts w:ascii="IRNazanin" w:hAnsi="IRNazanin" w:eastAsia="IRNazanin"/>
          <w:color w:val="111111"/>
          <w:sz w:val="28"/>
          <w:sz w:val="28"/>
          <w:szCs w:val="28"/>
          <w:rtl w:val="true"/>
          <w:lang w:bidi="fa-IR"/>
        </w:rPr>
        <w:t xml:space="preserve">ظاهر التذکرة </w:t>
      </w:r>
      <w:r>
        <w:rPr>
          <w:rStyle w:val="FootnoteAnchor"/>
          <w:rtl w:val="true"/>
        </w:rPr>
        <w:footnoteReference w:id="318"/>
      </w:r>
      <w:r>
        <w:rPr>
          <w:rFonts w:ascii="IRNazanin" w:hAnsi="IRNazanin" w:eastAsia="IRNazanin"/>
          <w:color w:val="111111"/>
          <w:sz w:val="28"/>
          <w:sz w:val="28"/>
          <w:szCs w:val="28"/>
          <w:rtl w:val="true"/>
          <w:lang w:bidi="fa-IR"/>
        </w:rPr>
        <w:t xml:space="preserve">و الإرشاد </w:t>
      </w:r>
      <w:r>
        <w:rPr>
          <w:rStyle w:val="FootnoteAnchor"/>
          <w:rtl w:val="true"/>
        </w:rPr>
        <w:footnoteReference w:id="319"/>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320"/>
      </w:r>
      <w:r>
        <w:rPr>
          <w:rFonts w:ascii="IRNazanin" w:hAnsi="IRNazanin" w:eastAsia="IRNazanin"/>
          <w:color w:val="111111"/>
          <w:sz w:val="28"/>
          <w:sz w:val="28"/>
          <w:szCs w:val="28"/>
          <w:rtl w:val="true"/>
          <w:lang w:bidi="fa-IR"/>
        </w:rPr>
        <w:t xml:space="preserve">و التنقیح </w:t>
      </w:r>
      <w:r>
        <w:rPr>
          <w:rStyle w:val="FootnoteAnchor"/>
          <w:rtl w:val="true"/>
        </w:rPr>
        <w:footnoteReference w:id="321"/>
      </w:r>
      <w:r>
        <w:rPr>
          <w:rFonts w:ascii="IRNazanin" w:hAnsi="IRNazanin" w:eastAsia="IRNazanin"/>
          <w:color w:val="111111"/>
          <w:sz w:val="28"/>
          <w:sz w:val="28"/>
          <w:szCs w:val="28"/>
          <w:rtl w:val="true"/>
          <w:lang w:bidi="fa-IR"/>
        </w:rPr>
        <w:t xml:space="preserve">و المقتصر </w:t>
      </w:r>
      <w:r>
        <w:rPr>
          <w:rStyle w:val="FootnoteAnchor"/>
          <w:rtl w:val="true"/>
        </w:rPr>
        <w:footnoteReference w:id="322"/>
      </w:r>
      <w:r>
        <w:rPr>
          <w:rFonts w:ascii="Amiri" w:hAnsi="Amiri" w:eastAsia="Amiri" w:cs="Amiri"/>
          <w:color w:val="111111"/>
          <w:sz w:val="28"/>
          <w:sz w:val="28"/>
          <w:szCs w:val="28"/>
          <w:rtl w:val="true"/>
          <w:lang w:bidi="ar-SA"/>
        </w:rPr>
        <w:t xml:space="preserve">و مجمع الفائدة </w:t>
      </w:r>
      <w:r>
        <w:rPr>
          <w:rStyle w:val="FootnoteAnchor"/>
          <w:rtl w:val="true"/>
        </w:rPr>
        <w:footnoteReference w:id="323"/>
      </w:r>
      <w:r>
        <w:rPr>
          <w:rFonts w:ascii="IRNazanin" w:hAnsi="IRNazanin" w:eastAsia="IRNazanin"/>
          <w:color w:val="111111"/>
          <w:sz w:val="28"/>
          <w:sz w:val="28"/>
          <w:szCs w:val="28"/>
          <w:rtl w:val="true"/>
          <w:lang w:bidi="fa-IR"/>
        </w:rPr>
        <w:t xml:space="preserve">بل قد لا یجوز إذا کان غیره أصلح؛لأنّ الثمن إذا صار ملکاً للموقوف علیهم الموجودین و المعدومین فاللازم ملاحظة مصلحتهم،خلافاً للعلّامة </w:t>
      </w:r>
      <w:r>
        <w:rPr>
          <w:rStyle w:val="FootnoteAnchor"/>
          <w:rtl w:val="true"/>
        </w:rPr>
        <w:footnoteReference w:id="324"/>
      </w:r>
      <w:r>
        <w:rPr>
          <w:rFonts w:ascii="IRNazanin" w:hAnsi="IRNazanin" w:eastAsia="IRNazanin"/>
          <w:color w:val="111111"/>
          <w:sz w:val="28"/>
          <w:sz w:val="28"/>
          <w:szCs w:val="28"/>
          <w:rtl w:val="true"/>
          <w:lang w:bidi="fa-IR"/>
        </w:rPr>
        <w:t xml:space="preserve">و ولده </w:t>
      </w:r>
      <w:r>
        <w:rPr>
          <w:rStyle w:val="FootnoteAnchor"/>
          <w:rtl w:val="true"/>
        </w:rPr>
        <w:footnoteReference w:id="325"/>
      </w:r>
      <w:r>
        <w:rPr>
          <w:rFonts w:ascii="IRNazanin" w:hAnsi="IRNazanin" w:eastAsia="IRNazanin"/>
          <w:color w:val="111111"/>
          <w:sz w:val="28"/>
          <w:sz w:val="28"/>
          <w:szCs w:val="28"/>
          <w:rtl w:val="true"/>
          <w:lang w:bidi="fa-IR"/>
        </w:rPr>
        <w:t xml:space="preserve">و الشهید </w:t>
      </w:r>
      <w:r>
        <w:rPr>
          <w:rStyle w:val="FootnoteAnchor"/>
          <w:rtl w:val="true"/>
        </w:rPr>
        <w:footnoteReference w:id="326"/>
      </w:r>
      <w:r>
        <w:rPr>
          <w:rFonts w:ascii="Amiri" w:hAnsi="Amiri" w:eastAsia="Amiri" w:cs="Amiri"/>
          <w:color w:val="111111"/>
          <w:sz w:val="28"/>
          <w:sz w:val="28"/>
          <w:szCs w:val="28"/>
          <w:rtl w:val="true"/>
          <w:lang w:bidi="ar-SA"/>
        </w:rPr>
        <w:t xml:space="preserve">و جماعة </w:t>
      </w:r>
      <w:r>
        <w:rPr>
          <w:rStyle w:val="FootnoteAnchor"/>
          <w:rtl w:val="true"/>
        </w:rPr>
        <w:footnoteReference w:id="327"/>
      </w:r>
      <w:r>
        <w:rPr>
          <w:rFonts w:ascii="IRNazanin" w:hAnsi="IRNazanin" w:eastAsia="IRNazanin"/>
          <w:color w:val="111111"/>
          <w:sz w:val="28"/>
          <w:sz w:val="28"/>
          <w:szCs w:val="28"/>
          <w:rtl w:val="true"/>
          <w:lang w:bidi="fa-IR"/>
        </w:rPr>
        <w:t>فأوجبوا المماثلة مع الإمکان؛لکون المثل أقرب إلی مقصود الواقف</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مع عدم انضباط غرض الواقف،إذ قد یتعلّق غرضه بکون الموقوف عیناً خاصّة،و قد یتعلّق بکون منفعة الوقف مقداراً معیّناً من دون تعلّق غرض بالعین،و قد یکون الغرض خصوص الانتفاع بثمرته، کما لو وقف بستاناً لینتفعوا بثمرته فبیع،فدار الأمر بین أن یُشتری بثمنه بستان </w:t>
      </w:r>
      <w:r>
        <w:rPr>
          <w:rStyle w:val="FootnoteAnchor"/>
          <w:rtl w:val="true"/>
        </w:rPr>
        <w:footnoteReference w:id="328"/>
      </w:r>
      <w:r>
        <w:rPr>
          <w:rFonts w:ascii="IRNazanin" w:hAnsi="IRNazanin" w:eastAsia="IRNazanin"/>
          <w:color w:val="111111"/>
          <w:sz w:val="28"/>
          <w:sz w:val="28"/>
          <w:szCs w:val="28"/>
          <w:rtl w:val="true"/>
          <w:lang w:bidi="fa-IR"/>
        </w:rPr>
        <w:t>فی موضع لا یصل إلیهم إلّا قیمة الثمرة،و بین أن</w:t>
      </w:r>
    </w:p>
    <w:p>
      <w:pPr>
        <w:pStyle w:val="BookText"/>
        <w:rPr/>
      </w:pPr>
      <w:r>
        <w:rPr>
          <w:rFonts w:ascii="Amiri" w:hAnsi="Amiri" w:eastAsia="Amiri" w:cs="Amiri"/>
          <w:color w:val="111111"/>
          <w:sz w:val="28"/>
          <w:sz w:val="28"/>
          <w:szCs w:val="28"/>
          <w:rtl w:val="true"/>
          <w:lang w:bidi="ar-SA"/>
        </w:rPr>
        <w:t xml:space="preserve">یُشتری ملک </w:t>
      </w:r>
      <w:r>
        <w:rPr>
          <w:rStyle w:val="FootnoteAnchor"/>
          <w:rtl w:val="true"/>
        </w:rPr>
        <w:footnoteReference w:id="329"/>
      </w:r>
      <w:r>
        <w:rPr>
          <w:rFonts w:ascii="IRNazanin" w:hAnsi="IRNazanin" w:eastAsia="IRNazanin"/>
          <w:color w:val="111111"/>
          <w:sz w:val="28"/>
          <w:sz w:val="28"/>
          <w:szCs w:val="28"/>
          <w:rtl w:val="true"/>
          <w:lang w:bidi="fa-IR"/>
        </w:rPr>
        <w:t>آخر یصل إلیهم اجرة منفعته،فإنّ الأوّل و إن کان مماثلاً إلّا أنّه لیس أقرب إلی غرض الواقف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Style w:val="FootnoteAnchor"/>
          <w:rtl w:val="true"/>
        </w:rPr>
        <w:footnoteReference w:id="330"/>
      </w:r>
      <w:r>
        <w:rPr>
          <w:rFonts w:ascii="IRNazanin" w:hAnsi="IRNazanin" w:eastAsia="IRNazanin"/>
          <w:color w:val="111111"/>
          <w:sz w:val="28"/>
          <w:sz w:val="28"/>
          <w:szCs w:val="28"/>
          <w:rtl w:val="true"/>
          <w:lang w:bidi="fa-IR"/>
        </w:rPr>
        <w:t>لا دلیل علی وجوب ملاحظة الأقرب إلی مقصوده،إنّما اللازم ملاحظة مدلول کلامه فی إنشاء الوقف؛لیجری الوقوف علی حسب ما یوقفها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الوقف ما دام موجوداً بشخصه لا یلاحظ فیه إلّا مدلول کلام الواقف،و إذا بیع و انتقل الثمن إلی الموقوف علیهم لم یلاحظ فیه إلّا مصلحتهم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فی محکیّ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مورد جوَّزنا بیع الوقف فإنّه یباع و یصرف الثمن إلی جهة الوقف،فإن أمکن شراء مثل تلک العین ممّا ینتفع به کان أولی،و إلّا جاز شراء کلّ ما یصحّ وقفه، و إلّا صرف الثمن إلی الموقوف علیه یعمل به </w:t>
      </w:r>
      <w:r>
        <w:rPr>
          <w:rStyle w:val="FootnoteAnchor"/>
          <w:rtl w:val="true"/>
        </w:rPr>
        <w:footnoteReference w:id="331"/>
      </w:r>
      <w:r>
        <w:rPr>
          <w:rFonts w:ascii="IRNazanin" w:hAnsi="IRNazanin" w:eastAsia="IRNazanin"/>
          <w:color w:val="111111"/>
          <w:sz w:val="28"/>
          <w:sz w:val="28"/>
          <w:szCs w:val="28"/>
          <w:rtl w:val="true"/>
          <w:lang w:bidi="fa-IR"/>
        </w:rPr>
        <w:t xml:space="preserve">ما شاء؛لأنّ فیه جمعاً بین التوصّل إلی غرض الواقف من نفع الموقوف علیه علی الدوام،و بین النصّ الدالّ علی عدم جواز مخالفة الواقف؛حیث </w:t>
      </w:r>
      <w:r>
        <w:rPr>
          <w:rStyle w:val="FootnoteAnchor"/>
          <w:rtl w:val="true"/>
        </w:rPr>
        <w:footnoteReference w:id="332"/>
      </w:r>
      <w:r>
        <w:rPr>
          <w:rFonts w:ascii="IRNazanin" w:hAnsi="IRNazanin" w:eastAsia="IRNazanin"/>
          <w:color w:val="111111"/>
          <w:sz w:val="28"/>
          <w:sz w:val="28"/>
          <w:szCs w:val="28"/>
          <w:rtl w:val="true"/>
          <w:lang w:bidi="fa-IR"/>
        </w:rPr>
        <w:t>شرط التأبید،فإذا لم یمکن التأبید بحسب الشخص و أمکن بحسب النوع وجب؛لأنّه موافق لغرض الواقف و داخل تحت الأوّل الذی وقع العقد علیه،و مراعاة الخصوصیّة الکلّیة تُفضی إلی فوات الغرض بأجمعه،و لأنّ قصر الثمن علی البائعین یقتضی خروج باقی البطون عن الاستحقاق بغیر وجه،مع</w:t>
      </w:r>
    </w:p>
    <w:p>
      <w:pPr>
        <w:pStyle w:val="BookText"/>
        <w:rPr/>
      </w:pPr>
      <w:r>
        <w:rPr>
          <w:rFonts w:ascii="Amiri" w:hAnsi="Amiri" w:eastAsia="Amiri" w:cs="Amiri"/>
          <w:color w:val="111111"/>
          <w:sz w:val="28"/>
          <w:sz w:val="28"/>
          <w:szCs w:val="28"/>
          <w:rtl w:val="true"/>
          <w:lang w:bidi="ar-SA"/>
        </w:rPr>
        <w:t xml:space="preserve">أنّه یستحقّون من الوقف </w:t>
      </w:r>
      <w:r>
        <w:rPr>
          <w:rStyle w:val="FootnoteAnchor"/>
          <w:rtl w:val="true"/>
        </w:rPr>
        <w:footnoteReference w:id="333"/>
      </w:r>
      <w:r>
        <w:rPr>
          <w:rFonts w:ascii="Amiri" w:hAnsi="Amiri" w:eastAsia="Amiri" w:cs="Amiri"/>
          <w:color w:val="111111"/>
          <w:sz w:val="28"/>
          <w:sz w:val="28"/>
          <w:szCs w:val="28"/>
          <w:rtl w:val="true"/>
          <w:lang w:bidi="ar-SA"/>
        </w:rPr>
        <w:t xml:space="preserve">کما یستحقّ البطن الأوّل،و یقدّر </w:t>
      </w:r>
      <w:r>
        <w:rPr>
          <w:rStyle w:val="FootnoteAnchor"/>
          <w:rtl w:val="true"/>
        </w:rPr>
        <w:footnoteReference w:id="334"/>
      </w:r>
      <w:r>
        <w:rPr>
          <w:rFonts w:ascii="IRNazanin" w:hAnsi="IRNazanin" w:eastAsia="IRNazanin"/>
          <w:color w:val="111111"/>
          <w:sz w:val="28"/>
          <w:sz w:val="28"/>
          <w:szCs w:val="28"/>
          <w:rtl w:val="true"/>
          <w:lang w:bidi="fa-IR"/>
        </w:rPr>
        <w:t>وجودهم حال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علمائنا و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ثمن الوقف کقیمة الموقوف إذا تلف فیصرف الثمن علی الموقوف علیهم </w:t>
      </w:r>
      <w:r>
        <w:rPr>
          <w:rStyle w:val="FootnoteAnchor"/>
          <w:rtl w:val="true"/>
        </w:rPr>
        <w:footnoteReference w:id="335"/>
      </w:r>
      <w:r>
        <w:rPr>
          <w:rFonts w:ascii="IRNazanin" w:hAnsi="IRNazanin" w:eastAsia="IRNazanin"/>
          <w:color w:val="111111"/>
          <w:sz w:val="28"/>
          <w:sz w:val="28"/>
          <w:szCs w:val="28"/>
          <w:rtl w:val="true"/>
          <w:lang w:bidi="fa-IR"/>
        </w:rPr>
        <w:t xml:space="preserve">علی رأی </w:t>
      </w:r>
      <w:r>
        <w:rPr>
          <w:rStyle w:val="FootnoteAnchor"/>
          <w:rtl w:val="true"/>
        </w:rPr>
        <w:footnoteReference w:id="33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مواقع الردّ و القبول فی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المتولّی للبیع هو البطن الموجود بضمیمة الحاکم القیّم من قبل سائر البطون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هذا إلی الناظر إن کان؛لأنّه المنصوب لمعظم الأُمور الراجعة إلی الوقف،إلّا أن یقال بعدم انصراف وظیفته المجعولة من قبل الواقف إلی التصرّف فی نفس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سقوط نظارته عن بدل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بقاؤه؛لتعلّق حقّه بالعین الموقوفة،فیتعلّق ببدلها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لو لم یمکن شراء بدله،و لم یکن الثمن ممّا ینتفع به مع بقاء عینه کالنقدین فلا یجوز دفعه إلی البطن الموجود؛لما عرفت من کونه کالمبیع مشترکاً بین جمیع البطون،و حینئذٍ فیوضع عند أمین حتّی یتمکّن من شراء ما ینتفع به و لو مع الخیار إلی 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طلب ذلک البطنُ الموجود فلا یبعد وجوب إجابته،و لا یعطّل الثمن حتّی یوجد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ما یشتری به من غیر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رضی الموجود بالاتّجار به و کانت المصلحة فی التجارة، جاز مع المصلحة إلی أن یوجد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الربح تابع للأصل و لا یملکه الموجودون؛لأنّه جزء من المبیع، و لیس کالنماء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فرق فی جمیع ما ذکرنا من جواز البیع مع خراب الوقف بین عروض الخراب لکلّه أو بعضه،فیباع البعض المخروب و یجعل بدله ما یکون وقفاً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صرف ثمنه فی باقیه بحیث یوجب زیادة منفعةٍ </w:t>
      </w:r>
      <w:r>
        <w:rPr>
          <w:rStyle w:val="FootnoteAnchor"/>
          <w:rtl w:val="true"/>
        </w:rPr>
        <w:footnoteReference w:id="339"/>
      </w:r>
      <w:r>
        <w:rPr>
          <w:rFonts w:ascii="IRNazanin" w:hAnsi="IRNazanin" w:eastAsia="IRNazanin"/>
          <w:color w:val="111111"/>
          <w:sz w:val="28"/>
          <w:sz w:val="28"/>
          <w:szCs w:val="28"/>
          <w:rtl w:val="true"/>
          <w:lang w:bidi="fa-IR"/>
        </w:rPr>
        <w:t>جاز مع رضا الکلّ؛لما عرفت من کون الثمن ملکاً للبطون، فلهم التصرّف فیه علی ظنّ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 جواز صرفه فی وقف آخر علیهم علی نحو هذا الوقف،فیجوز صرف ثمن ملک مخروب فی تعمیر وقف آخر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خرب بعض الوقف و خرج عن الانتفاع و بقی بعضه محتاجاً إلی عمارة لا یمکن بدونها انتفاع البطون اللاحقة،فهل یصرف ثمن المخروب إلی عمارة الباقی و إن لم یرض البطن الموجود؟وجهان آتیان فیما إذا احتاج إصلاح الوقف بحیث لا یخرج عن قابلیة انتفاع البطون اللاحقة إلی صرف منفعته الحاضرة التی یستحقّها البطن الموجود إذا لم یشترط الواقف إخراج مئونة الوقف عن منفعته قبل قسمته </w:t>
      </w:r>
      <w:r>
        <w:rPr>
          <w:rStyle w:val="FootnoteAnchor"/>
          <w:rtl w:val="true"/>
        </w:rPr>
        <w:footnoteReference w:id="340"/>
      </w:r>
      <w:r>
        <w:rPr>
          <w:rFonts w:ascii="IRNazanin" w:hAnsi="IRNazanin" w:eastAsia="IRNazanin"/>
          <w:color w:val="111111"/>
          <w:sz w:val="28"/>
          <w:sz w:val="28"/>
          <w:szCs w:val="28"/>
          <w:rtl w:val="true"/>
          <w:lang w:bidi="fa-IR"/>
        </w:rPr>
        <w:t>فی الموقوف علیهم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فروع أُخر یستخرجها الماهر بعد التأمّل</w:t>
      </w:r>
      <w:r>
        <w:rPr>
          <w:rFonts w:eastAsia="IRNazanin" w:cs="IRNazanin"/>
          <w:color w:val="111111"/>
          <w:sz w:val="28"/>
          <w:szCs w:val="28"/>
          <w:rtl w:val="true"/>
          <w:lang w:bidi="fa-IR"/>
        </w:rPr>
        <w:t>.</w:t>
      </w:r>
      <w:bookmarkStart w:id="197" w:name="pg19861_202353"/>
    </w:p>
    <w:p>
      <w:pPr>
        <w:pStyle w:val="Heading6"/>
        <w:numPr>
          <w:ilvl w:val="5"/>
          <w:numId w:val="1"/>
        </w:numPr>
        <w:rPr/>
      </w:pPr>
      <w:bookmarkStart w:id="198" w:name="__RefHeading___Toc5118993_2314609296"/>
      <w:bookmarkStart w:id="199" w:name="_Toc81"/>
      <w:bookmarkEnd w:id="197"/>
      <w:bookmarkEnd w:id="198"/>
      <w:r>
        <w:rPr>
          <w:rtl w:val="true"/>
        </w:rPr>
        <w:t>الصورة الثانیة</w:t>
      </w:r>
      <w:r>
        <w:rPr>
          <w:rtl w:val="true"/>
        </w:rPr>
        <w:t>:</w:t>
      </w:r>
      <w:r>
        <w:rPr>
          <w:rtl w:val="true"/>
        </w:rPr>
        <w:t>أن یخرب بحیث یسقط عن الانتفاع المعتدّ به،</w:t>
      </w:r>
      <w:bookmarkEnd w:id="199"/>
    </w:p>
    <w:p>
      <w:pPr>
        <w:pStyle w:val="BookText"/>
        <w:rPr/>
      </w:pPr>
      <w:r>
        <w:rPr>
          <w:rFonts w:ascii="Amiri" w:hAnsi="Amiri" w:eastAsia="Amiri" w:cs="Amiri"/>
          <w:color w:val="111111"/>
          <w:sz w:val="28"/>
          <w:sz w:val="28"/>
          <w:szCs w:val="28"/>
          <w:rtl w:val="true"/>
          <w:lang w:bidi="ar-SA"/>
        </w:rPr>
        <w:t>بحیث یصدق عرفاً أنّه لا منفعة فیه،کدارٍ انهدمت فصارت عَرَصَةً تؤجر للانتفاع بها بأُجرة لا تبلغ شیئاً معتدّاً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کان ثمنه علی تقدیر البیع لا یعطی به إلّا ما کان منفعته کمنفعة العَرَصَة،فلا ینبغی الإشکال فی عدم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یُعطی بثمنه ما یکون منفعته أکثر من منفعة </w:t>
      </w:r>
      <w:r>
        <w:rPr>
          <w:rStyle w:val="FootnoteAnchor"/>
          <w:rtl w:val="true"/>
        </w:rPr>
        <w:footnoteReference w:id="341"/>
      </w:r>
      <w:r>
        <w:rPr>
          <w:rFonts w:ascii="IRNazanin" w:hAnsi="IRNazanin" w:eastAsia="IRNazanin"/>
          <w:color w:val="111111"/>
          <w:sz w:val="28"/>
          <w:sz w:val="28"/>
          <w:szCs w:val="28"/>
          <w:rtl w:val="true"/>
          <w:lang w:bidi="fa-IR"/>
        </w:rPr>
        <w:t xml:space="preserve">العرصة،بل یساوی </w:t>
      </w:r>
      <w:r>
        <w:rPr>
          <w:rStyle w:val="FootnoteAnchor"/>
          <w:rtl w:val="true"/>
        </w:rPr>
        <w:footnoteReference w:id="342"/>
      </w:r>
      <w:r>
        <w:rPr>
          <w:rFonts w:ascii="IRNazanin" w:hAnsi="IRNazanin" w:eastAsia="IRNazanin"/>
          <w:color w:val="111111"/>
          <w:sz w:val="28"/>
          <w:sz w:val="28"/>
          <w:szCs w:val="28"/>
          <w:rtl w:val="true"/>
          <w:lang w:bidi="fa-IR"/>
        </w:rPr>
        <w:t>منفعة الدار،ففی جواز البیع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عدم دلیلٍ علی الجواز مع قیام المقتضی للمنع،و هو ظاهر المشهور،حیث قیّدوا الخراب المسوّغ للبیع بکونه بحیث لا یجدی نفعاً، و قد تقدّم التصریح من العلّامة فی التحریر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انهدمت الدار لم تخرج العرصة من الوقف،و لم یجز بیعها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یحمل النفع المنفیّ فی کلام المشهور علی النفع المعتدّ به بحسب حال العین،فإنّ الحمّام الذی یستأجر کلّ سنة مائة دینار إذا صارت عرصة تؤجر کلّ سنة خمسة دراهم أو عشرة لغرضٍ جزئی کجمع الزبائل و نحوه یصدق علیه أنّه لا یجدی نفعاً؛و کذا القریة</w:t>
      </w:r>
    </w:p>
    <w:p>
      <w:pPr>
        <w:pStyle w:val="BookText"/>
        <w:rPr/>
      </w:pPr>
      <w:r>
        <w:rPr>
          <w:rFonts w:ascii="IRNazanin" w:hAnsi="IRNazanin" w:eastAsia="IRNazanin"/>
          <w:color w:val="111111"/>
          <w:sz w:val="28"/>
          <w:sz w:val="28"/>
          <w:szCs w:val="28"/>
          <w:rtl w:val="true"/>
          <w:lang w:bidi="fa-IR"/>
        </w:rPr>
        <w:t xml:space="preserve">الموقوفة،فإنّ خرابها بغور أنهارها و هلاک أهلها،و لا تکون بسلب </w:t>
      </w:r>
      <w:r>
        <w:rPr>
          <w:rStyle w:val="FootnoteAnchor"/>
          <w:rtl w:val="true"/>
        </w:rPr>
        <w:footnoteReference w:id="344"/>
      </w:r>
      <w:r>
        <w:rPr>
          <w:rFonts w:ascii="IRNazanin" w:hAnsi="IRNazanin" w:eastAsia="IRNazanin"/>
          <w:color w:val="111111"/>
          <w:sz w:val="28"/>
          <w:sz w:val="28"/>
          <w:szCs w:val="28"/>
          <w:rtl w:val="true"/>
          <w:lang w:bidi="fa-IR"/>
        </w:rPr>
        <w:t>منافع أراضیها رأساً؛و یشهد لهذا ما تقدّم عن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جعل عرصة الدار المنهدمة مواتاً لا ینتفع بها بالکلیّة </w:t>
      </w:r>
      <w:r>
        <w:rPr>
          <w:rStyle w:val="FootnoteAnchor"/>
          <w:rtl w:val="true"/>
        </w:rPr>
        <w:footnoteReference w:id="345"/>
      </w:r>
      <w:r>
        <w:rPr>
          <w:rFonts w:ascii="Amiri" w:hAnsi="Amiri" w:eastAsia="Amiri" w:cs="Amiri"/>
          <w:color w:val="111111"/>
          <w:sz w:val="28"/>
          <w:sz w:val="28"/>
          <w:szCs w:val="28"/>
          <w:rtl w:val="true"/>
          <w:lang w:bidi="ar-SA"/>
        </w:rPr>
        <w:t>مع أنّها کثیراً ما تُستأجر للأغراض الجزئیّة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فالظاهر دخول الصورة المذکورة فی إطلاق کلام کلّ من سوّغ البیع عند خرابه بحیث لا یجدی نفعاً،و یشمله الإجماع المدّعی فی الانتصار </w:t>
      </w:r>
      <w:r>
        <w:rPr>
          <w:rStyle w:val="FootnoteAnchor"/>
          <w:rtl w:val="true"/>
        </w:rPr>
        <w:footnoteReference w:id="346"/>
      </w:r>
      <w:r>
        <w:rPr>
          <w:rFonts w:ascii="IRNazanin" w:hAnsi="IRNazanin" w:eastAsia="IRNazanin"/>
          <w:color w:val="111111"/>
          <w:sz w:val="28"/>
          <w:sz w:val="28"/>
          <w:szCs w:val="28"/>
          <w:rtl w:val="true"/>
          <w:lang w:bidi="fa-IR"/>
        </w:rPr>
        <w:t xml:space="preserve">و الغنیة </w:t>
      </w:r>
      <w:r>
        <w:rPr>
          <w:rStyle w:val="FootnoteAnchor"/>
          <w:rtl w:val="true"/>
        </w:rPr>
        <w:footnoteReference w:id="347"/>
      </w:r>
      <w:r>
        <w:rPr>
          <w:rFonts w:ascii="IRNazanin" w:hAnsi="IRNazanin" w:eastAsia="IRNazanin"/>
          <w:color w:val="111111"/>
          <w:sz w:val="28"/>
          <w:sz w:val="28"/>
          <w:szCs w:val="28"/>
          <w:rtl w:val="true"/>
          <w:lang w:bidi="fa-IR"/>
        </w:rPr>
        <w:t xml:space="preserve">،لکن الخروج بذلک عن عموم أدلّة وجوب العمل بمقتضی وقف الواقف </w:t>
      </w:r>
      <w:r>
        <w:rPr>
          <w:rStyle w:val="FootnoteAnchor"/>
          <w:rtl w:val="true"/>
        </w:rPr>
        <w:footnoteReference w:id="348"/>
      </w:r>
      <w:r>
        <w:rPr>
          <w:rFonts w:ascii="IRNazanin" w:hAnsi="IRNazanin" w:eastAsia="IRNazanin"/>
          <w:color w:val="111111"/>
          <w:sz w:val="28"/>
          <w:sz w:val="28"/>
          <w:szCs w:val="28"/>
          <w:rtl w:val="true"/>
          <w:lang w:bidi="fa-IR"/>
        </w:rPr>
        <w:t>الذی هو حبس العین،و عموم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شراء الوقف</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المنع </w:t>
      </w:r>
      <w:r>
        <w:rPr>
          <w:rStyle w:val="FootnoteAnchor"/>
          <w:rtl w:val="true"/>
        </w:rPr>
        <w:footnoteReference w:id="350"/>
      </w:r>
      <w:r>
        <w:rPr>
          <w:rFonts w:ascii="IRNazanin" w:hAnsi="IRNazanin" w:eastAsia="IRNazanin"/>
          <w:color w:val="111111"/>
          <w:sz w:val="28"/>
          <w:sz w:val="28"/>
          <w:szCs w:val="28"/>
          <w:rtl w:val="true"/>
          <w:lang w:bidi="fa-IR"/>
        </w:rPr>
        <w:t xml:space="preserve">حکم أکثر من تأخّر عن الشیخ بالمنع عن بیع النخلة المنقلعة </w:t>
      </w:r>
      <w:r>
        <w:rPr>
          <w:rStyle w:val="FootnoteAnchor"/>
          <w:rtl w:val="true"/>
        </w:rPr>
        <w:footnoteReference w:id="351"/>
      </w:r>
      <w:r>
        <w:rPr>
          <w:rFonts w:ascii="IRNazanin" w:hAnsi="IRNazanin" w:eastAsia="IRNazanin"/>
          <w:color w:val="111111"/>
          <w:sz w:val="28"/>
          <w:sz w:val="28"/>
          <w:szCs w:val="28"/>
          <w:rtl w:val="true"/>
          <w:lang w:bidi="fa-IR"/>
        </w:rPr>
        <w:t>،بناءً علی جواز الانتفاع بها فی وجوهٍ أُخر،کالتسقیف</w:t>
      </w:r>
    </w:p>
    <w:p>
      <w:pPr>
        <w:pStyle w:val="BookText"/>
        <w:rPr/>
      </w:pPr>
      <w:r>
        <w:rPr>
          <w:rFonts w:ascii="IRNazanin" w:hAnsi="IRNazanin" w:eastAsia="IRNazanin"/>
          <w:color w:val="111111"/>
          <w:sz w:val="28"/>
          <w:sz w:val="28"/>
          <w:szCs w:val="28"/>
          <w:rtl w:val="true"/>
          <w:lang w:bidi="fa-IR"/>
        </w:rPr>
        <w:t>و جعلها جسراً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ظاهر المختلف حیث جعل النزاع بین الشیخ و الحلّی رحمهما اللّٰه لفظیّاً،حیث نزّل تجویز الشیخ علی صورة عدم إمکان الانتفاع به فی منفعة أُخری الاتّفاق علی المنع إذا حصل فیه انتفاع و لو قلیلاً،کما یظهر من التمثیل بجعله جسراً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نعم،لو کان قلیلاً فی الغایة بحیث یلحق بالمعدوم أمکن الحکم بالجواز،لانصراف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شراء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حبس العین و تسبیل المنفعة،إنّما یجب الوفاء به ما دام المنفعة المعتدّ بها موجودة،و إلّا فمجرّد حبس العین و إمساکه و لو من دون منفعة،لو وجب الوفاء به لمنع عن البیع فی 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الحکم المذکور جارٍ فیما إذا صارت منفعة الموقوف </w:t>
      </w:r>
      <w:r>
        <w:rPr>
          <w:rStyle w:val="FootnoteAnchor"/>
          <w:rtl w:val="true"/>
        </w:rPr>
        <w:footnoteReference w:id="353"/>
      </w:r>
      <w:r>
        <w:rPr>
          <w:rFonts w:ascii="IRNazanin" w:hAnsi="IRNazanin" w:eastAsia="IRNazanin"/>
          <w:color w:val="111111"/>
          <w:sz w:val="28"/>
          <w:sz w:val="28"/>
          <w:szCs w:val="28"/>
          <w:rtl w:val="true"/>
          <w:lang w:bidi="fa-IR"/>
        </w:rPr>
        <w:t>قلیلة لعارضٍ آخر غیر الخراب؛لجریان ما ذکرنا فیه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إنّک قد عرفت فیما سبق أنّه ذکر بعض </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جواز بیع الوقف لا یکون إلّا مع بطلان الوقف و عرفت وجه النظر فیه ثمّ وجّه بطلان الوقف فی الصورة الأُولی بفوات </w:t>
      </w:r>
      <w:r>
        <w:rPr>
          <w:rStyle w:val="FootnoteAnchor"/>
          <w:rtl w:val="true"/>
        </w:rPr>
        <w:footnoteReference w:id="355"/>
      </w:r>
      <w:r>
        <w:rPr>
          <w:rFonts w:ascii="IRNazanin" w:hAnsi="IRNazanin" w:eastAsia="IRNazanin"/>
          <w:color w:val="111111"/>
          <w:sz w:val="28"/>
          <w:sz w:val="28"/>
          <w:szCs w:val="28"/>
          <w:rtl w:val="true"/>
          <w:lang w:bidi="fa-IR"/>
        </w:rPr>
        <w:t>شرط الوقف المراعی فی</w:t>
      </w:r>
    </w:p>
    <w:p>
      <w:pPr>
        <w:pStyle w:val="BookText"/>
        <w:rPr/>
      </w:pPr>
      <w:r>
        <w:rPr>
          <w:rFonts w:ascii="IRNazanin" w:hAnsi="IRNazanin" w:eastAsia="IRNazanin"/>
          <w:color w:val="111111"/>
          <w:sz w:val="28"/>
          <w:sz w:val="28"/>
          <w:szCs w:val="28"/>
          <w:rtl w:val="true"/>
          <w:lang w:bidi="fa-IR"/>
        </w:rPr>
        <w:t>الابتداء و الاستدامة،و هو کون العین ممّا ینتفع بها مع بقاء 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عرفت سابقاً </w:t>
      </w:r>
      <w:r>
        <w:rPr>
          <w:rStyle w:val="FootnoteAnchor"/>
          <w:rtl w:val="true"/>
        </w:rPr>
        <w:footnoteReference w:id="356"/>
      </w:r>
      <w:r>
        <w:rPr>
          <w:rFonts w:ascii="IRNazanin" w:hAnsi="IRNazanin" w:eastAsia="IRNazanin"/>
          <w:color w:val="111111"/>
          <w:sz w:val="28"/>
          <w:sz w:val="28"/>
          <w:szCs w:val="28"/>
          <w:rtl w:val="true"/>
          <w:lang w:bidi="fa-IR"/>
        </w:rPr>
        <w:t>من أنّ بطلان الوقف بعد انعقاده صحیحاً لا وجه له فی الوقف المؤبّد،مع أنّه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أنّه لا دلیل علی اشتراط الشرط المذکور فی الاستدامة،فإنّ الشروط فی العقود الناقلة یکفی وجودها حین النقل،فإنّه قد یخرج المبیع عن المالیّة و لا یخرج بذلک عن ملک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جواز بیعه لا یوجب الحکم بالبطلان،بل یوجب خروج الوقف عن اللزوم إلی الجواز،کما تقدّم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ذکر </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یقال بالبطلان أیضاً بانعدام عنوان الوقف فیما إذا وقف بستاناً مثلاً ملاحظاً فی عنوان وقفه البستانیّة،فخربت حتّی خرجت عن قابلیّة ذلک،فإنّه و إن لم تبطل منفعتها أصلاً لإمکان الانتفاع بها داراً مثلاً لکن لیس من عنوان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احتمال بقاء العرصة علی الوقف باعتبار أنّها جزء من الوقف و هی باقیة،و خراب غیرها و إن اقتضی بطلانه فیه </w:t>
      </w:r>
      <w:r>
        <w:rPr>
          <w:rStyle w:val="FootnoteAnchor"/>
          <w:rtl w:val="true"/>
        </w:rPr>
        <w:footnoteReference w:id="358"/>
      </w:r>
      <w:r>
        <w:rPr>
          <w:rFonts w:ascii="IRNazanin" w:hAnsi="IRNazanin" w:eastAsia="IRNazanin"/>
          <w:color w:val="111111"/>
          <w:sz w:val="28"/>
          <w:sz w:val="28"/>
          <w:szCs w:val="28"/>
          <w:rtl w:val="true"/>
          <w:lang w:bidi="fa-IR"/>
        </w:rPr>
        <w:t>لا یقتضی بطلانه فیها،یدفعه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العرصة کانت جزءاً من الموقوف من حیث کونه بستاناً،لا مطلقاً،فهی حینئذٍ جزء عنوان الوقف الذی فرض خرابه،و لو فرض إرادة وقفها لتکون بستاناً أو غیره لم یکن إشکال فی بقائها،لعدم ذهاب عنوان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یؤیّد ذلک فی الجملة ما ذکروه فی باب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w:t>
      </w:r>
    </w:p>
    <w:p>
      <w:pPr>
        <w:pStyle w:val="BookText"/>
        <w:rPr/>
      </w:pPr>
      <w:r>
        <w:rPr>
          <w:rFonts w:ascii="IRNazanin" w:hAnsi="IRNazanin" w:eastAsia="IRNazanin"/>
          <w:color w:val="111111"/>
          <w:sz w:val="28"/>
          <w:sz w:val="28"/>
          <w:szCs w:val="28"/>
          <w:rtl w:val="true"/>
          <w:lang w:bidi="fa-IR"/>
        </w:rPr>
        <w:t>لو أوصی بدار فانهدمت قبل موت الموصی بطلت الوصیّة لانتفاء موضوعها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لم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البستانیّة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مثلاً عنواناً للوقف و إن قارنت وقفه،بل کان المراد به الانتفاع به فی کلّ وقتٍ علی حسب ما یقبله،لم یبطل الوقف بتغیّر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فی عود الوقف إلی ملک الواقف أو وارثه بعد البطلان أو الموقوف علیه وجهین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یرد علی </w:t>
      </w:r>
      <w:r>
        <w:rPr>
          <w:rStyle w:val="FootnoteAnchor"/>
          <w:rtl w:val="true"/>
        </w:rPr>
        <w:footnoteReference w:id="360"/>
      </w:r>
      <w:r>
        <w:rPr>
          <w:rFonts w:ascii="IRNazanin" w:hAnsi="IRNazanin" w:eastAsia="IRNazanin"/>
          <w:color w:val="111111"/>
          <w:sz w:val="28"/>
          <w:sz w:val="28"/>
          <w:szCs w:val="28"/>
          <w:rtl w:val="true"/>
          <w:lang w:bidi="fa-IR"/>
        </w:rPr>
        <w:t xml:space="preserve">ما قد یقال </w:t>
      </w:r>
      <w:r>
        <w:rPr>
          <w:rStyle w:val="FootnoteAnchor"/>
          <w:rtl w:val="true"/>
        </w:rPr>
        <w:footnoteReference w:id="361"/>
      </w:r>
      <w:r>
        <w:rPr>
          <w:rFonts w:ascii="IRNazanin" w:hAnsi="IRNazanin" w:eastAsia="IRNazanin"/>
          <w:color w:val="111111"/>
          <w:sz w:val="28"/>
          <w:sz w:val="28"/>
          <w:szCs w:val="28"/>
          <w:rtl w:val="true"/>
          <w:lang w:bidi="fa-IR"/>
        </w:rPr>
        <w:t>بعد الإجماع علی أنّ انعدام العنوان لا یوجب بطلان الوقف،بل و لا جواز البیع و إن اختلفوا فیه عند الخراب أو خوفه،لکنّه غیر تغیّر العنوان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للبطلان بانعدام العنوان؛لأنّه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أُرید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مفعولاً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هذا البستان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شکّ فی </w:t>
      </w:r>
      <w:r>
        <w:rPr>
          <w:rStyle w:val="FootnoteAnchor"/>
          <w:rtl w:val="true"/>
        </w:rPr>
        <w:footnoteReference w:id="362"/>
      </w:r>
      <w:r>
        <w:rPr>
          <w:rFonts w:ascii="IRNazanin" w:hAnsi="IRNazanin" w:eastAsia="IRNazanin"/>
          <w:color w:val="111111"/>
          <w:sz w:val="28"/>
          <w:sz w:val="28"/>
          <w:szCs w:val="28"/>
          <w:rtl w:val="true"/>
          <w:lang w:bidi="fa-IR"/>
        </w:rPr>
        <w:t>أنّه لیس إلّا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هذا 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التملیک المعلّق بعنوانٍ،لا یقتضی دوران الملک مدار العنوان،فالبستان إذا صار ملکاً فقد مُلک منه کلّ جزءٍ خارجی و إن لم یکن فی ضمن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التملیک من قبیل الأحکام الجعلیّة المتعلّقة بالعنوانات</w:t>
      </w:r>
      <w:r>
        <w:rPr>
          <w:rFonts w:eastAsia="IRNazanin" w:cs="IRNazanin"/>
          <w:color w:val="111111"/>
          <w:sz w:val="28"/>
          <w:szCs w:val="28"/>
          <w:rtl w:val="true"/>
          <w:lang w:bidi="fa-IR"/>
        </w:rPr>
        <w:t>.</w:t>
      </w:r>
      <w:bookmarkStart w:id="200" w:name="pg19861_202358"/>
    </w:p>
    <w:p>
      <w:pPr>
        <w:pStyle w:val="BookText"/>
        <w:rPr/>
      </w:pPr>
      <w:bookmarkEnd w:id="200"/>
      <w:r>
        <w:rPr>
          <w:rFonts w:ascii="IRNazanin" w:hAnsi="IRNazanin" w:eastAsia="IRNazanin"/>
          <w:color w:val="111111"/>
          <w:sz w:val="28"/>
          <w:sz w:val="28"/>
          <w:szCs w:val="28"/>
          <w:rtl w:val="true"/>
          <w:lang w:bidi="fa-IR"/>
        </w:rPr>
        <w:t>و إن أُرید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شیءٌ آخر،فهو خارجٌ عن مصطلح أهل العرف و العلم،و لا بدّ من بیان المراد منه،هل یراد ما اشترط لفظاً، أو قصداً فی الموضوع زیادة علی عنوانه؟ و أمّا تأیید ما ذکر بالوصیّة </w:t>
      </w:r>
      <w:r>
        <w:rPr>
          <w:rStyle w:val="FootnoteAnchor"/>
          <w:rtl w:val="true"/>
        </w:rPr>
        <w:footnoteReference w:id="363"/>
      </w:r>
      <w:r>
        <w:rPr>
          <w:rFonts w:ascii="IRNazanin" w:hAnsi="IRNazanin" w:eastAsia="IRNazanin"/>
          <w:color w:val="111111"/>
          <w:sz w:val="28"/>
          <w:sz w:val="28"/>
          <w:szCs w:val="28"/>
          <w:rtl w:val="true"/>
          <w:lang w:bidi="fa-IR"/>
        </w:rPr>
        <w:t>،فالمناسب أن یقایس ما نحن فیه بالوصیّة بالبستان بعد تمامها و خروج البستان عن ملک الموصی بموته و قبول الموصی له،فهل یرضی أحدٌ بالتزام بطلان الوصیّة بصیرورة البستان عرصة؟ نعم،الوصیّة قبل تمامها یقع الکلام فی بقائها و بطلانها من جهات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ذکره من الوجهین،ممّا لا یعرف له وجه بعد إطباق کلّ من قال بخروج الوقف المؤبّد عن ملک الواقف علی عدم عوده إلیه أبداً</w:t>
      </w:r>
      <w:r>
        <w:rPr>
          <w:rFonts w:eastAsia="IRNazanin" w:cs="IRNazanin"/>
          <w:color w:val="111111"/>
          <w:sz w:val="28"/>
          <w:szCs w:val="28"/>
          <w:rtl w:val="true"/>
          <w:lang w:bidi="fa-IR"/>
        </w:rPr>
        <w:t>.</w:t>
      </w:r>
    </w:p>
    <w:p>
      <w:pPr>
        <w:pStyle w:val="Heading6"/>
        <w:numPr>
          <w:ilvl w:val="5"/>
          <w:numId w:val="1"/>
        </w:numPr>
        <w:rPr/>
      </w:pPr>
      <w:bookmarkStart w:id="201" w:name="__RefHeading___Toc5118995_2314609296"/>
      <w:bookmarkStart w:id="202" w:name="_Toc82"/>
      <w:bookmarkEnd w:id="201"/>
      <w:r>
        <w:rPr>
          <w:rtl w:val="true"/>
        </w:rPr>
        <w:t>الصورة الثالثة</w:t>
      </w:r>
      <w:r>
        <w:rPr>
          <w:rtl w:val="true"/>
        </w:rPr>
        <w:t>:</w:t>
      </w:r>
      <w:r>
        <w:rPr>
          <w:rtl w:val="true"/>
        </w:rPr>
        <w:t>أن یخرب بحیث یقلّ منفعته،</w:t>
      </w:r>
      <w:bookmarkEnd w:id="202"/>
    </w:p>
    <w:p>
      <w:pPr>
        <w:pStyle w:val="BookText"/>
        <w:rPr/>
      </w:pPr>
      <w:r>
        <w:rPr>
          <w:rFonts w:ascii="IRNazanin" w:hAnsi="IRNazanin" w:eastAsia="IRNazanin"/>
          <w:color w:val="111111"/>
          <w:sz w:val="28"/>
          <w:sz w:val="28"/>
          <w:szCs w:val="28"/>
          <w:rtl w:val="true"/>
          <w:lang w:bidi="fa-IR"/>
        </w:rPr>
        <w:t>لکن لا إلی حدٍّ یلحق بالمعدوم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الأقوی هنا المنع،و هو الظاهر من الأکثر فی مسألة النخلة المنقلعة،حیث جوّز الشیخ رحمه اللّٰه فی محکیّ الخلاف بیعها،محتجّاً بأنّه لا یمکن الانتفاع بها إلّا علی هذا الوجه؛لأنّ الوجه الذی شرطه الواقف قد بطل و لا یُرجی عوده </w:t>
      </w:r>
      <w:r>
        <w:rPr>
          <w:rStyle w:val="FootnoteAnchor"/>
          <w:rtl w:val="true"/>
        </w:rPr>
        <w:footnoteReference w:id="364"/>
      </w:r>
      <w:r>
        <w:rPr>
          <w:rFonts w:ascii="IRNazanin" w:hAnsi="IRNazanin" w:eastAsia="IRNazanin"/>
          <w:color w:val="111111"/>
          <w:sz w:val="28"/>
          <w:sz w:val="28"/>
          <w:szCs w:val="28"/>
          <w:rtl w:val="true"/>
          <w:lang w:bidi="fa-IR"/>
        </w:rPr>
        <w:t>،و منعه الحلیّ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بیعها،بل</w:t>
      </w:r>
    </w:p>
    <w:p>
      <w:pPr>
        <w:pStyle w:val="BookText"/>
        <w:rPr/>
      </w:pPr>
      <w:r>
        <w:rPr>
          <w:rFonts w:ascii="IRNazanin" w:hAnsi="IRNazanin" w:eastAsia="IRNazanin"/>
          <w:color w:val="111111"/>
          <w:sz w:val="28"/>
          <w:sz w:val="28"/>
          <w:szCs w:val="28"/>
          <w:rtl w:val="true"/>
          <w:lang w:bidi="fa-IR"/>
        </w:rPr>
        <w:t xml:space="preserve">ینتفع بها بغیر البیع،مستنداً إلی وجوب إبقاء الوقف علی حاله مع إمکان الانتفاع،و زوال بعض المنافع لا یستلزم زوال جمیعها،لإمکان التسقیف بها و نحوه </w:t>
      </w:r>
      <w:r>
        <w:rPr>
          <w:rStyle w:val="FootnoteAnchor"/>
          <w:rtl w:val="true"/>
        </w:rPr>
        <w:footnoteReference w:id="365"/>
      </w:r>
      <w:r>
        <w:rPr>
          <w:rFonts w:ascii="IRNazanin" w:hAnsi="IRNazanin" w:eastAsia="IRNazanin"/>
          <w:color w:val="111111"/>
          <w:sz w:val="28"/>
          <w:sz w:val="28"/>
          <w:szCs w:val="28"/>
          <w:rtl w:val="true"/>
          <w:lang w:bidi="fa-IR"/>
        </w:rPr>
        <w:t xml:space="preserve">،و حکی موافقته عن الفاضلین </w:t>
      </w:r>
      <w:r>
        <w:rPr>
          <w:rStyle w:val="FootnoteAnchor"/>
          <w:rtl w:val="true"/>
        </w:rPr>
        <w:footnoteReference w:id="366"/>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367"/>
      </w:r>
      <w:r>
        <w:rPr>
          <w:rFonts w:ascii="IRNazanin" w:hAnsi="IRNazanin" w:eastAsia="IRNazanin"/>
          <w:color w:val="111111"/>
          <w:sz w:val="28"/>
          <w:sz w:val="28"/>
          <w:szCs w:val="28"/>
          <w:rtl w:val="true"/>
          <w:lang w:bidi="fa-IR"/>
        </w:rPr>
        <w:t xml:space="preserve">، و المحقّق الثانی </w:t>
      </w:r>
      <w:r>
        <w:rPr>
          <w:rStyle w:val="FootnoteAnchor"/>
          <w:rtl w:val="true"/>
        </w:rPr>
        <w:footnoteReference w:id="368"/>
      </w:r>
      <w:r>
        <w:rPr>
          <w:rFonts w:ascii="IRNazanin" w:hAnsi="IRNazanin" w:eastAsia="IRNazanin"/>
          <w:color w:val="111111"/>
          <w:sz w:val="28"/>
          <w:sz w:val="28"/>
          <w:szCs w:val="28"/>
          <w:rtl w:val="true"/>
          <w:lang w:bidi="fa-IR"/>
        </w:rPr>
        <w:t xml:space="preserve">و أکثر المتأخّرین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حکی فی الإیضاح عن والده 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النزاع بین الشیخ و الحلیّ لفظیّ،و استحسنه </w:t>
      </w:r>
      <w:r>
        <w:rPr>
          <w:rStyle w:val="FootnoteAnchor"/>
          <w:rtl w:val="true"/>
        </w:rPr>
        <w:footnoteReference w:id="370"/>
      </w:r>
      <w:r>
        <w:rPr>
          <w:rFonts w:ascii="IRNazanin" w:hAnsi="IRNazanin" w:eastAsia="IRNazanin"/>
          <w:color w:val="111111"/>
          <w:sz w:val="28"/>
          <w:sz w:val="28"/>
          <w:szCs w:val="28"/>
          <w:rtl w:val="true"/>
          <w:lang w:bidi="fa-IR"/>
        </w:rPr>
        <w:t>لأنّ فی تعلیل الشیخ اعترافاً بسلب جمیع منافعها،و الحلیّ فرض وجود منفعة و منع لذلک 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w:t>
      </w:r>
      <w:r>
        <w:rPr>
          <w:rStyle w:val="FootnoteAnchor"/>
          <w:rtl w:val="true"/>
        </w:rPr>
        <w:footnoteReference w:id="371"/>
      </w:r>
      <w:r>
        <w:rPr>
          <w:rFonts w:ascii="IRNazanin" w:hAnsi="IRNazanin" w:eastAsia="IRNazanin"/>
          <w:color w:val="111111"/>
          <w:sz w:val="28"/>
          <w:sz w:val="28"/>
          <w:szCs w:val="28"/>
          <w:rtl w:val="true"/>
          <w:lang w:bidi="fa-IR"/>
        </w:rPr>
        <w:t xml:space="preserve">بناء نزاعهما علی رعایة المنفعة المعدّ لها الوقف کما هو الظاهر من تعلیل الشیخ </w:t>
      </w:r>
      <w:r>
        <w:rPr>
          <w:rStyle w:val="FootnoteAnchor"/>
          <w:rtl w:val="true"/>
        </w:rPr>
        <w:footnoteReference w:id="372"/>
      </w:r>
      <w:r>
        <w:rPr>
          <w:rFonts w:ascii="IRNazanin" w:hAnsi="IRNazanin" w:eastAsia="IRNazanin"/>
          <w:color w:val="111111"/>
          <w:sz w:val="28"/>
          <w:sz w:val="28"/>
          <w:szCs w:val="28"/>
          <w:rtl w:val="true"/>
          <w:lang w:bidi="fa-IR"/>
        </w:rPr>
        <w:t>،و لا یخلو عن تأمّل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کان،فالأقوی هنا المنع،و أولی منه بالمنع ما لو قلّت منفعة الوقف من دون خراب،فلا یجوز بذلک البیع إلّا إذا قلنا بجواز بیعه إذا کان أعود،و سیجیء تفصیله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bookmarkStart w:id="203" w:name="pg19861_202360"/>
    </w:p>
    <w:p>
      <w:pPr>
        <w:pStyle w:val="Heading6"/>
        <w:numPr>
          <w:ilvl w:val="5"/>
          <w:numId w:val="1"/>
        </w:numPr>
        <w:rPr/>
      </w:pPr>
      <w:bookmarkStart w:id="204" w:name="__RefHeading___Toc5118997_2314609296"/>
      <w:bookmarkStart w:id="205" w:name="_Toc83"/>
      <w:bookmarkEnd w:id="203"/>
      <w:bookmarkEnd w:id="204"/>
      <w:r>
        <w:rPr>
          <w:rtl w:val="true"/>
        </w:rPr>
        <w:t>الصورة الرابعة</w:t>
      </w:r>
      <w:r>
        <w:rPr>
          <w:rtl w:val="true"/>
        </w:rPr>
        <w:t>:</w:t>
      </w:r>
      <w:r>
        <w:rPr>
          <w:rtl w:val="true"/>
        </w:rPr>
        <w:t>أن یکون بیع الوقف أنفع و أعود للموقوف علیه</w:t>
      </w:r>
      <w:r>
        <w:rPr>
          <w:rtl w:val="true"/>
        </w:rPr>
        <w:t>.</w:t>
      </w:r>
      <w:bookmarkEnd w:id="205"/>
    </w:p>
    <w:p>
      <w:pPr>
        <w:pStyle w:val="BookText"/>
        <w:rPr/>
      </w:pPr>
      <w:r>
        <w:rPr>
          <w:rFonts w:ascii="IRNazanin" w:hAnsi="IRNazanin" w:eastAsia="IRNazanin"/>
          <w:color w:val="111111"/>
          <w:sz w:val="28"/>
          <w:sz w:val="28"/>
          <w:szCs w:val="28"/>
          <w:rtl w:val="true"/>
          <w:lang w:bidi="fa-IR"/>
        </w:rPr>
        <w:t>و ظاهر المراد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ثمن الوقف أزید نفعاً من المنفعة الحاصلة تدریجاً مدّة وجود الموقوف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نسب جواز البیع هنا إلی المفید،و قد تقدّم عبارته،فراجع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زیادة النفع قد تلاحظ بالنسبة إلی البطن الموجود،و قد تلاحظ بالنسبة إلی جمیع البطون إذا قیل بوجوب شراء بدل الوقف بثمنه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المنع مطلقاً،وفاقاً للأکثر،بل الکلّ،بناءً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عدم دلالة قول المفید علی ذلک،و علی تقدیره فقد تقدّم عن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کلام المفید متأوّل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کان،فلا إشکال فی المنع؛لوجود مقتضی المنع،و هو وجوب العمل علی طبق إنشاء الواقف،و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شراء الوقف</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عدم ما یصلح للمنع عدا روایة ابن محبوب عن علی بن رئاب عن جعفر بن حنّان </w:t>
      </w:r>
      <w:r>
        <w:rPr>
          <w:rStyle w:val="FootnoteAnchor"/>
          <w:rtl w:val="true"/>
        </w:rPr>
        <w:footnoteReference w:id="37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علیه السلام عن رجلٍ وقف غلّةً له علی قرابته </w:t>
      </w:r>
      <w:r>
        <w:rPr>
          <w:rStyle w:val="FootnoteAnchor"/>
          <w:rtl w:val="true"/>
        </w:rPr>
        <w:footnoteReference w:id="378"/>
      </w:r>
      <w:r>
        <w:rPr>
          <w:rFonts w:ascii="IRNazanin" w:hAnsi="IRNazanin" w:eastAsia="IRNazanin"/>
          <w:color w:val="111111"/>
          <w:sz w:val="28"/>
          <w:sz w:val="28"/>
          <w:szCs w:val="28"/>
          <w:rtl w:val="true"/>
          <w:lang w:bidi="fa-IR"/>
        </w:rPr>
        <w:t>من أبیه،و قرابته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امّه،</w:t>
      </w:r>
    </w:p>
    <w:p>
      <w:pPr>
        <w:pStyle w:val="BookText"/>
        <w:rPr/>
      </w:pPr>
      <w:r>
        <w:rPr>
          <w:rFonts w:ascii="IRNazanin" w:hAnsi="IRNazanin" w:eastAsia="IRNazanin"/>
          <w:color w:val="111111"/>
          <w:sz w:val="28"/>
          <w:sz w:val="28"/>
          <w:szCs w:val="28"/>
          <w:rtl w:val="true"/>
          <w:lang w:bidi="fa-IR"/>
        </w:rPr>
        <w:t xml:space="preserve">و أوصی لرجل و لعقبه من تلک الغلّة </w:t>
      </w:r>
      <w:r>
        <w:rPr>
          <w:rStyle w:val="FootnoteAnchor"/>
          <w:rtl w:val="true"/>
        </w:rPr>
        <w:footnoteReference w:id="379"/>
      </w:r>
      <w:r>
        <w:rPr>
          <w:rFonts w:ascii="IRNazanin" w:hAnsi="IRNazanin" w:eastAsia="IRNazanin"/>
          <w:color w:val="111111"/>
          <w:sz w:val="28"/>
          <w:sz w:val="28"/>
          <w:szCs w:val="28"/>
          <w:rtl w:val="true"/>
          <w:lang w:bidi="fa-IR"/>
        </w:rPr>
        <w:t>لیس بینه و بینه قرابة بثلاثمائة درهم فی کلّ سنة،و یقسم الباقی علی قرابته من أبیه و قرابته من امّه،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للذی اوصی له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رأیت إن لم یخرج من غلّة تلک </w:t>
      </w:r>
      <w:r>
        <w:rPr>
          <w:rStyle w:val="FootnoteAnchor"/>
          <w:rtl w:val="true"/>
        </w:rPr>
        <w:footnoteReference w:id="380"/>
      </w:r>
      <w:r>
        <w:rPr>
          <w:rFonts w:ascii="IRNazanin" w:hAnsi="IRNazanin" w:eastAsia="IRNazanin"/>
          <w:color w:val="111111"/>
          <w:sz w:val="28"/>
          <w:sz w:val="28"/>
          <w:szCs w:val="28"/>
          <w:rtl w:val="true"/>
          <w:lang w:bidi="fa-IR"/>
        </w:rPr>
        <w:t xml:space="preserve">الأرض التی أوقفها </w:t>
      </w:r>
      <w:r>
        <w:rPr>
          <w:rStyle w:val="FootnoteAnchor"/>
          <w:rtl w:val="true"/>
        </w:rPr>
        <w:footnoteReference w:id="381"/>
      </w:r>
      <w:r>
        <w:rPr>
          <w:rFonts w:ascii="IRNazanin" w:hAnsi="IRNazanin" w:eastAsia="IRNazanin"/>
          <w:color w:val="111111"/>
          <w:sz w:val="28"/>
          <w:sz w:val="28"/>
          <w:szCs w:val="28"/>
          <w:rtl w:val="true"/>
          <w:lang w:bidi="fa-IR"/>
        </w:rPr>
        <w:t>إلّا خمسمائة درهم؟فقال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فی وصیّته أن یُعطی الذی اوصی له من الغلّة ثلاثمائة درهم،و یقسم الباقی علی قرابته من أبیه و أُمّه؟قلت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لقرابته أن یأخذوا من الغلّة شیئاً حتّی یُوفی الموصی له ثلاثمائة درهم،ثمّ لهم ما یبقی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إن مات الذی اوصی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مات کانت </w:t>
      </w:r>
      <w:r>
        <w:rPr>
          <w:rStyle w:val="FootnoteAnchor"/>
          <w:rtl w:val="true"/>
        </w:rPr>
        <w:footnoteReference w:id="382"/>
      </w:r>
      <w:r>
        <w:rPr>
          <w:rFonts w:ascii="Amiri" w:hAnsi="Amiri" w:eastAsia="Amiri" w:cs="Amiri"/>
          <w:color w:val="111111"/>
          <w:sz w:val="28"/>
          <w:sz w:val="28"/>
          <w:szCs w:val="28"/>
          <w:rtl w:val="true"/>
          <w:lang w:bidi="ar-SA"/>
        </w:rPr>
        <w:t xml:space="preserve">الثلاثمائة </w:t>
      </w:r>
      <w:r>
        <w:rPr>
          <w:rStyle w:val="FootnoteAnchor"/>
          <w:rtl w:val="true"/>
        </w:rPr>
        <w:footnoteReference w:id="383"/>
      </w:r>
      <w:r>
        <w:rPr>
          <w:rFonts w:ascii="IRNazanin" w:hAnsi="IRNazanin" w:eastAsia="IRNazanin"/>
          <w:color w:val="111111"/>
          <w:sz w:val="28"/>
          <w:sz w:val="28"/>
          <w:szCs w:val="28"/>
          <w:rtl w:val="true"/>
          <w:lang w:bidi="fa-IR"/>
        </w:rPr>
        <w:t>درهم لورثته یتوارثونها ما بقی أحد منهم، فإن انقطع ورثته و لم یبق منهم أحد کانت الثلاثمائة درهم لقرابة المیّت، یردّ إلی ما یخرج من الوقف،ثمّ یقسّم بینهم،یتوارثون ذلک ما بقوا و بقیت الغلّة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فللورثة من قرابة المیّت أن یبیعوا الأرض إذا احتاجوا و لم یکفهم ما یخرج من الغلّة؟قال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رضوا کلّهم و کان البیع خیراً لهم،باعوا</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الخبر المرویّ عن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الحمیری کتب إلی صاحب الزمان جعلنی اللّٰه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روی عن الصادق علیه السلام خبر مأثور</w:t>
      </w:r>
    </w:p>
    <w:p>
      <w:pPr>
        <w:pStyle w:val="BookText"/>
        <w:rPr/>
      </w:pPr>
      <w:r>
        <w:rPr>
          <w:rFonts w:ascii="IRNazanin" w:hAnsi="IRNazanin" w:eastAsia="IRNazanin"/>
          <w:color w:val="111111"/>
          <w:sz w:val="28"/>
          <w:sz w:val="28"/>
          <w:szCs w:val="28"/>
          <w:rtl w:val="true"/>
          <w:lang w:bidi="fa-IR"/>
        </w:rPr>
        <w:t xml:space="preserve">أنّ الوقف إذا کان </w:t>
      </w:r>
      <w:r>
        <w:rPr>
          <w:rStyle w:val="FootnoteAnchor"/>
          <w:rtl w:val="true"/>
        </w:rPr>
        <w:footnoteReference w:id="385"/>
      </w:r>
      <w:r>
        <w:rPr>
          <w:rFonts w:ascii="IRNazanin" w:hAnsi="IRNazanin" w:eastAsia="IRNazanin"/>
          <w:color w:val="111111"/>
          <w:sz w:val="28"/>
          <w:sz w:val="28"/>
          <w:szCs w:val="28"/>
          <w:rtl w:val="true"/>
          <w:lang w:bidi="fa-IR"/>
        </w:rPr>
        <w:t>علی قومٍ بأعیانهم و أعقابهم فاجتمع أهل الوقف علی بیعه و کان ذلک أصلح،لهم أن یبیعوه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یجوز أن یشتری من </w:t>
      </w:r>
      <w:r>
        <w:rPr>
          <w:rStyle w:val="FootnoteAnchor"/>
          <w:rtl w:val="true"/>
        </w:rPr>
        <w:footnoteReference w:id="386"/>
      </w:r>
      <w:r>
        <w:rPr>
          <w:rFonts w:ascii="IRNazanin" w:hAnsi="IRNazanin" w:eastAsia="IRNazanin"/>
          <w:color w:val="111111"/>
          <w:sz w:val="28"/>
          <w:sz w:val="28"/>
          <w:szCs w:val="28"/>
          <w:rtl w:val="true"/>
          <w:lang w:bidi="fa-IR"/>
        </w:rPr>
        <w:t>بعضهم إن لم یجتمعوا کلّهم علی البیع،أم لا یجوز إلّا أن یجتمعوا کلّهم علی ذلک؟و عن الوقف الذی لا یجوز بیعه؟فأجاب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الوقف علی إمام المسلمین فلا یجوز بیعه،و إذا کان علی قوم من المسلمین فلیبع کلّ قوم ما یقدرون علی بیعه مجتمعین و متفرّقین،إن شاء اللّٰه</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دلّت علی جواز البیع،إمّا فی خصوص ما ذکره الراوی و هو کون البیع أصلح و إمّا مطلقاً؛بناءً علی عموم الجواب،لکنّه مقیّد بالأصلح؛لمفهوم روایة جعفر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أنّه یمکن حمل اعتبار رضا الکلّ فی روایة جعفر علی صورة بیع تمام الوقف،لا اعتباره </w:t>
      </w:r>
      <w:r>
        <w:rPr>
          <w:rStyle w:val="FootnoteAnchor"/>
          <w:rtl w:val="true"/>
        </w:rPr>
        <w:footnoteReference w:id="389"/>
      </w:r>
      <w:r>
        <w:rPr>
          <w:rFonts w:ascii="IRNazanin" w:hAnsi="IRNazanin" w:eastAsia="IRNazanin"/>
          <w:color w:val="111111"/>
          <w:sz w:val="28"/>
          <w:sz w:val="28"/>
          <w:szCs w:val="28"/>
          <w:rtl w:val="true"/>
          <w:lang w:bidi="fa-IR"/>
        </w:rPr>
        <w:t>فی بیع کلّ واحد، بقرینة روایة الاحتجاج</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المطلب صدر روایة ابن مهزیار الآتیة </w:t>
      </w:r>
      <w:r>
        <w:rPr>
          <w:rStyle w:val="FootnoteAnchor"/>
          <w:rtl w:val="true"/>
        </w:rPr>
        <w:footnoteReference w:id="390"/>
      </w:r>
      <w:r>
        <w:rPr>
          <w:rFonts w:ascii="IRNazanin" w:hAnsi="IRNazanin" w:eastAsia="IRNazanin"/>
          <w:color w:val="111111"/>
          <w:sz w:val="28"/>
          <w:sz w:val="28"/>
          <w:szCs w:val="28"/>
          <w:rtl w:val="true"/>
          <w:lang w:bidi="fa-IR"/>
        </w:rPr>
        <w:t>لبیع حصّة ضیعة</w:t>
      </w:r>
    </w:p>
    <w:p>
      <w:pPr>
        <w:pStyle w:val="BookText"/>
        <w:rPr/>
      </w:pPr>
      <w:r>
        <w:rPr>
          <w:rFonts w:ascii="IRNazanin" w:hAnsi="IRNazanin" w:eastAsia="IRNazanin"/>
          <w:color w:val="111111"/>
          <w:sz w:val="28"/>
          <w:sz w:val="28"/>
          <w:szCs w:val="28"/>
          <w:rtl w:val="true"/>
          <w:lang w:bidi="fa-IR"/>
        </w:rPr>
        <w:t>الإمام علیه السلام من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عن روایة جعفر،فبأنّها </w:t>
      </w:r>
      <w:r>
        <w:rPr>
          <w:rStyle w:val="FootnoteAnchor"/>
          <w:rtl w:val="true"/>
        </w:rPr>
        <w:footnoteReference w:id="391"/>
      </w:r>
      <w:r>
        <w:rPr>
          <w:rFonts w:ascii="IRNazanin" w:hAnsi="IRNazanin" w:eastAsia="IRNazanin"/>
          <w:color w:val="111111"/>
          <w:sz w:val="28"/>
          <w:sz w:val="28"/>
          <w:szCs w:val="28"/>
          <w:rtl w:val="true"/>
          <w:lang w:bidi="fa-IR"/>
        </w:rPr>
        <w:t xml:space="preserve">إنّما تدلّ علی الجواز مع حاجة الموقوف علیهم،لا لمجرّد کون البیع أنفع،فالجواز مشروط بالأمرین کما تقدّم عن ظاهر النزهة </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 الکلام فی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بکون البیع خیراً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النفع الذی یلاحظه الفاعل لیکون منشأ لإرادته،فلیس مراد الإمام علیه السلام بیان اعتبار ذلک تعبّداً،بل المراد بیان الواقع الذی فرضه السائل،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الأمر علی ما ذکرت من المصلحة فی بیعه جاز،کما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البیع و رأیته أصلح من ترکه فبِع،و هذا ممّا لا یقول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أن یراد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 </w:t>
      </w:r>
      <w:r>
        <w:rPr>
          <w:rStyle w:val="FootnoteAnchor"/>
          <w:rtl w:val="true"/>
        </w:rPr>
        <w:footnoteReference w:id="393"/>
      </w:r>
      <w:r>
        <w:rPr>
          <w:rFonts w:ascii="IRNazanin" w:hAnsi="IRNazanin" w:eastAsia="IRNazanin"/>
          <w:color w:val="111111"/>
          <w:sz w:val="28"/>
          <w:sz w:val="28"/>
          <w:szCs w:val="28"/>
          <w:rtl w:val="true"/>
          <w:lang w:bidi="fa-IR"/>
        </w:rPr>
        <w:t>رفع الحاجة التی فرضها السائل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المختلف </w:t>
      </w:r>
      <w:r>
        <w:rPr>
          <w:rStyle w:val="FootnoteAnchor"/>
          <w:rtl w:val="true"/>
        </w:rPr>
        <w:footnoteReference w:id="394"/>
      </w:r>
      <w:r>
        <w:rPr>
          <w:rFonts w:ascii="Amiri" w:hAnsi="Amiri" w:eastAsia="Amiri" w:cs="Amiri"/>
          <w:color w:val="111111"/>
          <w:sz w:val="28"/>
          <w:sz w:val="28"/>
          <w:szCs w:val="28"/>
          <w:rtl w:val="true"/>
          <w:lang w:bidi="ar-SA"/>
        </w:rPr>
        <w:t xml:space="preserve">و جماعة </w:t>
      </w:r>
      <w:r>
        <w:rPr>
          <w:rStyle w:val="FootnoteAnchor"/>
          <w:rtl w:val="true"/>
        </w:rPr>
        <w:footnoteReference w:id="395"/>
      </w:r>
      <w:r>
        <w:rPr>
          <w:rFonts w:ascii="IRNazanin" w:hAnsi="IRNazanin" w:eastAsia="IRNazanin"/>
          <w:color w:val="111111"/>
          <w:sz w:val="28"/>
          <w:sz w:val="28"/>
          <w:szCs w:val="28"/>
          <w:rtl w:val="true"/>
          <w:lang w:bidi="fa-IR"/>
        </w:rPr>
        <w:t xml:space="preserve">الجواب عنه </w:t>
      </w:r>
      <w:r>
        <w:rPr>
          <w:rStyle w:val="FootnoteAnchor"/>
          <w:rtl w:val="true"/>
        </w:rPr>
        <w:footnoteReference w:id="396"/>
      </w:r>
      <w:r>
        <w:rPr>
          <w:rFonts w:ascii="IRNazanin" w:hAnsi="IRNazanin" w:eastAsia="IRNazanin"/>
          <w:color w:val="111111"/>
          <w:sz w:val="28"/>
          <w:sz w:val="28"/>
          <w:szCs w:val="28"/>
          <w:rtl w:val="true"/>
          <w:lang w:bidi="fa-IR"/>
        </w:rPr>
        <w:t>بعدم ظهوره فی المؤبّد؛</w:t>
      </w:r>
    </w:p>
    <w:p>
      <w:pPr>
        <w:pStyle w:val="BookText"/>
        <w:rPr/>
      </w:pPr>
      <w:r>
        <w:rPr>
          <w:rFonts w:ascii="IRNazanin" w:hAnsi="IRNazanin" w:eastAsia="IRNazanin"/>
          <w:color w:val="111111"/>
          <w:sz w:val="28"/>
          <w:sz w:val="28"/>
          <w:szCs w:val="28"/>
          <w:rtl w:val="true"/>
          <w:lang w:bidi="fa-IR"/>
        </w:rPr>
        <w:t>لاقتصاره علی ذکر الأعقاب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الاقتصار فی مقام الحکایة لا یدلّ علی الاختصاص؛إذ یصحّ أن یقال فی الوقف المؤبّد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وقفٌ علی الأولاد مثلاً،و حینئذٍ فعلی الإمام علیه السلام أن یستفصل إذا کان بین المؤبّد و غیره فرق فی الحکم،فافهم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کان،ففی الاستدلال بالروایة مع ما فیها من الإشکال علی جواز البیع بمجرّد الأنفعیّة إشکال،مع عدم الظفر بالقائل به </w:t>
      </w:r>
      <w:r>
        <w:rPr>
          <w:rStyle w:val="FootnoteAnchor"/>
          <w:rtl w:val="true"/>
        </w:rPr>
        <w:footnoteReference w:id="397"/>
      </w:r>
      <w:r>
        <w:rPr>
          <w:rFonts w:ascii="IRNazanin" w:hAnsi="IRNazanin" w:eastAsia="IRNazanin"/>
          <w:color w:val="111111"/>
          <w:sz w:val="28"/>
          <w:sz w:val="28"/>
          <w:szCs w:val="28"/>
          <w:rtl w:val="true"/>
          <w:lang w:bidi="fa-IR"/>
        </w:rPr>
        <w:t xml:space="preserve">،عدا ما یوهمه ظاهر عبارة المفید المتقدّمة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 یظهر الجواب عن روایة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قلنا فی هذه الصورة بالجواز کان الثمن للبطن الأوّل البائع یتصرّف فیه علی ما شاء</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یظهر وجه آخر لمخالفة الروایتین للقواعد؛فإنّ مقتضی کون العین مشترکة بین البطون کون بدله کذلک،کما تقدّم من استحالة کون بدله ملکاً لخصوص البائع </w:t>
      </w:r>
      <w:r>
        <w:rPr>
          <w:rStyle w:val="FootnoteAnchor"/>
          <w:rtl w:val="true"/>
        </w:rPr>
        <w:footnoteReference w:id="399"/>
      </w:r>
      <w:r>
        <w:rPr>
          <w:rFonts w:ascii="IRNazanin" w:hAnsi="IRNazanin" w:eastAsia="IRNazanin"/>
          <w:color w:val="111111"/>
          <w:sz w:val="28"/>
          <w:sz w:val="28"/>
          <w:szCs w:val="28"/>
          <w:rtl w:val="true"/>
          <w:lang w:bidi="fa-IR"/>
        </w:rPr>
        <w:t>،فیکون تجویز البیع فی هذه الصورة و التصرّف فی الثمن رخصة من الشارع للبائع فی إسقاط حقّ اللاحقین آناً ما قبل البیع نظیر الرجوع فی الهبة المتحقّق ببیع الواهب لئلّا یقع البیع علی المال المشترک،فیستحیل کون بدله مختصّاً</w:t>
      </w:r>
      <w:r>
        <w:rPr>
          <w:rFonts w:eastAsia="IRNazanin" w:cs="IRNazanin"/>
          <w:color w:val="111111"/>
          <w:sz w:val="28"/>
          <w:szCs w:val="28"/>
          <w:rtl w:val="true"/>
          <w:lang w:bidi="fa-IR"/>
        </w:rPr>
        <w:t>.</w:t>
      </w:r>
      <w:bookmarkStart w:id="206" w:name="pg19861_202365"/>
    </w:p>
    <w:p>
      <w:pPr>
        <w:pStyle w:val="Heading6"/>
        <w:numPr>
          <w:ilvl w:val="5"/>
          <w:numId w:val="1"/>
        </w:numPr>
        <w:rPr/>
      </w:pPr>
      <w:bookmarkStart w:id="207" w:name="__RefHeading___Toc5118999_2314609296"/>
      <w:bookmarkStart w:id="208" w:name="_Toc84"/>
      <w:bookmarkEnd w:id="206"/>
      <w:bookmarkEnd w:id="207"/>
      <w:r>
        <w:rPr>
          <w:rtl w:val="true"/>
        </w:rPr>
        <w:t>الصورة الخامسة</w:t>
      </w:r>
      <w:r>
        <w:rPr>
          <w:rtl w:val="true"/>
        </w:rPr>
        <w:t>:</w:t>
      </w:r>
      <w:r>
        <w:rPr>
          <w:rtl w:val="true"/>
        </w:rPr>
        <w:t>أن یلحق الموقوفَ علیهم ضرورةٌ شدیدة</w:t>
      </w:r>
      <w:r>
        <w:rPr>
          <w:rtl w:val="true"/>
        </w:rPr>
        <w:t>.</w:t>
      </w:r>
      <w:bookmarkEnd w:id="208"/>
    </w:p>
    <w:p>
      <w:pPr>
        <w:pStyle w:val="BookText"/>
        <w:rPr/>
      </w:pPr>
      <w:r>
        <w:rPr>
          <w:rFonts w:ascii="IRNazanin" w:hAnsi="IRNazanin" w:eastAsia="IRNazanin"/>
          <w:color w:val="111111"/>
          <w:sz w:val="28"/>
          <w:sz w:val="28"/>
          <w:szCs w:val="28"/>
          <w:rtl w:val="true"/>
          <w:lang w:bidi="fa-IR"/>
        </w:rPr>
        <w:t xml:space="preserve">و قد تقدّم عن جماعةٍ تجویز البیع فی هذه الصورة </w:t>
      </w:r>
      <w:r>
        <w:rPr>
          <w:rStyle w:val="FootnoteAnchor"/>
          <w:rtl w:val="true"/>
        </w:rPr>
        <w:footnoteReference w:id="400"/>
      </w:r>
      <w:r>
        <w:rPr>
          <w:rFonts w:ascii="IRNazanin" w:hAnsi="IRNazanin" w:eastAsia="IRNazanin"/>
          <w:color w:val="111111"/>
          <w:sz w:val="28"/>
          <w:sz w:val="28"/>
          <w:szCs w:val="28"/>
          <w:rtl w:val="true"/>
          <w:lang w:bidi="fa-IR"/>
        </w:rPr>
        <w:t>،بل عن الانتصار و 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علیه روایة جعفر المتقدّمة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الروایة أنّه یکفی فی البیع عدم کفایة غلّة الأرض لمئونة سنة الموقوف علیهم،کما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أقلّ مراتب الفقر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المأخوذ فی </w:t>
      </w:r>
      <w:r>
        <w:rPr>
          <w:rStyle w:val="FootnoteAnchor"/>
          <w:rtl w:val="true"/>
        </w:rPr>
        <w:footnoteReference w:id="403"/>
      </w:r>
      <w:r>
        <w:rPr>
          <w:rFonts w:ascii="IRNazanin" w:hAnsi="IRNazanin" w:eastAsia="IRNazanin"/>
          <w:color w:val="111111"/>
          <w:sz w:val="28"/>
          <w:sz w:val="28"/>
          <w:szCs w:val="28"/>
          <w:rtl w:val="true"/>
          <w:lang w:bidi="fa-IR"/>
        </w:rPr>
        <w:t>عبائر من تقدّم من المجوّزین اعتبار الضرورة و الحاجة الشدیدة،و بینها و بین مطلق الفقر عموم من وجه؛إذ قد یکون فقیراً و لا یتّفق له حاجة شدیدة،بل مطلق الحاجة؛لوجدانه من مال الفقراء ما یوجب التوسعة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یتّفق الحاجة و الضرورة الشدیدة فی بعض الأوقات لمن یقدر علی مئونة سنته،فالروایة بظاهرها غیر معمول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الجواب جواز البیع بمجرّد رضا الکلّ و کون البیع أنفع و لو لم یکن حاجة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کان،فلا یبقی للجواز عند الضرورة الشدیدة إلّا الإجماعان المعتضدان بفتوی جماعة،و فی الخروج بهما عن قاعدة عدم جواز البیع</w:t>
      </w:r>
      <w:bookmarkStart w:id="209" w:name="pg19861_202366"/>
    </w:p>
    <w:p>
      <w:pPr>
        <w:pStyle w:val="BookText"/>
        <w:rPr/>
      </w:pPr>
      <w:bookmarkEnd w:id="209"/>
      <w:r>
        <w:rPr>
          <w:rFonts w:ascii="IRNazanin" w:hAnsi="IRNazanin" w:eastAsia="IRNazanin"/>
          <w:color w:val="111111"/>
          <w:sz w:val="28"/>
          <w:sz w:val="28"/>
          <w:szCs w:val="28"/>
          <w:rtl w:val="true"/>
          <w:lang w:bidi="fa-IR"/>
        </w:rPr>
        <w:t xml:space="preserve">و عن قاعدة وجوب کون الثمن علی تقدیر البیع غیر مختصّ بالبطن الموجود مع وهنه </w:t>
      </w:r>
      <w:r>
        <w:rPr>
          <w:rStyle w:val="FootnoteAnchor"/>
          <w:rtl w:val="true"/>
        </w:rPr>
        <w:footnoteReference w:id="404"/>
      </w:r>
      <w:r>
        <w:rPr>
          <w:rFonts w:ascii="IRNazanin" w:hAnsi="IRNazanin" w:eastAsia="IRNazanin"/>
          <w:color w:val="111111"/>
          <w:sz w:val="28"/>
          <w:sz w:val="28"/>
          <w:szCs w:val="28"/>
          <w:rtl w:val="true"/>
          <w:lang w:bidi="fa-IR"/>
        </w:rPr>
        <w:t xml:space="preserve">بمصیر جمهور المتأخّرین و جماعةٍ من القدماء </w:t>
      </w:r>
      <w:r>
        <w:rPr>
          <w:rStyle w:val="FootnoteAnchor"/>
          <w:rtl w:val="true"/>
        </w:rPr>
        <w:footnoteReference w:id="405"/>
      </w:r>
      <w:r>
        <w:rPr>
          <w:rFonts w:ascii="IRNazanin" w:hAnsi="IRNazanin" w:eastAsia="IRNazanin"/>
          <w:color w:val="111111"/>
          <w:sz w:val="28"/>
          <w:sz w:val="28"/>
          <w:szCs w:val="28"/>
          <w:rtl w:val="true"/>
          <w:lang w:bidi="fa-IR"/>
        </w:rPr>
        <w:t xml:space="preserve">إلی الخلاف،بل معارضته </w:t>
      </w:r>
      <w:r>
        <w:rPr>
          <w:rStyle w:val="FootnoteAnchor"/>
          <w:rtl w:val="true"/>
        </w:rPr>
        <w:footnoteReference w:id="406"/>
      </w:r>
      <w:r>
        <w:rPr>
          <w:rFonts w:ascii="IRNazanin" w:hAnsi="IRNazanin" w:eastAsia="IRNazanin"/>
          <w:color w:val="111111"/>
          <w:sz w:val="28"/>
          <w:sz w:val="28"/>
          <w:szCs w:val="28"/>
          <w:rtl w:val="true"/>
          <w:lang w:bidi="fa-IR"/>
        </w:rPr>
        <w:t xml:space="preserve">بالإجماع المدّعی فی السرائر </w:t>
      </w:r>
      <w:r>
        <w:rPr>
          <w:rStyle w:val="FootnoteAnchor"/>
          <w:rtl w:val="true"/>
        </w:rPr>
        <w:footnoteReference w:id="407"/>
      </w: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w:t>
      </w:r>
    </w:p>
    <w:p>
      <w:pPr>
        <w:pStyle w:val="Heading6"/>
        <w:numPr>
          <w:ilvl w:val="5"/>
          <w:numId w:val="1"/>
        </w:numPr>
        <w:rPr/>
      </w:pPr>
      <w:bookmarkStart w:id="210" w:name="__RefHeading___Toc5119001_2314609296"/>
      <w:bookmarkStart w:id="211" w:name="_Toc85"/>
      <w:bookmarkEnd w:id="210"/>
      <w:r>
        <w:rPr>
          <w:rtl w:val="true"/>
        </w:rPr>
        <w:t>الصورة السادسة</w:t>
      </w:r>
      <w:r>
        <w:rPr>
          <w:rtl w:val="true"/>
        </w:rPr>
        <w:t>:</w:t>
      </w:r>
      <w:r>
        <w:rPr>
          <w:rtl w:val="true"/>
        </w:rPr>
        <w:t>أن یشترط الواقف بیعه عند الحاجة،</w:t>
      </w:r>
      <w:bookmarkEnd w:id="211"/>
    </w:p>
    <w:p>
      <w:pPr>
        <w:pStyle w:val="BookText"/>
        <w:rPr/>
      </w:pPr>
      <w:r>
        <w:rPr>
          <w:rFonts w:ascii="IRNazanin" w:hAnsi="IRNazanin" w:eastAsia="IRNazanin"/>
          <w:color w:val="111111"/>
          <w:sz w:val="28"/>
          <w:sz w:val="28"/>
          <w:szCs w:val="28"/>
          <w:rtl w:val="true"/>
          <w:lang w:bidi="fa-IR"/>
        </w:rPr>
        <w:t>أو إذا کان فیه مصلحة البطن الموجود أو جمیع البطون،أو عند مصلحةٍ خاصّةٍ علی حسب ما 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اختلف کلمات العلّامة و من تأخّر عنه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فی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شرط بیع الوقف عند حصول الضرر کالخراج و المؤن من قبل الظالم و شراء غیره بثمنه،فالوجه الجواز </w:t>
      </w:r>
      <w:r>
        <w:rPr>
          <w:rStyle w:val="FootnoteAnchor"/>
          <w:rtl w:val="true"/>
        </w:rPr>
        <w:footnoteReference w:id="40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بیعه عند الضرورة کزیادة خراج و شبهه و شراء غیره بثمنه،أو عند خرابه و عطلته،أو خروجه عن حدّ الانتفاع،أو قلّة نفعه،ففی صحّة الشرط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البطلان،ففی إبطال الوقف نظر </w:t>
      </w:r>
      <w:r>
        <w:rPr>
          <w:rStyle w:val="FootnoteAnchor"/>
          <w:rtl w:val="true"/>
        </w:rPr>
        <w:footnoteReference w:id="40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فی الإیضاح فی وجه الجواز روایة جعفر بن حنّان المتقدّمة </w:t>
      </w:r>
      <w:r>
        <w:rPr>
          <w:rStyle w:val="FootnoteAnchor"/>
          <w:rtl w:val="true"/>
        </w:rPr>
        <w:footnoteReference w:id="4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جاز بغیر شرط فمع الشرط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وجه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الوقف للتأبید،و البیع ینافیه،قال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الأصحّ أنّه لا یجوز بیع الوقف بحال </w:t>
      </w:r>
      <w:r>
        <w:rPr>
          <w:rStyle w:val="FootnoteAnchor"/>
          <w:rtl w:val="true"/>
        </w:rPr>
        <w:footnoteReference w:id="41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شرط الواقف بیعه عند حاجتهم أو وقوع الفتنة بینهم فأولی بالجواز </w:t>
      </w:r>
      <w:r>
        <w:rPr>
          <w:rStyle w:val="FootnoteAnchor"/>
          <w:rtl w:val="true"/>
        </w:rPr>
        <w:footnoteReference w:id="41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للشرط تأثیراً،و أنّه یحتمل المنع من دون الشرط،و التجویز معه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المحقّق الکرکی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أنّ کلّ موضعٍ قلنا بجواز بیع الوقف یجوز اشتراط البیع فی الوقف إذا بلغ تلک الحالة؛لأنّه شرط مؤکِّد،و لیس بمنافٍ للتأبید المعتبر فی الوقف؛لأنّه مقیّدٌ واقعاً بعدم حصول أحد أسباب البیع </w:t>
      </w:r>
      <w:r>
        <w:rPr>
          <w:rStyle w:val="FootnoteAnchor"/>
          <w:rtl w:val="true"/>
        </w:rPr>
        <w:footnoteReference w:id="413"/>
      </w:r>
      <w:r>
        <w:rPr>
          <w:rFonts w:ascii="IRNazanin" w:hAnsi="IRNazanin" w:eastAsia="IRNazanin"/>
          <w:color w:val="111111"/>
          <w:sz w:val="28"/>
          <w:sz w:val="28"/>
          <w:szCs w:val="28"/>
          <w:rtl w:val="true"/>
          <w:lang w:bidi="fa-IR"/>
        </w:rPr>
        <w:t xml:space="preserve">،و ما لا </w:t>
      </w:r>
      <w:r>
        <w:rPr>
          <w:rStyle w:val="FootnoteAnchor"/>
          <w:rtl w:val="true"/>
        </w:rPr>
        <w:footnoteReference w:id="414"/>
      </w:r>
      <w:r>
        <w:rPr>
          <w:rFonts w:ascii="IRNazanin" w:hAnsi="IRNazanin" w:eastAsia="IRNazanin"/>
          <w:color w:val="111111"/>
          <w:sz w:val="28"/>
          <w:sz w:val="28"/>
          <w:szCs w:val="28"/>
          <w:rtl w:val="true"/>
          <w:lang w:bidi="fa-IR"/>
        </w:rPr>
        <w:t xml:space="preserve">،فلا؛للمنافاة،فلا یصحّ حینئذٍ حبساً </w:t>
      </w:r>
      <w:r>
        <w:rPr>
          <w:rStyle w:val="FootnoteAnchor"/>
          <w:rtl w:val="true"/>
        </w:rPr>
        <w:footnoteReference w:id="415"/>
      </w:r>
      <w:r>
        <w:rPr>
          <w:rFonts w:ascii="IRNazanin" w:hAnsi="IRNazanin" w:eastAsia="IRNazanin"/>
          <w:color w:val="111111"/>
          <w:sz w:val="28"/>
          <w:sz w:val="28"/>
          <w:szCs w:val="28"/>
          <w:rtl w:val="true"/>
          <w:lang w:bidi="fa-IR"/>
        </w:rPr>
        <w:t xml:space="preserve">لأنّ اشتراط شراء شیءٍ بثمنه یکون وقفاً منافٍ لذلک؛ لاقتضائه الخروج عن المالک فلا یکون وقفاً و لا حبساً </w:t>
      </w:r>
      <w:r>
        <w:rPr>
          <w:rStyle w:val="FootnoteAnchor"/>
          <w:rtl w:val="true"/>
        </w:rPr>
        <w:footnoteReference w:id="41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w:t>
      </w:r>
      <w:r>
        <w:rPr>
          <w:rStyle w:val="FootnoteAnchor"/>
          <w:rtl w:val="true"/>
        </w:rPr>
        <w:footnoteReference w:id="417"/>
      </w:r>
      <w:r>
        <w:rPr>
          <w:rFonts w:ascii="IRNazanin" w:hAnsi="IRNazanin" w:eastAsia="IRNazanin"/>
          <w:color w:val="111111"/>
          <w:sz w:val="28"/>
          <w:sz w:val="28"/>
          <w:szCs w:val="28"/>
          <w:rtl w:val="true"/>
          <w:lang w:bidi="fa-IR"/>
        </w:rPr>
        <w:t>أن یقال بعد التمسّک فی الجواز بعموم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أهلها</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بعدم ثبوت کون جواز البیع منافیاً لمقتضی الوقف،فلعلّه منافٍ لإطلاقه،و لذا یجتمع الوقف مع جواز البیع عند طروّ مسوّغاته،فإنّ التحقیق کما عرفت سابقاً </w:t>
      </w:r>
      <w:r>
        <w:rPr>
          <w:rStyle w:val="FootnoteAnchor"/>
          <w:rtl w:val="true"/>
        </w:rPr>
        <w:footnoteReference w:id="420"/>
      </w:r>
      <w:r>
        <w:rPr>
          <w:rFonts w:ascii="IRNazanin" w:hAnsi="IRNazanin" w:eastAsia="IRNazanin"/>
          <w:color w:val="111111"/>
          <w:sz w:val="28"/>
          <w:sz w:val="28"/>
          <w:szCs w:val="28"/>
          <w:rtl w:val="true"/>
          <w:lang w:bidi="fa-IR"/>
        </w:rPr>
        <w:t>أنّ جواز البیع لا یبطل الوقف،بل هو وقف یجوز بیعه،فإذا بیع خرج عن کونه وقفاً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سلّم المنافاة فإنّما هو بیعه للبطن الموجود و أکل ثمنه، و أمّا تبدیله بوقفٍ آخر فلا تنافی بینه و بین مفهوم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کونه حبساً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محبوساً من أن یتصرّف فیه بعض طبقات الملّاک علی نحو الملک المطلق،و أمّا حبس شخص الوقف فهو لازم؛ لإطلاقه و تجرّده عن مسوّغات الإبدال،شرعیّة کانت کخوف الخراب، أو بجعل الواقف کالاشتراط فی متن العقد،فتأمّل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روی صحیحاً فی الکافی ما ذکره أمیر المؤمنین علیه السلام فی کیفیّة وقف ماله فی عین ینبع،و فیه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أراد یعنی الحسن علیه السلام أن یبیع نصیباً من المال لیقضی </w:t>
      </w:r>
      <w:r>
        <w:rPr>
          <w:rStyle w:val="FootnoteAnchor"/>
          <w:rtl w:val="true"/>
        </w:rPr>
        <w:footnoteReference w:id="421"/>
      </w:r>
      <w:r>
        <w:rPr>
          <w:rFonts w:ascii="IRNazanin" w:hAnsi="IRNazanin" w:eastAsia="IRNazanin"/>
          <w:color w:val="111111"/>
          <w:sz w:val="28"/>
          <w:sz w:val="28"/>
          <w:szCs w:val="28"/>
          <w:rtl w:val="true"/>
          <w:lang w:bidi="fa-IR"/>
        </w:rPr>
        <w:t>به الدین فلیفعل إن شاء،لا حرج علیه فیه،و إن شاء جعله</w:t>
      </w:r>
    </w:p>
    <w:p>
      <w:pPr>
        <w:pStyle w:val="BookText"/>
        <w:rPr/>
      </w:pPr>
      <w:r>
        <w:rPr>
          <w:rFonts w:ascii="Amiri" w:hAnsi="Amiri" w:eastAsia="Amiri" w:cs="Amiri"/>
          <w:color w:val="111111"/>
          <w:sz w:val="28"/>
          <w:sz w:val="28"/>
          <w:szCs w:val="28"/>
          <w:rtl w:val="true"/>
          <w:lang w:bidi="ar-SA"/>
        </w:rPr>
        <w:t xml:space="preserve">سریّ </w:t>
      </w:r>
      <w:r>
        <w:rPr>
          <w:rStyle w:val="FootnoteAnchor"/>
          <w:rtl w:val="true"/>
        </w:rPr>
        <w:footnoteReference w:id="422"/>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ولد علیٍّ و موالیهم و أموالهم إلی الحسن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کانت دار الحسن بن علی غیر دار الصدقة فبدا له أن یبیعها فلیبعها إن شاء،و </w:t>
      </w:r>
      <w:r>
        <w:rPr>
          <w:rStyle w:val="FootnoteAnchor"/>
          <w:rtl w:val="true"/>
        </w:rPr>
        <w:footnoteReference w:id="423"/>
      </w:r>
      <w:r>
        <w:rPr>
          <w:rFonts w:ascii="IRNazanin" w:hAnsi="IRNazanin" w:eastAsia="IRNazanin"/>
          <w:color w:val="111111"/>
          <w:sz w:val="28"/>
          <w:sz w:val="28"/>
          <w:szCs w:val="28"/>
          <w:rtl w:val="true"/>
          <w:lang w:bidi="fa-IR"/>
        </w:rPr>
        <w:t>لا حرج علیه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باع فإنّه یقسّم ثمنها ثلاثة أثلاث،فیجعل ثلثاً فی سبیل اللّٰه،و یجعل ثلثاً فی بنی هاشم و بنی المطّلب، و ثلثاً فی آل أبی طالب،و إنّه یضعه فیهم حیث یراه اللّٰه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حدث فی الحسن أو فی الحسین حدثٌ </w:t>
      </w:r>
      <w:r>
        <w:rPr>
          <w:rStyle w:val="FootnoteAnchor"/>
          <w:rtl w:val="true"/>
        </w:rPr>
        <w:footnoteReference w:id="425"/>
      </w:r>
      <w:r>
        <w:rPr>
          <w:rFonts w:ascii="IRNazanin" w:hAnsi="IRNazanin" w:eastAsia="IRNazanin"/>
          <w:color w:val="111111"/>
          <w:sz w:val="28"/>
          <w:sz w:val="28"/>
          <w:szCs w:val="28"/>
          <w:rtl w:val="true"/>
          <w:lang w:bidi="fa-IR"/>
        </w:rPr>
        <w:t>،فإنّ الآخر منهما ینظر فی بنی علیٍّ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یجعله فی رجلٍ یرضاه من بنی هاشم،و إنّه یشترط علی الذی یجعله إلیه أن یترک هذا </w:t>
      </w:r>
      <w:r>
        <w:rPr>
          <w:rStyle w:val="FootnoteAnchor"/>
          <w:rtl w:val="true"/>
        </w:rPr>
        <w:footnoteReference w:id="426"/>
      </w:r>
      <w:r>
        <w:rPr>
          <w:rFonts w:ascii="IRNazanin" w:hAnsi="IRNazanin" w:eastAsia="IRNazanin"/>
          <w:color w:val="111111"/>
          <w:sz w:val="28"/>
          <w:sz w:val="28"/>
          <w:szCs w:val="28"/>
          <w:rtl w:val="true"/>
          <w:lang w:bidi="fa-IR"/>
        </w:rPr>
        <w:t xml:space="preserve">المال علی أُصوله و ینفق الثمرة حیث أمره به </w:t>
      </w:r>
      <w:r>
        <w:rPr>
          <w:rStyle w:val="FootnoteAnchor"/>
          <w:rtl w:val="true"/>
        </w:rPr>
        <w:footnoteReference w:id="427"/>
      </w:r>
      <w:r>
        <w:rPr>
          <w:rFonts w:ascii="IRNazanin" w:hAnsi="IRNazanin" w:eastAsia="IRNazanin"/>
          <w:color w:val="111111"/>
          <w:sz w:val="28"/>
          <w:sz w:val="28"/>
          <w:szCs w:val="28"/>
          <w:rtl w:val="true"/>
          <w:lang w:bidi="fa-IR"/>
        </w:rPr>
        <w:t>من سبیل اللّٰه و وجهه،و ذوی الرحم من بنی هاشم و بنی المطّلب و القریب و البعید،لا یباع شیءٌ منه و لا یوهب و لا یورث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bookmarkStart w:id="212" w:name="pg19861_202370"/>
    </w:p>
    <w:p>
      <w:pPr>
        <w:pStyle w:val="BookText"/>
        <w:rPr/>
      </w:pPr>
      <w:bookmarkEnd w:id="212"/>
      <w:r>
        <w:rPr>
          <w:rFonts w:ascii="IRNazanin" w:hAnsi="IRNazanin" w:eastAsia="IRNazanin"/>
          <w:color w:val="111111"/>
          <w:sz w:val="28"/>
          <w:sz w:val="28"/>
          <w:szCs w:val="28"/>
          <w:rtl w:val="true"/>
          <w:lang w:bidi="fa-IR"/>
        </w:rPr>
        <w:t>و ظاهرها جواز اشتراط البیع فی الوقف لنفس البطن الموجود، فضلاً عن البیع لجمیع البطون و صرف ثمنه فیما ینتفعون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السند صحیح،و التأویل مشکل،و العمل أشکل</w:t>
      </w:r>
      <w:r>
        <w:rPr>
          <w:rFonts w:eastAsia="IRNazanin" w:cs="IRNazanin"/>
          <w:color w:val="111111"/>
          <w:sz w:val="28"/>
          <w:szCs w:val="28"/>
          <w:rtl w:val="true"/>
          <w:lang w:bidi="fa-IR"/>
        </w:rPr>
        <w:t>.</w:t>
      </w:r>
    </w:p>
    <w:p>
      <w:pPr>
        <w:pStyle w:val="Heading6"/>
        <w:numPr>
          <w:ilvl w:val="5"/>
          <w:numId w:val="1"/>
        </w:numPr>
        <w:rPr/>
      </w:pPr>
      <w:bookmarkStart w:id="213" w:name="__RefHeading___Toc5119003_2314609296"/>
      <w:bookmarkStart w:id="214" w:name="_Toc86"/>
      <w:bookmarkEnd w:id="213"/>
      <w:r>
        <w:rPr>
          <w:rtl w:val="true"/>
        </w:rPr>
        <w:t>الصورة السابعة</w:t>
      </w:r>
      <w:r>
        <w:rPr>
          <w:rtl w:val="true"/>
        </w:rPr>
        <w:t>:</w:t>
      </w:r>
      <w:r>
        <w:rPr>
          <w:rtl w:val="true"/>
        </w:rPr>
        <w:t>أن یؤدّی بقاؤه إلی خرابه علماً أو ظنّاً،</w:t>
      </w:r>
      <w:bookmarkEnd w:id="214"/>
    </w:p>
    <w:p>
      <w:pPr>
        <w:pStyle w:val="BookText"/>
        <w:rPr/>
      </w:pPr>
      <w:r>
        <w:rPr>
          <w:rFonts w:ascii="IRNazanin" w:hAnsi="IRNazanin" w:eastAsia="IRNazanin"/>
          <w:color w:val="111111"/>
          <w:sz w:val="28"/>
          <w:sz w:val="28"/>
          <w:szCs w:val="28"/>
          <w:rtl w:val="true"/>
          <w:lang w:bidi="fa-IR"/>
        </w:rPr>
        <w:t>و هو المعبّر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الخراب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کثیرٍ من العبائر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الأداء إلی الخراب قد یکون للخُلْف بین أربابه،و قد یکون 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الخراب المعلوم أو </w:t>
      </w:r>
      <w:r>
        <w:rPr>
          <w:rStyle w:val="FootnoteAnchor"/>
          <w:rtl w:val="true"/>
        </w:rPr>
        <w:footnoteReference w:id="429"/>
      </w:r>
      <w:r>
        <w:rPr>
          <w:rFonts w:ascii="IRNazanin" w:hAnsi="IRNazanin" w:eastAsia="IRNazanin"/>
          <w:color w:val="111111"/>
          <w:sz w:val="28"/>
          <w:sz w:val="28"/>
          <w:szCs w:val="28"/>
          <w:rtl w:val="true"/>
          <w:lang w:bidi="fa-IR"/>
        </w:rPr>
        <w:t>المخوف،قد یکون علی حدّ سقوطه من الانتفاع نفعاً معتدّاً به،و قد یکون علی وجه نقص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فرض جواز الانتفاع به بعد الخراب بوجهٍ آخر کانتفاعه السابق أو أزید،فلا یجوز بیعه إلّا علی ما استظهره بعض من تقدّم کلامه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تغیّر عنوان الوقف یسوّغ بیعه و قد عرفت ضعفه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عرفت من عبائر جماعةٍ تجویز البیع فی صورة التأدیة إلی الخراب و لو لغیر الاختلاف،و من اخری تقییدهم به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5" w:name="__RefHeading___Toc5119005_2314609296"/>
      <w:bookmarkStart w:id="216" w:name="_Toc87"/>
      <w:bookmarkEnd w:id="215"/>
      <w:r>
        <w:rPr>
          <w:rtl w:val="true"/>
        </w:rPr>
        <w:t>الصورة الثامنة</w:t>
      </w:r>
      <w:r>
        <w:rPr>
          <w:rtl w:val="true"/>
        </w:rPr>
        <w:t>:</w:t>
      </w:r>
      <w:r>
        <w:rPr>
          <w:rtl w:val="true"/>
        </w:rPr>
        <w:t>أن یقع بین الموقوف علیهم اختلافٌ لا یؤمن معه تلف المال</w:t>
      </w:r>
      <w:bookmarkEnd w:id="21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w:t>
      </w:r>
      <w:r>
        <w:rPr>
          <w:rStyle w:val="FootnoteAnchor"/>
          <w:rtl w:val="true"/>
        </w:rPr>
        <w:footnoteReference w:id="432"/>
      </w:r>
      <w:r>
        <w:rPr>
          <w:rFonts w:ascii="IRNazanin" w:hAnsi="IRNazanin" w:eastAsia="IRNazanin"/>
          <w:color w:val="111111"/>
          <w:sz w:val="28"/>
          <w:sz w:val="28"/>
          <w:szCs w:val="28"/>
          <w:rtl w:val="true"/>
          <w:lang w:bidi="fa-IR"/>
        </w:rPr>
        <w:t>النفس و إن لم یعلم أو یظنّ بذلک</w:t>
      </w:r>
      <w:r>
        <w:rPr>
          <w:rFonts w:eastAsia="IRNazanin" w:cs="IRNazanin"/>
          <w:color w:val="111111"/>
          <w:sz w:val="28"/>
          <w:szCs w:val="28"/>
          <w:rtl w:val="true"/>
          <w:lang w:bidi="fa-IR"/>
        </w:rPr>
        <w:t>.</w:t>
      </w:r>
      <w:bookmarkStart w:id="217" w:name="pg19861_202371"/>
    </w:p>
    <w:p>
      <w:pPr>
        <w:pStyle w:val="BookText"/>
        <w:rPr/>
      </w:pPr>
      <w:bookmarkEnd w:id="217"/>
      <w:r>
        <w:rPr>
          <w:rFonts w:ascii="IRNazanin" w:hAnsi="IRNazanin" w:eastAsia="IRNazanin"/>
          <w:color w:val="111111"/>
          <w:sz w:val="28"/>
          <w:sz w:val="28"/>
          <w:szCs w:val="28"/>
          <w:rtl w:val="true"/>
          <w:lang w:bidi="fa-IR"/>
        </w:rPr>
        <w:t>فإنّ الظاهر من بعض العبارات السابقة جوازه لذلک،خصوصاً من عبّر بالاختلاف الموجب لخوف الخراب</w:t>
      </w:r>
      <w:r>
        <w:rPr>
          <w:rFonts w:eastAsia="IRNazanin" w:cs="IRNazanin"/>
          <w:color w:val="111111"/>
          <w:sz w:val="28"/>
          <w:szCs w:val="28"/>
          <w:rtl w:val="true"/>
          <w:lang w:bidi="fa-IR"/>
        </w:rPr>
        <w:t>.</w:t>
      </w:r>
    </w:p>
    <w:p>
      <w:pPr>
        <w:pStyle w:val="Heading6"/>
        <w:numPr>
          <w:ilvl w:val="5"/>
          <w:numId w:val="1"/>
        </w:numPr>
        <w:rPr/>
      </w:pPr>
      <w:bookmarkStart w:id="218" w:name="__RefHeading___Toc5119007_2314609296"/>
      <w:bookmarkStart w:id="219" w:name="_Toc88"/>
      <w:bookmarkEnd w:id="218"/>
      <w:r>
        <w:rPr>
          <w:rtl w:val="true"/>
        </w:rPr>
        <w:t>الصورة التاسعة</w:t>
      </w:r>
      <w:r>
        <w:rPr>
          <w:rtl w:val="true"/>
        </w:rPr>
        <w:t>:</w:t>
      </w:r>
      <w:r>
        <w:rPr>
          <w:rtl w:val="true"/>
        </w:rPr>
        <w:t>أن یؤدّی الاختلاف بینهم</w:t>
      </w:r>
      <w:bookmarkEnd w:id="219"/>
    </w:p>
    <w:p>
      <w:pPr>
        <w:pStyle w:val="BookText"/>
        <w:rPr/>
      </w:pPr>
      <w:r>
        <w:rPr>
          <w:rFonts w:ascii="IRNazanin" w:hAnsi="IRNazanin" w:eastAsia="IRNazanin"/>
          <w:color w:val="111111"/>
          <w:sz w:val="28"/>
          <w:sz w:val="28"/>
          <w:szCs w:val="28"/>
          <w:rtl w:val="true"/>
          <w:lang w:bidi="fa-IR"/>
        </w:rPr>
        <w:t>الصورة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یؤدّی الاختلاف بینهم </w:t>
      </w:r>
      <w:r>
        <w:rPr>
          <w:rStyle w:val="FootnoteAnchor"/>
          <w:rtl w:val="true"/>
        </w:rPr>
        <w:footnoteReference w:id="433"/>
      </w:r>
      <w:r>
        <w:rPr>
          <w:rFonts w:ascii="IRNazanin" w:hAnsi="IRNazanin" w:eastAsia="IRNazanin"/>
          <w:color w:val="111111"/>
          <w:sz w:val="28"/>
          <w:sz w:val="28"/>
          <w:szCs w:val="28"/>
          <w:rtl w:val="true"/>
          <w:lang w:bidi="fa-IR"/>
        </w:rPr>
        <w:t>إلی ضررٍ عظیم من غیر تقییدٍ بتلف المال،</w:t>
      </w:r>
    </w:p>
    <w:p>
      <w:pPr>
        <w:pStyle w:val="BookText"/>
        <w:rPr/>
      </w:pPr>
      <w:r>
        <w:rPr>
          <w:rFonts w:ascii="IRNazanin" w:hAnsi="IRNazanin" w:eastAsia="IRNazanin"/>
          <w:color w:val="111111"/>
          <w:sz w:val="28"/>
          <w:sz w:val="28"/>
          <w:szCs w:val="28"/>
          <w:rtl w:val="true"/>
          <w:lang w:bidi="fa-IR"/>
        </w:rPr>
        <w:t>فضلاً عن خصوص الوقف</w:t>
      </w:r>
      <w:r>
        <w:rPr>
          <w:rFonts w:eastAsia="IRNazanin" w:cs="IRNazanin"/>
          <w:color w:val="111111"/>
          <w:sz w:val="28"/>
          <w:szCs w:val="28"/>
          <w:rtl w:val="true"/>
          <w:lang w:bidi="fa-IR"/>
        </w:rPr>
        <w:t>.</w:t>
      </w:r>
    </w:p>
    <w:p>
      <w:pPr>
        <w:pStyle w:val="Heading6"/>
        <w:numPr>
          <w:ilvl w:val="5"/>
          <w:numId w:val="1"/>
        </w:numPr>
        <w:rPr/>
      </w:pPr>
      <w:bookmarkStart w:id="220" w:name="__RefHeading___Toc5119009_2314609296"/>
      <w:bookmarkStart w:id="221" w:name="_Toc89"/>
      <w:bookmarkEnd w:id="220"/>
      <w:r>
        <w:rPr>
          <w:rtl w:val="true"/>
        </w:rPr>
        <w:t>الصورة العاشرة</w:t>
      </w:r>
      <w:r>
        <w:rPr>
          <w:rtl w:val="true"/>
        </w:rPr>
        <w:t>:</w:t>
      </w:r>
      <w:r>
        <w:rPr>
          <w:rtl w:val="true"/>
        </w:rPr>
        <w:t>أن یلزم فسادٌ یستباح منه الأنفس</w:t>
      </w:r>
      <w:r>
        <w:rPr>
          <w:rtl w:val="true"/>
        </w:rPr>
        <w:t>.</w:t>
      </w:r>
      <w:bookmarkEnd w:id="221"/>
    </w:p>
    <w:p>
      <w:p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مع تأدیة البقاء إلی الخراب علی وجهٍ لا ینتفع به نفعاً یعتدّ به عرفاً،سواء کان لأجل الاختلاف أو غیره،و المنع فی غیره من جمیع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الجواز فی الأوّل،فلما مرّ من الدلیل علی جواز بیع ما سقط عن الانتفاع،فإنّ الغرض من عدم البیع عدم انقطاع شخصه،فإذا فرض العلم أو الظنّ بانقطاع شخصه،فدار الأمر بین انقطاع شخصه و نوعه،و بین انقطاع شخصه لا نوعه،کان الثانی </w:t>
      </w:r>
      <w:r>
        <w:rPr>
          <w:rStyle w:val="FootnoteAnchor"/>
          <w:rtl w:val="true"/>
        </w:rPr>
        <w:footnoteReference w:id="434"/>
      </w:r>
      <w:r>
        <w:rPr>
          <w:rFonts w:ascii="IRNazanin" w:hAnsi="IRNazanin" w:eastAsia="IRNazanin"/>
          <w:color w:val="111111"/>
          <w:sz w:val="28"/>
          <w:sz w:val="28"/>
          <w:szCs w:val="28"/>
          <w:rtl w:val="true"/>
          <w:lang w:bidi="fa-IR"/>
        </w:rPr>
        <w:t>أولی،فلیس فیه منافاة لغرض الواقف أصلاً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الأدلّة الشرعیّة </w:t>
      </w:r>
      <w:r>
        <w:rPr>
          <w:rStyle w:val="FootnoteAnchor"/>
          <w:rtl w:val="true"/>
        </w:rPr>
        <w:footnoteReference w:id="435"/>
      </w:r>
      <w:r>
        <w:rPr>
          <w:rFonts w:ascii="IRNazanin" w:hAnsi="IRNazanin" w:eastAsia="IRNazanin"/>
          <w:color w:val="111111"/>
          <w:sz w:val="28"/>
          <w:sz w:val="28"/>
          <w:szCs w:val="28"/>
          <w:rtl w:val="true"/>
          <w:lang w:bidi="fa-IR"/>
        </w:rPr>
        <w:t>،فغیر ناهضةٍ؛لاختصاص الإجماع،</w:t>
      </w:r>
    </w:p>
    <w:p>
      <w:pPr>
        <w:pStyle w:val="BookText"/>
        <w:rPr/>
      </w:pPr>
      <w:r>
        <w:rPr>
          <w:rFonts w:ascii="IRNazanin" w:hAnsi="IRNazanin" w:eastAsia="IRNazanin"/>
          <w:color w:val="111111"/>
          <w:sz w:val="28"/>
          <w:sz w:val="28"/>
          <w:szCs w:val="28"/>
          <w:rtl w:val="true"/>
          <w:lang w:bidi="fa-IR"/>
        </w:rPr>
        <w:t>و انصراف النصوص إلی غیر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الموقوف علیهم،فالمفروض إذن الموجود منهم،و قیام الناظر العامّ أو </w:t>
      </w:r>
      <w:r>
        <w:rPr>
          <w:rStyle w:val="FootnoteAnchor"/>
          <w:rtl w:val="true"/>
        </w:rPr>
        <w:footnoteReference w:id="436"/>
      </w:r>
      <w:r>
        <w:rPr>
          <w:rFonts w:ascii="IRNazanin" w:hAnsi="IRNazanin" w:eastAsia="IRNazanin"/>
          <w:color w:val="111111"/>
          <w:sz w:val="28"/>
          <w:sz w:val="28"/>
          <w:szCs w:val="28"/>
          <w:rtl w:val="true"/>
          <w:lang w:bidi="fa-IR"/>
        </w:rPr>
        <w:t>الخاصّ مقام غیر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نعم،قد یشکل الأمر فیما لو فرض تضرّر البطن الموجود من بیعه،للزوم تعطیل </w:t>
      </w:r>
      <w:r>
        <w:rPr>
          <w:rStyle w:val="FootnoteAnchor"/>
          <w:rtl w:val="true"/>
        </w:rPr>
        <w:footnoteReference w:id="437"/>
      </w:r>
      <w:r>
        <w:rPr>
          <w:rFonts w:ascii="IRNazanin" w:hAnsi="IRNazanin" w:eastAsia="IRNazanin"/>
          <w:color w:val="111111"/>
          <w:sz w:val="28"/>
          <w:sz w:val="28"/>
          <w:szCs w:val="28"/>
          <w:rtl w:val="true"/>
          <w:lang w:bidi="fa-IR"/>
        </w:rPr>
        <w:t>الانتفاع إلی زمان وجدان البدل،أو کون البدل قلیل المنفعة بالنسبة إلی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أنّه یجب تأخیر البیع إلی آخر أزمنة إمکان البقاء،مع عدم فوات الاستبدال فیه،و مع فوته ففی تقدیم البیع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دار الأمر بین بیعه و الإبدال به،و بین صرف منفعته الحاصلة مدّة من الزمان لتعمیره،ففی ترجیح حقّ البطن الذی یفوته المنفعة أو حقّ الواقف و سائر البطون المتأخّرة المتعلّق بشخص الوقف </w:t>
      </w:r>
      <w:r>
        <w:rPr>
          <w:rStyle w:val="FootnoteAnchor"/>
          <w:rtl w:val="true"/>
        </w:rPr>
        <w:footnoteReference w:id="438"/>
      </w:r>
      <w:r>
        <w:rPr>
          <w:rFonts w:ascii="IRNazanin" w:hAnsi="IRNazanin" w:eastAsia="IRNazanin"/>
          <w:color w:val="111111"/>
          <w:sz w:val="28"/>
          <w:sz w:val="28"/>
          <w:szCs w:val="28"/>
          <w:rtl w:val="true"/>
          <w:lang w:bidi="fa-IR"/>
        </w:rPr>
        <w:t>وجهان، لا یخلو أوّلهما عن قوّة إذا لم یشترط الواقف إصلاح الوقف من منفعته مقدّماً علی الموقوف علیه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یستدلّ علی الجواز فیما ذکرنا،بما عن </w:t>
      </w:r>
      <w:r>
        <w:rPr>
          <w:rStyle w:val="FootnoteAnchor"/>
          <w:rtl w:val="true"/>
        </w:rPr>
        <w:footnoteReference w:id="439"/>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بقاء الوقف علی حاله و الحال هذه إضاعة و إتلاف للمال،و هو منهیّ عنه شرعاً،فیکون البیع جائزاً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 أراد الجواز بالمعنی الأعمّ،فلا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یدلّ علی وجوب البیع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المحرّم هو إضاعة المال المسلّط علیه،لا ترک المال الذی لا سلطان علیه إلی أن یخرب بنفسه،و إلّا لزم وجوب تعمیر الأوقاف المشرِفة علی الخراب بغیر البیع مهما أمکن مقدّماً علی البیع،أو إذا لم یمکن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ضعف هذا الدلیل بظاهره واضح،و یتّضح فساده علی القول بکون الثمن للبطن الموجود لا غیر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یتلوه فی الضعف ما عن المختلف </w:t>
      </w:r>
      <w:r>
        <w:rPr>
          <w:rStyle w:val="FootnoteAnchor"/>
          <w:rtl w:val="true"/>
        </w:rPr>
        <w:footnoteReference w:id="442"/>
      </w:r>
      <w:r>
        <w:rPr>
          <w:rFonts w:ascii="IRNazanin" w:hAnsi="IRNazanin" w:eastAsia="IRNazanin"/>
          <w:color w:val="111111"/>
          <w:sz w:val="28"/>
          <w:sz w:val="28"/>
          <w:szCs w:val="28"/>
          <w:rtl w:val="true"/>
          <w:lang w:bidi="fa-IR"/>
        </w:rPr>
        <w:t xml:space="preserve">و التذکرة </w:t>
      </w:r>
      <w:r>
        <w:rPr>
          <w:rStyle w:val="FootnoteAnchor"/>
          <w:rtl w:val="true"/>
        </w:rPr>
        <w:footnoteReference w:id="443"/>
      </w:r>
      <w:r>
        <w:rPr>
          <w:rFonts w:ascii="Amiri" w:hAnsi="Amiri" w:eastAsia="Amiri" w:cs="Amiri"/>
          <w:color w:val="111111"/>
          <w:sz w:val="28"/>
          <w:sz w:val="28"/>
          <w:szCs w:val="28"/>
          <w:rtl w:val="true"/>
          <w:lang w:bidi="ar-SA"/>
        </w:rPr>
        <w:t xml:space="preserve">و المهذّب </w:t>
      </w:r>
      <w:r>
        <w:rPr>
          <w:rStyle w:val="FootnoteAnchor"/>
          <w:rtl w:val="true"/>
        </w:rPr>
        <w:footnoteReference w:id="444"/>
      </w:r>
      <w:r>
        <w:rPr>
          <w:rFonts w:ascii="IRNazanin" w:hAnsi="IRNazanin" w:eastAsia="IRNazanin"/>
          <w:color w:val="111111"/>
          <w:sz w:val="28"/>
          <w:sz w:val="28"/>
          <w:szCs w:val="28"/>
          <w:rtl w:val="true"/>
          <w:lang w:bidi="fa-IR"/>
        </w:rPr>
        <w:t xml:space="preserve">و غایة المرام </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الغرض من الوقف استیفاء منافعه و قد تعذّرت،فیجوز إخراجه عن حدّه؛تحصیلاً للغرض منه،و الجمود علی العین مع تعطیلها تضییع للغرض،کما أنّه لو تعطّل </w:t>
      </w:r>
      <w:r>
        <w:rPr>
          <w:rStyle w:val="FootnoteAnchor"/>
          <w:rtl w:val="true"/>
        </w:rPr>
        <w:footnoteReference w:id="446"/>
      </w:r>
      <w:r>
        <w:rPr>
          <w:rFonts w:ascii="IRNazanin" w:hAnsi="IRNazanin" w:eastAsia="IRNazanin"/>
          <w:color w:val="111111"/>
          <w:sz w:val="28"/>
          <w:sz w:val="28"/>
          <w:szCs w:val="28"/>
          <w:rtl w:val="true"/>
          <w:lang w:bidi="fa-IR"/>
        </w:rPr>
        <w:t xml:space="preserve">الهدی ذُبح فی الحال و إن اختصّ بموضع،فلمّا تعذّر مراعاة المحلّ ترک مراعاة الخاصّ المتعذّر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 من الوقف استیفاء المنافع من شخص الموقوف؛ لأنّه الذی دلّ علیه صیغة الوقف،و المفروض تعذّره فیسقط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قیام الانتفاع بالنوع مقام الانتفاع بالشخص لکونه </w:t>
      </w:r>
      <w:r>
        <w:rPr>
          <w:rStyle w:val="FootnoteAnchor"/>
          <w:rtl w:val="true"/>
        </w:rPr>
        <w:footnoteReference w:id="448"/>
      </w:r>
      <w:r>
        <w:rPr>
          <w:rFonts w:ascii="IRNazanin" w:hAnsi="IRNazanin" w:eastAsia="IRNazanin"/>
          <w:color w:val="111111"/>
          <w:sz w:val="28"/>
          <w:sz w:val="28"/>
          <w:szCs w:val="28"/>
          <w:rtl w:val="true"/>
          <w:lang w:bidi="fa-IR"/>
        </w:rPr>
        <w:t>أقرب إلی مقصود الواقف فرع الدلیل علی وجوب اعتبار ما هو الأقرب إلی غرض الواقف بعد تعذّر أصل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منع جریان أدلّة المنع مع خوف الخراب المسقط للمنفعة رأساً،و جعل ذلک مؤیّداً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المنع فی غیر هذا القسم من الصورة السابعة </w:t>
      </w:r>
      <w:r>
        <w:rPr>
          <w:rStyle w:val="FootnoteAnchor"/>
          <w:rtl w:val="true"/>
        </w:rPr>
        <w:footnoteReference w:id="450"/>
      </w:r>
      <w:r>
        <w:rPr>
          <w:rFonts w:ascii="IRNazanin" w:hAnsi="IRNazanin" w:eastAsia="IRNazanin"/>
          <w:color w:val="111111"/>
          <w:sz w:val="28"/>
          <w:sz w:val="28"/>
          <w:szCs w:val="28"/>
          <w:rtl w:val="true"/>
          <w:lang w:bidi="fa-IR"/>
        </w:rPr>
        <w:t>و فیما عداها من الصور اللاحقة لها،فلعموم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شراء الوقف و لا تدخل الغلّة فی ملکک</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فإنّ ترک الاستفصال فیه عن </w:t>
      </w:r>
      <w:r>
        <w:rPr>
          <w:rStyle w:val="FootnoteAnchor"/>
          <w:rtl w:val="true"/>
        </w:rPr>
        <w:footnoteReference w:id="452"/>
      </w:r>
      <w:r>
        <w:rPr>
          <w:rFonts w:ascii="IRNazanin" w:hAnsi="IRNazanin" w:eastAsia="IRNazanin"/>
          <w:color w:val="111111"/>
          <w:sz w:val="28"/>
          <w:sz w:val="28"/>
          <w:szCs w:val="28"/>
          <w:rtl w:val="true"/>
          <w:lang w:bidi="fa-IR"/>
        </w:rPr>
        <w:t>علم المشتری بعدم وقوع بیع الوقف علی بعض الوجوه المجوّزة و عدمه الموجب لحمل فعل البائع علی الصحّة یدلّ علی أنّ الوقف ما دام له غلّة لا یجوز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أهلها إن شاء اللّٰه</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،و ما دلّ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یترک حتّی یرثها وارث</w:t>
      </w:r>
    </w:p>
    <w:p>
      <w:pPr>
        <w:pStyle w:val="BookText"/>
        <w:rPr/>
      </w:pPr>
      <w:r>
        <w:rPr>
          <w:rFonts w:ascii="IRNazanin" w:hAnsi="IRNazanin" w:eastAsia="IRNazanin"/>
          <w:color w:val="111111"/>
          <w:sz w:val="28"/>
          <w:sz w:val="28"/>
          <w:szCs w:val="28"/>
          <w:rtl w:val="true"/>
          <w:lang w:bidi="fa-IR"/>
        </w:rPr>
        <w:t xml:space="preserve">السماوات و الأرض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کلّه،مضافاً إلی الاستصحاب فی جمیع هذه الصور و عدم الدلیل الوارد علیه،عدا المکاتبة المشهورة التی انحصر تمسّک کلّ من جوّزه فی هذه الصور فیها،و هی مکاتبة ابن مهزیار،قال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جعفر الثانی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فلاناً ابتاع ضیعة فأوقفها،و جعل لک فی الوقف الخمس،و یسأل </w:t>
      </w:r>
      <w:r>
        <w:rPr>
          <w:rStyle w:val="FootnoteAnchor"/>
          <w:rtl w:val="true"/>
        </w:rPr>
        <w:footnoteReference w:id="455"/>
      </w:r>
      <w:r>
        <w:rPr>
          <w:rFonts w:ascii="IRNazanin" w:hAnsi="IRNazanin" w:eastAsia="IRNazanin"/>
          <w:color w:val="111111"/>
          <w:sz w:val="28"/>
          <w:sz w:val="28"/>
          <w:szCs w:val="28"/>
          <w:rtl w:val="true"/>
          <w:lang w:bidi="fa-IR"/>
        </w:rPr>
        <w:t xml:space="preserve">عن رأیک فی بیع حصّتک من الأرض،أو تقویمها </w:t>
      </w:r>
      <w:r>
        <w:rPr>
          <w:rStyle w:val="FootnoteAnchor"/>
          <w:rtl w:val="true"/>
        </w:rPr>
        <w:footnoteReference w:id="456"/>
      </w:r>
      <w:r>
        <w:rPr>
          <w:rFonts w:ascii="IRNazanin" w:hAnsi="IRNazanin" w:eastAsia="IRNazanin"/>
          <w:color w:val="111111"/>
          <w:sz w:val="28"/>
          <w:sz w:val="28"/>
          <w:szCs w:val="28"/>
          <w:rtl w:val="true"/>
          <w:lang w:bidi="fa-IR"/>
        </w:rPr>
        <w:t xml:space="preserve">علی نفسه بما اشتراها </w:t>
      </w:r>
      <w:r>
        <w:rPr>
          <w:rStyle w:val="FootnoteAnchor"/>
          <w:rtl w:val="true"/>
        </w:rPr>
        <w:footnoteReference w:id="457"/>
      </w:r>
      <w:r>
        <w:rPr>
          <w:rFonts w:ascii="Amiri" w:hAnsi="Amiri" w:eastAsia="Amiri" w:cs="Amiri"/>
          <w:color w:val="111111"/>
          <w:sz w:val="28"/>
          <w:sz w:val="28"/>
          <w:szCs w:val="28"/>
          <w:rtl w:val="true"/>
          <w:lang w:bidi="ar-SA"/>
        </w:rPr>
        <w:t>،أو یدعها موقوفة؟ فکتب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فلاناً أنّی آمره ببیع حصّتی من الضیعة،و إیصال ثمن ذلک إلیَّ،إنّ </w:t>
      </w:r>
      <w:r>
        <w:rPr>
          <w:rStyle w:val="FootnoteAnchor"/>
          <w:rtl w:val="true"/>
        </w:rPr>
        <w:footnoteReference w:id="458"/>
      </w:r>
      <w:r>
        <w:rPr>
          <w:rFonts w:ascii="IRNazanin" w:hAnsi="IRNazanin" w:eastAsia="IRNazanin"/>
          <w:color w:val="111111"/>
          <w:sz w:val="28"/>
          <w:sz w:val="28"/>
          <w:szCs w:val="28"/>
          <w:rtl w:val="true"/>
          <w:lang w:bidi="fa-IR"/>
        </w:rPr>
        <w:t xml:space="preserve">ذلک رأیی إن شاء اللّٰه تعالی،أو یقوّمها علی نفسه إن کان ذلک أوفق </w:t>
      </w:r>
      <w:r>
        <w:rPr>
          <w:rStyle w:val="FootnoteAnchor"/>
          <w:rtl w:val="true"/>
        </w:rPr>
        <w:footnoteReference w:id="459"/>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کتبت </w:t>
      </w:r>
      <w:r>
        <w:rPr>
          <w:rStyle w:val="FootnoteAnchor"/>
          <w:rtl w:val="true"/>
        </w:rPr>
        <w:footnoteReference w:id="460"/>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الرجل ذکر أنّ بین من وقف علیهم بقیّة هذه الضیعة اختلافاً شدیداً،و أنّه </w:t>
      </w:r>
      <w:r>
        <w:rPr>
          <w:rStyle w:val="FootnoteAnchor"/>
          <w:rtl w:val="true"/>
        </w:rPr>
        <w:footnoteReference w:id="461"/>
      </w:r>
      <w:r>
        <w:rPr>
          <w:rFonts w:ascii="IRNazanin" w:hAnsi="IRNazanin" w:eastAsia="IRNazanin"/>
          <w:color w:val="111111"/>
          <w:sz w:val="28"/>
          <w:sz w:val="28"/>
          <w:szCs w:val="28"/>
          <w:rtl w:val="true"/>
          <w:lang w:bidi="fa-IR"/>
        </w:rPr>
        <w:t>لیس یأمن أن یتفاقم ذلک بینهم بعده،فإن کان تری أن یبیع هذا الوقف،و یدفع إلی کلّ إنسان منهم</w:t>
      </w:r>
    </w:p>
    <w:p>
      <w:pPr>
        <w:pStyle w:val="BookText"/>
        <w:rPr/>
      </w:pPr>
      <w:r>
        <w:rPr>
          <w:rFonts w:ascii="IRNazanin" w:hAnsi="IRNazanin" w:eastAsia="IRNazanin"/>
          <w:color w:val="111111"/>
          <w:sz w:val="28"/>
          <w:sz w:val="28"/>
          <w:szCs w:val="28"/>
          <w:rtl w:val="true"/>
          <w:lang w:bidi="fa-IR"/>
        </w:rPr>
        <w:t xml:space="preserve">ما وقف له من ذلک،أمرته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فکتب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أعلمه أنّ رأیی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قد علم الاختلاف بین أرباب الوقف أنّ بیع الوقف أمثل فلیبع </w:t>
      </w:r>
      <w:r>
        <w:rPr>
          <w:rStyle w:val="FootnoteAnchor"/>
          <w:rtl w:val="true"/>
        </w:rPr>
        <w:footnoteReference w:id="463"/>
      </w:r>
      <w:r>
        <w:rPr>
          <w:rFonts w:ascii="IRNazanin" w:hAnsi="IRNazanin" w:eastAsia="IRNazanin"/>
          <w:color w:val="111111"/>
          <w:sz w:val="28"/>
          <w:sz w:val="28"/>
          <w:szCs w:val="28"/>
          <w:rtl w:val="true"/>
          <w:lang w:bidi="fa-IR"/>
        </w:rPr>
        <w:t>،فإنّه ربما جاء فی الاختلاف تلف الأموال و النفوس</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إنّه یمکن الاستدلال للجواز بها فی القسم الثانی من الصورة السابعة </w:t>
      </w:r>
      <w:r>
        <w:rPr>
          <w:rStyle w:val="FootnoteAnchor"/>
          <w:rtl w:val="true"/>
        </w:rPr>
        <w:footnoteReference w:id="465"/>
      </w:r>
      <w:r>
        <w:rPr>
          <w:rFonts w:ascii="IRNazanin" w:hAnsi="IRNazanin" w:eastAsia="IRNazanin"/>
          <w:color w:val="111111"/>
          <w:sz w:val="28"/>
          <w:sz w:val="28"/>
          <w:szCs w:val="28"/>
          <w:rtl w:val="true"/>
          <w:lang w:bidi="fa-IR"/>
        </w:rPr>
        <w:t>بناءً علی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تعلیل لجواز البیع فی صورة الاختلاف،و أنّ المراد بالمال هو الوقف،فإنّ ضمّ النفوس إنّما هو لبیان الضرر الآخر </w:t>
      </w:r>
      <w:r>
        <w:rPr>
          <w:rStyle w:val="FootnoteAnchor"/>
          <w:rtl w:val="true"/>
        </w:rPr>
        <w:footnoteReference w:id="466"/>
      </w:r>
      <w:r>
        <w:rPr>
          <w:rFonts w:ascii="IRNazanin" w:hAnsi="IRNazanin" w:eastAsia="IRNazanin"/>
          <w:color w:val="111111"/>
          <w:sz w:val="28"/>
          <w:sz w:val="28"/>
          <w:szCs w:val="28"/>
          <w:rtl w:val="true"/>
          <w:lang w:bidi="fa-IR"/>
        </w:rPr>
        <w:t>المترتّب علی الاختلاف،لا أنّ المناط فی الحکم هو اجتماع الأمرین کما لا یخفی،فیکون حاصل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کلّما کان الوقف فی معرض الخراب جاز بیعه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جواز بیعه إذا أدّی بقاؤه إلی الخراب علماً أو ظنّاً،لا مجرّد کونه ربما یؤدّی إلیه المجامع للاحتمال المساوی أو المرجوح،علی ما هو الظاهر من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علی المتتبّع لموارد استعمالاته و لا أظنّ أحداً یلتزم بجواز البیع بمجرّد احتمال أداء</w:t>
      </w:r>
    </w:p>
    <w:p>
      <w:pPr>
        <w:pStyle w:val="BookText"/>
        <w:rPr/>
      </w:pPr>
      <w:r>
        <w:rPr>
          <w:rFonts w:ascii="IRNazanin" w:hAnsi="IRNazanin" w:eastAsia="IRNazanin"/>
          <w:color w:val="111111"/>
          <w:sz w:val="28"/>
          <w:sz w:val="28"/>
          <w:szCs w:val="28"/>
          <w:rtl w:val="true"/>
          <w:lang w:bidi="fa-IR"/>
        </w:rPr>
        <w:t>بقائه إلی الخراب؛لأنّ کلمات من عبّر بهذا العنوان کما عرفت بین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 بقاؤه إلی خرابه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یخشی أو یخاف خرابه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الخوف عند المشهور،کما یعلم من سائر موارد إطلاقاتهم 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الإفطار و التیمّم مع خوف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السفر مع خوف الهلاک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یتحقّق إلّا بعد قیام أمارة الخوف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هذا،مع أنّ مناط الجواز علی ما ذکر تلف الوقف رأساً،و هو القسم الأوّل من الصورة السابعة </w:t>
      </w:r>
      <w:r>
        <w:rPr>
          <w:rStyle w:val="FootnoteAnchor"/>
          <w:rtl w:val="true"/>
        </w:rPr>
        <w:footnoteReference w:id="468"/>
      </w:r>
      <w:r>
        <w:rPr>
          <w:rFonts w:ascii="IRNazanin" w:hAnsi="IRNazanin" w:eastAsia="IRNazanin"/>
          <w:color w:val="111111"/>
          <w:sz w:val="28"/>
          <w:sz w:val="28"/>
          <w:szCs w:val="28"/>
          <w:rtl w:val="true"/>
          <w:lang w:bidi="fa-IR"/>
        </w:rPr>
        <w:t xml:space="preserve">الذی جوّزنا فیه </w:t>
      </w:r>
      <w:r>
        <w:rPr>
          <w:rStyle w:val="FootnoteAnchor"/>
          <w:rtl w:val="true"/>
        </w:rPr>
        <w:footnoteReference w:id="469"/>
      </w:r>
      <w:r>
        <w:rPr>
          <w:rFonts w:ascii="IRNazanin" w:hAnsi="IRNazanin" w:eastAsia="IRNazanin"/>
          <w:color w:val="111111"/>
          <w:sz w:val="28"/>
          <w:sz w:val="28"/>
          <w:szCs w:val="28"/>
          <w:rtl w:val="true"/>
          <w:lang w:bidi="fa-IR"/>
        </w:rPr>
        <w:t>البیع،فلا یشمل الخراب الذی لا یصدق معه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 وجه بناءً علی عموم التعلیل للاقتصار علی خوف خراب خصوص الوقف،بل کلّما خیف تلف مالٍ جاز بیع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تقریب الاستدلال بالمکاتبة علی جواز البیع فی الصورة الثامنة و هی صورة وقوع الاختلاف الذی ربما أوجب تلف الأموال و النفوس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بالجواز معلّق علی الاختلاف،إلّا أنّ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ربما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بالاختلاف الخاصّ و هو الذی لا یؤمَن معه من التلف؛لأنّ العلّة تقیّد المعلول،کما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الرمّان لأنّه حامض</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اللازم علی هذا،تعمیم الجواز فی کلّ مورد لا یؤمَن</w:t>
      </w:r>
    </w:p>
    <w:p>
      <w:pPr>
        <w:pStyle w:val="BookText"/>
        <w:rPr/>
      </w:pPr>
      <w:r>
        <w:rPr>
          <w:rFonts w:ascii="IRNazanin" w:hAnsi="IRNazanin" w:eastAsia="IRNazanin"/>
          <w:color w:val="111111"/>
          <w:sz w:val="28"/>
          <w:sz w:val="28"/>
          <w:szCs w:val="28"/>
          <w:rtl w:val="true"/>
          <w:lang w:bidi="fa-IR"/>
        </w:rPr>
        <w:t>معه من تلف الأموال و النفوس و إن لم یکن من جهة اختلاف الموقوف علیهم،فیجوز بیع الوقف لإصلاح کلّ فتنة و إن لم یکن لها دخل فی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یدّعی سَوْق العلّة مساق التقریب،لا التعلیل الحقیقی حتّی یتعدّی إلی جمیع موارده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تقیید الاختلاف حینئذٍ بکونه ممّا لا یؤمن،ممنوع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فهمه الشهید رحمه اللّٰه فی الروضة کما تقدّم کلامه </w:t>
      </w:r>
      <w:r>
        <w:rPr>
          <w:rStyle w:val="FootnoteAnchor"/>
          <w:rtl w:val="true"/>
        </w:rPr>
        <w:footnoteReference w:id="470"/>
      </w:r>
      <w:r>
        <w:rPr>
          <w:rFonts w:ascii="IRNazanin" w:hAnsi="IRNazanin" w:eastAsia="IRNazanin"/>
          <w:color w:val="111111"/>
          <w:sz w:val="28"/>
          <w:sz w:val="28"/>
          <w:szCs w:val="28"/>
          <w:rtl w:val="true"/>
          <w:lang w:bidi="fa-IR"/>
        </w:rPr>
        <w:t>لکنّ الحکم علی هذا الوجه مخالف 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یبقی حینئذٍ وثوق بالروایة بحیث یرفع الید بها عن العمومات و القواعد،مع ما فیها من ضعف الدلالة،کما سیجیء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تقریب الاستدلال علی الصورة التاسعة و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تقریب الاستدلال علی الصورة العاشرة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ضمّ تلف النفس إلی تلف الأموال مع أنّ خوف تلف الأنفس یتبعه خوف تلف المال غالباً یدلّ علی اعتبار بلوغ الفتنة فی الشدّة إلی حیث یُخاف منه تلف النفس،و لا یکفی بلوغه إلی ما دون ذلک بحیث یخاف منه تلف المال فقط</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اللازم علی هذا عدم اختصاص موجب الفساد بوقوع الفتنة بین الموقوف علیهم،بل یجوز حینئذٍ بیع الوقف لرفع کلِّ فتنة،مع أنّ ظاهر الروایة کفایة کون الاختلاف بحیث ربما جاء فیه تلف الأموال و النفوس،و المقصود کما یظهر من عبارة الجامع المتقدّمة </w:t>
      </w:r>
      <w:r>
        <w:rPr>
          <w:rStyle w:val="FootnoteAnchor"/>
          <w:rtl w:val="true"/>
        </w:rPr>
        <w:footnoteReference w:id="471"/>
      </w:r>
      <w:r>
        <w:rPr>
          <w:rFonts w:ascii="IRNazanin" w:hAnsi="IRNazanin" w:eastAsia="IRNazanin"/>
          <w:color w:val="111111"/>
          <w:sz w:val="28"/>
          <w:sz w:val="28"/>
          <w:szCs w:val="28"/>
          <w:rtl w:val="true"/>
          <w:lang w:bidi="fa-IR"/>
        </w:rPr>
        <w:t>هو اعتبار</w:t>
      </w:r>
    </w:p>
    <w:p>
      <w:pPr>
        <w:pStyle w:val="BookText"/>
        <w:rPr/>
      </w:pPr>
      <w:r>
        <w:rPr>
          <w:rFonts w:ascii="IRNazanin" w:hAnsi="IRNazanin" w:eastAsia="IRNazanin"/>
          <w:color w:val="111111"/>
          <w:sz w:val="28"/>
          <w:sz w:val="28"/>
          <w:szCs w:val="28"/>
          <w:rtl w:val="true"/>
          <w:lang w:bidi="fa-IR"/>
        </w:rPr>
        <w:t>الفتنة التی یُستباح بها الأنفس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الفتاوی المتقدّمة فی جواز بیع الوقف الراجعة إلی اعتبار أداء بقاء الوقف علماً أو ظنّاً أو احتمالاً إلی مطلق الفساد،أو فسادٍ خاصّ،أو اعتبار الاختلاف مطلقاً،أو اختلاف خاصّ مستندة إلی ما فهم أربابها من المکاتبة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فی مدلولها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إناطة الجواز بالاختلاف الذی ربما جاء فیه تلف الأموال و النفوس،لا مطلق الاختلاف؛لأنّ الذیل مقیّد، و لا خصوص المؤدّی علماً أو ظنّاً؛لأنّ موارد استعمال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ذلک،و لا مطلق ما یؤدّی إلی المحذور المذکور؛لعدم ظهور الذیل فی التعلیل بحیث یتعدّی عن مورد النصّ و إن کان فیه إشارة إلی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ذکرنا،فالمکاتبة غیر مفتیً بها عند المشهور؛لأنّ الظاهر اعتبارهم العلم أو الظنّ بأداء بقائه إلی الخراب الغیر الملازم للفتنة الموجبة لاستباحة الأموال و الأنفس،فیکون النسبة بین فتوی المشهور و مضمون الروایة عموماً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لا یمنع من جبر ضعف دلالة الروایة و قصور مقاومتها للعمومات المانعة،بالشهرة؛لأنّ اختلاف فتاوی المشهور إنّما هو من حیث الاختلاف فی فهم المناط الذی أُنیط به الجواز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قد علم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المنضمّ إلی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ربما جاء فی الاختلاف</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دلالة المکاتبة علی کون مورد السؤال هو الوقف المؤبّد التامّ،فهی علی تقدیر قصورها منجبرة بالشهرة،فیندفع بها ما یدّعی</w:t>
      </w:r>
    </w:p>
    <w:p>
      <w:pPr>
        <w:pStyle w:val="BookText"/>
        <w:rPr/>
      </w:pPr>
      <w:r>
        <w:rPr>
          <w:rFonts w:ascii="IRNazanin" w:hAnsi="IRNazanin" w:eastAsia="IRNazanin"/>
          <w:color w:val="111111"/>
          <w:sz w:val="28"/>
          <w:sz w:val="28"/>
          <w:szCs w:val="28"/>
          <w:rtl w:val="true"/>
          <w:lang w:bidi="fa-IR"/>
        </w:rPr>
        <w:t>من قصور دلالتها من جهات،مثل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ظهورها فی المؤبّد؛لعدم ذکر البطن اللاحق،و ظهورها فی عدم إقباض الموقوف علیهم و عدم تمام الوقف،کما عن الإیضاح </w:t>
      </w:r>
      <w:r>
        <w:rPr>
          <w:rStyle w:val="FootnoteAnchor"/>
          <w:rtl w:val="true"/>
        </w:rPr>
        <w:footnoteReference w:id="472"/>
      </w:r>
      <w:r>
        <w:rPr>
          <w:rFonts w:ascii="IRNazanin" w:hAnsi="IRNazanin" w:eastAsia="IRNazanin"/>
          <w:color w:val="111111"/>
          <w:sz w:val="28"/>
          <w:sz w:val="28"/>
          <w:szCs w:val="28"/>
          <w:rtl w:val="true"/>
          <w:lang w:bidi="fa-IR"/>
        </w:rPr>
        <w:t xml:space="preserve">،و أوضحه الفاضل المحدّث المجلسی،و جزم به المحدّث البحرانی </w:t>
      </w:r>
      <w:r>
        <w:rPr>
          <w:rStyle w:val="FootnoteAnchor"/>
          <w:rtl w:val="true"/>
        </w:rPr>
        <w:footnoteReference w:id="473"/>
      </w:r>
      <w:r>
        <w:rPr>
          <w:rFonts w:ascii="IRNazanin" w:hAnsi="IRNazanin" w:eastAsia="IRNazanin"/>
          <w:color w:val="111111"/>
          <w:sz w:val="28"/>
          <w:sz w:val="28"/>
          <w:szCs w:val="28"/>
          <w:rtl w:val="true"/>
          <w:lang w:bidi="fa-IR"/>
        </w:rPr>
        <w:t xml:space="preserve">،و مال إلیه فی الریاض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الأوّل فی بعض حواشیه علی بعض کتب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یخطر بالبال أنّه یمکن حمل الخبر علی ما إذا لم یُقبضهم الضیعة الموقوفة علیهم،و لم یدفعها إلیهم،و حاصل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الواقف یعلم أنّه إذا دفعها إلیهم یحصل بینهم الاختلاف و یشتدّ؛لحصول الاختلاف بینهم </w:t>
      </w:r>
      <w:r>
        <w:rPr>
          <w:rStyle w:val="FootnoteAnchor"/>
          <w:rtl w:val="true"/>
        </w:rPr>
        <w:footnoteReference w:id="475"/>
      </w:r>
      <w:r>
        <w:rPr>
          <w:rFonts w:ascii="IRNazanin" w:hAnsi="IRNazanin" w:eastAsia="IRNazanin"/>
          <w:color w:val="111111"/>
          <w:sz w:val="28"/>
          <w:sz w:val="28"/>
          <w:szCs w:val="28"/>
          <w:rtl w:val="true"/>
          <w:lang w:bidi="fa-IR"/>
        </w:rPr>
        <w:t xml:space="preserve">قبل الدفع إلیهم فی تلک الضیعة أو فی أمر آخر،فهل یدعها موقوفة و یدفعها إلیهم،أو یرجع عن الوقف لعدم لزومه بعدُ و یدفع إلیهم ثمنها؟أیّهما أفضل؟ </w:t>
      </w:r>
      <w:r>
        <w:rPr>
          <w:rStyle w:val="FootnoteAnchor"/>
          <w:rtl w:val="true"/>
        </w:rPr>
        <w:footnoteReference w:id="476"/>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توجیه حسن،لکن لیس فی السؤال ما یوجب ظهوره فی ذلک،فلا یجوز رفع الید عن مقتضی ترک الاستفصال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عدم ذکر البطن اللاحق لا یوجب ظهور السؤال فی الوقف المنقطع؛إذ کثیراً ما یقتصر فی مقام حکایة وقف مؤبّد علی</w:t>
      </w:r>
    </w:p>
    <w:p>
      <w:pPr>
        <w:pStyle w:val="BookText"/>
        <w:rPr/>
      </w:pPr>
      <w:r>
        <w:rPr>
          <w:rFonts w:ascii="IRNazanin" w:hAnsi="IRNazanin" w:eastAsia="IRNazanin"/>
          <w:color w:val="111111"/>
          <w:sz w:val="28"/>
          <w:sz w:val="28"/>
          <w:szCs w:val="28"/>
          <w:rtl w:val="true"/>
          <w:lang w:bidi="fa-IR"/>
        </w:rPr>
        <w:t>ذکر بعض البطون،فترک الاستفصال عن ذلک یوجب ثبوت الحکم للمؤبّد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المحتاج إلی الانجبار بالشهرة ثبوت حکم الروایة للوقف التامّ المؤبّد،لا تعیین ما أُنیط به الجواز من کونه مجرّد الفتنة أو ما یؤدّی الفتنة إلیه،أو غیر ذلک ممّا تقدّم من الاحتمالات فی الفقرتین المذکورتین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نعم،یحتاج إلی الاعتضاد بالشهرة من جهة أُخری،و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مقتضی القاعدة کما عرفت </w:t>
      </w:r>
      <w:r>
        <w:rPr>
          <w:rStyle w:val="FootnoteAnchor"/>
          <w:rtl w:val="true"/>
        </w:rPr>
        <w:footnoteReference w:id="477"/>
      </w:r>
      <w:r>
        <w:rPr>
          <w:rFonts w:ascii="IRNazanin" w:hAnsi="IRNazanin" w:eastAsia="IRNazanin"/>
          <w:color w:val="111111"/>
          <w:sz w:val="28"/>
          <w:sz w:val="28"/>
          <w:szCs w:val="28"/>
          <w:rtl w:val="true"/>
          <w:lang w:bidi="fa-IR"/>
        </w:rPr>
        <w:t>لزوم کون بدل الوقف کنفسه مشترکاً بین جمیع البطون،و ظاهر الروایة تقریره علیه السلام للسائل فی تقسیم ثمن الوقف علی الموجودین،فلا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من رفع الید عن مقتضی المعاوضة إلّا بتکلّف سقوط حقّ سائر البطون عن الوقف آناً ما قبل البیع؛لتقع المعاوضة فی 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من حمل السؤال علی الوقف المنقطع،أعنی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الحبس الذی لا إشکال فی بقائه علی ملک الواقف،أو علی الوقف الغیر التامّ؛لعدم القبض؛أو لعدم تحقّق صیغة الوقف و إن تحقّق التوطین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تسمیته وقفاً بهذا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 الواقف بنفسه للبیع،إلّا أن یحمل علی کونه ناظراً،أو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أجنبیّ استأذن الإمام علیه السلام فی بیعه علیهم حسبةً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أن یکون قد فهم الإمام علیه السلام من جعل السائل قسمة الثمن بین الموجودین مفروغاً عنها مع أنّ المرکوز فی الأذهان اشتراک جمیع البطون فی الوقف و بدله أنّ مورد السؤال هو الوقف الباقی علی</w:t>
      </w:r>
    </w:p>
    <w:p>
      <w:pPr>
        <w:pStyle w:val="BookText"/>
        <w:rPr/>
      </w:pPr>
      <w:r>
        <w:rPr>
          <w:rFonts w:ascii="IRNazanin" w:hAnsi="IRNazanin" w:eastAsia="IRNazanin"/>
          <w:color w:val="111111"/>
          <w:sz w:val="28"/>
          <w:sz w:val="28"/>
          <w:szCs w:val="28"/>
          <w:rtl w:val="true"/>
          <w:lang w:bidi="fa-IR"/>
        </w:rPr>
        <w:t>ملک الواقف؛لانقطاعه أو لعدم 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صدره المتضمّن لجعل الخمس من الوقف للإمام علیه السلام هو هذا النحو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یصلح هذا الخلل و أمثاله بفهم الأصحاب الوقف المؤبّد التامّ،و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لا بأس بجعل الخبر المعتضد بالشهرة مخصّصاً لقاعدة المنع عن بیع الوقف،و موجباً لتکلّف الالتزام بسقوط حقّ اللاحقین عن الوقف عند إرادة البیع،أو نمنع </w:t>
      </w:r>
      <w:r>
        <w:rPr>
          <w:rStyle w:val="FootnoteAnchor"/>
          <w:rtl w:val="true"/>
        </w:rPr>
        <w:footnoteReference w:id="478"/>
      </w:r>
      <w:r>
        <w:rPr>
          <w:rFonts w:ascii="IRNazanin" w:hAnsi="IRNazanin" w:eastAsia="IRNazanin"/>
          <w:color w:val="111111"/>
          <w:sz w:val="28"/>
          <w:sz w:val="28"/>
          <w:szCs w:val="28"/>
          <w:rtl w:val="true"/>
          <w:lang w:bidi="fa-IR"/>
        </w:rPr>
        <w:t>تقریر الإمام علیه السلام للسائل فی قسمة الثمن إلی الموجودین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یبقی الکلام فی تعیین المحتملات فی مناط جواز البیع،و قد عرفت </w:t>
      </w:r>
      <w:r>
        <w:rPr>
          <w:rStyle w:val="FootnoteAnchor"/>
          <w:rtl w:val="true"/>
        </w:rPr>
        <w:footnoteReference w:id="479"/>
      </w:r>
      <w:r>
        <w:rPr>
          <w:rFonts w:ascii="IRNazanin" w:hAnsi="IRNazanin" w:eastAsia="IRNazanin"/>
          <w:color w:val="111111"/>
          <w:sz w:val="28"/>
          <w:sz w:val="28"/>
          <w:szCs w:val="28"/>
          <w:rtl w:val="true"/>
          <w:lang w:bidi="fa-IR"/>
        </w:rPr>
        <w:t>الأظهر منها،لکن فی النفس شیءٌ من الجزم بظهوره،فلو اقتُصر علی المتیقّن من بین المحتملات و هو الاختلاف المؤدّی علماً أو ظنّاً إلی تلف خصوص مال الوقف و نفوس الموقوف علیهم 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هذا و القسم الأوّل من الصورة السابعة الذی جوّزنا فیه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المناط فی ذلک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أو الظنّ بتلف الوقف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المناط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 الوقف،الذی یتحقّق به تلف المال و إن لم یتلف الوقف،فإنّ الزائد من المقدار الباقی مالٌ قد تلف</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المراد من التلف فی الروایة تلف الوقف رأساً حتّی یتّحد مع ذلک القسم المتقدّم؛إذ لا یناسب هذا ما هو الغالب فی تلف الضیعة</w:t>
      </w:r>
      <w:bookmarkStart w:id="222" w:name="pg19861_202383"/>
    </w:p>
    <w:p>
      <w:pPr>
        <w:pStyle w:val="BookText"/>
        <w:rPr/>
      </w:pPr>
      <w:bookmarkEnd w:id="222"/>
      <w:r>
        <w:rPr>
          <w:rFonts w:ascii="IRNazanin" w:hAnsi="IRNazanin" w:eastAsia="IRNazanin"/>
          <w:color w:val="111111"/>
          <w:sz w:val="28"/>
          <w:sz w:val="28"/>
          <w:szCs w:val="28"/>
          <w:rtl w:val="true"/>
          <w:lang w:bidi="fa-IR"/>
        </w:rPr>
        <w:t>التی هی مورد الروایة،فإنّ تلفها غالباً لسقوطها عن المنفعة المطلوبة منها بحسب شأنها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الظاهر من بعض العبائر المتقدّمة،بل المحکیّ عن الأکثر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الثمن فی هذا البیع للبطن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ظاهر کلام جماعة،بل صریح بعضهم کجامع المقاصد </w:t>
      </w:r>
      <w:r>
        <w:rPr>
          <w:rStyle w:val="FootnoteAnchor"/>
          <w:rtl w:val="true"/>
        </w:rPr>
        <w:footnoteReference w:id="481"/>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یشتری بثمنه ما یکون وقفاً علی وجهٍ یندفع به الخُلف؛تحصیلاً لمطلوب الواقف بحسب الإمکان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منه قدّس سرّه مبنیٌّ علی منع </w:t>
      </w:r>
      <w:r>
        <w:rPr>
          <w:rStyle w:val="FootnoteAnchor"/>
          <w:rtl w:val="true"/>
        </w:rPr>
        <w:footnoteReference w:id="482"/>
      </w:r>
      <w:r>
        <w:rPr>
          <w:rFonts w:ascii="IRNazanin" w:hAnsi="IRNazanin" w:eastAsia="IRNazanin"/>
          <w:color w:val="111111"/>
          <w:sz w:val="28"/>
          <w:sz w:val="28"/>
          <w:szCs w:val="28"/>
          <w:rtl w:val="true"/>
          <w:lang w:bidi="fa-IR"/>
        </w:rPr>
        <w:t xml:space="preserve">ظهور الروایة فی تقریر السائل فی قسمة الثمن علی الموجودین،أو علی منع العمل بهذا التقریر فی مخالفة مقتضی قاعدة المعاوضة من اشتراک جمیع البطون فی البدل کالمبدل،لکن الوجه الثانی ینافی قوله باختصاص الموجودین بثمن ما یباع،للحاجة الشدیدة؛تمسّکاً بروایة جعفر </w:t>
      </w:r>
      <w:r>
        <w:rPr>
          <w:rStyle w:val="FootnoteAnchor"/>
          <w:rtl w:val="true"/>
        </w:rPr>
        <w:footnoteReference w:id="483"/>
      </w:r>
      <w:r>
        <w:rPr>
          <w:rFonts w:ascii="IRNazanin" w:hAnsi="IRNazanin" w:eastAsia="IRNazanin"/>
          <w:color w:val="111111"/>
          <w:sz w:val="28"/>
          <w:sz w:val="28"/>
          <w:szCs w:val="28"/>
          <w:rtl w:val="true"/>
          <w:lang w:bidi="fa-IR"/>
        </w:rPr>
        <w:t>،فتعیّن الأوّل،و هو منع التقریر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خلاف مقتضی التأمّل فی الروایة</w:t>
      </w:r>
      <w:r>
        <w:rPr>
          <w:rFonts w:eastAsia="IRNazanin" w:cs="IRNazanin"/>
          <w:color w:val="111111"/>
          <w:sz w:val="28"/>
          <w:szCs w:val="28"/>
          <w:rtl w:val="true"/>
          <w:lang w:bidi="fa-IR"/>
        </w:rPr>
        <w:t>.</w:t>
      </w:r>
    </w:p>
    <w:p>
      <w:pPr>
        <w:pStyle w:val="Heading6"/>
        <w:numPr>
          <w:ilvl w:val="5"/>
          <w:numId w:val="1"/>
        </w:numPr>
        <w:rPr/>
      </w:pPr>
      <w:bookmarkStart w:id="223" w:name="__RefHeading___Toc5119011_2314609296"/>
      <w:bookmarkStart w:id="224" w:name="_Toc90"/>
      <w:bookmarkEnd w:id="223"/>
      <w:r>
        <w:rPr>
          <w:rtl w:val="true"/>
        </w:rPr>
        <w:t>[</w:t>
      </w:r>
      <w:r>
        <w:rPr>
          <w:rtl w:val="true"/>
        </w:rPr>
        <w:t>الوقف المنقطع</w:t>
      </w:r>
      <w:r>
        <w:rPr>
          <w:rtl w:val="true"/>
        </w:rPr>
        <w:t>]</w:t>
      </w:r>
      <w:bookmarkEnd w:id="22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الوقف المنقطع،و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وقف علی من ینقرض بناءً</w:t>
      </w:r>
    </w:p>
    <w:p>
      <w:pPr>
        <w:pStyle w:val="BookText"/>
        <w:rPr/>
      </w:pPr>
      <w:r>
        <w:rPr>
          <w:rFonts w:ascii="IRNazanin" w:hAnsi="IRNazanin" w:eastAsia="IRNazanin"/>
          <w:color w:val="111111"/>
          <w:sz w:val="28"/>
          <w:sz w:val="28"/>
          <w:szCs w:val="28"/>
          <w:rtl w:val="true"/>
          <w:lang w:bidi="fa-IR"/>
        </w:rPr>
        <w:t>علی صحّته کما هو المعروف فإمّا أن نقول ببقائه علی ملک الواقف، و إمّا أن نقول بانتقاله إلی الموقوف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یملکوه ملکاً مستقرّاً بحیث ینتقل منهم إلی ورثتهم عند انقراضهم، و إمّا أن یقال بعوده إلی ملک الواقف،و إمّا أن یقال بصیرورته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للموقوف علیهم البیع؛لعدم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جوازه للواقف مع جهالة مدّة استحقاق الموقوف علیهم إشکال،من حیث لزوم الغرر بجهالة وقت استحقاق التسلیم التامّ علی وجه ینتفع به؛و لذا منع الأصحاب کما فی الإیضاح </w:t>
      </w:r>
      <w:r>
        <w:rPr>
          <w:rStyle w:val="FootnoteAnchor"/>
          <w:rtl w:val="true"/>
        </w:rPr>
        <w:footnoteReference w:id="485"/>
      </w:r>
      <w:r>
        <w:rPr>
          <w:rFonts w:ascii="IRNazanin" w:hAnsi="IRNazanin" w:eastAsia="IRNazanin"/>
          <w:color w:val="111111"/>
          <w:sz w:val="28"/>
          <w:sz w:val="28"/>
          <w:szCs w:val="28"/>
          <w:rtl w:val="true"/>
          <w:lang w:bidi="fa-IR"/>
        </w:rPr>
        <w:t>بیعَ مسکن المطلّقة المعتدّة بالأقراء؛لجهالة مدّة العدّة،مع عدم کثرة التفاوت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نعم،المحکی عن جماعة کالمحقّق </w:t>
      </w:r>
      <w:r>
        <w:rPr>
          <w:rStyle w:val="FootnoteAnchor"/>
          <w:rtl w:val="true"/>
        </w:rPr>
        <w:footnoteReference w:id="486"/>
      </w:r>
      <w:r>
        <w:rPr>
          <w:rFonts w:ascii="IRNazanin" w:hAnsi="IRNazanin" w:eastAsia="IRNazanin"/>
          <w:color w:val="111111"/>
          <w:sz w:val="28"/>
          <w:sz w:val="28"/>
          <w:szCs w:val="28"/>
          <w:rtl w:val="true"/>
          <w:lang w:bidi="fa-IR"/>
        </w:rPr>
        <w:t xml:space="preserve">و الشهیدین فی المسالک </w:t>
      </w:r>
      <w:r>
        <w:rPr>
          <w:rStyle w:val="FootnoteAnchor"/>
          <w:rtl w:val="true"/>
        </w:rPr>
        <w:footnoteReference w:id="487"/>
      </w:r>
      <w:r>
        <w:rPr>
          <w:rFonts w:ascii="IRNazanin" w:hAnsi="IRNazanin" w:eastAsia="IRNazanin"/>
          <w:color w:val="111111"/>
          <w:sz w:val="28"/>
          <w:sz w:val="28"/>
          <w:szCs w:val="28"/>
          <w:rtl w:val="true"/>
          <w:lang w:bidi="fa-IR"/>
        </w:rPr>
        <w:t xml:space="preserve">و الدروس </w:t>
      </w:r>
      <w:r>
        <w:rPr>
          <w:rStyle w:val="FootnoteAnchor"/>
          <w:rtl w:val="true"/>
        </w:rPr>
        <w:footnoteReference w:id="488"/>
      </w:r>
      <w:r>
        <w:rPr>
          <w:rFonts w:ascii="IRNazanin" w:hAnsi="IRNazanin" w:eastAsia="IRNazanin"/>
          <w:color w:val="111111"/>
          <w:sz w:val="28"/>
          <w:sz w:val="28"/>
          <w:szCs w:val="28"/>
          <w:rtl w:val="true"/>
          <w:lang w:bidi="fa-IR"/>
        </w:rPr>
        <w:t xml:space="preserve">و غیرهم </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البیع فی السکنی الموقّتة بعمر أحدهما، بل ربما یظهر من محکیّ التنقیح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إمّا لمنع الغرر، و إمّا للنصّ،و هو ما رواه المشایخ الثلاثة فی الصحیح أو الحسن عن</w:t>
      </w:r>
    </w:p>
    <w:p>
      <w:pPr>
        <w:pStyle w:val="BookText"/>
        <w:rPr/>
      </w:pPr>
      <w:r>
        <w:rPr>
          <w:rFonts w:ascii="IRNazanin" w:hAnsi="IRNazanin" w:eastAsia="IRNazanin"/>
          <w:color w:val="111111"/>
          <w:sz w:val="28"/>
          <w:sz w:val="28"/>
          <w:szCs w:val="28"/>
          <w:rtl w:val="true"/>
          <w:lang w:bidi="fa-IR"/>
        </w:rPr>
        <w:t>الحسین بن نعیم،قال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رجلٍ جعل داره سکنی لرجلٍ زمانَ حیاته و لعقبه من بعده،قال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له و لعقبه من بعده کما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احتاج إلی بیعها؟قال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فینقض البیعُ السکنی؟قال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البیعُ السکنی،کذلک سمعت أبی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البیع الإجارة و لا السکنی،و لکن یبیعه علی أنّ الذی یشتریه لا یملک ما اشتراه حتّی ینقضی السکنی علی ما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 ذلک فقد توقّف فی المسألة العلّامة </w:t>
      </w:r>
      <w:r>
        <w:rPr>
          <w:rStyle w:val="FootnoteAnchor"/>
          <w:rtl w:val="true"/>
        </w:rPr>
        <w:footnoteReference w:id="491"/>
      </w:r>
      <w:r>
        <w:rPr>
          <w:rFonts w:ascii="IRNazanin" w:hAnsi="IRNazanin" w:eastAsia="IRNazanin"/>
          <w:color w:val="111111"/>
          <w:sz w:val="28"/>
          <w:sz w:val="28"/>
          <w:szCs w:val="28"/>
          <w:rtl w:val="true"/>
          <w:lang w:bidi="fa-IR"/>
        </w:rPr>
        <w:t xml:space="preserve">و ولده </w:t>
      </w:r>
      <w:r>
        <w:rPr>
          <w:rStyle w:val="FootnoteAnchor"/>
          <w:rtl w:val="true"/>
        </w:rPr>
        <w:footnoteReference w:id="492"/>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باعه من الموقوف علیه المختصّ بمنفعة الوقف،فالظاهر جوازه؛ لعدم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العدم؛لأنّ معرفة المجموع المرکّب من ملک البائع و حقّ المشتری لا توجب معرفة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باعه ممّن انتقل إلیه حقّ الموقوف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انتقل إلی الواقف ثمّ باع صحّ جزماً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مجرّد رضا الموقوف علیهم،فلا یجوّز البیع من الأجنبیّ؛</w:t>
      </w:r>
    </w:p>
    <w:p>
      <w:pPr>
        <w:pStyle w:val="BookText"/>
        <w:rPr/>
      </w:pPr>
      <w:r>
        <w:rPr>
          <w:rFonts w:ascii="IRNazanin" w:hAnsi="IRNazanin" w:eastAsia="IRNazanin"/>
          <w:color w:val="111111"/>
          <w:sz w:val="28"/>
          <w:sz w:val="28"/>
          <w:szCs w:val="28"/>
          <w:rtl w:val="true"/>
          <w:lang w:bidi="fa-IR"/>
        </w:rPr>
        <w:t>لأنّ المنفعة مال لهم فلا تنتقل إلی المشتری بلا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یکون علی وجه الإسقاط لو صحّحناه منهم،أو یکون المعاملة مرکّبة من نقل العین من طرف الواقف و نقل المنفعة من قبل الموقوف علیهم، فیکون العوض موزّعاً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أن یکون ذلک علی وجه الصلح؛ لأنّ غیره لا یتضمّن نقل العین و المنفعة کلیهما،خصوصاً مع جهالة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وجه التأمّل فیما حکی عن التنقیح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لو اتّفق الواقف و الموقوف علیه علی البیع فی المنقطع جاز </w:t>
      </w:r>
      <w:r>
        <w:rPr>
          <w:rStyle w:val="FootnoteAnchor"/>
          <w:rtl w:val="true"/>
        </w:rPr>
        <w:footnoteReference w:id="494"/>
      </w:r>
      <w:r>
        <w:rPr>
          <w:rFonts w:ascii="IRNazanin" w:hAnsi="IRNazanin" w:eastAsia="IRNazanin"/>
          <w:color w:val="111111"/>
          <w:sz w:val="28"/>
          <w:sz w:val="28"/>
          <w:szCs w:val="28"/>
          <w:rtl w:val="true"/>
          <w:lang w:bidi="fa-IR"/>
        </w:rPr>
        <w:t xml:space="preserve">،سواء أراد بیع الواقف أو بیع الموقوف علیه،کما یدلّ علیه کلامه المحکیّ عنه فی مسألة السکنی </w:t>
      </w:r>
      <w:r>
        <w:rPr>
          <w:rStyle w:val="FootnoteAnchor"/>
          <w:rtl w:val="true"/>
        </w:rPr>
        <w:footnoteReference w:id="495"/>
      </w:r>
      <w:r>
        <w:rPr>
          <w:rFonts w:ascii="IRNazanin" w:hAnsi="IRNazanin" w:eastAsia="IRNazanin"/>
          <w:color w:val="111111"/>
          <w:sz w:val="28"/>
          <w:sz w:val="28"/>
          <w:szCs w:val="28"/>
          <w:rtl w:val="true"/>
          <w:lang w:bidi="fa-IR"/>
        </w:rPr>
        <w:t>حیث أجاز استقلال مالک العین بالبیع و لو من دون رضا مالک الانتفاع أو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للموقوف علیه حقّ الانتفاع من دون تملّک للمنفعة کما فی السکنی علی قولٍ صحّ ما ذکره؛لإمکان سقوط الحقّ بالإسقاط،بخلاف المال،فتأمّل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الکلام فی هذه المسائل فی باب السکنی و الحبس إن شاء اللّٰه تعالی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الثانی </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البیع للواقف؛لعدم الملک،و لا للموقوف</w:t>
      </w:r>
    </w:p>
    <w:p>
      <w:pPr>
        <w:pStyle w:val="BookText"/>
        <w:rPr/>
      </w:pPr>
      <w:r>
        <w:rPr>
          <w:rFonts w:ascii="IRNazanin" w:hAnsi="IRNazanin" w:eastAsia="IRNazanin"/>
          <w:color w:val="111111"/>
          <w:sz w:val="28"/>
          <w:sz w:val="28"/>
          <w:szCs w:val="28"/>
          <w:rtl w:val="true"/>
          <w:lang w:bidi="fa-IR"/>
        </w:rPr>
        <w:t>علیه؛لاعتبار الواقف بقاءه فی یدهم إلی انقراضهم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البیع للموقوف علیه و إن أجاز الواقف؛ لمنافاته لاعتبار الواقف فی الوقف بقاء العین،کما لا یجوز أیضاً للواقف الغیر المالک فعلاً و إن أجاز الموقوف علیه،إلّا إذا جوّزنا بیع ملک الغیر مع عدم اعتبار مجیزٍ له فی الحال؛بناءً علی أنّ الموقوف علیه الذی هو المالک فعلاً لیس له الإجازة؛لعدم تسلّطه علی النقل،فإذا انقرض الموقوف علیه و ملکه الواقف لزم البیع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قد أُورد </w:t>
      </w:r>
      <w:r>
        <w:rPr>
          <w:rStyle w:val="FootnoteAnchor"/>
          <w:rtl w:val="true"/>
        </w:rPr>
        <w:footnoteReference w:id="497"/>
      </w:r>
      <w:r>
        <w:rPr>
          <w:rFonts w:ascii="IRNazanin" w:hAnsi="IRNazanin" w:eastAsia="IRNazanin"/>
          <w:color w:val="111111"/>
          <w:sz w:val="28"/>
          <w:sz w:val="28"/>
          <w:szCs w:val="28"/>
          <w:rtl w:val="true"/>
          <w:lang w:bidi="fa-IR"/>
        </w:rPr>
        <w:t xml:space="preserve">علی القاضی قدّس سرّه حیث جوّز للموقوف علیه بیع الوقف المنقطع مع قوله ببقاء الوقف المنقطع علی ملک الواقف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دفع التنافی بکونه قائلاً بالوجه الثالث من الوجوه المتقدّمة و هو ملک الموقوف علیهم ثمّ عوده إلی الواقف إلّا أنّ الکلام فی ثبوت هذا القول بین من اختلف فی مالک الموقوف فی الوقف المنقطع، و یتّضح ذلک بمراجعة المسألة فی کتاب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حکمه حکم الوقف المؤبّد کما صرّح به المحقّق الثانی </w:t>
      </w:r>
      <w:r>
        <w:rPr>
          <w:rStyle w:val="FootnoteAnchor"/>
          <w:rtl w:val="true"/>
        </w:rPr>
        <w:footnoteReference w:id="499"/>
      </w:r>
      <w:r>
        <w:rPr>
          <w:rFonts w:ascii="IRNazanin" w:hAnsi="IRNazanin" w:eastAsia="IRNazanin"/>
          <w:color w:val="111111"/>
          <w:sz w:val="28"/>
          <w:sz w:val="28"/>
          <w:szCs w:val="28"/>
          <w:rtl w:val="true"/>
          <w:lang w:bidi="fa-IR"/>
        </w:rPr>
        <w:t>علی ما حکی عنه لأنّه حقیقةً وقفٌ مؤبّد کما لو صرّح بکونه فی سبیل اللّٰه بعد انقراض الموقوف علیه الخاصّ</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ذکرنا فی حکم الوقف المنقطع فإنّما هو بالنسبة إلی البطن الذی لا بطن بعده یتلقّی الملک من الواقف</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حکم بیع بعض البطون مع وجود مَن بعدهم،فإن قلنا بعدم تملّکهم للمنقطع فهو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علی تقدیر القول بملکهم،فحکم بیع غیر الأخیر من البطون حکم بیع بعض البطون فی الوقف المؤبّد، فیشترک معه فی المنع فی الصور التی منعنا،و فی الجواز فی الصور </w:t>
      </w:r>
      <w:r>
        <w:rPr>
          <w:rStyle w:val="FootnoteAnchor"/>
          <w:rtl w:val="true"/>
        </w:rPr>
        <w:footnoteReference w:id="500"/>
      </w:r>
      <w:r>
        <w:rPr>
          <w:rFonts w:ascii="IRNazanin" w:hAnsi="IRNazanin" w:eastAsia="IRNazanin"/>
          <w:color w:val="111111"/>
          <w:sz w:val="28"/>
          <w:sz w:val="28"/>
          <w:szCs w:val="28"/>
          <w:rtl w:val="true"/>
          <w:lang w:bidi="fa-IR"/>
        </w:rPr>
        <w:t>التی جوّزنا؛لاشتراک دلیل المنع،و یتشارکان أیضاً فی حکم الثمن بعد البیع</w:t>
      </w:r>
      <w:r>
        <w:rPr>
          <w:rFonts w:eastAsia="IRNazanin" w:cs="IRNazanin"/>
          <w:color w:val="111111"/>
          <w:sz w:val="28"/>
          <w:szCs w:val="28"/>
          <w:rtl w:val="true"/>
          <w:lang w:bidi="fa-IR"/>
        </w:rPr>
        <w:t>.</w:t>
      </w:r>
      <w:bookmarkStart w:id="225" w:name="pg19861_202389"/>
    </w:p>
    <w:p>
      <w:pPr>
        <w:pStyle w:val="Heading5"/>
        <w:numPr>
          <w:ilvl w:val="4"/>
          <w:numId w:val="1"/>
        </w:numPr>
        <w:rPr/>
      </w:pPr>
      <w:bookmarkStart w:id="226" w:name="__RefHeading___Toc5119013_2314609296"/>
      <w:bookmarkStart w:id="227" w:name="_Toc91"/>
      <w:bookmarkEnd w:id="225"/>
      <w:bookmarkEnd w:id="226"/>
      <w:r>
        <w:rPr>
          <w:rtl w:val="true"/>
        </w:rPr>
        <w:t>مسألة و من أسباب خروج الملک عن کونه طِلْقاً</w:t>
      </w:r>
      <w:r>
        <w:rPr>
          <w:rtl w:val="true"/>
        </w:rPr>
        <w:t>:</w:t>
      </w:r>
      <w:r>
        <w:rPr>
          <w:rtl w:val="true"/>
        </w:rPr>
        <w:t>صیرورة المملوکة أُمّ ولدٍ لسیّدها،</w:t>
      </w:r>
      <w:bookmarkEnd w:id="227"/>
    </w:p>
    <w:p>
      <w:pPr>
        <w:pStyle w:val="Heading6"/>
        <w:numPr>
          <w:ilvl w:val="5"/>
          <w:numId w:val="1"/>
        </w:numPr>
        <w:rPr/>
      </w:pPr>
      <w:bookmarkStart w:id="228" w:name="__RefHeading___Toc5119015_2314609296"/>
      <w:bookmarkStart w:id="229" w:name="_Toc92"/>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 xml:space="preserve">فإنّ ذلک یوجب منع المالک عن بیعها،بلا خلافٍ بین المسلمین،علی الظاهر المحکیّ عن مجمع الفائدة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بعض الأخبار دلالةٌ علی کونه من المنکرات فی صدر الإسلام، مثل ما روی من قول أمیر المؤمنین علیه السلام لمن </w:t>
      </w:r>
      <w:r>
        <w:rPr>
          <w:rStyle w:val="FootnoteAnchor"/>
          <w:rtl w:val="true"/>
        </w:rPr>
        <w:footnoteReference w:id="502"/>
      </w:r>
      <w:r>
        <w:rPr>
          <w:rFonts w:ascii="IRNazanin" w:hAnsi="IRNazanin" w:eastAsia="IRNazanin"/>
          <w:color w:val="111111"/>
          <w:sz w:val="28"/>
          <w:sz w:val="28"/>
          <w:szCs w:val="28"/>
          <w:rtl w:val="true"/>
          <w:lang w:bidi="fa-IR"/>
        </w:rPr>
        <w:t>سأله عن بیع أمة أرضعت ولده،قال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بیدها،و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یشتری أُمّ ولدی؟</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0" w:name="__RefHeading___Toc5119017_2314609296"/>
      <w:bookmarkStart w:id="231" w:name="_Toc93"/>
      <w:bookmarkEnd w:id="230"/>
      <w:r>
        <w:rPr>
          <w:rtl w:val="true"/>
        </w:rPr>
        <w:t>و فی حکم البیع کلّ تصرّفٍ ناقلٍ للملک الغیر المستعقب بالعتق، أو مستلزمٍ للنقل کالرهن،</w:t>
      </w:r>
      <w:bookmarkEnd w:id="231"/>
    </w:p>
    <w:p>
      <w:pPr>
        <w:pStyle w:val="BookText"/>
        <w:rPr/>
      </w:pPr>
      <w:r>
        <w:rPr>
          <w:rFonts w:ascii="IRNazanin" w:hAnsi="IRNazanin" w:eastAsia="IRNazanin"/>
          <w:color w:val="111111"/>
          <w:sz w:val="28"/>
          <w:sz w:val="28"/>
          <w:szCs w:val="28"/>
          <w:rtl w:val="true"/>
          <w:lang w:bidi="fa-IR"/>
        </w:rPr>
        <w:t>کما یظهر من تضاعیف کلماتهم فی جملةٍ من الموارد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أُمّ الولد </w:t>
      </w:r>
      <w:r>
        <w:rPr>
          <w:rStyle w:val="FootnoteAnchor"/>
          <w:rtl w:val="true"/>
        </w:rPr>
        <w:footnoteReference w:id="505"/>
      </w:r>
      <w:r>
        <w:rPr>
          <w:rFonts w:ascii="IRNazanin" w:hAnsi="IRNazanin" w:eastAsia="IRNazanin"/>
          <w:color w:val="111111"/>
          <w:sz w:val="28"/>
          <w:sz w:val="28"/>
          <w:szCs w:val="28"/>
          <w:rtl w:val="true"/>
          <w:lang w:bidi="fa-IR"/>
        </w:rPr>
        <w:t>ملکاً غیر طلق،کالوقف و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p>
    <w:p>
      <w:pPr>
        <w:pStyle w:val="BookText"/>
        <w:rPr/>
      </w:pPr>
      <w:r>
        <w:rPr>
          <w:rFonts w:ascii="IRNazanin" w:hAnsi="IRNazanin" w:eastAsia="IRNazanin"/>
          <w:color w:val="111111"/>
          <w:sz w:val="28"/>
          <w:sz w:val="28"/>
          <w:szCs w:val="28"/>
          <w:rtl w:val="true"/>
          <w:lang w:bidi="fa-IR"/>
        </w:rPr>
        <w:t>عرفت أنّ المراد من الطلْق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تمامیّة الملک و الاستقلال فی التصرّف،فلو جاز الصلح عنها و هِبتها لم تخرج عن کونها طِلْقاً بمجرّد عدم جواز إیقاع عقد البیع علیها،کما أنّ المجهول الذی یجوز </w:t>
      </w:r>
      <w:r>
        <w:rPr>
          <w:rStyle w:val="FootnoteAnchor"/>
          <w:rtl w:val="true"/>
        </w:rPr>
        <w:footnoteReference w:id="506"/>
      </w:r>
      <w:r>
        <w:rPr>
          <w:rFonts w:ascii="IRNazanin" w:hAnsi="IRNazanin" w:eastAsia="IRNazanin"/>
          <w:color w:val="111111"/>
          <w:sz w:val="28"/>
          <w:sz w:val="28"/>
          <w:szCs w:val="28"/>
          <w:rtl w:val="true"/>
          <w:lang w:bidi="fa-IR"/>
        </w:rPr>
        <w:t>الصلح عنه وهبته و الإبراء عنه و لا یجوز بیعه،لا یخرج عن کونه 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کلماتهم فی رهن أُمّ الولد،فلاحظها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کلماتهم فی استیلاد المشتری فی زمان خیار البائع،فإنّ المصرَّح به فی کلام الشهیدین فی خیار الغبن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البائع لو فسخ یرجع إلی القیمة؛لامتناع انتقال أُمّ الولد </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509"/>
      </w:r>
      <w:r>
        <w:rPr>
          <w:rFonts w:ascii="IRNazanin" w:hAnsi="IRNazanin" w:eastAsia="IRNazanin"/>
          <w:color w:val="111111"/>
          <w:sz w:val="28"/>
          <w:sz w:val="28"/>
          <w:szCs w:val="28"/>
          <w:rtl w:val="true"/>
          <w:lang w:bidi="fa-IR"/>
        </w:rPr>
        <w:t xml:space="preserve">کذا فی کلام العلّامة </w:t>
      </w:r>
      <w:r>
        <w:rPr>
          <w:rStyle w:val="FootnoteAnchor"/>
          <w:rtl w:val="true"/>
        </w:rPr>
        <w:footnoteReference w:id="510"/>
      </w:r>
      <w:r>
        <w:rPr>
          <w:rFonts w:ascii="IRNazanin" w:hAnsi="IRNazanin" w:eastAsia="IRNazanin"/>
          <w:color w:val="111111"/>
          <w:sz w:val="28"/>
          <w:sz w:val="28"/>
          <w:szCs w:val="28"/>
          <w:rtl w:val="true"/>
          <w:lang w:bidi="fa-IR"/>
        </w:rPr>
        <w:t xml:space="preserve">و ولده </w:t>
      </w:r>
      <w:r>
        <w:rPr>
          <w:rStyle w:val="FootnoteAnchor"/>
          <w:rtl w:val="true"/>
        </w:rPr>
        <w:footnoteReference w:id="511"/>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512"/>
      </w:r>
      <w:r>
        <w:rPr>
          <w:rFonts w:ascii="IRNazanin" w:hAnsi="IRNazanin" w:eastAsia="IRNazanin"/>
          <w:color w:val="111111"/>
          <w:sz w:val="28"/>
          <w:sz w:val="28"/>
          <w:szCs w:val="28"/>
          <w:rtl w:val="true"/>
          <w:lang w:bidi="fa-IR"/>
        </w:rPr>
        <w:t>ذلک أیضاً فی زمان مطلق الخیار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کلماتهم فی مستثنیات بیع أُمّ الولد ردّاً و قبولاً </w:t>
      </w:r>
      <w:r>
        <w:rPr>
          <w:rStyle w:val="FootnoteAnchor"/>
          <w:rtl w:val="true"/>
        </w:rPr>
        <w:footnoteReference w:id="513"/>
      </w:r>
      <w:r>
        <w:rPr>
          <w:rFonts w:ascii="IRNazanin" w:hAnsi="IRNazanin" w:eastAsia="IRNazanin"/>
          <w:color w:val="111111"/>
          <w:sz w:val="28"/>
          <w:sz w:val="28"/>
          <w:szCs w:val="28"/>
          <w:rtl w:val="true"/>
          <w:lang w:bidi="fa-IR"/>
        </w:rPr>
        <w:t>فإنّها کالصریحة فی أنّ الممنوع مطلق نقلها،لا خصوص البیع</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بالجملة،فلا یبقی للمتأمّل شکّ فی ثبوت حکم البیع لغیره من النواقل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ذلک کلّه،فقد جزم بعض سادة مشایخنا </w:t>
      </w:r>
      <w:r>
        <w:rPr>
          <w:rStyle w:val="FootnoteAnchor"/>
          <w:rtl w:val="true"/>
        </w:rPr>
        <w:footnoteReference w:id="514"/>
      </w:r>
      <w:r>
        <w:rPr>
          <w:rFonts w:ascii="IRNazanin" w:hAnsi="IRNazanin" w:eastAsia="IRNazanin"/>
          <w:color w:val="111111"/>
          <w:sz w:val="28"/>
          <w:sz w:val="28"/>
          <w:szCs w:val="28"/>
          <w:rtl w:val="true"/>
          <w:lang w:bidi="fa-IR"/>
        </w:rPr>
        <w:t>بجواز غیر البیع من النواقل؛للأُصول و خلوّ کلام المعظم عن حکم غیر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عرفت ظهوره من تضاعیف کلمات المعظم فی الموارد المختلفة،و مع ذلک فهو الظاهر من المبسوط و السرائر،حیث قالا </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مات ولدها جاز بیعها و هبتها و التصرّف فیها بسائر أنواع التصرّف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ادّعی فی الإیضاح الإجماع صریحاً علی المنع عن کلّ ناقل </w:t>
      </w:r>
      <w:r>
        <w:rPr>
          <w:rStyle w:val="FootnoteAnchor"/>
          <w:rtl w:val="true"/>
        </w:rPr>
        <w:footnoteReference w:id="517"/>
      </w:r>
      <w:r>
        <w:rPr>
          <w:rFonts w:ascii="IRNazanin" w:hAnsi="IRNazanin" w:eastAsia="IRNazanin"/>
          <w:color w:val="111111"/>
          <w:sz w:val="28"/>
          <w:sz w:val="28"/>
          <w:szCs w:val="28"/>
          <w:rtl w:val="true"/>
          <w:lang w:bidi="fa-IR"/>
        </w:rPr>
        <w:t xml:space="preserve">، و أرسله بعضهم کصاحب الریاض </w:t>
      </w:r>
      <w:r>
        <w:rPr>
          <w:rStyle w:val="FootnoteAnchor"/>
          <w:rtl w:val="true"/>
        </w:rPr>
        <w:footnoteReference w:id="518"/>
      </w:r>
      <w:r>
        <w:rPr>
          <w:rFonts w:ascii="Amiri" w:hAnsi="Amiri" w:eastAsia="Amiri" w:cs="Amiri"/>
          <w:color w:val="111111"/>
          <w:sz w:val="28"/>
          <w:sz w:val="28"/>
          <w:szCs w:val="28"/>
          <w:rtl w:val="true"/>
          <w:lang w:bidi="ar-SA"/>
        </w:rPr>
        <w:t xml:space="preserve">و جماعة </w:t>
      </w:r>
      <w:r>
        <w:rPr>
          <w:rStyle w:val="FootnoteAnchor"/>
          <w:rtl w:val="true"/>
        </w:rPr>
        <w:footnoteReference w:id="519"/>
      </w:r>
      <w:r>
        <w:rPr>
          <w:rFonts w:ascii="IRNazanin" w:hAnsi="IRNazanin" w:eastAsia="IRNazanin"/>
          <w:color w:val="111111"/>
          <w:sz w:val="28"/>
          <w:sz w:val="28"/>
          <w:szCs w:val="28"/>
          <w:rtl w:val="true"/>
          <w:lang w:bidi="fa-IR"/>
        </w:rPr>
        <w:t>إرسال المسلّمات،بل عبارة بعضهم ظاهرة فی دعوی الاتّفاق،حیث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الاستیلاد مانع من صحّة التصرّفات الناقلة من ملک المولی إلی ملک غیره،أو المعرّضة لها للدخول فی ملک غیره کالرهن،علی خلافٍ فی ذلک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عموم المنع لکلّ ناقل و عدم اختصاصه بالبیع قول جمیع المسلمین،و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أدلّة المنع المعنونة بالبیع </w:t>
      </w:r>
      <w:r>
        <w:rPr>
          <w:rStyle w:val="FootnoteAnchor"/>
          <w:rtl w:val="true"/>
        </w:rPr>
        <w:footnoteReference w:id="521"/>
      </w:r>
      <w:r>
        <w:rPr>
          <w:rFonts w:ascii="IRNazanin" w:hAnsi="IRNazanin" w:eastAsia="IRNazanin"/>
          <w:color w:val="111111"/>
          <w:sz w:val="28"/>
          <w:sz w:val="28"/>
          <w:szCs w:val="28"/>
          <w:rtl w:val="true"/>
          <w:lang w:bidi="fa-IR"/>
        </w:rPr>
        <w:t>فی إرادة مطلق النقل،فإنّ مثل قول أمیر المؤمنین علیه السلام فی الروایة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p>
    <w:p>
      <w:pPr>
        <w:pStyle w:val="BookText"/>
        <w:rPr/>
      </w:pPr>
      <w:r>
        <w:rPr>
          <w:rFonts w:ascii="IRNazanin" w:hAnsi="IRNazanin" w:eastAsia="IRNazanin"/>
          <w:color w:val="111111"/>
          <w:sz w:val="28"/>
          <w:sz w:val="28"/>
          <w:szCs w:val="28"/>
          <w:rtl w:val="true"/>
          <w:lang w:bidi="fa-IR"/>
        </w:rPr>
        <w:t>بیدها،و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یشتری أُمّ ولدی؟</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 xml:space="preserve">،یدلّ علی أنّ مطلق نقل أُمّ الولد إلی الغیر کان من المنکرات،و هو مقتضی التأمّل فیما سیجیء من أخبار بیع أُمّ الولد فی ثمن رقبتها </w:t>
      </w:r>
      <w:r>
        <w:rPr>
          <w:rStyle w:val="FootnoteAnchor"/>
          <w:rtl w:val="true"/>
        </w:rPr>
        <w:footnoteReference w:id="523"/>
      </w:r>
      <w:r>
        <w:rPr>
          <w:rFonts w:ascii="IRNazanin" w:hAnsi="IRNazanin" w:eastAsia="IRNazanin"/>
          <w:color w:val="111111"/>
          <w:sz w:val="28"/>
          <w:sz w:val="28"/>
          <w:szCs w:val="28"/>
          <w:rtl w:val="true"/>
          <w:lang w:bidi="fa-IR"/>
        </w:rPr>
        <w:t>و عدم جوازه فیما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اشتهر و إن لم نجد نصّاً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الوجه فی المنع هو بقاؤها رجاءً لانعتاقها من نصیب ولدها بعد موت سیّدها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عموم المنع لجمیع النواقل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المنع مختصّ بعدم هلاک الولد،فلو هلک جاز اتّفاقاً فتوًی و نصّاً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مات الولد و خلّف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إجراء حکم الولد علیه؛لأصالة بقاء المنع،و لصدق الاسم فیندرج فی إطلاق الأدلّة،و تغلیباً للحرّیة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العدم؛لکونه حقیقة فی ولد الصلب،و ظهور إرادته من جملةٍ من الأخبار،و إطلاق ما دلّ من النصوص و الإجماع علی الجواز بعد موت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التفصیل بین کونه وارثاً؛لعدم ولد الصلب للمولی،و عدمه؛ لمساواة الأوّل مع ولد الصلب فی الجهة المقتضیة للمنع،وجوه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 أوّلها عن الإیضاح </w:t>
      </w:r>
      <w:r>
        <w:rPr>
          <w:rStyle w:val="FootnoteAnchor"/>
          <w:rtl w:val="true"/>
        </w:rPr>
        <w:footnoteReference w:id="525"/>
      </w:r>
      <w:r>
        <w:rPr>
          <w:rFonts w:ascii="IRNazanin" w:hAnsi="IRNazanin" w:eastAsia="IRNazanin"/>
          <w:color w:val="111111"/>
          <w:sz w:val="28"/>
          <w:sz w:val="28"/>
          <w:szCs w:val="28"/>
          <w:rtl w:val="true"/>
          <w:lang w:bidi="fa-IR"/>
        </w:rPr>
        <w:t xml:space="preserve">،و ثالثها عن المهذّب البارع </w:t>
      </w:r>
      <w:r>
        <w:rPr>
          <w:rStyle w:val="FootnoteAnchor"/>
          <w:rtl w:val="true"/>
        </w:rPr>
        <w:footnoteReference w:id="526"/>
      </w:r>
      <w:r>
        <w:rPr>
          <w:rFonts w:ascii="IRNazanin" w:hAnsi="IRNazanin" w:eastAsia="IRNazanin"/>
          <w:color w:val="111111"/>
          <w:sz w:val="28"/>
          <w:sz w:val="28"/>
          <w:szCs w:val="28"/>
          <w:rtl w:val="true"/>
          <w:lang w:bidi="fa-IR"/>
        </w:rPr>
        <w:t xml:space="preserve">و نهایة المرام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bookmarkStart w:id="232" w:name="pg19861_202393"/>
    </w:p>
    <w:p>
      <w:pPr>
        <w:pStyle w:val="BookText"/>
        <w:rPr/>
      </w:pPr>
      <w:bookmarkEnd w:id="232"/>
      <w:r>
        <w:rPr>
          <w:rFonts w:ascii="IRNazanin" w:hAnsi="IRNazanin" w:eastAsia="IRNazanin"/>
          <w:color w:val="111111"/>
          <w:sz w:val="28"/>
          <w:sz w:val="28"/>
          <w:szCs w:val="28"/>
          <w:rtl w:val="true"/>
          <w:lang w:bidi="fa-IR"/>
        </w:rPr>
        <w:t xml:space="preserve">و عن القواعد </w:t>
      </w:r>
      <w:r>
        <w:rPr>
          <w:rStyle w:val="FootnoteAnchor"/>
          <w:rtl w:val="true"/>
        </w:rPr>
        <w:footnoteReference w:id="528"/>
      </w:r>
      <w:r>
        <w:rPr>
          <w:rFonts w:ascii="IRNazanin" w:hAnsi="IRNazanin" w:eastAsia="IRNazanin"/>
          <w:color w:val="111111"/>
          <w:sz w:val="28"/>
          <w:sz w:val="28"/>
          <w:szCs w:val="28"/>
          <w:rtl w:val="true"/>
          <w:lang w:bidi="fa-IR"/>
        </w:rPr>
        <w:t xml:space="preserve">و الدروس </w:t>
      </w:r>
      <w:r>
        <w:rPr>
          <w:rStyle w:val="FootnoteAnchor"/>
          <w:rtl w:val="true"/>
        </w:rPr>
        <w:footnoteReference w:id="529"/>
      </w:r>
      <w:r>
        <w:rPr>
          <w:rFonts w:ascii="IRNazanin" w:hAnsi="IRNazanin" w:eastAsia="IRNazanin"/>
          <w:color w:val="111111"/>
          <w:sz w:val="28"/>
          <w:sz w:val="28"/>
          <w:szCs w:val="28"/>
          <w:rtl w:val="true"/>
          <w:lang w:bidi="fa-IR"/>
        </w:rPr>
        <w:t xml:space="preserve">و غیرهما </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التردّد</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5119019_2314609296"/>
      <w:bookmarkStart w:id="234" w:name="_Toc94"/>
      <w:bookmarkEnd w:id="233"/>
      <w:r>
        <w:rPr>
          <w:rtl w:val="true"/>
        </w:rPr>
        <w:t>بقی الکلام فی معنی</w:t>
      </w:r>
      <w:r>
        <w:rPr>
          <w:rtl w:val="true"/>
        </w:rPr>
        <w:t>«</w:t>
      </w:r>
      <w:r>
        <w:rPr>
          <w:rtl w:val="true"/>
        </w:rPr>
        <w:t>أُمّ الولد</w:t>
      </w:r>
      <w:r>
        <w:rPr>
          <w:rtl w:val="true"/>
        </w:rPr>
        <w:t>»</w:t>
      </w:r>
      <w:r>
        <w:rPr>
          <w:rtl w:val="true"/>
        </w:rPr>
        <w:t>،</w:t>
      </w:r>
      <w:bookmarkEnd w:id="234"/>
    </w:p>
    <w:p>
      <w:pPr>
        <w:pStyle w:val="BookText"/>
        <w:rPr/>
      </w:pPr>
      <w:r>
        <w:rPr>
          <w:rFonts w:ascii="IRNazanin" w:hAnsi="IRNazanin" w:eastAsia="IRNazanin"/>
          <w:color w:val="111111"/>
          <w:sz w:val="28"/>
          <w:sz w:val="28"/>
          <w:szCs w:val="28"/>
          <w:rtl w:val="true"/>
          <w:lang w:bidi="fa-IR"/>
        </w:rPr>
        <w:t>فإنّ ظاهر اللفظ اعتبار انفصال الحمل؛إذ لا یصدق الولد إلّا بالولادة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المراد هنا مجازاً ولدها </w:t>
      </w:r>
      <w:r>
        <w:rPr>
          <w:rStyle w:val="FootnoteAnchor"/>
          <w:rtl w:val="true"/>
        </w:rPr>
        <w:footnoteReference w:id="531"/>
      </w:r>
      <w:r>
        <w:rPr>
          <w:rFonts w:ascii="Amiri" w:hAnsi="Amiri" w:eastAsia="Amiri" w:cs="Amiri"/>
          <w:color w:val="111111"/>
          <w:sz w:val="28"/>
          <w:sz w:val="28"/>
          <w:szCs w:val="28"/>
          <w:rtl w:val="true"/>
          <w:lang w:bidi="ar-SA"/>
        </w:rPr>
        <w:t xml:space="preserve">و لو حملاً </w:t>
      </w:r>
      <w:r>
        <w:rPr>
          <w:rStyle w:val="FootnoteAnchor"/>
          <w:rtl w:val="true"/>
        </w:rPr>
        <w:footnoteReference w:id="532"/>
      </w:r>
      <w:r>
        <w:rPr>
          <w:rFonts w:ascii="IRNazanin" w:hAnsi="IRNazanin" w:eastAsia="IRNazanin"/>
          <w:color w:val="111111"/>
          <w:sz w:val="28"/>
          <w:sz w:val="28"/>
          <w:szCs w:val="28"/>
          <w:rtl w:val="true"/>
          <w:lang w:bidi="fa-IR"/>
        </w:rPr>
        <w:t>للمشارفة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یراد الولادة من الوالد دون الوالدة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کان،فلا إشکال،بل لا خلاف فی تحقّق الموضوع بمجرّد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عن محمّد بن مارد،عن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الرجل یتزوّج أمة،فتلد منه </w:t>
      </w:r>
      <w:r>
        <w:rPr>
          <w:rStyle w:val="FootnoteAnchor"/>
          <w:rtl w:val="true"/>
        </w:rPr>
        <w:footnoteReference w:id="533"/>
      </w:r>
      <w:r>
        <w:rPr>
          <w:rFonts w:ascii="IRNazanin" w:hAnsi="IRNazanin" w:eastAsia="IRNazanin"/>
          <w:color w:val="111111"/>
          <w:sz w:val="28"/>
          <w:sz w:val="28"/>
          <w:szCs w:val="28"/>
          <w:rtl w:val="true"/>
          <w:lang w:bidi="fa-IR"/>
        </w:rPr>
        <w:t>أولاداً،ثمّ یشتریها فتمکث عنده ما شاء اللّٰه لم تلد منه شیئاً بعد ما ملکها،ثمّ یبدو له فی بیعها،قال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أمته إن شاء باع ما لم یحدث عنده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ذلک </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شاء أعتق</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السکونی،عن جعفر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w:t>
      </w:r>
    </w:p>
    <w:p>
      <w:pPr>
        <w:pStyle w:val="BookText"/>
        <w:rPr/>
      </w:pPr>
      <w:r>
        <w:rPr>
          <w:rFonts w:ascii="IRNazanin" w:hAnsi="IRNazanin" w:eastAsia="IRNazanin"/>
          <w:color w:val="111111"/>
          <w:sz w:val="28"/>
          <w:sz w:val="28"/>
          <w:szCs w:val="28"/>
          <w:rtl w:val="true"/>
          <w:lang w:bidi="fa-IR"/>
        </w:rPr>
        <w:t xml:space="preserve">الحسین صلوات اللّٰه علیهم أجمعین </w:t>
      </w:r>
      <w:r>
        <w:rPr>
          <w:rStyle w:val="FootnoteAnchor"/>
          <w:rtl w:val="true"/>
        </w:rPr>
        <w:footnoteReference w:id="536"/>
      </w:r>
      <w:r>
        <w:rPr>
          <w:rFonts w:ascii="IRNazanin" w:hAnsi="IRNazanin" w:eastAsia="IRNazanin"/>
          <w:color w:val="111111"/>
          <w:sz w:val="28"/>
          <w:sz w:val="28"/>
          <w:szCs w:val="28"/>
          <w:rtl w:val="true"/>
          <w:lang w:bidi="fa-IR"/>
        </w:rPr>
        <w:t>فی مکاتبة یطؤها مولاها فتحبل،فقال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یردّ علیها مهر مثلها،و تسعی فی رقبتها </w:t>
      </w:r>
      <w:r>
        <w:rPr>
          <w:rStyle w:val="FootnoteAnchor"/>
          <w:rtl w:val="true"/>
        </w:rPr>
        <w:footnoteReference w:id="537"/>
      </w:r>
      <w:r>
        <w:rPr>
          <w:rFonts w:ascii="IRNazanin" w:hAnsi="IRNazanin" w:eastAsia="IRNazanin"/>
          <w:color w:val="111111"/>
          <w:sz w:val="28"/>
          <w:sz w:val="28"/>
          <w:szCs w:val="28"/>
          <w:rtl w:val="true"/>
          <w:lang w:bidi="fa-IR"/>
        </w:rPr>
        <w:t>،فإن عجزت فهی من أُمّهات الأولاد</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 دلالتها علی ثبوت الحکم بمجرّد الحمل نظر؛لأنّ زمان الحکم بعد تحقّق السعی و العجز عقیب الحمل،و الغالب ولوج الروح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الحمل یصدق بالمضغة اتّفاقاً،علی ما صرّح فی الریاض </w:t>
      </w:r>
      <w:r>
        <w:rPr>
          <w:rStyle w:val="FootnoteAnchor"/>
          <w:rtl w:val="true"/>
        </w:rPr>
        <w:footnoteReference w:id="539"/>
      </w:r>
      <w:r>
        <w:rPr>
          <w:rFonts w:ascii="IRNazanin" w:hAnsi="IRNazanin" w:eastAsia="IRNazanin"/>
          <w:color w:val="111111"/>
          <w:sz w:val="28"/>
          <w:sz w:val="28"/>
          <w:szCs w:val="28"/>
          <w:rtl w:val="true"/>
          <w:lang w:bidi="fa-IR"/>
        </w:rPr>
        <w:t xml:space="preserve">، و استظهره بعض آخر </w:t>
      </w:r>
      <w:r>
        <w:rPr>
          <w:rStyle w:val="FootnoteAnchor"/>
          <w:rtl w:val="true"/>
        </w:rPr>
        <w:footnoteReference w:id="540"/>
      </w:r>
      <w:r>
        <w:rPr>
          <w:rFonts w:ascii="IRNazanin" w:hAnsi="IRNazanin" w:eastAsia="IRNazanin"/>
          <w:color w:val="111111"/>
          <w:sz w:val="28"/>
          <w:sz w:val="28"/>
          <w:szCs w:val="28"/>
          <w:rtl w:val="true"/>
          <w:lang w:bidi="fa-IR"/>
        </w:rPr>
        <w:t>و حکاه عن جماعة هنا و فی باب انقضاء عدّة الحامل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ابن الحجّاج،قال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علیه السلام عن الحبلی یطلّقها زوجها ثمّ تضع سقطاً تمّ أو لم یتمّ أو وضعته مضغة، أ تنقضی عدّتها </w:t>
      </w:r>
      <w:r>
        <w:rPr>
          <w:rStyle w:val="FootnoteAnchor"/>
          <w:rtl w:val="true"/>
        </w:rPr>
        <w:footnoteReference w:id="541"/>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وضعته یستبین أنّه حمل تمّ</w:t>
      </w:r>
    </w:p>
    <w:p>
      <w:pPr>
        <w:pStyle w:val="BookText"/>
        <w:rPr/>
      </w:pPr>
      <w:r>
        <w:rPr>
          <w:rFonts w:ascii="IRNazanin" w:hAnsi="IRNazanin" w:eastAsia="IRNazanin"/>
          <w:color w:val="111111"/>
          <w:sz w:val="28"/>
          <w:sz w:val="28"/>
          <w:szCs w:val="28"/>
          <w:rtl w:val="true"/>
          <w:lang w:bidi="fa-IR"/>
        </w:rPr>
        <w:t>أو لم یتمّ فقد انقضت عدّتها و إن کان مضغة</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الظاهر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العلقة،و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مضغة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تقریر لکلام السائل،لا بیان لأقلّ مراتب الحمل کما عن الإسکافی </w:t>
      </w:r>
      <w:r>
        <w:rPr>
          <w:rStyle w:val="FootnoteAnchor"/>
          <w:rtl w:val="true"/>
        </w:rPr>
        <w:footnoteReference w:id="543"/>
      </w:r>
      <w:r>
        <w:rPr>
          <w:rFonts w:ascii="IRNazanin" w:hAnsi="IRNazanin" w:eastAsia="IRNazanin"/>
          <w:color w:val="111111"/>
          <w:sz w:val="28"/>
          <w:sz w:val="28"/>
          <w:szCs w:val="28"/>
          <w:rtl w:val="true"/>
          <w:lang w:bidi="fa-IR"/>
        </w:rPr>
        <w:t xml:space="preserve">و حینئذٍ فیتّجه الحکم بتحقّق الموضوع بالعلقة کما عن بعض </w:t>
      </w:r>
      <w:r>
        <w:rPr>
          <w:rStyle w:val="FootnoteAnchor"/>
          <w:rtl w:val="true"/>
        </w:rPr>
        <w:footnoteReference w:id="544"/>
      </w:r>
      <w:r>
        <w:rPr>
          <w:rFonts w:ascii="IRNazanin" w:hAnsi="IRNazanin" w:eastAsia="IRNazanin"/>
          <w:color w:val="111111"/>
          <w:sz w:val="28"/>
          <w:sz w:val="28"/>
          <w:szCs w:val="28"/>
          <w:rtl w:val="true"/>
          <w:lang w:bidi="fa-IR"/>
        </w:rPr>
        <w:t xml:space="preserve">،بل عن الإیضاح </w:t>
      </w:r>
      <w:r>
        <w:rPr>
          <w:rStyle w:val="FootnoteAnchor"/>
          <w:rtl w:val="true"/>
        </w:rPr>
        <w:footnoteReference w:id="545"/>
      </w:r>
      <w:r>
        <w:rPr>
          <w:rFonts w:ascii="IRNazanin" w:hAnsi="IRNazanin" w:eastAsia="IRNazanin"/>
          <w:color w:val="111111"/>
          <w:sz w:val="28"/>
          <w:sz w:val="28"/>
          <w:szCs w:val="28"/>
          <w:rtl w:val="true"/>
          <w:lang w:bidi="fa-IR"/>
        </w:rPr>
        <w:t xml:space="preserve">و المهذّب البارع </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المبسوط فیما إذا ألقت جسداً لیس فیه تخطیط لا ظاهر و لا خفیّ،لکن قالت القوابل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مبدأ خلق آدمیّ،و إنّه لو بقی لتخلّق </w:t>
      </w:r>
      <w:r>
        <w:rPr>
          <w:rStyle w:val="FootnoteAnchor"/>
          <w:rtl w:val="true"/>
        </w:rPr>
        <w:footnoteReference w:id="547"/>
      </w:r>
      <w:r>
        <w:rPr>
          <w:rFonts w:ascii="IRNazanin" w:hAnsi="IRNazanin" w:eastAsia="IRNazanin"/>
          <w:color w:val="111111"/>
          <w:sz w:val="28"/>
          <w:sz w:val="28"/>
          <w:szCs w:val="28"/>
          <w:rtl w:val="true"/>
          <w:lang w:bidi="fa-IR"/>
        </w:rPr>
        <w:t>و 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لا تصیر أُمّ ولد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تصیر أُمّ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مذهبنا </w:t>
      </w:r>
      <w:r>
        <w:rPr>
          <w:rStyle w:val="FootnoteAnchor"/>
          <w:rtl w:val="true"/>
        </w:rPr>
        <w:footnoteReference w:id="54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عن قوّة؛لصدق الحمل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بمجرّدها لا عبرة بها ما لم تستقرّ فی الرحم؛ لعدم صدق کونها حاملاً،و علی هذا الفرد ینزّل إجماع الفاضل المقداد علی عدم العبرة بها فی العدّة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w:t>
      </w:r>
      <w:r>
        <w:rPr>
          <w:rStyle w:val="FootnoteAnchor"/>
          <w:rtl w:val="true"/>
        </w:rPr>
        <w:footnoteReference w:id="550"/>
      </w:r>
      <w:r>
        <w:rPr>
          <w:rFonts w:ascii="IRNazanin" w:hAnsi="IRNazanin" w:eastAsia="IRNazanin"/>
          <w:color w:val="111111"/>
          <w:sz w:val="28"/>
          <w:sz w:val="28"/>
          <w:szCs w:val="28"/>
          <w:rtl w:val="true"/>
          <w:lang w:bidi="fa-IR"/>
        </w:rPr>
        <w:t>مع استقرارها فی الرحم،فالمحکیّ عن نهایة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تحقّق الاستیلاد بها </w:t>
      </w:r>
      <w:r>
        <w:rPr>
          <w:rStyle w:val="FootnoteAnchor"/>
          <w:rtl w:val="true"/>
        </w:rPr>
        <w:footnoteReference w:id="551"/>
      </w:r>
      <w:r>
        <w:rPr>
          <w:rFonts w:ascii="IRNazanin" w:hAnsi="IRNazanin" w:eastAsia="IRNazanin"/>
          <w:color w:val="111111"/>
          <w:sz w:val="28"/>
          <w:sz w:val="28"/>
          <w:szCs w:val="28"/>
          <w:rtl w:val="true"/>
          <w:lang w:bidi="fa-IR"/>
        </w:rPr>
        <w:t xml:space="preserve">،و هو الذی قوّاه فی المبسوط فی باب العدّة بعد أن نقل عن المخالفین عدم انقضاء العدّة به مستدلاً بعموم الآیة و الأخبار </w:t>
      </w:r>
      <w:r>
        <w:rPr>
          <w:rStyle w:val="FootnoteAnchor"/>
          <w:rtl w:val="true"/>
        </w:rPr>
        <w:footnoteReference w:id="552"/>
      </w:r>
      <w:r>
        <w:rPr>
          <w:rFonts w:ascii="IRNazanin" w:hAnsi="IRNazanin" w:eastAsia="IRNazanin"/>
          <w:color w:val="111111"/>
          <w:sz w:val="28"/>
          <w:sz w:val="28"/>
          <w:szCs w:val="28"/>
          <w:rtl w:val="true"/>
          <w:lang w:bidi="fa-IR"/>
        </w:rPr>
        <w:t>،و مرجعه إلی صدق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مجاز بالمشارفة،یکذّبها التأمّل فی الاستعمالات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یُحکی </w:t>
      </w:r>
      <w:r>
        <w:rPr>
          <w:rStyle w:val="FootnoteAnchor"/>
          <w:rtl w:val="true"/>
        </w:rPr>
        <w:footnoteReference w:id="553"/>
      </w:r>
      <w:r>
        <w:rPr>
          <w:rFonts w:ascii="IRNazanin" w:hAnsi="IRNazanin" w:eastAsia="IRNazanin"/>
          <w:color w:val="111111"/>
          <w:sz w:val="28"/>
          <w:sz w:val="28"/>
          <w:szCs w:val="28"/>
          <w:rtl w:val="true"/>
          <w:lang w:bidi="fa-IR"/>
        </w:rPr>
        <w:t xml:space="preserve">عن التحریر موافقة الشیخ،مع أنّه لم یزد فیه علی حکایة الحکم عن الشیخ </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نعم،فی بعض نسخ التحریر لفظ یوهم ذلک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نعم،قوّی التحریر موافقته فیما تقدّم عن الشیخ فی مسألة الجسد الذی لیس فیه تخطیط </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نُسب القول المذکور إلی الجامع أیضاً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ثمرة تحقّق الموضوع فیما إذا ألقت المملوکة ما فی بطنها، إنّما تظهر فی بیعها الواقع قبل الإلقاء،فیحکم ببطلانه إذا کان الملقی</w:t>
      </w:r>
    </w:p>
    <w:p>
      <w:pPr>
        <w:pStyle w:val="BookText"/>
        <w:rPr/>
      </w:pPr>
      <w:r>
        <w:rPr>
          <w:rFonts w:ascii="IRNazanin" w:hAnsi="IRNazanin" w:eastAsia="IRNazanin"/>
          <w:color w:val="111111"/>
          <w:sz w:val="28"/>
          <w:sz w:val="28"/>
          <w:szCs w:val="28"/>
          <w:rtl w:val="true"/>
          <w:lang w:bidi="fa-IR"/>
        </w:rPr>
        <w:t>حملاً،و أمّا بیعها بعد الإلقاء فیصحّ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فلو وطأها المولی ثمّ جاءت بولدٍ تامٍّ أو غیر تامّ،فیحکم ببطلان البیع الواقع بین أوّل زمان العلوق و زمان الإلقاء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علی ذلک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فذِکر صور الإلقاء المضغة،و العلقة،و النطفة فی باب العدّة إنّما هو لبیان انقضاء العدّة بالإلقاء،و فی باب الاستیلاد لبیان کشفها عن أنّ المملوکة بعد الوطء صارت أُمّ ولد،لا أنّ البیع الواقع قبل تحقّق العلقة صحیح إلی </w:t>
      </w:r>
      <w:r>
        <w:rPr>
          <w:rStyle w:val="FootnoteAnchor"/>
          <w:rtl w:val="true"/>
        </w:rPr>
        <w:footnoteReference w:id="559"/>
      </w:r>
      <w:r>
        <w:rPr>
          <w:rFonts w:ascii="IRNazanin" w:hAnsi="IRNazanin" w:eastAsia="IRNazanin"/>
          <w:color w:val="111111"/>
          <w:sz w:val="28"/>
          <w:sz w:val="28"/>
          <w:szCs w:val="28"/>
          <w:rtl w:val="true"/>
          <w:lang w:bidi="fa-IR"/>
        </w:rPr>
        <w:t xml:space="preserve">أن تصیر النطفة علقة،و لذا عبّر الأصحاب عن سبب الاستیلاد بالعلوق الذی هو اللقاح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نعم،لو فرض عدم علوقها بعد الوطء إلی زمانٍ،صحّ البیع قبل العلوق</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المصرَّح به فی کلام بعضٍ </w:t>
      </w:r>
      <w:r>
        <w:rPr>
          <w:rStyle w:val="FootnoteAnchor"/>
          <w:rtl w:val="true"/>
        </w:rPr>
        <w:footnoteReference w:id="561"/>
      </w:r>
      <w:r>
        <w:rPr>
          <w:rFonts w:ascii="IRNazanin" w:hAnsi="IRNazanin" w:eastAsia="IRNazanin"/>
          <w:color w:val="111111"/>
          <w:sz w:val="28"/>
          <w:sz w:val="28"/>
          <w:szCs w:val="28"/>
          <w:rtl w:val="true"/>
          <w:lang w:bidi="fa-IR"/>
        </w:rPr>
        <w:t xml:space="preserve">حاکیاً له عن غیره </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یعتبر فی العلوق أن یکون بالوطء،فیتحقّق بالمساحقة؛لأنّ المناط هو الحمل،و کون ما یولد منها ولداً للمولی شرعاً،فلا عبرة بعد ذلک</w:t>
      </w:r>
    </w:p>
    <w:p>
      <w:pPr>
        <w:pStyle w:val="BookText"/>
        <w:rPr/>
      </w:pPr>
      <w:r>
        <w:rPr>
          <w:rFonts w:ascii="IRNazanin" w:hAnsi="IRNazanin" w:eastAsia="IRNazanin"/>
          <w:color w:val="111111"/>
          <w:sz w:val="28"/>
          <w:sz w:val="28"/>
          <w:szCs w:val="28"/>
          <w:rtl w:val="true"/>
          <w:lang w:bidi="fa-IR"/>
        </w:rPr>
        <w:t>بانصراف الإطلاقات إلی الغالب من کون الحمل بالوطء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نعم،یشترط فی العلوق بالوطء أن یکون الوطء علی وجهٍ یلحق الولد بالواطئ و إن کان محرّماً،کما إذا کانت فی حیضٍ،أو ممنوعة الوطء شرعاً لعارض آخر،أمّا الأمة المزوّجة فوطؤها زنا لا یوجب لحوق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المشهور اعتبار الحمل فی زمان الملک،فلو ملکها بعد الحمل لم تصر أُمّ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خلافاً للمحکیّ عن الشیخ </w:t>
      </w:r>
      <w:r>
        <w:rPr>
          <w:rStyle w:val="FootnoteAnchor"/>
          <w:rtl w:val="true"/>
        </w:rPr>
        <w:footnoteReference w:id="563"/>
      </w:r>
      <w:r>
        <w:rPr>
          <w:rFonts w:ascii="Amiri" w:hAnsi="Amiri" w:eastAsia="Amiri" w:cs="Amiri"/>
          <w:color w:val="111111"/>
          <w:sz w:val="28"/>
          <w:sz w:val="28"/>
          <w:szCs w:val="28"/>
          <w:rtl w:val="true"/>
          <w:lang w:bidi="ar-SA"/>
        </w:rPr>
        <w:t xml:space="preserve">و ابن حمزة </w:t>
      </w:r>
      <w:r>
        <w:rPr>
          <w:rStyle w:val="FootnoteAnchor"/>
          <w:rtl w:val="true"/>
        </w:rPr>
        <w:footnoteReference w:id="564"/>
      </w:r>
      <w:r>
        <w:rPr>
          <w:rFonts w:ascii="IRNazanin" w:hAnsi="IRNazanin" w:eastAsia="IRNazanin"/>
          <w:color w:val="111111"/>
          <w:sz w:val="28"/>
          <w:sz w:val="28"/>
          <w:szCs w:val="28"/>
          <w:rtl w:val="true"/>
          <w:lang w:bidi="fa-IR"/>
        </w:rPr>
        <w:t>فاکتفیا بکونها أُمّ ولد قبل الملک،و لعلّه لإطلاق العنوان،و وجود العلّة، و هی کونها فی معرض الانعتاق من نصیب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إطلاقٍ یقتضی ذلک؛فإنّ المتبادر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من أصناف الجواری باعتبار الحالات العارضة لها بوصف المملوکیّة،کالمدبَّر و المکاتب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العلّة المذکورة غیر مطّردة و لا منعکسة کما لا یخفی،مضافاً إلی صریح روایة محمّد بن مارد المتقدّمة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المنع عن بیع أُمّ الولد قاعدة کلّیة مستفادة من الأخبار کروایتی السکونی و محمد بن مارد المتقدّمتین </w:t>
      </w:r>
      <w:r>
        <w:rPr>
          <w:rStyle w:val="FootnoteAnchor"/>
          <w:rtl w:val="true"/>
        </w:rPr>
        <w:footnoteReference w:id="566"/>
      </w:r>
      <w:r>
        <w:rPr>
          <w:rFonts w:ascii="IRNazanin" w:hAnsi="IRNazanin" w:eastAsia="IRNazanin"/>
          <w:color w:val="111111"/>
          <w:sz w:val="28"/>
          <w:sz w:val="28"/>
          <w:szCs w:val="28"/>
          <w:rtl w:val="true"/>
          <w:lang w:bidi="fa-IR"/>
        </w:rPr>
        <w:t xml:space="preserve">،و صحیحة عمر بن یزید الآتیة </w:t>
      </w:r>
      <w:r>
        <w:rPr>
          <w:rStyle w:val="FootnoteAnchor"/>
          <w:rtl w:val="true"/>
        </w:rPr>
        <w:footnoteReference w:id="567"/>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الإجماع علی أنّها لا تباع إلّا لأمرٍ یغلب</w:t>
      </w:r>
    </w:p>
    <w:p>
      <w:pPr>
        <w:pStyle w:val="BookText"/>
        <w:rPr/>
      </w:pPr>
      <w:r>
        <w:rPr>
          <w:rFonts w:ascii="IRNazanin" w:hAnsi="IRNazanin" w:eastAsia="IRNazanin"/>
          <w:color w:val="111111"/>
          <w:sz w:val="28"/>
          <w:sz w:val="28"/>
          <w:szCs w:val="28"/>
          <w:rtl w:val="true"/>
          <w:lang w:bidi="fa-IR"/>
        </w:rPr>
        <w:t xml:space="preserve">ملاحظته علی ملاحظة الحقّ الحاصل منها </w:t>
      </w:r>
      <w:r>
        <w:rPr>
          <w:rStyle w:val="FootnoteAnchor"/>
          <w:rtl w:val="true"/>
        </w:rPr>
        <w:footnoteReference w:id="568"/>
      </w:r>
      <w:r>
        <w:rPr>
          <w:rFonts w:ascii="IRNazanin" w:hAnsi="IRNazanin" w:eastAsia="IRNazanin"/>
          <w:color w:val="111111"/>
          <w:sz w:val="28"/>
          <w:sz w:val="28"/>
          <w:szCs w:val="28"/>
          <w:rtl w:val="true"/>
          <w:lang w:bidi="fa-IR"/>
        </w:rPr>
        <w:t xml:space="preserve">بالاستیلاد </w:t>
      </w:r>
      <w:r>
        <w:rPr>
          <w:rStyle w:val="FootnoteAnchor"/>
          <w:rtl w:val="true"/>
        </w:rPr>
        <w:footnoteReference w:id="569"/>
      </w:r>
      <w:r>
        <w:rPr>
          <w:rFonts w:ascii="Amiri" w:hAnsi="Amiri" w:eastAsia="Amiri" w:cs="Amiri"/>
          <w:color w:val="111111"/>
          <w:sz w:val="28"/>
          <w:sz w:val="28"/>
          <w:szCs w:val="28"/>
          <w:rtl w:val="true"/>
          <w:lang w:bidi="ar-SA"/>
        </w:rPr>
        <w:t xml:space="preserve">أعنی تشبّثها بالحرّیة و لذا کلّ من جوّز البیع فی مقامٍ،لم یجوّز إلّا بعد إقامة الدلیل الخاصّ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بدّ من التمسّک بهذه القاعدة المنصوصة المجمع علیها حتّی یثبت بالدلیل ثبوت </w:t>
      </w:r>
      <w:r>
        <w:rPr>
          <w:rStyle w:val="FootnoteAnchor"/>
          <w:rtl w:val="true"/>
        </w:rPr>
        <w:footnoteReference w:id="571"/>
      </w:r>
      <w:r>
        <w:rPr>
          <w:rFonts w:ascii="IRNazanin" w:hAnsi="IRNazanin" w:eastAsia="IRNazanin"/>
          <w:color w:val="111111"/>
          <w:sz w:val="28"/>
          <w:sz w:val="28"/>
          <w:szCs w:val="28"/>
          <w:rtl w:val="true"/>
          <w:lang w:bidi="fa-IR"/>
        </w:rPr>
        <w:t>ما هو أولی بالملاحظة فی نظر الشارع من الحقّ المذکور،فلا یُصغی إذاً إلی منع الدلیل علی المنع کلّیةً و التمسّک بأصالة صحّة البیع من حیث قاعدة تسلّط الناس علی أموالهم حتّی یثبت المخرج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المعروف بین العلماء ثبوت الاستثناء عن الکلّیة المذکورة فی الجملة،لکن المحکی فی السرائر عن السیّد قدّس سرّه عموم المنع و عدم الاستثناء </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ثابت،و علی تقدیر الثبوت فهو ضعیف،یرده مضافاً إلی ما ستعرف من الأخبار قولُهُ علیه السلام فی صحیحة زرارة و قد سأله عن أُمّ الولد،قال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تباع و تورث،و حدّها حدّ الأمة</w:t>
      </w:r>
      <w:r>
        <w:rPr>
          <w:rFonts w:eastAsia="IRNazanin" w:cs="IRNazanin"/>
          <w:color w:val="111111"/>
          <w:sz w:val="28"/>
          <w:szCs w:val="28"/>
          <w:rtl w:val="true"/>
          <w:lang w:bidi="fa-IR"/>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حملها علی أنّها قد یعرض لها ما یجوّز ذلک</w:t>
      </w:r>
      <w:r>
        <w:rPr>
          <w:rFonts w:eastAsia="IRNazanin" w:cs="IRNazanin"/>
          <w:color w:val="111111"/>
          <w:sz w:val="28"/>
          <w:szCs w:val="28"/>
          <w:rtl w:val="true"/>
          <w:lang w:bidi="fa-IR"/>
        </w:rPr>
        <w:t>.</w:t>
      </w:r>
      <w:bookmarkStart w:id="235" w:name="pg19861_202400"/>
    </w:p>
    <w:p>
      <w:pPr>
        <w:pStyle w:val="BookText"/>
        <w:rPr/>
      </w:pPr>
      <w:bookmarkEnd w:id="2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مستثنیات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بیع أُمّ الولد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6" w:name="__RefHeading___Toc5119021_2314609296"/>
      <w:bookmarkStart w:id="237" w:name="_Toc95"/>
      <w:bookmarkEnd w:id="236"/>
      <w:r>
        <w:rPr>
          <w:rtl w:val="true"/>
        </w:rPr>
        <w:t>و أمّا المواضع القابلة للاستثناء</w:t>
      </w:r>
      <w:bookmarkEnd w:id="237"/>
    </w:p>
    <w:p>
      <w:pPr>
        <w:pStyle w:val="BookText"/>
        <w:rPr/>
      </w:pPr>
      <w:r>
        <w:rPr>
          <w:rFonts w:ascii="IRNazanin" w:hAnsi="IRNazanin" w:eastAsia="IRNazanin"/>
          <w:color w:val="111111"/>
          <w:sz w:val="28"/>
          <w:sz w:val="28"/>
          <w:szCs w:val="28"/>
          <w:rtl w:val="true"/>
          <w:lang w:bidi="fa-IR"/>
        </w:rPr>
        <w:t xml:space="preserve">و إن </w:t>
      </w:r>
      <w:r>
        <w:rPr>
          <w:rStyle w:val="FootnoteAnchor"/>
          <w:rtl w:val="true"/>
        </w:rPr>
        <w:footnoteReference w:id="575"/>
      </w:r>
      <w:r>
        <w:rPr>
          <w:rFonts w:ascii="IRNazanin" w:hAnsi="IRNazanin" w:eastAsia="IRNazanin"/>
          <w:color w:val="111111"/>
          <w:sz w:val="28"/>
          <w:sz w:val="28"/>
          <w:szCs w:val="28"/>
          <w:rtl w:val="true"/>
          <w:lang w:bidi="fa-IR"/>
        </w:rPr>
        <w:t>وقع التکلّم فی استثنائها لأجل وجود ما یصلح أن یکون أولی بالملاحظة من الحقّ فهی صور، یجمعها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تعلّق حقٍّ للغیر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تعلّق حقّها بتعجیل العتق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تعلّق حقٍّ سابقٍ علی الاستیلاد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عدم تحقّق الحکمة المانعة عن النقل</w:t>
      </w:r>
      <w:r>
        <w:rPr>
          <w:rFonts w:eastAsia="IRNazanin" w:cs="IRNazanin"/>
          <w:color w:val="111111"/>
          <w:sz w:val="28"/>
          <w:szCs w:val="28"/>
          <w:rtl w:val="true"/>
          <w:lang w:bidi="fa-IR"/>
        </w:rPr>
        <w:t>.</w:t>
      </w:r>
    </w:p>
    <w:p>
      <w:pPr>
        <w:pStyle w:val="Heading6"/>
        <w:numPr>
          <w:ilvl w:val="5"/>
          <w:numId w:val="1"/>
        </w:numPr>
        <w:rPr/>
      </w:pPr>
      <w:bookmarkStart w:id="238" w:name="__RefHeading___Toc5119023_2314609296"/>
      <w:bookmarkStart w:id="239" w:name="_Toc96"/>
      <w:bookmarkEnd w:id="238"/>
      <w:r>
        <w:rPr>
          <w:rtl w:val="true"/>
        </w:rPr>
        <w:t>[</w:t>
      </w:r>
      <w:r>
        <w:rPr>
          <w:rtl w:val="true"/>
        </w:rPr>
        <w:t>موارد القسم الأول أی تعلق حق للغیر بها</w:t>
      </w:r>
      <w:r>
        <w:rPr>
          <w:rtl w:val="true"/>
        </w:rPr>
        <w:t>]</w:t>
      </w:r>
      <w:bookmarkEnd w:id="239"/>
    </w:p>
    <w:p>
      <w:pPr>
        <w:pStyle w:val="Heading6"/>
        <w:numPr>
          <w:ilvl w:val="5"/>
          <w:numId w:val="1"/>
        </w:numPr>
        <w:rPr/>
      </w:pPr>
      <w:bookmarkStart w:id="240" w:name="__RefHeading___Toc5119025_2314609296"/>
      <w:bookmarkStart w:id="241" w:name="_Toc97"/>
      <w:bookmarkEnd w:id="240"/>
      <w:r>
        <w:rPr>
          <w:rtl w:val="true"/>
        </w:rPr>
        <w:t>فمن موارد القسم الأوّل</w:t>
      </w:r>
      <w:r>
        <w:rPr>
          <w:rtl w:val="true"/>
        </w:rPr>
        <w:t xml:space="preserve">: </w:t>
      </w:r>
      <w:r>
        <w:rPr>
          <w:rtl w:val="true"/>
        </w:rPr>
        <w:t>ما إذا کان علی مولاها دَیْنٌ و لم یکن له ما یؤدّی هذا الدین</w:t>
      </w:r>
      <w:r>
        <w:rPr>
          <w:rtl w:val="true"/>
        </w:rPr>
        <w:t>.</w:t>
      </w:r>
      <w:bookmarkEnd w:id="241"/>
    </w:p>
    <w:p>
      <w:pPr>
        <w:pStyle w:val="BookText"/>
        <w:rPr/>
      </w:pPr>
      <w:r>
        <w:rPr>
          <w:rFonts w:ascii="IRNazanin" w:hAnsi="IRNazanin" w:eastAsia="IRNazanin"/>
          <w:color w:val="111111"/>
          <w:sz w:val="28"/>
          <w:sz w:val="28"/>
          <w:szCs w:val="28"/>
          <w:rtl w:val="true"/>
          <w:lang w:bidi="fa-IR"/>
        </w:rPr>
        <w:t>و الکلام فی هذا المورد قد یقع فیما إذا کان الدین ثمن رقبتها،و قد یقع فیما إذا کان غیر 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الأوّل،یقع الکلام تارة بعد موت المولی،و أُخری فی حال حیاته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الموت،فالمشهور الجواز،بل عن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موضع</w:t>
      </w:r>
    </w:p>
    <w:p>
      <w:pPr>
        <w:pStyle w:val="BookText"/>
        <w:rPr/>
      </w:pPr>
      <w:r>
        <w:rPr>
          <w:rFonts w:ascii="IRNazanin" w:hAnsi="IRNazanin" w:eastAsia="IRNazanin"/>
          <w:color w:val="111111"/>
          <w:sz w:val="28"/>
          <w:sz w:val="28"/>
          <w:szCs w:val="28"/>
          <w:rtl w:val="true"/>
          <w:lang w:bidi="fa-IR"/>
        </w:rPr>
        <w:t xml:space="preserve">وفاق </w:t>
      </w:r>
      <w:r>
        <w:rPr>
          <w:rStyle w:val="FootnoteAnchor"/>
          <w:rtl w:val="true"/>
        </w:rPr>
        <w:footnoteReference w:id="577"/>
      </w:r>
      <w:r>
        <w:rPr>
          <w:rFonts w:ascii="IRNazanin" w:hAnsi="IRNazanin" w:eastAsia="IRNazanin"/>
          <w:color w:val="111111"/>
          <w:sz w:val="28"/>
          <w:sz w:val="28"/>
          <w:szCs w:val="28"/>
          <w:rtl w:val="true"/>
          <w:lang w:bidi="fa-IR"/>
        </w:rPr>
        <w:t>،و عن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خلاف فیه </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ینافی ذلک مخالفة السیّد فی أصل المسألة </w:t>
      </w:r>
      <w:r>
        <w:rPr>
          <w:rStyle w:val="FootnoteAnchor"/>
          <w:rtl w:val="true"/>
        </w:rPr>
        <w:footnoteReference w:id="579"/>
      </w:r>
      <w:r>
        <w:rPr>
          <w:rFonts w:ascii="IRNazanin" w:hAnsi="IRNazanin" w:eastAsia="IRNazanin"/>
          <w:color w:val="111111"/>
          <w:sz w:val="28"/>
          <w:sz w:val="28"/>
          <w:szCs w:val="28"/>
          <w:rtl w:val="true"/>
          <w:lang w:bidi="fa-IR"/>
        </w:rPr>
        <w:t>لأنّهم یریدون نفی الخلاف بین القائلین بالاستثناء فی بیع أُمّ الولد،أو القائلین باستثناء بیعها فی ثمن رقبتها،فی مقابل صورة حیاة المولی المختلف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کان،فلا إشکال فی الجواز فی هذه الصورة،لا لما قیل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قاعدة تسلّط الناس علی أموالهم؛لما عرفت من انقلاب القاعدة إلی المنع فی خصوص هذا المال </w:t>
      </w:r>
      <w:r>
        <w:rPr>
          <w:rStyle w:val="FootnoteAnchor"/>
          <w:rtl w:val="true"/>
        </w:rPr>
        <w:footnoteReference w:id="581"/>
      </w:r>
      <w:r>
        <w:rPr>
          <w:rFonts w:ascii="IRNazanin" w:hAnsi="IRNazanin" w:eastAsia="IRNazanin"/>
          <w:color w:val="111111"/>
          <w:sz w:val="28"/>
          <w:sz w:val="28"/>
          <w:szCs w:val="28"/>
          <w:rtl w:val="true"/>
          <w:lang w:bidi="fa-IR"/>
        </w:rPr>
        <w:t>،بل لما رواه المشایخ الثلاثة فی الصحیح عن عمر بن یزید،قال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إبراهیم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عن مسألة،فقال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باع أمیر المؤمنین صلوات اللّٰه و سلامه علیه أُمّهات الأولاد؟قال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فکاک رقابهنّ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اشتری جاریةً فأولدها و لم یؤدّ ثمنها،و لم یدع من المال ما یؤدّی عنه أُخذ منها ولدها و بیعت،و أُدّی ثمنها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فیُبعن </w:t>
      </w:r>
      <w:r>
        <w:rPr>
          <w:rStyle w:val="FootnoteAnchor"/>
          <w:rtl w:val="true"/>
        </w:rPr>
        <w:footnoteReference w:id="582"/>
      </w:r>
      <w:r>
        <w:rPr>
          <w:rFonts w:ascii="IRNazanin" w:hAnsi="IRNazanin" w:eastAsia="IRNazanin"/>
          <w:color w:val="111111"/>
          <w:sz w:val="28"/>
          <w:sz w:val="28"/>
          <w:szCs w:val="28"/>
          <w:rtl w:val="true"/>
          <w:lang w:bidi="fa-IR"/>
        </w:rPr>
        <w:t>فیما سوی ذلک من</w:t>
      </w:r>
    </w:p>
    <w:p>
      <w:pPr>
        <w:pStyle w:val="BookText"/>
        <w:rPr/>
      </w:pPr>
      <w:r>
        <w:rPr>
          <w:rFonts w:ascii="IRNazanin" w:hAnsi="IRNazanin" w:eastAsia="IRNazanin"/>
          <w:color w:val="111111"/>
          <w:sz w:val="28"/>
          <w:sz w:val="28"/>
          <w:szCs w:val="28"/>
          <w:rtl w:val="true"/>
          <w:lang w:bidi="fa-IR"/>
        </w:rPr>
        <w:t>دین؟قال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أُخری لعمر بن یزید عن أبی الحسن علیه السلام،قال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w:t>
      </w:r>
      <w:r>
        <w:rPr>
          <w:rStyle w:val="FootnoteAnchor"/>
          <w:rtl w:val="true"/>
        </w:rPr>
        <w:footnoteReference w:id="584"/>
      </w:r>
      <w:r>
        <w:rPr>
          <w:rFonts w:ascii="IRNazanin" w:hAnsi="IRNazanin" w:eastAsia="IRNazanin"/>
          <w:color w:val="111111"/>
          <w:sz w:val="28"/>
          <w:sz w:val="28"/>
          <w:szCs w:val="28"/>
          <w:rtl w:val="true"/>
          <w:lang w:bidi="fa-IR"/>
        </w:rPr>
        <w:t>عن أُمّ الولد،تباع فی الدین؟قال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نعم،فی ثمن رقبتها</w:t>
      </w:r>
      <w:r>
        <w:rPr>
          <w:rFonts w:eastAsia="IRNazanin" w:cs="IRNazanin"/>
          <w:color w:val="111111"/>
          <w:sz w:val="28"/>
          <w:szCs w:val="28"/>
          <w:rtl w:val="true"/>
          <w:lang w:bidi="fa-IR"/>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مقتضی إطلاقها،بل إطلاق الصحیحة کما قیل </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الجواز مع حیاة المولی کما هو مذهب الأکثر،بل لم یعرف الخلاف فیه صریحاً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نعم،تردّد فیه الفاضلان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نهایة المرام و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المنع نادر،لکنّه لا یخلو عن قوّة </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یتوهّم القوّة من حیث توهّم تقییدها بالصحیحة السابقة؛ بناءً علی اختصاص الجواز فیها بصورة موت المولی،کما یشهد به قوله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یدع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 علی نفی الجواز عمّا سوی هذا الفرد؛إمّا لورودها فی جواب السؤال عن موارد بیع أُمّهات الأولاد، فیدلّ علی 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لأنّ نفی الجواز فی ذیلها فیما سوی هذه الصورة</w:t>
      </w:r>
    </w:p>
    <w:p>
      <w:pPr>
        <w:pStyle w:val="BookText"/>
        <w:rPr/>
      </w:pPr>
      <w:r>
        <w:rPr>
          <w:rFonts w:ascii="IRNazanin" w:hAnsi="IRNazanin" w:eastAsia="IRNazanin"/>
          <w:color w:val="111111"/>
          <w:sz w:val="28"/>
          <w:sz w:val="28"/>
          <w:szCs w:val="28"/>
          <w:rtl w:val="true"/>
          <w:lang w:bidi="fa-IR"/>
        </w:rPr>
        <w:t xml:space="preserve">یشمل بیعه </w:t>
      </w:r>
      <w:r>
        <w:rPr>
          <w:rStyle w:val="FootnoteAnchor"/>
          <w:rtl w:val="true"/>
        </w:rPr>
        <w:footnoteReference w:id="589"/>
      </w:r>
      <w:r>
        <w:rPr>
          <w:rFonts w:ascii="IRNazanin" w:hAnsi="IRNazanin" w:eastAsia="IRNazanin"/>
          <w:color w:val="111111"/>
          <w:sz w:val="28"/>
          <w:sz w:val="28"/>
          <w:szCs w:val="28"/>
          <w:rtl w:val="true"/>
          <w:lang w:bidi="fa-IR"/>
        </w:rPr>
        <w:t>فی الدین مع حیاة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اندفاع التوهّم بکلا وجهیه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أن یقال فی وجه القوّة بعد الغضّ عن دعوی ظهور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تباع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 البائع غیر المولی فی ما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النسبة بینها و بین روایة ابن مارد المتقدّمة </w:t>
      </w:r>
      <w:r>
        <w:rPr>
          <w:rStyle w:val="FootnoteAnchor"/>
          <w:rtl w:val="true"/>
        </w:rPr>
        <w:footnoteReference w:id="590"/>
      </w:r>
      <w:r>
        <w:rPr>
          <w:rFonts w:ascii="IRNazanin" w:hAnsi="IRNazanin" w:eastAsia="IRNazanin"/>
          <w:color w:val="111111"/>
          <w:sz w:val="28"/>
          <w:sz w:val="28"/>
          <w:szCs w:val="28"/>
          <w:rtl w:val="true"/>
          <w:lang w:bidi="fa-IR"/>
        </w:rPr>
        <w:t xml:space="preserve">عمومٌ من وجه،فیرجع إلی أصالة المنع الثابتة بما تقدّم </w:t>
      </w:r>
      <w:r>
        <w:rPr>
          <w:rStyle w:val="FootnoteAnchor"/>
          <w:rtl w:val="true"/>
        </w:rPr>
        <w:footnoteReference w:id="591"/>
      </w:r>
      <w:r>
        <w:rPr>
          <w:rFonts w:ascii="IRNazanin" w:hAnsi="IRNazanin" w:eastAsia="IRNazanin"/>
          <w:color w:val="111111"/>
          <w:sz w:val="28"/>
          <w:sz w:val="28"/>
          <w:szCs w:val="28"/>
          <w:rtl w:val="true"/>
          <w:lang w:bidi="fa-IR"/>
        </w:rPr>
        <w:t>من القاعدة المنصوصة المجمع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نعم،ربما یمنع عموم القاعدة علی هذا الوجه بحیث یحتاج إلی المخصّص،فیقال بمنع الإجماع فی محلّ الخلاف،سیّما مع کون المخالف جُلّ المجمعین،بل کلّهم إلّا نادراً </w:t>
      </w:r>
      <w:r>
        <w:rPr>
          <w:rStyle w:val="FootnoteAnchor"/>
          <w:rtl w:val="true"/>
        </w:rPr>
        <w:footnoteReference w:id="592"/>
      </w:r>
      <w:r>
        <w:rPr>
          <w:rFonts w:ascii="IRNazanin" w:hAnsi="IRNazanin" w:eastAsia="IRNazanin"/>
          <w:color w:val="111111"/>
          <w:sz w:val="28"/>
          <w:sz w:val="28"/>
          <w:szCs w:val="28"/>
          <w:rtl w:val="true"/>
          <w:lang w:bidi="fa-IR"/>
        </w:rPr>
        <w:t>،و حینئذٍ فالمرجع إلی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سلطنة الناس علی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التحقیق خلافه،و إن صدر هو عن بعض المحقّقین </w:t>
      </w:r>
      <w:r>
        <w:rPr>
          <w:rStyle w:val="FootnoteAnchor"/>
          <w:rtl w:val="true"/>
        </w:rPr>
        <w:footnoteReference w:id="593"/>
      </w:r>
      <w:r>
        <w:rPr>
          <w:rFonts w:ascii="IRNazanin" w:hAnsi="IRNazanin" w:eastAsia="IRNazanin"/>
          <w:color w:val="111111"/>
          <w:sz w:val="28"/>
          <w:sz w:val="28"/>
          <w:szCs w:val="28"/>
          <w:rtl w:val="true"/>
          <w:lang w:bidi="fa-IR"/>
        </w:rPr>
        <w:t>لأنّ المستفاد من النصوص و الفتاوی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استیلاد الأمة یُحدث لها حقّا مانعاً عن نقلها،إلّا إذا کان هناک حقٌّ أولی منه بالمراعاة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تُوهِّم معارضة هذه القاعدة وجوبَ </w:t>
      </w:r>
      <w:r>
        <w:rPr>
          <w:rStyle w:val="FootnoteAnchor"/>
          <w:rtl w:val="true"/>
        </w:rPr>
        <w:footnoteReference w:id="594"/>
      </w:r>
      <w:r>
        <w:rPr>
          <w:rFonts w:ascii="IRNazanin" w:hAnsi="IRNazanin" w:eastAsia="IRNazanin"/>
          <w:color w:val="111111"/>
          <w:sz w:val="28"/>
          <w:sz w:val="28"/>
          <w:szCs w:val="28"/>
          <w:rtl w:val="true"/>
          <w:lang w:bidi="fa-IR"/>
        </w:rPr>
        <w:t>أداء الدین،فیبقی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أصالة بقاء جواز بیعها فی ثمن رقبتها قبل الاستیلاد، و لا یعارضها أصالة بقاء المنع حال الاستیلاد قبل العجز عن ثمنها؛لأنّ</w:t>
      </w:r>
    </w:p>
    <w:p>
      <w:pPr>
        <w:pStyle w:val="BookText"/>
        <w:rPr/>
      </w:pPr>
      <w:r>
        <w:rPr>
          <w:rFonts w:ascii="IRNazanin" w:hAnsi="IRNazanin" w:eastAsia="IRNazanin"/>
          <w:color w:val="111111"/>
          <w:sz w:val="28"/>
          <w:sz w:val="28"/>
          <w:szCs w:val="28"/>
          <w:rtl w:val="true"/>
          <w:lang w:bidi="fa-IR"/>
        </w:rPr>
        <w:t>بیعها قبل العجز لیس بیعاً فی الدین،کما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یندفع أصل المعارضة بأنّ أدلّة وجوب أداء الدین مقیّدة </w:t>
      </w:r>
      <w:r>
        <w:rPr>
          <w:rStyle w:val="FootnoteAnchor"/>
          <w:rtl w:val="true"/>
        </w:rPr>
        <w:footnoteReference w:id="595"/>
      </w:r>
      <w:r>
        <w:rPr>
          <w:rFonts w:ascii="IRNazanin" w:hAnsi="IRNazanin" w:eastAsia="IRNazanin"/>
          <w:color w:val="111111"/>
          <w:sz w:val="28"/>
          <w:sz w:val="28"/>
          <w:szCs w:val="28"/>
          <w:rtl w:val="true"/>
          <w:lang w:bidi="fa-IR"/>
        </w:rPr>
        <w:t>بالقدرة العقلیّة و الشرعیّة،و قاعدة المنع تنفی القدرة الشرعیّة،کما فی المرهون و الموقوف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فی الانتصار لمذهب المشهور أن یقال برجحان إطلاق روایة عمر بن یزید علی إطلاق روایة ابن مارد الظاهر فی عدم کون بیعها فی ثمن رقبتها،کما یشهد به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فتمکث عنده ما شاء اللّٰه لم تلد منه شیئاً بعد ما ملکها،ثمّ یبدو له فی بیعها</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،مع أنّ ظاهر البداء فی البیع ینافی الاضطرار إلیه لأجل 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بالجملة،فبعد منع ظهور سیاق الروایة فیما بعد الموت،لا إشکال فی رجحان دلالتها علی دلالة روایة ابن مارد علی المنع،کما یظهر بالتأمّل؛مضافاً إلی اعتضادها بالشهرة المحقّقة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المسألة محلّ إشکال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علی المشهور من الجواز،فهل یعتبر فیه عدم ما یفی بالدین </w:t>
      </w:r>
      <w:r>
        <w:rPr>
          <w:rStyle w:val="FootnoteAnchor"/>
          <w:rtl w:val="true"/>
        </w:rPr>
        <w:footnoteReference w:id="597"/>
      </w:r>
      <w:r>
        <w:rPr>
          <w:rFonts w:ascii="IRNazanin" w:hAnsi="IRNazanin" w:eastAsia="IRNazanin"/>
          <w:color w:val="111111"/>
          <w:sz w:val="28"/>
          <w:sz w:val="28"/>
          <w:szCs w:val="28"/>
          <w:rtl w:val="true"/>
          <w:lang w:bidi="fa-IR"/>
        </w:rPr>
        <w:t xml:space="preserve">و لو من المستثنیات کما هو ظاهر إطلاق کثیر،أو ممّا عداها کما عن جماعة </w:t>
      </w:r>
      <w:r>
        <w:rPr>
          <w:rStyle w:val="FootnoteAnchor"/>
          <w:rtl w:val="true"/>
        </w:rPr>
        <w:footnoteReference w:id="598"/>
      </w:r>
      <w:r>
        <w:rPr>
          <w:rFonts w:ascii="IRNazanin" w:hAnsi="IRNazanin" w:eastAsia="IRNazanin"/>
          <w:color w:val="111111"/>
          <w:sz w:val="28"/>
          <w:sz w:val="28"/>
          <w:szCs w:val="28"/>
          <w:rtl w:val="true"/>
          <w:lang w:bidi="fa-IR"/>
        </w:rPr>
        <w:t>؟ الأقوی هو الثانی،بل لا یبعد أن یکون ذلک مراد من أطلق؛</w:t>
      </w:r>
    </w:p>
    <w:p>
      <w:pPr>
        <w:pStyle w:val="BookText"/>
        <w:rPr/>
      </w:pPr>
      <w:r>
        <w:rPr>
          <w:rFonts w:ascii="IRNazanin" w:hAnsi="IRNazanin" w:eastAsia="IRNazanin"/>
          <w:color w:val="111111"/>
          <w:sz w:val="28"/>
          <w:sz w:val="28"/>
          <w:szCs w:val="28"/>
          <w:rtl w:val="true"/>
          <w:lang w:bidi="fa-IR"/>
        </w:rPr>
        <w:t>لأنّ الحکم بالجواز فی هذه الصورة فی النصّ و الفتوی مسوقٌ لبیان ارتفاع المانع عن بیعها من جهة الاستیلاد،فتکون ملکاً طِلْقاً کسائر الأملاک التی یُؤخذ المالک ببیعها من دون بیع المستثنیات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السؤال فی روایة عمر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هل تباع أُمّ الولد فی الدین علی حدّ سائر الأموال التی تباع فیه؟ و حاصل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ذلک فی خصوص ثمن الرقبة،فیکون ثمن الرقبة بالنسبة إلی أُمّ الولد کسائر الدیون بالنسبة إلی سائر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نفس أُمّ الولد ممّا یحتاج إلیها المولی للخدمة فلا تباع فی ثمن رقبتها؛لأنّ غایة الأمر کونها بالنسبة إلی الثمن کجاریة أُخری یحتاج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الوجه فی استثناء الکفن و مئونة التجهیز،فإذا کان للمیّت کفنٌ و أُمّ ولد،بیعت فی الدین دون الکفن؛إذ یصدق أنّ المیّت لم یدع ما یؤدّی عنه الدین عداها؛لأنّ الکفن لا یؤدّی عنه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فرق بین کون ثمنها بنفسه دیناً للبائع،أو استدان الثمن و اشتری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اشتری فی الذمّة ثمّ استدان ما أوفی به البائع فلیس بیعها فی ثمن رقبتها،بل ربما تُؤمّل فیما قبله،فتأمّل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بقاء جمیع الثمن فی الذمّة أو بعضه،و لا بین نقصان قیمتها عن الثمن أو زیادتها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أمکن الوفاء ببیع بعضها اقتصر علیه،کما عن غایة المراد التصریح به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الثمن مؤجّلاً لم یجز للمولی بیعها قبل حلول الأجل و إن</w:t>
      </w:r>
    </w:p>
    <w:p>
      <w:pPr>
        <w:pStyle w:val="BookText"/>
        <w:rPr/>
      </w:pPr>
      <w:r>
        <w:rPr>
          <w:rFonts w:ascii="IRNazanin" w:hAnsi="IRNazanin" w:eastAsia="IRNazanin"/>
          <w:color w:val="111111"/>
          <w:sz w:val="28"/>
          <w:sz w:val="28"/>
          <w:szCs w:val="28"/>
          <w:rtl w:val="true"/>
          <w:lang w:bidi="fa-IR"/>
        </w:rPr>
        <w:t>کان مأیوساً من الأداء عند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اشتراط مطالبة البائع،أو الاکتفاء باستحقاقه و لو امتنع عن التسلّم،أو الفرق بین رضاه بالتأخیر و إسقاطه لحقّ الحلول و إن لم یسقط بذلک و بین عدم المطالبة فیجوز فی الأوّل دون الثانی </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أحوطها الأوّل،و مقتضی الإطلاق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تبرّع متبرّعٌ بالأداء،فإن سلّم إلی البائع برئت ذمّة المشتری و لا یجوز بیعها،و إن سلّم إلی المولی أو الورثة،ففی وجوب القبول نظر؛و کذا لو ارضی </w:t>
      </w:r>
      <w:r>
        <w:rPr>
          <w:rStyle w:val="FootnoteAnchor"/>
          <w:rtl w:val="true"/>
        </w:rPr>
        <w:footnoteReference w:id="601"/>
      </w:r>
      <w:r>
        <w:rPr>
          <w:rFonts w:ascii="IRNazanin" w:hAnsi="IRNazanin" w:eastAsia="IRNazanin"/>
          <w:color w:val="111111"/>
          <w:sz w:val="28"/>
          <w:sz w:val="28"/>
          <w:szCs w:val="28"/>
          <w:rtl w:val="true"/>
          <w:lang w:bidi="fa-IR"/>
        </w:rPr>
        <w:t>البائع باستسعائها فی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دار الأمر بین بیعها ممّن تنعتق علیه أو بشرط العتق،و بیعها من غیره،ففی وجوب تقدیم الأوّل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أدّی الولد ثمن نصیبه،انعتق </w:t>
      </w:r>
      <w:r>
        <w:rPr>
          <w:rStyle w:val="FootnoteAnchor"/>
          <w:rtl w:val="true"/>
        </w:rPr>
        <w:footnoteReference w:id="602"/>
      </w:r>
      <w:r>
        <w:rPr>
          <w:rFonts w:ascii="IRNazanin" w:hAnsi="IRNazanin" w:eastAsia="IRNazanin"/>
          <w:color w:val="111111"/>
          <w:sz w:val="28"/>
          <w:sz w:val="28"/>
          <w:szCs w:val="28"/>
          <w:rtl w:val="true"/>
          <w:lang w:bidi="fa-IR"/>
        </w:rPr>
        <w:t>علیه،و حکم الباقی یعلم من مسائل السرایة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أدّی ثمن جمیعها،فإن أقبضه البائع فکالمتبرّع،و إن کان بطریق الشراء ففی وجوب قبول ذلک علی الورثة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الإطلاق،</w:t>
      </w:r>
    </w:p>
    <w:p>
      <w:pPr>
        <w:pStyle w:val="BookText"/>
        <w:rPr/>
      </w:pPr>
      <w:r>
        <w:rPr>
          <w:rFonts w:ascii="IRNazanin" w:hAnsi="IRNazanin" w:eastAsia="IRNazanin"/>
          <w:color w:val="111111"/>
          <w:sz w:val="28"/>
          <w:sz w:val="28"/>
          <w:szCs w:val="28"/>
          <w:rtl w:val="true"/>
          <w:lang w:bidi="fa-IR"/>
        </w:rPr>
        <w:t>و من الجمع بین حقّی الاستیلاد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امتنع المولی من أداء الثمن من غیر عذرٍ،فلجواز بیع البائع لها مقاصّةً مطلقاً،أو مع إذن الحاکم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یستوجه خلافه </w:t>
      </w:r>
      <w:r>
        <w:rPr>
          <w:rStyle w:val="FootnoteAnchor"/>
          <w:rtl w:val="true"/>
        </w:rPr>
        <w:footnoteReference w:id="603"/>
      </w:r>
      <w:r>
        <w:rPr>
          <w:rFonts w:ascii="IRNazanin" w:hAnsi="IRNazanin" w:eastAsia="IRNazanin"/>
          <w:color w:val="111111"/>
          <w:sz w:val="28"/>
          <w:sz w:val="28"/>
          <w:szCs w:val="28"/>
          <w:rtl w:val="true"/>
          <w:lang w:bidi="fa-IR"/>
        </w:rPr>
        <w:t>لأنّ المنع لحقّ أُمّ الولد،فلا یسقط بامتناع المولی،و لظاهر الفتاوی و تغلیب جانب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الجمیع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بثمنها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عوضاً لها فی عقد مساومتها و إن کان صلحاً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إلحاق الشرط المذکور فی متن العقد بالثمن کما إذا اشترط الإنفاق علی البائع مدّة معیّنة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العدم،لو فسخ البائع،فإن قلنا بعدم منع الاستیلاد من الاسترداد بالفسخ استردّت،و إن قلنا بمنعه عنه فینتقل إلی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بجواز بیعها حینئذٍ فی أداء القیمة أمکن القول بجواز استردادها؛لأنّ المانع عنه هو عدم انتقالها،فإذا لم یکن بدٌّ من نقلها لأجل القیمة لم یمنع عن ردّها إلی البائع،کما لو بیعت علی البائع فی ثمن رقبتها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مجمل القول فی بیعها فی 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بیعها فی دَینٍ آخر،فإن کان مولاها حیّاً،لم یجز إجماعاً علی الظاهر المصرّح به فی کلام بعض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بیعها بعد موته،فالمعروف من مذهب الأصحاب المنع</w:t>
      </w:r>
    </w:p>
    <w:p>
      <w:pPr>
        <w:pStyle w:val="BookText"/>
        <w:rPr/>
      </w:pPr>
      <w:r>
        <w:rPr>
          <w:rFonts w:ascii="IRNazanin" w:hAnsi="IRNazanin" w:eastAsia="IRNazanin"/>
          <w:color w:val="111111"/>
          <w:sz w:val="28"/>
          <w:sz w:val="28"/>
          <w:szCs w:val="28"/>
          <w:rtl w:val="true"/>
          <w:lang w:bidi="fa-IR"/>
        </w:rPr>
        <w:t xml:space="preserve">أیضاً؛لأصالة بقاء المنع فی حال الحیاة،و لإطلاق روایتی عمر بن یزید المتقدّمتین </w:t>
      </w:r>
      <w:r>
        <w:rPr>
          <w:rStyle w:val="FootnoteAnchor"/>
          <w:rtl w:val="true"/>
        </w:rPr>
        <w:footnoteReference w:id="605"/>
      </w:r>
      <w:r>
        <w:rPr>
          <w:rFonts w:ascii="IRNazanin" w:hAnsi="IRNazanin" w:eastAsia="IRNazanin"/>
          <w:color w:val="111111"/>
          <w:sz w:val="28"/>
          <w:sz w:val="28"/>
          <w:szCs w:val="28"/>
          <w:rtl w:val="true"/>
          <w:lang w:bidi="fa-IR"/>
        </w:rPr>
        <w:t>منطوقاً و مفهوماً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بهما یخصّص ما دلّ بعمومه علی الجواز ممّا یتخیّل صلاحیّته لتخصیص قاعدة المنع عن بیع أُمّ الولد،کمفهوم مقطوعة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 ولدٍ لیس لها ولد،مات ولدها،و مات عنها صاحبها و لم یعتقها،هل یجوز لأحد تزویجها؟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لا،لا یحلّ لأحد تزویجها إلّا بعتقٍ من الورثة،و إن کان لها ولدٌ و لیس علی المیّت دینٌ فهی للولد،و إذا ملکها الولد عتقت بملک ولدها لها،و إن کانت بین شرکاء فقد عتقت من نصیبه و تستسعی فی بقیّة ثمنها</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خلافاً للمحکیّ عن المبسوط،فجوّز البیع حینئذٍ مع استغراق الدین </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الجواز ظاهر اللمعتین </w:t>
      </w:r>
      <w:r>
        <w:rPr>
          <w:rStyle w:val="FootnoteAnchor"/>
          <w:rtl w:val="true"/>
        </w:rPr>
        <w:footnoteReference w:id="608"/>
      </w:r>
      <w:r>
        <w:rPr>
          <w:rFonts w:ascii="IRNazanin" w:hAnsi="IRNazanin" w:eastAsia="IRNazanin"/>
          <w:color w:val="111111"/>
          <w:sz w:val="28"/>
          <w:sz w:val="28"/>
          <w:szCs w:val="28"/>
          <w:rtl w:val="true"/>
          <w:lang w:bidi="fa-IR"/>
        </w:rPr>
        <w:t xml:space="preserve">و کنز العرفان </w:t>
      </w:r>
      <w:r>
        <w:rPr>
          <w:rStyle w:val="FootnoteAnchor"/>
          <w:rtl w:val="true"/>
        </w:rPr>
        <w:footnoteReference w:id="609"/>
      </w:r>
      <w:r>
        <w:rPr>
          <w:rFonts w:ascii="IRNazanin" w:hAnsi="IRNazanin" w:eastAsia="IRNazanin"/>
          <w:color w:val="111111"/>
          <w:sz w:val="28"/>
          <w:sz w:val="28"/>
          <w:szCs w:val="28"/>
          <w:rtl w:val="true"/>
          <w:lang w:bidi="fa-IR"/>
        </w:rPr>
        <w:t xml:space="preserve">و الصیمری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وجه تفصیل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الورثة لا یرثون مع الاستغراق، فلا سبیل إلی انعتاق أُمّ الولد الذی هو الغرض من المنع عن بیعها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نکاح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الأقوی انتقال الترکة إلی الوارث مطلقاً، و إن مُنع من التصرّف بها </w:t>
      </w:r>
      <w:r>
        <w:rPr>
          <w:rStyle w:val="FootnoteAnchor"/>
          <w:rtl w:val="true"/>
        </w:rPr>
        <w:footnoteReference w:id="611"/>
      </w:r>
      <w:r>
        <w:rPr>
          <w:rFonts w:ascii="IRNazanin" w:hAnsi="IRNazanin" w:eastAsia="IRNazanin"/>
          <w:color w:val="111111"/>
          <w:sz w:val="28"/>
          <w:sz w:val="28"/>
          <w:szCs w:val="28"/>
          <w:rtl w:val="true"/>
          <w:lang w:bidi="fa-IR"/>
        </w:rPr>
        <w:t>علی تقدیر استغراق الدین،فینعتق نصیب</w:t>
      </w:r>
    </w:p>
    <w:p>
      <w:pPr>
        <w:pStyle w:val="BookText"/>
        <w:rPr/>
      </w:pPr>
      <w:r>
        <w:rPr>
          <w:rFonts w:ascii="IRNazanin" w:hAnsi="IRNazanin" w:eastAsia="IRNazanin"/>
          <w:color w:val="111111"/>
          <w:sz w:val="28"/>
          <w:sz w:val="28"/>
          <w:szCs w:val="28"/>
          <w:rtl w:val="true"/>
          <w:lang w:bidi="fa-IR"/>
        </w:rPr>
        <w:t xml:space="preserve">الولد منها کما لو لم یکن دین،و یلزمه </w:t>
      </w:r>
      <w:r>
        <w:rPr>
          <w:rStyle w:val="FootnoteAnchor"/>
          <w:rtl w:val="true"/>
        </w:rPr>
        <w:footnoteReference w:id="612"/>
      </w:r>
      <w:r>
        <w:rPr>
          <w:rFonts w:ascii="IRNazanin" w:hAnsi="IRNazanin" w:eastAsia="IRNazanin"/>
          <w:color w:val="111111"/>
          <w:sz w:val="28"/>
          <w:sz w:val="28"/>
          <w:szCs w:val="28"/>
          <w:rtl w:val="true"/>
          <w:lang w:bidi="fa-IR"/>
        </w:rPr>
        <w:t xml:space="preserve">أداء قیمة النصیب من ماله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ربما ینتصر </w:t>
      </w:r>
      <w:r>
        <w:rPr>
          <w:rStyle w:val="FootnoteAnchor"/>
          <w:rtl w:val="true"/>
        </w:rPr>
        <w:footnoteReference w:id="614"/>
      </w:r>
      <w:r>
        <w:rPr>
          <w:rFonts w:ascii="IRNazanin" w:hAnsi="IRNazanin" w:eastAsia="IRNazanin"/>
          <w:color w:val="111111"/>
          <w:sz w:val="28"/>
          <w:sz w:val="28"/>
          <w:szCs w:val="28"/>
          <w:rtl w:val="true"/>
          <w:lang w:bidi="fa-IR"/>
        </w:rPr>
        <w:t>للمبسوط علی المسالک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المستفاد ممّا دلّ علی أنّها تعتق من نصیب ولدها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ذلک من جهة استحقاقه لذلک النصیب من غیر أن تقوّم علیه أصلاً، و إنّما الکلام فی باقی الحصص إذا </w:t>
      </w:r>
      <w:r>
        <w:rPr>
          <w:rStyle w:val="FootnoteAnchor"/>
          <w:rtl w:val="true"/>
        </w:rPr>
        <w:footnoteReference w:id="616"/>
      </w:r>
      <w:r>
        <w:rPr>
          <w:rFonts w:ascii="IRNazanin" w:hAnsi="IRNazanin" w:eastAsia="IRNazanin"/>
          <w:color w:val="111111"/>
          <w:sz w:val="28"/>
          <w:sz w:val="28"/>
          <w:szCs w:val="28"/>
          <w:rtl w:val="true"/>
          <w:lang w:bidi="fa-IR"/>
        </w:rPr>
        <w:t>لم یفِ نصیبه من جمیع الترکة بقیمة امّه،هل تقوّم علیه،أو تسعی هی فی أداء قیمتها؟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النصیب إذا نسب إلی الوارث،فلا یراد منه إلّا ما یفضل من الترکة بعد أداء الدین و سائر ما یخرج من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منه النصیب المستقرّ الثابت،لا النصیب الذی یحکم بتملّک الوارث له؛ تفصّیاً من لزوم بقاء الملک بلا مالک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ثالثاً </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ادّعاه من الانعتاق علی الولد بمثل هذا الملک ممّا لم ینصّ علیه الأصحاب،و لا دلّ علیه دلیل معتبر،و ما یوهمه الأخبار و کلام الأصحاب من إطلاق الملک،فالظاهر أنّ المراد به غیر هذا القسم؛و لذا لا یحکم بانعتاق العبد الموقوف علی من ینعتق علیه؛بناءً</w:t>
      </w:r>
    </w:p>
    <w:p>
      <w:pPr>
        <w:pStyle w:val="BookText"/>
        <w:rPr/>
      </w:pPr>
      <w:r>
        <w:rPr>
          <w:rFonts w:ascii="IRNazanin" w:hAnsi="IRNazanin" w:eastAsia="IRNazanin"/>
          <w:color w:val="111111"/>
          <w:sz w:val="28"/>
          <w:sz w:val="28"/>
          <w:szCs w:val="28"/>
          <w:rtl w:val="true"/>
          <w:lang w:bidi="fa-IR"/>
        </w:rPr>
        <w:t>علی صحّة الوقف و انتقال الموقوف إلی الموقوف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رابعاً </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یلزم </w:t>
      </w:r>
      <w:r>
        <w:rPr>
          <w:rStyle w:val="FootnoteAnchor"/>
          <w:rtl w:val="true"/>
        </w:rPr>
        <w:footnoteReference w:id="619"/>
      </w:r>
      <w:r>
        <w:rPr>
          <w:rFonts w:ascii="IRNazanin" w:hAnsi="IRNazanin" w:eastAsia="IRNazanin"/>
          <w:color w:val="111111"/>
          <w:sz w:val="28"/>
          <w:sz w:val="28"/>
          <w:szCs w:val="28"/>
          <w:rtl w:val="true"/>
          <w:lang w:bidi="fa-IR"/>
        </w:rPr>
        <w:t xml:space="preserve">علی کلامه أنّه متی کان نصیب الولد من أصل </w:t>
      </w:r>
      <w:r>
        <w:rPr>
          <w:rStyle w:val="FootnoteAnchor"/>
          <w:rtl w:val="true"/>
        </w:rPr>
        <w:footnoteReference w:id="620"/>
      </w:r>
      <w:r>
        <w:rPr>
          <w:rFonts w:ascii="IRNazanin" w:hAnsi="IRNazanin" w:eastAsia="IRNazanin"/>
          <w:color w:val="111111"/>
          <w:sz w:val="28"/>
          <w:sz w:val="28"/>
          <w:szCs w:val="28"/>
          <w:rtl w:val="true"/>
          <w:lang w:bidi="fa-IR"/>
        </w:rPr>
        <w:t xml:space="preserve">الترکة بأجمعها ما </w:t>
      </w:r>
      <w:r>
        <w:rPr>
          <w:rStyle w:val="FootnoteAnchor"/>
          <w:rtl w:val="true"/>
        </w:rPr>
        <w:footnoteReference w:id="621"/>
      </w:r>
      <w:r>
        <w:rPr>
          <w:rFonts w:ascii="Amiri" w:hAnsi="Amiri" w:eastAsia="Amiri" w:cs="Amiri"/>
          <w:color w:val="111111"/>
          <w:sz w:val="28"/>
          <w:sz w:val="28"/>
          <w:szCs w:val="28"/>
          <w:rtl w:val="true"/>
          <w:lang w:bidi="ar-SA"/>
        </w:rPr>
        <w:t xml:space="preserve">یساوی قیمة امّه تقوّم </w:t>
      </w:r>
      <w:r>
        <w:rPr>
          <w:rStyle w:val="FootnoteAnchor"/>
          <w:rtl w:val="true"/>
        </w:rPr>
        <w:footnoteReference w:id="622"/>
      </w:r>
      <w:r>
        <w:rPr>
          <w:rFonts w:ascii="IRNazanin" w:hAnsi="IRNazanin" w:eastAsia="IRNazanin"/>
          <w:color w:val="111111"/>
          <w:sz w:val="28"/>
          <w:sz w:val="28"/>
          <w:szCs w:val="28"/>
          <w:rtl w:val="true"/>
          <w:lang w:bidi="fa-IR"/>
        </w:rPr>
        <w:t>علیه،سواء کان هناک دین مستغرق أم لا،و سواء کان نصیبه الثابت فی الباقی بعد الدیون و نحوها یساوی قیمتها أم لا؛و کذلک لو ساوی نصیبه من الأصل نصفها أو ثلثها أو غیر ذلک،فإنّه یقوّم نصیبه علیه کائناً ما کان و یسقط من القیمة نصیبه الباقی الثابت إن کان له نصیب و یطلب بالباقی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لا یقوله أحد من الأصحاب،و ینبغی القطع ببطلانه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دفع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المستفاد من ظاهر الأدلّة انعتاقها من نصیب ولدها حتّی مع الدین المستغرق،فالدین غیر مانع من انعتاقها علی الولد،لکن ذلک لا ینافی اشتغال ذمّة الولد قهراً بقیمة نصیبه أو وجوب بیعها فی القیمة جمعاً بین ما دلّ علی الانعتاق علی الولد الذی یکشف عنه إطلاق النهی عن بیعها </w:t>
      </w:r>
      <w:r>
        <w:rPr>
          <w:rStyle w:val="FootnoteAnchor"/>
          <w:rtl w:val="true"/>
        </w:rPr>
        <w:footnoteReference w:id="623"/>
      </w:r>
      <w:r>
        <w:rPr>
          <w:rFonts w:ascii="IRNazanin" w:hAnsi="IRNazanin" w:eastAsia="IRNazanin"/>
          <w:color w:val="111111"/>
          <w:sz w:val="28"/>
          <w:sz w:val="28"/>
          <w:szCs w:val="28"/>
          <w:rtl w:val="true"/>
          <w:lang w:bidi="fa-IR"/>
        </w:rPr>
        <w:t xml:space="preserve">،و بین ما دلّ علی أنّ الوارث لا یستقرّ له ما قابل نصیبه من الدین علی وجه یسقط حقّ </w:t>
      </w:r>
      <w:r>
        <w:rPr>
          <w:rStyle w:val="FootnoteAnchor"/>
          <w:rtl w:val="true"/>
        </w:rPr>
        <w:footnoteReference w:id="624"/>
      </w:r>
      <w:r>
        <w:rPr>
          <w:rFonts w:ascii="Amiri" w:hAnsi="Amiri" w:eastAsia="Amiri" w:cs="Amiri"/>
          <w:color w:val="111111"/>
          <w:sz w:val="28"/>
          <w:sz w:val="28"/>
          <w:szCs w:val="28"/>
          <w:rtl w:val="true"/>
          <w:lang w:bidi="ar-SA"/>
        </w:rPr>
        <w:t xml:space="preserve">الدیّان </w:t>
      </w:r>
      <w:r>
        <w:rPr>
          <w:rStyle w:val="FootnoteAnchor"/>
          <w:rtl w:val="true"/>
        </w:rPr>
        <w:footnoteReference w:id="62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سقوط حقّهم عن عین هذا المال الخاصّ و عدم کونه کسائر الأموال التی یکون للوارث الامتناع عن أداء مقابلها و دفع عینها إلی الدیّان،و یکون </w:t>
      </w:r>
      <w:r>
        <w:rPr>
          <w:rStyle w:val="FootnoteAnchor"/>
          <w:rtl w:val="true"/>
        </w:rPr>
        <w:footnoteReference w:id="626"/>
      </w:r>
      <w:r>
        <w:rPr>
          <w:rFonts w:ascii="IRNazanin" w:hAnsi="IRNazanin" w:eastAsia="IRNazanin"/>
          <w:color w:val="111111"/>
          <w:sz w:val="28"/>
          <w:sz w:val="28"/>
          <w:szCs w:val="28"/>
          <w:rtl w:val="true"/>
          <w:lang w:bidi="fa-IR"/>
        </w:rPr>
        <w:t>لهم أخذ العین إذا امتنع الوارث من أداء ما قابل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مقتضی النهی </w:t>
      </w:r>
      <w:r>
        <w:rPr>
          <w:rStyle w:val="FootnoteAnchor"/>
          <w:rtl w:val="true"/>
        </w:rPr>
        <w:footnoteReference w:id="627"/>
      </w:r>
      <w:r>
        <w:rPr>
          <w:rFonts w:ascii="IRNazanin" w:hAnsi="IRNazanin" w:eastAsia="IRNazanin"/>
          <w:color w:val="111111"/>
          <w:sz w:val="28"/>
          <w:sz w:val="28"/>
          <w:szCs w:val="28"/>
          <w:rtl w:val="true"/>
          <w:lang w:bidi="fa-IR"/>
        </w:rPr>
        <w:t xml:space="preserve">عن بیع أُمّ الولد فی دین غیر ثمنها بعد موت المولی،عدم تسلّط الدیّان علی أخذها و لو مع امتناع الولد عن فکّها بالقیمة،و عدم تسلّط الولد علی دفعها وفاءً عن دین </w:t>
      </w:r>
      <w:r>
        <w:rPr>
          <w:rStyle w:val="FootnoteAnchor"/>
          <w:rtl w:val="true"/>
        </w:rPr>
        <w:footnoteReference w:id="628"/>
      </w:r>
      <w:r>
        <w:rPr>
          <w:rFonts w:ascii="IRNazanin" w:hAnsi="IRNazanin" w:eastAsia="IRNazanin"/>
          <w:color w:val="111111"/>
          <w:sz w:val="28"/>
          <w:sz w:val="28"/>
          <w:szCs w:val="28"/>
          <w:rtl w:val="true"/>
          <w:lang w:bidi="fa-IR"/>
        </w:rPr>
        <w:t>أبیه، و لازم ذلک انعتاقها علی 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فیتردّد الأمر حینئذٍ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 سقوط حقّ الدیّان عن ما قابلها من الدین،فتکون أُمّ الولد نظیر مئونة التجهیز التی لا یتعلّق حقّ الدیّان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أن یتعلّق حقّ الدیّان بقیمتها علی من تتلف فی ملکه و تنعتق علیه،و هو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أن یتعلّق حقّ الدیّان بقیمتها علی رقبتها،فتسعی فیها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بین أن یتعلّق حقّ الدیّان بمنافعها،فلهم أن یؤجروها مدّة طویلة یفی أُجرتها بدینهم،کما قیل یتعلّق </w:t>
      </w:r>
      <w:r>
        <w:rPr>
          <w:rStyle w:val="FootnoteAnchor"/>
          <w:rtl w:val="true"/>
        </w:rPr>
        <w:footnoteReference w:id="629"/>
      </w:r>
      <w:r>
        <w:rPr>
          <w:rFonts w:ascii="Amiri" w:hAnsi="Amiri" w:eastAsia="Amiri" w:cs="Amiri"/>
          <w:color w:val="111111"/>
          <w:sz w:val="28"/>
          <w:sz w:val="28"/>
          <w:szCs w:val="28"/>
          <w:rtl w:val="true"/>
          <w:lang w:bidi="ar-SA"/>
        </w:rPr>
        <w:t xml:space="preserve">حقّ الغرماء بمنافع أُمّ ولد المفلّس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إشکال فی عدم جواز رفع الید عمّا دلّ علی بقاء حقّ الدیّان متعلّقاً بالترکة </w:t>
      </w:r>
      <w:r>
        <w:rPr>
          <w:rStyle w:val="FootnoteAnchor"/>
          <w:rtl w:val="true"/>
        </w:rPr>
        <w:footnoteReference w:id="631"/>
      </w:r>
      <w:r>
        <w:rPr>
          <w:rFonts w:ascii="IRNazanin" w:hAnsi="IRNazanin" w:eastAsia="IRNazanin"/>
          <w:color w:val="111111"/>
          <w:sz w:val="28"/>
          <w:sz w:val="28"/>
          <w:szCs w:val="28"/>
          <w:rtl w:val="true"/>
          <w:lang w:bidi="fa-IR"/>
        </w:rPr>
        <w:t>،فیدور الأمر بین الوجهین الأخیرین، فتنعتق علی کلِّ حالٍ،و یبقی الترجیح بین الوجهین محتاجاً إلی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اندفاع الوجه الثانی،فإنّ مقتضی المنع عن بیعها مطلقاً أو فی دین غیر ثمنها استقرار ملک الوارث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الجواب عن الوجه الثالث،إذ بعد ما ثبت عدم تعلّق حقّ الدیّان بعینها علی أن یکون لهم أخذها عند امتناع الوارث من الأداء فلا مانع عن انعتاقها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جامع بینها و بین الوقف الذی هو ملک للبطن اللاحق کما هو ملک للبطن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رابعاً،فهو إنّما ینافی الجزم بکون قیمتها بعد الانعتاق متعلّقاً بالولد،أمّا إذا قلنا باستسعائها فلا یلزم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فالضابط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ینعتق </w:t>
      </w:r>
      <w:r>
        <w:rPr>
          <w:rStyle w:val="FootnoteAnchor"/>
          <w:rtl w:val="true"/>
        </w:rPr>
        <w:footnoteReference w:id="632"/>
      </w:r>
      <w:r>
        <w:rPr>
          <w:rFonts w:ascii="IRNazanin" w:hAnsi="IRNazanin" w:eastAsia="IRNazanin"/>
          <w:color w:val="111111"/>
          <w:sz w:val="28"/>
          <w:sz w:val="28"/>
          <w:szCs w:val="28"/>
          <w:rtl w:val="true"/>
          <w:lang w:bidi="fa-IR"/>
        </w:rPr>
        <w:t xml:space="preserve">علی الولد ما لم یتعقّبه ضمان من نصیبه،فإن کان مجموع نصیبه أو بعض نصیبه یملکه مع ضمان أداء ما قابلة من الدین،کان ذلک </w:t>
      </w:r>
      <w:r>
        <w:rPr>
          <w:rStyle w:val="FootnoteAnchor"/>
          <w:rtl w:val="true"/>
        </w:rPr>
        <w:footnoteReference w:id="633"/>
      </w:r>
      <w:r>
        <w:rPr>
          <w:rFonts w:ascii="IRNazanin" w:hAnsi="IRNazanin" w:eastAsia="IRNazanin"/>
          <w:color w:val="111111"/>
          <w:sz w:val="28"/>
          <w:sz w:val="28"/>
          <w:szCs w:val="28"/>
          <w:rtl w:val="true"/>
          <w:lang w:bidi="fa-IR"/>
        </w:rPr>
        <w:t>فی رقبتها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ذکرنا یظهر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کان غیر ولدها أیضاً مستحقّاً</w:t>
      </w:r>
    </w:p>
    <w:p>
      <w:pPr>
        <w:pStyle w:val="BookText"/>
        <w:rPr/>
      </w:pPr>
      <w:r>
        <w:rPr>
          <w:rFonts w:ascii="IRNazanin" w:hAnsi="IRNazanin" w:eastAsia="IRNazanin"/>
          <w:color w:val="111111"/>
          <w:sz w:val="28"/>
          <w:sz w:val="28"/>
          <w:szCs w:val="28"/>
          <w:rtl w:val="true"/>
          <w:lang w:bidi="fa-IR"/>
        </w:rPr>
        <w:t xml:space="preserve">لشیءٍ منها بالإرث لم یملک نصیبه مجّاناً،بل إمّا أن یدفع إلی الدیّان ما قابل نصیبه فتسعی </w:t>
      </w:r>
      <w:r>
        <w:rPr>
          <w:rStyle w:val="FootnoteAnchor"/>
          <w:rtl w:val="true"/>
        </w:rPr>
        <w:footnoteReference w:id="634"/>
      </w:r>
      <w:r>
        <w:rPr>
          <w:rFonts w:ascii="IRNazanin" w:hAnsi="IRNazanin" w:eastAsia="IRNazanin"/>
          <w:color w:val="111111"/>
          <w:sz w:val="28"/>
          <w:sz w:val="28"/>
          <w:szCs w:val="28"/>
          <w:rtl w:val="true"/>
          <w:lang w:bidi="fa-IR"/>
        </w:rPr>
        <w:t xml:space="preserve">أُمّ الولد کما لو لم یکن دینٌ،فینعتق نصیب غیر ولدها علیه مع ضمانها أو ضمان ولدها قیمة حصّته </w:t>
      </w:r>
      <w:r>
        <w:rPr>
          <w:rStyle w:val="FootnoteAnchor"/>
          <w:rtl w:val="true"/>
        </w:rPr>
        <w:footnoteReference w:id="635"/>
      </w:r>
      <w:r>
        <w:rPr>
          <w:rFonts w:ascii="IRNazanin" w:hAnsi="IRNazanin" w:eastAsia="IRNazanin"/>
          <w:color w:val="111111"/>
          <w:sz w:val="28"/>
          <w:sz w:val="28"/>
          <w:szCs w:val="28"/>
          <w:rtl w:val="true"/>
          <w:lang w:bidi="fa-IR"/>
        </w:rPr>
        <w:t>التی فکّها من الدیّان،و إمّا أن یخلّی بینها و بین الدیّان فتنعتق أیضاً علیهم مع ضمانها أو ضمان ولدها ما قابل الدین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حرمان الدیّان عنها عیناً و قیمةً و إرث الورثة لها و أخذ غیر ولدها قیمة حصّته منها أو من ولدها و صرفها فی غیر الدین فهو باطل </w:t>
      </w:r>
      <w:r>
        <w:rPr>
          <w:rStyle w:val="FootnoteAnchor"/>
          <w:rtl w:val="true"/>
        </w:rPr>
        <w:footnoteReference w:id="636"/>
      </w:r>
      <w:r>
        <w:rPr>
          <w:rFonts w:ascii="IRNazanin" w:hAnsi="IRNazanin" w:eastAsia="IRNazanin"/>
          <w:color w:val="111111"/>
          <w:sz w:val="28"/>
          <w:sz w:val="28"/>
          <w:szCs w:val="28"/>
          <w:rtl w:val="true"/>
          <w:lang w:bidi="fa-IR"/>
        </w:rPr>
        <w:t xml:space="preserve">لمخالفته </w:t>
      </w:r>
      <w:r>
        <w:rPr>
          <w:rStyle w:val="FootnoteAnchor"/>
          <w:rtl w:val="true"/>
        </w:rPr>
        <w:footnoteReference w:id="637"/>
      </w:r>
      <w:r>
        <w:rPr>
          <w:rFonts w:ascii="IRNazanin" w:hAnsi="IRNazanin" w:eastAsia="IRNazanin"/>
          <w:color w:val="111111"/>
          <w:sz w:val="28"/>
          <w:sz w:val="28"/>
          <w:szCs w:val="28"/>
          <w:rtl w:val="true"/>
          <w:lang w:bidi="fa-IR"/>
        </w:rPr>
        <w:t>لأدلّة ثبوت حقّ الدیّان من غیر أن یقتضی النهی عن التصرّف فی أُمّ الولد لذلک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ما فی قول بعض من أورد علی ما فی المسالک بما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الجمع بین فتاوی الأصحاب و أدلّتهم مشکلٌ جدّاً؛حیث إنّهم قیّدوا الدین بکونه ثمناً و حکموا بأنّها تعتق علی ولدها من نصیبه، و أنّ ما فضل عن نصیبه ینعتق بالسرایة و تسعی فی أداء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قصدوا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أُمّ الولد أو سهم الولد مستثنی من الدین کالکفن عملاً بالنصوص المزبورة،فله وجهٌ،إلّا أنّهم لا یعدّون ذلک من المستثنیات، و لا ذکر فی النصوص صریحاً </w:t>
      </w:r>
      <w:r>
        <w:rPr>
          <w:rStyle w:val="FootnoteAnchor"/>
          <w:rtl w:val="true"/>
        </w:rPr>
        <w:footnoteReference w:id="63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242" w:name="pg19861_202414"/>
    </w:p>
    <w:p>
      <w:pPr>
        <w:pStyle w:val="BookText"/>
        <w:rPr/>
      </w:pPr>
      <w:bookmarkEnd w:id="242"/>
      <w:r>
        <w:rPr>
          <w:rFonts w:ascii="IRNazanin" w:hAnsi="IRNazanin" w:eastAsia="IRNazanin"/>
          <w:color w:val="111111"/>
          <w:sz w:val="28"/>
          <w:sz w:val="28"/>
          <w:szCs w:val="28"/>
          <w:rtl w:val="true"/>
          <w:lang w:bidi="fa-IR"/>
        </w:rPr>
        <w:t xml:space="preserve">و أنت خبیر بأنّ النصوص المزبورة </w:t>
      </w:r>
      <w:r>
        <w:rPr>
          <w:rStyle w:val="FootnoteAnchor"/>
          <w:rtl w:val="true"/>
        </w:rPr>
        <w:footnoteReference w:id="639"/>
      </w:r>
      <w:r>
        <w:rPr>
          <w:rFonts w:ascii="IRNazanin" w:hAnsi="IRNazanin" w:eastAsia="IRNazanin"/>
          <w:color w:val="111111"/>
          <w:sz w:val="28"/>
          <w:sz w:val="28"/>
          <w:szCs w:val="28"/>
          <w:rtl w:val="true"/>
          <w:lang w:bidi="fa-IR"/>
        </w:rPr>
        <w:t>لا تقتضی سقوط حقّ الدیّان،کما لا یخفی</w:t>
      </w:r>
      <w:r>
        <w:rPr>
          <w:rFonts w:eastAsia="IRNazanin" w:cs="IRNazanin"/>
          <w:color w:val="111111"/>
          <w:sz w:val="28"/>
          <w:szCs w:val="28"/>
          <w:rtl w:val="true"/>
          <w:lang w:bidi="fa-IR"/>
        </w:rPr>
        <w:t>.</w:t>
      </w:r>
    </w:p>
    <w:p>
      <w:pPr>
        <w:pStyle w:val="Heading6"/>
        <w:numPr>
          <w:ilvl w:val="5"/>
          <w:numId w:val="1"/>
        </w:numPr>
        <w:rPr/>
      </w:pPr>
      <w:bookmarkStart w:id="243" w:name="__RefHeading___Toc5119027_2314609296"/>
      <w:bookmarkStart w:id="244" w:name="_Toc98"/>
      <w:bookmarkEnd w:id="243"/>
      <w:r>
        <w:rPr>
          <w:rtl w:val="true"/>
        </w:rPr>
        <w:t>و منها</w:t>
      </w:r>
      <w:bookmarkEnd w:id="244"/>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کفن مولاها بها</w:t>
      </w:r>
    </w:p>
    <w:p>
      <w:pPr>
        <w:pStyle w:val="BookText"/>
        <w:rPr/>
      </w:pPr>
      <w:r>
        <w:rPr>
          <w:rFonts w:ascii="IRNazanin" w:hAnsi="IRNazanin" w:eastAsia="IRNazanin"/>
          <w:color w:val="111111"/>
          <w:sz w:val="28"/>
          <w:sz w:val="28"/>
          <w:szCs w:val="28"/>
          <w:rtl w:val="true"/>
          <w:lang w:bidi="fa-IR"/>
        </w:rPr>
        <w:t xml:space="preserve">علی ما حکاه فی الروضة </w:t>
      </w:r>
      <w:r>
        <w:rPr>
          <w:rStyle w:val="FootnoteAnchor"/>
          <w:rtl w:val="true"/>
        </w:rPr>
        <w:footnoteReference w:id="641"/>
      </w:r>
      <w:r>
        <w:rPr>
          <w:rFonts w:ascii="IRNazanin" w:hAnsi="IRNazanin" w:eastAsia="IRNazanin"/>
          <w:color w:val="111111"/>
          <w:sz w:val="28"/>
          <w:sz w:val="28"/>
          <w:szCs w:val="28"/>
          <w:rtl w:val="true"/>
          <w:lang w:bidi="fa-IR"/>
        </w:rPr>
        <w:t>بشرط عدم کفایة بعضها له،بناءً علی ما تقدّم نظیره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المنع لغایة الإرث،و هو مفقودٌ مع الحاجة إلی الکفن،و قد عرفت أنّ هذه حکمةٌ غیر مطّردة و لا منعکسة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بناءً علی ما تقدّم </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جواز بیعها فی غیر ثمنها من الدین مع أنّ الکفن یتقدّم علی الدین فبیعها له أولی،بل اللازم ذلک أیضاً؛ بناءً علی حصر الجواز فی بیعها فی ثمنها؛بناءً </w:t>
      </w:r>
      <w:r>
        <w:rPr>
          <w:rStyle w:val="FootnoteAnchor"/>
          <w:rtl w:val="true"/>
        </w:rPr>
        <w:footnoteReference w:id="644"/>
      </w:r>
      <w:r>
        <w:rPr>
          <w:rFonts w:ascii="IRNazanin" w:hAnsi="IRNazanin" w:eastAsia="IRNazanin"/>
          <w:color w:val="111111"/>
          <w:sz w:val="28"/>
          <w:sz w:val="28"/>
          <w:szCs w:val="28"/>
          <w:rtl w:val="true"/>
          <w:lang w:bidi="fa-IR"/>
        </w:rPr>
        <w:t>علی ما تقدّم من أنّ وجود مقابل الکفن الممکن صرفه فی ثمنها لا یمنع عن بیعها،فیُعلم من ذلک تقدیم الکفن علی حقّ الاستیلاد،و إلّا لصُرف مقابله فی ثمنها و لم تُبع</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 النظر 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هذا القول مأخوذٌ من</w:t>
      </w:r>
    </w:p>
    <w:p>
      <w:pPr>
        <w:pStyle w:val="BookText"/>
        <w:rPr/>
      </w:pPr>
      <w:r>
        <w:rPr>
          <w:rFonts w:ascii="IRNazanin" w:hAnsi="IRNazanin" w:eastAsia="IRNazanin"/>
          <w:color w:val="111111"/>
          <w:sz w:val="28"/>
          <w:sz w:val="28"/>
          <w:szCs w:val="28"/>
          <w:rtl w:val="true"/>
          <w:lang w:bidi="fa-IR"/>
        </w:rPr>
        <w:t xml:space="preserve">القول بجواز بیعها فی مطلق الدین المستوعب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للمیّت المدیون أُمّ ولد و مقدار ما یجهّز به،فقد اجتمع هنا حقّ المیّت،و حقّ بائع أُمّ الولد،و حقّ أُمّ الولد، فإذا ثبت عدم سقوط حقّ بائع أُمّ الولد،دار الأمر بین إهمال حقّ المیّت بترک الکفن،و إهمال حقّ أُمّ الولد ببیعها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حکم بجواز بیع أُمّ الولد حینئذٍ بناءً علی ما تقدّم فی المسألة السابقة کان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حقّ المیّت علی حقّ أُمّ الولد،و لازم ذلک تقدیمه علیها مع عدم الدین، و انحصار الحقّ فی المیّت و أُمّ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ثبت بالدلیل السابق </w:t>
      </w:r>
      <w:r>
        <w:rPr>
          <w:rStyle w:val="FootnoteAnchor"/>
          <w:rtl w:val="true"/>
        </w:rPr>
        <w:footnoteReference w:id="646"/>
      </w:r>
      <w:r>
        <w:rPr>
          <w:rFonts w:ascii="IRNazanin" w:hAnsi="IRNazanin" w:eastAsia="IRNazanin"/>
          <w:color w:val="111111"/>
          <w:sz w:val="28"/>
          <w:sz w:val="28"/>
          <w:szCs w:val="28"/>
          <w:rtl w:val="true"/>
          <w:lang w:bidi="fa-IR"/>
        </w:rPr>
        <w:t xml:space="preserve">تقدیم دین ثمن أُمّ الولد علی حقّها،و ثبت بعموم النصّ </w:t>
      </w:r>
      <w:r>
        <w:rPr>
          <w:rStyle w:val="FootnoteAnchor"/>
          <w:rtl w:val="true"/>
        </w:rPr>
        <w:footnoteReference w:id="647"/>
      </w:r>
      <w:r>
        <w:rPr>
          <w:rFonts w:ascii="IRNazanin" w:hAnsi="IRNazanin" w:eastAsia="IRNazanin"/>
          <w:color w:val="111111"/>
          <w:sz w:val="28"/>
          <w:sz w:val="28"/>
          <w:szCs w:val="28"/>
          <w:rtl w:val="true"/>
          <w:lang w:bidi="fa-IR"/>
        </w:rPr>
        <w:t>تقدیم الکفن علی الدین،اقتضی الجمع بینهما تخصیص جواز صرفها فی ثمنها بما إذا لم یحتج المیّت إلی الکفن بنفسه أو لبذل باذل،أو بما إذا کان للمیّت مقابل الکفن؛لأنّ مقابل الکفن غیر قابل للصرف فی الدین،فلو لم یکن غیرها لزم من صرفها فی الثمن تقدیم الدین علی الکفن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لم یکن هناک دینٌ و تردّد الأمر بین حقّها و حقّ مولاها المیّت،فلا دلیل علی تقدیم حقّ مولاها،لیخصّص به قاعدة المنع عن بیع أُمّ الولد،عدا ما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قاعدة تعلّق حقّ الکفن بمال المیّت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الظاهر اختصاص تلک القاعدة بما إذا لم یتعلّق به حقٌّ سابقٌ مانع</w:t>
      </w:r>
      <w:bookmarkStart w:id="245" w:name="pg19861_202416"/>
    </w:p>
    <w:p>
      <w:pPr>
        <w:pStyle w:val="BookText"/>
        <w:rPr/>
      </w:pPr>
      <w:bookmarkEnd w:id="245"/>
      <w:r>
        <w:rPr>
          <w:rFonts w:ascii="IRNazanin" w:hAnsi="IRNazanin" w:eastAsia="IRNazanin"/>
          <w:color w:val="111111"/>
          <w:sz w:val="28"/>
          <w:sz w:val="28"/>
          <w:szCs w:val="28"/>
          <w:rtl w:val="true"/>
          <w:lang w:bidi="fa-IR"/>
        </w:rPr>
        <w:t>من التصرّف فیه،و الاستیلاد من ذلک الحقّ؛و لو فرض تعارض الحقّین فالمرجع إلی أصالة فساد بیعها قبل الحاجة إلی الکفن،فتأمّل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نعم،یمکن أن یقال نظیر ما قیل </w:t>
      </w:r>
      <w:r>
        <w:rPr>
          <w:rStyle w:val="FootnoteAnchor"/>
          <w:rtl w:val="true"/>
        </w:rPr>
        <w:footnoteReference w:id="648"/>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الولد یرث نصیبه و ینعتق علیه و یتعلّق بذمّته مئونة التجهیز،أو تستسعی </w:t>
      </w:r>
      <w:r>
        <w:rPr>
          <w:rStyle w:val="FootnoteAnchor"/>
          <w:rtl w:val="true"/>
        </w:rPr>
        <w:footnoteReference w:id="649"/>
      </w:r>
      <w:r>
        <w:rPr>
          <w:rFonts w:ascii="IRNazanin" w:hAnsi="IRNazanin" w:eastAsia="IRNazanin"/>
          <w:color w:val="111111"/>
          <w:sz w:val="28"/>
          <w:sz w:val="28"/>
          <w:szCs w:val="28"/>
          <w:rtl w:val="true"/>
          <w:lang w:bidi="fa-IR"/>
        </w:rPr>
        <w:t>امّه و لو بإیجار نفسها فی مدّة و أخذ الأُجرة قبل العمل و صرفها فی التجهیز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محلّ إشکال</w:t>
      </w:r>
      <w:r>
        <w:rPr>
          <w:rFonts w:eastAsia="IRNazanin" w:cs="IRNazanin"/>
          <w:color w:val="111111"/>
          <w:sz w:val="28"/>
          <w:szCs w:val="28"/>
          <w:rtl w:val="true"/>
          <w:lang w:bidi="fa-IR"/>
        </w:rPr>
        <w:t>.</w:t>
      </w:r>
    </w:p>
    <w:p>
      <w:pPr>
        <w:pStyle w:val="Heading6"/>
        <w:numPr>
          <w:ilvl w:val="5"/>
          <w:numId w:val="1"/>
        </w:numPr>
        <w:rPr/>
      </w:pPr>
      <w:bookmarkStart w:id="246" w:name="__RefHeading___Toc5119029_2314609296"/>
      <w:bookmarkStart w:id="247" w:name="_Toc99"/>
      <w:bookmarkEnd w:id="246"/>
      <w:r>
        <w:rPr>
          <w:rtl w:val="true"/>
        </w:rPr>
        <w:t>و منها</w:t>
      </w:r>
      <w:bookmarkEnd w:id="247"/>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جنت علی غیر مولاها فی حیاته،</w:t>
      </w:r>
    </w:p>
    <w:p>
      <w:pPr>
        <w:pStyle w:val="BookText"/>
        <w:rPr/>
      </w:pPr>
      <w:r>
        <w:rPr>
          <w:rFonts w:ascii="IRNazanin" w:hAnsi="IRNazanin" w:eastAsia="IRNazanin"/>
          <w:color w:val="111111"/>
          <w:sz w:val="28"/>
          <w:sz w:val="28"/>
          <w:szCs w:val="28"/>
          <w:rtl w:val="true"/>
          <w:lang w:bidi="fa-IR"/>
        </w:rPr>
        <w:t>أمّا بعد موته، فلا إشکال فی حکمها؛لأنّها بعد موت المولی تخرج عن التشبّث بالحریة،إمّا إلی الحرّیة الخالصة،أو الرقّیة الخالصة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جنایتها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کان فی موردٍ ثبت القصاص، فللمجنیّ علیه القصاص،نفساً کان أو طرفاً،و له استرقاقها کلا أو بعضاً علی حسب جنایتها،فیصیر المقدار المسترقّ منها ملکاً طِلْقاً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تخیّل بعضٌ </w:t>
      </w:r>
      <w:r>
        <w:rPr>
          <w:rStyle w:val="FootnoteAnchor"/>
          <w:rtl w:val="true"/>
        </w:rPr>
        <w:footnoteReference w:id="651"/>
      </w:r>
      <w:r>
        <w:rPr>
          <w:rFonts w:ascii="Amiri" w:hAnsi="Amiri" w:eastAsia="Amiri" w:cs="Amiri"/>
          <w:color w:val="111111"/>
          <w:sz w:val="28"/>
          <w:sz w:val="28"/>
          <w:szCs w:val="28"/>
          <w:rtl w:val="true"/>
          <w:lang w:bidi="ar-SA"/>
        </w:rPr>
        <w:t>أنّه یمکن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رقّیتها </w:t>
      </w:r>
      <w:r>
        <w:rPr>
          <w:rStyle w:val="FootnoteAnchor"/>
          <w:rtl w:val="true"/>
        </w:rPr>
        <w:footnoteReference w:id="652"/>
      </w:r>
      <w:r>
        <w:rPr>
          <w:rFonts w:ascii="IRNazanin" w:hAnsi="IRNazanin" w:eastAsia="IRNazanin"/>
          <w:color w:val="111111"/>
          <w:sz w:val="28"/>
          <w:sz w:val="28"/>
          <w:szCs w:val="28"/>
          <w:rtl w:val="true"/>
          <w:lang w:bidi="fa-IR"/>
        </w:rPr>
        <w:t xml:space="preserve">للمجنیّ علیه لا تزید علی رقّیتها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للمالک الأوّل؛لأنّها تنتقل إلیه علی حسب ما کانت عند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ادّعی أنّه یمکن أن یدّعی ظهور أدلّة المنع</w:t>
      </w:r>
    </w:p>
    <w:p>
      <w:pPr>
        <w:pStyle w:val="BookText"/>
        <w:rPr/>
      </w:pPr>
      <w:r>
        <w:rPr>
          <w:rFonts w:ascii="IRNazanin" w:hAnsi="IRNazanin" w:eastAsia="IRNazanin"/>
          <w:color w:val="111111"/>
          <w:sz w:val="28"/>
          <w:sz w:val="28"/>
          <w:szCs w:val="28"/>
          <w:rtl w:val="true"/>
          <w:lang w:bidi="fa-IR"/>
        </w:rPr>
        <w:t xml:space="preserve">خصوصاً صحیحة عمر بن یزید المتقدّمة </w:t>
      </w:r>
      <w:r>
        <w:rPr>
          <w:rStyle w:val="FootnoteAnchor"/>
          <w:rtl w:val="true"/>
        </w:rPr>
        <w:footnoteReference w:id="653"/>
      </w:r>
      <w:r>
        <w:rPr>
          <w:rFonts w:ascii="Amiri" w:hAnsi="Amiri" w:eastAsia="Amiri" w:cs="Amiri"/>
          <w:color w:val="111111"/>
          <w:sz w:val="28"/>
          <w:sz w:val="28"/>
          <w:szCs w:val="28"/>
          <w:rtl w:val="true"/>
          <w:lang w:bidi="ar-SA"/>
        </w:rPr>
        <w:t>فی عدم بیع أُمّ الولد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الظاهر أنّ مراده بإمکان القول المذکور مقابل امتناعه عقلاً،و إلّا فهو احتمالٌ مخالفٌ للإجماع و النصّ الدالّ علی الاسترقاق </w:t>
      </w:r>
      <w:r>
        <w:rPr>
          <w:rStyle w:val="FootnoteAnchor"/>
          <w:rtl w:val="true"/>
        </w:rPr>
        <w:footnoteReference w:id="654"/>
      </w:r>
      <w:r>
        <w:rPr>
          <w:rFonts w:ascii="Amiri" w:hAnsi="Amiri" w:eastAsia="Amiri" w:cs="Amiri"/>
          <w:color w:val="111111"/>
          <w:sz w:val="28"/>
          <w:sz w:val="28"/>
          <w:szCs w:val="28"/>
          <w:rtl w:val="true"/>
          <w:lang w:bidi="ar-SA"/>
        </w:rPr>
        <w:t>،الظاهر فی صیرورة الجانی رِقّاً خالصاً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وجَّه به هذا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أنّها تنتقل إلی المجنیّ علیه علی حسب ما کانت عند الأوّل،فیه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فی النصّ إلّا الاسترقاق، و هو جعلها رِقّاً له کسائر الرقیق،لا انتقالها عن المولی الأوّل إلیه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إنّما کان علی النحو الذی کان للمولی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المستفاد بالضرورة من النصّ و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الاستیلاد یُحدث للأمة حقّا علی مستولدها یمنع من مباشرة بیعها و من البیع لغرضٍ عائدٍ إلیه،مثل قضاء دیونه،و کفنه،علی خلافٍ فی ذلک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الجنایة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فالمشهور أنّها کغیرها من الممالیک، یتخیّر المولی بین دفعها أو دفع ما قابل الجنایة منها إلی المجنیّ علیه،</w:t>
      </w:r>
    </w:p>
    <w:p>
      <w:pPr>
        <w:pStyle w:val="BookText"/>
        <w:rPr/>
      </w:pPr>
      <w:r>
        <w:rPr>
          <w:rFonts w:ascii="IRNazanin" w:hAnsi="IRNazanin" w:eastAsia="IRNazanin"/>
          <w:color w:val="111111"/>
          <w:sz w:val="28"/>
          <w:sz w:val="28"/>
          <w:szCs w:val="28"/>
          <w:rtl w:val="true"/>
          <w:lang w:bidi="fa-IR"/>
        </w:rPr>
        <w:t xml:space="preserve">و بین أن یفدیها بأقلّ الأمرین علی المشهور،أو بالأرش علی ما عن الشیخ </w:t>
      </w:r>
      <w:r>
        <w:rPr>
          <w:rStyle w:val="FootnoteAnchor"/>
          <w:rtl w:val="true"/>
        </w:rPr>
        <w:footnoteReference w:id="656"/>
      </w:r>
      <w:r>
        <w:rPr>
          <w:rFonts w:ascii="IRNazanin" w:hAnsi="IRNazanin" w:eastAsia="IRNazanin"/>
          <w:color w:val="111111"/>
          <w:sz w:val="28"/>
          <w:sz w:val="28"/>
          <w:szCs w:val="28"/>
          <w:rtl w:val="true"/>
          <w:lang w:bidi="fa-IR"/>
        </w:rPr>
        <w:t xml:space="preserve">و غیره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الخلاف </w:t>
      </w:r>
      <w:r>
        <w:rPr>
          <w:rStyle w:val="FootnoteAnchor"/>
          <w:rtl w:val="true"/>
        </w:rPr>
        <w:footnoteReference w:id="658"/>
      </w:r>
      <w:r>
        <w:rPr>
          <w:rFonts w:ascii="IRNazanin" w:hAnsi="IRNazanin" w:eastAsia="IRNazanin"/>
          <w:color w:val="111111"/>
          <w:sz w:val="28"/>
          <w:sz w:val="28"/>
          <w:szCs w:val="28"/>
          <w:rtl w:val="true"/>
          <w:lang w:bidi="fa-IR"/>
        </w:rPr>
        <w:t xml:space="preserve">و السرائر </w:t>
      </w:r>
      <w:r>
        <w:rPr>
          <w:rStyle w:val="FootnoteAnchor"/>
          <w:rtl w:val="true"/>
        </w:rPr>
        <w:footnoteReference w:id="659"/>
      </w:r>
      <w:r>
        <w:rPr>
          <w:rFonts w:ascii="IRNazanin" w:hAnsi="IRNazanin" w:eastAsia="IRNazanin"/>
          <w:color w:val="111111"/>
          <w:sz w:val="28"/>
          <w:sz w:val="28"/>
          <w:szCs w:val="28"/>
          <w:rtl w:val="true"/>
          <w:lang w:bidi="fa-IR"/>
        </w:rPr>
        <w:t xml:space="preserve">و استیلاد المبسوط </w:t>
      </w:r>
      <w:r>
        <w:rPr>
          <w:rStyle w:val="FootnoteAnchor"/>
          <w:rtl w:val="true"/>
        </w:rPr>
        <w:footnoteReference w:id="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خلاف فی أنّ جنایتها تتعلّق برقبتها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عن دیات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جنایتها علی سیّدها بلا خلاف إلّا من أبی ثور،فإنّه جعلها فی ذمّتها تتبع بها بعد العتق </w:t>
      </w:r>
      <w:r>
        <w:rPr>
          <w:rStyle w:val="FootnoteAnchor"/>
          <w:rtl w:val="true"/>
        </w:rPr>
        <w:footnoteReference w:id="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مخالف لما فی الاستیلاد من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یوجّه </w:t>
      </w:r>
      <w:r>
        <w:rPr>
          <w:rStyle w:val="FootnoteAnchor"/>
          <w:rtl w:val="true"/>
        </w:rPr>
        <w:footnoteReference w:id="662"/>
      </w:r>
      <w:r>
        <w:rPr>
          <w:rFonts w:ascii="IRNazanin" w:hAnsi="IRNazanin" w:eastAsia="IRNazanin"/>
          <w:color w:val="111111"/>
          <w:sz w:val="28"/>
          <w:sz w:val="28"/>
          <w:szCs w:val="28"/>
          <w:rtl w:val="true"/>
          <w:lang w:bidi="fa-IR"/>
        </w:rPr>
        <w:t xml:space="preserve">بإرادة نفی الخلاف بین العامّة،و ربما نسب إلیه الغفلة،کما عن المختلف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بکونها علی سیّدها عود خسارة الجنایة </w:t>
      </w:r>
      <w:r>
        <w:rPr>
          <w:rStyle w:val="FootnoteAnchor"/>
          <w:rtl w:val="true"/>
        </w:rPr>
        <w:footnoteReference w:id="664"/>
      </w:r>
      <w:r>
        <w:rPr>
          <w:rFonts w:ascii="IRNazanin" w:hAnsi="IRNazanin" w:eastAsia="IRNazanin"/>
          <w:color w:val="111111"/>
          <w:sz w:val="28"/>
          <w:sz w:val="28"/>
          <w:szCs w:val="28"/>
          <w:rtl w:val="true"/>
          <w:lang w:bidi="fa-IR"/>
        </w:rPr>
        <w:t xml:space="preserve">علی السیّد،فی مقابل عدم خسارة المولی لا </w:t>
      </w:r>
      <w:r>
        <w:rPr>
          <w:rStyle w:val="FootnoteAnchor"/>
          <w:rtl w:val="true"/>
        </w:rPr>
        <w:footnoteReference w:id="665"/>
      </w:r>
      <w:r>
        <w:rPr>
          <w:rFonts w:ascii="IRNazanin" w:hAnsi="IRNazanin" w:eastAsia="IRNazanin"/>
          <w:color w:val="111111"/>
          <w:sz w:val="28"/>
          <w:sz w:val="28"/>
          <w:szCs w:val="28"/>
          <w:rtl w:val="true"/>
          <w:lang w:bidi="fa-IR"/>
        </w:rPr>
        <w:t>من عین الجانی و لا من مال</w:t>
      </w:r>
    </w:p>
    <w:p>
      <w:pPr>
        <w:pStyle w:val="BookText"/>
        <w:rPr/>
      </w:pPr>
      <w:r>
        <w:rPr>
          <w:rFonts w:ascii="IRNazanin" w:hAnsi="IRNazanin" w:eastAsia="IRNazanin"/>
          <w:color w:val="111111"/>
          <w:sz w:val="28"/>
          <w:sz w:val="28"/>
          <w:szCs w:val="28"/>
          <w:rtl w:val="true"/>
          <w:lang w:bidi="fa-IR"/>
        </w:rPr>
        <w:t>آخر و کونها فی ذمّة نفسها تتبع بها بعد العتق،و لیس المراد وجوب فدائها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أیضاً یحمل </w:t>
      </w:r>
      <w:r>
        <w:rPr>
          <w:rStyle w:val="FootnoteAnchor"/>
          <w:rtl w:val="true"/>
        </w:rPr>
        <w:footnoteReference w:id="666"/>
      </w:r>
      <w:r>
        <w:rPr>
          <w:rFonts w:ascii="IRNazanin" w:hAnsi="IRNazanin" w:eastAsia="IRNazanin"/>
          <w:color w:val="111111"/>
          <w:sz w:val="28"/>
          <w:sz w:val="28"/>
          <w:szCs w:val="28"/>
          <w:rtl w:val="true"/>
          <w:lang w:bidi="fa-IR"/>
        </w:rPr>
        <w:t xml:space="preserve">ما فی روایة مسمع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الولد جنایتها فی حقوق الناس علی سیّدها،و ما کان من حقوق اللّٰه فی الحدود،فإنّ ذلک فی بدنها</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،فمعنی کونها علی سیّدها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الأمة بنفسها لا تتحمّل من الجنایة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ما أُرسل عن علیّ علیه السلام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المعتق عن دَبْر هو </w:t>
      </w:r>
      <w:r>
        <w:rPr>
          <w:rStyle w:val="FootnoteAnchor"/>
          <w:rtl w:val="true"/>
        </w:rPr>
        <w:footnoteReference w:id="668"/>
      </w:r>
      <w:r>
        <w:rPr>
          <w:rFonts w:ascii="IRNazanin" w:hAnsi="IRNazanin" w:eastAsia="IRNazanin"/>
          <w:color w:val="111111"/>
          <w:sz w:val="28"/>
          <w:sz w:val="28"/>
          <w:szCs w:val="28"/>
          <w:rtl w:val="true"/>
          <w:lang w:bidi="fa-IR"/>
        </w:rPr>
        <w:t>من الثلث،و ما جنی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المکاتب </w:t>
      </w:r>
      <w:r>
        <w:rPr>
          <w:rStyle w:val="FootnoteAnchor"/>
          <w:rtl w:val="true"/>
        </w:rPr>
        <w:footnoteReference w:id="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 الولد فالمولی ضامن لجنایتهم</w:t>
      </w:r>
      <w:r>
        <w:rPr>
          <w:rFonts w:eastAsia="IRNazanin" w:cs="IRNazanin"/>
          <w:color w:val="111111"/>
          <w:sz w:val="28"/>
          <w:szCs w:val="28"/>
          <w:rtl w:val="true"/>
          <w:lang w:bidi="fa-IR"/>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من جمیع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دیة الجنایة من مال المولی المردّد بین ملکه الجانی أو ملک آخر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کان،فإطلاقات حکم جنایة مطلق المملوک </w:t>
      </w:r>
      <w:r>
        <w:rPr>
          <w:rStyle w:val="FootnoteAnchor"/>
          <w:rtl w:val="true"/>
        </w:rPr>
        <w:footnoteReference w:id="671"/>
      </w:r>
      <w:r>
        <w:rPr>
          <w:rFonts w:ascii="IRNazanin" w:hAnsi="IRNazanin" w:eastAsia="IRNazanin"/>
          <w:color w:val="111111"/>
          <w:sz w:val="28"/>
          <w:sz w:val="28"/>
          <w:szCs w:val="28"/>
          <w:rtl w:val="true"/>
          <w:lang w:bidi="fa-IR"/>
        </w:rPr>
        <w:t>سلیمة عن المخصّص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یعارضها أیضاً إطلاق المنع عن بیع أُمّ الولد </w:t>
      </w:r>
      <w:r>
        <w:rPr>
          <w:rStyle w:val="FootnoteAnchor"/>
          <w:rtl w:val="true"/>
        </w:rPr>
        <w:footnoteReference w:id="672"/>
      </w:r>
      <w:r>
        <w:rPr>
          <w:rFonts w:ascii="IRNazanin" w:hAnsi="IRNazanin" w:eastAsia="IRNazanin"/>
          <w:color w:val="111111"/>
          <w:sz w:val="28"/>
          <w:sz w:val="28"/>
          <w:szCs w:val="28"/>
          <w:rtl w:val="true"/>
          <w:lang w:bidi="fa-IR"/>
        </w:rPr>
        <w:t>لأنّ ترک فدائها و التخلیة بینها،و بین المجنیّ علیه لیس نقلاً لها</w:t>
      </w:r>
      <w:r>
        <w:rPr>
          <w:rFonts w:eastAsia="IRNazanin" w:cs="IRNazanin"/>
          <w:color w:val="111111"/>
          <w:sz w:val="28"/>
          <w:szCs w:val="28"/>
          <w:rtl w:val="true"/>
          <w:lang w:bidi="fa-IR"/>
        </w:rPr>
        <w:t>.</w:t>
      </w:r>
      <w:bookmarkStart w:id="248" w:name="pg19861_202420"/>
    </w:p>
    <w:p>
      <w:pPr>
        <w:pStyle w:val="BookText"/>
        <w:rPr/>
      </w:pPr>
      <w:bookmarkEnd w:id="248"/>
      <w:r>
        <w:rPr>
          <w:rFonts w:ascii="Amiri" w:hAnsi="Amiri" w:eastAsia="Amiri" w:cs="Amiri"/>
          <w:color w:val="111111"/>
          <w:sz w:val="28"/>
          <w:sz w:val="28"/>
          <w:szCs w:val="28"/>
          <w:rtl w:val="true"/>
          <w:lang w:bidi="ar-SA"/>
        </w:rPr>
        <w:t xml:space="preserve">خلافاً للمحکیّ </w:t>
      </w:r>
      <w:r>
        <w:rPr>
          <w:rStyle w:val="FootnoteAnchor"/>
          <w:rtl w:val="true"/>
        </w:rPr>
        <w:footnoteReference w:id="673"/>
      </w:r>
      <w:r>
        <w:rPr>
          <w:rFonts w:ascii="IRNazanin" w:hAnsi="IRNazanin" w:eastAsia="IRNazanin"/>
          <w:color w:val="111111"/>
          <w:sz w:val="28"/>
          <w:sz w:val="28"/>
          <w:szCs w:val="28"/>
          <w:rtl w:val="true"/>
          <w:lang w:bidi="fa-IR"/>
        </w:rPr>
        <w:t xml:space="preserve">عن موضع من المبسوط </w:t>
      </w:r>
      <w:r>
        <w:rPr>
          <w:rStyle w:val="FootnoteAnchor"/>
          <w:rtl w:val="true"/>
        </w:rPr>
        <w:footnoteReference w:id="674"/>
      </w:r>
      <w:r>
        <w:rPr>
          <w:rFonts w:ascii="Amiri" w:hAnsi="Amiri" w:eastAsia="Amiri" w:cs="Amiri"/>
          <w:color w:val="111111"/>
          <w:sz w:val="28"/>
          <w:sz w:val="28"/>
          <w:szCs w:val="28"/>
          <w:rtl w:val="true"/>
          <w:lang w:bidi="ar-SA"/>
        </w:rPr>
        <w:t xml:space="preserve">و المهذّب </w:t>
      </w:r>
      <w:r>
        <w:rPr>
          <w:rStyle w:val="FootnoteAnchor"/>
          <w:rtl w:val="true"/>
        </w:rPr>
        <w:footnoteReference w:id="675"/>
      </w:r>
      <w:r>
        <w:rPr>
          <w:rFonts w:ascii="IRNazanin" w:hAnsi="IRNazanin" w:eastAsia="IRNazanin"/>
          <w:color w:val="111111"/>
          <w:sz w:val="28"/>
          <w:sz w:val="28"/>
          <w:szCs w:val="28"/>
          <w:rtl w:val="true"/>
          <w:lang w:bidi="fa-IR"/>
        </w:rPr>
        <w:t xml:space="preserve">و المختلف </w:t>
      </w:r>
      <w:r>
        <w:rPr>
          <w:rStyle w:val="FootnoteAnchor"/>
          <w:rtl w:val="true"/>
        </w:rPr>
        <w:footnoteReference w:id="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تعیین الفداء علی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لعلّه للروایتین </w:t>
      </w:r>
      <w:r>
        <w:rPr>
          <w:rStyle w:val="FootnoteAnchor"/>
          <w:rtl w:val="true"/>
        </w:rPr>
        <w:footnoteReference w:id="677"/>
      </w:r>
      <w:r>
        <w:rPr>
          <w:rFonts w:ascii="IRNazanin" w:hAnsi="IRNazanin" w:eastAsia="IRNazanin"/>
          <w:color w:val="111111"/>
          <w:sz w:val="28"/>
          <w:sz w:val="28"/>
          <w:szCs w:val="28"/>
          <w:rtl w:val="true"/>
          <w:lang w:bidi="fa-IR"/>
        </w:rPr>
        <w:t>المؤیّدتین بأنّ استیلاد المولی هو الذی أبطل أحد طرفی التخییر فتعیّن علیه الآخر؛بناءً علی أنّه لا فرق بین إبطال أحد طرفی التخییر بعد الجنایة کما لو قتل أو باع عبده الجانی و بین إبطاله قبلها،کالاستیلاد الموجب لعدم تأثیر أسباب الانتقال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معنی الروایتین،و المؤیّد مصادرة لا یبطل به إطلاق النصوص</w:t>
      </w:r>
      <w:r>
        <w:rPr>
          <w:rFonts w:eastAsia="IRNazanin" w:cs="IRNazanin"/>
          <w:color w:val="111111"/>
          <w:sz w:val="28"/>
          <w:szCs w:val="28"/>
          <w:rtl w:val="true"/>
          <w:lang w:bidi="fa-IR"/>
        </w:rPr>
        <w:t>.</w:t>
      </w:r>
    </w:p>
    <w:p>
      <w:pPr>
        <w:pStyle w:val="Heading6"/>
        <w:numPr>
          <w:ilvl w:val="5"/>
          <w:numId w:val="1"/>
        </w:numPr>
        <w:rPr/>
      </w:pPr>
      <w:bookmarkStart w:id="249" w:name="__RefHeading___Toc5119031_2314609296"/>
      <w:bookmarkStart w:id="250" w:name="_Toc100"/>
      <w:bookmarkEnd w:id="249"/>
      <w:r>
        <w:rPr>
          <w:rtl w:val="true"/>
        </w:rPr>
        <w:t>و منها</w:t>
      </w:r>
      <w:bookmarkEnd w:id="250"/>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جنت علی مولاها بما یوجب صحّة استرقاقها لو کان المجنیّ علیه غیر المولی،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تعود مِلکاً طِلْقاً بجنایتها علی مولاها، فیجوز له التصرّف الناقل فیها کما هو المحکیّ فی الروضة عن بعض </w:t>
      </w:r>
      <w:r>
        <w:rPr>
          <w:rStyle w:val="FootnoteAnchor"/>
          <w:rtl w:val="true"/>
        </w:rPr>
        <w:footnoteReference w:id="679"/>
      </w:r>
      <w:r>
        <w:rPr>
          <w:rFonts w:ascii="IRNazanin" w:hAnsi="IRNazanin" w:eastAsia="IRNazanin"/>
          <w:color w:val="111111"/>
          <w:sz w:val="28"/>
          <w:sz w:val="28"/>
          <w:szCs w:val="28"/>
          <w:rtl w:val="true"/>
          <w:lang w:bidi="fa-IR"/>
        </w:rPr>
        <w:t xml:space="preserve">و عدّها السیوری من صور الجواز </w:t>
      </w:r>
      <w:r>
        <w:rPr>
          <w:rStyle w:val="FootnoteAnchor"/>
          <w:rtl w:val="true"/>
        </w:rPr>
        <w:footnoteReference w:id="680"/>
      </w:r>
      <w:r>
        <w:rPr>
          <w:rFonts w:ascii="IRNazanin" w:hAnsi="IRNazanin" w:eastAsia="IRNazanin"/>
          <w:color w:val="111111"/>
          <w:sz w:val="28"/>
          <w:sz w:val="28"/>
          <w:szCs w:val="28"/>
          <w:rtl w:val="true"/>
          <w:lang w:bidi="fa-IR"/>
        </w:rPr>
        <w:t>أم لا؟کما هو المشهور؛إذ لم</w:t>
      </w:r>
    </w:p>
    <w:p>
      <w:pPr>
        <w:pStyle w:val="BookText"/>
        <w:rPr/>
      </w:pPr>
      <w:r>
        <w:rPr>
          <w:rFonts w:ascii="IRNazanin" w:hAnsi="IRNazanin" w:eastAsia="IRNazanin"/>
          <w:color w:val="111111"/>
          <w:sz w:val="28"/>
          <w:sz w:val="28"/>
          <w:szCs w:val="28"/>
          <w:rtl w:val="true"/>
          <w:lang w:bidi="fa-IR"/>
        </w:rPr>
        <w:t>یتحقّق بجنایتها علی مولاها إلّا جواز الاقتصاص منها،و أمّا الاسترقاق فهو تحصیل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 فی توجیهه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الأسباب الشرعیّة تؤثّر بقدر الإمکان،فإذا لم تؤثّر الجنایة الاسترقاق أمکن أن یتحقّق للمولی أثر جدید،و هو استقلال جدید فی التصرّف فیها،مضافاً إلی أنّ استرقاقها لترک القصاص کفکاک رقابهنّ الذی أُنیط به الجواز فی صحیحة ابن یزید المتقدّمة </w:t>
      </w:r>
      <w:r>
        <w:rPr>
          <w:rStyle w:val="FootnoteAnchor"/>
          <w:rtl w:val="true"/>
        </w:rPr>
        <w:footnoteReference w:id="681"/>
      </w:r>
      <w:r>
        <w:rPr>
          <w:rFonts w:ascii="IRNazanin" w:hAnsi="IRNazanin" w:eastAsia="IRNazanin"/>
          <w:color w:val="111111"/>
          <w:sz w:val="28"/>
          <w:sz w:val="28"/>
          <w:szCs w:val="28"/>
          <w:rtl w:val="true"/>
          <w:lang w:bidi="fa-IR"/>
        </w:rPr>
        <w:t xml:space="preserve">مضافاً إلی أنّ المنع عن التصرّف لأجل التخفیف لا یناسب الجانی عمداً </w:t>
      </w:r>
      <w:r>
        <w:rPr>
          <w:rStyle w:val="FootnoteAnchor"/>
          <w:rtl w:val="true"/>
        </w:rPr>
        <w:footnoteReference w:id="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فمندفع بما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الجنایة علی مولاها خطأً،فلا إشکال فی أنّها لا تجوّز التصرّف فیها،کما لا یخفی،و روی الشیخ فی الموثّق عن غیاث،عن جعفر،عن أبیه،عن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الولد إذا قتلت سیّدها خطأً فهی حرّة لا سعایة علیها</w:t>
      </w:r>
      <w:r>
        <w:rPr>
          <w:rFonts w:eastAsia="IRNazanin" w:cs="IRNazanin"/>
          <w:color w:val="111111"/>
          <w:sz w:val="28"/>
          <w:szCs w:val="28"/>
          <w:rtl w:val="true"/>
          <w:lang w:bidi="fa-IR"/>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الشیخ و الصدوق بإسنادهما عن وهب بن وهب،عن جعفر، عن أبیه صلوات اللّٰه و سلامه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 الولد إذا قتلت سیّدها خطأً فهی حرّة لا سبیل علیها،و إن قتلته عمداً قُتلت به</w:t>
      </w:r>
      <w:r>
        <w:rPr>
          <w:rFonts w:eastAsia="IRNazanin" w:cs="IRNazanin"/>
          <w:color w:val="111111"/>
          <w:sz w:val="28"/>
          <w:szCs w:val="28"/>
          <w:rtl w:val="true"/>
          <w:lang w:bidi="fa-IR"/>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bookmarkStart w:id="251" w:name="pg19861_202422"/>
    </w:p>
    <w:p>
      <w:pPr>
        <w:pStyle w:val="BookText"/>
        <w:rPr/>
      </w:pPr>
      <w:bookmarkEnd w:id="251"/>
      <w:r>
        <w:rPr>
          <w:rFonts w:ascii="IRNazanin" w:hAnsi="IRNazanin" w:eastAsia="IRNazanin"/>
          <w:color w:val="111111"/>
          <w:sz w:val="28"/>
          <w:sz w:val="28"/>
          <w:szCs w:val="28"/>
          <w:rtl w:val="true"/>
          <w:lang w:bidi="fa-IR"/>
        </w:rPr>
        <w:t>و عن الشیخ،عن حمّاد،عن جعفر،عن أبیه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قتلت أُمّ الولد مولاها سعت فی قیمتها</w:t>
      </w:r>
      <w:r>
        <w:rPr>
          <w:rFonts w:eastAsia="IRNazanin" w:cs="IRNazanin"/>
          <w:color w:val="111111"/>
          <w:sz w:val="28"/>
          <w:szCs w:val="28"/>
          <w:rtl w:val="true"/>
          <w:lang w:bidi="fa-IR"/>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حملها علی سعیها فی بقیّة قیمتها إذا قصر نصیب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فی التهذیب و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 بینهما بغیر ذلک، فراجع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2" w:name="__RefHeading___Toc5119033_2314609296"/>
      <w:bookmarkStart w:id="253" w:name="_Toc101"/>
      <w:bookmarkEnd w:id="252"/>
      <w:r>
        <w:rPr>
          <w:rtl w:val="true"/>
        </w:rPr>
        <w:t>و منها</w:t>
      </w:r>
      <w:bookmarkEnd w:id="253"/>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جنی حرّ علیها بما فیه دیتها،</w:t>
      </w:r>
    </w:p>
    <w:p>
      <w:pPr>
        <w:pStyle w:val="BookText"/>
        <w:rPr/>
      </w:pPr>
      <w:r>
        <w:rPr>
          <w:rFonts w:ascii="IRNazanin" w:hAnsi="IRNazanin" w:eastAsia="IRNazanin"/>
          <w:color w:val="111111"/>
          <w:sz w:val="28"/>
          <w:sz w:val="28"/>
          <w:szCs w:val="28"/>
          <w:rtl w:val="true"/>
          <w:lang w:bidi="fa-IR"/>
        </w:rPr>
        <w:t>فإنّها لو لم تکن مستولدة کان للمولی التخییر بین دفعها إلی الجانی و أخذ قیمتها،و بین إمساکها،و لا شیء له؛لئلّا یلزم الجمع بین العوض و المعوَّض،ففی المستولدة یحتمل ذلک،و یحتمل أن لا یجوز للمولی أخذ القیمة،لیلزم منه استحقاق الجانی للرقبة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احتمال منع الجانی عن أخذها و عدم تملّکه لها بعد أخذ الدیة منه،فلا وجه له؛لأنّ الاستیلاد یمنع عن المعاوضة أو ما فی حکمها، لا </w:t>
      </w:r>
      <w:r>
        <w:rPr>
          <w:rStyle w:val="FootnoteAnchor"/>
          <w:rtl w:val="true"/>
        </w:rPr>
        <w:footnoteReference w:id="688"/>
      </w:r>
      <w:r>
        <w:rPr>
          <w:rFonts w:ascii="IRNazanin" w:hAnsi="IRNazanin" w:eastAsia="IRNazanin"/>
          <w:color w:val="111111"/>
          <w:sz w:val="28"/>
          <w:sz w:val="28"/>
          <w:szCs w:val="28"/>
          <w:rtl w:val="true"/>
          <w:lang w:bidi="fa-IR"/>
        </w:rPr>
        <w:t xml:space="preserve">عن أخذ العوض بعد إعطاء المعوّض </w:t>
      </w:r>
      <w:r>
        <w:rPr>
          <w:rStyle w:val="FootnoteAnchor"/>
          <w:rtl w:val="true"/>
        </w:rPr>
        <w:footnoteReference w:id="689"/>
      </w:r>
      <w:r>
        <w:rPr>
          <w:rFonts w:ascii="IRNazanin" w:hAnsi="IRNazanin" w:eastAsia="IRNazanin"/>
          <w:color w:val="111111"/>
          <w:sz w:val="28"/>
          <w:sz w:val="28"/>
          <w:szCs w:val="28"/>
          <w:rtl w:val="true"/>
          <w:lang w:bidi="fa-IR"/>
        </w:rPr>
        <w:t>بحکم الشرع</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المسألة من أصلها موضع إشکال؛لعدم لزوم الجمع بین العوض</w:t>
      </w:r>
      <w:bookmarkStart w:id="254" w:name="pg19861_202423"/>
    </w:p>
    <w:p>
      <w:pPr>
        <w:pStyle w:val="BookText"/>
        <w:rPr/>
      </w:pPr>
      <w:bookmarkEnd w:id="254"/>
      <w:r>
        <w:rPr>
          <w:rFonts w:ascii="IRNazanin" w:hAnsi="IRNazanin" w:eastAsia="IRNazanin"/>
          <w:color w:val="111111"/>
          <w:sz w:val="28"/>
          <w:sz w:val="28"/>
          <w:szCs w:val="28"/>
          <w:rtl w:val="true"/>
          <w:lang w:bidi="fa-IR"/>
        </w:rPr>
        <w:t>و المعوّض؛لأنّ الدیة عوض شرعی عمّا فات بالجنایة،لا عن رقبة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محلّه</w:t>
      </w:r>
      <w:r>
        <w:rPr>
          <w:rFonts w:eastAsia="IRNazanin" w:cs="IRNazanin"/>
          <w:color w:val="111111"/>
          <w:sz w:val="28"/>
          <w:szCs w:val="28"/>
          <w:rtl w:val="true"/>
          <w:lang w:bidi="fa-IR"/>
        </w:rPr>
        <w:t>.</w:t>
      </w:r>
    </w:p>
    <w:p>
      <w:pPr>
        <w:pStyle w:val="Heading6"/>
        <w:numPr>
          <w:ilvl w:val="5"/>
          <w:numId w:val="1"/>
        </w:numPr>
        <w:rPr/>
      </w:pPr>
      <w:bookmarkStart w:id="255" w:name="__RefHeading___Toc5119035_2314609296"/>
      <w:bookmarkStart w:id="256" w:name="_Toc102"/>
      <w:bookmarkEnd w:id="255"/>
      <w:r>
        <w:rPr>
          <w:rtl w:val="true"/>
        </w:rPr>
        <w:t>و منها</w:t>
      </w:r>
      <w:bookmarkEnd w:id="256"/>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لحقت بدار الحرب ثمّ استرقّت،</w:t>
      </w:r>
    </w:p>
    <w:p>
      <w:pPr>
        <w:pStyle w:val="BookText"/>
        <w:rPr/>
      </w:pPr>
      <w:r>
        <w:rPr>
          <w:rFonts w:ascii="IRNazanin" w:hAnsi="IRNazanin" w:eastAsia="IRNazanin"/>
          <w:color w:val="111111"/>
          <w:sz w:val="28"/>
          <w:sz w:val="28"/>
          <w:szCs w:val="28"/>
          <w:rtl w:val="true"/>
          <w:lang w:bidi="fa-IR"/>
        </w:rPr>
        <w:t xml:space="preserve">حکاه فی الروضة </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أسرها المشرکون ثمّ استعادها المسلمون فکأنه فیما إذا </w:t>
      </w:r>
      <w:r>
        <w:rPr>
          <w:rStyle w:val="FootnoteAnchor"/>
          <w:rtl w:val="true"/>
        </w:rPr>
        <w:footnoteReference w:id="692"/>
      </w:r>
      <w:r>
        <w:rPr>
          <w:rFonts w:ascii="IRNazanin" w:hAnsi="IRNazanin" w:eastAsia="IRNazanin"/>
          <w:color w:val="111111"/>
          <w:sz w:val="28"/>
          <w:sz w:val="28"/>
          <w:szCs w:val="28"/>
          <w:rtl w:val="true"/>
          <w:lang w:bidi="fa-IR"/>
        </w:rPr>
        <w:t xml:space="preserve">أسرها غیر مولاها فلم یثبت کونها أمة المولی إلّا بعد القسمة،و قلنا بأنّ القسمة لا تنقص </w:t>
      </w:r>
      <w:r>
        <w:rPr>
          <w:rStyle w:val="FootnoteAnchor"/>
          <w:rtl w:val="true"/>
        </w:rPr>
        <w:footnoteReference w:id="693"/>
      </w:r>
      <w:r>
        <w:rPr>
          <w:rFonts w:ascii="IRNazanin" w:hAnsi="IRNazanin" w:eastAsia="IRNazanin"/>
          <w:color w:val="111111"/>
          <w:sz w:val="28"/>
          <w:sz w:val="28"/>
          <w:szCs w:val="28"/>
          <w:rtl w:val="true"/>
          <w:lang w:bidi="fa-IR"/>
        </w:rPr>
        <w:t>و یغرم الإمام قیمتها لمالکها لکن المحکیّ عن الأکثر و المنصوص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تردّ علی مالکها،و یغرم قیمتها للمقاتلة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7" w:name="__RefHeading___Toc5119037_2314609296"/>
      <w:bookmarkStart w:id="258" w:name="_Toc103"/>
      <w:bookmarkEnd w:id="257"/>
      <w:r>
        <w:rPr>
          <w:rtl w:val="true"/>
        </w:rPr>
        <w:t>و منها</w:t>
      </w:r>
      <w:bookmarkEnd w:id="258"/>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خرج مولاها عن الذمّة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ملکت أموالُه التی هی منها</w:t>
      </w:r>
      <w:r>
        <w:rPr>
          <w:rFonts w:eastAsia="IRNazanin" w:cs="IRNazanin"/>
          <w:color w:val="111111"/>
          <w:sz w:val="28"/>
          <w:szCs w:val="28"/>
          <w:rtl w:val="true"/>
          <w:lang w:bidi="fa-IR"/>
        </w:rPr>
        <w:t>.</w:t>
      </w:r>
      <w:bookmarkStart w:id="259" w:name="pg19861_202424"/>
    </w:p>
    <w:p>
      <w:pPr>
        <w:pStyle w:val="Heading6"/>
        <w:numPr>
          <w:ilvl w:val="5"/>
          <w:numId w:val="1"/>
        </w:numPr>
        <w:rPr/>
      </w:pPr>
      <w:bookmarkStart w:id="260" w:name="__RefHeading___Toc5119039_2314609296"/>
      <w:bookmarkStart w:id="261" w:name="_Toc104"/>
      <w:bookmarkEnd w:id="259"/>
      <w:bookmarkEnd w:id="260"/>
      <w:r>
        <w:rPr>
          <w:rtl w:val="true"/>
        </w:rPr>
        <w:t>و منها</w:t>
      </w:r>
      <w:bookmarkEnd w:id="261"/>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مولاها ذمّیا و قتل مسلماً،</w:t>
      </w:r>
    </w:p>
    <w:p>
      <w:pPr>
        <w:pStyle w:val="BookText"/>
        <w:rPr/>
      </w:pPr>
      <w:r>
        <w:rPr>
          <w:rFonts w:ascii="IRNazanin" w:hAnsi="IRNazanin" w:eastAsia="IRNazanin"/>
          <w:color w:val="111111"/>
          <w:sz w:val="28"/>
          <w:sz w:val="28"/>
          <w:szCs w:val="28"/>
          <w:rtl w:val="true"/>
          <w:lang w:bidi="fa-IR"/>
        </w:rPr>
        <w:t>فإنّه یدفع هو و أمواله إلی أولیاء المقتول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ظفرت به من موارد القسم الأوّل،و هو ما إذا عرض لاُمّ الولد حقّ للغیر أقوی من الاستیلاد</w:t>
      </w:r>
      <w:r>
        <w:rPr>
          <w:rFonts w:eastAsia="IRNazanin" w:cs="IRNazanin"/>
          <w:color w:val="111111"/>
          <w:sz w:val="28"/>
          <w:szCs w:val="28"/>
          <w:rtl w:val="true"/>
          <w:lang w:bidi="fa-IR"/>
        </w:rPr>
        <w:t>.</w:t>
      </w:r>
    </w:p>
    <w:p>
      <w:pPr>
        <w:pStyle w:val="Heading6"/>
        <w:numPr>
          <w:ilvl w:val="5"/>
          <w:numId w:val="1"/>
        </w:numPr>
        <w:rPr/>
      </w:pPr>
      <w:bookmarkStart w:id="262" w:name="__RefHeading___Toc5119041_2314609296"/>
      <w:bookmarkStart w:id="263" w:name="_Toc105"/>
      <w:bookmarkEnd w:id="262"/>
      <w:r>
        <w:rPr>
          <w:rtl w:val="true"/>
        </w:rPr>
        <w:t>و أمّا القسم الثانی</w:t>
      </w:r>
      <w:bookmarkEnd w:id="263"/>
    </w:p>
    <w:p>
      <w:pPr>
        <w:pStyle w:val="BookText"/>
        <w:rPr/>
      </w:pPr>
      <w:r>
        <w:rPr>
          <w:rFonts w:ascii="IRNazanin" w:hAnsi="IRNazanin" w:eastAsia="IRNazanin"/>
          <w:color w:val="111111"/>
          <w:sz w:val="28"/>
          <w:sz w:val="28"/>
          <w:szCs w:val="28"/>
          <w:rtl w:val="true"/>
          <w:lang w:bidi="fa-IR"/>
        </w:rPr>
        <w:t xml:space="preserve">و أمّا القسم الثانی </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إذا عرض لها حقّ لنفسها أولی بالمراعاة من حقّ الاستیلاد،</w:t>
      </w:r>
    </w:p>
    <w:p>
      <w:pPr>
        <w:pStyle w:val="Heading6"/>
        <w:numPr>
          <w:ilvl w:val="5"/>
          <w:numId w:val="1"/>
        </w:numPr>
        <w:rPr/>
      </w:pPr>
      <w:bookmarkStart w:id="264" w:name="__RefHeading___Toc5119043_2314609296"/>
      <w:bookmarkStart w:id="265" w:name="_Toc106"/>
      <w:bookmarkEnd w:id="264"/>
      <w:r>
        <w:rPr>
          <w:rtl w:val="true"/>
        </w:rPr>
        <w:t>فمن موارده</w:t>
      </w:r>
      <w:r>
        <w:rPr>
          <w:rtl w:val="true"/>
        </w:rPr>
        <w:t>:</w:t>
      </w:r>
      <w:bookmarkEnd w:id="265"/>
    </w:p>
    <w:p>
      <w:pPr>
        <w:pStyle w:val="BookText"/>
        <w:rPr/>
      </w:pPr>
      <w:r>
        <w:rPr>
          <w:rFonts w:ascii="IRNazanin" w:hAnsi="IRNazanin" w:eastAsia="IRNazanin"/>
          <w:color w:val="111111"/>
          <w:sz w:val="28"/>
          <w:sz w:val="28"/>
          <w:szCs w:val="28"/>
          <w:rtl w:val="true"/>
          <w:lang w:bidi="fa-IR"/>
        </w:rPr>
        <w:t>ما إذا أسلمت و هی أمة ذمّی،</w:t>
      </w:r>
    </w:p>
    <w:p>
      <w:pPr>
        <w:pStyle w:val="BookText"/>
        <w:rPr/>
      </w:pPr>
      <w:r>
        <w:rPr>
          <w:rFonts w:ascii="IRNazanin" w:hAnsi="IRNazanin" w:eastAsia="IRNazanin"/>
          <w:color w:val="111111"/>
          <w:sz w:val="28"/>
          <w:sz w:val="28"/>
          <w:szCs w:val="28"/>
          <w:rtl w:val="true"/>
          <w:lang w:bidi="fa-IR"/>
        </w:rPr>
        <w:t>فإنّها تباع علیه؛بناءً علی أنّ حقّ إسلامها المقتضی لعدم سلطنة الکافر علیها أولی من حقّ الاستیلاد المعرِّض للعتق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تکافؤ دلیلهما کان المرجع عمومات صحّة البیع دون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سلطنة الناس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المقتضیة لعدم جواز بیعها علیه؛لأنّ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ارتفعت بحکومة أدلّة نفی سلطنة الکافر علی المسلم </w:t>
      </w:r>
      <w:r>
        <w:rPr>
          <w:rStyle w:val="FootnoteAnchor"/>
          <w:rtl w:val="true"/>
        </w:rPr>
        <w:footnoteReference w:id="698"/>
      </w:r>
      <w:r>
        <w:rPr>
          <w:rFonts w:ascii="Amiri" w:hAnsi="Amiri" w:eastAsia="Amiri" w:cs="Amiri"/>
          <w:color w:val="111111"/>
          <w:sz w:val="28"/>
          <w:sz w:val="28"/>
          <w:szCs w:val="28"/>
          <w:rtl w:val="true"/>
          <w:lang w:bidi="ar-SA"/>
        </w:rPr>
        <w:t>،فالمالک لیس مسلّطاً قطعاً،و لا حقّ له فی عین الملک جزماً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الکلام فی تعارض حقّی أُمّ الولد من حیث کونها مسلمة فلا یجوز کونها مقهورة بید الکافر،و من حیث کونها فی معرض العتق فلا یجوز إخراجها عن هذه العرضة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الأوّل أولی؛للاعتبار، و حکومة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جُلّ القواعد،و لقوله صلّی اللّٰه علیه و آله و سلم</w:t>
      </w:r>
      <w:r>
        <w:rPr>
          <w:rFonts w:eastAsia="IRNazanin" w:cs="IRNazanin"/>
          <w:color w:val="111111"/>
          <w:sz w:val="28"/>
          <w:szCs w:val="28"/>
          <w:rtl w:val="true"/>
          <w:lang w:bidi="fa-IR"/>
        </w:rPr>
        <w:t>:</w:t>
      </w:r>
      <w:bookmarkStart w:id="266" w:name="pg19861_202425"/>
    </w:p>
    <w:p>
      <w:pPr>
        <w:pStyle w:val="BookText"/>
        <w:rPr/>
      </w:pPr>
      <w:bookmarkEnd w:id="2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وجه للتمسّک باستصحاب المنع قبل إسلامها؛لأنّ الشکّ إنّما هو فی طروّ ما هو مقدّم علی حقّ الاستیلاد و الأصل عدمه </w:t>
      </w:r>
      <w:r>
        <w:rPr>
          <w:rStyle w:val="FootnoteAnchor"/>
          <w:rtl w:val="true"/>
        </w:rPr>
        <w:footnoteReference w:id="700"/>
      </w:r>
      <w:r>
        <w:rPr>
          <w:rFonts w:ascii="IRNazanin" w:hAnsi="IRNazanin" w:eastAsia="IRNazanin"/>
          <w:color w:val="111111"/>
          <w:sz w:val="28"/>
          <w:sz w:val="28"/>
          <w:szCs w:val="28"/>
          <w:rtl w:val="true"/>
          <w:lang w:bidi="fa-IR"/>
        </w:rPr>
        <w:t>،مع إمکان معارضة الأصل بمثله لو فرض فی بعض الصور تقدّم الإسلام علی المنع عن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701"/>
      </w:r>
      <w:r>
        <w:rPr>
          <w:rFonts w:ascii="IRNazanin" w:hAnsi="IRNazanin" w:eastAsia="IRNazanin"/>
          <w:color w:val="111111"/>
          <w:sz w:val="28"/>
          <w:sz w:val="28"/>
          <w:szCs w:val="28"/>
          <w:rtl w:val="true"/>
          <w:lang w:bidi="fa-IR"/>
        </w:rPr>
        <w:t>مع إمکان دعوی ظهور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سلطنة المالک و تقدیم حقّ الاستیلاد علی حقّ الملک،فلا ینافی تقدیم حقٍّ آخر لها علی هذا الحقّ</w:t>
      </w:r>
      <w:r>
        <w:rPr>
          <w:rFonts w:eastAsia="IRNazanin" w:cs="IRNazanin"/>
          <w:color w:val="111111"/>
          <w:sz w:val="28"/>
          <w:szCs w:val="28"/>
          <w:rtl w:val="true"/>
          <w:lang w:bidi="fa-IR"/>
        </w:rPr>
        <w:t>.</w:t>
      </w:r>
    </w:p>
    <w:p>
      <w:pPr>
        <w:pStyle w:val="Heading6"/>
        <w:numPr>
          <w:ilvl w:val="5"/>
          <w:numId w:val="1"/>
        </w:numPr>
        <w:rPr/>
      </w:pPr>
      <w:bookmarkStart w:id="267" w:name="__RefHeading___Toc5119045_2314609296"/>
      <w:bookmarkStart w:id="268" w:name="_Toc107"/>
      <w:bookmarkEnd w:id="267"/>
      <w:r>
        <w:rPr>
          <w:rtl w:val="true"/>
        </w:rPr>
        <w:t>و منها</w:t>
      </w:r>
      <w:bookmarkEnd w:id="268"/>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عجز مولاها عن نفقتها و لو بکسبها </w:t>
      </w:r>
      <w:r>
        <w:rPr>
          <w:rStyle w:val="FootnoteAnchor"/>
          <w:rtl w:val="true"/>
        </w:rPr>
        <w:footnoteReference w:id="703"/>
      </w:r>
      <w:r>
        <w:rPr>
          <w:rFonts w:ascii="IRNazanin" w:hAnsi="IRNazanin" w:eastAsia="IRNazanin"/>
          <w:color w:val="111111"/>
          <w:sz w:val="28"/>
          <w:sz w:val="28"/>
          <w:szCs w:val="28"/>
          <w:rtl w:val="true"/>
          <w:lang w:bidi="fa-IR"/>
        </w:rPr>
        <w:t xml:space="preserve">،فتباع </w:t>
      </w:r>
      <w:r>
        <w:rPr>
          <w:rStyle w:val="FootnoteAnchor"/>
          <w:rtl w:val="true"/>
        </w:rPr>
        <w:footnoteReference w:id="704"/>
      </w:r>
      <w:r>
        <w:rPr>
          <w:rFonts w:ascii="IRNazanin" w:hAnsi="IRNazanin" w:eastAsia="IRNazanin"/>
          <w:color w:val="111111"/>
          <w:sz w:val="28"/>
          <w:sz w:val="28"/>
          <w:szCs w:val="28"/>
          <w:rtl w:val="true"/>
          <w:lang w:bidi="fa-IR"/>
        </w:rPr>
        <w:t>علی من ینفق علیها،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ما حکی </w:t>
      </w:r>
      <w:r>
        <w:rPr>
          <w:rStyle w:val="FootnoteAnchor"/>
          <w:rtl w:val="true"/>
        </w:rPr>
        <w:footnoteReference w:id="705"/>
      </w:r>
      <w:r>
        <w:rPr>
          <w:rFonts w:ascii="Amiri" w:hAnsi="Amiri" w:eastAsia="Amiri" w:cs="Amiri"/>
          <w:color w:val="111111"/>
          <w:sz w:val="28"/>
          <w:sz w:val="28"/>
          <w:szCs w:val="28"/>
          <w:rtl w:val="true"/>
          <w:lang w:bidi="ar-SA"/>
        </w:rPr>
        <w:t xml:space="preserve">عن اللمعة </w:t>
      </w:r>
      <w:r>
        <w:rPr>
          <w:rStyle w:val="FootnoteAnchor"/>
          <w:rtl w:val="true"/>
        </w:rPr>
        <w:footnoteReference w:id="706"/>
      </w:r>
      <w:r>
        <w:rPr>
          <w:rFonts w:ascii="IRNazanin" w:hAnsi="IRNazanin" w:eastAsia="IRNazanin"/>
          <w:color w:val="111111"/>
          <w:sz w:val="28"/>
          <w:sz w:val="28"/>
          <w:szCs w:val="28"/>
          <w:rtl w:val="true"/>
          <w:lang w:bidi="fa-IR"/>
        </w:rPr>
        <w:t xml:space="preserve">و کنز العرفان </w:t>
      </w:r>
      <w:r>
        <w:rPr>
          <w:rStyle w:val="FootnoteAnchor"/>
          <w:rtl w:val="true"/>
        </w:rPr>
        <w:footnoteReference w:id="707"/>
      </w:r>
      <w:r>
        <w:rPr>
          <w:rFonts w:ascii="IRNazanin" w:hAnsi="IRNazanin" w:eastAsia="IRNazanin"/>
          <w:color w:val="111111"/>
          <w:sz w:val="28"/>
          <w:sz w:val="28"/>
          <w:szCs w:val="28"/>
          <w:rtl w:val="true"/>
          <w:lang w:bidi="fa-IR"/>
        </w:rPr>
        <w:t xml:space="preserve">و أبی العباس </w:t>
      </w:r>
      <w:r>
        <w:rPr>
          <w:rStyle w:val="FootnoteAnchor"/>
          <w:rtl w:val="true"/>
        </w:rPr>
        <w:footnoteReference w:id="708"/>
      </w:r>
      <w:r>
        <w:rPr>
          <w:rFonts w:ascii="IRNazanin" w:hAnsi="IRNazanin" w:eastAsia="IRNazanin"/>
          <w:color w:val="111111"/>
          <w:sz w:val="28"/>
          <w:sz w:val="28"/>
          <w:szCs w:val="28"/>
          <w:rtl w:val="true"/>
          <w:lang w:bidi="fa-IR"/>
        </w:rPr>
        <w:t xml:space="preserve">و الصیمری </w:t>
      </w:r>
      <w:r>
        <w:rPr>
          <w:rStyle w:val="FootnoteAnchor"/>
          <w:rtl w:val="true"/>
        </w:rPr>
        <w:footnoteReference w:id="709"/>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bookmarkStart w:id="269" w:name="pg19861_202426"/>
    </w:p>
    <w:p>
      <w:pPr>
        <w:pStyle w:val="BookText"/>
        <w:rPr/>
      </w:pPr>
      <w:bookmarkEnd w:id="269"/>
      <w:r>
        <w:rPr>
          <w:rFonts w:ascii="IRNazanin" w:hAnsi="IRNazanin" w:eastAsia="IRNazanin"/>
          <w:color w:val="111111"/>
          <w:sz w:val="28"/>
          <w:sz w:val="28"/>
          <w:szCs w:val="28"/>
          <w:rtl w:val="true"/>
          <w:lang w:bidi="fa-IR"/>
        </w:rPr>
        <w:t>و قال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عجز عن الإنفاق علی أُمّ الولد أُمرت بالتکسّب،فإن عجزت أُنفق علیها من بیت المال،و لا یجب عتقها،و لو کانت الکفایة بالتزویج وجب،و لو تعذّر الجمیع ففی البیع إشکال </w:t>
      </w:r>
      <w:r>
        <w:rPr>
          <w:rStyle w:val="FootnoteAnchor"/>
          <w:rtl w:val="true"/>
        </w:rPr>
        <w:footnoteReference w:id="71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ظاهره عدم جواز البیع مهما أمکن الإنفاق من مال المولی، أو کسبها </w:t>
      </w:r>
      <w:r>
        <w:rPr>
          <w:rStyle w:val="FootnoteAnchor"/>
          <w:rtl w:val="true"/>
        </w:rPr>
        <w:footnoteReference w:id="712"/>
      </w:r>
      <w:r>
        <w:rPr>
          <w:rFonts w:ascii="IRNazanin" w:hAnsi="IRNazanin" w:eastAsia="IRNazanin"/>
          <w:color w:val="111111"/>
          <w:sz w:val="28"/>
          <w:sz w:val="28"/>
          <w:szCs w:val="28"/>
          <w:rtl w:val="true"/>
          <w:lang w:bidi="fa-IR"/>
        </w:rPr>
        <w:t xml:space="preserve">،أو مالها </w:t>
      </w:r>
      <w:r>
        <w:rPr>
          <w:rStyle w:val="FootnoteAnchor"/>
          <w:rtl w:val="true"/>
        </w:rPr>
        <w:footnoteReference w:id="713"/>
      </w:r>
      <w:r>
        <w:rPr>
          <w:rFonts w:ascii="IRNazanin" w:hAnsi="IRNazanin" w:eastAsia="IRNazanin"/>
          <w:color w:val="111111"/>
          <w:sz w:val="28"/>
          <w:sz w:val="28"/>
          <w:szCs w:val="28"/>
          <w:rtl w:val="true"/>
          <w:lang w:bidi="fa-IR"/>
        </w:rPr>
        <w:t>،أو عوض بُضعها،أو وجود من یؤخذ بنفقتها، أو بیت المال،و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عدم ذلک کلّه فلا یبعد المنع عن البیع أیضاً،و فرضها کالحرّ فی وجوب سدّ رمقها کفایةً علی جمیع من اطّلع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فرض عدم ذلک أیضاً،أو کون ذلک ضرراً عظیماً علیها، فلا یبعد الجواز؛لحکومة أدلّة نفی الضرر،و لأنّ رفع هذا عنها أولی من تحمّلها </w:t>
      </w:r>
      <w:r>
        <w:rPr>
          <w:rStyle w:val="FootnoteAnchor"/>
          <w:rtl w:val="true"/>
        </w:rPr>
        <w:footnoteReference w:id="714"/>
      </w:r>
      <w:r>
        <w:rPr>
          <w:rFonts w:ascii="IRNazanin" w:hAnsi="IRNazanin" w:eastAsia="IRNazanin"/>
          <w:color w:val="111111"/>
          <w:sz w:val="28"/>
          <w:sz w:val="28"/>
          <w:szCs w:val="28"/>
          <w:rtl w:val="true"/>
          <w:lang w:bidi="fa-IR"/>
        </w:rPr>
        <w:t>ذلک؛رجاء أن تنعتق من نصیب ولدها،مع جریان ما ذکرنا أخیراً فی الصورة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احتمال ظهور أدلّة المنع فی ترجیح حقّ الاستیلاد علی حقّ مالکها،لا علی حقّها الآخر،فتدبّر</w:t>
      </w:r>
      <w:r>
        <w:rPr>
          <w:rFonts w:eastAsia="IRNazanin" w:cs="IRNazanin"/>
          <w:color w:val="111111"/>
          <w:sz w:val="28"/>
          <w:szCs w:val="28"/>
          <w:rtl w:val="true"/>
          <w:lang w:bidi="fa-IR"/>
        </w:rPr>
        <w:t>.</w:t>
      </w:r>
    </w:p>
    <w:p>
      <w:pPr>
        <w:pStyle w:val="Heading6"/>
        <w:numPr>
          <w:ilvl w:val="5"/>
          <w:numId w:val="1"/>
        </w:numPr>
        <w:rPr/>
      </w:pPr>
      <w:bookmarkStart w:id="270" w:name="__RefHeading___Toc5119047_2314609296"/>
      <w:bookmarkStart w:id="271" w:name="_Toc108"/>
      <w:bookmarkEnd w:id="270"/>
      <w:r>
        <w:rPr>
          <w:rtl w:val="true"/>
        </w:rPr>
        <w:t>و منها</w:t>
      </w:r>
      <w:bookmarkEnd w:id="271"/>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بیعها علی من تنعتق علیه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حکی من الجماعة</w:t>
      </w:r>
      <w:bookmarkStart w:id="272" w:name="pg19861_202427"/>
    </w:p>
    <w:p>
      <w:pPr>
        <w:pStyle w:val="BookText"/>
        <w:rPr/>
      </w:pPr>
      <w:bookmarkEnd w:id="272"/>
      <w:r>
        <w:rPr>
          <w:rFonts w:ascii="IRNazanin" w:hAnsi="IRNazanin" w:eastAsia="IRNazanin"/>
          <w:color w:val="111111"/>
          <w:sz w:val="28"/>
          <w:sz w:val="28"/>
          <w:szCs w:val="28"/>
          <w:rtl w:val="true"/>
          <w:lang w:bidi="fa-IR"/>
        </w:rPr>
        <w:t xml:space="preserve">المتقدّم إلیهم الإشارة </w:t>
      </w:r>
      <w:r>
        <w:rPr>
          <w:rStyle w:val="FootnoteAnchor"/>
          <w:rtl w:val="true"/>
        </w:rPr>
        <w:footnoteReference w:id="716"/>
      </w:r>
      <w:r>
        <w:rPr>
          <w:rFonts w:ascii="Amiri" w:hAnsi="Amiri" w:eastAsia="Amiri" w:cs="Amiri"/>
          <w:color w:val="111111"/>
          <w:sz w:val="28"/>
          <w:sz w:val="28"/>
          <w:szCs w:val="28"/>
          <w:rtl w:val="true"/>
          <w:lang w:bidi="ar-SA"/>
        </w:rPr>
        <w:t>لأنّ فیه تعجیل حقّها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حسن لو عُلم أنّ العلّة حصول العتق،فلعلّ الحکمة انعتاقٌ خاصّ،اللهمّ إلّا أن یستند إلی ما ذکرنا أخیراً فی ظهور أدلّة المنع،أو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عتقٌ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یلحق بذلک بیعها بشرط العتق،فلو لم یفِ المشتری احتمل وجوب استردادها،کما عن الشهید الثانی </w:t>
      </w:r>
      <w:r>
        <w:rPr>
          <w:rStyle w:val="FootnoteAnchor"/>
          <w:rtl w:val="true"/>
        </w:rPr>
        <w:footnoteReference w:id="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إجبار الحاکم أو العدول للمشتری علی الإعتاق،أو إعتاقها علیه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بیعها ممّن أقرّ بحرّیتها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بأنّه إن علم المولی صدق المقرّ لم یجز له البیع و أخذ الثمن فی مقابل الحرّ،و إن علم بکذبه لم یجز أیضاً؛لعدم جواز بیع أُمّ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صیرورتها حرّة علی المشتری فی ظاهر الشرع مع کونها ملکاً له فی الواقع،و بقائها فی الواقع علی صفة الرّقیّة للمشتری لا یجوّز البیع،بل الحریّة الواقعیّة و إن تأخّرت أولی من الظاهریة و إن تعجّلت</w:t>
      </w:r>
      <w:r>
        <w:rPr>
          <w:rFonts w:eastAsia="IRNazanin" w:cs="IRNazanin"/>
          <w:color w:val="111111"/>
          <w:sz w:val="28"/>
          <w:szCs w:val="28"/>
          <w:rtl w:val="true"/>
          <w:lang w:bidi="fa-IR"/>
        </w:rPr>
        <w:t>.</w:t>
      </w:r>
    </w:p>
    <w:p>
      <w:pPr>
        <w:pStyle w:val="Heading6"/>
        <w:numPr>
          <w:ilvl w:val="5"/>
          <w:numId w:val="1"/>
        </w:numPr>
        <w:rPr/>
      </w:pPr>
      <w:bookmarkStart w:id="273" w:name="__RefHeading___Toc5119049_2314609296"/>
      <w:bookmarkStart w:id="274" w:name="_Toc109"/>
      <w:bookmarkEnd w:id="273"/>
      <w:r>
        <w:rPr>
          <w:rtl w:val="true"/>
        </w:rPr>
        <w:t>و منها</w:t>
      </w:r>
      <w:bookmarkEnd w:id="274"/>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مات قریبها و خلّف ترکة و لم یکن له وارث سواها فتشتری من مولاها لتعتق </w:t>
      </w:r>
      <w:r>
        <w:rPr>
          <w:rStyle w:val="FootnoteAnchor"/>
          <w:rtl w:val="true"/>
        </w:rPr>
        <w:footnoteReference w:id="719"/>
      </w:r>
      <w:r>
        <w:rPr>
          <w:rFonts w:ascii="IRNazanin" w:hAnsi="IRNazanin" w:eastAsia="IRNazanin"/>
          <w:color w:val="111111"/>
          <w:sz w:val="28"/>
          <w:sz w:val="28"/>
          <w:szCs w:val="28"/>
          <w:rtl w:val="true"/>
          <w:lang w:bidi="fa-IR"/>
        </w:rPr>
        <w:t>و ترث قریبها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مختار الجماعة</w:t>
      </w:r>
      <w:bookmarkStart w:id="275" w:name="pg19861_202428"/>
    </w:p>
    <w:p>
      <w:pPr>
        <w:pStyle w:val="BookText"/>
        <w:rPr/>
      </w:pPr>
      <w:bookmarkEnd w:id="275"/>
      <w:r>
        <w:rPr>
          <w:rFonts w:ascii="Amiri" w:hAnsi="Amiri" w:eastAsia="Amiri" w:cs="Amiri"/>
          <w:color w:val="111111"/>
          <w:sz w:val="28"/>
          <w:sz w:val="28"/>
          <w:szCs w:val="28"/>
          <w:rtl w:val="true"/>
          <w:lang w:bidi="ar-SA"/>
        </w:rPr>
        <w:t xml:space="preserve">السابقة </w:t>
      </w:r>
      <w:r>
        <w:rPr>
          <w:rStyle w:val="FootnoteAnchor"/>
          <w:rtl w:val="true"/>
        </w:rPr>
        <w:footnoteReference w:id="720"/>
      </w:r>
      <w:r>
        <w:rPr>
          <w:rFonts w:ascii="IRNazanin" w:hAnsi="IRNazanin" w:eastAsia="IRNazanin"/>
          <w:color w:val="111111"/>
          <w:sz w:val="28"/>
          <w:sz w:val="28"/>
          <w:szCs w:val="28"/>
          <w:rtl w:val="true"/>
          <w:lang w:bidi="fa-IR"/>
        </w:rPr>
        <w:t xml:space="preserve">و ابن سعید فی النزهة </w:t>
      </w:r>
      <w:r>
        <w:rPr>
          <w:rStyle w:val="FootnoteAnchor"/>
          <w:rtl w:val="true"/>
        </w:rPr>
        <w:footnoteReference w:id="721"/>
      </w:r>
      <w:r>
        <w:rPr>
          <w:rFonts w:ascii="IRNazanin" w:hAnsi="IRNazanin" w:eastAsia="IRNazanin"/>
          <w:color w:val="111111"/>
          <w:sz w:val="28"/>
          <w:sz w:val="28"/>
          <w:szCs w:val="28"/>
          <w:rtl w:val="true"/>
          <w:lang w:bidi="fa-IR"/>
        </w:rPr>
        <w:t xml:space="preserve">،و حکی عن العمانی </w:t>
      </w:r>
      <w:r>
        <w:rPr>
          <w:rStyle w:val="FootnoteAnchor"/>
          <w:rtl w:val="true"/>
        </w:rPr>
        <w:footnoteReference w:id="722"/>
      </w:r>
      <w:r>
        <w:rPr>
          <w:rFonts w:ascii="Amiri" w:hAnsi="Amiri" w:eastAsia="Amiri" w:cs="Amiri"/>
          <w:color w:val="111111"/>
          <w:sz w:val="28"/>
          <w:sz w:val="28"/>
          <w:szCs w:val="28"/>
          <w:rtl w:val="true"/>
          <w:lang w:bidi="ar-SA"/>
        </w:rPr>
        <w:t>و عن المهذّب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إجماع الأصحاب علیه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یمکن ترجیح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ظهورها فی رفع سلطنة المالک،و المفروض هنا عدم کون البیع باختیاره،بل تباع علیه لو امتنع</w:t>
      </w:r>
      <w:r>
        <w:rPr>
          <w:rFonts w:eastAsia="IRNazanin" w:cs="IRNazanin"/>
          <w:color w:val="111111"/>
          <w:sz w:val="28"/>
          <w:szCs w:val="28"/>
          <w:rtl w:val="true"/>
          <w:lang w:bidi="fa-IR"/>
        </w:rPr>
        <w:t>.</w:t>
      </w:r>
    </w:p>
    <w:p>
      <w:pPr>
        <w:pStyle w:val="Heading6"/>
        <w:numPr>
          <w:ilvl w:val="5"/>
          <w:numId w:val="1"/>
        </w:numPr>
        <w:rPr/>
      </w:pPr>
      <w:bookmarkStart w:id="276" w:name="__RefHeading___Toc5119051_2314609296"/>
      <w:bookmarkStart w:id="277" w:name="_Toc110"/>
      <w:bookmarkEnd w:id="276"/>
      <w:r>
        <w:rPr>
          <w:rtl w:val="true"/>
        </w:rPr>
        <w:t>[</w:t>
      </w:r>
      <w:r>
        <w:rPr>
          <w:rtl w:val="true"/>
        </w:rPr>
        <w:t>موارد القسم الثالث أی تعلق حق سابق علی الاستیلاد</w:t>
      </w:r>
      <w:r>
        <w:rPr>
          <w:rtl w:val="true"/>
        </w:rPr>
        <w:t>]</w:t>
      </w:r>
      <w:bookmarkEnd w:id="277"/>
    </w:p>
    <w:p>
      <w:pPr>
        <w:pStyle w:val="Heading6"/>
        <w:numPr>
          <w:ilvl w:val="5"/>
          <w:numId w:val="1"/>
        </w:numPr>
        <w:rPr/>
      </w:pPr>
      <w:bookmarkStart w:id="278" w:name="__RefHeading___Toc5119053_2314609296"/>
      <w:bookmarkStart w:id="279" w:name="_Toc111"/>
      <w:bookmarkEnd w:id="278"/>
      <w:r>
        <w:rPr>
          <w:rtl w:val="true"/>
        </w:rPr>
        <w:t>و من</w:t>
      </w:r>
      <w:bookmarkEnd w:id="279"/>
    </w:p>
    <w:p>
      <w:pPr>
        <w:pStyle w:val="BookText"/>
        <w:rPr/>
      </w:pPr>
      <w:r>
        <w:rPr>
          <w:rFonts w:ascii="IRNazanin" w:hAnsi="IRNazanin" w:eastAsia="IRNazanin"/>
          <w:color w:val="111111"/>
          <w:sz w:val="28"/>
          <w:sz w:val="28"/>
          <w:szCs w:val="28"/>
          <w:rtl w:val="true"/>
          <w:lang w:bidi="fa-IR"/>
        </w:rPr>
        <w:t xml:space="preserve">و من </w:t>
      </w:r>
      <w:r>
        <w:rPr>
          <w:rStyle w:val="FootnoteAnchor"/>
          <w:rtl w:val="true"/>
        </w:rPr>
        <w:footnoteReference w:id="724"/>
      </w:r>
      <w:r>
        <w:rPr>
          <w:rFonts w:ascii="IRNazanin" w:hAnsi="IRNazanin" w:eastAsia="IRNazanin"/>
          <w:color w:val="111111"/>
          <w:sz w:val="28"/>
          <w:sz w:val="28"/>
          <w:szCs w:val="28"/>
          <w:rtl w:val="true"/>
          <w:lang w:bidi="fa-IR"/>
        </w:rPr>
        <w:t xml:space="preserve">القسم الثالث </w:t>
      </w:r>
      <w:r>
        <w:rPr>
          <w:rStyle w:val="FootnoteAnchor"/>
          <w:rtl w:val="true"/>
        </w:rPr>
        <w:footnoteReference w:id="725"/>
      </w:r>
      <w:r>
        <w:rPr>
          <w:rFonts w:ascii="IRNazanin" w:hAnsi="IRNazanin" w:eastAsia="IRNazanin"/>
          <w:color w:val="111111"/>
          <w:sz w:val="28"/>
          <w:sz w:val="28"/>
          <w:szCs w:val="28"/>
          <w:rtl w:val="true"/>
          <w:lang w:bidi="fa-IR"/>
        </w:rPr>
        <w:t xml:space="preserve">و هو ما یکون الجواز لحقٍّ سابق علی الاستیلاد ما </w:t>
      </w:r>
      <w:r>
        <w:rPr>
          <w:rStyle w:val="FootnoteAnchor"/>
          <w:rtl w:val="true"/>
        </w:rPr>
        <w:footnoteReference w:id="726"/>
      </w:r>
      <w:r>
        <w:rPr>
          <w:rFonts w:ascii="IRNazanin" w:hAnsi="IRNazanin" w:eastAsia="IRNazanin"/>
          <w:color w:val="111111"/>
          <w:sz w:val="28"/>
          <w:sz w:val="28"/>
          <w:szCs w:val="28"/>
          <w:rtl w:val="true"/>
          <w:lang w:bidi="fa-IR"/>
        </w:rPr>
        <w:t>إذا کان علوقها بعد الرهن،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المحکی عن الشیخ </w:t>
      </w:r>
      <w:r>
        <w:rPr>
          <w:rStyle w:val="FootnoteAnchor"/>
          <w:rtl w:val="true"/>
        </w:rPr>
        <w:footnoteReference w:id="727"/>
      </w:r>
      <w:r>
        <w:rPr>
          <w:rFonts w:ascii="Amiri" w:hAnsi="Amiri" w:eastAsia="Amiri" w:cs="Amiri"/>
          <w:color w:val="111111"/>
          <w:sz w:val="28"/>
          <w:sz w:val="28"/>
          <w:szCs w:val="28"/>
          <w:rtl w:val="true"/>
          <w:lang w:bidi="ar-SA"/>
        </w:rPr>
        <w:t xml:space="preserve">و الحلیّ </w:t>
      </w:r>
      <w:r>
        <w:rPr>
          <w:rStyle w:val="FootnoteAnchor"/>
          <w:rtl w:val="true"/>
        </w:rPr>
        <w:footnoteReference w:id="728"/>
      </w:r>
      <w:r>
        <w:rPr>
          <w:rFonts w:ascii="Amiri" w:hAnsi="Amiri" w:eastAsia="Amiri" w:cs="Amiri"/>
          <w:color w:val="111111"/>
          <w:sz w:val="28"/>
          <w:sz w:val="28"/>
          <w:szCs w:val="28"/>
          <w:rtl w:val="true"/>
          <w:lang w:bidi="ar-SA"/>
        </w:rPr>
        <w:t xml:space="preserve">و ابن زهرة </w:t>
      </w:r>
      <w:r>
        <w:rPr>
          <w:rStyle w:val="FootnoteAnchor"/>
          <w:rtl w:val="true"/>
        </w:rPr>
        <w:footnoteReference w:id="729"/>
      </w:r>
      <w:r>
        <w:rPr>
          <w:rFonts w:ascii="IRNazanin" w:hAnsi="IRNazanin" w:eastAsia="IRNazanin"/>
          <w:color w:val="111111"/>
          <w:sz w:val="28"/>
          <w:sz w:val="28"/>
          <w:szCs w:val="28"/>
          <w:rtl w:val="true"/>
          <w:lang w:bidi="fa-IR"/>
        </w:rPr>
        <w:t xml:space="preserve">و المختلف </w:t>
      </w:r>
      <w:r>
        <w:rPr>
          <w:rStyle w:val="FootnoteAnchor"/>
          <w:rtl w:val="true"/>
        </w:rPr>
        <w:footnoteReference w:id="730"/>
      </w:r>
      <w:bookmarkStart w:id="280" w:name="pg19861_202429"/>
    </w:p>
    <w:p>
      <w:pPr>
        <w:pStyle w:val="BookText"/>
        <w:rPr/>
      </w:pPr>
      <w:bookmarkEnd w:id="280"/>
      <w:r>
        <w:rPr>
          <w:rFonts w:ascii="IRNazanin" w:hAnsi="IRNazanin" w:eastAsia="IRNazanin"/>
          <w:color w:val="111111"/>
          <w:sz w:val="28"/>
          <w:sz w:val="28"/>
          <w:szCs w:val="28"/>
          <w:rtl w:val="true"/>
          <w:lang w:bidi="fa-IR"/>
        </w:rPr>
        <w:t xml:space="preserve">و التذکرة </w:t>
      </w:r>
      <w:r>
        <w:rPr>
          <w:rStyle w:val="FootnoteAnchor"/>
          <w:rtl w:val="true"/>
        </w:rPr>
        <w:footnoteReference w:id="731"/>
      </w:r>
      <w:r>
        <w:rPr>
          <w:rFonts w:ascii="Amiri" w:hAnsi="Amiri" w:eastAsia="Amiri" w:cs="Amiri"/>
          <w:color w:val="111111"/>
          <w:sz w:val="28"/>
          <w:sz w:val="28"/>
          <w:szCs w:val="28"/>
          <w:rtl w:val="true"/>
          <w:lang w:bidi="ar-SA"/>
        </w:rPr>
        <w:t xml:space="preserve">و اللمعة </w:t>
      </w:r>
      <w:r>
        <w:rPr>
          <w:rStyle w:val="FootnoteAnchor"/>
          <w:rtl w:val="true"/>
        </w:rPr>
        <w:footnoteReference w:id="732"/>
      </w:r>
      <w:r>
        <w:rPr>
          <w:rFonts w:ascii="IRNazanin" w:hAnsi="IRNazanin" w:eastAsia="IRNazanin"/>
          <w:color w:val="111111"/>
          <w:sz w:val="28"/>
          <w:sz w:val="28"/>
          <w:szCs w:val="28"/>
          <w:rtl w:val="true"/>
          <w:lang w:bidi="fa-IR"/>
        </w:rPr>
        <w:t xml:space="preserve">و المسالک </w:t>
      </w:r>
      <w:r>
        <w:rPr>
          <w:rStyle w:val="FootnoteAnchor"/>
          <w:rtl w:val="true"/>
        </w:rPr>
        <w:footnoteReference w:id="733"/>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734"/>
      </w:r>
      <w:r>
        <w:rPr>
          <w:rFonts w:ascii="IRNazanin" w:hAnsi="IRNazanin" w:eastAsia="IRNazanin"/>
          <w:color w:val="111111"/>
          <w:sz w:val="28"/>
          <w:sz w:val="28"/>
          <w:szCs w:val="28"/>
          <w:rtl w:val="true"/>
          <w:lang w:bidi="fa-IR"/>
        </w:rPr>
        <w:t xml:space="preserve">و السیوری </w:t>
      </w:r>
      <w:r>
        <w:rPr>
          <w:rStyle w:val="FootnoteAnchor"/>
          <w:rtl w:val="true"/>
        </w:rPr>
        <w:footnoteReference w:id="735"/>
      </w:r>
      <w:r>
        <w:rPr>
          <w:rFonts w:ascii="IRNazanin" w:hAnsi="IRNazanin" w:eastAsia="IRNazanin"/>
          <w:color w:val="111111"/>
          <w:sz w:val="28"/>
          <w:sz w:val="28"/>
          <w:szCs w:val="28"/>
          <w:rtl w:val="true"/>
          <w:lang w:bidi="fa-IR"/>
        </w:rPr>
        <w:t xml:space="preserve">و أبی العباس </w:t>
      </w:r>
      <w:r>
        <w:rPr>
          <w:rStyle w:val="FootnoteAnchor"/>
          <w:rtl w:val="true"/>
        </w:rPr>
        <w:footnoteReference w:id="736"/>
      </w:r>
      <w:r>
        <w:rPr>
          <w:rFonts w:ascii="IRNazanin" w:hAnsi="IRNazanin" w:eastAsia="IRNazanin"/>
          <w:color w:val="111111"/>
          <w:sz w:val="28"/>
          <w:sz w:val="28"/>
          <w:szCs w:val="28"/>
          <w:rtl w:val="true"/>
          <w:lang w:bidi="fa-IR"/>
        </w:rPr>
        <w:t xml:space="preserve">و الصیمری </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بیعها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لعلّه لعدم الدلیل علی بطلان حکم الرهن السابق </w:t>
      </w:r>
      <w:r>
        <w:rPr>
          <w:rStyle w:val="FootnoteAnchor"/>
          <w:rtl w:val="true"/>
        </w:rPr>
        <w:footnoteReference w:id="738"/>
      </w:r>
      <w:r>
        <w:rPr>
          <w:rFonts w:ascii="IRNazanin" w:hAnsi="IRNazanin" w:eastAsia="IRNazanin"/>
          <w:color w:val="111111"/>
          <w:sz w:val="28"/>
          <w:sz w:val="28"/>
          <w:szCs w:val="28"/>
          <w:rtl w:val="true"/>
          <w:lang w:bidi="fa-IR"/>
        </w:rPr>
        <w:t>بالاستیلاد اللاحق بعد تعارض أدلّة حکم الرهن،و أدلّة المنع عن بیع أُمّ الولد فی دین غیر 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للمحکیّ عن الشرائع </w:t>
      </w:r>
      <w:r>
        <w:rPr>
          <w:rStyle w:val="FootnoteAnchor"/>
          <w:rtl w:val="true"/>
        </w:rPr>
        <w:footnoteReference w:id="739"/>
      </w:r>
      <w:r>
        <w:rPr>
          <w:rFonts w:ascii="IRNazanin" w:hAnsi="IRNazanin" w:eastAsia="IRNazanin"/>
          <w:color w:val="111111"/>
          <w:sz w:val="28"/>
          <w:sz w:val="28"/>
          <w:szCs w:val="28"/>
          <w:rtl w:val="true"/>
          <w:lang w:bidi="fa-IR"/>
        </w:rPr>
        <w:t xml:space="preserve">و التحریر </w:t>
      </w:r>
      <w:r>
        <w:rPr>
          <w:rStyle w:val="FootnoteAnchor"/>
          <w:rtl w:val="true"/>
        </w:rPr>
        <w:footnoteReference w:id="740"/>
      </w:r>
      <w:r>
        <w:rPr>
          <w:rFonts w:ascii="IRNazanin" w:hAnsi="IRNazanin" w:eastAsia="IRNazanin"/>
          <w:color w:val="111111"/>
          <w:sz w:val="28"/>
          <w:sz w:val="28"/>
          <w:szCs w:val="28"/>
          <w:rtl w:val="true"/>
          <w:lang w:bidi="fa-IR"/>
        </w:rPr>
        <w:t>،فالمنع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الشهید فی بعض تحقیقاته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بین وقوع الوطء بإذن المرتهن،و وقوعه بدونه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الإرشاد و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التردّد </w:t>
      </w:r>
      <w:r>
        <w:rPr>
          <w:rStyle w:val="FootnoteAnchor"/>
          <w:rtl w:val="true"/>
        </w:rPr>
        <w:footnoteReference w:id="742"/>
      </w:r>
      <w:r>
        <w:rPr>
          <w:rFonts w:ascii="IRNazanin" w:hAnsi="IRNazanin" w:eastAsia="IRNazanin"/>
          <w:color w:val="111111"/>
          <w:sz w:val="28"/>
          <w:sz w:val="28"/>
          <w:szCs w:val="28"/>
          <w:rtl w:val="true"/>
          <w:lang w:bidi="fa-IR"/>
        </w:rPr>
        <w:t>،و تمام الکلام فی باب الرهن</w:t>
      </w:r>
      <w:r>
        <w:rPr>
          <w:rFonts w:eastAsia="IRNazanin" w:cs="IRNazanin"/>
          <w:color w:val="111111"/>
          <w:sz w:val="28"/>
          <w:szCs w:val="28"/>
          <w:rtl w:val="true"/>
          <w:lang w:bidi="fa-IR"/>
        </w:rPr>
        <w:t>.</w:t>
      </w:r>
    </w:p>
    <w:p>
      <w:pPr>
        <w:pStyle w:val="Heading6"/>
        <w:numPr>
          <w:ilvl w:val="5"/>
          <w:numId w:val="1"/>
        </w:numPr>
        <w:rPr/>
      </w:pPr>
      <w:bookmarkStart w:id="281" w:name="__RefHeading___Toc5119055_2314609296"/>
      <w:bookmarkStart w:id="282" w:name="_Toc112"/>
      <w:bookmarkEnd w:id="281"/>
      <w:r>
        <w:rPr>
          <w:rtl w:val="true"/>
        </w:rPr>
        <w:t>و منها</w:t>
      </w:r>
      <w:bookmarkEnd w:id="28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علوقها بعد إفلاس المولی و الحَجر علیه،</w:t>
      </w:r>
      <w:bookmarkStart w:id="283" w:name="pg19861_202430"/>
    </w:p>
    <w:p>
      <w:pPr>
        <w:pStyle w:val="BookText"/>
        <w:rPr/>
      </w:pPr>
      <w:bookmarkEnd w:id="283"/>
      <w:r>
        <w:rPr>
          <w:rFonts w:ascii="IRNazanin" w:hAnsi="IRNazanin" w:eastAsia="IRNazanin"/>
          <w:color w:val="111111"/>
          <w:sz w:val="28"/>
          <w:sz w:val="28"/>
          <w:szCs w:val="28"/>
          <w:rtl w:val="true"/>
          <w:lang w:bidi="fa-IR"/>
        </w:rPr>
        <w:t xml:space="preserve">و کانت فاضلة عن المستثنیات فی أداء الدین،فتباع حینئذٍ،کما فی القواعد </w:t>
      </w:r>
      <w:r>
        <w:rPr>
          <w:rStyle w:val="FootnoteAnchor"/>
          <w:rtl w:val="true"/>
        </w:rPr>
        <w:footnoteReference w:id="744"/>
      </w:r>
      <w:r>
        <w:rPr>
          <w:rFonts w:ascii="Amiri" w:hAnsi="Amiri" w:eastAsia="Amiri" w:cs="Amiri"/>
          <w:color w:val="111111"/>
          <w:sz w:val="28"/>
          <w:sz w:val="28"/>
          <w:szCs w:val="28"/>
          <w:rtl w:val="true"/>
          <w:lang w:bidi="ar-SA"/>
        </w:rPr>
        <w:t xml:space="preserve">و اللمعة </w:t>
      </w:r>
      <w:r>
        <w:rPr>
          <w:rStyle w:val="FootnoteAnchor"/>
          <w:rtl w:val="true"/>
        </w:rPr>
        <w:footnoteReference w:id="745"/>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المهذّب </w:t>
      </w:r>
      <w:r>
        <w:rPr>
          <w:rStyle w:val="FootnoteAnchor"/>
          <w:rtl w:val="true"/>
        </w:rPr>
        <w:footnoteReference w:id="747"/>
      </w:r>
      <w:r>
        <w:rPr>
          <w:rFonts w:ascii="IRNazanin" w:hAnsi="IRNazanin" w:eastAsia="IRNazanin"/>
          <w:color w:val="111111"/>
          <w:sz w:val="28"/>
          <w:sz w:val="28"/>
          <w:szCs w:val="28"/>
          <w:rtl w:val="true"/>
          <w:lang w:bidi="fa-IR"/>
        </w:rPr>
        <w:t xml:space="preserve">و کنز العرفان </w:t>
      </w:r>
      <w:r>
        <w:rPr>
          <w:rStyle w:val="FootnoteAnchor"/>
          <w:rtl w:val="true"/>
        </w:rPr>
        <w:footnoteReference w:id="748"/>
      </w:r>
      <w:r>
        <w:rPr>
          <w:rFonts w:ascii="IRNazanin" w:hAnsi="IRNazanin" w:eastAsia="IRNazanin"/>
          <w:color w:val="111111"/>
          <w:sz w:val="28"/>
          <w:sz w:val="28"/>
          <w:szCs w:val="28"/>
          <w:rtl w:val="true"/>
          <w:lang w:bidi="fa-IR"/>
        </w:rPr>
        <w:t xml:space="preserve">و غایة المرام </w:t>
      </w:r>
      <w:r>
        <w:rPr>
          <w:rStyle w:val="FootnoteAnchor"/>
          <w:rtl w:val="true"/>
        </w:rPr>
        <w:footnoteReference w:id="749"/>
      </w:r>
      <w:r>
        <w:rPr>
          <w:rFonts w:ascii="IRNazanin" w:hAnsi="IRNazanin" w:eastAsia="IRNazanin"/>
          <w:color w:val="111111"/>
          <w:sz w:val="28"/>
          <w:sz w:val="28"/>
          <w:szCs w:val="28"/>
          <w:rtl w:val="true"/>
          <w:lang w:bidi="fa-IR"/>
        </w:rPr>
        <w:t>لما ذکر من سبق تعلّق حقّ الدیّان بها،و لا دلیل علی بطلانه بالاستیلاد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حسن مع وجود الدلیل علی تعلّق حقّ الغرماء بالأعیان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لم یثبت إلّا الحجر علی المفلّس فی التصرّف و وجوب بیع الحاکم أمواله فی الدین،فلا یؤثّر فی دعوی اختصاصها بما هو قابل للبیع فی نفسه،فتأمّل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باب الحَجْر،إن شاء اللّٰه</w:t>
      </w:r>
      <w:r>
        <w:rPr>
          <w:rFonts w:eastAsia="IRNazanin" w:cs="IRNazanin"/>
          <w:color w:val="111111"/>
          <w:sz w:val="28"/>
          <w:szCs w:val="28"/>
          <w:rtl w:val="true"/>
          <w:lang w:bidi="fa-IR"/>
        </w:rPr>
        <w:t>.</w:t>
      </w:r>
    </w:p>
    <w:p>
      <w:pPr>
        <w:pStyle w:val="Heading6"/>
        <w:numPr>
          <w:ilvl w:val="5"/>
          <w:numId w:val="1"/>
        </w:numPr>
        <w:rPr/>
      </w:pPr>
      <w:bookmarkStart w:id="284" w:name="__RefHeading___Toc5119057_2314609296"/>
      <w:bookmarkStart w:id="285" w:name="_Toc113"/>
      <w:bookmarkEnd w:id="284"/>
      <w:r>
        <w:rPr>
          <w:rtl w:val="true"/>
        </w:rPr>
        <w:t>و منها</w:t>
      </w:r>
      <w:bookmarkEnd w:id="285"/>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علوقها بعد جنایتها،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w:t>
      </w:r>
      <w:r>
        <w:rPr>
          <w:rStyle w:val="FootnoteAnchor"/>
          <w:rtl w:val="true"/>
        </w:rPr>
        <w:footnoteReference w:id="751"/>
      </w:r>
      <w:r>
        <w:rPr>
          <w:rFonts w:ascii="IRNazanin" w:hAnsi="IRNazanin" w:eastAsia="IRNazanin"/>
          <w:color w:val="111111"/>
          <w:sz w:val="28"/>
          <w:sz w:val="28"/>
          <w:szCs w:val="28"/>
          <w:rtl w:val="true"/>
          <w:lang w:bidi="fa-IR"/>
        </w:rPr>
        <w:t xml:space="preserve">فی الجنایة التی لا تجوّز البیع لو کانت لاحقة </w:t>
      </w:r>
      <w:r>
        <w:rPr>
          <w:rStyle w:val="FootnoteAnchor"/>
          <w:rtl w:val="true"/>
        </w:rPr>
        <w:footnoteReference w:id="752"/>
      </w:r>
      <w:r>
        <w:rPr>
          <w:rFonts w:ascii="IRNazanin" w:hAnsi="IRNazanin" w:eastAsia="IRNazanin"/>
          <w:color w:val="111111"/>
          <w:sz w:val="28"/>
          <w:sz w:val="28"/>
          <w:szCs w:val="28"/>
          <w:rtl w:val="true"/>
          <w:lang w:bidi="fa-IR"/>
        </w:rPr>
        <w:t xml:space="preserve">،بل یلزم </w:t>
      </w:r>
      <w:r>
        <w:rPr>
          <w:rStyle w:val="FootnoteAnchor"/>
          <w:rtl w:val="true"/>
        </w:rPr>
        <w:footnoteReference w:id="753"/>
      </w:r>
      <w:r>
        <w:rPr>
          <w:rFonts w:ascii="IRNazanin" w:hAnsi="IRNazanin" w:eastAsia="IRNazanin"/>
          <w:color w:val="111111"/>
          <w:sz w:val="28"/>
          <w:sz w:val="28"/>
          <w:szCs w:val="28"/>
          <w:rtl w:val="true"/>
          <w:lang w:bidi="fa-IR"/>
        </w:rPr>
        <w:t xml:space="preserve">المولی الفداء </w:t>
      </w:r>
      <w:r>
        <w:rPr>
          <w:rStyle w:val="FootnoteAnchor"/>
          <w:rtl w:val="true"/>
        </w:rPr>
        <w:footnoteReference w:id="7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قلنا</w:t>
      </w:r>
      <w:bookmarkStart w:id="286" w:name="pg19861_202431"/>
    </w:p>
    <w:p>
      <w:pPr>
        <w:pStyle w:val="BookText"/>
        <w:rPr/>
      </w:pPr>
      <w:bookmarkEnd w:id="286"/>
      <w:r>
        <w:rPr>
          <w:rFonts w:ascii="IRNazanin" w:hAnsi="IRNazanin" w:eastAsia="IRNazanin"/>
          <w:color w:val="111111"/>
          <w:sz w:val="28"/>
          <w:sz w:val="28"/>
          <w:szCs w:val="28"/>
          <w:rtl w:val="true"/>
          <w:lang w:bidi="fa-IR"/>
        </w:rPr>
        <w:t>بأنّ الجنایة اللاحقة أیضاً ترفع المنع لم یکن فائدة فی فرض تقدیمها</w:t>
      </w:r>
      <w:r>
        <w:rPr>
          <w:rFonts w:eastAsia="IRNazanin" w:cs="IRNazanin"/>
          <w:color w:val="111111"/>
          <w:sz w:val="28"/>
          <w:szCs w:val="28"/>
          <w:rtl w:val="true"/>
          <w:lang w:bidi="fa-IR"/>
        </w:rPr>
        <w:t>.</w:t>
      </w:r>
    </w:p>
    <w:p>
      <w:pPr>
        <w:pStyle w:val="Heading6"/>
        <w:numPr>
          <w:ilvl w:val="5"/>
          <w:numId w:val="1"/>
        </w:numPr>
        <w:rPr/>
      </w:pPr>
      <w:bookmarkStart w:id="287" w:name="__RefHeading___Toc5119059_2314609296"/>
      <w:bookmarkStart w:id="288" w:name="_Toc114"/>
      <w:bookmarkEnd w:id="287"/>
      <w:r>
        <w:rPr>
          <w:rtl w:val="true"/>
        </w:rPr>
        <w:t>و منها</w:t>
      </w:r>
      <w:bookmarkEnd w:id="288"/>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علوقها فی زمان خیار بائعها،</w:t>
      </w:r>
    </w:p>
    <w:p>
      <w:pPr>
        <w:pStyle w:val="BookText"/>
        <w:rPr/>
      </w:pPr>
      <w:r>
        <w:rPr>
          <w:rFonts w:ascii="IRNazanin" w:hAnsi="IRNazanin" w:eastAsia="IRNazanin"/>
          <w:color w:val="111111"/>
          <w:sz w:val="28"/>
          <w:sz w:val="28"/>
          <w:szCs w:val="28"/>
          <w:rtl w:val="true"/>
          <w:lang w:bidi="fa-IR"/>
        </w:rPr>
        <w:t xml:space="preserve">فإنّ المحکی عن الحلّی جواز استردادها مع کونها ملکاً للمشتری </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لاقتضاء الخیار ذلک فلا یبطله الاستیلاد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للعلّامة </w:t>
      </w:r>
      <w:r>
        <w:rPr>
          <w:rStyle w:val="FootnoteAnchor"/>
          <w:rtl w:val="true"/>
        </w:rPr>
        <w:footnoteReference w:id="757"/>
      </w:r>
      <w:r>
        <w:rPr>
          <w:rFonts w:ascii="IRNazanin" w:hAnsi="IRNazanin" w:eastAsia="IRNazanin"/>
          <w:color w:val="111111"/>
          <w:sz w:val="28"/>
          <w:sz w:val="28"/>
          <w:szCs w:val="28"/>
          <w:rtl w:val="true"/>
          <w:lang w:bidi="fa-IR"/>
        </w:rPr>
        <w:t xml:space="preserve">و ولده </w:t>
      </w:r>
      <w:r>
        <w:rPr>
          <w:rStyle w:val="FootnoteAnchor"/>
          <w:rtl w:val="true"/>
        </w:rPr>
        <w:footnoteReference w:id="758"/>
      </w:r>
      <w:r>
        <w:rPr>
          <w:rFonts w:ascii="Amiri" w:hAnsi="Amiri" w:eastAsia="Amiri" w:cs="Amiri"/>
          <w:color w:val="111111"/>
          <w:sz w:val="28"/>
          <w:sz w:val="28"/>
          <w:szCs w:val="28"/>
          <w:rtl w:val="true"/>
          <w:lang w:bidi="ar-SA"/>
        </w:rPr>
        <w:t xml:space="preserve">و المحقّق </w:t>
      </w:r>
      <w:r>
        <w:rPr>
          <w:rStyle w:val="FootnoteAnchor"/>
          <w:rtl w:val="true"/>
        </w:rPr>
        <w:footnoteReference w:id="759"/>
      </w:r>
      <w:r>
        <w:rPr>
          <w:rFonts w:ascii="IRNazanin" w:hAnsi="IRNazanin" w:eastAsia="IRNazanin"/>
          <w:color w:val="111111"/>
          <w:sz w:val="28"/>
          <w:sz w:val="28"/>
          <w:szCs w:val="28"/>
          <w:rtl w:val="true"/>
          <w:lang w:bidi="fa-IR"/>
        </w:rPr>
        <w:t xml:space="preserve">و الشهید الثانیین </w:t>
      </w:r>
      <w:r>
        <w:rPr>
          <w:rStyle w:val="FootnoteAnchor"/>
          <w:rtl w:val="true"/>
        </w:rPr>
        <w:footnoteReference w:id="760"/>
      </w:r>
      <w:r>
        <w:rPr>
          <w:rFonts w:ascii="IRNazanin" w:hAnsi="IRNazanin" w:eastAsia="IRNazanin"/>
          <w:color w:val="111111"/>
          <w:sz w:val="28"/>
          <w:sz w:val="28"/>
          <w:szCs w:val="28"/>
          <w:rtl w:val="true"/>
          <w:lang w:bidi="fa-IR"/>
        </w:rPr>
        <w:t>و غیرهم، فحکموا بأنّه إذا فسخ رجع بقیمة أُمّ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لعلّه لصیرورتها بمنزلة </w:t>
      </w:r>
      <w:r>
        <w:rPr>
          <w:rStyle w:val="FootnoteAnchor"/>
          <w:rtl w:val="true"/>
        </w:rPr>
        <w:footnoteReference w:id="761"/>
      </w:r>
      <w:r>
        <w:rPr>
          <w:rFonts w:ascii="IRNazanin" w:hAnsi="IRNazanin" w:eastAsia="IRNazanin"/>
          <w:color w:val="111111"/>
          <w:sz w:val="28"/>
          <w:sz w:val="28"/>
          <w:szCs w:val="28"/>
          <w:rtl w:val="true"/>
          <w:lang w:bidi="fa-IR"/>
        </w:rPr>
        <w:t>التالف،و الفسخ بنفسه لا یقتضی إلّا جعل العقد من زمان الفسخ کأن لم یکن،و أمّا وجوب ردّ العین فهو من أحکامه لو لم یمتنع عقلاً أو شرعاً،و المانع الشرعی کالعقلی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الممنوع إنّما هو نقل المالک أو النقل من قِبَله لدیونه،أمّا الانتقال </w:t>
      </w:r>
      <w:r>
        <w:rPr>
          <w:rStyle w:val="FootnoteAnchor"/>
          <w:rtl w:val="true"/>
        </w:rPr>
        <w:footnoteReference w:id="762"/>
      </w:r>
      <w:r>
        <w:rPr>
          <w:rFonts w:ascii="IRNazanin" w:hAnsi="IRNazanin" w:eastAsia="IRNazanin"/>
          <w:color w:val="111111"/>
          <w:sz w:val="28"/>
          <w:sz w:val="28"/>
          <w:szCs w:val="28"/>
          <w:rtl w:val="true"/>
          <w:lang w:bidi="fa-IR"/>
        </w:rPr>
        <w:t>عنه بسببٍ یقتضیه الدلیل خارجٍ عن اختیاره، فلم یثبت،فلا مانع شرعاً من استرداد عینها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منع الاستیلاد عن استرداد بائعها لها یحتاج إلی</w:t>
      </w:r>
      <w:bookmarkStart w:id="289" w:name="pg19861_202432"/>
    </w:p>
    <w:p>
      <w:pPr>
        <w:pStyle w:val="BookText"/>
        <w:rPr/>
      </w:pPr>
      <w:bookmarkEnd w:id="289"/>
      <w:r>
        <w:rPr>
          <w:rFonts w:ascii="IRNazanin" w:hAnsi="IRNazanin" w:eastAsia="IRNazanin"/>
          <w:color w:val="111111"/>
          <w:sz w:val="28"/>
          <w:sz w:val="28"/>
          <w:szCs w:val="28"/>
          <w:rtl w:val="true"/>
          <w:lang w:bidi="fa-IR"/>
        </w:rPr>
        <w:t>دلیل مفقود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الاستیلاد حقٌّ لاُمّ الولد مانعٌ عن انتقالها عن ملک المولی لحقّه أو لحقّ غیره،إلّا أن یکون للغیر حقٌّ أقوی أو سابقٌ یقتضی انتقالها،و المفروض أنّ حقّ الخیار لا یقتضی انتقالها بقولٍ مطلق،بل یقتضی انتقالها مع الإمکان شرعاً،و المفروض أنّ تعلّق حقّ أُمّ الولد مانعٌ شرعاً کالعتق و البیع علی القول بصحّتهما فی زمان الخیار،فتأمّل</w:t>
      </w:r>
      <w:r>
        <w:rPr>
          <w:rFonts w:eastAsia="IRNazanin" w:cs="IRNazanin"/>
          <w:color w:val="111111"/>
          <w:sz w:val="28"/>
          <w:szCs w:val="28"/>
          <w:rtl w:val="true"/>
          <w:lang w:bidi="fa-IR"/>
        </w:rPr>
        <w:t>.</w:t>
      </w:r>
    </w:p>
    <w:p>
      <w:pPr>
        <w:pStyle w:val="Heading6"/>
        <w:numPr>
          <w:ilvl w:val="5"/>
          <w:numId w:val="1"/>
        </w:numPr>
        <w:rPr/>
      </w:pPr>
      <w:bookmarkStart w:id="290" w:name="__RefHeading___Toc5119061_2314609296"/>
      <w:bookmarkStart w:id="291" w:name="_Toc115"/>
      <w:bookmarkEnd w:id="290"/>
      <w:r>
        <w:rPr>
          <w:rtl w:val="true"/>
        </w:rPr>
        <w:t>و منها</w:t>
      </w:r>
      <w:bookmarkEnd w:id="291"/>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علوقها بعد اشتراط أداء مال الضمان منها،</w:t>
      </w:r>
    </w:p>
    <w:p>
      <w:pPr>
        <w:pStyle w:val="BookText"/>
        <w:rPr/>
      </w:pPr>
      <w:r>
        <w:rPr>
          <w:rFonts w:ascii="IRNazanin" w:hAnsi="IRNazanin" w:eastAsia="IRNazanin"/>
          <w:color w:val="111111"/>
          <w:sz w:val="28"/>
          <w:sz w:val="28"/>
          <w:szCs w:val="28"/>
          <w:rtl w:val="true"/>
          <w:lang w:bidi="fa-IR"/>
        </w:rPr>
        <w:t>بناءً علی ما استظهر الاتّفاق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جواز اشتراط الأداء من مالٍ معیّن </w:t>
      </w:r>
      <w:r>
        <w:rPr>
          <w:rStyle w:val="FootnoteAnchor"/>
          <w:rtl w:val="true"/>
        </w:rPr>
        <w:footnoteReference w:id="764"/>
      </w:r>
      <w:r>
        <w:rPr>
          <w:rFonts w:ascii="IRNazanin" w:hAnsi="IRNazanin" w:eastAsia="IRNazanin"/>
          <w:color w:val="111111"/>
          <w:sz w:val="28"/>
          <w:sz w:val="28"/>
          <w:szCs w:val="28"/>
          <w:rtl w:val="true"/>
          <w:lang w:bidi="fa-IR"/>
        </w:rPr>
        <w:t xml:space="preserve">،فیتعلّق به حقّ المضمون له،و حیث فرض سابقاً علی الاستیلاد فلا یزاحم به علی قولٍ محکیٍّ فی الروضة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2" w:name="__RefHeading___Toc5119063_2314609296"/>
      <w:bookmarkStart w:id="293" w:name="_Toc116"/>
      <w:bookmarkEnd w:id="292"/>
      <w:r>
        <w:rPr>
          <w:rtl w:val="true"/>
        </w:rPr>
        <w:t>و منها</w:t>
      </w:r>
      <w:bookmarkEnd w:id="293"/>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علوقها بعد نذر جَعلها صدقةً إذا کان النذر مشروطاً بشرط لم یحصل قبل الوطء ثمّ حصل بعده،</w:t>
      </w:r>
    </w:p>
    <w:p>
      <w:pPr>
        <w:pStyle w:val="BookText"/>
        <w:rPr/>
      </w:pPr>
      <w:r>
        <w:rPr>
          <w:rFonts w:ascii="IRNazanin" w:hAnsi="IRNazanin" w:eastAsia="IRNazanin"/>
          <w:color w:val="111111"/>
          <w:sz w:val="28"/>
          <w:sz w:val="28"/>
          <w:szCs w:val="28"/>
          <w:rtl w:val="true"/>
          <w:lang w:bidi="fa-IR"/>
        </w:rPr>
        <w:t xml:space="preserve">بناءً علی ما ذکروه من خروج المنذور کونها صدقةً عن ملک الناذر بمجرّد النذر فی المطلق و بعد حصول الشرط فی المعلّق،کما حکاه صاحب المدارک عنهم فی باب الزکاة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کون استیلادها کإتلافها،فیحصل الحنث و یستقرّ القیمة؛ جمعاً بین حقّی أُمّ الولد و المنذور له</w:t>
      </w:r>
      <w:r>
        <w:rPr>
          <w:rFonts w:eastAsia="IRNazanin" w:cs="IRNazanin"/>
          <w:color w:val="111111"/>
          <w:sz w:val="28"/>
          <w:szCs w:val="28"/>
          <w:rtl w:val="true"/>
          <w:lang w:bidi="fa-IR"/>
        </w:rPr>
        <w:t>.</w:t>
      </w:r>
      <w:bookmarkStart w:id="294" w:name="pg19861_202433"/>
    </w:p>
    <w:p>
      <w:pPr>
        <w:pStyle w:val="BookText"/>
        <w:rPr/>
      </w:pPr>
      <w:bookmarkEnd w:id="294"/>
      <w:r>
        <w:rPr>
          <w:rFonts w:ascii="IRNazanin" w:hAnsi="IRNazanin" w:eastAsia="IRNazanin"/>
          <w:color w:val="111111"/>
          <w:sz w:val="28"/>
          <w:sz w:val="28"/>
          <w:szCs w:val="28"/>
          <w:rtl w:val="true"/>
          <w:lang w:bidi="fa-IR"/>
        </w:rPr>
        <w:t xml:space="preserve">و لو نذر التصدّق بها،فإن کان مطلقاً و قلنا بخروجها عن الملک بمجرّد ذلک کما حکی عن بعضٍ </w:t>
      </w:r>
      <w:r>
        <w:rPr>
          <w:rStyle w:val="FootnoteAnchor"/>
          <w:rtl w:val="true"/>
        </w:rPr>
        <w:footnoteReference w:id="768"/>
      </w:r>
      <w:r>
        <w:rPr>
          <w:rFonts w:ascii="IRNazanin" w:hAnsi="IRNazanin" w:eastAsia="IRNazanin"/>
          <w:color w:val="111111"/>
          <w:sz w:val="28"/>
          <w:sz w:val="28"/>
          <w:szCs w:val="28"/>
          <w:rtl w:val="true"/>
          <w:lang w:bidi="fa-IR"/>
        </w:rPr>
        <w:t>فلا حکم للعلوق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بعدم خروجها عن ملکه،احتمل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حقّ المنذور له فی العین،و تقدیم حقّ الاستیلاد،و الجمع بینهما بالقیمة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معلّقاً فوطأها قبل حصول الشرط صارت أُمّ ولد،فإذا حصل الشرط وجب التصدّق بها؛لتقدّم 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انحلال النذر؛ لصیرورة التصدّق مرجوحاً بالاستیلاد مع الرجوع إلی القیمة أو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تمام الکلام یحتاج إلی بسطٍ تمامٍ </w:t>
      </w:r>
      <w:r>
        <w:rPr>
          <w:rStyle w:val="FootnoteAnchor"/>
          <w:rtl w:val="true"/>
        </w:rPr>
        <w:footnoteReference w:id="769"/>
      </w:r>
      <w:r>
        <w:rPr>
          <w:rFonts w:ascii="IRNazanin" w:hAnsi="IRNazanin" w:eastAsia="IRNazanin"/>
          <w:color w:val="111111"/>
          <w:sz w:val="28"/>
          <w:sz w:val="28"/>
          <w:szCs w:val="28"/>
          <w:rtl w:val="true"/>
          <w:lang w:bidi="fa-IR"/>
        </w:rPr>
        <w:t>لا یسعه الوقت</w:t>
      </w:r>
      <w:r>
        <w:rPr>
          <w:rFonts w:eastAsia="IRNazanin" w:cs="IRNazanin"/>
          <w:color w:val="111111"/>
          <w:sz w:val="28"/>
          <w:szCs w:val="28"/>
          <w:rtl w:val="true"/>
          <w:lang w:bidi="fa-IR"/>
        </w:rPr>
        <w:t>.</w:t>
      </w:r>
    </w:p>
    <w:p>
      <w:pPr>
        <w:pStyle w:val="Heading6"/>
        <w:numPr>
          <w:ilvl w:val="5"/>
          <w:numId w:val="1"/>
        </w:numPr>
        <w:rPr/>
      </w:pPr>
      <w:bookmarkStart w:id="295" w:name="__RefHeading___Toc5119065_2314609296"/>
      <w:bookmarkStart w:id="296" w:name="_Toc117"/>
      <w:bookmarkEnd w:id="295"/>
      <w:r>
        <w:rPr>
          <w:rtl w:val="true"/>
        </w:rPr>
        <w:t>و منها</w:t>
      </w:r>
      <w:bookmarkEnd w:id="296"/>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علوقها من مکاتَب مشروط ثمّ فُسخت کتابته،</w:t>
      </w:r>
    </w:p>
    <w:p>
      <w:pPr>
        <w:pStyle w:val="BookText"/>
        <w:rPr/>
      </w:pPr>
      <w:r>
        <w:rPr>
          <w:rFonts w:ascii="IRNazanin" w:hAnsi="IRNazanin" w:eastAsia="IRNazanin"/>
          <w:color w:val="111111"/>
          <w:sz w:val="28"/>
          <w:sz w:val="28"/>
          <w:szCs w:val="28"/>
          <w:rtl w:val="true"/>
          <w:lang w:bidi="fa-IR"/>
        </w:rPr>
        <w:t xml:space="preserve">فللمولی أن یبیعها علی ما حکاه فی الروضة عن بعض الأصحاب </w:t>
      </w:r>
      <w:r>
        <w:rPr>
          <w:rStyle w:val="FootnoteAnchor"/>
          <w:rtl w:val="true"/>
        </w:rPr>
        <w:footnoteReference w:id="771"/>
      </w:r>
      <w:r>
        <w:rPr>
          <w:rFonts w:ascii="IRNazanin" w:hAnsi="IRNazanin" w:eastAsia="IRNazanin"/>
          <w:color w:val="111111"/>
          <w:sz w:val="28"/>
          <w:sz w:val="28"/>
          <w:szCs w:val="28"/>
          <w:rtl w:val="true"/>
          <w:lang w:bidi="fa-IR"/>
        </w:rPr>
        <w:t>بناءً علی أنّ مستولدته أُمّ ولد بالفعل غیر معلّق علی عتقه فلا یجوز له بیع ولدها</w:t>
      </w:r>
      <w:r>
        <w:rPr>
          <w:rFonts w:eastAsia="IRNazanin" w:cs="IRNazanin"/>
          <w:color w:val="111111"/>
          <w:sz w:val="28"/>
          <w:szCs w:val="28"/>
          <w:rtl w:val="true"/>
          <w:lang w:bidi="fa-IR"/>
        </w:rPr>
        <w:t>.</w:t>
      </w:r>
    </w:p>
    <w:p>
      <w:pPr>
        <w:pStyle w:val="Heading6"/>
        <w:numPr>
          <w:ilvl w:val="5"/>
          <w:numId w:val="1"/>
        </w:numPr>
        <w:rPr/>
      </w:pPr>
      <w:bookmarkStart w:id="297" w:name="__RefHeading___Toc5119067_2314609296"/>
      <w:bookmarkStart w:id="298" w:name="_Toc118"/>
      <w:bookmarkEnd w:id="297"/>
      <w:r>
        <w:rPr>
          <w:rtl w:val="true"/>
        </w:rPr>
        <w:t>و القسم الرابع</w:t>
      </w:r>
      <w:bookmarkEnd w:id="29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القسم الرابع </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ما کان </w:t>
      </w:r>
      <w:r>
        <w:rPr>
          <w:rStyle w:val="FootnoteAnchor"/>
          <w:rtl w:val="true"/>
        </w:rPr>
        <w:footnoteReference w:id="773"/>
      </w:r>
      <w:r>
        <w:rPr>
          <w:rFonts w:ascii="IRNazanin" w:hAnsi="IRNazanin" w:eastAsia="IRNazanin"/>
          <w:color w:val="111111"/>
          <w:sz w:val="28"/>
          <w:sz w:val="28"/>
          <w:szCs w:val="28"/>
          <w:rtl w:val="true"/>
          <w:lang w:bidi="fa-IR"/>
        </w:rPr>
        <w:t xml:space="preserve">إبقاؤها فی ملک المولی 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معرّضٍ لها للعتق؛لعدم توریث الولد من أبیه؛لأحد موانع الإرث أو لعدم ثبوت النسب من طرف الأُمّ أو الأب واقعاً؛لفجورٍ،أو ظاهراً؛ باعتراف</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إنّا لم نذکر فی کلّ مورد من موارد الاستثناء إلّا قلیلاً من کثیر ما یتحمّله من الکلام،فیطلب تفصیل کلّ واحدٍ من مقامه</w:t>
      </w:r>
      <w:r>
        <w:rPr>
          <w:rFonts w:eastAsia="IRNazanin" w:cs="IRNazanin"/>
          <w:color w:val="111111"/>
          <w:sz w:val="28"/>
          <w:szCs w:val="28"/>
          <w:rtl w:val="true"/>
          <w:lang w:bidi="fa-IR"/>
        </w:rPr>
        <w:t>.</w:t>
      </w:r>
      <w:bookmarkStart w:id="299" w:name="pg19861_202435"/>
    </w:p>
    <w:p>
      <w:pPr>
        <w:pStyle w:val="Heading5"/>
        <w:numPr>
          <w:ilvl w:val="4"/>
          <w:numId w:val="1"/>
        </w:numPr>
        <w:rPr/>
      </w:pPr>
      <w:bookmarkStart w:id="300" w:name="__RefHeading___Toc5119069_2314609296"/>
      <w:bookmarkStart w:id="301" w:name="_Toc119"/>
      <w:bookmarkEnd w:id="299"/>
      <w:bookmarkEnd w:id="300"/>
      <w:r>
        <w:rPr>
          <w:rtl w:val="true"/>
        </w:rPr>
        <w:t>مسألة و من أسباب خروج الملک عن کونه طِلْقاً</w:t>
      </w:r>
      <w:r>
        <w:rPr>
          <w:rtl w:val="true"/>
        </w:rPr>
        <w:t>:</w:t>
      </w:r>
      <w:r>
        <w:rPr>
          <w:rtl w:val="true"/>
        </w:rPr>
        <w:t>کونه مرهوناً</w:t>
      </w:r>
      <w:r>
        <w:rPr>
          <w:rtl w:val="true"/>
        </w:rPr>
        <w:t>.</w:t>
      </w:r>
      <w:bookmarkEnd w:id="301"/>
    </w:p>
    <w:p>
      <w:pPr>
        <w:pStyle w:val="Heading6"/>
        <w:numPr>
          <w:ilvl w:val="5"/>
          <w:numId w:val="1"/>
        </w:numPr>
        <w:rPr/>
      </w:pPr>
      <w:bookmarkStart w:id="302" w:name="__RefHeading___Toc5119071_2314609296"/>
      <w:bookmarkStart w:id="303" w:name="_Toc120"/>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فإنّ الظاهر بل المقطوع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الاتّفاق علی عدم استقلال المالک فی بیع ملکه المرهون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إجماع الفرقة و أخبارهم علی ذلک </w:t>
      </w:r>
      <w:r>
        <w:rPr>
          <w:rStyle w:val="FootnoteAnchor"/>
          <w:rtl w:val="true"/>
        </w:rPr>
        <w:footnoteReference w:id="774"/>
      </w:r>
      <w:r>
        <w:rPr>
          <w:rFonts w:ascii="IRNazanin" w:hAnsi="IRNazanin" w:eastAsia="IRNazanin"/>
          <w:color w:val="111111"/>
          <w:sz w:val="28"/>
          <w:sz w:val="28"/>
          <w:szCs w:val="28"/>
          <w:rtl w:val="true"/>
          <w:lang w:bidi="fa-IR"/>
        </w:rPr>
        <w:t xml:space="preserve">،و قد حکی الإجماع عن غیره أیضاً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المختلف فی باب تزویج الأمة المرهونة أنّه أرسل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الراهن و المرتهن ممنوعان من التصرّف</w:t>
      </w:r>
      <w:r>
        <w:rPr>
          <w:rFonts w:eastAsia="IRNazanin" w:cs="IRNazanin"/>
          <w:color w:val="111111"/>
          <w:sz w:val="28"/>
          <w:szCs w:val="28"/>
          <w:rtl w:val="true"/>
          <w:lang w:bidi="fa-IR"/>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4" w:name="__RefHeading___Toc5119073_2314609296"/>
      <w:bookmarkStart w:id="305" w:name="_Toc121"/>
      <w:bookmarkEnd w:id="304"/>
      <w:r>
        <w:rPr>
          <w:rtl w:val="true"/>
        </w:rPr>
        <w:t>و إنّما الکلام فی أنّ بیع الراهن هل یقع باطلاً من أصله؟أو یقع موقوفاً علی الإجازة،</w:t>
      </w:r>
      <w:bookmarkEnd w:id="30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سقوط حقّه بإسقاطه أو بالفکّ؟</w:t>
      </w:r>
    </w:p>
    <w:p>
      <w:pPr>
        <w:pStyle w:val="BookText"/>
        <w:rPr/>
      </w:pPr>
      <w:r>
        <w:rPr>
          <w:rFonts w:ascii="IRNazanin" w:hAnsi="IRNazanin" w:eastAsia="IRNazanin"/>
          <w:color w:val="111111"/>
          <w:sz w:val="28"/>
          <w:sz w:val="28"/>
          <w:szCs w:val="28"/>
          <w:rtl w:val="true"/>
          <w:lang w:bidi="fa-IR"/>
        </w:rPr>
        <w:t xml:space="preserve">فظاهر عبائر جماعةٍ من القدماء و غیرهم </w:t>
      </w:r>
      <w:r>
        <w:rPr>
          <w:rStyle w:val="FootnoteAnchor"/>
          <w:rtl w:val="true"/>
        </w:rPr>
        <w:footnoteReference w:id="777"/>
      </w:r>
      <w:r>
        <w:rPr>
          <w:rFonts w:ascii="IRNazanin" w:hAnsi="IRNazanin" w:eastAsia="IRNazanin"/>
          <w:color w:val="111111"/>
          <w:sz w:val="28"/>
          <w:sz w:val="28"/>
          <w:szCs w:val="28"/>
          <w:rtl w:val="true"/>
          <w:lang w:bidi="fa-IR"/>
        </w:rPr>
        <w:t xml:space="preserve">الأوّل،إلّا أنّ صریح الشیخ فی النهایة </w:t>
      </w:r>
      <w:r>
        <w:rPr>
          <w:rStyle w:val="FootnoteAnchor"/>
          <w:rtl w:val="true"/>
        </w:rPr>
        <w:footnoteReference w:id="778"/>
      </w:r>
      <w:r>
        <w:rPr>
          <w:rFonts w:ascii="IRNazanin" w:hAnsi="IRNazanin" w:eastAsia="IRNazanin"/>
          <w:color w:val="111111"/>
          <w:sz w:val="28"/>
          <w:sz w:val="28"/>
          <w:szCs w:val="28"/>
          <w:rtl w:val="true"/>
          <w:lang w:bidi="fa-IR"/>
        </w:rPr>
        <w:t xml:space="preserve">و ابن حمزة فی الوسیلة </w:t>
      </w:r>
      <w:r>
        <w:rPr>
          <w:rStyle w:val="FootnoteAnchor"/>
          <w:rtl w:val="true"/>
        </w:rPr>
        <w:footnoteReference w:id="779"/>
      </w:r>
      <w:r>
        <w:rPr>
          <w:rFonts w:ascii="IRNazanin" w:hAnsi="IRNazanin" w:eastAsia="IRNazanin"/>
          <w:color w:val="111111"/>
          <w:sz w:val="28"/>
          <w:sz w:val="28"/>
          <w:szCs w:val="28"/>
          <w:rtl w:val="true"/>
          <w:lang w:bidi="fa-IR"/>
        </w:rPr>
        <w:t xml:space="preserve">و جمهور المتأخّرین </w:t>
      </w:r>
      <w:r>
        <w:rPr>
          <w:rStyle w:val="FootnoteAnchor"/>
          <w:rtl w:val="true"/>
        </w:rPr>
        <w:footnoteReference w:id="780"/>
      </w:r>
      <w:r>
        <w:rPr>
          <w:rFonts w:ascii="Amiri" w:hAnsi="Amiri" w:eastAsia="Amiri" w:cs="Amiri"/>
          <w:color w:val="111111"/>
          <w:sz w:val="28"/>
          <w:sz w:val="28"/>
          <w:szCs w:val="28"/>
          <w:rtl w:val="true"/>
          <w:lang w:bidi="ar-SA"/>
        </w:rPr>
        <w:t xml:space="preserve">عدا شاذٍّ منهم </w:t>
      </w:r>
      <w:r>
        <w:rPr>
          <w:rStyle w:val="FootnoteAnchor"/>
          <w:rtl w:val="true"/>
        </w:rPr>
        <w:footnoteReference w:id="781"/>
      </w:r>
      <w:r>
        <w:rPr>
          <w:rFonts w:ascii="IRNazanin" w:hAnsi="IRNazanin" w:eastAsia="IRNazanin"/>
          <w:color w:val="111111"/>
          <w:sz w:val="28"/>
          <w:sz w:val="28"/>
          <w:szCs w:val="28"/>
          <w:rtl w:val="true"/>
          <w:lang w:bidi="fa-IR"/>
        </w:rPr>
        <w:t>هو کونه موقوفاً،و هو الأقوی؛للعمومات السلیمة عن المخصّص؛لأنّ معقد الإجماع و الأخبار الظاهرة فی المنع عن التصرّف هو الاستقلال،کما یشهد به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الراهن</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،مع ما ثبت فی محلّه من وقوع تصرّف المرتهن موقوفاً،لا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تسلیم الظهور فی بطلان التصرّف رأساً،فهی موهونة بمصیر جمهور المتأخّرین علی خلافه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کلّه،مضافاً إلی ما یستفاد من صحّة نکاح العبد بالإجازة؛ معلّلاً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یعصِ اللّٰه و إنّما عصی سیّده</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إذ المستفاد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کلّ</w:t>
      </w:r>
    </w:p>
    <w:p>
      <w:pPr>
        <w:pStyle w:val="BookText"/>
        <w:rPr/>
      </w:pPr>
      <w:r>
        <w:rPr>
          <w:rFonts w:ascii="IRNazanin" w:hAnsi="IRNazanin" w:eastAsia="IRNazanin"/>
          <w:color w:val="111111"/>
          <w:sz w:val="28"/>
          <w:sz w:val="28"/>
          <w:szCs w:val="28"/>
          <w:rtl w:val="true"/>
          <w:lang w:bidi="fa-IR"/>
        </w:rPr>
        <w:t xml:space="preserve">عقد کان النهی عنه لحقّ الآدمی یرتفع </w:t>
      </w:r>
      <w:r>
        <w:rPr>
          <w:rStyle w:val="FootnoteAnchor"/>
          <w:rtl w:val="true"/>
        </w:rPr>
        <w:footnoteReference w:id="785"/>
      </w:r>
      <w:r>
        <w:rPr>
          <w:rFonts w:ascii="IRNazanin" w:hAnsi="IRNazanin" w:eastAsia="IRNazanin"/>
          <w:color w:val="111111"/>
          <w:sz w:val="28"/>
          <w:sz w:val="28"/>
          <w:szCs w:val="28"/>
          <w:rtl w:val="true"/>
          <w:lang w:bidi="fa-IR"/>
        </w:rPr>
        <w:t xml:space="preserve">المنع و یحصل التأثیر بارتفاع المنع و حصول الرضا،و لیس ذلک کمعصیة اللّٰه أصالة </w:t>
      </w:r>
      <w:r>
        <w:rPr>
          <w:rStyle w:val="FootnoteAnchor"/>
          <w:rtl w:val="true"/>
        </w:rPr>
        <w:footnoteReference w:id="786"/>
      </w:r>
      <w:r>
        <w:rPr>
          <w:rFonts w:ascii="IRNazanin" w:hAnsi="IRNazanin" w:eastAsia="IRNazanin"/>
          <w:color w:val="111111"/>
          <w:sz w:val="28"/>
          <w:sz w:val="28"/>
          <w:szCs w:val="28"/>
          <w:rtl w:val="true"/>
          <w:lang w:bidi="fa-IR"/>
        </w:rPr>
        <w:t xml:space="preserve">فی إیقاع العقد التی لا یمکن أن یلحقها </w:t>
      </w:r>
      <w:r>
        <w:rPr>
          <w:rStyle w:val="FootnoteAnchor"/>
          <w:rtl w:val="true"/>
        </w:rPr>
        <w:footnoteReference w:id="787"/>
      </w:r>
      <w:r>
        <w:rPr>
          <w:rFonts w:ascii="Amiri" w:hAnsi="Amiri" w:eastAsia="Amiri" w:cs="Amiri"/>
          <w:color w:val="111111"/>
          <w:sz w:val="28"/>
          <w:sz w:val="28"/>
          <w:szCs w:val="28"/>
          <w:rtl w:val="true"/>
          <w:lang w:bidi="ar-SA"/>
        </w:rPr>
        <w:t>رضا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کلّه،مضافاً إلی فحوی أدلّة صحّة الفضولی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الظاهر من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کلّ من أبطل عقد الفضولی أبطل العقد هنا </w:t>
      </w:r>
      <w:r>
        <w:rPr>
          <w:rStyle w:val="FootnoteAnchor"/>
          <w:rtl w:val="true"/>
        </w:rPr>
        <w:footnoteReference w:id="788"/>
      </w:r>
      <w:r>
        <w:rPr>
          <w:rFonts w:ascii="IRNazanin" w:hAnsi="IRNazanin" w:eastAsia="IRNazanin"/>
          <w:color w:val="111111"/>
          <w:sz w:val="28"/>
          <w:sz w:val="28"/>
          <w:szCs w:val="28"/>
          <w:rtl w:val="true"/>
          <w:lang w:bidi="fa-IR"/>
        </w:rPr>
        <w:t>،و فیه نظر؛لأنّ من استند فی البطلان فی الفضولی إلی مثل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إلّا فی ملک</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لا یلزمه البطلان هنا،بل الأظهر ما سیجیء عن إیضاح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الظاهر وقوف هذا العقد و إن قلنا ببطلان الفضولی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ظهر من ذلک ضعف ما قوّاه بعض من عاصرناه </w:t>
      </w:r>
      <w:r>
        <w:rPr>
          <w:rStyle w:val="FootnoteAnchor"/>
          <w:rtl w:val="true"/>
        </w:rPr>
        <w:footnoteReference w:id="791"/>
      </w:r>
      <w:r>
        <w:rPr>
          <w:rFonts w:ascii="IRNazanin" w:hAnsi="IRNazanin" w:eastAsia="IRNazanin"/>
          <w:color w:val="111111"/>
          <w:sz w:val="28"/>
          <w:sz w:val="28"/>
          <w:szCs w:val="28"/>
          <w:rtl w:val="true"/>
          <w:lang w:bidi="fa-IR"/>
        </w:rPr>
        <w:t>من القول بالبطلان،متمسّکاً بظاهر الإجماعات و الأخبار المحکیّة علی المنع و النهی،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موجب للبطلان و إن کان لحقّ الغیر؛إذ العبرة بتعلّق النهی بالعقد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 xml:space="preserve">لا لأمرٍ خارجٍ عنه،و هو کافٍ فی اقتضاء الفساد کما اقتضاه فی بیع الوقف و أُمّ الولد و غیرهما،مع استواء الجمیع </w:t>
      </w:r>
      <w:r>
        <w:rPr>
          <w:rStyle w:val="FootnoteAnchor"/>
          <w:rtl w:val="true"/>
        </w:rPr>
        <w:footnoteReference w:id="793"/>
      </w:r>
      <w:r>
        <w:rPr>
          <w:rFonts w:ascii="IRNazanin" w:hAnsi="IRNazanin" w:eastAsia="IRNazanin"/>
          <w:color w:val="111111"/>
          <w:sz w:val="28"/>
          <w:sz w:val="28"/>
          <w:szCs w:val="28"/>
          <w:rtl w:val="true"/>
          <w:lang w:bidi="fa-IR"/>
        </w:rPr>
        <w:t>فی کون سبب النهی حقّ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نفسه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هذا یلزم بطلان عقد الفضولی و عقد المرتهن،مع أنّ کثیراً من الأصحاب ساووا بین الراهن و المرتهن فی المنع </w:t>
      </w:r>
      <w:r>
        <w:rPr>
          <w:rStyle w:val="FootnoteAnchor"/>
          <w:rtl w:val="true"/>
        </w:rPr>
        <w:footnoteReference w:id="794"/>
      </w:r>
      <w:r>
        <w:rPr>
          <w:rFonts w:ascii="IRNazanin" w:hAnsi="IRNazanin" w:eastAsia="IRNazanin"/>
          <w:color w:val="111111"/>
          <w:sz w:val="28"/>
          <w:sz w:val="28"/>
          <w:szCs w:val="28"/>
          <w:rtl w:val="true"/>
          <w:lang w:bidi="fa-IR"/>
        </w:rPr>
        <w:t xml:space="preserve">کما دلّت علیه الروایة </w:t>
      </w:r>
      <w:r>
        <w:rPr>
          <w:rStyle w:val="FootnoteAnchor"/>
          <w:rtl w:val="true"/>
        </w:rPr>
        <w:footnoteReference w:id="795"/>
      </w:r>
      <w:r>
        <w:rPr>
          <w:rFonts w:ascii="IRNazanin" w:hAnsi="IRNazanin" w:eastAsia="IRNazanin"/>
          <w:color w:val="111111"/>
          <w:sz w:val="28"/>
          <w:sz w:val="28"/>
          <w:szCs w:val="28"/>
          <w:rtl w:val="true"/>
          <w:lang w:bidi="fa-IR"/>
        </w:rPr>
        <w:t>فیلزم بطلان عقد الجمیع أو صحّته،فالفرق 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التصرّف المنهیّ عنه إن کان انتفاعاً بمال الغیر فهو محرّم، و لا تحلّله الإجازة المتعقّبة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عقداً أو إیقاعاً،فإن وقع بطریق الاستقلال </w:t>
      </w:r>
      <w:r>
        <w:rPr>
          <w:rStyle w:val="FootnoteAnchor"/>
          <w:rtl w:val="true"/>
        </w:rPr>
        <w:footnoteReference w:id="796"/>
      </w:r>
      <w:r>
        <w:rPr>
          <w:rFonts w:ascii="IRNazanin" w:hAnsi="IRNazanin" w:eastAsia="IRNazanin"/>
          <w:color w:val="111111"/>
          <w:sz w:val="28"/>
          <w:sz w:val="28"/>
          <w:szCs w:val="28"/>
          <w:rtl w:val="true"/>
          <w:lang w:bidi="fa-IR"/>
        </w:rPr>
        <w:t>لا علی وجه النیابة عن المالک،فالظاهر أنّه کذلک کما سبق فی الفضولی و إلّا فلا یعدّ تصرّفاً یتعلّق به النهی،فالعقد الصادر عن الفضولی قد یکون محرّماً،و قد لا یکون کذلک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الصادر عن المرتهن إن وقع بطریق الاستقلال المستند إلی البناء علی ظلم الراهن و غصب حقّه،أو إلی زعم التسلّط علیه بمجرّد الارتهان کان منهیّاً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بقصد النیابة عن الراهن فی مجرّد</w:t>
      </w:r>
    </w:p>
    <w:p>
      <w:pPr>
        <w:pStyle w:val="BookText"/>
        <w:rPr/>
      </w:pPr>
      <w:r>
        <w:rPr>
          <w:rFonts w:ascii="IRNazanin" w:hAnsi="IRNazanin" w:eastAsia="IRNazanin"/>
          <w:color w:val="111111"/>
          <w:sz w:val="28"/>
          <w:sz w:val="28"/>
          <w:szCs w:val="28"/>
          <w:rtl w:val="true"/>
          <w:lang w:bidi="fa-IR"/>
        </w:rPr>
        <w:t>إجراء الصیغة،فلا یزید عن عقد الفضولی،فلا یتعلّق به نهیٌ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المالک،فلمّا حُجر علی ماله برهنه و کان عقده لا یقع إلّا مستنداً إلی ملکه لانحصار </w:t>
      </w:r>
      <w:r>
        <w:rPr>
          <w:rStyle w:val="FootnoteAnchor"/>
          <w:rtl w:val="true"/>
        </w:rPr>
        <w:footnoteReference w:id="797"/>
      </w:r>
      <w:r>
        <w:rPr>
          <w:rFonts w:ascii="IRNazanin" w:hAnsi="IRNazanin" w:eastAsia="IRNazanin"/>
          <w:color w:val="111111"/>
          <w:sz w:val="28"/>
          <w:sz w:val="28"/>
          <w:szCs w:val="28"/>
          <w:rtl w:val="true"/>
          <w:lang w:bidi="fa-IR"/>
        </w:rPr>
        <w:t>المالکیّة فیه و لا معنی لقصده النیابة،فهو منهیٌّ عنه؛لکونه تصرّفاً مطلقاً و منافیاً للحجر الثابت علیه،فیخصّص العمومات بما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الملک لا یقضی بالصحّة؛إذ الظاهر بمقتضی التأمّل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الملک المسوّغ للبیع هو ملک الأصل مع ملک التصرّف فیه؛ و لذا </w:t>
      </w:r>
      <w:r>
        <w:rPr>
          <w:rStyle w:val="FootnoteAnchor"/>
          <w:rtl w:val="true"/>
        </w:rPr>
        <w:footnoteReference w:id="798"/>
      </w:r>
      <w:r>
        <w:rPr>
          <w:rFonts w:ascii="IRNazanin" w:hAnsi="IRNazanin" w:eastAsia="IRNazanin"/>
          <w:color w:val="111111"/>
          <w:sz w:val="28"/>
          <w:sz w:val="28"/>
          <w:szCs w:val="28"/>
          <w:rtl w:val="true"/>
          <w:lang w:bidi="fa-IR"/>
        </w:rPr>
        <w:t>لم یصحّ البیع فی مواضع وجد فیها سبب الملک و کان ناقصاً؛ للمنع عن التصرّف</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بالجملة،فالذی یظهر بالتتبّع فی الأدلّة </w:t>
      </w:r>
      <w:r>
        <w:rPr>
          <w:rStyle w:val="FootnoteAnchor"/>
          <w:rtl w:val="true"/>
        </w:rPr>
        <w:footnoteReference w:id="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العقود ما لم تنته إلی المالک فیمکن وقوعها موقوفة علی إجازته،و أمّا إذا انتهت إلی إذن المالک أو إجازته أو صدرت منه و کان تصرّفه علی وجه الأصالة فلا تقع علی وجهین،بل تکون فاسدة أو صحیحة لازمة إذا کان وضع ذلک </w:t>
      </w:r>
      <w:r>
        <w:rPr>
          <w:rStyle w:val="FootnoteAnchor"/>
          <w:rtl w:val="true"/>
        </w:rPr>
        <w:footnoteReference w:id="800"/>
      </w:r>
      <w:r>
        <w:rPr>
          <w:rFonts w:ascii="IRNazanin" w:hAnsi="IRNazanin" w:eastAsia="IRNazanin"/>
          <w:color w:val="111111"/>
          <w:sz w:val="28"/>
          <w:sz w:val="28"/>
          <w:szCs w:val="28"/>
          <w:rtl w:val="true"/>
          <w:lang w:bidi="fa-IR"/>
        </w:rPr>
        <w:t>العقد علی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التعلیل المستفاد من الروایة المرویّة فی النکاح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یعص اللّٰه و إنّما عصی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،فهو جارٍ فی من لم یکن مالکاً کما أنّ العبد لا یملک أمر</w:t>
      </w:r>
    </w:p>
    <w:p>
      <w:pPr>
        <w:pStyle w:val="BookText"/>
        <w:rPr/>
      </w:pPr>
      <w:r>
        <w:rPr>
          <w:rFonts w:ascii="IRNazanin" w:hAnsi="IRNazanin" w:eastAsia="IRNazanin"/>
          <w:color w:val="111111"/>
          <w:sz w:val="28"/>
          <w:sz w:val="28"/>
          <w:szCs w:val="28"/>
          <w:rtl w:val="true"/>
          <w:lang w:bidi="fa-IR"/>
        </w:rPr>
        <w:t>نفسه،و أمّا المالک المحجور علیه،فهو عاصٍ للّٰه بتصرّفه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عصی المرتهن؛لعدم کونه مالکاً،و إنّما منع اللّٰه من تفویت حقّه بالتصرّف،و ما ذکرناه جارٍ فی کلّ مالکٍ متولٍّ لأمر نفسه إذا حُجر علی ماله لعارضٍ کالفَلَس و غیره فیحکم بفساد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یتّجه الصحّة فیما إذا کان الغرض من الحَجْر رعایة مصلحةٍ کالشفعة </w:t>
      </w:r>
      <w:r>
        <w:rPr>
          <w:rStyle w:val="FootnoteAnchor"/>
          <w:rtl w:val="true"/>
        </w:rPr>
        <w:footnoteReference w:id="802"/>
      </w:r>
      <w:r>
        <w:rPr>
          <w:rFonts w:ascii="IRNazanin" w:hAnsi="IRNazanin" w:eastAsia="IRNazanin"/>
          <w:color w:val="111111"/>
          <w:sz w:val="28"/>
          <w:sz w:val="28"/>
          <w:szCs w:val="28"/>
          <w:rtl w:val="true"/>
          <w:lang w:bidi="fa-IR"/>
        </w:rPr>
        <w:t xml:space="preserve">فالقول بالبطلان هنا کما اختاره أساطین الفقهاء هو الأقوی </w:t>
      </w:r>
      <w:r>
        <w:rPr>
          <w:rStyle w:val="FootnoteAnchor"/>
          <w:rtl w:val="true"/>
        </w:rPr>
        <w:footnoteReference w:id="803"/>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بعد منع الفرق فی الحکم بین بیع ملک الغیر علی وجه الاستقلال و بیعه علی وجه النیابة،و منع اقتضاء مطلق النهی،لا لأمرٍ خارجٍ،للفساد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نظیر ذلک یتصوّر فی بیع الراهن؛فإنّه قد یبیع رجاءً لإجازة المرتهن و لا ینوی الاستقلال،و قد یبیع </w:t>
      </w:r>
      <w:r>
        <w:rPr>
          <w:rStyle w:val="FootnoteAnchor"/>
          <w:rtl w:val="true"/>
        </w:rPr>
        <w:footnoteReference w:id="804"/>
      </w:r>
      <w:r>
        <w:rPr>
          <w:rFonts w:ascii="IRNazanin" w:hAnsi="IRNazanin" w:eastAsia="IRNazanin"/>
          <w:color w:val="111111"/>
          <w:sz w:val="28"/>
          <w:sz w:val="28"/>
          <w:szCs w:val="28"/>
          <w:rtl w:val="true"/>
          <w:lang w:bidi="fa-IR"/>
        </w:rPr>
        <w:t xml:space="preserve">جاهلاً بالرهن أو بحکمه أو ناسیاً،و لا حرمة فی شیءٍ من ذلک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المتیقّن من الإجماع و الأخبار علی منع الراهن کونه علی نحو منع المرتهن علی ما یقتضیه عبارة معقد الإجماع و الأخبار،</w:t>
      </w:r>
    </w:p>
    <w:p>
      <w:pPr>
        <w:pStyle w:val="BookText"/>
        <w:rPr/>
      </w:pPr>
      <w:r>
        <w:rPr>
          <w:rFonts w:ascii="IRNazanin" w:hAnsi="IRNazanin" w:eastAsia="IRNazanin"/>
          <w:color w:val="111111"/>
          <w:sz w:val="28"/>
          <w:sz w:val="28"/>
          <w:szCs w:val="28"/>
          <w:rtl w:val="true"/>
          <w:lang w:bidi="fa-IR"/>
        </w:rPr>
        <w:t>أعنی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الراهن و المرتهن ممنوعان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المنع فی المرتهن إنّما هو علی وجهٍ لا ینافی وقوعه موقوفاً،و حاصله یرجع إلی منع العقد علی الرهن و الوفاء بمقتضاه علی سبیل الاستقلال و عدم مراجعة صاحبه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إثبات المنع أزید من ذلک یحتاج إلی دلیل،و مع عدمه یرجع إلی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منع جریان التعلیل فی روایات العبد فیما نحن فیه مستنداً إلی الفرق بینهما،فلم أتحقّق الفرق بینهما،بل الظاهر کون النهی فی کلٍّ منهما لحقّ الغیر،فإنّ منع اللّٰه جلّ ذکره من تفویت حقّ الغیر ثابت فی کلِّ ما کان النهی عنه لحقّ الغیر،من غیر فرقٍ بین بیع الفضولی و نکاح العبد و بیع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المساواة بین بیع الراهن و بیع الوقف و أُمّ الولد،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فیهما تعبّدٌ؛و لذا لا یؤثّر الإذن السابق فی صحّة البیع، فقیاس الرهن علیه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بالجملة،فالمستفاد من طریقة الأصحاب،بل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المنع من المعاملة إذا کان لحقّ الغیر الذی یکفی إذنه السابق لا یقتضی الإبطال رأساً،بل إنّما یقتضی الفساد،بمعنی عدم ترتّب الأثر علیه مستقلا من دون مراجعة ذی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یندرج فی ذلک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الفضولی و عقد الراهن،و المفلَّس،و المریض،و عقد الزوج لبنت أُخت زوجته أو أخیها،و للأمة علی الحرّة و غیر ذلک،فإنّ النهی فی جمیع ذلک إنّما یقتضی الفساد بمعنی عدم ترتّب الأثر </w:t>
      </w:r>
      <w:r>
        <w:rPr>
          <w:rStyle w:val="FootnoteAnchor"/>
          <w:rtl w:val="true"/>
        </w:rPr>
        <w:footnoteReference w:id="806"/>
      </w:r>
      <w:r>
        <w:rPr>
          <w:rFonts w:ascii="IRNazanin" w:hAnsi="IRNazanin" w:eastAsia="IRNazanin"/>
          <w:color w:val="111111"/>
          <w:sz w:val="28"/>
          <w:sz w:val="28"/>
          <w:szCs w:val="28"/>
          <w:rtl w:val="true"/>
          <w:lang w:bidi="fa-IR"/>
        </w:rPr>
        <w:t>المقصود من العقد</w:t>
      </w:r>
      <w:bookmarkStart w:id="306" w:name="pg19861_202442"/>
    </w:p>
    <w:p>
      <w:pPr>
        <w:pStyle w:val="BookText"/>
        <w:rPr/>
      </w:pPr>
      <w:bookmarkEnd w:id="306"/>
      <w:r>
        <w:rPr>
          <w:rFonts w:ascii="IRNazanin" w:hAnsi="IRNazanin" w:eastAsia="IRNazanin"/>
          <w:color w:val="111111"/>
          <w:sz w:val="28"/>
          <w:sz w:val="28"/>
          <w:szCs w:val="28"/>
          <w:rtl w:val="true"/>
          <w:lang w:bidi="fa-IR"/>
        </w:rPr>
        <w:t>عرفاً،و هو صیرورته سبباً مستقلا لآثاره من دون مدخلیّة رضا غیر المتعاقدین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یتخیّل وجهٌ آخر لبطلان البیع هنا؛بناءً علی 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ظاهرهم کون الإجازة هنا کاشفة؛حیث إنّه یلزم منه کون مال غیر الراهن و هو المشتری رهناً للبائع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 و البیع متنافیان،فلا یحکم بتحقّقهما فی زمانٍ واحد،أعنی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قبل الإجازة؛و هذا نظیر ما تقدّم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علی تقدیر صحّة البیع یلزم کون الملک لشخصین فی الواقع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القائل یلتزم بکشف الإجازة عن عدم الرهن فی الواقع،و إلّا لجری ذلک فی عقد الفضولی أیضاً؛لأنّ فرض کون المجیز مالکاً للمبیع نافِذَ الإجازة یوجب تملّک مالِکَین لِملکٍ </w:t>
      </w:r>
      <w:r>
        <w:rPr>
          <w:rStyle w:val="FootnoteAnchor"/>
          <w:rtl w:val="true"/>
        </w:rPr>
        <w:footnoteReference w:id="808"/>
      </w:r>
      <w:r>
        <w:rPr>
          <w:rFonts w:ascii="Amiri" w:hAnsi="Amiri" w:eastAsia="Amiri" w:cs="Amiri"/>
          <w:color w:val="111111"/>
          <w:sz w:val="28"/>
          <w:sz w:val="28"/>
          <w:szCs w:val="28"/>
          <w:rtl w:val="true"/>
          <w:lang w:bidi="ar-SA"/>
        </w:rPr>
        <w:t>واحدٍ قبل الإجازة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یلزم فی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یلزم فی مسألة إجازة المرتهن،نعم یلزم فی مسألة افتکاک الرهن،و سیجیء التنبیه علیه،إن شاء اللّٰه تعالی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7" w:name="__RefHeading___Toc5119075_2314609296"/>
      <w:bookmarkStart w:id="308" w:name="_Toc122"/>
      <w:bookmarkEnd w:id="307"/>
      <w:r>
        <w:rPr>
          <w:rtl w:val="true"/>
        </w:rPr>
        <w:t>ثمّ إنّ الکلام فی کون الإجازة من المرتهن کاشفةً أو ناقلةً،هو الکلام فی مسألة الفضولی،</w:t>
      </w:r>
      <w:bookmarkEnd w:id="30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مقتضی القاعدة النقل،إلّا أنّ</w:t>
      </w:r>
      <w:bookmarkStart w:id="309" w:name="pg19861_202443"/>
    </w:p>
    <w:p>
      <w:pPr>
        <w:pStyle w:val="BookText"/>
        <w:rPr/>
      </w:pPr>
      <w:bookmarkEnd w:id="309"/>
      <w:r>
        <w:rPr>
          <w:rFonts w:ascii="IRNazanin" w:hAnsi="IRNazanin" w:eastAsia="IRNazanin"/>
          <w:color w:val="111111"/>
          <w:sz w:val="28"/>
          <w:sz w:val="28"/>
          <w:szCs w:val="28"/>
          <w:rtl w:val="true"/>
          <w:lang w:bidi="fa-IR"/>
        </w:rPr>
        <w:t xml:space="preserve">الظاهر من بعض الأخبار </w:t>
      </w:r>
      <w:r>
        <w:rPr>
          <w:rStyle w:val="FootnoteAnchor"/>
          <w:rtl w:val="true"/>
        </w:rPr>
        <w:footnoteReference w:id="810"/>
      </w:r>
      <w:r>
        <w:rPr>
          <w:rFonts w:ascii="IRNazanin" w:hAnsi="IRNazanin" w:eastAsia="IRNazanin"/>
          <w:color w:val="111111"/>
          <w:sz w:val="28"/>
          <w:sz w:val="28"/>
          <w:szCs w:val="28"/>
          <w:rtl w:val="true"/>
          <w:lang w:bidi="fa-IR"/>
        </w:rPr>
        <w:t xml:space="preserve">هو الکشف،و القول بالکشف هناک یستلزمه هنا بالفحوی؛لأنّ إجازة المالک أشبه بجزء المقتضی،و هی هنا من قبیل رفع المانع؛و من أجل ذلک جوّزوا عتق الراهن هنا مع تعقّب إجازة المرتهن </w:t>
      </w:r>
      <w:r>
        <w:rPr>
          <w:rStyle w:val="FootnoteAnchor"/>
          <w:rtl w:val="true"/>
        </w:rPr>
        <w:footnoteReference w:id="811"/>
      </w:r>
      <w:r>
        <w:rPr>
          <w:rFonts w:ascii="IRNazanin" w:hAnsi="IRNazanin" w:eastAsia="IRNazanin"/>
          <w:color w:val="111111"/>
          <w:sz w:val="28"/>
          <w:sz w:val="28"/>
          <w:szCs w:val="28"/>
          <w:rtl w:val="true"/>
          <w:lang w:bidi="fa-IR"/>
        </w:rPr>
        <w:t>،مع أنّ الإیقاعات عندهم لا تقع مراعاة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الاعتذار عن ذلک ببناءِ العتق علی التغلیب کما فعله المحقّق الثانی فی کتاب الرهن،فی مسألة عفو الراهن عن جنایة الجانی علی العبد المرهون </w:t>
      </w:r>
      <w:r>
        <w:rPr>
          <w:rStyle w:val="FootnoteAnchor"/>
          <w:rtl w:val="true"/>
        </w:rPr>
        <w:footnoteReference w:id="812"/>
      </w:r>
      <w:r>
        <w:rPr>
          <w:rFonts w:ascii="IRNazanin" w:hAnsi="IRNazanin" w:eastAsia="IRNazanin"/>
          <w:color w:val="111111"/>
          <w:sz w:val="28"/>
          <w:sz w:val="28"/>
          <w:szCs w:val="28"/>
          <w:rtl w:val="true"/>
          <w:lang w:bidi="fa-IR"/>
        </w:rPr>
        <w:t xml:space="preserve">منافٍ لتمسّکهم فی العتق بعمومات العتق؛مع أنّ العلّامة قدّس سرّه فی تلک المسألة قد جوّز العفو مراعی بفکّ الرهن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رضی المرتهن بالبیع و أجازه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أسقط حقّ الرهن، ففی کون الإسقاط کاشفاً أو ناقلاً کلامٌ یأتی فی افتکاک الرهن أو إبراء الدین</w:t>
      </w:r>
      <w:r>
        <w:rPr>
          <w:rFonts w:eastAsia="IRNazanin" w:cs="IRNazanin"/>
          <w:color w:val="111111"/>
          <w:sz w:val="28"/>
          <w:szCs w:val="28"/>
          <w:rtl w:val="true"/>
          <w:lang w:bidi="fa-IR"/>
        </w:rPr>
        <w:t>.</w:t>
      </w:r>
    </w:p>
    <w:p>
      <w:pPr>
        <w:pStyle w:val="Heading6"/>
        <w:numPr>
          <w:ilvl w:val="5"/>
          <w:numId w:val="1"/>
        </w:numPr>
        <w:rPr/>
      </w:pPr>
      <w:bookmarkStart w:id="310" w:name="__RefHeading___Toc5119077_2314609296"/>
      <w:bookmarkStart w:id="311" w:name="_Toc123"/>
      <w:bookmarkEnd w:id="310"/>
      <w:r>
        <w:rPr>
          <w:rtl w:val="true"/>
        </w:rPr>
        <w:t>[</w:t>
      </w:r>
      <w:r>
        <w:rPr>
          <w:rtl w:val="true"/>
        </w:rPr>
        <w:t>هل تنفع الإجازة بعد الرد أم لا</w:t>
      </w:r>
      <w:r>
        <w:rPr>
          <w:rtl w:val="true"/>
        </w:rPr>
        <w:t>]</w:t>
      </w:r>
      <w:bookmarkEnd w:id="311"/>
    </w:p>
    <w:p>
      <w:pPr>
        <w:pStyle w:val="BookText"/>
        <w:rPr/>
      </w:pPr>
      <w:r>
        <w:rPr>
          <w:rFonts w:ascii="IRNazanin" w:hAnsi="IRNazanin" w:eastAsia="IRNazanin"/>
          <w:color w:val="111111"/>
          <w:sz w:val="28"/>
          <w:sz w:val="28"/>
          <w:szCs w:val="28"/>
          <w:rtl w:val="true"/>
          <w:lang w:bidi="fa-IR"/>
        </w:rPr>
        <w:t>ثمّ إنّه لا إشکال فی أنّه لا ینفع الردّ بعد الإجازة،و هو واضح</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ینفع الإجازة بعد الردّ؟وجهان</w:t>
      </w:r>
      <w:r>
        <w:rPr>
          <w:rFonts w:eastAsia="IRNazanin" w:cs="IRNazanin"/>
          <w:color w:val="111111"/>
          <w:sz w:val="28"/>
          <w:szCs w:val="28"/>
          <w:rtl w:val="true"/>
          <w:lang w:bidi="fa-IR"/>
        </w:rPr>
        <w:t>:</w:t>
      </w:r>
      <w:bookmarkStart w:id="312" w:name="pg19861_202444"/>
    </w:p>
    <w:p>
      <w:pPr>
        <w:pStyle w:val="BookText"/>
        <w:rPr/>
      </w:pPr>
      <w:bookmarkEnd w:id="312"/>
      <w:r>
        <w:rPr>
          <w:rFonts w:ascii="IRNazanin" w:hAnsi="IRNazanin" w:eastAsia="IRNazanin"/>
          <w:color w:val="111111"/>
          <w:sz w:val="28"/>
          <w:sz w:val="28"/>
          <w:szCs w:val="28"/>
          <w:rtl w:val="true"/>
          <w:lang w:bidi="fa-IR"/>
        </w:rPr>
        <w:t>من أنّ الردّ فی معنی عدم رفع الید عن حقّه فله إسقاطه بعد ذلک،و لیس ذلک کردّ بیع الفضولی،لأنّ المجیز هناک فی معنی أحد المتعاقدین،و قد تقرّر أنّ ردّ أحد العاقدین مبطلٌ لإنشاء العاقد الآخر، بخلافه هنا؛فإنّ المرتهن أجنبیٌّ له حقٌّ فی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أنّ الإیجاب المؤثّر إنّما یتحقّق برضا المالک و المرتهن،فرضا کلٍّ منهما جزءٌ مقوّمٌ للإیجاب المؤثِّر،فکما أنّ ردّ المالک فی الفضولی مبطلٌ للعقد بالتقریب المتقدّم،کذلک ردّ المرتهن؛و هذا هو الأظهر من قواعدهم</w:t>
      </w:r>
      <w:r>
        <w:rPr>
          <w:rFonts w:eastAsia="IRNazanin" w:cs="IRNazanin"/>
          <w:color w:val="111111"/>
          <w:sz w:val="28"/>
          <w:szCs w:val="28"/>
          <w:rtl w:val="true"/>
          <w:lang w:bidi="fa-IR"/>
        </w:rPr>
        <w:t>.</w:t>
      </w:r>
    </w:p>
    <w:p>
      <w:pPr>
        <w:pStyle w:val="Heading6"/>
        <w:numPr>
          <w:ilvl w:val="5"/>
          <w:numId w:val="1"/>
        </w:numPr>
        <w:rPr/>
      </w:pPr>
      <w:bookmarkStart w:id="313" w:name="__RefHeading___Toc5119079_2314609296"/>
      <w:bookmarkStart w:id="314" w:name="_Toc124"/>
      <w:bookmarkEnd w:id="313"/>
      <w:r>
        <w:rPr>
          <w:rtl w:val="true"/>
        </w:rPr>
        <w:t>[</w:t>
      </w:r>
      <w:r>
        <w:rPr>
          <w:rtl w:val="true"/>
        </w:rPr>
        <w:t>فک الرهن بعد البیع بمنزلة الإجازة</w:t>
      </w:r>
      <w:r>
        <w:rPr>
          <w:rtl w:val="true"/>
        </w:rPr>
        <w:t>]</w:t>
      </w:r>
      <w:bookmarkEnd w:id="314"/>
    </w:p>
    <w:p>
      <w:pPr>
        <w:pStyle w:val="BookText"/>
        <w:rPr/>
      </w:pPr>
      <w:r>
        <w:rPr>
          <w:rFonts w:ascii="IRNazanin" w:hAnsi="IRNazanin" w:eastAsia="IRNazanin"/>
          <w:color w:val="111111"/>
          <w:sz w:val="28"/>
          <w:sz w:val="28"/>
          <w:szCs w:val="28"/>
          <w:rtl w:val="true"/>
          <w:lang w:bidi="fa-IR"/>
        </w:rPr>
        <w:t xml:space="preserve">ثمّ إنّ الظاهر أنّ فکّ الرهن بعد البیع بمنزلة الإجازة؛لسقوط حقّ المرتهن بذلک،کما صرّح به فی التذکرة </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حکی عن فخر الإسلام </w:t>
      </w:r>
      <w:r>
        <w:rPr>
          <w:rStyle w:val="FootnoteAnchor"/>
          <w:rtl w:val="true"/>
        </w:rPr>
        <w:footnoteReference w:id="815"/>
      </w:r>
      <w:r>
        <w:rPr>
          <w:rFonts w:ascii="IRNazanin" w:hAnsi="IRNazanin" w:eastAsia="IRNazanin"/>
          <w:color w:val="111111"/>
          <w:sz w:val="28"/>
          <w:sz w:val="28"/>
          <w:szCs w:val="28"/>
          <w:rtl w:val="true"/>
          <w:lang w:bidi="fa-IR"/>
        </w:rPr>
        <w:t xml:space="preserve">و الشهید فی الحواشی </w:t>
      </w:r>
      <w:r>
        <w:rPr>
          <w:rStyle w:val="FootnoteAnchor"/>
          <w:rtl w:val="true"/>
        </w:rPr>
        <w:footnoteReference w:id="816"/>
      </w:r>
      <w:r>
        <w:rPr>
          <w:rFonts w:ascii="IRNazanin" w:hAnsi="IRNazanin" w:eastAsia="IRNazanin"/>
          <w:color w:val="111111"/>
          <w:sz w:val="28"/>
          <w:sz w:val="28"/>
          <w:szCs w:val="28"/>
          <w:rtl w:val="true"/>
          <w:lang w:bidi="fa-IR"/>
        </w:rPr>
        <w:t xml:space="preserve">،و هو الظاهر من المحقّق و الشهید الثانیین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عدم لزوم العقد بالفکّ کما احتمله فی القواعد </w:t>
      </w:r>
      <w:r>
        <w:rPr>
          <w:rStyle w:val="FootnoteAnchor"/>
          <w:rtl w:val="true"/>
        </w:rPr>
        <w:footnoteReference w:id="818"/>
      </w:r>
      <w:r>
        <w:rPr>
          <w:rFonts w:ascii="IRNazanin" w:hAnsi="IRNazanin" w:eastAsia="IRNazanin"/>
          <w:color w:val="111111"/>
          <w:sz w:val="28"/>
          <w:sz w:val="28"/>
          <w:szCs w:val="28"/>
          <w:rtl w:val="true"/>
          <w:lang w:bidi="fa-IR"/>
        </w:rPr>
        <w:t xml:space="preserve">بل بمطلق </w:t>
      </w:r>
      <w:r>
        <w:rPr>
          <w:rStyle w:val="FootnoteAnchor"/>
          <w:rtl w:val="true"/>
        </w:rPr>
        <w:footnoteReference w:id="819"/>
      </w:r>
      <w:r>
        <w:rPr>
          <w:rFonts w:ascii="IRNazanin" w:hAnsi="IRNazanin" w:eastAsia="IRNazanin"/>
          <w:color w:val="111111"/>
          <w:sz w:val="28"/>
          <w:sz w:val="28"/>
          <w:szCs w:val="28"/>
          <w:rtl w:val="true"/>
          <w:lang w:bidi="fa-IR"/>
        </w:rPr>
        <w:t>السقوط الحاصل بالإسقاط أو الإبراء أو بغیرهما؛نظراً إلی أنّ</w:t>
      </w:r>
      <w:bookmarkStart w:id="315" w:name="pg19861_202445"/>
    </w:p>
    <w:p>
      <w:pPr>
        <w:pStyle w:val="BookText"/>
        <w:rPr/>
      </w:pPr>
      <w:bookmarkEnd w:id="315"/>
      <w:r>
        <w:rPr>
          <w:rFonts w:ascii="IRNazanin" w:hAnsi="IRNazanin" w:eastAsia="IRNazanin"/>
          <w:color w:val="111111"/>
          <w:sz w:val="28"/>
          <w:sz w:val="28"/>
          <w:szCs w:val="28"/>
          <w:rtl w:val="true"/>
          <w:lang w:bidi="fa-IR"/>
        </w:rPr>
        <w:t>الراهن تصرّف فیما فیه حقّ المرتهن،و سقوطه بعد ذلک لا یؤثّر فی تصحیحه</w:t>
      </w:r>
      <w:r>
        <w:rPr>
          <w:rFonts w:eastAsia="IRNazanin" w:cs="IRNazanin"/>
          <w:color w:val="111111"/>
          <w:sz w:val="28"/>
          <w:szCs w:val="28"/>
          <w:rtl w:val="true"/>
          <w:lang w:bidi="fa-IR"/>
        </w:rPr>
        <w:t>.</w:t>
      </w:r>
    </w:p>
    <w:p>
      <w:pPr>
        <w:pStyle w:val="Heading6"/>
        <w:numPr>
          <w:ilvl w:val="5"/>
          <w:numId w:val="1"/>
        </w:numPr>
        <w:rPr/>
      </w:pPr>
      <w:bookmarkStart w:id="316" w:name="__RefHeading___Toc5119081_2314609296"/>
      <w:bookmarkStart w:id="317" w:name="_Toc125"/>
      <w:bookmarkEnd w:id="316"/>
      <w:r>
        <w:rPr>
          <w:rtl w:val="true"/>
        </w:rPr>
        <w:t>و الفرق بین الإجازة و الفکّ</w:t>
      </w:r>
      <w:r>
        <w:rPr>
          <w:rtl w:val="true"/>
        </w:rPr>
        <w:t>:</w:t>
      </w:r>
      <w:bookmarkEnd w:id="317"/>
    </w:p>
    <w:p>
      <w:pPr>
        <w:pStyle w:val="BookText"/>
        <w:rPr/>
      </w:pPr>
      <w:r>
        <w:rPr>
          <w:rFonts w:ascii="Amiri" w:hAnsi="Amiri" w:eastAsia="Amiri" w:cs="Amiri"/>
          <w:color w:val="111111"/>
          <w:sz w:val="28"/>
          <w:sz w:val="28"/>
          <w:szCs w:val="28"/>
          <w:rtl w:val="true"/>
          <w:lang w:bidi="ar-SA"/>
        </w:rPr>
        <w:t xml:space="preserve">أنّ مقتضی ثبوت الحقّ له </w:t>
      </w:r>
      <w:r>
        <w:rPr>
          <w:rStyle w:val="FootnoteAnchor"/>
          <w:rtl w:val="true"/>
        </w:rPr>
        <w:footnoteReference w:id="820"/>
      </w:r>
      <w:r>
        <w:rPr>
          <w:rFonts w:ascii="IRNazanin" w:hAnsi="IRNazanin" w:eastAsia="IRNazanin"/>
          <w:color w:val="111111"/>
          <w:sz w:val="28"/>
          <w:sz w:val="28"/>
          <w:szCs w:val="28"/>
          <w:rtl w:val="true"/>
          <w:lang w:bidi="fa-IR"/>
        </w:rPr>
        <w:t>هو صحّة إمضائه للبیع الواقع فی زمان حقّه،و إن لزم من الإجازة سقوط حقّه،فیسقط حقّه بلزوم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بالجملة،فالإجازة تصرّف من المرتهن فی الرهن حال وجود حقّه أعنی حال العقد بما یوجب سقوط حقّه، نظیر إجازة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 الإسقاط أو السقوط بالإبراء أو الأداء؛فإنّه لیس فیه دلالة علی مضیّ العقد حال وقوعه،فهو أشبه شیءٍ ببیع الفضولی أو الغاصب لنفسهما ثمّ تملّکهما،و قد تقدّم الإشکال فیه عن جماعة </w:t>
      </w:r>
      <w:r>
        <w:rPr>
          <w:rStyle w:val="FootnoteAnchor"/>
          <w:rtl w:val="true"/>
        </w:rPr>
        <w:footnoteReference w:id="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إلی استصحاب عدم اللزوم الحاکم علی عموم أَوْفُوا بِالْعُقُودِ </w:t>
      </w:r>
      <w:r>
        <w:rPr>
          <w:rStyle w:val="FootnoteAnchor"/>
          <w:rtl w:val="true"/>
        </w:rPr>
        <w:footnoteReference w:id="822"/>
      </w:r>
      <w:r>
        <w:rPr>
          <w:rFonts w:ascii="IRNazanin" w:hAnsi="IRNazanin" w:eastAsia="IRNazanin"/>
          <w:color w:val="111111"/>
          <w:sz w:val="28"/>
          <w:sz w:val="28"/>
          <w:szCs w:val="28"/>
          <w:rtl w:val="true"/>
          <w:lang w:bidi="fa-IR"/>
        </w:rPr>
        <w:t>بناءً علی أنّ هذا العقد غیر لازم قبل السقوط فیستصحب حکم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ذلک محلّ التمسّک بالعامّ؛إذ لیس فی اللفظ عموم زمانی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المتیقّن خروجه هو العقد قبل السقوط،فیبقی ما بعد السقوط داخلاً فی العامّ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ما ذکرناه بل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یظهر من بعض الروایات من عدم صحّة نکاح العبد بدون إذن سیّده بمجرّد عتقه ما لم یتحقّق الإجازة و لو بالرضا المستکشف من سکوت السیّد مع علمه بالنکاح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bookmarkStart w:id="318" w:name="pg19861_202446"/>
    </w:p>
    <w:p>
      <w:pPr>
        <w:pStyle w:val="BookText"/>
        <w:rPr/>
      </w:pPr>
      <w:bookmarkEnd w:id="318"/>
      <w:r>
        <w:rPr>
          <w:rFonts w:ascii="IRNazanin" w:hAnsi="IRNazanin" w:eastAsia="IRNazanin"/>
          <w:color w:val="111111"/>
          <w:sz w:val="28"/>
          <w:sz w:val="28"/>
          <w:szCs w:val="28"/>
          <w:rtl w:val="true"/>
          <w:lang w:bidi="fa-IR"/>
        </w:rPr>
        <w:t>هذا،و لکنّ الإنصاف ضعف الاحتمال المذکور،من جهة أنّ عدم تأثیر بیع المالک فی زمان الرهن لیس إلّا لمزاحمة حقّ المرتهن المتقدّم علی حقّ المالک بتسلیط المالک،فعدم الأثر لیس لقصورٍ فی المقتضی، و إنّما هو من جهة المانع،فإذا زال أثّر المقتضی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مرجع ما ذکرنا إلی أنّ أدلّة سببیّة البیع المستفادة من نحو أَوْفُوا بِالْعُقُودِ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علی أموالهم</w:t>
      </w:r>
      <w:r>
        <w:rPr>
          <w:rFonts w:eastAsia="Amiri" w:cs="Amiri" w:ascii="Amiri" w:hAnsi="Amiri"/>
          <w:color w:val="111111"/>
          <w:sz w:val="28"/>
          <w:szCs w:val="28"/>
          <w:rtl w:val="true"/>
          <w:lang w:bidi="ar-SA"/>
        </w:rPr>
        <w:t xml:space="preserve">» </w:t>
      </w:r>
      <w:r>
        <w:rPr>
          <w:rStyle w:val="FootnoteAnchor"/>
          <w:rtl w:val="true"/>
        </w:rPr>
        <w:footnoteReference w:id="824"/>
      </w:r>
      <w:r>
        <w:rPr>
          <w:rFonts w:ascii="IRNazanin" w:hAnsi="IRNazanin" w:eastAsia="IRNazanin"/>
          <w:color w:val="111111"/>
          <w:sz w:val="28"/>
          <w:sz w:val="28"/>
          <w:szCs w:val="28"/>
          <w:rtl w:val="true"/>
          <w:lang w:bidi="fa-IR"/>
        </w:rPr>
        <w:t>و نحو ذلک،عامّة، و خروج زمان الرهن یعلم أنّه من جهة مزاحمة حقّ المرتهن الذی هو أسبق،فإذا زال المزاحم وجب تأثیر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مجال لاستصحاب عدم تأثیر البیع؛للعلم بمناط المستصحب و ارتفاعه،فالمقام من باب وجوب العمل بالعامّ،لا من مقام استصحاب حکم الخاصّ،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قیاس ما نحن فیه علی نکاح العبد بدون إذن سیّده،فهو قیاسٌ مع الفارق؛لأنّ المانع عن سببیّة نکاح العبد بدون إذن سیّده قصور تصرّفاته عن الاستقلال فی التأثیر،لا مزاحمة حقّ السیّد لمقتضی النکاح؛إذ لا منافاة بین کونه عبداً و کونه زوجاً؛و لأجل ما ذکرنا لو تصرّف العبد لغیر السیّد ببیعٍ أو غیره،ثمّ انعتق العبد لم ینفع فی تصحیح ذلک التصرّف</w:t>
      </w:r>
      <w:r>
        <w:rPr>
          <w:rFonts w:eastAsia="IRNazanin" w:cs="IRNazanin"/>
          <w:color w:val="111111"/>
          <w:sz w:val="28"/>
          <w:szCs w:val="28"/>
          <w:rtl w:val="true"/>
          <w:lang w:bidi="fa-IR"/>
        </w:rPr>
        <w:t>.</w:t>
      </w:r>
    </w:p>
    <w:p>
      <w:pPr>
        <w:pStyle w:val="Heading6"/>
        <w:numPr>
          <w:ilvl w:val="5"/>
          <w:numId w:val="1"/>
        </w:numPr>
        <w:rPr/>
      </w:pPr>
      <w:bookmarkStart w:id="319" w:name="__RefHeading___Toc5119083_2314609296"/>
      <w:bookmarkStart w:id="320" w:name="_Toc126"/>
      <w:bookmarkEnd w:id="319"/>
      <w:r>
        <w:rPr>
          <w:rtl w:val="true"/>
        </w:rPr>
        <w:t>[</w:t>
      </w:r>
      <w:r>
        <w:rPr>
          <w:rtl w:val="true"/>
        </w:rPr>
        <w:t>هل سقوط حق الرهانة کاشف أو ناقل</w:t>
      </w:r>
      <w:r>
        <w:rPr>
          <w:rtl w:val="true"/>
        </w:rPr>
        <w:t>]</w:t>
      </w:r>
      <w:bookmarkEnd w:id="32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لکن مقتضی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سقوط حقّ الرهانة بالفکّ أو الإسقاط أو الإبراء أو غیر ذلک ناقلاً و مؤثّراً من حینه،لا کاشفاً عن تأثیر العقد من حین وقوعه،خصوصاً بناءً علی الاستدلال علی الکشف</w:t>
      </w:r>
      <w:bookmarkStart w:id="321" w:name="pg19861_202447"/>
    </w:p>
    <w:p>
      <w:pPr>
        <w:pStyle w:val="BookText"/>
        <w:rPr/>
      </w:pPr>
      <w:bookmarkEnd w:id="321"/>
      <w:r>
        <w:rPr>
          <w:rFonts w:ascii="IRNazanin" w:hAnsi="IRNazanin" w:eastAsia="IRNazanin"/>
          <w:color w:val="111111"/>
          <w:sz w:val="28"/>
          <w:sz w:val="28"/>
          <w:szCs w:val="28"/>
          <w:rtl w:val="true"/>
          <w:lang w:bidi="fa-IR"/>
        </w:rPr>
        <w:t xml:space="preserve">بما ذکره جماعة ممّن قارب عصرنا </w:t>
      </w:r>
      <w:r>
        <w:rPr>
          <w:rStyle w:val="FootnoteAnchor"/>
          <w:rtl w:val="true"/>
        </w:rPr>
        <w:footnoteReference w:id="8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مقتضی مفهوم </w:t>
      </w:r>
      <w:r>
        <w:rPr>
          <w:rStyle w:val="FootnoteAnchor"/>
          <w:rtl w:val="true"/>
        </w:rPr>
        <w:footnoteReference w:id="826"/>
      </w:r>
      <w:r>
        <w:rPr>
          <w:rFonts w:ascii="IRNazanin" w:hAnsi="IRNazanin" w:eastAsia="IRNazanin"/>
          <w:color w:val="111111"/>
          <w:sz w:val="28"/>
          <w:sz w:val="28"/>
          <w:szCs w:val="28"/>
          <w:rtl w:val="true"/>
          <w:lang w:bidi="fa-IR"/>
        </w:rPr>
        <w:t xml:space="preserve">الإجازة إمضاء العقد من حینه،فإنّ هذا غیر متحقّق فی افتکاک الرهن،فهو نظیر بیع الفضولی ثمّ تملّکه للمبیع،حیث إنّه لا یسع القائل بصحّته إلّا التزام تأثیر العقد من حین انتقاله عن ملک المالک الأوّل لا من حین العقد،و إلّا لزم فی المقام کون ملک الغیر رهناً لغیر مالکه کما کان </w:t>
      </w:r>
      <w:r>
        <w:rPr>
          <w:rStyle w:val="FootnoteAnchor"/>
          <w:rtl w:val="true"/>
        </w:rPr>
        <w:footnoteReference w:id="827"/>
      </w:r>
      <w:r>
        <w:rPr>
          <w:rFonts w:ascii="IRNazanin" w:hAnsi="IRNazanin" w:eastAsia="IRNazanin"/>
          <w:color w:val="111111"/>
          <w:sz w:val="28"/>
          <w:sz w:val="28"/>
          <w:szCs w:val="28"/>
          <w:rtl w:val="true"/>
          <w:lang w:bidi="fa-IR"/>
        </w:rPr>
        <w:t>یلزم فی تلک المسألة کون المبیع لمالکین فی زمان واحد لو قلنا بکشف الإجازة للتأثیر من حین العقد</w:t>
      </w:r>
      <w:r>
        <w:rPr>
          <w:rFonts w:eastAsia="IRNazanin" w:cs="IRNazanin"/>
          <w:color w:val="111111"/>
          <w:sz w:val="28"/>
          <w:szCs w:val="28"/>
          <w:rtl w:val="true"/>
          <w:lang w:bidi="fa-IR"/>
        </w:rPr>
        <w:t>.</w:t>
      </w:r>
    </w:p>
    <w:p>
      <w:pPr>
        <w:pStyle w:val="Heading6"/>
        <w:numPr>
          <w:ilvl w:val="5"/>
          <w:numId w:val="1"/>
        </w:numPr>
        <w:rPr/>
      </w:pPr>
      <w:bookmarkStart w:id="322" w:name="__RefHeading___Toc5119085_2314609296"/>
      <w:bookmarkStart w:id="323" w:name="_Toc127"/>
      <w:bookmarkEnd w:id="322"/>
      <w:r>
        <w:rPr>
          <w:rtl w:val="true"/>
        </w:rPr>
        <w:t>[</w:t>
      </w:r>
      <w:r>
        <w:rPr>
          <w:rtl w:val="true"/>
        </w:rPr>
        <w:t>ظاهر کل من قال بلزوم العقد هو الکشف</w:t>
      </w:r>
      <w:r>
        <w:rPr>
          <w:rtl w:val="true"/>
        </w:rPr>
        <w:t>]</w:t>
      </w:r>
      <w:bookmarkEnd w:id="323"/>
    </w:p>
    <w:p>
      <w:pPr>
        <w:pStyle w:val="BookText"/>
        <w:rPr/>
      </w:pPr>
      <w:r>
        <w:rPr>
          <w:rFonts w:ascii="IRNazanin" w:hAnsi="IRNazanin" w:eastAsia="IRNazanin"/>
          <w:color w:val="111111"/>
          <w:sz w:val="28"/>
          <w:sz w:val="28"/>
          <w:szCs w:val="28"/>
          <w:rtl w:val="true"/>
          <w:lang w:bidi="fa-IR"/>
        </w:rPr>
        <w:t>هذا،و لکن ظاهر کلّ من قال بلزوم العقد هو القول بالکشف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عن القواعد فی مسألة عفو الراهن عن الجانی علی المرهون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الفکّ یکشف عن صحّته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الکشف أیضاً ما استدلّوا به علی الکشف فی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العقد سببٌ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ما ذکره فی الروضة </w:t>
      </w:r>
      <w:r>
        <w:rPr>
          <w:rStyle w:val="FootnoteAnchor"/>
          <w:rtl w:val="true"/>
        </w:rPr>
        <w:footnoteReference w:id="829"/>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لازم الکشف کما عرفت فی مسألة الفضولی </w:t>
      </w:r>
      <w:r>
        <w:rPr>
          <w:rStyle w:val="FootnoteAnchor"/>
          <w:rtl w:val="true"/>
        </w:rPr>
        <w:footnoteReference w:id="831"/>
      </w:r>
      <w:r>
        <w:rPr>
          <w:rFonts w:ascii="IRNazanin" w:hAnsi="IRNazanin" w:eastAsia="IRNazanin"/>
          <w:color w:val="111111"/>
          <w:sz w:val="28"/>
          <w:sz w:val="28"/>
          <w:szCs w:val="28"/>
          <w:rtl w:val="true"/>
          <w:lang w:bidi="fa-IR"/>
        </w:rPr>
        <w:t>لزوم العقد</w:t>
      </w:r>
    </w:p>
    <w:p>
      <w:pPr>
        <w:pStyle w:val="BookText"/>
        <w:rPr/>
      </w:pPr>
      <w:r>
        <w:rPr>
          <w:rFonts w:ascii="IRNazanin" w:hAnsi="IRNazanin" w:eastAsia="IRNazanin"/>
          <w:color w:val="111111"/>
          <w:sz w:val="28"/>
          <w:sz w:val="28"/>
          <w:szCs w:val="28"/>
          <w:rtl w:val="true"/>
          <w:lang w:bidi="fa-IR"/>
        </w:rPr>
        <w:t xml:space="preserve">قبل إجازة المرتهن من طرف الراهن کالمشتری الأصیل </w:t>
      </w:r>
      <w:r>
        <w:rPr>
          <w:rStyle w:val="FootnoteAnchor"/>
          <w:rtl w:val="true"/>
        </w:rPr>
        <w:footnoteReference w:id="832"/>
      </w:r>
      <w:r>
        <w:rPr>
          <w:rFonts w:ascii="IRNazanin" w:hAnsi="IRNazanin" w:eastAsia="IRNazanin"/>
          <w:color w:val="111111"/>
          <w:sz w:val="28"/>
          <w:sz w:val="28"/>
          <w:szCs w:val="28"/>
          <w:rtl w:val="true"/>
          <w:lang w:bidi="fa-IR"/>
        </w:rPr>
        <w:t>فلا یجوز له فسخه،بل و لا إبطاله بالإذن للمرتهن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أن یقال بوجوب فکّه من مالٍ آخر،إذ لا یتمّ الوفاء بالعقد الثانی إلّا بذلک،فالوفاء بمقتضی الرهن غیر منافٍ للوفاء بالبیع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إنّما </w:t>
      </w:r>
      <w:r>
        <w:rPr>
          <w:rStyle w:val="FootnoteAnchor"/>
          <w:rtl w:val="true"/>
        </w:rPr>
        <w:footnoteReference w:id="833"/>
      </w:r>
      <w:r>
        <w:rPr>
          <w:rFonts w:ascii="IRNazanin" w:hAnsi="IRNazanin" w:eastAsia="IRNazanin"/>
          <w:color w:val="111111"/>
          <w:sz w:val="28"/>
          <w:sz w:val="28"/>
          <w:szCs w:val="28"/>
          <w:rtl w:val="true"/>
          <w:lang w:bidi="fa-IR"/>
        </w:rPr>
        <w:t>یلزم الوفاء بالبیع،بمعنی عدم جواز نقضه،و أمّا دفع حقوق الغیر و سلطنته فلا یجب؛و لذا لا یجب علی من باع مال الغیر لنفسه أن یشتریه من مالکه و یدفعه إلیه،بناءً علی لزوم العقد بذلک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کان،فلو امتنع،فهل یباع علیه؛لحقّ المرتهن؛لاقتضاء الرهن ذلک و إن لزم من ذلک إبطال بیع الراهن؛لتقدّم حقّ المرتهن؟أو یجبر الحاکمُ الراهنَ علی فکّه من مالٍ آخر؛جمعاً بین حقّی المشتری و المرتهن اللازمین علی الراهن البائع؟وجهان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انحصار المال فی المبیع فلا إشکال فی تقدیم حقّ المرتهن</w:t>
      </w:r>
      <w:r>
        <w:rPr>
          <w:rFonts w:eastAsia="IRNazanin" w:cs="IRNazanin"/>
          <w:color w:val="111111"/>
          <w:sz w:val="28"/>
          <w:szCs w:val="28"/>
          <w:rtl w:val="true"/>
          <w:lang w:bidi="fa-IR"/>
        </w:rPr>
        <w:t>.</w:t>
      </w:r>
      <w:bookmarkStart w:id="324" w:name="pg19861_202449"/>
    </w:p>
    <w:p>
      <w:pPr>
        <w:pStyle w:val="Heading5"/>
        <w:numPr>
          <w:ilvl w:val="4"/>
          <w:numId w:val="1"/>
        </w:numPr>
        <w:rPr/>
      </w:pPr>
      <w:bookmarkStart w:id="325" w:name="__RefHeading___Toc5119087_2314609296"/>
      <w:bookmarkStart w:id="326" w:name="_Toc128"/>
      <w:bookmarkEnd w:id="324"/>
      <w:bookmarkEnd w:id="325"/>
      <w:r>
        <w:rPr>
          <w:rtl w:val="true"/>
        </w:rPr>
        <w:t>مسألة إذا جنی العبد عمداً بما یوجب قتله أو استرقاق کلِّه أو بعضه،</w:t>
      </w:r>
      <w:bookmarkEnd w:id="326"/>
    </w:p>
    <w:p>
      <w:pPr>
        <w:pStyle w:val="BookText"/>
        <w:rPr/>
      </w:pPr>
      <w:r>
        <w:rPr>
          <w:rFonts w:ascii="Amiri" w:hAnsi="Amiri" w:eastAsia="Amiri" w:cs="Amiri"/>
          <w:color w:val="111111"/>
          <w:sz w:val="28"/>
          <w:sz w:val="28"/>
          <w:szCs w:val="28"/>
          <w:rtl w:val="true"/>
          <w:lang w:bidi="ar-SA"/>
        </w:rPr>
        <w:t xml:space="preserve">فالأقوی صحّة بیعه،وفاقاً للمحکیّ عن العلّامة </w:t>
      </w:r>
      <w:r>
        <w:rPr>
          <w:rStyle w:val="FootnoteAnchor"/>
          <w:rtl w:val="true"/>
        </w:rPr>
        <w:footnoteReference w:id="834"/>
      </w:r>
      <w:r>
        <w:rPr>
          <w:rFonts w:ascii="IRNazanin" w:hAnsi="IRNazanin" w:eastAsia="IRNazanin"/>
          <w:color w:val="111111"/>
          <w:sz w:val="28"/>
          <w:sz w:val="28"/>
          <w:szCs w:val="28"/>
          <w:rtl w:val="true"/>
          <w:lang w:bidi="fa-IR"/>
        </w:rPr>
        <w:t xml:space="preserve">و الشهید </w:t>
      </w:r>
      <w:r>
        <w:rPr>
          <w:rStyle w:val="FootnoteAnchor"/>
          <w:rtl w:val="true"/>
        </w:rPr>
        <w:footnoteReference w:id="835"/>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836"/>
      </w:r>
      <w:r>
        <w:rPr>
          <w:rFonts w:ascii="IRNazanin" w:hAnsi="IRNazanin" w:eastAsia="IRNazanin"/>
          <w:color w:val="111111"/>
          <w:sz w:val="28"/>
          <w:sz w:val="28"/>
          <w:szCs w:val="28"/>
          <w:rtl w:val="true"/>
          <w:lang w:bidi="fa-IR"/>
        </w:rPr>
        <w:t xml:space="preserve">و غیرهم </w:t>
      </w:r>
      <w:r>
        <w:rPr>
          <w:rStyle w:val="FootnoteAnchor"/>
          <w:rtl w:val="true"/>
        </w:rPr>
        <w:footnoteReference w:id="837"/>
      </w:r>
      <w:r>
        <w:rPr>
          <w:rFonts w:ascii="IRNazanin" w:hAnsi="IRNazanin" w:eastAsia="IRNazanin"/>
          <w:color w:val="111111"/>
          <w:sz w:val="28"/>
          <w:sz w:val="28"/>
          <w:szCs w:val="28"/>
          <w:rtl w:val="true"/>
          <w:lang w:bidi="fa-IR"/>
        </w:rPr>
        <w:t>،بل فی شرح الصیمری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المشهور </w:t>
      </w:r>
      <w:r>
        <w:rPr>
          <w:rStyle w:val="FootnoteAnchor"/>
          <w:rtl w:val="true"/>
        </w:rPr>
        <w:footnoteReference w:id="838"/>
      </w:r>
      <w:r>
        <w:rPr>
          <w:rFonts w:ascii="IRNazanin" w:hAnsi="IRNazanin" w:eastAsia="IRNazanin"/>
          <w:color w:val="111111"/>
          <w:sz w:val="28"/>
          <w:sz w:val="28"/>
          <w:szCs w:val="28"/>
          <w:rtl w:val="true"/>
          <w:lang w:bidi="fa-IR"/>
        </w:rPr>
        <w:t xml:space="preserve">لأنّه لم یخرج باستحقاقه للقتل أو الاسترقاق عن ملک مولاه،علی ما هو المعروف عمّن عدا الشیخ </w:t>
      </w:r>
      <w:r>
        <w:rPr>
          <w:rStyle w:val="FootnoteAnchor"/>
          <w:rtl w:val="true"/>
        </w:rPr>
        <w:footnoteReference w:id="839"/>
      </w:r>
      <w:r>
        <w:rPr>
          <w:rFonts w:ascii="IRNazanin" w:hAnsi="IRNazanin" w:eastAsia="IRNazanin"/>
          <w:color w:val="111111"/>
          <w:sz w:val="28"/>
          <w:sz w:val="28"/>
          <w:szCs w:val="28"/>
          <w:rtl w:val="true"/>
          <w:lang w:bidi="fa-IR"/>
        </w:rPr>
        <w:t xml:space="preserve">فی الخلاف کما سیجیء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تعلّق حقّ المجنیّ علیه به لا یوجب خروج الملک عن قابلیّة</w:t>
      </w:r>
    </w:p>
    <w:p>
      <w:pPr>
        <w:pStyle w:val="BookText"/>
        <w:rPr/>
      </w:pPr>
      <w:r>
        <w:rPr>
          <w:rFonts w:ascii="IRNazanin" w:hAnsi="IRNazanin" w:eastAsia="IRNazanin"/>
          <w:color w:val="111111"/>
          <w:sz w:val="28"/>
          <w:sz w:val="28"/>
          <w:szCs w:val="28"/>
          <w:rtl w:val="true"/>
          <w:lang w:bidi="fa-IR"/>
        </w:rPr>
        <w:t>الانتفاع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إمکان مطالبة أولیاء المجنیّ علیه له فی کلّ وقتٍ بالاسترقاق أو القتل لا یسقط اعتبار مالیّته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تسلیمه،فلا ینقص ذلک عن بیع مال الغیر،فیکون موقوفاً علی افتکاکه عن القتل و الاسترقاق،فإن افتکّ لزم،و إلّا بطل البیع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یکون البیع غیر متزلزل،فیکون تلفه من المشتری فی غیر زمن الخیار؛لوقوعه فی ملکه،غایة الأمر أنّ کون المبیع عرضة لذلک عیب </w:t>
      </w:r>
      <w:r>
        <w:rPr>
          <w:rStyle w:val="FootnoteAnchor"/>
          <w:rtl w:val="true"/>
        </w:rPr>
        <w:footnoteReference w:id="841"/>
      </w:r>
      <w:r>
        <w:rPr>
          <w:rFonts w:ascii="IRNazanin" w:hAnsi="IRNazanin" w:eastAsia="IRNazanin"/>
          <w:color w:val="111111"/>
          <w:sz w:val="28"/>
          <w:sz w:val="28"/>
          <w:szCs w:val="28"/>
          <w:rtl w:val="true"/>
          <w:lang w:bidi="fa-IR"/>
        </w:rPr>
        <w:t xml:space="preserve">یوجب الخیار مع الجهل،کالمبیع </w:t>
      </w:r>
      <w:r>
        <w:rPr>
          <w:rStyle w:val="FootnoteAnchor"/>
          <w:rtl w:val="true"/>
        </w:rPr>
        <w:footnoteReference w:id="842"/>
      </w:r>
      <w:r>
        <w:rPr>
          <w:rFonts w:ascii="IRNazanin" w:hAnsi="IRNazanin" w:eastAsia="IRNazanin"/>
          <w:color w:val="111111"/>
          <w:sz w:val="28"/>
          <w:sz w:val="28"/>
          <w:szCs w:val="28"/>
          <w:rtl w:val="true"/>
          <w:lang w:bidi="fa-IR"/>
        </w:rPr>
        <w:t>الأرمد إذا عمی، و المریض إذا مات بمرضه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المبیع إذا کان متعلّقاً لحقّ الغیر فلا یقبل أن یقع لازماً؛لأدائه إلی سقوط حقّ الغیر،فلا بدّ إمّا أن یبطل و إمّا أن یقع مراعیً،و قد عرفت أنّ مقتضی عدم استقلال البائع فی ماله و مدخلیّة الغیر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بیعه مراعیً،لا باطلاً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یظهر الفرق بین ما نحن فیه و بین بیع المریض الذی یخاف علیه من الموت،و الأرمد الذی یخاف علیه من العمی الموجب للانعتاق؛ فإنّ الخوف فی المثالین لا یوجب نقصاناً فی سلطنة المالک مانعاً عن </w:t>
      </w:r>
      <w:r>
        <w:rPr>
          <w:rStyle w:val="FootnoteAnchor"/>
          <w:rtl w:val="true"/>
        </w:rPr>
        <w:footnoteReference w:id="843"/>
      </w:r>
      <w:r>
        <w:rPr>
          <w:rFonts w:ascii="Amiri" w:hAnsi="Amiri" w:eastAsia="Amiri" w:cs="Amiri"/>
          <w:color w:val="111111"/>
          <w:sz w:val="28"/>
          <w:sz w:val="28"/>
          <w:szCs w:val="28"/>
          <w:rtl w:val="true"/>
          <w:lang w:bidi="ar-SA"/>
        </w:rPr>
        <w:t>نفوذ تملیکه منجّزاً،بخلاف تعلّق حقّ الغیر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إلّا أن یقال </w:t>
      </w:r>
      <w:r>
        <w:rPr>
          <w:rStyle w:val="FootnoteAnchor"/>
          <w:rtl w:val="true"/>
        </w:rPr>
        <w:footnoteReference w:id="8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p>
    <w:p>
      <w:pPr>
        <w:pStyle w:val="BookText"/>
        <w:rPr/>
      </w:pPr>
      <w:r>
        <w:rPr>
          <w:rFonts w:ascii="IRNazanin" w:hAnsi="IRNazanin" w:eastAsia="IRNazanin"/>
          <w:color w:val="111111"/>
          <w:sz w:val="28"/>
          <w:sz w:val="28"/>
          <w:szCs w:val="28"/>
          <w:rtl w:val="true"/>
          <w:lang w:bidi="fa-IR"/>
        </w:rPr>
        <w:t xml:space="preserve">تعلّق حقّ المجنیّ علیه لا یمنع من نفوذ تملیکه منجّزاً؛لأنّ للبائع سلطنة مطلقة علیه </w:t>
      </w:r>
      <w:r>
        <w:rPr>
          <w:rStyle w:val="FootnoteAnchor"/>
          <w:rtl w:val="true"/>
        </w:rPr>
        <w:footnoteReference w:id="845"/>
      </w:r>
      <w:r>
        <w:rPr>
          <w:rFonts w:ascii="IRNazanin" w:hAnsi="IRNazanin" w:eastAsia="IRNazanin"/>
          <w:color w:val="111111"/>
          <w:sz w:val="28"/>
          <w:sz w:val="28"/>
          <w:szCs w:val="28"/>
          <w:rtl w:val="true"/>
          <w:lang w:bidi="fa-IR"/>
        </w:rPr>
        <w:t xml:space="preserve">،و کذا للمشتری؛و لذا یجوز </w:t>
      </w:r>
      <w:r>
        <w:rPr>
          <w:rStyle w:val="FootnoteAnchor"/>
          <w:rtl w:val="true"/>
        </w:rPr>
        <w:footnoteReference w:id="846"/>
      </w:r>
      <w:r>
        <w:rPr>
          <w:rFonts w:ascii="IRNazanin" w:hAnsi="IRNazanin" w:eastAsia="IRNazanin"/>
          <w:color w:val="111111"/>
          <w:sz w:val="28"/>
          <w:sz w:val="28"/>
          <w:szCs w:val="28"/>
          <w:rtl w:val="true"/>
          <w:lang w:bidi="fa-IR"/>
        </w:rPr>
        <w:t xml:space="preserve">التصرّف لهما فیه </w:t>
      </w:r>
      <w:r>
        <w:rPr>
          <w:rStyle w:val="FootnoteAnchor"/>
          <w:rtl w:val="true"/>
        </w:rPr>
        <w:footnoteReference w:id="847"/>
      </w:r>
      <w:r>
        <w:rPr>
          <w:rFonts w:ascii="IRNazanin" w:hAnsi="IRNazanin" w:eastAsia="IRNazanin"/>
          <w:color w:val="111111"/>
          <w:sz w:val="28"/>
          <w:sz w:val="28"/>
          <w:szCs w:val="28"/>
          <w:rtl w:val="true"/>
          <w:lang w:bidi="fa-IR"/>
        </w:rPr>
        <w:t xml:space="preserve">من دون مراجعة ذی الحقّ،غایة الأمر أنّ له التسلّط علی إزالة ملکهما </w:t>
      </w:r>
      <w:r>
        <w:rPr>
          <w:rStyle w:val="FootnoteAnchor"/>
          <w:rtl w:val="true"/>
        </w:rPr>
        <w:footnoteReference w:id="848"/>
      </w:r>
      <w:r>
        <w:rPr>
          <w:rFonts w:ascii="IRNazanin" w:hAnsi="IRNazanin" w:eastAsia="IRNazanin"/>
          <w:color w:val="111111"/>
          <w:sz w:val="28"/>
          <w:sz w:val="28"/>
          <w:szCs w:val="28"/>
          <w:rtl w:val="true"/>
          <w:lang w:bidi="fa-IR"/>
        </w:rPr>
        <w:t>و رفعه بالإتلاف أو التملیک،و هذا لا یقتضی وقوع العقد مراعی و عدم استقرار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ذکرنا ظهر الفرق بین حقّ المرتهن </w:t>
      </w:r>
      <w:r>
        <w:rPr>
          <w:rStyle w:val="FootnoteAnchor"/>
          <w:rtl w:val="true"/>
        </w:rPr>
        <w:footnoteReference w:id="849"/>
      </w:r>
      <w:r>
        <w:rPr>
          <w:rFonts w:ascii="IRNazanin" w:hAnsi="IRNazanin" w:eastAsia="IRNazanin"/>
          <w:color w:val="111111"/>
          <w:sz w:val="28"/>
          <w:sz w:val="28"/>
          <w:szCs w:val="28"/>
          <w:rtl w:val="true"/>
          <w:lang w:bidi="fa-IR"/>
        </w:rPr>
        <w:t xml:space="preserve">المانع من تصرّف الغیر و حقّ المجنیّ علیه الغیر المانع فعلاً،غایة الأمر أنّه رافع </w:t>
      </w:r>
      <w:r>
        <w:rPr>
          <w:rStyle w:val="FootnoteAnchor"/>
          <w:rtl w:val="true"/>
        </w:rPr>
        <w:footnoteReference w:id="850"/>
      </w:r>
      <w:r>
        <w:rPr>
          <w:rFonts w:ascii="Amiri" w:hAnsi="Amiri" w:eastAsia="Amiri" w:cs="Amiri"/>
          <w:color w:val="111111"/>
          <w:sz w:val="28"/>
          <w:sz w:val="28"/>
          <w:szCs w:val="28"/>
          <w:rtl w:val="true"/>
          <w:lang w:bidi="ar-SA"/>
        </w:rPr>
        <w:t>شأناً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کان،فقد حکی عن الشیخ فی الخلاف البطلان،فإنّه قال فیما حکی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لرجلٍ عبدٌ،فجنی </w:t>
      </w:r>
      <w:r>
        <w:rPr>
          <w:rStyle w:val="FootnoteAnchor"/>
          <w:rtl w:val="true"/>
        </w:rPr>
        <w:footnoteReference w:id="851"/>
      </w:r>
      <w:r>
        <w:rPr>
          <w:rFonts w:ascii="IRNazanin" w:hAnsi="IRNazanin" w:eastAsia="IRNazanin"/>
          <w:color w:val="111111"/>
          <w:sz w:val="28"/>
          <w:sz w:val="28"/>
          <w:szCs w:val="28"/>
          <w:rtl w:val="true"/>
          <w:lang w:bidi="fa-IR"/>
        </w:rPr>
        <w:t>،فباعه مولاه بغیر إذن المجنیّ علیه،فإن کانت جنایته توجب القصاص فلا یصحّ البیع،و إن کانت جنایته توجب الأرش صحّ إذا التزم مولاه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استدلّ بأنّه إذا وجب علیه القود فلا یصحّ بیعه؛لأنّه قد باع منه ما لا یملکه،</w:t>
      </w:r>
    </w:p>
    <w:p>
      <w:pPr>
        <w:pStyle w:val="BookText"/>
        <w:rPr/>
      </w:pPr>
      <w:r>
        <w:rPr>
          <w:rFonts w:ascii="IRNazanin" w:hAnsi="IRNazanin" w:eastAsia="IRNazanin"/>
          <w:color w:val="111111"/>
          <w:sz w:val="28"/>
          <w:sz w:val="28"/>
          <w:szCs w:val="28"/>
          <w:rtl w:val="true"/>
          <w:lang w:bidi="fa-IR"/>
        </w:rPr>
        <w:t>فإنّه حقٌّ للمجنیّ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إذا وجب علیه الأرش صحّ؛لأنّ رقبته سلیمةٌ،و الجنایة أرشها فقد التزمه السیّد،فلا وجه یفسد البیع </w:t>
      </w:r>
      <w:r>
        <w:rPr>
          <w:rStyle w:val="FootnoteAnchor"/>
          <w:rtl w:val="true"/>
        </w:rPr>
        <w:footnoteReference w:id="85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 عن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حکیٰ عنه </w:t>
      </w:r>
      <w:r>
        <w:rPr>
          <w:rStyle w:val="FootnoteAnchor"/>
          <w:rtl w:val="true"/>
        </w:rPr>
        <w:footnoteReference w:id="853"/>
      </w:r>
      <w:r>
        <w:rPr>
          <w:rFonts w:ascii="IRNazanin" w:hAnsi="IRNazanin" w:eastAsia="IRNazanin"/>
          <w:color w:val="111111"/>
          <w:sz w:val="28"/>
          <w:sz w:val="28"/>
          <w:szCs w:val="28"/>
          <w:rtl w:val="true"/>
          <w:lang w:bidi="fa-IR"/>
        </w:rPr>
        <w:t>فی کتاب 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التصریح بعدم بقاء ملک المولی علی الجانی عمداً،حیث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عبدٌ قد جنی جنایةً فإنّه لا یجزئ عتقه عن الکفّارة،و إن کان خطأً جاز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استدلّ بإجماع الفرقة،فإنّه لا خلاف بینهم أنّه إذا کانت جنایته عمداً ینتقل ملکه إلی المجنیّ علیه،و إن کان خطأ فدیة ما جناه علی مولاه </w:t>
      </w:r>
      <w:r>
        <w:rPr>
          <w:rStyle w:val="FootnoteAnchor"/>
          <w:rtl w:val="true"/>
        </w:rPr>
        <w:footnoteReference w:id="85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یستظهر ذلک من عبارة الإسکافیّ المحکیّة عنه فی الرهن،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 شرط الرهن أن یکون الراهن </w:t>
      </w:r>
      <w:r>
        <w:rPr>
          <w:rStyle w:val="FootnoteAnchor"/>
          <w:rtl w:val="true"/>
        </w:rPr>
        <w:footnoteReference w:id="855"/>
      </w:r>
      <w:r>
        <w:rPr>
          <w:rFonts w:ascii="IRNazanin" w:hAnsi="IRNazanin" w:eastAsia="IRNazanin"/>
          <w:color w:val="111111"/>
          <w:sz w:val="28"/>
          <w:sz w:val="28"/>
          <w:szCs w:val="28"/>
          <w:rtl w:val="true"/>
          <w:lang w:bidi="fa-IR"/>
        </w:rPr>
        <w:t xml:space="preserve">مثبتاً لملکه إیّاه،غیر خارجٍ بارتدادٍ أو استحقاق الرقبة بجنایته عن ملکه </w:t>
      </w:r>
      <w:r>
        <w:rPr>
          <w:rStyle w:val="FootnoteAnchor"/>
          <w:rtl w:val="true"/>
        </w:rPr>
        <w:footnoteReference w:id="85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یستظهر البطلان من عبارة الشرائع أیضاً فی کتاب القصاص،حیث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Style w:val="FootnoteAnchor"/>
          <w:rtl w:val="true"/>
        </w:rPr>
        <w:footnoteReference w:id="857"/>
      </w:r>
      <w:r>
        <w:rPr>
          <w:rFonts w:ascii="IRNazanin" w:hAnsi="IRNazanin" w:eastAsia="IRNazanin"/>
          <w:color w:val="111111"/>
          <w:sz w:val="28"/>
          <w:sz w:val="28"/>
          <w:szCs w:val="28"/>
          <w:rtl w:val="true"/>
          <w:lang w:bidi="fa-IR"/>
        </w:rPr>
        <w:t>إذا قتل العبد حرّا عمداً فأعتقه مولاه صحّ،و لم یسقط القود،و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یصحّ لئلّا یبطل حقّ الولی </w:t>
      </w:r>
      <w:r>
        <w:rPr>
          <w:rStyle w:val="FootnoteAnchor"/>
          <w:rtl w:val="true"/>
        </w:rPr>
        <w:footnoteReference w:id="858"/>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الاسترقاق،کان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بیعه وهبته </w:t>
      </w:r>
      <w:r>
        <w:rPr>
          <w:rStyle w:val="FootnoteAnchor"/>
          <w:rtl w:val="true"/>
        </w:rPr>
        <w:footnoteReference w:id="85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یحتمل قویّاً أن یکون مراده بالصحّة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 لازماً غیر متزلزل کوقوع العتق؛لأنّه الذی یبطل به حقّ الاسترقاق،دون وقوعه مراعی بافتکاکه عن القتل و الاسترقاق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کان،فالظاهر من عبارة الخلاف الاستناد فی عدم الصحّة إلی عدم الملک،و هو ممنوع؛لأصالة بقاء ملکه،و لظهور </w:t>
      </w:r>
      <w:r>
        <w:rPr>
          <w:rStyle w:val="FootnoteAnchor"/>
          <w:rtl w:val="true"/>
        </w:rPr>
        <w:footnoteReference w:id="860"/>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الاسترقاق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الأخبار </w:t>
      </w:r>
      <w:r>
        <w:rPr>
          <w:rStyle w:val="FootnoteAnchor"/>
          <w:rtl w:val="true"/>
        </w:rPr>
        <w:footnoteReference w:id="861"/>
      </w:r>
      <w:r>
        <w:rPr>
          <w:rFonts w:ascii="IRNazanin" w:hAnsi="IRNazanin" w:eastAsia="IRNazanin"/>
          <w:color w:val="111111"/>
          <w:sz w:val="28"/>
          <w:sz w:val="28"/>
          <w:szCs w:val="28"/>
          <w:rtl w:val="true"/>
          <w:lang w:bidi="fa-IR"/>
        </w:rPr>
        <w:t>فی بقاء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نعم،فی بعض الأخبار ما یدلّ علی الخلاف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مراد الشیخ بالملک السلطنة علیه؛فإنّه ینتقل إلی المجنیّ علیه،و یکون عدم جواز بیعه من المولی مبنیّاً علی المنع عن بیع الفضولی المستلزم للمنع عن بیع کلّ ما یتعلّق به حقّ الغیر ینافیه السلطنة المطلقة من المشتری علیه،کما فی الرهن</w:t>
      </w:r>
      <w:r>
        <w:rPr>
          <w:rFonts w:eastAsia="IRNazanin" w:cs="IRNazanin"/>
          <w:color w:val="111111"/>
          <w:sz w:val="28"/>
          <w:szCs w:val="28"/>
          <w:rtl w:val="true"/>
          <w:lang w:bidi="fa-IR"/>
        </w:rPr>
        <w:t>.</w:t>
      </w:r>
      <w:bookmarkStart w:id="327" w:name="pg19861_202454"/>
    </w:p>
    <w:p>
      <w:pPr>
        <w:pStyle w:val="Heading5"/>
        <w:numPr>
          <w:ilvl w:val="4"/>
          <w:numId w:val="1"/>
        </w:numPr>
        <w:rPr/>
      </w:pPr>
      <w:bookmarkStart w:id="328" w:name="__RefHeading___Toc5119089_2314609296"/>
      <w:bookmarkStart w:id="329" w:name="_Toc129"/>
      <w:bookmarkEnd w:id="327"/>
      <w:bookmarkEnd w:id="328"/>
      <w:r>
        <w:rPr>
          <w:rtl w:val="true"/>
        </w:rPr>
        <w:t>مسألة إذا جنی العبد خطأً صحّ بیعه علی المشهور،</w:t>
      </w:r>
      <w:bookmarkEnd w:id="329"/>
    </w:p>
    <w:p>
      <w:pPr>
        <w:pStyle w:val="BookText"/>
        <w:rPr/>
      </w:pPr>
      <w:r>
        <w:rPr>
          <w:rFonts w:ascii="IRNazanin" w:hAnsi="IRNazanin" w:eastAsia="IRNazanin"/>
          <w:color w:val="111111"/>
          <w:sz w:val="28"/>
          <w:sz w:val="28"/>
          <w:szCs w:val="28"/>
          <w:rtl w:val="true"/>
          <w:lang w:bidi="fa-IR"/>
        </w:rPr>
        <w:t>بل فی شرح الصیمری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خلاف فی جواز بیع الجانی إذا کانت الجنایة خطأً أو شبه عمد،و یضمن المولی أقلّ الأمرین من قیمته و دیة الجنایة،و لو امتنع کان للمجنیّ علیه أو لولیّه انتزاعه،فیبطل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کان المولی معسراً،فللمشتری الفسخ مع الجهالة لتزلزل ملکه ما لم یَفْدِه </w:t>
      </w:r>
      <w:r>
        <w:rPr>
          <w:rStyle w:val="FootnoteAnchor"/>
          <w:rtl w:val="true"/>
        </w:rPr>
        <w:footnoteReference w:id="863"/>
      </w:r>
      <w:r>
        <w:rPr>
          <w:rFonts w:ascii="IRNazanin" w:hAnsi="IRNazanin" w:eastAsia="IRNazanin"/>
          <w:color w:val="111111"/>
          <w:sz w:val="28"/>
          <w:sz w:val="28"/>
          <w:szCs w:val="28"/>
          <w:rtl w:val="true"/>
          <w:lang w:bidi="fa-IR"/>
        </w:rPr>
        <w:t xml:space="preserve">المولی </w:t>
      </w:r>
      <w:r>
        <w:rPr>
          <w:rStyle w:val="FootnoteAnchor"/>
          <w:rtl w:val="true"/>
        </w:rPr>
        <w:footnoteReference w:id="86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ظاهره أنّه أراد نفی الخلاف عن الجواز قبل التزام السیّد،إلّا أنّ المحکیّ عن السرائر </w:t>
      </w:r>
      <w:r>
        <w:rPr>
          <w:rStyle w:val="FootnoteAnchor"/>
          <w:rtl w:val="true"/>
        </w:rPr>
        <w:footnoteReference w:id="865"/>
      </w:r>
      <w:r>
        <w:rPr>
          <w:rFonts w:ascii="IRNazanin" w:hAnsi="IRNazanin" w:eastAsia="IRNazanin"/>
          <w:color w:val="111111"/>
          <w:sz w:val="28"/>
          <w:sz w:val="28"/>
          <w:szCs w:val="28"/>
          <w:rtl w:val="true"/>
          <w:lang w:bidi="fa-IR"/>
        </w:rPr>
        <w:t xml:space="preserve">و الخلاف </w:t>
      </w:r>
      <w:r>
        <w:rPr>
          <w:rStyle w:val="FootnoteAnchor"/>
          <w:rtl w:val="true"/>
        </w:rPr>
        <w:footnoteReference w:id="8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یجوز إلّا إذا فداه </w:t>
      </w:r>
      <w:r>
        <w:rPr>
          <w:rStyle w:val="FootnoteAnchor"/>
          <w:rtl w:val="true"/>
        </w:rPr>
        <w:footnoteReference w:id="867"/>
      </w:r>
      <w:r>
        <w:rPr>
          <w:rFonts w:ascii="IRNazanin" w:hAnsi="IRNazanin" w:eastAsia="IRNazanin"/>
          <w:color w:val="111111"/>
          <w:sz w:val="28"/>
          <w:sz w:val="28"/>
          <w:szCs w:val="28"/>
          <w:rtl w:val="true"/>
          <w:lang w:bidi="fa-IR"/>
        </w:rPr>
        <w:t>المولی أو</w:t>
      </w:r>
    </w:p>
    <w:p>
      <w:pPr>
        <w:pStyle w:val="BookText"/>
        <w:rPr/>
      </w:pPr>
      <w:r>
        <w:rPr>
          <w:rFonts w:ascii="IRNazanin" w:hAnsi="IRNazanin" w:eastAsia="IRNazanin"/>
          <w:color w:val="111111"/>
          <w:sz w:val="28"/>
          <w:sz w:val="28"/>
          <w:szCs w:val="28"/>
          <w:rtl w:val="true"/>
          <w:lang w:bidi="fa-IR"/>
        </w:rPr>
        <w:t xml:space="preserve">التزم بالفداء،لا أنّه </w:t>
      </w:r>
      <w:r>
        <w:rPr>
          <w:rStyle w:val="FootnoteAnchor"/>
          <w:rtl w:val="true"/>
        </w:rPr>
        <w:footnoteReference w:id="868"/>
      </w:r>
      <w:r>
        <w:rPr>
          <w:rFonts w:ascii="IRNazanin" w:hAnsi="IRNazanin" w:eastAsia="IRNazanin"/>
          <w:color w:val="111111"/>
          <w:sz w:val="28"/>
          <w:sz w:val="28"/>
          <w:szCs w:val="28"/>
          <w:rtl w:val="true"/>
          <w:lang w:bidi="fa-IR"/>
        </w:rPr>
        <w:t>إذا باع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الأوفق بالقواعد أن یقال بجواز البیع؛لکونه ملکاً لمولاه،و تعلّق حقّ الغیر لا یمنع عن ذلک؛لأنّ کون المبیع مال الغیر لا یوجب بطلان البیع رأساً فضلاً عن تعلّق حقّ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ما عن الخلاف و السرائر مبنیٌّ علی أصلهما من بطلان الفضولی و ما أشبهه من کلّ بیعٍ یلزم من لزومه بطلان حقّ الغیر،کما یومئ إلیه استدلال الحلّی علی بطلان البیع قبل التزامه و ضمانه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قد تعلّق </w:t>
      </w:r>
      <w:r>
        <w:rPr>
          <w:rStyle w:val="FootnoteAnchor"/>
          <w:rtl w:val="true"/>
        </w:rPr>
        <w:footnoteReference w:id="869"/>
      </w:r>
      <w:r>
        <w:rPr>
          <w:rFonts w:ascii="IRNazanin" w:hAnsi="IRNazanin" w:eastAsia="IRNazanin"/>
          <w:color w:val="111111"/>
          <w:sz w:val="28"/>
          <w:sz w:val="28"/>
          <w:szCs w:val="28"/>
          <w:rtl w:val="true"/>
          <w:lang w:bidi="fa-IR"/>
        </w:rPr>
        <w:t xml:space="preserve">برقبة العبد الجانی فلا یجوز إبطاله </w:t>
      </w:r>
      <w:r>
        <w:rPr>
          <w:rStyle w:val="FootnoteAnchor"/>
          <w:rtl w:val="true"/>
        </w:rPr>
        <w:footnoteReference w:id="8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 هذا المذهب إلی أنّه لا واسطة بین لزوم البیع و بطلانه، فإذا صحّ البیع أبطل حقّ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غیر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مانع من وقوع البیع مراعیً بإجازة ذی الحقّ أو سقوط حقّه،فإذا باع المولی فیما نحن فیه قبل أداء الدیة أو أقلّ الأمرین علی الخلاف وقع مراعیً،فإن فدّاه المولی أو رضی المجنیّ علیه بضمانه فذاک،و إلّا انتزعه المجنیّ علیه من المشتری،و علی هذا فلا یکون البیع موجباً لضمان البائع حقّ المجنیّ علیه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کتاب الرهن من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یجبر السیّد علی فداء الجانی و إن رهنه أو باعه،بل یتسلّط المجنیّ علیه،فإن استوعب الجنایة القیمة بطل الرهن،و إلّا ففی المقابل </w:t>
      </w:r>
      <w:r>
        <w:rPr>
          <w:rStyle w:val="FootnoteAnchor"/>
          <w:rtl w:val="true"/>
        </w:rPr>
        <w:footnoteReference w:id="87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ظاهر العلّامة فی غیر هذا المقام و غیره هو أنّ البیع بنفسه التزام بالفداء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یجب علی المولی حیث تعلّق بالعبد و هو مالٌ من أمواله،و فی یده </w:t>
      </w:r>
      <w:r>
        <w:rPr>
          <w:rStyle w:val="FootnoteAnchor"/>
          <w:rtl w:val="true"/>
        </w:rPr>
        <w:footnoteReference w:id="872"/>
      </w:r>
      <w:r>
        <w:rPr>
          <w:rFonts w:ascii="IRNazanin" w:hAnsi="IRNazanin" w:eastAsia="IRNazanin"/>
          <w:color w:val="111111"/>
          <w:sz w:val="28"/>
          <w:sz w:val="28"/>
          <w:szCs w:val="28"/>
          <w:rtl w:val="true"/>
          <w:lang w:bidi="fa-IR"/>
        </w:rPr>
        <w:t>حقٌّ یتخیّر المولی فی نقله عنه إلی ذمّته،أن یوفی حقّ المجنی علیه إمّا من العین أو من ذمّته،فیجب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تخلیص العبد من المشتری بفسخٍ أو غیره،و إمّا أن یفدیه من ماله،فإذا امتنع المشتری من ردّه و المفروض عدم سلطنة البائع علی أخذه قهراً؛للزوم الوفاء بالعقد وجب علیه دفع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فداء العبد غیر لازم قبل البیع،و بیعه لیس إتلافاً له حتّی یتعیّن علیه الفداء،و وجوب الوفاء بالبیع لا یقتضی إلّا رفع یده،لا رفع ید الغیر،بل هذا أولی بعدم وجوب الفکّ من الرهن الذی تقدّم فی آخر مسألته الخدشة </w:t>
      </w:r>
      <w:r>
        <w:rPr>
          <w:rStyle w:val="FootnoteAnchor"/>
          <w:rtl w:val="true"/>
        </w:rPr>
        <w:footnoteReference w:id="873"/>
      </w:r>
      <w:r>
        <w:rPr>
          <w:rFonts w:ascii="IRNazanin" w:hAnsi="IRNazanin" w:eastAsia="IRNazanin"/>
          <w:color w:val="111111"/>
          <w:sz w:val="28"/>
          <w:sz w:val="28"/>
          <w:szCs w:val="28"/>
          <w:rtl w:val="true"/>
          <w:lang w:bidi="fa-IR"/>
        </w:rPr>
        <w:t>فی وجوب الفکّ علی الراهن بعد بیعه؛لتعلّق الدین هناک بالذمّة و تعلّق الحقّ هنا بالعین،فتأمّل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المصرَّح به فی التذکرة </w:t>
      </w:r>
      <w:r>
        <w:rPr>
          <w:rStyle w:val="FootnoteAnchor"/>
          <w:rtl w:val="true"/>
        </w:rPr>
        <w:footnoteReference w:id="874"/>
      </w:r>
      <w:r>
        <w:rPr>
          <w:rFonts w:ascii="IRNazanin" w:hAnsi="IRNazanin" w:eastAsia="IRNazanin"/>
          <w:color w:val="111111"/>
          <w:sz w:val="28"/>
          <w:sz w:val="28"/>
          <w:szCs w:val="28"/>
          <w:rtl w:val="true"/>
          <w:lang w:bidi="fa-IR"/>
        </w:rPr>
        <w:t xml:space="preserve">و المحکیّ عن غیرها </w:t>
      </w:r>
      <w:r>
        <w:rPr>
          <w:rStyle w:val="FootnoteAnchor"/>
          <w:rtl w:val="true"/>
        </w:rPr>
        <w:footnoteReference w:id="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للمشتری فکّ العبد،و حکم رجوعه إلی البائع حکم قضاء الدین عنه</w:t>
      </w:r>
      <w:r>
        <w:rPr>
          <w:rFonts w:eastAsia="IRNazanin" w:cs="IRNazanin"/>
          <w:color w:val="111111"/>
          <w:sz w:val="28"/>
          <w:szCs w:val="28"/>
          <w:rtl w:val="true"/>
          <w:lang w:bidi="fa-IR"/>
        </w:rPr>
        <w:t>.</w:t>
      </w:r>
      <w:bookmarkStart w:id="330" w:name="pg19861_202457"/>
    </w:p>
    <w:p>
      <w:pPr>
        <w:pStyle w:val="Heading4"/>
        <w:numPr>
          <w:ilvl w:val="3"/>
          <w:numId w:val="1"/>
        </w:numPr>
        <w:rPr/>
      </w:pPr>
      <w:bookmarkStart w:id="331" w:name="__RefHeading___Toc5119091_2314609296"/>
      <w:bookmarkStart w:id="332" w:name="_Toc130"/>
      <w:bookmarkEnd w:id="330"/>
      <w:bookmarkEnd w:id="331"/>
      <w:r>
        <w:rPr>
          <w:rtl w:val="true"/>
        </w:rPr>
        <w:t>مسألة الثالث من شروط العوضین</w:t>
      </w:r>
      <w:r>
        <w:rPr>
          <w:rtl w:val="true"/>
        </w:rPr>
        <w:t>:</w:t>
      </w:r>
      <w:r>
        <w:rPr>
          <w:rtl w:val="true"/>
        </w:rPr>
        <w:t>القدرة علی التسلیم</w:t>
      </w:r>
      <w:bookmarkEnd w:id="332"/>
    </w:p>
    <w:p>
      <w:pPr>
        <w:pStyle w:val="Heading5"/>
        <w:numPr>
          <w:ilvl w:val="4"/>
          <w:numId w:val="1"/>
        </w:numPr>
        <w:rPr/>
      </w:pPr>
      <w:bookmarkStart w:id="333" w:name="__RefHeading___Toc5119093_2314609296"/>
      <w:bookmarkStart w:id="334" w:name="_Toc131"/>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 xml:space="preserve">فإنّ الظاهر الإجماع علی اشتراطها فی الجملة کما فی جامع المقاصد </w:t>
      </w:r>
      <w:r>
        <w:rPr>
          <w:rStyle w:val="FootnoteAnchor"/>
          <w:rtl w:val="true"/>
        </w:rPr>
        <w:footnoteReference w:id="876"/>
      </w: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إجماع </w:t>
      </w:r>
      <w:r>
        <w:rPr>
          <w:rStyle w:val="FootnoteAnchor"/>
          <w:rtl w:val="true"/>
        </w:rPr>
        <w:footnoteReference w:id="8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علی عدم جواز بیع السمک فی الماء و لا الطیر فی الهواء </w:t>
      </w:r>
      <w:r>
        <w:rPr>
          <w:rStyle w:val="FootnoteAnchor"/>
          <w:rtl w:val="true"/>
        </w:rPr>
        <w:footnoteReference w:id="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إنّما اعتبرنا فی المعقود علیه أن یکون مقدوراً علیه تحفّظاً ممّا لا یمکن فیه ذلک،کالسمک فی الماء و الطیر فی الهواء،فإنّ ما هذه حاله لا یجوز بیعه بلا خلاف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فی التذکرة علی ذلک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صلّی اللّٰه علیه و آله عن بیع الغرر</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w:t>
      </w:r>
      <w:bookmarkStart w:id="335" w:name="pg19861_202458"/>
    </w:p>
    <w:p>
      <w:pPr>
        <w:pStyle w:val="BookText"/>
        <w:rPr/>
      </w:pPr>
      <w:bookmarkEnd w:id="335"/>
      <w:r>
        <w:rPr>
          <w:rFonts w:ascii="Amiri" w:hAnsi="Amiri" w:eastAsia="Amiri" w:cs="Amiri"/>
          <w:color w:val="111111"/>
          <w:sz w:val="28"/>
          <w:sz w:val="28"/>
          <w:szCs w:val="28"/>
          <w:rtl w:val="true"/>
          <w:lang w:bidi="ar-SA"/>
        </w:rPr>
        <w:t xml:space="preserve">و هذا غررٌ </w:t>
      </w:r>
      <w:r>
        <w:rPr>
          <w:rStyle w:val="FootnoteAnchor"/>
          <w:rtl w:val="true"/>
        </w:rPr>
        <w:footnoteReference w:id="881"/>
      </w:r>
      <w:r>
        <w:rPr>
          <w:rFonts w:ascii="IRNazanin" w:hAnsi="IRNazanin" w:eastAsia="IRNazanin"/>
          <w:color w:val="111111"/>
          <w:sz w:val="28"/>
          <w:sz w:val="28"/>
          <w:szCs w:val="28"/>
          <w:rtl w:val="true"/>
          <w:lang w:bidi="fa-IR"/>
        </w:rPr>
        <w:t xml:space="preserve">،و النهی هنا یوجب الفساد إجماعاً،علی الظاهر المصرّح به فی موضعٍ من الإیضاح </w:t>
      </w:r>
      <w:r>
        <w:rPr>
          <w:rStyle w:val="FootnoteAnchor"/>
          <w:rtl w:val="true"/>
        </w:rPr>
        <w:footnoteReference w:id="882"/>
      </w:r>
      <w:r>
        <w:rPr>
          <w:rFonts w:ascii="IRNazanin" w:hAnsi="IRNazanin" w:eastAsia="IRNazanin"/>
          <w:color w:val="111111"/>
          <w:sz w:val="28"/>
          <w:sz w:val="28"/>
          <w:szCs w:val="28"/>
          <w:rtl w:val="true"/>
          <w:lang w:bidi="fa-IR"/>
        </w:rPr>
        <w:t>،و اشتهار الخبر بین الخاصّة و العامة یجبر إرساله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کون ما نحن فیه غرراً فهو الظاهر من کلمات کثیرٍ من الفقهاء </w:t>
      </w:r>
      <w:r>
        <w:rPr>
          <w:rStyle w:val="FootnoteAnchor"/>
          <w:rtl w:val="true"/>
        </w:rPr>
        <w:footnoteReference w:id="883"/>
      </w:r>
      <w:r>
        <w:rPr>
          <w:rFonts w:ascii="Amiri" w:hAnsi="Amiri" w:eastAsia="Amiri" w:cs="Amiri"/>
          <w:color w:val="111111"/>
          <w:sz w:val="28"/>
          <w:sz w:val="28"/>
          <w:szCs w:val="28"/>
          <w:rtl w:val="true"/>
          <w:lang w:bidi="ar-SA"/>
        </w:rPr>
        <w:t xml:space="preserve">و أهل اللغة </w:t>
      </w:r>
      <w:r>
        <w:rPr>
          <w:rStyle w:val="FootnoteAnchor"/>
          <w:rtl w:val="true"/>
        </w:rPr>
        <w:footnoteReference w:id="884"/>
      </w:r>
      <w:r>
        <w:rPr>
          <w:rFonts w:ascii="IRNazanin" w:hAnsi="IRNazanin" w:eastAsia="IRNazanin"/>
          <w:color w:val="111111"/>
          <w:sz w:val="28"/>
          <w:sz w:val="28"/>
          <w:szCs w:val="28"/>
          <w:rtl w:val="true"/>
          <w:lang w:bidi="fa-IR"/>
        </w:rPr>
        <w:t>،حیث مثّلوا للغرر ببیع السمک فی الماء و الطیر فی الهواء؛مع أنّ معنی الغرر علی ما ذکره أکثر أهل اللغة صادقٌ علیه،و المرویّ عن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عملُ ما لا یؤمن معه من الضرر</w:t>
      </w:r>
      <w:r>
        <w:rPr>
          <w:rFonts w:eastAsia="IRNazanin" w:cs="IRNazanin"/>
          <w:color w:val="111111"/>
          <w:sz w:val="28"/>
          <w:szCs w:val="28"/>
          <w:rtl w:val="true"/>
          <w:lang w:bidi="fa-IR"/>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 w:name="__RefHeading___Toc5119095_2314609296"/>
      <w:bookmarkStart w:id="337" w:name="_Toc132"/>
      <w:bookmarkEnd w:id="336"/>
      <w:r>
        <w:rPr>
          <w:rtl w:val="true"/>
        </w:rPr>
        <w:t>[</w:t>
      </w:r>
      <w:r>
        <w:rPr>
          <w:rtl w:val="true"/>
        </w:rPr>
        <w:t>معنی الغرر لغة</w:t>
      </w:r>
      <w:r>
        <w:rPr>
          <w:rtl w:val="true"/>
        </w:rPr>
        <w:t>]</w:t>
      </w:r>
      <w:bookmarkEnd w:id="33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الغفلة،و الغارّ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الغافل،و أغرّه،أی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 علی غِرّة منه،و اغترّ بالشیء،أی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خدع به </w:t>
      </w:r>
      <w:r>
        <w:rPr>
          <w:rStyle w:val="FootnoteAnchor"/>
          <w:rtl w:val="true"/>
        </w:rPr>
        <w:footnoteReference w:id="886"/>
      </w:r>
      <w:r>
        <w:rPr>
          <w:rFonts w:ascii="IRNazanin" w:hAnsi="IRNazanin" w:eastAsia="IRNazanin"/>
          <w:color w:val="111111"/>
          <w:sz w:val="28"/>
          <w:sz w:val="28"/>
          <w:szCs w:val="28"/>
          <w:rtl w:val="true"/>
          <w:lang w:bidi="fa-IR"/>
        </w:rPr>
        <w:t>،و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الخطر،و نهی رسول اللّٰه صلّی اللّٰه علیه و آله عن بیع الغرر؛و هو مثل بیع السمک فی الماء</w:t>
      </w:r>
    </w:p>
    <w:p>
      <w:pPr>
        <w:pStyle w:val="BookText"/>
        <w:rPr/>
      </w:pPr>
      <w:r>
        <w:rPr>
          <w:rFonts w:ascii="IRNazanin" w:hAnsi="IRNazanin" w:eastAsia="IRNazanin"/>
          <w:color w:val="111111"/>
          <w:sz w:val="28"/>
          <w:sz w:val="28"/>
          <w:szCs w:val="28"/>
          <w:rtl w:val="true"/>
          <w:lang w:bidi="fa-IR"/>
        </w:rPr>
        <w:t>و الطیر فی الهواء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التغریر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النفس علی الغرر </w:t>
      </w:r>
      <w:r>
        <w:rPr>
          <w:rStyle w:val="FootnoteAnchor"/>
          <w:rtl w:val="true"/>
        </w:rPr>
        <w:footnoteReference w:id="88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القاموس ما 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غرّه غرّاً و غروراً و غِرّةً بالکسر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مغرورٌ و غریرٌ کأمیر </w:t>
      </w:r>
      <w:r>
        <w:rPr>
          <w:rStyle w:val="FootnoteAnchor"/>
          <w:rtl w:val="true"/>
        </w:rPr>
        <w:footnoteReference w:id="8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خدعه و أطمعه فی الباطل </w:t>
      </w:r>
      <w:r>
        <w:rPr>
          <w:rStyle w:val="FootnoteAnchor"/>
          <w:rtl w:val="true"/>
        </w:rPr>
        <w:footnoteReference w:id="889"/>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غرّر بنفسه تغریراً و تغرّةً،أی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عرّضها للهلکة،و الإسم الغَرَر محرّکه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الغافل،و اغترّ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غفل،و الإسم الغِرَّة بالکسر </w:t>
      </w:r>
      <w:r>
        <w:rPr>
          <w:rStyle w:val="FootnoteAnchor"/>
          <w:rtl w:val="true"/>
        </w:rPr>
        <w:footnoteReference w:id="89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النهایة بعد تفسیر الغِرَّة بالکسر بالغفلة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نهی عن بیع الغَرَر،و هو ما کان له ظاهرٌ یغرّ المشتری،و باطنٌ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الأزهری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الغرر ما کان علی غیر عهدةٍ و لا ثقةٍ،و یدخل فیه البیوع التی لا یحیط بکنهها المتبایعان من کلّ مجهول،و قد تکرّر فی الحدیث،و منه حدیث مطرِّف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نفساً واحدة،و إنّی لأکره أن اغرّر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أحملها علی غیر ثقةٍ،و به سمّی الشیطان غروراً؛لأنّه یحمل الإنسان علی محابّه،و وراء ذلک ما یسوؤه </w:t>
      </w:r>
      <w:r>
        <w:rPr>
          <w:rStyle w:val="FootnoteAnchor"/>
          <w:rtl w:val="true"/>
        </w:rPr>
        <w:footnoteReference w:id="89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حکی أیضاً عن الأساس </w:t>
      </w:r>
      <w:r>
        <w:rPr>
          <w:rStyle w:val="FootnoteAnchor"/>
          <w:rtl w:val="true"/>
        </w:rPr>
        <w:footnoteReference w:id="892"/>
      </w:r>
      <w:r>
        <w:rPr>
          <w:rFonts w:ascii="IRNazanin" w:hAnsi="IRNazanin" w:eastAsia="IRNazanin"/>
          <w:color w:val="111111"/>
          <w:sz w:val="28"/>
          <w:sz w:val="28"/>
          <w:szCs w:val="28"/>
          <w:rtl w:val="true"/>
          <w:lang w:bidi="fa-IR"/>
        </w:rPr>
        <w:t xml:space="preserve">و المصباح </w:t>
      </w:r>
      <w:r>
        <w:rPr>
          <w:rStyle w:val="FootnoteAnchor"/>
          <w:rtl w:val="true"/>
        </w:rPr>
        <w:footnoteReference w:id="893"/>
      </w:r>
      <w:r>
        <w:rPr>
          <w:rFonts w:ascii="IRNazanin" w:hAnsi="IRNazanin" w:eastAsia="IRNazanin"/>
          <w:color w:val="111111"/>
          <w:sz w:val="28"/>
          <w:sz w:val="28"/>
          <w:szCs w:val="28"/>
          <w:rtl w:val="true"/>
          <w:lang w:bidi="fa-IR"/>
        </w:rPr>
        <w:t xml:space="preserve">و المغرب </w:t>
      </w:r>
      <w:r>
        <w:rPr>
          <w:rStyle w:val="FootnoteAnchor"/>
          <w:rtl w:val="true"/>
        </w:rPr>
        <w:footnoteReference w:id="894"/>
      </w:r>
      <w:r>
        <w:rPr>
          <w:rFonts w:ascii="IRNazanin" w:hAnsi="IRNazanin" w:eastAsia="IRNazanin"/>
          <w:color w:val="111111"/>
          <w:sz w:val="28"/>
          <w:sz w:val="28"/>
          <w:szCs w:val="28"/>
          <w:rtl w:val="true"/>
          <w:lang w:bidi="fa-IR"/>
        </w:rPr>
        <w:t xml:space="preserve">و المجمل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 xml:space="preserve">و المجمع </w:t>
      </w:r>
      <w:r>
        <w:rPr>
          <w:rStyle w:val="FootnoteAnchor"/>
          <w:rtl w:val="true"/>
        </w:rPr>
        <w:footnoteReference w:id="896"/>
      </w:r>
      <w:r>
        <w:rPr>
          <w:rFonts w:ascii="IRNazanin" w:hAnsi="IRNazanin" w:eastAsia="IRNazanin"/>
          <w:color w:val="111111"/>
          <w:sz w:val="28"/>
          <w:sz w:val="28"/>
          <w:szCs w:val="28"/>
          <w:rtl w:val="true"/>
          <w:lang w:bidi="fa-IR"/>
        </w:rPr>
        <w:t>تفسیر الغرر بالخطر،ممثّلاً له فی الثلاثة الأخیرة ببیع السمک فی الماء و الطیر فی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أهل اللغة فسّروا بیع الغَرَر بهذین </w:t>
      </w:r>
      <w:r>
        <w:rPr>
          <w:rStyle w:val="FootnoteAnchor"/>
          <w:rtl w:val="true"/>
        </w:rPr>
        <w:footnoteReference w:id="897"/>
      </w:r>
      <w:r>
        <w:rPr>
          <w:rFonts w:ascii="IRNazanin" w:hAnsi="IRNazanin" w:eastAsia="IRNazanin"/>
          <w:color w:val="111111"/>
          <w:sz w:val="28"/>
          <w:sz w:val="28"/>
          <w:szCs w:val="28"/>
          <w:rtl w:val="true"/>
          <w:lang w:bidi="fa-IR"/>
        </w:rPr>
        <w:t>،و مراده من التفسیر التوضیح بالمثال،و لیس فی المحکیّ عن النهایة منافاةٌ لهذا التفسیر،کما یظهر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بالجملة،فالکلّ متّفقون علی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معنی الغَرَر،سواء تعلّق الجهل بأصل وجوده،أم بحصوله فی ید من انتقل إلیه،أم بصفاته کمّاً و کیفاً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ربما یقال </w:t>
      </w:r>
      <w:r>
        <w:rPr>
          <w:rStyle w:val="FootnoteAnchor"/>
          <w:rtl w:val="true"/>
        </w:rPr>
        <w:footnoteReference w:id="8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المنساق من الغَرَر المنهیّ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الخطر،من حیث الجهل بصفات المبیع و مقداره،لا مطلق الخطر الشامل لتسلیمه و عدمه؛ ضرورة حصوله فی بیع کلِّ غائب،خصوصاً إذا کان فی بحرٍ و نحوه،بل هو أوضح شیءٍ فی بیع الثمار و الزرع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الواضح عدم لزوم المخاطرة فی مبیعٍ مجهول الحال بالنسبة إلی التسلّم و عدمه،خصوصاً بعد جبره بالخیار لو تعذّر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الخطر من حیث حصول المبیع فی ید المشتری أعظم</w:t>
      </w:r>
      <w:bookmarkStart w:id="338" w:name="pg19861_202461"/>
    </w:p>
    <w:p>
      <w:pPr>
        <w:pStyle w:val="BookText"/>
        <w:rPr/>
      </w:pPr>
      <w:bookmarkEnd w:id="338"/>
      <w:r>
        <w:rPr>
          <w:rFonts w:ascii="IRNazanin" w:hAnsi="IRNazanin" w:eastAsia="IRNazanin"/>
          <w:color w:val="111111"/>
          <w:sz w:val="28"/>
          <w:sz w:val="28"/>
          <w:szCs w:val="28"/>
          <w:rtl w:val="true"/>
          <w:lang w:bidi="fa-IR"/>
        </w:rPr>
        <w:t>من الجهل بصفاته مع العلم بحصوله،فلا وجه لتقیید کلام أهل اللغة خصوصاً بعد تمثیلهم بالمثالین المذکورین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إرادتهم ذکر المثالین لجهالة صفات المبیع لا الجهل بحصوله فی یده،یدفعه ملاحظة اشتهار التمثیل بهما فی کلمات الفقهاء للعجز عن التسلیم لا للجهالة بالصفات</w:t>
      </w:r>
      <w:r>
        <w:rPr>
          <w:rFonts w:eastAsia="IRNazanin" w:cs="IRNazanin"/>
          <w:color w:val="111111"/>
          <w:sz w:val="28"/>
          <w:szCs w:val="28"/>
          <w:rtl w:val="true"/>
          <w:lang w:bidi="fa-IR"/>
        </w:rPr>
        <w:t>.</w:t>
      </w:r>
    </w:p>
    <w:p>
      <w:pPr>
        <w:pStyle w:val="Heading5"/>
        <w:numPr>
          <w:ilvl w:val="4"/>
          <w:numId w:val="1"/>
        </w:numPr>
        <w:rPr/>
      </w:pPr>
      <w:bookmarkStart w:id="339" w:name="__RefHeading___Toc5119097_2314609296"/>
      <w:bookmarkStart w:id="340" w:name="_Toc133"/>
      <w:bookmarkEnd w:id="339"/>
      <w:r>
        <w:rPr>
          <w:rtl w:val="true"/>
        </w:rPr>
        <w:t>[</w:t>
      </w:r>
      <w:r>
        <w:rPr>
          <w:rtl w:val="true"/>
        </w:rPr>
        <w:t>الاستدلال الفریقین بالنبوی المذکور علی شرطیة القدرة</w:t>
      </w:r>
      <w:r>
        <w:rPr>
          <w:rtl w:val="true"/>
        </w:rPr>
        <w:t>]</w:t>
      </w:r>
      <w:bookmarkEnd w:id="340"/>
    </w:p>
    <w:p>
      <w:pPr>
        <w:pStyle w:val="Heading6"/>
        <w:numPr>
          <w:ilvl w:val="5"/>
          <w:numId w:val="1"/>
        </w:numPr>
        <w:rPr/>
      </w:pPr>
      <w:bookmarkStart w:id="341" w:name="__RefHeading___Toc5119099_2314609296"/>
      <w:bookmarkStart w:id="342" w:name="_Toc134"/>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هذا،مضافاً إلی استدلال الفریقین من العامة و الخاصّة بالنبویّ المذکور علی اعتبار القدرة علی التسلیم،کما یظهر من الانتصار،حیث قال فیما حکی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انفردت به الإمامیّة القول بجواز شراء العبد الآبق مع الضمیمة،و لا یشتری وحده إلّا إذا کان بحیث یقدر علیه المشتری </w:t>
      </w:r>
      <w:r>
        <w:rPr>
          <w:rStyle w:val="FootnoteAnchor"/>
          <w:rtl w:val="true"/>
        </w:rPr>
        <w:footnoteReference w:id="900"/>
      </w:r>
      <w:r>
        <w:rPr>
          <w:rFonts w:ascii="IRNazanin" w:hAnsi="IRNazanin" w:eastAsia="IRNazanin"/>
          <w:color w:val="111111"/>
          <w:sz w:val="28"/>
          <w:sz w:val="28"/>
          <w:szCs w:val="28"/>
          <w:rtl w:val="true"/>
          <w:lang w:bidi="fa-IR"/>
        </w:rPr>
        <w:t>،و خالف باقی الفقهاء فی ذلک و ذهبوا إلی أنّه لا یجوز بیع الآبق علی کلّ حال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یعوِّل مخالفونا فی منع بیعه علی أنّه بیع غَرَرٍ،و أنّ نبیّنا صلّی اللّٰه علیه و آله نهی عن بیع الغَرَر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لیس بصحیح؛لأنّ هذا البیع یخرجه عن أن یکون غرراً؛انضمام </w:t>
      </w:r>
      <w:r>
        <w:rPr>
          <w:rStyle w:val="FootnoteAnchor"/>
          <w:rtl w:val="true"/>
        </w:rPr>
        <w:footnoteReference w:id="901"/>
      </w:r>
      <w:r>
        <w:rPr>
          <w:rFonts w:ascii="IRNazanin" w:hAnsi="IRNazanin" w:eastAsia="IRNazanin"/>
          <w:color w:val="111111"/>
          <w:sz w:val="28"/>
          <w:sz w:val="28"/>
          <w:szCs w:val="28"/>
          <w:rtl w:val="true"/>
          <w:lang w:bidi="fa-IR"/>
        </w:rPr>
        <w:t xml:space="preserve">غیره إلیه </w:t>
      </w:r>
      <w:r>
        <w:rPr>
          <w:rStyle w:val="FootnoteAnchor"/>
          <w:rtl w:val="true"/>
        </w:rPr>
        <w:footnoteReference w:id="90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صریحٌ فی استدلال جمیع العامّة بالنبویّ علی اشتراط القدرة علی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اتّفاق أصحابنا أیضاً علی الاستدلال به له </w:t>
      </w:r>
      <w:r>
        <w:rPr>
          <w:rStyle w:val="FootnoteAnchor"/>
          <w:rtl w:val="true"/>
        </w:rPr>
        <w:footnoteReference w:id="903"/>
      </w:r>
      <w:r>
        <w:rPr>
          <w:rFonts w:ascii="IRNazanin" w:hAnsi="IRNazanin" w:eastAsia="IRNazanin"/>
          <w:color w:val="111111"/>
          <w:sz w:val="28"/>
          <w:sz w:val="28"/>
          <w:szCs w:val="28"/>
          <w:rtl w:val="true"/>
          <w:lang w:bidi="fa-IR"/>
        </w:rPr>
        <w:t>،کما یظهر للمتتبّع،و سیجیء فی عبارة الشهید التصریح به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کان،فالدعوی المذکورة ممّا لا یساعدها اللغة و لا العرف</w:t>
      </w:r>
      <w:bookmarkStart w:id="343" w:name="pg19861_202462"/>
    </w:p>
    <w:p>
      <w:pPr>
        <w:pStyle w:val="BookText"/>
        <w:rPr/>
      </w:pPr>
      <w:bookmarkEnd w:id="343"/>
      <w:r>
        <w:rPr>
          <w:rFonts w:ascii="IRNazanin" w:hAnsi="IRNazanin" w:eastAsia="IRNazanin"/>
          <w:color w:val="111111"/>
          <w:sz w:val="28"/>
          <w:sz w:val="28"/>
          <w:szCs w:val="28"/>
          <w:rtl w:val="true"/>
          <w:lang w:bidi="fa-IR"/>
        </w:rPr>
        <w:t>و لا کلمات أهل الشرع</w:t>
      </w:r>
      <w:r>
        <w:rPr>
          <w:rFonts w:eastAsia="IRNazanin" w:cs="IRNazanin"/>
          <w:color w:val="111111"/>
          <w:sz w:val="28"/>
          <w:szCs w:val="28"/>
          <w:rtl w:val="true"/>
          <w:lang w:bidi="fa-IR"/>
        </w:rPr>
        <w:t>.</w:t>
      </w:r>
    </w:p>
    <w:p>
      <w:pPr>
        <w:pStyle w:val="Heading6"/>
        <w:numPr>
          <w:ilvl w:val="5"/>
          <w:numId w:val="1"/>
        </w:numPr>
        <w:rPr/>
      </w:pPr>
      <w:bookmarkStart w:id="344" w:name="__RefHeading___Toc5119101_2314609296"/>
      <w:bookmarkStart w:id="345" w:name="_Toc135"/>
      <w:bookmarkEnd w:id="344"/>
      <w:r>
        <w:rPr>
          <w:rtl w:val="true"/>
        </w:rPr>
        <w:t>[</w:t>
      </w:r>
      <w:r>
        <w:rPr>
          <w:rtl w:val="true"/>
        </w:rPr>
        <w:t>کلام الشهید فی القواعد فی تفسیر الغرر</w:t>
      </w:r>
      <w:r>
        <w:rPr>
          <w:rtl w:val="true"/>
        </w:rPr>
        <w:t>]</w:t>
      </w:r>
      <w:bookmarkEnd w:id="345"/>
    </w:p>
    <w:p>
      <w:pPr>
        <w:pStyle w:val="BookText"/>
        <w:rPr/>
      </w:pPr>
      <w:r>
        <w:rPr>
          <w:rFonts w:ascii="IRNazanin" w:hAnsi="IRNazanin" w:eastAsia="IRNazanin"/>
          <w:color w:val="111111"/>
          <w:sz w:val="28"/>
          <w:sz w:val="28"/>
          <w:szCs w:val="28"/>
          <w:rtl w:val="true"/>
          <w:lang w:bidi="fa-IR"/>
        </w:rPr>
        <w:t>و ما أبعد ما بینه و بین ما عن قواعد الشهید قدّس سرّه،حیث قال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لغةً </w:t>
      </w:r>
      <w:r>
        <w:rPr>
          <w:rStyle w:val="FootnoteAnchor"/>
          <w:rtl w:val="true"/>
        </w:rPr>
        <w:footnoteReference w:id="9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له ظاهرٌ محبوبٌ و باطنٌ مکروه،قاله بعضهم، و منه قوله تعالی مَتٰاعُ الْغُرُورِ </w:t>
      </w:r>
      <w:r>
        <w:rPr>
          <w:rStyle w:val="FootnoteAnchor"/>
          <w:rtl w:val="true"/>
        </w:rPr>
        <w:footnoteReference w:id="905"/>
      </w:r>
      <w:r>
        <w:rPr>
          <w:rFonts w:ascii="IRNazanin" w:hAnsi="IRNazanin" w:eastAsia="IRNazanin"/>
          <w:color w:val="111111"/>
          <w:sz w:val="28"/>
          <w:sz w:val="28"/>
          <w:szCs w:val="28"/>
          <w:rtl w:val="true"/>
          <w:lang w:bidi="fa-IR"/>
        </w:rPr>
        <w:t>،و شرعاً هو جهل الحصول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المجهول المعلوم الحصول </w:t>
      </w:r>
      <w:r>
        <w:rPr>
          <w:rStyle w:val="FootnoteAnchor"/>
          <w:rtl w:val="true"/>
        </w:rPr>
        <w:footnoteReference w:id="906"/>
      </w:r>
      <w:r>
        <w:rPr>
          <w:rFonts w:ascii="IRNazanin" w:hAnsi="IRNazanin" w:eastAsia="IRNazanin"/>
          <w:color w:val="111111"/>
          <w:sz w:val="28"/>
          <w:sz w:val="28"/>
          <w:szCs w:val="28"/>
          <w:rtl w:val="true"/>
          <w:lang w:bidi="fa-IR"/>
        </w:rPr>
        <w:t>و مجهول الصفة فلیس غرراً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بینهما عمومٌ و خصوصٌ من وجه،لوجود الغَرَر بدون الجهل فی العبد الآبق إذا کان معلوم الصفة من قبلُ أو وُصِف </w:t>
      </w:r>
      <w:r>
        <w:rPr>
          <w:rStyle w:val="FootnoteAnchor"/>
          <w:rtl w:val="true"/>
        </w:rPr>
        <w:footnoteReference w:id="907"/>
      </w:r>
      <w:r>
        <w:rPr>
          <w:rFonts w:ascii="IRNazanin" w:hAnsi="IRNazanin" w:eastAsia="IRNazanin"/>
          <w:color w:val="111111"/>
          <w:sz w:val="28"/>
          <w:sz w:val="28"/>
          <w:szCs w:val="28"/>
          <w:rtl w:val="true"/>
          <w:lang w:bidi="fa-IR"/>
        </w:rPr>
        <w:t>الآن،و وجود الجهل بدون الغَرَر فی المکیل و الموزون و المعدود إذا لم 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یتوغّل فی الجهالة،کحجرٍ لا یُدری أ ذهبٌ،أم فضّةٌ،أم نحاسٌ،أم صَخرٌ،و یوجدان معاً فی العبد الآبق المجهول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یتعلّق الغَرَر و الجهل تارةً بالوجود کالعبد الآبق المجهول الوجود </w:t>
      </w:r>
      <w:r>
        <w:rPr>
          <w:rStyle w:val="FootnoteAnchor"/>
          <w:rtl w:val="true"/>
        </w:rPr>
        <w:footnoteReference w:id="908"/>
      </w:r>
      <w:r>
        <w:rPr>
          <w:rFonts w:ascii="IRNazanin" w:hAnsi="IRNazanin" w:eastAsia="IRNazanin"/>
          <w:color w:val="111111"/>
          <w:sz w:val="28"/>
          <w:sz w:val="28"/>
          <w:szCs w:val="28"/>
          <w:rtl w:val="true"/>
          <w:lang w:bidi="fa-IR"/>
        </w:rPr>
        <w:t>،و تارةً بالحصول کالعبد الآبق المعلوم الوجود، و بالجنس کحَبٍّ لا یُدری ما هو،و سلعةٍ من سلعٍ مختلفة،و بالنوع کعبدٍ من عبیدٍ،و بالقَدَر ککیلٍ لا یعرف قَدَرُه و البیع إلی مبلغ السهم، و بالعین کثوبٍ من ثوبین مختلفین،و بالبقاء کبیع الثمرة قبل بدوّ الصلاح</w:t>
      </w:r>
      <w:bookmarkStart w:id="346" w:name="pg19861_202463"/>
    </w:p>
    <w:p>
      <w:pPr>
        <w:pStyle w:val="BookText"/>
        <w:rPr/>
      </w:pPr>
      <w:bookmarkEnd w:id="346"/>
      <w:r>
        <w:rPr>
          <w:rFonts w:ascii="IRNazanin" w:hAnsi="IRNazanin" w:eastAsia="IRNazanin"/>
          <w:color w:val="111111"/>
          <w:sz w:val="28"/>
          <w:sz w:val="28"/>
          <w:szCs w:val="28"/>
          <w:rtl w:val="true"/>
          <w:lang w:bidi="fa-IR"/>
        </w:rPr>
        <w:t>عند بعض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اشترط أن یبدو الصلاح لا محالة کان غرراً عند الکلّ،کما لو شرط صیرورة الزرع سنبلاً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الغرر قد یکون بما له مدخل ظاهر فی العوضین و هو ممتنع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بما یتسامح به عادة لقلّته،کأُسّ الجدار و قطن الجبّة،و هو معفوّ عنه إجماعاً،و نحوه اشتراط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یکون </w:t>
      </w:r>
      <w:r>
        <w:rPr>
          <w:rStyle w:val="FootnoteAnchor"/>
          <w:rtl w:val="true"/>
        </w:rPr>
        <w:footnoteReference w:id="909"/>
      </w:r>
      <w:r>
        <w:rPr>
          <w:rFonts w:ascii="IRNazanin" w:hAnsi="IRNazanin" w:eastAsia="IRNazanin"/>
          <w:color w:val="111111"/>
          <w:sz w:val="28"/>
          <w:sz w:val="28"/>
          <w:szCs w:val="28"/>
          <w:rtl w:val="true"/>
          <w:lang w:bidi="fa-IR"/>
        </w:rPr>
        <w:t xml:space="preserve">بینهما،و هو محلّ الخلاف،کالجزاف فی مال الإجارة و المضاربة،و الثمرة قبل بدوّ الصلاح،و الآبق بغیر ضمیمة </w:t>
      </w:r>
      <w:r>
        <w:rPr>
          <w:rStyle w:val="FootnoteAnchor"/>
          <w:rtl w:val="true"/>
        </w:rPr>
        <w:footnoteReference w:id="910"/>
      </w:r>
      <w:r>
        <w:rPr>
          <w:rFonts w:ascii="IRNazanin" w:hAnsi="IRNazanin" w:eastAsia="IRNazanin"/>
          <w:color w:val="111111"/>
          <w:sz w:val="28"/>
          <w:sz w:val="28"/>
          <w:szCs w:val="28"/>
          <w:rtl w:val="true"/>
          <w:lang w:bidi="fa-IR"/>
        </w:rPr>
        <w:t xml:space="preserve">، انتهی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7" w:name="__RefHeading___Toc5119103_2314609296"/>
      <w:bookmarkStart w:id="348" w:name="_Toc136"/>
      <w:bookmarkEnd w:id="347"/>
      <w:r>
        <w:rPr>
          <w:rtl w:val="true"/>
        </w:rPr>
        <w:t>[</w:t>
      </w:r>
      <w:r>
        <w:rPr>
          <w:rtl w:val="true"/>
        </w:rPr>
        <w:t>کلام الشهید فی شرح الإرشاد فی تفسیر الغرر</w:t>
      </w:r>
      <w:r>
        <w:rPr>
          <w:rtl w:val="true"/>
        </w:rPr>
        <w:t>]</w:t>
      </w:r>
      <w:bookmarkEnd w:id="34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بعض کلامه تأمّل،ککلامه الآخر فی شرح الإرشاد،حیث ذکر فی مسألة تعیّن الأثمان بالتعیین </w:t>
      </w:r>
      <w:r>
        <w:rPr>
          <w:rStyle w:val="FootnoteAnchor"/>
          <w:rtl w:val="true"/>
        </w:rPr>
        <w:footnoteReference w:id="912"/>
      </w:r>
      <w:r>
        <w:rPr>
          <w:rFonts w:ascii="IRNazanin" w:hAnsi="IRNazanin" w:eastAsia="IRNazanin"/>
          <w:color w:val="111111"/>
          <w:sz w:val="28"/>
          <w:sz w:val="28"/>
          <w:szCs w:val="28"/>
          <w:rtl w:val="true"/>
          <w:lang w:bidi="fa-IR"/>
        </w:rPr>
        <w:t>عندنا قالوا یعنی المخالفین من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تعیینها </w:t>
      </w:r>
      <w:r>
        <w:rPr>
          <w:rStyle w:val="FootnoteAnchor"/>
          <w:rtl w:val="true"/>
        </w:rPr>
        <w:footnoteReference w:id="913"/>
      </w:r>
      <w:r>
        <w:rPr>
          <w:rFonts w:ascii="IRNazanin" w:hAnsi="IRNazanin" w:eastAsia="IRNazanin"/>
          <w:color w:val="111111"/>
          <w:sz w:val="28"/>
          <w:sz w:val="28"/>
          <w:szCs w:val="28"/>
          <w:rtl w:val="true"/>
          <w:lang w:bidi="fa-IR"/>
        </w:rPr>
        <w:t>غرر،فیکون منهیّاً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الصغری،فلجواز عدمها أو ظهورها مستحقّة فینفسخ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الکبری،فظاهرة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نمنع الصغری؛لأنّ الغرر إجمال </w:t>
      </w:r>
      <w:r>
        <w:rPr>
          <w:rStyle w:val="FootnoteAnchor"/>
          <w:rtl w:val="true"/>
        </w:rPr>
        <w:footnoteReference w:id="914"/>
      </w:r>
      <w:r>
        <w:rPr>
          <w:rFonts w:ascii="IRNazanin" w:hAnsi="IRNazanin" w:eastAsia="IRNazanin"/>
          <w:color w:val="111111"/>
          <w:sz w:val="28"/>
          <w:sz w:val="28"/>
          <w:szCs w:val="28"/>
          <w:rtl w:val="true"/>
          <w:lang w:bidi="fa-IR"/>
        </w:rPr>
        <w:t xml:space="preserve">مجتنب عنه فی العرف بحیث لو ترکه وُبّخ علیه،و ما ذکروه </w:t>
      </w:r>
      <w:r>
        <w:rPr>
          <w:rStyle w:val="FootnoteAnchor"/>
          <w:rtl w:val="true"/>
        </w:rPr>
        <w:footnoteReference w:id="915"/>
      </w:r>
      <w:r>
        <w:rPr>
          <w:rFonts w:ascii="Amiri" w:hAnsi="Amiri" w:eastAsia="Amiri" w:cs="Amiri"/>
          <w:color w:val="111111"/>
          <w:sz w:val="28"/>
          <w:sz w:val="28"/>
          <w:szCs w:val="28"/>
          <w:rtl w:val="true"/>
          <w:lang w:bidi="ar-SA"/>
        </w:rPr>
        <w:t>لا یخطر ببالٍ فضلاً عن اللّوم</w:t>
      </w:r>
      <w:bookmarkStart w:id="349" w:name="pg19861_202464"/>
    </w:p>
    <w:p>
      <w:pPr>
        <w:pStyle w:val="BookText"/>
        <w:rPr/>
      </w:pPr>
      <w:bookmarkEnd w:id="349"/>
      <w:r>
        <w:rPr>
          <w:rFonts w:ascii="IRNazanin" w:hAnsi="IRNazanin" w:eastAsia="IRNazanin"/>
          <w:color w:val="111111"/>
          <w:sz w:val="28"/>
          <w:sz w:val="28"/>
          <w:szCs w:val="28"/>
          <w:rtl w:val="true"/>
          <w:lang w:bidi="fa-IR"/>
        </w:rPr>
        <w:t xml:space="preserve">علیه </w:t>
      </w:r>
      <w:r>
        <w:rPr>
          <w:rStyle w:val="FootnoteAnchor"/>
          <w:rtl w:val="true"/>
        </w:rPr>
        <w:footnoteReference w:id="91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350" w:name="__RefHeading___Toc5119105_2314609296"/>
      <w:bookmarkStart w:id="351" w:name="_Toc137"/>
      <w:bookmarkEnd w:id="350"/>
      <w:r>
        <w:rPr>
          <w:rtl w:val="true"/>
        </w:rPr>
        <w:t>[</w:t>
      </w:r>
      <w:r>
        <w:rPr>
          <w:rtl w:val="true"/>
        </w:rPr>
        <w:t>المناقشة فیما أفاده الشهید فی شرح الإرشاد</w:t>
      </w:r>
      <w:r>
        <w:rPr>
          <w:rtl w:val="true"/>
        </w:rPr>
        <w:t>]</w:t>
      </w:r>
      <w:bookmarkEnd w:id="351"/>
    </w:p>
    <w:p>
      <w:pPr>
        <w:pStyle w:val="BookText"/>
        <w:rPr/>
      </w:pPr>
      <w:r>
        <w:rPr>
          <w:rFonts w:ascii="IRNazanin" w:hAnsi="IRNazanin" w:eastAsia="IRNazanin"/>
          <w:color w:val="111111"/>
          <w:sz w:val="28"/>
          <w:sz w:val="28"/>
          <w:szCs w:val="28"/>
          <w:rtl w:val="true"/>
          <w:lang w:bidi="fa-IR"/>
        </w:rPr>
        <w:t>فإنّ مقتضاه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اشتُری الآبق أو الضالّ المرجوّ الحصول بثمنٍ قلیل،لم یکن غرراً؛لأنّ العقلاء یقدمون علی الضرر القلیل رجاءً للنفع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اشتری المجهول المردّد بین ذهبٍ و نحاسٍ بقیمة النحاس؛ بناءً علی المعروف من تحقّق الغرر بالجهل بالصفة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شراء مجهول المقدار بثمن المتیقّن منه؛فإنّ ذلک کلّه مرغوب فیه عند العقلاء،بل یوبّخون من عدل عنه اعتذاراً بکونه خطراً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النهی من الشارع لسدّ باب المخاطرة المفضیة إلی التنازع فی المعاملات،و لیس منوطاً بالنهی من العقلاء لیخصّ مورده بالسفهاء أو المتسفّهة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حکی عن الصدوق فی 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تعلیل فساد بعض المعاملات المتعارفة فی الجاهلیة کبیع المنابذة و الملامسة و بیع الحصاة بکونها غرراً </w:t>
      </w:r>
      <w:r>
        <w:rPr>
          <w:rStyle w:val="FootnoteAnchor"/>
          <w:rtl w:val="true"/>
        </w:rPr>
        <w:footnoteReference w:id="917"/>
      </w:r>
      <w:r>
        <w:rPr>
          <w:rFonts w:ascii="IRNazanin" w:hAnsi="IRNazanin" w:eastAsia="IRNazanin"/>
          <w:color w:val="111111"/>
          <w:sz w:val="28"/>
          <w:sz w:val="28"/>
          <w:szCs w:val="28"/>
          <w:rtl w:val="true"/>
          <w:lang w:bidi="fa-IR"/>
        </w:rPr>
        <w:t xml:space="preserve">،مع أنّه لا جهالة فی بعضها کبیع المنابذة؛بناءً علی ما فسّره به </w:t>
      </w:r>
      <w:r>
        <w:rPr>
          <w:rStyle w:val="FootnoteAnchor"/>
          <w:rtl w:val="true"/>
        </w:rPr>
        <w:footnoteReference w:id="918"/>
      </w:r>
      <w:r>
        <w:rPr>
          <w:rFonts w:ascii="IRNazanin" w:hAnsi="IRNazanin" w:eastAsia="IRNazanin"/>
          <w:color w:val="111111"/>
          <w:sz w:val="28"/>
          <w:sz w:val="28"/>
          <w:szCs w:val="28"/>
          <w:rtl w:val="true"/>
          <w:lang w:bidi="fa-IR"/>
        </w:rPr>
        <w:t>من أنّه قول أحدهما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أنبذ إلیّ الثوب أو أنبذه إلیک فقد وجب البیع،و بیع الحصاة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نبذت الحصاة فقد وجب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لعلّه کان علی وجهٍ خاصٍّ یکون فیه خطر </w:t>
      </w:r>
      <w:r>
        <w:rPr>
          <w:rStyle w:val="FootnoteAnchor"/>
          <w:rtl w:val="true"/>
        </w:rPr>
        <w:footnoteReference w:id="919"/>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bookmarkStart w:id="352" w:name="pg19861_202465"/>
    </w:p>
    <w:p>
      <w:pPr>
        <w:pStyle w:val="Heading6"/>
        <w:numPr>
          <w:ilvl w:val="5"/>
          <w:numId w:val="1"/>
        </w:numPr>
        <w:rPr/>
      </w:pPr>
      <w:bookmarkStart w:id="353" w:name="__RefHeading___Toc5119107_2314609296"/>
      <w:bookmarkStart w:id="354" w:name="_Toc138"/>
      <w:bookmarkEnd w:id="352"/>
      <w:bookmarkEnd w:id="353"/>
      <w:r>
        <w:rPr>
          <w:rtl w:val="true"/>
        </w:rPr>
        <w:t>[</w:t>
      </w:r>
      <w:r>
        <w:rPr>
          <w:rtl w:val="true"/>
        </w:rPr>
        <w:t>التمسک بالنبوی المذکور أخفی من المدعی</w:t>
      </w:r>
      <w:r>
        <w:rPr>
          <w:rtl w:val="true"/>
        </w:rPr>
        <w:t>]</w:t>
      </w:r>
      <w:bookmarkEnd w:id="354"/>
    </w:p>
    <w:p>
      <w:pPr>
        <w:pStyle w:val="BookText"/>
        <w:rPr/>
      </w:pPr>
      <w:r>
        <w:rPr>
          <w:rFonts w:ascii="IRNazanin" w:hAnsi="IRNazanin" w:eastAsia="IRNazanin"/>
          <w:color w:val="111111"/>
          <w:sz w:val="28"/>
          <w:sz w:val="28"/>
          <w:szCs w:val="28"/>
          <w:rtl w:val="true"/>
          <w:lang w:bidi="fa-IR"/>
        </w:rPr>
        <w:t xml:space="preserve">و کیف کان،فلا إشکال فی صحّة التمسّک لاعتبار القدرة علی التسلیم بالنبویّ المذکور،إلّا أنّه أخصّ من المدّعی؛لأنّ ما یمتنع تسلیمه عادة کالغریق فی بحرٍ یمتنع خروجه منه عادةً و نحوه لیس فی بیعه خطر؛لأنّ الخطر إنّما یطلق فی مقامٍ یحتمل السلامة و لو ضعیفاً، لکنّ هذا الفرد یکفی فی الاستدلال علی بطلانه بلزوم </w:t>
      </w:r>
      <w:r>
        <w:rPr>
          <w:rStyle w:val="FootnoteAnchor"/>
          <w:rtl w:val="true"/>
        </w:rPr>
        <w:footnoteReference w:id="920"/>
      </w:r>
      <w:r>
        <w:rPr>
          <w:rFonts w:ascii="IRNazanin" w:hAnsi="IRNazanin" w:eastAsia="IRNazanin"/>
          <w:color w:val="111111"/>
          <w:sz w:val="28"/>
          <w:sz w:val="28"/>
          <w:szCs w:val="28"/>
          <w:rtl w:val="true"/>
          <w:lang w:bidi="fa-IR"/>
        </w:rPr>
        <w:t>السفاهة و کون أکل الثمن فی مقابله أکلاً للمال بالباطل،بل لا یعدّ مالاً عرفاً و إن کان مِلکاً،فیصحّ عتقه،و یکون لمالکه لو فرض التمکّن منه،إلّا أنّه لا ینافی سلب صفة التموّل عنه عرفاً؛و لذا یجب علی غاصبه ردّ تمام قیمته إلی المالک،فیملکه مع بقاء العین علی ملکه علی ما هو ظاهر المشهور</w:t>
      </w:r>
      <w:r>
        <w:rPr>
          <w:rFonts w:eastAsia="IRNazanin" w:cs="IRNazanin"/>
          <w:color w:val="111111"/>
          <w:sz w:val="28"/>
          <w:szCs w:val="28"/>
          <w:rtl w:val="true"/>
          <w:lang w:bidi="fa-IR"/>
        </w:rPr>
        <w:t>.</w:t>
      </w:r>
    </w:p>
    <w:p>
      <w:pPr>
        <w:pStyle w:val="Heading5"/>
        <w:numPr>
          <w:ilvl w:val="4"/>
          <w:numId w:val="1"/>
        </w:numPr>
        <w:rPr/>
      </w:pPr>
      <w:bookmarkStart w:id="355" w:name="__RefHeading___Toc5119109_2314609296"/>
      <w:bookmarkStart w:id="356" w:name="_Toc139"/>
      <w:bookmarkEnd w:id="355"/>
      <w:r>
        <w:rPr>
          <w:rtl w:val="true"/>
        </w:rPr>
        <w:t>ثمّ إنّه ربما یستدلّ علی هذا الشرط بوجوه أُخر</w:t>
      </w:r>
      <w:r>
        <w:rPr>
          <w:rtl w:val="true"/>
        </w:rPr>
        <w:t>:</w:t>
      </w:r>
      <w:bookmarkEnd w:id="356"/>
    </w:p>
    <w:p>
      <w:pPr>
        <w:pStyle w:val="Heading6"/>
        <w:numPr>
          <w:ilvl w:val="5"/>
          <w:numId w:val="1"/>
        </w:numPr>
        <w:rPr/>
      </w:pPr>
      <w:bookmarkStart w:id="357" w:name="__RefHeading___Toc5119111_2314609296"/>
      <w:bookmarkStart w:id="358" w:name="_Toc140"/>
      <w:bookmarkEnd w:id="357"/>
      <w:r>
        <w:rPr>
          <w:rtl w:val="true"/>
        </w:rPr>
        <w:t>منها</w:t>
      </w:r>
      <w:r>
        <w:rPr>
          <w:rtl w:val="true"/>
        </w:rPr>
        <w:t xml:space="preserve">: </w:t>
      </w:r>
      <w:r>
        <w:rPr>
          <w:rtl w:val="true"/>
        </w:rPr>
        <w:t>ما اشتهر عن النبی صلّی اللّٰه علیه و آله من قوله</w:t>
      </w:r>
      <w:r>
        <w:rPr>
          <w:rtl w:val="true"/>
        </w:rPr>
        <w:t>:«</w:t>
      </w:r>
      <w:r>
        <w:rPr>
          <w:rtl w:val="true"/>
        </w:rPr>
        <w:t>لا تبع ما لیس عندک</w:t>
      </w:r>
      <w:r>
        <w:rPr>
          <w:rtl w:val="true"/>
        </w:rPr>
        <w:t>»</w:t>
      </w:r>
      <w:bookmarkEnd w:id="35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یراد به الحضور؛لجواز بیع الغائب و السلف إجماعاً،فهی کنایة،لا </w:t>
      </w:r>
      <w:r>
        <w:rPr>
          <w:rStyle w:val="FootnoteAnchor"/>
          <w:rtl w:val="true"/>
        </w:rPr>
        <w:footnoteReference w:id="922"/>
      </w:r>
      <w:r>
        <w:rPr>
          <w:rFonts w:ascii="IRNazanin" w:hAnsi="IRNazanin" w:eastAsia="IRNazanin"/>
          <w:color w:val="111111"/>
          <w:sz w:val="28"/>
          <w:sz w:val="28"/>
          <w:szCs w:val="28"/>
          <w:rtl w:val="true"/>
          <w:lang w:bidi="fa-IR"/>
        </w:rPr>
        <w:t>عن مجرّد الملک؛لأنّ المناسب حینئذٍ ذکر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عن مجرّد السلطنة علیه و القدرة علی تسلیمه؛لمنافاته لتمسّک العلماء من الخاصّة و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Style w:val="FootnoteAnchor"/>
          <w:rtl w:val="true"/>
        </w:rPr>
        <w:footnoteReference w:id="9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جواز بیع العین الشخصیة المملوکة للغیر ثمّ شرائها من مالکها،خصوصاً إذا</w:t>
      </w:r>
    </w:p>
    <w:p>
      <w:pPr>
        <w:pStyle w:val="BookText"/>
        <w:rPr/>
      </w:pPr>
      <w:r>
        <w:rPr>
          <w:rFonts w:ascii="IRNazanin" w:hAnsi="IRNazanin" w:eastAsia="IRNazanin"/>
          <w:color w:val="111111"/>
          <w:sz w:val="28"/>
          <w:sz w:val="28"/>
          <w:szCs w:val="28"/>
          <w:rtl w:val="true"/>
          <w:lang w:bidi="fa-IR"/>
        </w:rPr>
        <w:t>کان وکیلاً عنه فی بیعه و لو من نفسه؛فإنّ السلطنة و القدرة علی التسلیم حاصلة هنا،مع أنّه مورد الروایة عند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فتعیّن أن یکون کنایة عن السلطنة التامّة الفعلیّة التی تتوقّف علی الملک مع کونه تحت الید حتّی کأنه عنده و إن کان غائباً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حال،فلا بدّ من إخراج بیع الفضولی عنه بأدلّته،أو بحمله علی النهی المقتضی لفساده بمعنی عدم وقوعه لبائعه لو أراد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کان،فتوجیه الاستدلال بالخبر علی ما نحن فیه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الإیراد علیه بدعوی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به الإشارة إلی ما هو المتعارف فی تلک الأزمنة،من بیع الشیء الغیر المملوک ثمّ تحصیله بشرائه و نحوه و دفعه إلی المشتری،فمدفوع بعدم الشاهد علی اختصاصه بهذا المورد،و لیس فی الأخبار المتضمّنة لنقل هذا الخبر ما یشهد باختصاصه بهذا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غایة ما یدلّ علیه هذا النبویّ بل النبوی الأوّل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البیع،بمعنی عدم کونه علّة تامّة لترتّب الأثر المقصود،فلا ینافی وقوعه مراعی بانتفاء صفة الغرر و تحقّق کونه عنده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أبیت إلّا عن ظهور النبویّین فی الفساد بمعنی لغویّة العقد رأساً المنافیة لوقوعه مراعی،دار الأمر بین ارتکاب خلاف هذا الظاهر، و بین إخراج بیع الرهن،و بیع ما یملکه بعد البیع و بیع العبد الجانی عمداً و بیع المحجور لرقٍّ أو سفهٍ أو فلس،فإنّ البائع فی هذه الموارد عاجز شرعاً عن التسلیم،و لا رجحان لهذه التخصیصات،فحینئذٍ لا مانع عن التزام وقوع بیع کلّ ما یعجز عن تسلیمه مع رجاء التمکّن منه مراعی</w:t>
      </w:r>
      <w:bookmarkStart w:id="359" w:name="pg19861_202467"/>
    </w:p>
    <w:p>
      <w:pPr>
        <w:pStyle w:val="BookText"/>
        <w:rPr/>
      </w:pPr>
      <w:bookmarkEnd w:id="359"/>
      <w:r>
        <w:rPr>
          <w:rFonts w:ascii="IRNazanin" w:hAnsi="IRNazanin" w:eastAsia="IRNazanin"/>
          <w:color w:val="111111"/>
          <w:sz w:val="28"/>
          <w:sz w:val="28"/>
          <w:szCs w:val="28"/>
          <w:rtl w:val="true"/>
          <w:lang w:bidi="fa-IR"/>
        </w:rPr>
        <w:t>بالتمکّن منه فی زمانٍ لا یفوت الانتفاع المعتدّ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صرّح الشهید فی اللمعة بجواز بیع الضالّ و المجحود من غیر إباقٍ مراعیً بإمکان التسلیم </w:t>
      </w:r>
      <w:r>
        <w:rPr>
          <w:rStyle w:val="FootnoteAnchor"/>
          <w:rtl w:val="true"/>
        </w:rPr>
        <w:footnoteReference w:id="924"/>
      </w:r>
      <w:r>
        <w:rPr>
          <w:rFonts w:ascii="IRNazanin" w:hAnsi="IRNazanin" w:eastAsia="IRNazanin"/>
          <w:color w:val="111111"/>
          <w:sz w:val="28"/>
          <w:sz w:val="28"/>
          <w:szCs w:val="28"/>
          <w:rtl w:val="true"/>
          <w:lang w:bidi="fa-IR"/>
        </w:rPr>
        <w:t xml:space="preserve">،و احتمله فی التذکرة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الظاهر من حال الفقهاء اتّفاقهم علی فساد بیع الغرر بمعنی عدم تأثیره رأساً،کما عرفت من الإیضاح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0" w:name="__RefHeading___Toc5119113_2314609296"/>
      <w:bookmarkStart w:id="361" w:name="_Toc141"/>
      <w:bookmarkEnd w:id="360"/>
      <w:r>
        <w:rPr>
          <w:rtl w:val="true"/>
        </w:rPr>
        <w:t>و منها</w:t>
      </w:r>
      <w:r>
        <w:rPr>
          <w:rtl w:val="true"/>
        </w:rPr>
        <w:t xml:space="preserve">: </w:t>
      </w:r>
      <w:r>
        <w:rPr>
          <w:rtl w:val="true"/>
        </w:rPr>
        <w:t>أنّ لازم العقد وجوب تسلیم کلٍّ من المتبایعین العوضین إلی صاحبه،</w:t>
      </w:r>
      <w:bookmarkEnd w:id="361"/>
    </w:p>
    <w:p>
      <w:pPr>
        <w:pStyle w:val="BookText"/>
        <w:rPr/>
      </w:pPr>
      <w:r>
        <w:rPr>
          <w:rFonts w:ascii="IRNazanin" w:hAnsi="IRNazanin" w:eastAsia="IRNazanin"/>
          <w:color w:val="111111"/>
          <w:sz w:val="28"/>
          <w:sz w:val="28"/>
          <w:szCs w:val="28"/>
          <w:rtl w:val="true"/>
          <w:lang w:bidi="fa-IR"/>
        </w:rPr>
        <w:t xml:space="preserve">فیجب أن یکون مقدوراً؛لاستحالة التکلیف بالممتنع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یضعّف بأنّه إن أُرید أنّ لازم العقد وجوب التسلیم وجوباً مطلقاً،منعنا الملازمة،و إن أُرید مطلق وجوبه،فلا ینافی کونه مشروطاً بالتمکّن،کما لو تجدّد العجز بعد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یعترض بأصالة عدم تقیّد الوجوب،ثمّ یدفع بمعارضته بأصالة عدم تقیّد البیع بهذا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الاعتراض و المعارضة نظر واضح،فافهم</w:t>
      </w:r>
      <w:r>
        <w:rPr>
          <w:rFonts w:eastAsia="IRNazanin" w:cs="IRNazanin"/>
          <w:color w:val="111111"/>
          <w:sz w:val="28"/>
          <w:szCs w:val="28"/>
          <w:rtl w:val="true"/>
          <w:lang w:bidi="fa-IR"/>
        </w:rPr>
        <w:t>.</w:t>
      </w:r>
    </w:p>
    <w:p>
      <w:pPr>
        <w:pStyle w:val="Heading6"/>
        <w:numPr>
          <w:ilvl w:val="5"/>
          <w:numId w:val="1"/>
        </w:numPr>
        <w:rPr/>
      </w:pPr>
      <w:bookmarkStart w:id="362" w:name="__RefHeading___Toc5119115_2314609296"/>
      <w:bookmarkStart w:id="363" w:name="_Toc142"/>
      <w:bookmarkEnd w:id="362"/>
      <w:r>
        <w:rPr>
          <w:rtl w:val="true"/>
        </w:rPr>
        <w:t>و منها</w:t>
      </w:r>
      <w:r>
        <w:rPr>
          <w:rtl w:val="true"/>
        </w:rPr>
        <w:t xml:space="preserve">: </w:t>
      </w:r>
      <w:r>
        <w:rPr>
          <w:rtl w:val="true"/>
        </w:rPr>
        <w:t>أنّ الغرض من البیع انتفاع کلٍّ منهما بما یصیر إلیه،</w:t>
      </w:r>
      <w:bookmarkEnd w:id="363"/>
    </w:p>
    <w:p>
      <w:pPr>
        <w:pStyle w:val="BookText"/>
        <w:rPr/>
      </w:pPr>
      <w:r>
        <w:rPr>
          <w:rFonts w:ascii="Amiri" w:hAnsi="Amiri" w:eastAsia="Amiri" w:cs="Amiri"/>
          <w:color w:val="111111"/>
          <w:sz w:val="28"/>
          <w:sz w:val="28"/>
          <w:szCs w:val="28"/>
          <w:rtl w:val="true"/>
          <w:lang w:bidi="ar-SA"/>
        </w:rPr>
        <w:t>و لا یتمّ إلّا بالتسلیم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توقّف مطلق الانتفاع علی التسلیم،بل منع عدم کون الغرض منه إلّا الانتفاع بعد التسلیم لا الانتفاع المطلق</w:t>
      </w:r>
      <w:r>
        <w:rPr>
          <w:rFonts w:eastAsia="IRNazanin" w:cs="IRNazanin"/>
          <w:color w:val="111111"/>
          <w:sz w:val="28"/>
          <w:szCs w:val="28"/>
          <w:rtl w:val="true"/>
          <w:lang w:bidi="fa-IR"/>
        </w:rPr>
        <w:t>.</w:t>
      </w:r>
      <w:bookmarkStart w:id="364" w:name="pg19861_202468"/>
    </w:p>
    <w:p>
      <w:pPr>
        <w:pStyle w:val="Heading6"/>
        <w:numPr>
          <w:ilvl w:val="5"/>
          <w:numId w:val="1"/>
        </w:numPr>
        <w:rPr/>
      </w:pPr>
      <w:bookmarkStart w:id="365" w:name="__RefHeading___Toc5119117_2314609296"/>
      <w:bookmarkStart w:id="366" w:name="_Toc143"/>
      <w:bookmarkEnd w:id="364"/>
      <w:bookmarkEnd w:id="365"/>
      <w:r>
        <w:rPr>
          <w:rtl w:val="true"/>
        </w:rPr>
        <w:t>و منها</w:t>
      </w:r>
      <w:r>
        <w:rPr>
          <w:rtl w:val="true"/>
        </w:rPr>
        <w:t xml:space="preserve">: </w:t>
      </w:r>
      <w:r>
        <w:rPr>
          <w:rtl w:val="true"/>
        </w:rPr>
        <w:t>أنّ بذل الثمن علی غیر المقدور سفهٌ،</w:t>
      </w:r>
      <w:bookmarkEnd w:id="366"/>
    </w:p>
    <w:p>
      <w:pPr>
        <w:pStyle w:val="BookText"/>
        <w:rPr/>
      </w:pPr>
      <w:r>
        <w:rPr>
          <w:rFonts w:ascii="IRNazanin" w:hAnsi="IRNazanin" w:eastAsia="IRNazanin"/>
          <w:color w:val="111111"/>
          <w:sz w:val="28"/>
          <w:sz w:val="28"/>
          <w:szCs w:val="28"/>
          <w:rtl w:val="true"/>
          <w:lang w:bidi="fa-IR"/>
        </w:rPr>
        <w:t>فیکون ممنوعاً و أکله أکلاً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بذل المال القلیل فی مقابل المال الکثیر المحتمل الحصول لیس سفهاً،بل ترکه اعتذاراً بعدم العلم بحصول العوض </w:t>
      </w:r>
      <w:r>
        <w:rPr>
          <w:rStyle w:val="FootnoteAnchor"/>
          <w:rtl w:val="true"/>
        </w:rPr>
        <w:footnoteReference w:id="928"/>
      </w:r>
      <w:r>
        <w:rPr>
          <w:rFonts w:ascii="Amiri" w:hAnsi="Amiri" w:eastAsia="Amiri" w:cs="Amiri"/>
          <w:color w:val="111111"/>
          <w:sz w:val="28"/>
          <w:sz w:val="28"/>
          <w:szCs w:val="28"/>
          <w:rtl w:val="true"/>
          <w:lang w:bidi="ar-SA"/>
        </w:rPr>
        <w:t>سفهٌ،فافهم</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5119119_2314609296"/>
      <w:bookmarkStart w:id="368" w:name="_Toc144"/>
      <w:bookmarkEnd w:id="367"/>
      <w:r>
        <w:rPr>
          <w:rtl w:val="true"/>
        </w:rPr>
        <w:t>[</w:t>
      </w:r>
      <w:r>
        <w:rPr>
          <w:rtl w:val="true"/>
        </w:rPr>
        <w:t>هل القدرة شرط أو العجز مانع</w:t>
      </w:r>
      <w:r>
        <w:rPr>
          <w:rtl w:val="true"/>
        </w:rPr>
        <w:t>]</w:t>
      </w:r>
      <w:bookmarkEnd w:id="368"/>
    </w:p>
    <w:p>
      <w:pPr>
        <w:pStyle w:val="Heading6"/>
        <w:numPr>
          <w:ilvl w:val="5"/>
          <w:numId w:val="1"/>
        </w:numPr>
        <w:rPr/>
      </w:pPr>
      <w:bookmarkStart w:id="369" w:name="__RefHeading___Toc5119121_2314609296"/>
      <w:bookmarkStart w:id="370" w:name="_Toc145"/>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 xml:space="preserve">ثمّ إنّ ظاهر معاقد الإجماعات کما عرفت کون القدرة شرطاً، کما هو کذلک فی التکالیف،و قد أُکّد الشرطیّة فی عبارة الغنیة المتقدّمة </w:t>
      </w:r>
      <w:r>
        <w:rPr>
          <w:rStyle w:val="FootnoteAnchor"/>
          <w:rtl w:val="true"/>
        </w:rPr>
        <w:footnoteReference w:id="929"/>
      </w:r>
      <w:r>
        <w:rPr>
          <w:rFonts w:ascii="IRNazanin" w:hAnsi="IRNazanin" w:eastAsia="IRNazanin"/>
          <w:color w:val="111111"/>
          <w:sz w:val="28"/>
          <w:sz w:val="28"/>
          <w:szCs w:val="28"/>
          <w:rtl w:val="true"/>
          <w:lang w:bidi="fa-IR"/>
        </w:rPr>
        <w:t>، حیث حکم بعدم جواز بیع ما لا یمکن فیه التسلیم،فینتفی المشروط عند انتفاء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کلّه</w:t>
      </w:r>
    </w:p>
    <w:p>
      <w:pPr>
        <w:pStyle w:val="Heading6"/>
        <w:numPr>
          <w:ilvl w:val="5"/>
          <w:numId w:val="1"/>
        </w:numPr>
        <w:rPr/>
      </w:pPr>
      <w:bookmarkStart w:id="371" w:name="__RefHeading___Toc5119123_2314609296"/>
      <w:bookmarkStart w:id="372" w:name="_Toc146"/>
      <w:bookmarkEnd w:id="371"/>
      <w:r>
        <w:rPr>
          <w:rtl w:val="true"/>
        </w:rPr>
        <w:t>[</w:t>
      </w:r>
      <w:r>
        <w:rPr>
          <w:rtl w:val="true"/>
        </w:rPr>
        <w:t>المناقشة فیما استظهره صاحب الجواهر</w:t>
      </w:r>
      <w:r>
        <w:rPr>
          <w:rtl w:val="true"/>
        </w:rPr>
        <w:t>]</w:t>
      </w:r>
      <w:bookmarkEnd w:id="372"/>
    </w:p>
    <w:p>
      <w:pPr>
        <w:pStyle w:val="BookText"/>
        <w:rPr/>
      </w:pPr>
      <w:r>
        <w:rPr>
          <w:rFonts w:ascii="IRNazanin" w:hAnsi="IRNazanin" w:eastAsia="IRNazanin"/>
          <w:color w:val="111111"/>
          <w:sz w:val="28"/>
          <w:sz w:val="28"/>
          <w:szCs w:val="28"/>
          <w:rtl w:val="true"/>
          <w:lang w:bidi="fa-IR"/>
        </w:rPr>
        <w:t xml:space="preserve">فقد استظهر بعضٌ </w:t>
      </w:r>
      <w:r>
        <w:rPr>
          <w:rStyle w:val="FootnoteAnchor"/>
          <w:rtl w:val="true"/>
        </w:rPr>
        <w:footnoteReference w:id="930"/>
      </w:r>
      <w:r>
        <w:rPr>
          <w:rFonts w:ascii="IRNazanin" w:hAnsi="IRNazanin" w:eastAsia="IRNazanin"/>
          <w:color w:val="111111"/>
          <w:sz w:val="28"/>
          <w:sz w:val="28"/>
          <w:szCs w:val="28"/>
          <w:rtl w:val="true"/>
          <w:lang w:bidi="fa-IR"/>
        </w:rPr>
        <w:t>من تلک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العجز مانعٌ،لا أنّ القدرة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الثمرة فی موضع الشکّ،ثمّ ذکر اختلاف الأصحاب فی مسألة الضالّ و الضالّة،و جعله دلیلاً علی أنّ القدر المتّفق علیه ما إذا تحقّق العجز</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مع </w:t>
      </w:r>
      <w:r>
        <w:rPr>
          <w:rStyle w:val="FootnoteAnchor"/>
          <w:rtl w:val="true"/>
        </w:rPr>
        <w:footnoteReference w:id="931"/>
      </w:r>
      <w:r>
        <w:rPr>
          <w:rFonts w:ascii="IRNazanin" w:hAnsi="IRNazanin" w:eastAsia="IRNazanin"/>
          <w:color w:val="111111"/>
          <w:sz w:val="28"/>
          <w:sz w:val="28"/>
          <w:szCs w:val="28"/>
          <w:rtl w:val="true"/>
          <w:lang w:bidi="fa-IR"/>
        </w:rPr>
        <w:t>ما عرفت من أنّ صریح معاقد الإجماع،خصوصاً عبارة الغنیة المتأکّدة بالتصریح بالانتفاء عند الانتفاء،هی شرطیّة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العجز أمرٌ عدمیّ؛لأنّه عدم القدرة عمّن من شأنه صنفاً أو نوعاً أو جنساً أن یقدر،فکیف یکون مانعاً؟مع أنّ المانع هو الأمر الوجودی الذی یلزم من وجوده العدم؟ثمّ لو سلّم صحّة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لا ثمرة فیه،لا فی صورة الشکّ الموضوعی أو الحکمی،</w:t>
      </w:r>
      <w:bookmarkStart w:id="373" w:name="pg19861_202469"/>
    </w:p>
    <w:p>
      <w:pPr>
        <w:pStyle w:val="BookText"/>
        <w:rPr/>
      </w:pPr>
      <w:bookmarkEnd w:id="373"/>
      <w:r>
        <w:rPr>
          <w:rFonts w:ascii="IRNazanin" w:hAnsi="IRNazanin" w:eastAsia="IRNazanin"/>
          <w:color w:val="111111"/>
          <w:sz w:val="28"/>
          <w:sz w:val="28"/>
          <w:szCs w:val="28"/>
          <w:rtl w:val="true"/>
          <w:lang w:bidi="fa-IR"/>
        </w:rPr>
        <w:t xml:space="preserve">و لا فی غیرهما؛فإنّا إذا شککنا فی تحقّق القدرة و العجز مع سبق القدرة فالأصل بقاؤها،أو لا معه فالأصل عدمها أعنی العجز سواء جعل القدرة شرطاً أو العجز مانعاً،و إذا شککنا فی أنّ الخارج عن عمومات الصحّة هو العجز المستمرّ أو العجز فی الجملة أو شککنا فی أنّ المراد بالعجز ما یعمّ التعسّر کما حکی </w:t>
      </w:r>
      <w:r>
        <w:rPr>
          <w:rStyle w:val="FootnoteAnchor"/>
          <w:rtl w:val="true"/>
        </w:rPr>
        <w:footnoteReference w:id="932"/>
      </w:r>
      <w:r>
        <w:rPr>
          <w:rFonts w:ascii="IRNazanin" w:hAnsi="IRNazanin" w:eastAsia="IRNazanin"/>
          <w:color w:val="111111"/>
          <w:sz w:val="28"/>
          <w:sz w:val="28"/>
          <w:szCs w:val="28"/>
          <w:rtl w:val="true"/>
          <w:lang w:bidi="fa-IR"/>
        </w:rPr>
        <w:t>أم خصوص التعذّر،فاللازم التمسّک بعمومات الصحّة من غیر فرقٍ بین تسمیة القدرة شرطاً أو العجز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التردّد بین شرطیّة الشیء و مانعیّة مقابله إنّما یصحّ و یثمر فی الضدّین مثل الفسق و العدالة،لا فیما نحن فیه و شبهه کالعلم و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اختلاف الأصحاب فی مسألة الضالّ و الضالّة فلیس لشکّ المالک فی القدرة و العجز،و مبنیّاً علی کون القدرة شرطاً أو العجز مانعاً کما یظهر من أدلّتهم علی الصحّة و الفساد بل لما سیجیء عند التعرّض لحکمها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 w:name="__RefHeading___Toc5119125_2314609296"/>
      <w:bookmarkStart w:id="375" w:name="_Toc147"/>
      <w:bookmarkEnd w:id="374"/>
      <w:r>
        <w:rPr>
          <w:rtl w:val="true"/>
        </w:rPr>
        <w:t>[</w:t>
      </w:r>
      <w:r>
        <w:rPr>
          <w:rtl w:val="true"/>
        </w:rPr>
        <w:t>العبرة بالقدرة فی زمان الاستحقاق</w:t>
      </w:r>
      <w:r>
        <w:rPr>
          <w:rtl w:val="true"/>
        </w:rPr>
        <w:t>]</w:t>
      </w:r>
      <w:bookmarkEnd w:id="37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العبرة فی الشرط المذکور إنّما هو فی زمان استحقاق التسلیم،فلا ینفع وجودها حال العقد إذا علم بعدمها حال استحقاق التسلیم؛کما لا یقدح عدمها قبل الاستحقاق و لو حین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یتفرّع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اعتبارها أصلاً إذا کانت العین فی ید المشتری،و فیما لم </w:t>
      </w:r>
      <w:r>
        <w:rPr>
          <w:rStyle w:val="FootnoteAnchor"/>
          <w:rtl w:val="true"/>
        </w:rPr>
        <w:footnoteReference w:id="934"/>
      </w:r>
      <w:r>
        <w:rPr>
          <w:rFonts w:ascii="IRNazanin" w:hAnsi="IRNazanin" w:eastAsia="IRNazanin"/>
          <w:color w:val="111111"/>
          <w:sz w:val="28"/>
          <w:sz w:val="28"/>
          <w:szCs w:val="28"/>
          <w:rtl w:val="true"/>
          <w:lang w:bidi="fa-IR"/>
        </w:rPr>
        <w:t>یعتبر التسلیم فیه رأساً،کما إذا اشتری من ینعتق علیه،فإنّه ینعتق</w:t>
      </w:r>
    </w:p>
    <w:p>
      <w:pPr>
        <w:pStyle w:val="BookText"/>
        <w:rPr/>
      </w:pPr>
      <w:r>
        <w:rPr>
          <w:rFonts w:ascii="IRNazanin" w:hAnsi="IRNazanin" w:eastAsia="IRNazanin"/>
          <w:color w:val="111111"/>
          <w:sz w:val="28"/>
          <w:sz w:val="28"/>
          <w:szCs w:val="28"/>
          <w:rtl w:val="true"/>
          <w:lang w:bidi="fa-IR"/>
        </w:rPr>
        <w:t>بمجرّد الشراء و لا سبیل لأحدٍ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إذا لم یستحقّ التسلیم بمجرّد العقد،إمّا لاشتراط تأخیره مدّة،و إمّا لتزلزل العقد کما إذا اشتری فضولاً؛فإنّه لا یستحقّ التسلیم إلّا بعد إجازة المالک،فلا یعتبر القدرة علی التسلیم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یشکل علی الکشف،من حیث إنّه لازمٌ من طرف الأصیل،فیتحقّق الغَرَر بالنسبة إلیه إذا انتقل إلیه ما لا </w:t>
      </w:r>
      <w:r>
        <w:rPr>
          <w:rStyle w:val="FootnoteAnchor"/>
          <w:rtl w:val="true"/>
        </w:rPr>
        <w:footnoteReference w:id="935"/>
      </w:r>
      <w:r>
        <w:rPr>
          <w:rFonts w:ascii="IRNazanin" w:hAnsi="IRNazanin" w:eastAsia="IRNazanin"/>
          <w:color w:val="111111"/>
          <w:sz w:val="28"/>
          <w:sz w:val="28"/>
          <w:szCs w:val="28"/>
          <w:rtl w:val="true"/>
          <w:lang w:bidi="fa-IR"/>
        </w:rPr>
        <w:t>یقدر علی تحصیله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نعم،هو حسنٌ فی الفضولی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بیع الرهن قبل إجازة المرتهن أو فکّه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کذا لو لم یقدر علی تسلیم ثمن السلَم؛لأنّ تأثیر العقد قبل التسلیم فی المجلس موقوف علی تحقّقه فلا یلزم 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تعذّر التسلیم بعد العقد رجع إلی تعذّر الشرط،و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تعذّر الشرط المتأخّر حال العقد غیر قادح، بل لا یقدح العلم بتعذّره فیما بعده فی تأثیر العقد إذا اتّفق حصوله،فإنّ الشروط المتأخّرة لا یجب إحرازها حال العقد و لا العلم بتحقّقها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تعذّر التسلیم مانعٌ فی بیعٍ یکون التسلیم من أحکامه،لا من شروط تأثیره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التسلیم فیه جزء الناقل،فلا یلزم غررٌ من تعلّقه بغیر المقدور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الاعتبار بالقدرة علی التسلیم بعد تمام الناقل </w:t>
      </w:r>
      <w:r>
        <w:rPr>
          <w:rStyle w:val="FootnoteAnchor"/>
          <w:rtl w:val="true"/>
        </w:rPr>
        <w:footnoteReference w:id="936"/>
      </w:r>
      <w:r>
        <w:rPr>
          <w:rFonts w:ascii="IRNazanin" w:hAnsi="IRNazanin" w:eastAsia="IRNazanin"/>
          <w:color w:val="111111"/>
          <w:sz w:val="28"/>
          <w:sz w:val="28"/>
          <w:szCs w:val="28"/>
          <w:rtl w:val="true"/>
          <w:lang w:bidi="fa-IR"/>
        </w:rPr>
        <w:t>، و لهذا لا یقدح کونه عاجزاً قبل القبول إذا علم بتجدّد القدرة بعده، و المفروض أنّ المبیع بعد تحقّق الجزء الأخیر من الناقل و هو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فی ید المشتری؛فالقبض مثل الإجازة بناءً علی النقل،و أولی منها بناءً علی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الکلام فی عقد الرهن،فإنّ اشتراط القدرة علی التسلیم فیه بناءً علی اشتراط القبض إنّما هو من حیث اشتراط القبض،فلا یجب </w:t>
      </w:r>
      <w:r>
        <w:rPr>
          <w:rStyle w:val="FootnoteAnchor"/>
          <w:rtl w:val="true"/>
        </w:rPr>
        <w:footnoteReference w:id="937"/>
      </w:r>
      <w:r>
        <w:rPr>
          <w:rFonts w:ascii="IRNazanin" w:hAnsi="IRNazanin" w:eastAsia="IRNazanin"/>
          <w:color w:val="111111"/>
          <w:sz w:val="28"/>
          <w:sz w:val="28"/>
          <w:szCs w:val="28"/>
          <w:rtl w:val="true"/>
          <w:lang w:bidi="fa-IR"/>
        </w:rPr>
        <w:t>إحرازه حین الرهن و لا العلم بتحقّقه بعده،فلو رهن ما یتعذّر تسلیمه ثمّ اتّفق حصوله فی ید المرتهن أثّر العقد أثره،و سیجیء الکلام فی باب الرهن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المنفیّ فی النبویّ </w:t>
      </w:r>
      <w:r>
        <w:rPr>
          <w:rStyle w:val="FootnoteAnchor"/>
          <w:rtl w:val="true"/>
        </w:rPr>
        <w:footnoteReference w:id="938"/>
      </w:r>
      <w:r>
        <w:rPr>
          <w:rFonts w:ascii="IRNazanin" w:hAnsi="IRNazanin" w:eastAsia="IRNazanin"/>
          <w:color w:val="111111"/>
          <w:sz w:val="28"/>
          <w:sz w:val="28"/>
          <w:szCs w:val="28"/>
          <w:rtl w:val="true"/>
          <w:lang w:bidi="fa-IR"/>
        </w:rPr>
        <w:t>هو کلّ معاملة تکون بحسب العرف غرراً،فالبیع المشروط فیه القبض کالصرْف و السلَم إذا وقع علی عوضٍ مجهولٍ قبل القبض أو غیر مقدورٍ،غررٌ عرفاً؛لأنّ اشتراط القبض فی نقل العوضین شرعیٌّ لا عرفیّ،فیصدق الغرر و الخطر عرفاً و إن لم یتحقّق شرعاً؛إذ قبل التسلیم لا انتقال و بعده لا خطر، لکن النهی و الفساد یتبعان بیع الغرر عرفاً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یمکن الحکم بفساد بیع غیر المالک إذا باع لنفسه لا عن المالک ما لا یقدر علی 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إلّا أن یمنع الغرر العرفیّ بعد الاطّلاع علی کون أثر </w:t>
      </w:r>
      <w:r>
        <w:rPr>
          <w:rStyle w:val="FootnoteAnchor"/>
          <w:rtl w:val="true"/>
        </w:rPr>
        <w:footnoteReference w:id="939"/>
      </w:r>
      <w:r>
        <w:rPr>
          <w:rFonts w:ascii="IRNazanin" w:hAnsi="IRNazanin" w:eastAsia="IRNazanin"/>
          <w:color w:val="111111"/>
          <w:sz w:val="28"/>
          <w:sz w:val="28"/>
          <w:szCs w:val="28"/>
          <w:rtl w:val="true"/>
          <w:lang w:bidi="fa-IR"/>
        </w:rPr>
        <w:t>المعاملة شرعاً علی وجه لا یلزم منه خطر، فإنّ العرف إذا اطّلعوا علی انعتاق القریب بمجرّد شرائه لم یحکموا بالخطر أصلاً،و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فالمناط صدق الغرر عرفاً بعد ملاحظة الآثار الشرعیّة للمعاملة،فتأمّل</w:t>
      </w:r>
      <w:r>
        <w:rPr>
          <w:rFonts w:eastAsia="IRNazanin" w:cs="IRNazanin"/>
          <w:color w:val="111111"/>
          <w:sz w:val="28"/>
          <w:szCs w:val="28"/>
          <w:rtl w:val="true"/>
          <w:lang w:bidi="fa-IR"/>
        </w:rPr>
        <w:t>.</w:t>
      </w:r>
      <w:bookmarkStart w:id="376" w:name="pg19861_202472"/>
    </w:p>
    <w:p>
      <w:pPr>
        <w:pStyle w:val="BookText"/>
        <w:rPr/>
      </w:pPr>
      <w:bookmarkEnd w:id="376"/>
      <w:r>
        <w:rPr>
          <w:rFonts w:ascii="IRNazanin" w:hAnsi="IRNazanin" w:eastAsia="IRNazanin"/>
          <w:color w:val="111111"/>
          <w:sz w:val="28"/>
          <w:sz w:val="28"/>
          <w:szCs w:val="28"/>
          <w:rtl w:val="true"/>
          <w:lang w:bidi="fa-IR"/>
        </w:rPr>
        <w:t>ثمّ إنّ الخلاف فی أصل المسألة لم یظهر إلّا من الفاضل القطیفی المعاصر للمحقّق الثانی،حیث حکی عنه أنّه قال فی إیضاح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القدرة علی التسلیم من مصالح المشتری فقط،لا أنّها شرطٌ فی أصل صحّة البیع،فلو قدر علی التسلّم صحّ البیع و إن لم یکن البائع قادراً علیه،بل لو رضی بالابتیاع مع علمه بعدم تمکّن البائع من </w:t>
      </w:r>
      <w:r>
        <w:rPr>
          <w:rStyle w:val="FootnoteAnchor"/>
          <w:rtl w:val="true"/>
        </w:rPr>
        <w:footnoteReference w:id="940"/>
      </w:r>
      <w:r>
        <w:rPr>
          <w:rFonts w:ascii="IRNazanin" w:hAnsi="IRNazanin" w:eastAsia="IRNazanin"/>
          <w:color w:val="111111"/>
          <w:sz w:val="28"/>
          <w:sz w:val="28"/>
          <w:szCs w:val="28"/>
          <w:rtl w:val="true"/>
          <w:lang w:bidi="fa-IR"/>
        </w:rPr>
        <w:t>التسلیم جاز و ینتقل إلیه،و لا یرجع علی البائع؛لعدم القدرة إذا کان البیع علی ذلک مع العلم،فیصحّ بیع المغصوب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لم یکن المبیع من شأنه أن یُقبض عرفاً لم یصحّ المعاوضة علیه بالبیع؛لأنّه فی معنی أکل مالٍ بالباطل،و ربما احتمل إمکان المصالحة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 یعنی المحقّق فی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الآبقَ منفرداً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هو مع عدم رضا المشتری،أو مع عدم علمه،أو کونه بحیث لا یتمکّن منه عرفاً،و لو أراد غیر ذلک فهو غیر مسلّم </w:t>
      </w:r>
      <w:r>
        <w:rPr>
          <w:rStyle w:val="FootnoteAnchor"/>
          <w:rtl w:val="true"/>
        </w:rPr>
        <w:footnoteReference w:id="94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 من الإجماع،و لزوم الغرر الغیر المندفع بعلم المشتری؛لأنّ الشارع نهی عن الإقدام علیه،إلّا أن یجعل الغرر هنا بمعنی الخدیعة،فیبطل فی موضع تحقّقه،و هو عند جهل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ما فیه</w:t>
      </w:r>
      <w:r>
        <w:rPr>
          <w:rFonts w:eastAsia="IRNazanin" w:cs="IRNazanin"/>
          <w:color w:val="111111"/>
          <w:sz w:val="28"/>
          <w:szCs w:val="28"/>
          <w:rtl w:val="true"/>
          <w:lang w:bidi="fa-IR"/>
        </w:rPr>
        <w:t>.</w:t>
      </w:r>
    </w:p>
    <w:p>
      <w:pPr>
        <w:pStyle w:val="Heading5"/>
        <w:numPr>
          <w:ilvl w:val="4"/>
          <w:numId w:val="1"/>
        </w:numPr>
        <w:rPr/>
      </w:pPr>
      <w:bookmarkStart w:id="377" w:name="__RefHeading___Toc5119127_2314609296"/>
      <w:bookmarkStart w:id="378" w:name="_Toc148"/>
      <w:bookmarkEnd w:id="377"/>
      <w:r>
        <w:rPr>
          <w:rtl w:val="true"/>
        </w:rPr>
        <w:t>[</w:t>
      </w:r>
      <w:r>
        <w:rPr>
          <w:rtl w:val="true"/>
        </w:rPr>
        <w:t>القدرة علی التسلیم شرط بالتبع و المقصد الأصلی هو التسلم</w:t>
      </w:r>
      <w:r>
        <w:rPr>
          <w:rtl w:val="true"/>
        </w:rPr>
        <w:t>]</w:t>
      </w:r>
      <w:bookmarkEnd w:id="37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الظاهر کما اعترف به بعض الأساطین </w:t>
      </w:r>
      <w:r>
        <w:rPr>
          <w:rStyle w:val="FootnoteAnchor"/>
          <w:rtl w:val="true"/>
        </w:rPr>
        <w:footnoteReference w:id="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القدرة علی التسلیم لیست مقصودة بالاشتراط إلّا بالتبع،و إنّما المقصد الأصلی هو</w:t>
      </w:r>
    </w:p>
    <w:p>
      <w:pPr>
        <w:pStyle w:val="BookText"/>
        <w:rPr/>
      </w:pPr>
      <w:r>
        <w:rPr>
          <w:rFonts w:ascii="IRNazanin" w:hAnsi="IRNazanin" w:eastAsia="IRNazanin"/>
          <w:color w:val="111111"/>
          <w:sz w:val="28"/>
          <w:sz w:val="28"/>
          <w:szCs w:val="28"/>
          <w:rtl w:val="true"/>
          <w:lang w:bidi="fa-IR"/>
        </w:rPr>
        <w:t xml:space="preserve">التسلّم،و من هنا لو کان المشتری قادراً دون البائع کفی فی الصحّة،کما عن الإسکافی </w:t>
      </w:r>
      <w:r>
        <w:rPr>
          <w:rStyle w:val="FootnoteAnchor"/>
          <w:rtl w:val="true"/>
        </w:rPr>
        <w:footnoteReference w:id="943"/>
      </w:r>
      <w:r>
        <w:rPr>
          <w:rFonts w:ascii="Amiri" w:hAnsi="Amiri" w:eastAsia="Amiri" w:cs="Amiri"/>
          <w:color w:val="111111"/>
          <w:sz w:val="28"/>
          <w:sz w:val="28"/>
          <w:szCs w:val="28"/>
          <w:rtl w:val="true"/>
          <w:lang w:bidi="ar-SA"/>
        </w:rPr>
        <w:t xml:space="preserve">و العلّامة </w:t>
      </w:r>
      <w:r>
        <w:rPr>
          <w:rStyle w:val="FootnoteAnchor"/>
          <w:rtl w:val="true"/>
        </w:rPr>
        <w:footnoteReference w:id="944"/>
      </w:r>
      <w:r>
        <w:rPr>
          <w:rFonts w:ascii="IRNazanin" w:hAnsi="IRNazanin" w:eastAsia="IRNazanin"/>
          <w:color w:val="111111"/>
          <w:sz w:val="28"/>
          <w:sz w:val="28"/>
          <w:szCs w:val="28"/>
          <w:rtl w:val="true"/>
          <w:lang w:bidi="fa-IR"/>
        </w:rPr>
        <w:t xml:space="preserve">و کاشف الرموز </w:t>
      </w:r>
      <w:r>
        <w:rPr>
          <w:rStyle w:val="FootnoteAnchor"/>
          <w:rtl w:val="true"/>
        </w:rPr>
        <w:footnoteReference w:id="945"/>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946"/>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ظاهر الانتصار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صحّة بیع الآبق علی من یقدر علی تسلّمه ممّا انفردت به الإمامیّة </w:t>
      </w:r>
      <w:r>
        <w:rPr>
          <w:rStyle w:val="FootnoteAnchor"/>
          <w:rtl w:val="true"/>
        </w:rPr>
        <w:footnoteReference w:id="948"/>
      </w:r>
      <w:r>
        <w:rPr>
          <w:rFonts w:ascii="IRNazanin" w:hAnsi="IRNazanin" w:eastAsia="IRNazanin"/>
          <w:color w:val="111111"/>
          <w:sz w:val="28"/>
          <w:sz w:val="28"/>
          <w:szCs w:val="28"/>
          <w:rtl w:val="true"/>
          <w:lang w:bidi="fa-IR"/>
        </w:rPr>
        <w:t xml:space="preserve">،و هو المتّجه؛لأنّ ظاهر معاقد الإجماع بضمیمة التتبّع فی کلماتهم و فی استدلالهم </w:t>
      </w:r>
      <w:r>
        <w:rPr>
          <w:rStyle w:val="FootnoteAnchor"/>
          <w:rtl w:val="true"/>
        </w:rPr>
        <w:footnoteReference w:id="949"/>
      </w:r>
      <w:r>
        <w:rPr>
          <w:rFonts w:ascii="IRNazanin" w:hAnsi="IRNazanin" w:eastAsia="IRNazanin"/>
          <w:color w:val="111111"/>
          <w:sz w:val="28"/>
          <w:sz w:val="28"/>
          <w:szCs w:val="28"/>
          <w:rtl w:val="true"/>
          <w:lang w:bidi="fa-IR"/>
        </w:rPr>
        <w:t>بالغرر و غیره مختصّ بغیر ذلک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یعلم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Style w:val="FootnoteAnchor"/>
          <w:rtl w:val="true"/>
        </w:rPr>
        <w:footnoteReference w:id="950"/>
      </w:r>
      <w:r>
        <w:rPr>
          <w:rFonts w:ascii="IRNazanin" w:hAnsi="IRNazanin" w:eastAsia="IRNazanin"/>
          <w:color w:val="111111"/>
          <w:sz w:val="28"/>
          <w:sz w:val="28"/>
          <w:szCs w:val="28"/>
          <w:rtl w:val="true"/>
          <w:lang w:bidi="fa-IR"/>
        </w:rPr>
        <w:t xml:space="preserve">لو لم یقدر أحدهما علی التحصیل،لکن یوثق بحصوله فی ید أحدهما عند استحقاق المشتری للتسلیم،کما لو اعتاد الطائر العود صحّ </w:t>
      </w:r>
      <w:r>
        <w:rPr>
          <w:rStyle w:val="FootnoteAnchor"/>
          <w:rtl w:val="true"/>
        </w:rPr>
        <w:footnoteReference w:id="951"/>
      </w:r>
      <w:r>
        <w:rPr>
          <w:rFonts w:ascii="IRNazanin" w:hAnsi="IRNazanin" w:eastAsia="IRNazanin"/>
          <w:color w:val="111111"/>
          <w:sz w:val="28"/>
          <w:sz w:val="28"/>
          <w:szCs w:val="28"/>
          <w:rtl w:val="true"/>
          <w:lang w:bidi="fa-IR"/>
        </w:rPr>
        <w:t xml:space="preserve">وفاقاً للفاضلین </w:t>
      </w:r>
      <w:r>
        <w:rPr>
          <w:rStyle w:val="FootnoteAnchor"/>
          <w:rtl w:val="true"/>
        </w:rPr>
        <w:footnoteReference w:id="952"/>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953"/>
      </w:r>
      <w:r>
        <w:rPr>
          <w:rFonts w:ascii="Amiri" w:hAnsi="Amiri" w:eastAsia="Amiri" w:cs="Amiri"/>
          <w:color w:val="111111"/>
          <w:sz w:val="28"/>
          <w:sz w:val="28"/>
          <w:szCs w:val="28"/>
          <w:rtl w:val="true"/>
          <w:lang w:bidi="ar-SA"/>
        </w:rPr>
        <w:t>و المحقّق</w:t>
      </w:r>
    </w:p>
    <w:p>
      <w:pPr>
        <w:pStyle w:val="BookText"/>
        <w:rPr/>
      </w:pPr>
      <w:r>
        <w:rPr>
          <w:rFonts w:ascii="IRNazanin" w:hAnsi="IRNazanin" w:eastAsia="IRNazanin"/>
          <w:color w:val="111111"/>
          <w:sz w:val="28"/>
          <w:sz w:val="28"/>
          <w:szCs w:val="28"/>
          <w:rtl w:val="true"/>
          <w:lang w:bidi="fa-IR"/>
        </w:rPr>
        <w:t xml:space="preserve">الثانی </w:t>
      </w:r>
      <w:r>
        <w:rPr>
          <w:rStyle w:val="FootnoteAnchor"/>
          <w:rtl w:val="true"/>
        </w:rPr>
        <w:footnoteReference w:id="954"/>
      </w:r>
      <w:r>
        <w:rPr>
          <w:rFonts w:ascii="IRNazanin" w:hAnsi="IRNazanin" w:eastAsia="IRNazanin"/>
          <w:color w:val="111111"/>
          <w:sz w:val="28"/>
          <w:sz w:val="28"/>
          <w:szCs w:val="28"/>
          <w:rtl w:val="true"/>
          <w:lang w:bidi="fa-IR"/>
        </w:rPr>
        <w:t xml:space="preserve">و غیرهم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نعم،عن نهایة الإحکام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العدم،بسبب انتفاء القدرة فی الحال علی التسلیم،و أنّ عود الطائر غیر موثوقٍ به،إذ لیس له عقلٌ باعث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العادة باعثةٌ کالعقل،مع أنّ الکلام علی تقدیر الوثوق</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لم یقدرا </w:t>
      </w:r>
      <w:r>
        <w:rPr>
          <w:rStyle w:val="FootnoteAnchor"/>
          <w:rtl w:val="true"/>
        </w:rPr>
        <w:footnoteReference w:id="957"/>
      </w:r>
      <w:r>
        <w:rPr>
          <w:rFonts w:ascii="IRNazanin" w:hAnsi="IRNazanin" w:eastAsia="IRNazanin"/>
          <w:color w:val="111111"/>
          <w:sz w:val="28"/>
          <w:sz w:val="28"/>
          <w:szCs w:val="28"/>
          <w:rtl w:val="true"/>
          <w:lang w:bidi="fa-IR"/>
        </w:rPr>
        <w:t xml:space="preserve">علی التحصیل و تعذّر علیهما إلّا بعد مدّةٍ مقدّرةٍ عادةً و کانت ممّا لا یتسامح فیه کسنةٍ أو أزید،ففی بطلان البیع؛لظاهر الإجماعات المحکیّة </w:t>
      </w:r>
      <w:r>
        <w:rPr>
          <w:rStyle w:val="FootnoteAnchor"/>
          <w:rtl w:val="true"/>
        </w:rPr>
        <w:footnoteReference w:id="958"/>
      </w:r>
      <w:r>
        <w:rPr>
          <w:rFonts w:ascii="IRNazanin" w:hAnsi="IRNazanin" w:eastAsia="IRNazanin"/>
          <w:color w:val="111111"/>
          <w:sz w:val="28"/>
          <w:sz w:val="28"/>
          <w:szCs w:val="28"/>
          <w:rtl w:val="true"/>
          <w:lang w:bidi="fa-IR"/>
        </w:rPr>
        <w:t xml:space="preserve">،و لثبوت الغرر،أو صحّته؛لأنّ ظاهر معقد الإجماع التعذّر رأساً؛و لذا حکم مدّعیه بالصحّة هنا،و الغرر منفیّ مع العلم بوجوب الصبر علیه إلی انقضاء مدّة،کما إذا اشترط تأخیر التسلیم مدّة،وجهان،بل قولان،تردّد فیهما فی الشرائع،ثمّ قوّی الصحّة </w:t>
      </w:r>
      <w:r>
        <w:rPr>
          <w:rStyle w:val="FootnoteAnchor"/>
          <w:rtl w:val="true"/>
        </w:rPr>
        <w:footnoteReference w:id="959"/>
      </w:r>
      <w:r>
        <w:rPr>
          <w:rFonts w:ascii="IRNazanin" w:hAnsi="IRNazanin" w:eastAsia="IRNazanin"/>
          <w:color w:val="111111"/>
          <w:sz w:val="28"/>
          <w:sz w:val="28"/>
          <w:szCs w:val="28"/>
          <w:rtl w:val="true"/>
          <w:lang w:bidi="fa-IR"/>
        </w:rPr>
        <w:t xml:space="preserve">،و تبعه فی محکیّ التحریر </w:t>
      </w:r>
      <w:r>
        <w:rPr>
          <w:rStyle w:val="FootnoteAnchor"/>
          <w:rtl w:val="true"/>
        </w:rPr>
        <w:footnoteReference w:id="960"/>
      </w:r>
      <w:r>
        <w:rPr>
          <w:rFonts w:ascii="IRNazanin" w:hAnsi="IRNazanin" w:eastAsia="IRNazanin"/>
          <w:color w:val="111111"/>
          <w:sz w:val="28"/>
          <w:sz w:val="28"/>
          <w:szCs w:val="28"/>
          <w:rtl w:val="true"/>
          <w:lang w:bidi="fa-IR"/>
        </w:rPr>
        <w:t xml:space="preserve">و المسالک </w:t>
      </w:r>
      <w:r>
        <w:rPr>
          <w:rStyle w:val="FootnoteAnchor"/>
          <w:rtl w:val="true"/>
        </w:rPr>
        <w:footnoteReference w:id="961"/>
      </w:r>
      <w:r>
        <w:rPr>
          <w:rFonts w:ascii="IRNazanin" w:hAnsi="IRNazanin" w:eastAsia="IRNazanin"/>
          <w:color w:val="111111"/>
          <w:sz w:val="28"/>
          <w:sz w:val="28"/>
          <w:szCs w:val="28"/>
          <w:rtl w:val="true"/>
          <w:lang w:bidi="fa-IR"/>
        </w:rPr>
        <w:t xml:space="preserve">و الکفایة </w:t>
      </w:r>
      <w:r>
        <w:rPr>
          <w:rStyle w:val="FootnoteAnchor"/>
          <w:rtl w:val="true"/>
        </w:rPr>
        <w:footnoteReference w:id="962"/>
      </w:r>
      <w:r>
        <w:rPr>
          <w:rFonts w:ascii="IRNazanin" w:hAnsi="IRNazanin" w:eastAsia="IRNazanin"/>
          <w:color w:val="111111"/>
          <w:sz w:val="28"/>
          <w:sz w:val="28"/>
          <w:szCs w:val="28"/>
          <w:rtl w:val="true"/>
          <w:lang w:bidi="fa-IR"/>
        </w:rPr>
        <w:t xml:space="preserve">و غیرها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bookmarkStart w:id="379" w:name="pg19861_202475"/>
    </w:p>
    <w:p>
      <w:pPr>
        <w:pStyle w:val="BookText"/>
        <w:rPr/>
      </w:pPr>
      <w:bookmarkEnd w:id="379"/>
      <w:r>
        <w:rPr>
          <w:rFonts w:ascii="IRNazanin" w:hAnsi="IRNazanin" w:eastAsia="IRNazanin"/>
          <w:color w:val="111111"/>
          <w:sz w:val="28"/>
          <w:sz w:val="28"/>
          <w:szCs w:val="28"/>
          <w:rtl w:val="true"/>
          <w:lang w:bidi="fa-IR"/>
        </w:rPr>
        <w:t>نعم،للمشتری الخیار مع جهله بفوات منفعة الملک علیه مدّةً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کان مدّة التعذّر غیر مضبوطة عادةً کالعبد المُنْفَذ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هند لحاجةٍ </w:t>
      </w:r>
      <w:r>
        <w:rPr>
          <w:rStyle w:val="FootnoteAnchor"/>
          <w:rtl w:val="true"/>
        </w:rPr>
        <w:footnoteReference w:id="964"/>
      </w:r>
      <w:r>
        <w:rPr>
          <w:rFonts w:ascii="IRNazanin" w:hAnsi="IRNazanin" w:eastAsia="IRNazanin"/>
          <w:color w:val="111111"/>
          <w:sz w:val="28"/>
          <w:sz w:val="28"/>
          <w:szCs w:val="28"/>
          <w:rtl w:val="true"/>
          <w:lang w:bidi="fa-IR"/>
        </w:rPr>
        <w:t>لا یعلم زمان قضائها ففی الصحّة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حکمهم بعدم جواز بیع مسکن المطلّقة المعتدّة بالأقراء؛لجهالة وقت تسلیم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بعض الکلام فیه فی بیع الواقف للوقف المنقطع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 w:name="__RefHeading___Toc5119129_2314609296"/>
      <w:bookmarkStart w:id="381" w:name="_Toc149"/>
      <w:bookmarkEnd w:id="380"/>
      <w:r>
        <w:rPr>
          <w:rtl w:val="true"/>
        </w:rPr>
        <w:t>ثمّ إنّ الشرط هی القدرة المعلومة للمتبایعین؛</w:t>
      </w:r>
      <w:bookmarkEnd w:id="381"/>
    </w:p>
    <w:p>
      <w:pPr>
        <w:pStyle w:val="BookText"/>
        <w:rPr/>
      </w:pPr>
      <w:r>
        <w:rPr>
          <w:rFonts w:ascii="IRNazanin" w:hAnsi="IRNazanin" w:eastAsia="IRNazanin"/>
          <w:color w:val="111111"/>
          <w:sz w:val="28"/>
          <w:sz w:val="28"/>
          <w:szCs w:val="28"/>
          <w:rtl w:val="true"/>
          <w:lang w:bidi="fa-IR"/>
        </w:rPr>
        <w:t>لأنّ الغرر لا یندفع بمجرّد القدرة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باع ما یعتقد التمکّن </w:t>
      </w:r>
      <w:r>
        <w:rPr>
          <w:rStyle w:val="FootnoteAnchor"/>
          <w:rtl w:val="true"/>
        </w:rPr>
        <w:footnoteReference w:id="966"/>
      </w:r>
      <w:r>
        <w:rPr>
          <w:rFonts w:ascii="IRNazanin" w:hAnsi="IRNazanin" w:eastAsia="IRNazanin"/>
          <w:color w:val="111111"/>
          <w:sz w:val="28"/>
          <w:sz w:val="28"/>
          <w:szCs w:val="28"/>
          <w:rtl w:val="true"/>
          <w:lang w:bidi="fa-IR"/>
        </w:rPr>
        <w:t>فتبیّن عجزه فی زمان البیع و تجدّدها بعد ذلک،صحّ،و لو لم یتجدّد 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هو الوثوق،فلا یکفی مطلق الظنّ و لا یعتبر الیقین</w:t>
      </w:r>
      <w:r>
        <w:rPr>
          <w:rFonts w:eastAsia="IRNazanin" w:cs="IRNazanin"/>
          <w:color w:val="111111"/>
          <w:sz w:val="28"/>
          <w:szCs w:val="28"/>
          <w:rtl w:val="true"/>
          <w:lang w:bidi="fa-IR"/>
        </w:rPr>
        <w:t>.</w:t>
      </w:r>
    </w:p>
    <w:p>
      <w:pPr>
        <w:pStyle w:val="Heading5"/>
        <w:numPr>
          <w:ilvl w:val="4"/>
          <w:numId w:val="1"/>
        </w:numPr>
        <w:rPr/>
      </w:pPr>
      <w:bookmarkStart w:id="382" w:name="__RefHeading___Toc5119131_2314609296"/>
      <w:bookmarkStart w:id="383" w:name="_Toc150"/>
      <w:bookmarkEnd w:id="382"/>
      <w:r>
        <w:rPr>
          <w:rtl w:val="true"/>
        </w:rPr>
        <w:t>[</w:t>
      </w:r>
      <w:r>
        <w:rPr>
          <w:rtl w:val="true"/>
        </w:rPr>
        <w:t>هل العبرة بقدرة الموکل أو الوکیل</w:t>
      </w:r>
      <w:r>
        <w:rPr>
          <w:rtl w:val="true"/>
        </w:rPr>
        <w:t>]</w:t>
      </w:r>
      <w:bookmarkEnd w:id="383"/>
    </w:p>
    <w:p>
      <w:pPr>
        <w:pStyle w:val="BookText"/>
        <w:rPr/>
      </w:pPr>
      <w:r>
        <w:rPr>
          <w:rFonts w:ascii="IRNazanin" w:hAnsi="IRNazanin" w:eastAsia="IRNazanin"/>
          <w:color w:val="111111"/>
          <w:sz w:val="28"/>
          <w:sz w:val="28"/>
          <w:szCs w:val="28"/>
          <w:rtl w:val="true"/>
          <w:lang w:bidi="fa-IR"/>
        </w:rPr>
        <w:t>ثمّ لا إشکال فی اعتبار قدرة العاقد إذا کان مالکاً،لا ما إذا کان وکیلاً فی مجرّد العقد؛فإنّه لا عبرة بقدرته کما لا عبرة بعلمه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وکیلاً فی البیع و لوازمه بحیث یعدّ الموکّل أجنبیّا عن هذه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کفایة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یکفی قدرة الموکّل؟ الظاهر نعم،مع علم المشتری بذلک إذا علم بعجز العاقد،فإن اعتقد قدرته لم یشترط علمه بذلک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قیّد </w:t>
      </w:r>
      <w:r>
        <w:rPr>
          <w:rStyle w:val="FootnoteAnchor"/>
          <w:rtl w:val="true"/>
        </w:rPr>
        <w:footnoteReference w:id="967"/>
      </w:r>
      <w:r>
        <w:rPr>
          <w:rFonts w:ascii="IRNazanin" w:hAnsi="IRNazanin" w:eastAsia="IRNazanin"/>
          <w:color w:val="111111"/>
          <w:sz w:val="28"/>
          <w:sz w:val="28"/>
          <w:szCs w:val="28"/>
          <w:rtl w:val="true"/>
          <w:lang w:bidi="fa-IR"/>
        </w:rPr>
        <w:t xml:space="preserve">الحکم بالکفایة بما إذا رضی المشتری بتسلیم الموکّل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 xml:space="preserve">و رضی المالک </w:t>
      </w:r>
      <w:r>
        <w:rPr>
          <w:rStyle w:val="FootnoteAnchor"/>
          <w:rtl w:val="true"/>
        </w:rPr>
        <w:footnoteReference w:id="969"/>
      </w:r>
      <w:r>
        <w:rPr>
          <w:rFonts w:ascii="IRNazanin" w:hAnsi="IRNazanin" w:eastAsia="IRNazanin"/>
          <w:color w:val="111111"/>
          <w:sz w:val="28"/>
          <w:sz w:val="28"/>
          <w:szCs w:val="28"/>
          <w:rtl w:val="true"/>
          <w:lang w:bidi="fa-IR"/>
        </w:rPr>
        <w:t>برجوع المشتری علیه،و فرّع علی ذلک رجحان الحکم بالبطلان فی الفضولی؛لأنّ التسلیم المعتبر من العاقد غیر ممکنٍ قبل الإجازة،و قدرة المالک إنّما تؤثّر لو بنی العقد علیها و حصل التراضی بها حال البیع؛لأنّ بیع المأذون لا یکفی فیه قدرة الآذن مطلقاً،بل مع الشرط المذکور و هو غیر متحقّقٍ فی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البناء علی القدرة الواقعیّة باطل؛إذ الشرط هی القدرة المعلومة دون الواقعیّة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القدرة قبل الإجازة لم توجد،و بعدها إن وجدت لم تنفع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قد یحصل الوثوق للفضولی بإرضاء المالک و أنّه لا یخرج عن رأیه،فیتحقّق له بذلک القدرة علی التسلیم حال العقد؛لأنّ هذا الفرض یُخرج الفضولی عن کونه فضولیّاً؛لمصاحبة الإذن للبیع، غایة الأمر حصوله بالفحوی و شاهد الحال،و هما من أنواع الإذن،فلا یکون فضولیّاً و لا یتوقّف صحّته علی الإجازة،و لو سلّمنا بقاءه علی الصفة فمعلومٌ أنّ القائلین بصحّة الفضولی لا یقصرون الحکم علی هذا الفرض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فیما ذکره من مبنی مسألة الفضولی،ثمّ فی تفریع الفضولی،ثمّ فی الاعتراض الذی ذکره،ثمّ فی الجواب عنه أوّلاً و ثانیاً،تأمّلٌ،بل نظرٌ، فتدبّر</w:t>
      </w:r>
      <w:r>
        <w:rPr>
          <w:rFonts w:eastAsia="IRNazanin" w:cs="IRNazanin"/>
          <w:color w:val="111111"/>
          <w:sz w:val="28"/>
          <w:szCs w:val="28"/>
          <w:rtl w:val="true"/>
          <w:lang w:bidi="fa-IR"/>
        </w:rPr>
        <w:t>.</w:t>
      </w:r>
      <w:bookmarkStart w:id="384" w:name="pg19861_202477"/>
    </w:p>
    <w:p>
      <w:pPr>
        <w:pStyle w:val="Heading5"/>
        <w:numPr>
          <w:ilvl w:val="4"/>
          <w:numId w:val="1"/>
        </w:numPr>
        <w:rPr/>
      </w:pPr>
      <w:bookmarkStart w:id="385" w:name="__RefHeading___Toc5119133_2314609296"/>
      <w:bookmarkStart w:id="386" w:name="_Toc151"/>
      <w:bookmarkEnd w:id="384"/>
      <w:bookmarkEnd w:id="385"/>
      <w:r>
        <w:rPr>
          <w:rtl w:val="true"/>
        </w:rPr>
        <w:t>مسألة لا یجوز بیع الآبق منفرداً</w:t>
      </w:r>
      <w:bookmarkEnd w:id="386"/>
    </w:p>
    <w:p>
      <w:pPr>
        <w:pStyle w:val="BookText"/>
        <w:rPr/>
      </w:pPr>
      <w:r>
        <w:rPr>
          <w:rFonts w:ascii="IRNazanin" w:hAnsi="IRNazanin" w:eastAsia="IRNazanin"/>
          <w:color w:val="111111"/>
          <w:sz w:val="28"/>
          <w:sz w:val="28"/>
          <w:szCs w:val="28"/>
          <w:rtl w:val="true"/>
          <w:lang w:bidi="fa-IR"/>
        </w:rPr>
        <w:t xml:space="preserve">علی المشهور بین علمائنا کما فی التذکرة </w:t>
      </w:r>
      <w:r>
        <w:rPr>
          <w:rStyle w:val="FootnoteAnchor"/>
          <w:rtl w:val="true"/>
        </w:rPr>
        <w:footnoteReference w:id="971"/>
      </w:r>
      <w:r>
        <w:rPr>
          <w:rFonts w:ascii="IRNazanin" w:hAnsi="IRNazanin" w:eastAsia="IRNazanin"/>
          <w:color w:val="111111"/>
          <w:sz w:val="28"/>
          <w:sz w:val="28"/>
          <w:szCs w:val="28"/>
          <w:rtl w:val="true"/>
          <w:lang w:bidi="fa-IR"/>
        </w:rPr>
        <w:t xml:space="preserve">،بل إجماعاً کما عن الخلاف </w:t>
      </w:r>
      <w:r>
        <w:rPr>
          <w:rStyle w:val="FootnoteAnchor"/>
          <w:rtl w:val="true"/>
        </w:rPr>
        <w:footnoteReference w:id="972"/>
      </w:r>
      <w:r>
        <w:rPr>
          <w:rFonts w:ascii="IRNazanin" w:hAnsi="IRNazanin" w:eastAsia="IRNazanin"/>
          <w:color w:val="111111"/>
          <w:sz w:val="28"/>
          <w:sz w:val="28"/>
          <w:szCs w:val="28"/>
          <w:rtl w:val="true"/>
          <w:lang w:bidi="fa-IR"/>
        </w:rPr>
        <w:t xml:space="preserve">و الغنیة </w:t>
      </w:r>
      <w:r>
        <w:rPr>
          <w:rStyle w:val="FootnoteAnchor"/>
          <w:rtl w:val="true"/>
        </w:rPr>
        <w:footnoteReference w:id="973"/>
      </w:r>
      <w:r>
        <w:rPr>
          <w:rFonts w:ascii="IRNazanin" w:hAnsi="IRNazanin" w:eastAsia="IRNazanin"/>
          <w:color w:val="111111"/>
          <w:sz w:val="28"/>
          <w:sz w:val="28"/>
          <w:szCs w:val="28"/>
          <w:rtl w:val="true"/>
          <w:lang w:bidi="fa-IR"/>
        </w:rPr>
        <w:t xml:space="preserve">و الریاض </w:t>
      </w:r>
      <w:r>
        <w:rPr>
          <w:rStyle w:val="FootnoteAnchor"/>
          <w:rtl w:val="true"/>
        </w:rPr>
        <w:footnoteReference w:id="974"/>
      </w:r>
      <w:r>
        <w:rPr>
          <w:rFonts w:ascii="IRNazanin" w:hAnsi="IRNazanin" w:eastAsia="IRNazanin"/>
          <w:color w:val="111111"/>
          <w:sz w:val="28"/>
          <w:sz w:val="28"/>
          <w:szCs w:val="28"/>
          <w:rtl w:val="true"/>
          <w:lang w:bidi="fa-IR"/>
        </w:rPr>
        <w:t xml:space="preserve">،و بلا خلافٍ کما عن کشف الرموز </w:t>
      </w:r>
      <w:r>
        <w:rPr>
          <w:rStyle w:val="FootnoteAnchor"/>
          <w:rtl w:val="true"/>
        </w:rPr>
        <w:footnoteReference w:id="975"/>
      </w:r>
      <w:r>
        <w:rPr>
          <w:rFonts w:ascii="IRNazanin" w:hAnsi="IRNazanin" w:eastAsia="IRNazanin"/>
          <w:color w:val="111111"/>
          <w:sz w:val="28"/>
          <w:sz w:val="28"/>
          <w:szCs w:val="28"/>
          <w:rtl w:val="true"/>
          <w:lang w:bidi="fa-IR"/>
        </w:rPr>
        <w:t xml:space="preserve">لأنّه مع الیأس عن الظفر بمنزلة </w:t>
      </w:r>
      <w:r>
        <w:rPr>
          <w:rStyle w:val="FootnoteAnchor"/>
          <w:rtl w:val="true"/>
        </w:rPr>
        <w:footnoteReference w:id="976"/>
      </w:r>
      <w:r>
        <w:rPr>
          <w:rFonts w:ascii="Amiri" w:hAnsi="Amiri" w:eastAsia="Amiri" w:cs="Amiri"/>
          <w:color w:val="111111"/>
          <w:sz w:val="28"/>
          <w:sz w:val="28"/>
          <w:szCs w:val="28"/>
          <w:rtl w:val="true"/>
          <w:lang w:bidi="ar-SA"/>
        </w:rPr>
        <w:t xml:space="preserve">التالف،و مع احتماله بیع غررٍ منفیٌّ إجماعاً نصّاً </w:t>
      </w:r>
      <w:r>
        <w:rPr>
          <w:rStyle w:val="FootnoteAnchor"/>
          <w:rtl w:val="true"/>
        </w:rPr>
        <w:footnoteReference w:id="977"/>
      </w:r>
      <w:r>
        <w:rPr>
          <w:rFonts w:ascii="IRNazanin" w:hAnsi="IRNazanin" w:eastAsia="IRNazanin"/>
          <w:color w:val="111111"/>
          <w:sz w:val="28"/>
          <w:sz w:val="28"/>
          <w:szCs w:val="28"/>
          <w:rtl w:val="true"/>
          <w:lang w:bidi="fa-IR"/>
        </w:rPr>
        <w:t>و فتوی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لما حکاه فی التذکرة عن بعض علمائنا </w:t>
      </w:r>
      <w:r>
        <w:rPr>
          <w:rStyle w:val="FootnoteAnchor"/>
          <w:rtl w:val="true"/>
        </w:rPr>
        <w:footnoteReference w:id="978"/>
      </w:r>
      <w:r>
        <w:rPr>
          <w:rFonts w:ascii="IRNazanin" w:hAnsi="IRNazanin" w:eastAsia="IRNazanin"/>
          <w:color w:val="111111"/>
          <w:sz w:val="28"/>
          <w:sz w:val="28"/>
          <w:szCs w:val="28"/>
          <w:rtl w:val="true"/>
          <w:lang w:bidi="fa-IR"/>
        </w:rPr>
        <w:t>،و لعلّه الإسکافی؛ حیث إنّ المحکیّ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یجوز أن یشتری الآبق وحده،إلّا إذا کان بحیث یقدر علیه المشتری أو یضمنه البائع </w:t>
      </w:r>
      <w:r>
        <w:rPr>
          <w:rStyle w:val="FootnoteAnchor"/>
          <w:rtl w:val="true"/>
        </w:rPr>
        <w:footnoteReference w:id="97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عن الفاضل القطیفی فی إیضاح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اشتراط القدرة علی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عرفت ضعفه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یمکن أن یقال بالصحّة فی خصوص الآبق؛لحصول الانتفاع به بالعتق،خصوصاً مع تقیید الإسکافی بصورة ضمان البائع،فإنّه یندفع به الغرر عرفاً،لکن سیأتی ما فیه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فالعمدة الانتفاع بعتقه،و له وجهٌ لولا النصّ الآتی </w:t>
      </w:r>
      <w:r>
        <w:rPr>
          <w:rStyle w:val="FootnoteAnchor"/>
          <w:rtl w:val="true"/>
        </w:rPr>
        <w:footnoteReference w:id="982"/>
      </w:r>
      <w:r>
        <w:rPr>
          <w:rFonts w:ascii="IRNazanin" w:hAnsi="IRNazanin" w:eastAsia="IRNazanin"/>
          <w:color w:val="111111"/>
          <w:sz w:val="28"/>
          <w:sz w:val="28"/>
          <w:szCs w:val="28"/>
          <w:rtl w:val="true"/>
          <w:lang w:bidi="fa-IR"/>
        </w:rPr>
        <w:t>و الإجماعات المتقدّمة،مع أنّ قابلیّة المبیع لبعض الانتفاعات لا تخرجه عن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لا یجوز جعله مثمناً،لا یجوز جعله منفرداً ثمناً؛لاشتراکهما فی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تردّد فی اللمعة فی جعله ثمناً بعد الجزم بمنع جعله مثمناً،و إن قرّب أخیراً المنع منفرداً </w:t>
      </w:r>
      <w:r>
        <w:rPr>
          <w:rStyle w:val="FootnoteAnchor"/>
          <w:rtl w:val="true"/>
        </w:rPr>
        <w:footnoteReference w:id="9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الاستناد فی المنع عن جعله مثمناً إلی النصّ و الإجماع الممکن دعوی اختصاصهما بالمثمن،دون نفی الغرر،الممکن منعه بجواز الانتفاع به فی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 بجواز بیع الضالّ و المجحود،مع خفاء الفرق بینهما و بین الآبق فی عدم القدرة علی التسلیم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ذلک ما فی التذکرة،حیث ادّعی أوّلاً الإجماع علی اشتراط القدرة علی التسلیم لیخرج البیع عن کونه بیع غرر،ثمّ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w:t>
      </w:r>
    </w:p>
    <w:p>
      <w:pPr>
        <w:pStyle w:val="BookText"/>
        <w:rPr/>
      </w:pPr>
      <w:r>
        <w:rPr>
          <w:rFonts w:ascii="IRNazanin" w:hAnsi="IRNazanin" w:eastAsia="IRNazanin"/>
          <w:color w:val="111111"/>
          <w:sz w:val="28"/>
          <w:sz w:val="28"/>
          <w:szCs w:val="28"/>
          <w:rtl w:val="true"/>
          <w:lang w:bidi="fa-IR"/>
        </w:rPr>
        <w:t>بین علمائنا المنع من بیع الآبق منفرداً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بعض علمائنا بالجواز،و حکاه عن بعض العامّة أیضاً </w:t>
      </w:r>
      <w:r>
        <w:rPr>
          <w:rStyle w:val="FootnoteAnchor"/>
          <w:rtl w:val="true"/>
        </w:rPr>
        <w:footnoteReference w:id="9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ذکر الضالّ و لم یحتمل فیه إلّا جواز البیع منفرداً و </w:t>
      </w:r>
      <w:r>
        <w:rPr>
          <w:rStyle w:val="FootnoteAnchor"/>
          <w:rtl w:val="true"/>
        </w:rPr>
        <w:footnoteReference w:id="985"/>
      </w:r>
      <w:r>
        <w:rPr>
          <w:rFonts w:ascii="IRNazanin" w:hAnsi="IRNazanin" w:eastAsia="IRNazanin"/>
          <w:color w:val="111111"/>
          <w:sz w:val="28"/>
          <w:sz w:val="28"/>
          <w:szCs w:val="28"/>
          <w:rtl w:val="true"/>
          <w:lang w:bidi="fa-IR"/>
        </w:rPr>
        <w:t xml:space="preserve">اشتراط </w:t>
      </w:r>
      <w:r>
        <w:rPr>
          <w:rStyle w:val="FootnoteAnchor"/>
          <w:rtl w:val="true"/>
        </w:rPr>
        <w:footnoteReference w:id="986"/>
      </w:r>
      <w:r>
        <w:rPr>
          <w:rFonts w:ascii="IRNazanin" w:hAnsi="IRNazanin" w:eastAsia="IRNazanin"/>
          <w:color w:val="111111"/>
          <w:sz w:val="28"/>
          <w:sz w:val="28"/>
          <w:szCs w:val="28"/>
          <w:rtl w:val="true"/>
          <w:lang w:bidi="fa-IR"/>
        </w:rPr>
        <w:t xml:space="preserve">الضمیمة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التنافی بین هذه الفقرات الثلاث ظاهر،و التوجیه یحتاج إلی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کان،فهل یلحق بالبیع الصلح عمّا یتعذّر تسلیمه،فیعتبر فیه القدرة علی التسلیم؟وجهان،بل قولان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عمومات الصلح و ما </w:t>
      </w:r>
      <w:r>
        <w:rPr>
          <w:rStyle w:val="FootnoteAnchor"/>
          <w:rtl w:val="true"/>
        </w:rPr>
        <w:footnoteReference w:id="989"/>
      </w:r>
      <w:r>
        <w:rPr>
          <w:rFonts w:ascii="IRNazanin" w:hAnsi="IRNazanin" w:eastAsia="IRNazanin"/>
          <w:color w:val="111111"/>
          <w:sz w:val="28"/>
          <w:sz w:val="28"/>
          <w:szCs w:val="28"/>
          <w:rtl w:val="true"/>
          <w:lang w:bidi="fa-IR"/>
        </w:rPr>
        <w:t xml:space="preserve">علم من التوسّع فیه </w:t>
      </w:r>
      <w:r>
        <w:rPr>
          <w:rStyle w:val="FootnoteAnchor"/>
          <w:rtl w:val="true"/>
        </w:rPr>
        <w:footnoteReference w:id="990"/>
      </w:r>
      <w:r>
        <w:rPr>
          <w:rFonts w:ascii="IRNazanin" w:hAnsi="IRNazanin" w:eastAsia="IRNazanin"/>
          <w:color w:val="111111"/>
          <w:sz w:val="28"/>
          <w:sz w:val="28"/>
          <w:szCs w:val="28"/>
          <w:rtl w:val="true"/>
          <w:lang w:bidi="fa-IR"/>
        </w:rPr>
        <w:t xml:space="preserve">،کجهالة </w:t>
      </w:r>
      <w:r>
        <w:rPr>
          <w:rStyle w:val="FootnoteAnchor"/>
          <w:rtl w:val="true"/>
        </w:rPr>
        <w:footnoteReference w:id="991"/>
      </w:r>
      <w:r>
        <w:rPr>
          <w:rFonts w:ascii="IRNazanin" w:hAnsi="IRNazanin" w:eastAsia="IRNazanin"/>
          <w:color w:val="111111"/>
          <w:sz w:val="28"/>
          <w:sz w:val="28"/>
          <w:szCs w:val="28"/>
          <w:rtl w:val="true"/>
          <w:lang w:bidi="fa-IR"/>
        </w:rPr>
        <w:t>المصالح عنه إذا تعذّر أو تعسّر معرفته بل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اختصاص الغرر المنفیّ بالبیع</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أنّ الدائر علی ألسنة الأصحاب نفی الغرر من غیر اختصاص بالبیع،حتّی أنّهم یستدلّون به فی غیر المعاوضات کالوکالة </w:t>
      </w:r>
      <w:r>
        <w:rPr>
          <w:rStyle w:val="FootnoteAnchor"/>
          <w:rtl w:val="true"/>
        </w:rPr>
        <w:footnoteReference w:id="99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فضلاً عن المعاوضات کالإجارة و المزارعة و المساقاة و الجعالة </w:t>
      </w:r>
      <w:r>
        <w:rPr>
          <w:rStyle w:val="FootnoteAnchor"/>
          <w:rtl w:val="true"/>
        </w:rPr>
        <w:footnoteReference w:id="993"/>
      </w:r>
      <w:r>
        <w:rPr>
          <w:rFonts w:ascii="IRNazanin" w:hAnsi="IRNazanin" w:eastAsia="IRNazanin"/>
          <w:color w:val="111111"/>
          <w:sz w:val="28"/>
          <w:sz w:val="28"/>
          <w:szCs w:val="28"/>
          <w:rtl w:val="true"/>
          <w:lang w:bidi="fa-IR"/>
        </w:rPr>
        <w:t>،بل قد یرسل فی کلماتهم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نهی عن الغرر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رجّح بعض الأساطین </w:t>
      </w:r>
      <w:r>
        <w:rPr>
          <w:rStyle w:val="FootnoteAnchor"/>
          <w:rtl w:val="true"/>
        </w:rPr>
        <w:footnoteReference w:id="995"/>
      </w:r>
      <w:r>
        <w:rPr>
          <w:rFonts w:ascii="IRNazanin" w:hAnsi="IRNazanin" w:eastAsia="IRNazanin"/>
          <w:color w:val="111111"/>
          <w:sz w:val="28"/>
          <w:sz w:val="28"/>
          <w:szCs w:val="28"/>
          <w:rtl w:val="true"/>
          <w:lang w:bidi="fa-IR"/>
        </w:rPr>
        <w:t>جریان الاشتراط فیما لم یبن علی المسامحة من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المسالک فی مسألة رهن ما لا یقدر علی تسلیمه علی القول بعدم اشتراط القبض فی الرهن جواز الصلح علیه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الضالّ و المجحود و المغصوب و نحوها ممّا لا یقدر علی تسلیمه،فالأقوی فیها عدم الجواز،وفاقاً لجماعة </w:t>
      </w:r>
      <w:r>
        <w:rPr>
          <w:rStyle w:val="FootnoteAnchor"/>
          <w:rtl w:val="true"/>
        </w:rPr>
        <w:footnoteReference w:id="997"/>
      </w:r>
      <w:r>
        <w:rPr>
          <w:rFonts w:ascii="IRNazanin" w:hAnsi="IRNazanin" w:eastAsia="IRNazanin"/>
          <w:color w:val="111111"/>
          <w:sz w:val="28"/>
          <w:sz w:val="28"/>
          <w:szCs w:val="28"/>
          <w:rtl w:val="true"/>
          <w:lang w:bidi="fa-IR"/>
        </w:rPr>
        <w:t xml:space="preserve">للغرر المنفی المعتضد بالإجماع المدّعی علی اشتراط القدرة علی التسلیم،إلّا أن یوهن بتردّد مدّعیه کالعلّامة فی التذکرة فی صحّة بیع الضالّ منفرداً </w:t>
      </w:r>
      <w:r>
        <w:rPr>
          <w:rStyle w:val="FootnoteAnchor"/>
          <w:rtl w:val="true"/>
        </w:rPr>
        <w:footnoteReference w:id="998"/>
      </w:r>
      <w:r>
        <w:rPr>
          <w:rFonts w:ascii="Amiri" w:hAnsi="Amiri" w:eastAsia="Amiri" w:cs="Amiri"/>
          <w:color w:val="111111"/>
          <w:sz w:val="28"/>
          <w:sz w:val="28"/>
          <w:szCs w:val="28"/>
          <w:rtl w:val="true"/>
          <w:lang w:bidi="ar-SA"/>
        </w:rPr>
        <w:t xml:space="preserve">،و یُمنَع </w:t>
      </w:r>
      <w:r>
        <w:rPr>
          <w:rStyle w:val="FootnoteAnchor"/>
          <w:rtl w:val="true"/>
        </w:rPr>
        <w:footnoteReference w:id="999"/>
      </w:r>
      <w:r>
        <w:rPr>
          <w:rFonts w:ascii="IRNazanin" w:hAnsi="IRNazanin" w:eastAsia="IRNazanin"/>
          <w:color w:val="111111"/>
          <w:sz w:val="28"/>
          <w:sz w:val="28"/>
          <w:szCs w:val="28"/>
          <w:rtl w:val="true"/>
          <w:lang w:bidi="fa-IR"/>
        </w:rPr>
        <w:t>الغرر خصوصاً فیما یراد عتقه بکون المبیع قبل القبض مضموناً علی</w:t>
      </w:r>
    </w:p>
    <w:p>
      <w:pPr>
        <w:pStyle w:val="BookText"/>
        <w:rPr/>
      </w:pPr>
      <w:r>
        <w:rPr>
          <w:rFonts w:ascii="IRNazanin" w:hAnsi="IRNazanin" w:eastAsia="IRNazanin"/>
          <w:color w:val="111111"/>
          <w:sz w:val="28"/>
          <w:sz w:val="28"/>
          <w:szCs w:val="28"/>
          <w:rtl w:val="true"/>
          <w:lang w:bidi="fa-IR"/>
        </w:rPr>
        <w:t>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فوات منفعته مدّةً رجاء الظفر به فهو ضرر قد أقدم علیه، و جهالته غیر مضرّة مع إمکان العلم بتلک المدّة کضالّة یعلم أنّها لو لم توجد بعد ثلاثة أیام فلن </w:t>
      </w:r>
      <w:r>
        <w:rPr>
          <w:rStyle w:val="FootnoteAnchor"/>
          <w:rtl w:val="true"/>
        </w:rPr>
        <w:footnoteReference w:id="1000"/>
      </w:r>
      <w:r>
        <w:rPr>
          <w:rFonts w:ascii="IRNazanin" w:hAnsi="IRNazanin" w:eastAsia="IRNazanin"/>
          <w:color w:val="111111"/>
          <w:sz w:val="28"/>
          <w:sz w:val="28"/>
          <w:szCs w:val="28"/>
          <w:rtl w:val="true"/>
          <w:lang w:bidi="fa-IR"/>
        </w:rPr>
        <w:t>توجد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المغصوب و المنهوب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غرر عرفاً بعد فرض کون الیأس عنه فی حکم التلف المقتضی لانفساخ البیع من أصله،و فرض عدم تسلّط البائع علی مطالبته بالثمن،لعدم تسلیم المثمن؛فإنّه لا خطر حینئذٍ فی البیع، خصوصاً مع العلم بمدّة الرجاء التی یفوت الانتفاع بالمبیع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یدفع جمیع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المنفیّ فی حدیث الغرر کما تقدّم </w:t>
      </w:r>
      <w:r>
        <w:rPr>
          <w:rStyle w:val="FootnoteAnchor"/>
          <w:rtl w:val="true"/>
        </w:rPr>
        <w:footnoteReference w:id="1001"/>
      </w:r>
      <w:r>
        <w:rPr>
          <w:rFonts w:ascii="IRNazanin" w:hAnsi="IRNazanin" w:eastAsia="IRNazanin"/>
          <w:color w:val="111111"/>
          <w:sz w:val="28"/>
          <w:sz w:val="28"/>
          <w:szCs w:val="28"/>
          <w:rtl w:val="true"/>
          <w:lang w:bidi="fa-IR"/>
        </w:rPr>
        <w:t xml:space="preserve">هو ما کان غرراً فی نفسه عرفاً مع قطع النظر عن الأحکام الشرعیّة الثابتة للبیع؛و لذا قوّینا فیما سلف </w:t>
      </w:r>
      <w:r>
        <w:rPr>
          <w:rStyle w:val="FootnoteAnchor"/>
          <w:rtl w:val="true"/>
        </w:rPr>
        <w:footnoteReference w:id="1002"/>
      </w:r>
      <w:r>
        <w:rPr>
          <w:rFonts w:ascii="IRNazanin" w:hAnsi="IRNazanin" w:eastAsia="IRNazanin"/>
          <w:color w:val="111111"/>
          <w:sz w:val="28"/>
          <w:sz w:val="28"/>
          <w:szCs w:val="28"/>
          <w:rtl w:val="true"/>
          <w:lang w:bidi="fa-IR"/>
        </w:rPr>
        <w:t>جریان نفی الغرر فی البیع المشروط تأثیره شرعاً بالتسلیم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بیع الضالّ و شبهه لیس محکوماً علیه فی العرف بکونه فی ضمان البائع،بل یحکمون بعد ملاحظة إقدام المشتری علی شرائه بکون تلفه منه،فالانفساخ بالتلف حکمٌ شرعیٌّ عارضٌ للبیع الصحیح الذی لیس فی نفسه غرراً عرفاً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یجدی فی رفع </w:t>
      </w:r>
      <w:r>
        <w:rPr>
          <w:rStyle w:val="FootnoteAnchor"/>
          <w:rtl w:val="true"/>
        </w:rPr>
        <w:footnoteReference w:id="1003"/>
      </w:r>
      <w:r>
        <w:rPr>
          <w:rFonts w:ascii="IRNazanin" w:hAnsi="IRNazanin" w:eastAsia="IRNazanin"/>
          <w:color w:val="111111"/>
          <w:sz w:val="28"/>
          <w:sz w:val="28"/>
          <w:szCs w:val="28"/>
          <w:rtl w:val="true"/>
          <w:lang w:bidi="fa-IR"/>
        </w:rPr>
        <w:t xml:space="preserve">الغرر الحکم بصحّة البیع مراعی بالتسلیم،فإن تسلّم قبل مدّة لا یفوت الانتفاع المعتدّ به،و إلّا تخیّر بین الفسخ و الإمضاء کما استقربه فی اللمعة </w:t>
      </w:r>
      <w:r>
        <w:rPr>
          <w:rStyle w:val="FootnoteAnchor"/>
          <w:rtl w:val="true"/>
        </w:rPr>
        <w:footnoteReference w:id="1004"/>
      </w:r>
      <w:r>
        <w:rPr>
          <w:rFonts w:ascii="IRNazanin" w:hAnsi="IRNazanin" w:eastAsia="IRNazanin"/>
          <w:color w:val="111111"/>
          <w:sz w:val="28"/>
          <w:sz w:val="28"/>
          <w:szCs w:val="28"/>
          <w:rtl w:val="true"/>
          <w:lang w:bidi="fa-IR"/>
        </w:rPr>
        <w:t>فإنّ ثبوت الخیار</w:t>
      </w:r>
    </w:p>
    <w:p>
      <w:pPr>
        <w:pStyle w:val="BookText"/>
        <w:rPr/>
      </w:pPr>
      <w:r>
        <w:rPr>
          <w:rFonts w:ascii="Amiri" w:hAnsi="Amiri" w:eastAsia="Amiri" w:cs="Amiri"/>
          <w:color w:val="111111"/>
          <w:sz w:val="28"/>
          <w:sz w:val="28"/>
          <w:szCs w:val="28"/>
          <w:rtl w:val="true"/>
          <w:lang w:bidi="ar-SA"/>
        </w:rPr>
        <w:t xml:space="preserve">حکمٌ شرعیٌّ عارضٌ للبیع الصحیح الذی فرض </w:t>
      </w:r>
      <w:r>
        <w:rPr>
          <w:rStyle w:val="FootnoteAnchor"/>
          <w:rtl w:val="true"/>
        </w:rPr>
        <w:footnoteReference w:id="1005"/>
      </w:r>
      <w:r>
        <w:rPr>
          <w:rFonts w:ascii="IRNazanin" w:hAnsi="IRNazanin" w:eastAsia="IRNazanin"/>
          <w:color w:val="111111"/>
          <w:sz w:val="28"/>
          <w:sz w:val="28"/>
          <w:szCs w:val="28"/>
          <w:rtl w:val="true"/>
          <w:lang w:bidi="fa-IR"/>
        </w:rPr>
        <w:t xml:space="preserve">فیه العجز عن تسلّم </w:t>
      </w:r>
      <w:r>
        <w:rPr>
          <w:rStyle w:val="FootnoteAnchor"/>
          <w:rtl w:val="true"/>
        </w:rPr>
        <w:footnoteReference w:id="1006"/>
      </w:r>
      <w:r>
        <w:rPr>
          <w:rFonts w:ascii="IRNazanin" w:hAnsi="IRNazanin" w:eastAsia="IRNazanin"/>
          <w:color w:val="111111"/>
          <w:sz w:val="28"/>
          <w:sz w:val="28"/>
          <w:szCs w:val="28"/>
          <w:rtl w:val="true"/>
          <w:lang w:bidi="fa-IR"/>
        </w:rPr>
        <w:t>المبیع،فلا یندفع به الغرر الثابت عرفاً فی البیع المبطل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قد مرّت </w:t>
      </w:r>
      <w:r>
        <w:rPr>
          <w:rStyle w:val="FootnoteAnchor"/>
          <w:rtl w:val="true"/>
        </w:rPr>
        <w:footnoteReference w:id="1007"/>
      </w:r>
      <w:r>
        <w:rPr>
          <w:rFonts w:ascii="IRNazanin" w:hAnsi="IRNazanin" w:eastAsia="IRNazanin"/>
          <w:color w:val="111111"/>
          <w:sz w:val="28"/>
          <w:sz w:val="28"/>
          <w:szCs w:val="28"/>
          <w:rtl w:val="true"/>
          <w:lang w:bidi="fa-IR"/>
        </w:rPr>
        <w:t xml:space="preserve">المناقشة فی ذلک بمنع إطلاق العرف </w:t>
      </w:r>
      <w:r>
        <w:rPr>
          <w:rStyle w:val="FootnoteAnchor"/>
          <w:rtl w:val="true"/>
        </w:rPr>
        <w:footnoteReference w:id="1008"/>
      </w:r>
      <w:r>
        <w:rPr>
          <w:rFonts w:ascii="IRNazanin" w:hAnsi="IRNazanin" w:eastAsia="IRNazanin"/>
          <w:color w:val="111111"/>
          <w:sz w:val="28"/>
          <w:sz w:val="28"/>
          <w:szCs w:val="28"/>
          <w:rtl w:val="true"/>
          <w:lang w:bidi="fa-IR"/>
        </w:rPr>
        <w:t xml:space="preserve">الغرر علی مثل هذا بعد اطّلاعهم علی الحکم الشرعی اللاحق للمبیع </w:t>
      </w:r>
      <w:r>
        <w:rPr>
          <w:rStyle w:val="FootnoteAnchor"/>
          <w:rtl w:val="true"/>
        </w:rPr>
        <w:footnoteReference w:id="1009"/>
      </w:r>
      <w:r>
        <w:rPr>
          <w:rFonts w:ascii="IRNazanin" w:hAnsi="IRNazanin" w:eastAsia="IRNazanin"/>
          <w:color w:val="111111"/>
          <w:sz w:val="28"/>
          <w:sz w:val="28"/>
          <w:szCs w:val="28"/>
          <w:rtl w:val="true"/>
          <w:lang w:bidi="fa-IR"/>
        </w:rPr>
        <w:t xml:space="preserve">من ضمانه قبل التسلیم </w:t>
      </w:r>
      <w:r>
        <w:rPr>
          <w:rStyle w:val="FootnoteAnchor"/>
          <w:rtl w:val="true"/>
        </w:rPr>
        <w:footnoteReference w:id="1010"/>
      </w:r>
      <w:r>
        <w:rPr>
          <w:rFonts w:ascii="IRNazanin" w:hAnsi="IRNazanin" w:eastAsia="IRNazanin"/>
          <w:color w:val="111111"/>
          <w:sz w:val="28"/>
          <w:sz w:val="28"/>
          <w:szCs w:val="28"/>
          <w:rtl w:val="true"/>
          <w:lang w:bidi="fa-IR"/>
        </w:rPr>
        <w:t>و من عدم التسلّط علی مطالبة الثمن،فافهم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أخذ المتبایعین لهذا الخیار فی متن العقد فباعه علی أن یکون له الخیار إذا لم یحصل المبیع فی یده إلی ثلاثة أیام،أمکن جوازه؛لعدم الغرر حینئذٍ عرفاً،و لذا لا یُعدّ بیع العین الغیر المرئیّة الموصوفة بالصفات المعیّنة من بیع الغرر؛لأنّ ذکر الوصف بمنزلة اشتراطه فیه الموجب للتسلّط علی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لعلّه لهذا اختار فی محکیّ المختلف تبعاً للإسکافی جواز بیع الآبق إذا ضمنه البائع </w:t>
      </w:r>
      <w:r>
        <w:rPr>
          <w:rStyle w:val="FootnoteAnchor"/>
          <w:rtl w:val="true"/>
        </w:rPr>
        <w:footnoteReference w:id="10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 منه اشتراط ضمانه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حاشیة الشهید ظهور المیل إلیه </w:t>
      </w:r>
      <w:r>
        <w:rPr>
          <w:rStyle w:val="FootnoteAnchor"/>
          <w:rtl w:val="true"/>
        </w:rPr>
        <w:footnoteReference w:id="10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یرد علی هذا عدم اندفاع الغرر باشتراط الضمان،فتأمّل</w:t>
      </w:r>
      <w:r>
        <w:rPr>
          <w:rFonts w:eastAsia="IRNazanin" w:cs="IRNazanin"/>
          <w:color w:val="111111"/>
          <w:sz w:val="28"/>
          <w:szCs w:val="28"/>
          <w:rtl w:val="true"/>
          <w:lang w:bidi="fa-IR"/>
        </w:rPr>
        <w:t>.</w:t>
      </w:r>
      <w:bookmarkStart w:id="387" w:name="pg19861_202483"/>
    </w:p>
    <w:p>
      <w:pPr>
        <w:pStyle w:val="Heading5"/>
        <w:numPr>
          <w:ilvl w:val="4"/>
          <w:numId w:val="1"/>
        </w:numPr>
        <w:rPr/>
      </w:pPr>
      <w:bookmarkStart w:id="388" w:name="__RefHeading___Toc5119135_2314609296"/>
      <w:bookmarkStart w:id="389" w:name="_Toc152"/>
      <w:bookmarkEnd w:id="387"/>
      <w:bookmarkEnd w:id="388"/>
      <w:r>
        <w:rPr>
          <w:rtl w:val="true"/>
        </w:rPr>
        <w:t>مسألة یجوز بیع الآبق مع الضمیمة فی الجملة</w:t>
      </w:r>
      <w:bookmarkEnd w:id="389"/>
    </w:p>
    <w:p>
      <w:pPr>
        <w:pStyle w:val="BookText"/>
        <w:rPr/>
      </w:pPr>
      <w:r>
        <w:rPr>
          <w:rFonts w:ascii="IRNazanin" w:hAnsi="IRNazanin" w:eastAsia="IRNazanin"/>
          <w:color w:val="111111"/>
          <w:sz w:val="28"/>
          <w:sz w:val="28"/>
          <w:szCs w:val="28"/>
          <w:rtl w:val="true"/>
          <w:lang w:bidi="fa-IR"/>
        </w:rPr>
        <w:t xml:space="preserve">کما عن الانتصار </w:t>
      </w:r>
      <w:r>
        <w:rPr>
          <w:rStyle w:val="FootnoteAnchor"/>
          <w:rtl w:val="true"/>
        </w:rPr>
        <w:footnoteReference w:id="1013"/>
      </w:r>
      <w:r>
        <w:rPr>
          <w:rFonts w:ascii="IRNazanin" w:hAnsi="IRNazanin" w:eastAsia="IRNazanin"/>
          <w:color w:val="111111"/>
          <w:sz w:val="28"/>
          <w:sz w:val="28"/>
          <w:szCs w:val="28"/>
          <w:rtl w:val="true"/>
          <w:lang w:bidi="fa-IR"/>
        </w:rPr>
        <w:t xml:space="preserve">و کشف الرموز </w:t>
      </w:r>
      <w:r>
        <w:rPr>
          <w:rStyle w:val="FootnoteAnchor"/>
          <w:rtl w:val="true"/>
        </w:rPr>
        <w:footnoteReference w:id="1014"/>
      </w:r>
      <w:r>
        <w:rPr>
          <w:rFonts w:ascii="IRNazanin" w:hAnsi="IRNazanin" w:eastAsia="IRNazanin"/>
          <w:color w:val="111111"/>
          <w:sz w:val="28"/>
          <w:sz w:val="28"/>
          <w:szCs w:val="28"/>
          <w:rtl w:val="true"/>
          <w:lang w:bidi="fa-IR"/>
        </w:rPr>
        <w:t xml:space="preserve">و التنقیح </w:t>
      </w:r>
      <w:r>
        <w:rPr>
          <w:rStyle w:val="FootnoteAnchor"/>
          <w:rtl w:val="true"/>
        </w:rPr>
        <w:footnoteReference w:id="1015"/>
      </w:r>
      <w:r>
        <w:rPr>
          <w:rFonts w:ascii="IRNazanin" w:hAnsi="IRNazanin" w:eastAsia="IRNazanin"/>
          <w:color w:val="111111"/>
          <w:sz w:val="28"/>
          <w:sz w:val="28"/>
          <w:szCs w:val="28"/>
          <w:rtl w:val="true"/>
          <w:lang w:bidi="fa-IR"/>
        </w:rPr>
        <w:t xml:space="preserve">،بل بلا خلاف کما عن الخلاف </w:t>
      </w:r>
      <w:r>
        <w:rPr>
          <w:rStyle w:val="FootnoteAnchor"/>
          <w:rtl w:val="true"/>
        </w:rPr>
        <w:footnoteReference w:id="1016"/>
      </w:r>
      <w:r>
        <w:rPr>
          <w:rFonts w:ascii="IRNazanin" w:hAnsi="IRNazanin" w:eastAsia="IRNazanin"/>
          <w:color w:val="111111"/>
          <w:sz w:val="28"/>
          <w:sz w:val="28"/>
          <w:szCs w:val="28"/>
          <w:rtl w:val="true"/>
          <w:lang w:bidi="fa-IR"/>
        </w:rPr>
        <w:t>حاکیاً فیه کما عن الانتصار إطباق العامّة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الانتصار خروج البیع بالضمیمة عن کونه غرراً،حیث حکی احتجاج العامّة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،فأنکره علیهم مع الضمیمة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إشکال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لنا التمسّک قبل الإجماعات المحکیّة،المعتضدة بمخالفة من جُعل الرشد فی مخالفته بصحیحة رفاعة النخّاس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یصلح لی أن أشتری من القوم الجاریة الآبقة و أعطیهم</w:t>
      </w:r>
    </w:p>
    <w:p>
      <w:pPr>
        <w:pStyle w:val="BookText"/>
        <w:rPr/>
      </w:pPr>
      <w:r>
        <w:rPr>
          <w:rFonts w:ascii="IRNazanin" w:hAnsi="IRNazanin" w:eastAsia="IRNazanin"/>
          <w:color w:val="111111"/>
          <w:sz w:val="28"/>
          <w:sz w:val="28"/>
          <w:szCs w:val="28"/>
          <w:rtl w:val="true"/>
          <w:lang w:bidi="fa-IR"/>
        </w:rPr>
        <w:t>الثمن و أطلبها أنا؟قال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شراؤها إلّا أن تشتری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معها شیئاً </w:t>
      </w:r>
      <w:r>
        <w:rPr>
          <w:rStyle w:val="FootnoteAnchor"/>
          <w:rtl w:val="true"/>
        </w:rPr>
        <w:footnoteReference w:id="10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 أو متاعاً،فتقول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أشتری منکم جاریتکم فلانة و هذا المتاع بکذا و کذا درهماً،فإنّ ذلک جائز</w:t>
      </w:r>
      <w:r>
        <w:rPr>
          <w:rFonts w:eastAsia="IRNazanin" w:cs="IRNazanin"/>
          <w:color w:val="111111"/>
          <w:sz w:val="28"/>
          <w:szCs w:val="28"/>
          <w:rtl w:val="true"/>
          <w:lang w:bidi="fa-IR"/>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سماعة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قد یشتری العبد و هو آبقٌ عن أهله؟قال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یصلح إلّا أن یشتری معه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w:t>
      </w:r>
      <w:r>
        <w:rPr>
          <w:rStyle w:val="FootnoteAnchor"/>
          <w:rtl w:val="true"/>
        </w:rPr>
        <w:footnoteReference w:id="10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أشتری منک هذا الشیء و عبدک بکذا و کذا </w:t>
      </w:r>
      <w:r>
        <w:rPr>
          <w:rStyle w:val="FootnoteAnchor"/>
          <w:rtl w:val="true"/>
        </w:rPr>
        <w:footnoteReference w:id="10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یقدر علی العبد کان الذی نقده فیما اشتری معه</w:t>
      </w:r>
      <w:r>
        <w:rPr>
          <w:rFonts w:eastAsia="IRNazanin" w:cs="IRNazanin"/>
          <w:color w:val="111111"/>
          <w:sz w:val="28"/>
          <w:szCs w:val="28"/>
          <w:rtl w:val="true"/>
          <w:lang w:bidi="fa-IR"/>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السؤال فی الأُولی و الجواب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بصورة رجاء الوجدان،و هو الظاهر أیضاً من معاقد الإجماعات المنقولة، فالمأیوس عادةً من الظفر به الملحق بالتالف لا یجوز جعله جزءاً من المبیع؛لأنّ بذل جزءٍ من الثمن فی مقابله لو لم یکن سفهاً أو أکلاً للمال بالباطل لجاز جعله ثمناً </w:t>
      </w:r>
      <w:r>
        <w:rPr>
          <w:rStyle w:val="FootnoteAnchor"/>
          <w:rtl w:val="true"/>
        </w:rPr>
        <w:footnoteReference w:id="1022"/>
      </w:r>
      <w:r>
        <w:rPr>
          <w:rFonts w:ascii="IRNazanin" w:hAnsi="IRNazanin" w:eastAsia="IRNazanin"/>
          <w:color w:val="111111"/>
          <w:sz w:val="28"/>
          <w:sz w:val="28"/>
          <w:szCs w:val="28"/>
          <w:rtl w:val="true"/>
          <w:lang w:bidi="fa-IR"/>
        </w:rPr>
        <w:t xml:space="preserve">یباع به مستقلا،فالمانع عن استقلاله بالبیع مانع عن جعله جزء مبیع </w:t>
      </w:r>
      <w:r>
        <w:rPr>
          <w:rStyle w:val="FootnoteAnchor"/>
          <w:rtl w:val="true"/>
        </w:rPr>
        <w:footnoteReference w:id="1023"/>
      </w:r>
      <w:r>
        <w:rPr>
          <w:rFonts w:ascii="IRNazanin" w:hAnsi="IRNazanin" w:eastAsia="IRNazanin"/>
          <w:color w:val="111111"/>
          <w:sz w:val="28"/>
          <w:sz w:val="28"/>
          <w:szCs w:val="28"/>
          <w:rtl w:val="true"/>
          <w:lang w:bidi="fa-IR"/>
        </w:rPr>
        <w:t>،للنهی عن الغرر،السلیم عن</w:t>
      </w:r>
    </w:p>
    <w:p>
      <w:pPr>
        <w:pStyle w:val="BookText"/>
        <w:rPr/>
      </w:pPr>
      <w:r>
        <w:rPr>
          <w:rFonts w:ascii="Amiri" w:hAnsi="Amiri" w:eastAsia="Amiri" w:cs="Amiri"/>
          <w:color w:val="111111"/>
          <w:sz w:val="28"/>
          <w:sz w:val="28"/>
          <w:szCs w:val="28"/>
          <w:rtl w:val="true"/>
          <w:lang w:bidi="ar-SA"/>
        </w:rPr>
        <w:t xml:space="preserve">المخصّص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نعم،یصحّ تملّکه علی وجه التبعیّة للمبیع باشتراطٍ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الظاهر اعتبار کون الضمیمة ممّا یصحّ بیعها،و أمّا صحّة بیعها منفردة فلا یظهر </w:t>
      </w:r>
      <w:r>
        <w:rPr>
          <w:rStyle w:val="FootnoteAnchor"/>
          <w:rtl w:val="true"/>
        </w:rPr>
        <w:footnoteReference w:id="1025"/>
      </w:r>
      <w:r>
        <w:rPr>
          <w:rFonts w:ascii="IRNazanin" w:hAnsi="IRNazanin" w:eastAsia="IRNazanin"/>
          <w:color w:val="111111"/>
          <w:sz w:val="28"/>
          <w:sz w:val="28"/>
          <w:szCs w:val="28"/>
          <w:rtl w:val="true"/>
          <w:lang w:bidi="fa-IR"/>
        </w:rPr>
        <w:t xml:space="preserve">من الروایة </w:t>
      </w:r>
      <w:r>
        <w:rPr>
          <w:rStyle w:val="FootnoteAnchor"/>
          <w:rtl w:val="true"/>
        </w:rPr>
        <w:footnoteReference w:id="1026"/>
      </w:r>
      <w:r>
        <w:rPr>
          <w:rFonts w:ascii="IRNazanin" w:hAnsi="IRNazanin" w:eastAsia="IRNazanin"/>
          <w:color w:val="111111"/>
          <w:sz w:val="28"/>
          <w:sz w:val="28"/>
          <w:szCs w:val="28"/>
          <w:rtl w:val="true"/>
          <w:lang w:bidi="fa-IR"/>
        </w:rPr>
        <w:t xml:space="preserve">،فلو أضاف إلی الضمیمة مَن تعذّر تسلیمه کفی </w:t>
      </w:r>
      <w:r>
        <w:rPr>
          <w:rStyle w:val="FootnoteAnchor"/>
          <w:rtl w:val="true"/>
        </w:rPr>
        <w:footnoteReference w:id="1027"/>
      </w:r>
      <w:r>
        <w:rPr>
          <w:rFonts w:ascii="IRNazanin" w:hAnsi="IRNazanin" w:eastAsia="IRNazanin"/>
          <w:color w:val="111111"/>
          <w:sz w:val="28"/>
          <w:sz w:val="28"/>
          <w:szCs w:val="28"/>
          <w:rtl w:val="true"/>
          <w:lang w:bidi="fa-IR"/>
        </w:rPr>
        <w:t xml:space="preserve">،و لا </w:t>
      </w:r>
      <w:r>
        <w:rPr>
          <w:rStyle w:val="FootnoteAnchor"/>
          <w:rtl w:val="true"/>
        </w:rPr>
        <w:footnoteReference w:id="1028"/>
      </w:r>
      <w:r>
        <w:rPr>
          <w:rFonts w:ascii="IRNazanin" w:hAnsi="IRNazanin" w:eastAsia="IRNazanin"/>
          <w:color w:val="111111"/>
          <w:sz w:val="28"/>
          <w:sz w:val="28"/>
          <w:szCs w:val="28"/>
          <w:rtl w:val="true"/>
          <w:lang w:bidi="fa-IR"/>
        </w:rPr>
        <w:t>یکفی ضمّ المنفعة إلّا إذا فهمنا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الحکم بوجود ما یمکن مقابلته بالثمن،فیکون ذکر اشتراط الضمیمة معه من باب المثال أو کنایة عن نقل مالٍ أو حقٍّ إلیه مع الآبق؛لئلّا یخلو الثمن عن المقابل؛فتأمّل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إشکال فی انتقال الآبق إلی المشتری،إلّا أنّه لو بقی علی إباقه و صار فی حکم التالف لم یرجع علی البائع بشیء و إن اقتضی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العبارة غلط،و فی بعض النسخ المصحّحة من القاری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المصنّف شطب علیها بقلمه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الغلطیّة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ما ذکره من الملازمة بین جواز جعل الشیء جزء المبیع و بین جواز جعله تمام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بیع الآبق منفرداً عن الضمیمة مع رجاء الوجدان،مع أنّه باطل إجماعاً و نصّاً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هدایة الطالب</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قبل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استرداد ما قابلة من الثمن،فلیس معنی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لم یقدر علی الآبق وقعت المعاوضة علی الضمیمة و الثمن </w:t>
      </w:r>
      <w:r>
        <w:rPr>
          <w:rStyle w:val="FootnoteAnchor"/>
          <w:rtl w:val="true"/>
        </w:rPr>
        <w:footnoteReference w:id="1029"/>
      </w:r>
      <w:r>
        <w:rPr>
          <w:rFonts w:ascii="IRNazanin" w:hAnsi="IRNazanin" w:eastAsia="IRNazanin"/>
          <w:color w:val="111111"/>
          <w:sz w:val="28"/>
          <w:sz w:val="28"/>
          <w:szCs w:val="28"/>
          <w:rtl w:val="true"/>
          <w:lang w:bidi="fa-IR"/>
        </w:rPr>
        <w:t xml:space="preserve">،لیکون </w:t>
      </w:r>
      <w:r>
        <w:rPr>
          <w:rStyle w:val="FootnoteAnchor"/>
          <w:rtl w:val="true"/>
        </w:rPr>
        <w:footnoteReference w:id="1030"/>
      </w:r>
      <w:r>
        <w:rPr>
          <w:rFonts w:ascii="IRNazanin" w:hAnsi="IRNazanin" w:eastAsia="IRNazanin"/>
          <w:color w:val="111111"/>
          <w:sz w:val="28"/>
          <w:sz w:val="28"/>
          <w:szCs w:val="28"/>
          <w:rtl w:val="true"/>
          <w:lang w:bidi="fa-IR"/>
        </w:rPr>
        <w:t xml:space="preserve">المعاوضة علی المجموع مراعاةً بحصول </w:t>
      </w:r>
      <w:r>
        <w:rPr>
          <w:rStyle w:val="FootnoteAnchor"/>
          <w:rtl w:val="true"/>
        </w:rPr>
        <w:footnoteReference w:id="1031"/>
      </w:r>
      <w:r>
        <w:rPr>
          <w:rFonts w:ascii="IRNazanin" w:hAnsi="IRNazanin" w:eastAsia="IRNazanin"/>
          <w:color w:val="111111"/>
          <w:sz w:val="28"/>
          <w:sz w:val="28"/>
          <w:szCs w:val="28"/>
          <w:rtl w:val="true"/>
          <w:lang w:bidi="fa-IR"/>
        </w:rPr>
        <w:t>الآبق فی یده، کما یوهمه ظاهر المحکی عن کاشف الرموز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الآبق ما دام آبقاً لیس مبیعاً فی الحقیقة،و لا جزءَ مبیع </w:t>
      </w:r>
      <w:r>
        <w:rPr>
          <w:rStyle w:val="FootnoteAnchor"/>
          <w:rtl w:val="true"/>
        </w:rPr>
        <w:footnoteReference w:id="1032"/>
      </w:r>
      <w:r>
        <w:rPr>
          <w:rFonts w:ascii="IRNazanin" w:hAnsi="IRNazanin" w:eastAsia="IRNazanin"/>
          <w:color w:val="111111"/>
          <w:sz w:val="28"/>
          <w:sz w:val="28"/>
          <w:szCs w:val="28"/>
          <w:rtl w:val="true"/>
          <w:lang w:bidi="fa-IR"/>
        </w:rPr>
        <w:t xml:space="preserve">،مع أنّه ذکر بعد ذلک ما یدلّ علی إرادة ما ذکرنا </w:t>
      </w:r>
      <w:r>
        <w:rPr>
          <w:rStyle w:val="FootnoteAnchor"/>
          <w:rtl w:val="true"/>
        </w:rPr>
        <w:footnoteReference w:id="1033"/>
      </w:r>
      <w:r>
        <w:rPr>
          <w:rFonts w:ascii="IRNazanin" w:hAnsi="IRNazanin" w:eastAsia="IRNazanin"/>
          <w:color w:val="111111"/>
          <w:sz w:val="28"/>
          <w:sz w:val="28"/>
          <w:szCs w:val="28"/>
          <w:rtl w:val="true"/>
          <w:lang w:bidi="fa-IR"/>
        </w:rPr>
        <w:t>،بل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یرجع المشتری بتعذّر الآبق الذی هو فی حکم التلف الموجب للرجوع بما یقابله التالف بما یقابله </w:t>
      </w:r>
      <w:r>
        <w:rPr>
          <w:rStyle w:val="FootnoteAnchor"/>
          <w:rtl w:val="true"/>
        </w:rPr>
        <w:footnoteReference w:id="1034"/>
      </w:r>
      <w:r>
        <w:rPr>
          <w:rFonts w:ascii="IRNazanin" w:hAnsi="IRNazanin" w:eastAsia="IRNazanin"/>
          <w:color w:val="111111"/>
          <w:sz w:val="28"/>
          <w:sz w:val="28"/>
          <w:szCs w:val="28"/>
          <w:rtl w:val="true"/>
          <w:lang w:bidi="fa-IR"/>
        </w:rPr>
        <w:t>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تلف قبل الیأس،ففی ذهابه علی المشتری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تلفت الضمیمة قبل القبض</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بعد حصول الآبق فی الید،فالظاهر الرجوع بما قابلة الضمیمة،لا مجموع الثمن؛لأنّ الآبق لا یوزّع علیه الثمن ما دام آبقاً،</w:t>
      </w:r>
    </w:p>
    <w:p>
      <w:pPr>
        <w:pStyle w:val="BookText"/>
        <w:rPr/>
      </w:pPr>
      <w:r>
        <w:rPr>
          <w:rFonts w:ascii="IRNazanin" w:hAnsi="IRNazanin" w:eastAsia="IRNazanin"/>
          <w:color w:val="111111"/>
          <w:sz w:val="28"/>
          <w:sz w:val="28"/>
          <w:szCs w:val="28"/>
          <w:rtl w:val="true"/>
          <w:lang w:bidi="fa-IR"/>
        </w:rPr>
        <w:t>لا بعد الحصول فی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بعد إتلاف المشتری له مع العجز عن التسلیم،کما لو أرسل إلیه طعاماً مسموماً؛لأنّه بمنزلة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قبله،ففی انفساخ البیع فی الآبق تبعاً للضمیمة،أو بقائه بما قابلة من الثمن،وجهان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العقد علی الضمیمة إذا صار کأن لم یکن تبعه العقد علی الآبق؛لأنّه کان سبباً فی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أنّه کان تابعاً له فی الحدوث،فإذا </w:t>
      </w:r>
      <w:r>
        <w:rPr>
          <w:rStyle w:val="FootnoteAnchor"/>
          <w:rtl w:val="true"/>
        </w:rPr>
        <w:footnoteReference w:id="1035"/>
      </w:r>
      <w:r>
        <w:rPr>
          <w:rFonts w:ascii="IRNazanin" w:hAnsi="IRNazanin" w:eastAsia="IRNazanin"/>
          <w:color w:val="111111"/>
          <w:sz w:val="28"/>
          <w:sz w:val="28"/>
          <w:szCs w:val="28"/>
          <w:rtl w:val="true"/>
          <w:lang w:bidi="fa-IR"/>
        </w:rPr>
        <w:t>تحقّق تملّک المشتری له، فاللازم من جعل الضمیمة کأن لم یعقد علیها رأساً،هو انحلال المقابلة الحاصلة بینه و بین ما یخصّه من الثمن،لا الحکم الآخر الذی کان یتبعه فی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ظاهر النصّ </w:t>
      </w:r>
      <w:r>
        <w:rPr>
          <w:rStyle w:val="FootnoteAnchor"/>
          <w:rtl w:val="true"/>
        </w:rPr>
        <w:footnoteReference w:id="1036"/>
      </w:r>
      <w:r>
        <w:rPr>
          <w:rFonts w:ascii="IRNazanin" w:hAnsi="IRNazanin" w:eastAsia="IRNazanin"/>
          <w:color w:val="111111"/>
          <w:sz w:val="28"/>
          <w:sz w:val="28"/>
          <w:szCs w:val="28"/>
          <w:rtl w:val="true"/>
          <w:lang w:bidi="fa-IR"/>
        </w:rPr>
        <w:t>أنّه لا یقابل الآبق بجزءٍ من الثمن أصلاً،و لا یوضع له شیءٌ منه أبداً علی تقدیر عدم الظفر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ظهر حکم ما لو فرض فسخ العقد من جهة الضمیمة فقط،لاشتراط خیارٍ یخصّ بها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نعم،لو عقد علی الضمیمة فضولاً و لم یجز مالکها انفسخ العقد بالنسبة إلی المجموع</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لو وجد المشتری فی الآبق عیباً سابقاً،إمّا بعد القدرة علیه أو قبلها،کان له الرجوع بأرشه،کذا قیل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bookmarkStart w:id="390" w:name="pg19861_202488"/>
    </w:p>
    <w:p>
      <w:pPr>
        <w:pStyle w:val="Heading4"/>
        <w:numPr>
          <w:ilvl w:val="3"/>
          <w:numId w:val="1"/>
        </w:numPr>
        <w:rPr/>
      </w:pPr>
      <w:bookmarkStart w:id="391" w:name="__RefHeading___Toc5119137_2314609296"/>
      <w:bookmarkStart w:id="392" w:name="_Toc153"/>
      <w:bookmarkEnd w:id="390"/>
      <w:bookmarkEnd w:id="391"/>
      <w:r>
        <w:rPr>
          <w:rtl w:val="true"/>
        </w:rPr>
        <w:t xml:space="preserve">مسألة </w:t>
      </w:r>
      <w:r>
        <w:rPr>
          <w:rtl w:val="true"/>
        </w:rPr>
        <w:t>[</w:t>
      </w:r>
      <w:r>
        <w:rPr>
          <w:rtl w:val="true"/>
        </w:rPr>
        <w:t>من شروط العوضین</w:t>
      </w:r>
      <w:r>
        <w:rPr>
          <w:rtl w:val="true"/>
        </w:rPr>
        <w:t>:</w:t>
      </w:r>
      <w:r>
        <w:rPr>
          <w:rtl w:val="true"/>
        </w:rPr>
        <w:t>العلم بقدر الثمن</w:t>
      </w:r>
      <w:r>
        <w:rPr>
          <w:rtl w:val="true"/>
        </w:rPr>
        <w:t>]</w:t>
      </w:r>
      <w:bookmarkEnd w:id="39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شروط العوضین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بقدر الثمن</w:t>
      </w:r>
      <w:r>
        <w:rPr>
          <w:rFonts w:eastAsia="IRNazanin" w:cs="IRNazanin"/>
          <w:color w:val="111111"/>
          <w:sz w:val="28"/>
          <w:szCs w:val="28"/>
          <w:rtl w:val="true"/>
          <w:lang w:bidi="fa-IR"/>
        </w:rPr>
        <w:t xml:space="preserve">] </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 xml:space="preserve">المعروف أنّه یشترط العلم بالثمن قدراً،فلو باع بحکم أحدهما بطل إجماعاً،کما عن المختلف و التذکرة </w:t>
      </w:r>
      <w:r>
        <w:rPr>
          <w:rStyle w:val="FootnoteAnchor"/>
          <w:rtl w:val="true"/>
        </w:rPr>
        <w:footnoteReference w:id="1040"/>
      </w:r>
      <w:r>
        <w:rPr>
          <w:rFonts w:ascii="IRNazanin" w:hAnsi="IRNazanin" w:eastAsia="IRNazanin"/>
          <w:color w:val="111111"/>
          <w:sz w:val="28"/>
          <w:sz w:val="28"/>
          <w:szCs w:val="28"/>
          <w:rtl w:val="true"/>
          <w:lang w:bidi="fa-IR"/>
        </w:rPr>
        <w:t xml:space="preserve">،و اتفاقاً،کما عن الروضة و حاشیة الفقیه للسلطان </w:t>
      </w:r>
      <w:r>
        <w:rPr>
          <w:rStyle w:val="FootnoteAnchor"/>
          <w:rtl w:val="true"/>
        </w:rPr>
        <w:footnoteReference w:id="10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السرائر فی مسألة البیع بحکم المشتری إبطاله بأنَّ کلّ مبیع لم یُذکر فیه الثمن فإنّه باطل،بلا خلاف بین المسلمین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الأصل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الغرر</w:t>
      </w:r>
      <w:r>
        <w:rPr>
          <w:rFonts w:eastAsia="IRNazanin" w:cs="IRNazanin"/>
          <w:color w:val="111111"/>
          <w:sz w:val="28"/>
          <w:szCs w:val="28"/>
          <w:rtl w:val="true"/>
          <w:lang w:bidi="fa-IR"/>
        </w:rPr>
        <w:t xml:space="preserve">» </w:t>
      </w:r>
      <w:r>
        <w:rPr>
          <w:rStyle w:val="FootnoteAnchor"/>
          <w:rtl w:val="true"/>
        </w:rPr>
        <w:footnoteReference w:id="1043"/>
      </w:r>
      <w:r>
        <w:rPr>
          <w:rFonts w:ascii="IRNazanin" w:hAnsi="IRNazanin" w:eastAsia="IRNazanin"/>
          <w:color w:val="111111"/>
          <w:sz w:val="28"/>
          <w:sz w:val="28"/>
          <w:szCs w:val="28"/>
          <w:rtl w:val="true"/>
          <w:lang w:bidi="fa-IR"/>
        </w:rPr>
        <w:t>المشهور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التعلیل فی روایة حمّاد بن میسر،عن جعفر،عن أبیه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کره أن یُشتری الثوب بدینار غیر درهم؛لأنّه لا یُدری کم الدینار من الدرهم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 صحیحة رفاعة النخّاس ما ظاهره المنافاة،قال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ساومت رجلاً بجاریة له فباعنیها بحکمی، فقبضتها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ذلک </w:t>
      </w:r>
      <w:r>
        <w:rPr>
          <w:rStyle w:val="FootnoteAnchor"/>
          <w:rtl w:val="true"/>
        </w:rPr>
        <w:footnoteReference w:id="10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بعثت إلیه بألف درهم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ألف درهم </w:t>
      </w:r>
      <w:r>
        <w:rPr>
          <w:rStyle w:val="FootnoteAnchor"/>
          <w:rtl w:val="true"/>
        </w:rPr>
        <w:footnoteReference w:id="1046"/>
      </w:r>
      <w:r>
        <w:rPr>
          <w:rFonts w:ascii="IRNazanin" w:hAnsi="IRNazanin" w:eastAsia="IRNazanin"/>
          <w:color w:val="111111"/>
          <w:sz w:val="28"/>
          <w:sz w:val="28"/>
          <w:szCs w:val="28"/>
          <w:rtl w:val="true"/>
          <w:lang w:bidi="fa-IR"/>
        </w:rPr>
        <w:t xml:space="preserve">حکمی علیک </w:t>
      </w:r>
      <w:r>
        <w:rPr>
          <w:rStyle w:val="FootnoteAnchor"/>
          <w:rtl w:val="true"/>
        </w:rPr>
        <w:footnoteReference w:id="1047"/>
      </w:r>
      <w:r>
        <w:rPr>
          <w:rFonts w:ascii="IRNazanin" w:hAnsi="IRNazanin" w:eastAsia="IRNazanin"/>
          <w:color w:val="111111"/>
          <w:sz w:val="28"/>
          <w:sz w:val="28"/>
          <w:szCs w:val="28"/>
          <w:rtl w:val="true"/>
          <w:lang w:bidi="fa-IR"/>
        </w:rPr>
        <w:t xml:space="preserve">فأبی أن یقبلها </w:t>
      </w:r>
      <w:r>
        <w:rPr>
          <w:rStyle w:val="FootnoteAnchor"/>
          <w:rtl w:val="true"/>
        </w:rPr>
        <w:footnoteReference w:id="1048"/>
      </w:r>
      <w:r>
        <w:rPr>
          <w:rFonts w:ascii="IRNazanin" w:hAnsi="IRNazanin" w:eastAsia="IRNazanin"/>
          <w:color w:val="111111"/>
          <w:sz w:val="28"/>
          <w:sz w:val="28"/>
          <w:szCs w:val="28"/>
          <w:rtl w:val="true"/>
          <w:lang w:bidi="fa-IR"/>
        </w:rPr>
        <w:t>منّی و قد کنت مسستها قبل أن أبعث إلیه بألف درهم؟فقال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أری أن تقوّم الجاریة بقیمة عادلة،فإن کان قیمتها أکثر ممّا بعثت </w:t>
      </w:r>
      <w:r>
        <w:rPr>
          <w:rStyle w:val="FootnoteAnchor"/>
          <w:rtl w:val="true"/>
        </w:rPr>
        <w:footnoteReference w:id="1049"/>
      </w:r>
      <w:r>
        <w:rPr>
          <w:rFonts w:ascii="IRNazanin" w:hAnsi="IRNazanin" w:eastAsia="IRNazanin"/>
          <w:color w:val="111111"/>
          <w:sz w:val="28"/>
          <w:sz w:val="28"/>
          <w:szCs w:val="28"/>
          <w:rtl w:val="true"/>
          <w:lang w:bidi="fa-IR"/>
        </w:rPr>
        <w:t>إلیه کان علیک أن تردّ ما نقص من القیمة،و إن کان قیمتها أقلّ ممّا بعثت إلیه فهو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10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إن أصبت بها عیباً بعد أن مسستها؟قال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علیک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أن تردّها علیه،و لک أن تأخذ قیمة ما بین الصحّة و العیب</w:t>
      </w:r>
      <w:r>
        <w:rPr>
          <w:rFonts w:eastAsia="IRNazanin" w:cs="IRNazanin"/>
          <w:color w:val="111111"/>
          <w:sz w:val="28"/>
          <w:szCs w:val="28"/>
          <w:rtl w:val="true"/>
          <w:lang w:bidi="fa-IR"/>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التأویل فیها متعیّن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لمنافاة ظاهرها لصحّة البیع و فساده، فلا یتوهّم جواز التمسّک بها لصحّة هذا البیع؛إذ لو کان صحیحاً لم یکن معنی لوجوب قیمة مثلها بعد تحقّق البیع بثمن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هی محتاجةٌ إلی أزید من هذا التأویل؛بناءً علی القول بالفساد </w:t>
      </w:r>
      <w:r>
        <w:rPr>
          <w:rStyle w:val="FootnoteAnchor"/>
          <w:rtl w:val="true"/>
        </w:rPr>
        <w:footnoteReference w:id="10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باعنیها بحکمی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المساومة علی أن اقوّمها علی نفسی بقیمتها العادلة </w:t>
      </w:r>
      <w:r>
        <w:rPr>
          <w:rStyle w:val="FootnoteAnchor"/>
          <w:rtl w:val="true"/>
        </w:rPr>
        <w:footnoteReference w:id="1054"/>
      </w:r>
      <w:r>
        <w:rPr>
          <w:rFonts w:ascii="IRNazanin" w:hAnsi="IRNazanin" w:eastAsia="IRNazanin"/>
          <w:color w:val="111111"/>
          <w:sz w:val="28"/>
          <w:sz w:val="28"/>
          <w:szCs w:val="28"/>
          <w:rtl w:val="true"/>
          <w:lang w:bidi="fa-IR"/>
        </w:rPr>
        <w:t>فی نظری حیث إنّ رفاعة کان نخّاساً یبیع و یشتری الرقیق فقوّمها رفاعة علی نفسه بألف درهم إمّا معاطاةً،و إمّا مع إنشاء الإیجاب وکالةً و القبول أصالةً،فلمّا مسّها و بعث الدراهم لم یقبلها المالک،لظهور غبنٍ له فی البیع،و أنّ رفاعة مخطئ فی القیمة،أو لثبوت خیار الحیوان للبائع علی القول به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قیمتها أکثر فعلیک أن تردّ ما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یراد به لزوم ذلک علیه من باب إرضاء المالک إذا أراد إمساک الجاریة؛ حیث إنّ المالک لا حاجة له فی الجاریة فیسقط خیاره ببذل التفاوت، و إمّا أن یحمل علی حصول الحَبَل بعد المسّ،فصارت أُمّ ولد تعیّن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علیه قیمتها إذا فسخ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یحمل علی صورة تلف الجاریة،و ینافیه قوله فیما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علیک أن تردّها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کان،فالحکم بصحّة البیع بحکم المشتری،و انصراف الثمن إلی القیمة السوقیّة،لهذه الروایة کما حکی عن ظاهر الحدائق </w:t>
      </w:r>
      <w:r>
        <w:rPr>
          <w:rStyle w:val="FootnoteAnchor"/>
          <w:rtl w:val="true"/>
        </w:rPr>
        <w:footnoteReference w:id="1056"/>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منه ما عن الإسکافی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تجویز قول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بسعر ما 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یکون للمشتری الخیار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فی نفسه إذا کان غرراً فهو باطل فلا یجبره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بیع خیار الرؤیة فذکر الأوصاف فیه بمنزلة اشتراطها المانع عن حصول الغرر،کما تقدّم عند حکایة قول الإسکافی فی مسألة القدرة علی التسلیم</w:t>
      </w:r>
      <w:r>
        <w:rPr>
          <w:rFonts w:eastAsia="IRNazanin" w:cs="IRNazanin"/>
          <w:color w:val="111111"/>
          <w:sz w:val="28"/>
          <w:szCs w:val="28"/>
          <w:rtl w:val="true"/>
          <w:lang w:bidi="fa-IR"/>
        </w:rPr>
        <w:t>.</w:t>
      </w:r>
      <w:bookmarkStart w:id="393" w:name="pg19861_202492"/>
    </w:p>
    <w:p>
      <w:pPr>
        <w:pStyle w:val="Heading4"/>
        <w:numPr>
          <w:ilvl w:val="3"/>
          <w:numId w:val="1"/>
        </w:numPr>
        <w:rPr/>
      </w:pPr>
      <w:bookmarkStart w:id="394" w:name="__RefHeading___Toc5119139_2314609296"/>
      <w:bookmarkStart w:id="395" w:name="_Toc154"/>
      <w:bookmarkEnd w:id="393"/>
      <w:bookmarkEnd w:id="394"/>
      <w:r>
        <w:rPr>
          <w:rtl w:val="true"/>
        </w:rPr>
        <w:t xml:space="preserve">مسألة </w:t>
      </w:r>
      <w:r>
        <w:rPr>
          <w:rtl w:val="true"/>
        </w:rPr>
        <w:t>[</w:t>
      </w:r>
      <w:r>
        <w:rPr>
          <w:rtl w:val="true"/>
        </w:rPr>
        <w:t>من شروط العوضین</w:t>
      </w:r>
      <w:r>
        <w:rPr>
          <w:rtl w:val="true"/>
        </w:rPr>
        <w:t>:</w:t>
      </w:r>
      <w:r>
        <w:rPr>
          <w:rtl w:val="true"/>
        </w:rPr>
        <w:t>العلم بقدر المثمن</w:t>
      </w:r>
      <w:r>
        <w:rPr>
          <w:rtl w:val="true"/>
        </w:rPr>
        <w:t>]</w:t>
      </w:r>
      <w:bookmarkEnd w:id="395"/>
    </w:p>
    <w:p>
      <w:pPr>
        <w:pStyle w:val="Heading5"/>
        <w:numPr>
          <w:ilvl w:val="4"/>
          <w:numId w:val="1"/>
        </w:numPr>
        <w:rPr/>
      </w:pPr>
      <w:bookmarkStart w:id="396" w:name="__RefHeading___Toc5119141_2314609296"/>
      <w:bookmarkStart w:id="397" w:name="_Toc155"/>
      <w:bookmarkEnd w:id="396"/>
      <w:r>
        <w:rPr>
          <w:rtl w:val="true"/>
        </w:rPr>
        <w:t>اشاره</w:t>
      </w:r>
      <w:bookmarkEnd w:id="397"/>
    </w:p>
    <w:p>
      <w:pPr>
        <w:pStyle w:val="BookText"/>
        <w:rPr/>
      </w:pP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بقدر المثمن کالثمن شرطٌ،بإجماع علمائنا،کما عن التذکرة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علی المجهول باطل،بلا خلاف </w:t>
      </w:r>
      <w:r>
        <w:rPr>
          <w:rStyle w:val="FootnoteAnchor"/>
          <w:rtl w:val="true"/>
        </w:rPr>
        <w:footnoteReference w:id="10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یباع کیلاً فلا یصحّ بیعه جزافاً و إن شوهد،إجماعاً </w:t>
      </w:r>
      <w:r>
        <w:rPr>
          <w:rStyle w:val="FootnoteAnchor"/>
          <w:rtl w:val="true"/>
        </w:rPr>
        <w:footnoteReference w:id="10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یباع وزناً فلا یباع کیلاً،بلا خلاف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الأصل فی ذلک ما تقدّم من النبویّ المشهور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 w:name="__RefHeading___Toc5119143_2314609296"/>
      <w:bookmarkStart w:id="399" w:name="_Toc156"/>
      <w:bookmarkEnd w:id="398"/>
      <w:r>
        <w:rPr>
          <w:rtl w:val="true"/>
        </w:rPr>
        <w:t>و فی خصوص الکیل و الوزن خصوص الأخبار المعتبرة</w:t>
      </w:r>
      <w:r>
        <w:rPr>
          <w:rtl w:val="true"/>
        </w:rPr>
        <w:t>:</w:t>
      </w:r>
      <w:bookmarkEnd w:id="399"/>
    </w:p>
    <w:p>
      <w:pPr>
        <w:pStyle w:val="Heading6"/>
        <w:numPr>
          <w:ilvl w:val="5"/>
          <w:numId w:val="1"/>
        </w:numPr>
        <w:rPr/>
      </w:pPr>
      <w:bookmarkStart w:id="400" w:name="__RefHeading___Toc5119145_2314609296"/>
      <w:bookmarkStart w:id="401" w:name="_Toc157"/>
      <w:bookmarkEnd w:id="400"/>
      <w:r>
        <w:rPr>
          <w:rtl w:val="true"/>
        </w:rPr>
        <w:t>منها</w:t>
      </w:r>
      <w:r>
        <w:rPr>
          <w:rtl w:val="true"/>
        </w:rPr>
        <w:t>:</w:t>
      </w:r>
      <w:r>
        <w:rPr>
          <w:rtl w:val="true"/>
        </w:rPr>
        <w:t>صحیحة الحلبی</w:t>
      </w:r>
      <w:bookmarkEnd w:id="40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Style w:val="FootnoteAnchor"/>
          <w:rtl w:val="true"/>
        </w:rPr>
        <w:footnoteReference w:id="10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رجلٍ اشتری من رجلٍ طعاماً عِدلاً بکیلٍ معلوم،و أنّ صاحبه قال للمشتری</w:t>
      </w:r>
      <w:r>
        <w:rPr>
          <w:rFonts w:eastAsia="Amiri" w:cs="Amiri" w:ascii="Amiri" w:hAnsi="Amiri"/>
          <w:color w:val="111111"/>
          <w:sz w:val="28"/>
          <w:szCs w:val="28"/>
          <w:rtl w:val="true"/>
          <w:lang w:bidi="ar-SA"/>
        </w:rPr>
        <w:t>:</w:t>
      </w:r>
      <w:bookmarkStart w:id="402" w:name="pg19861_202493"/>
    </w:p>
    <w:p>
      <w:pPr>
        <w:pStyle w:val="BookText"/>
        <w:rPr/>
      </w:pPr>
      <w:bookmarkEnd w:id="402"/>
      <w:r>
        <w:rPr>
          <w:rFonts w:ascii="IRNazanin" w:hAnsi="IRNazanin" w:eastAsia="IRNazanin"/>
          <w:color w:val="111111"/>
          <w:sz w:val="28"/>
          <w:sz w:val="28"/>
          <w:szCs w:val="28"/>
          <w:rtl w:val="true"/>
          <w:lang w:bidi="fa-IR"/>
        </w:rPr>
        <w:t>ابتع منّی هذا العِدل الآخر بغیر کیل؛فإنّ فیه مثل ما فی الآخر الذی ابتعت؟قال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إلّا بکیل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 طعامٍ سمّیت فیه کیلاً،فإنّه لا یصلح مجازفةً،هذا ممّا یکره من بیع الطعام</w:t>
      </w:r>
      <w:r>
        <w:rPr>
          <w:rFonts w:eastAsia="IRNazanin" w:cs="IRNazanin"/>
          <w:color w:val="111111"/>
          <w:sz w:val="28"/>
          <w:szCs w:val="28"/>
          <w:rtl w:val="true"/>
          <w:lang w:bidi="fa-IR"/>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بیعه مجازفة</w:t>
      </w:r>
      <w:r>
        <w:rPr>
          <w:rFonts w:eastAsia="IRNazanin" w:cs="IRNazanin"/>
          <w:color w:val="111111"/>
          <w:sz w:val="28"/>
          <w:szCs w:val="28"/>
          <w:rtl w:val="true"/>
          <w:lang w:bidi="fa-IR"/>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3" w:name="__RefHeading___Toc5119147_2314609296"/>
      <w:bookmarkStart w:id="404" w:name="_Toc158"/>
      <w:bookmarkEnd w:id="403"/>
      <w:r>
        <w:rPr>
          <w:rtl w:val="true"/>
        </w:rPr>
        <w:t>[</w:t>
      </w:r>
      <w:r>
        <w:rPr>
          <w:rtl w:val="true"/>
        </w:rPr>
        <w:t>الإیراد علی الصحیحة و الجواب عنه</w:t>
      </w:r>
      <w:r>
        <w:rPr>
          <w:rtl w:val="true"/>
        </w:rPr>
        <w:t>]</w:t>
      </w:r>
      <w:bookmarkEnd w:id="404"/>
    </w:p>
    <w:p>
      <w:pPr>
        <w:pStyle w:val="BookText"/>
        <w:rPr/>
      </w:pPr>
      <w:r>
        <w:rPr>
          <w:rFonts w:ascii="IRNazanin" w:hAnsi="IRNazanin" w:eastAsia="IRNazanin"/>
          <w:color w:val="111111"/>
          <w:sz w:val="28"/>
          <w:sz w:val="28"/>
          <w:szCs w:val="28"/>
          <w:rtl w:val="true"/>
          <w:lang w:bidi="fa-IR"/>
        </w:rPr>
        <w:t xml:space="preserve">و الإیراد </w:t>
      </w:r>
      <w:r>
        <w:rPr>
          <w:rStyle w:val="FootnoteAnchor"/>
          <w:rtl w:val="true"/>
        </w:rPr>
        <w:footnoteReference w:id="1067"/>
      </w:r>
      <w:r>
        <w:rPr>
          <w:rFonts w:ascii="IRNazanin" w:hAnsi="IRNazanin" w:eastAsia="IRNazanin"/>
          <w:color w:val="111111"/>
          <w:sz w:val="28"/>
          <w:sz w:val="28"/>
          <w:szCs w:val="28"/>
          <w:rtl w:val="true"/>
          <w:lang w:bidi="fa-IR"/>
        </w:rPr>
        <w:t>علی دلالة الصحیحة بالإجمال،أو باشتمالها علی خلاف المشهور من عدم تصدیق البائع،غیر وجیه؛لأنّ الظاهر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فیه 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یذکر فیه الکیل،فهی کنایةٌ عن کونه مکیلاً فی العادة،اللهمّ إلّا أن یقال </w:t>
      </w:r>
      <w:r>
        <w:rPr>
          <w:rStyle w:val="FootnoteAnchor"/>
          <w:rtl w:val="true"/>
        </w:rPr>
        <w:footnoteReference w:id="10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توصیف الطعام بکونه کذلک الظاهر فی التنویع،مع أنّه لیس من الطعام ما لا یکال و لا یوزن إلّا </w:t>
      </w:r>
      <w:r>
        <w:rPr>
          <w:rStyle w:val="FootnoteAnchor"/>
          <w:rtl w:val="true"/>
        </w:rPr>
        <w:footnoteReference w:id="1069"/>
      </w:r>
      <w:r>
        <w:rPr>
          <w:rFonts w:ascii="Amiri" w:hAnsi="Amiri" w:eastAsia="Amiri" w:cs="Amiri"/>
          <w:color w:val="111111"/>
          <w:sz w:val="28"/>
          <w:sz w:val="28"/>
          <w:szCs w:val="28"/>
          <w:rtl w:val="true"/>
          <w:lang w:bidi="ar-SA"/>
        </w:rPr>
        <w:t xml:space="preserve">مثل الزرع قائماً یبعّد </w:t>
      </w:r>
      <w:r>
        <w:rPr>
          <w:rStyle w:val="FootnoteAnchor"/>
          <w:rtl w:val="true"/>
        </w:rPr>
        <w:footnoteReference w:id="1070"/>
      </w:r>
      <w:r>
        <w:rPr>
          <w:rFonts w:ascii="IRNazanin" w:hAnsi="IRNazanin" w:eastAsia="IRNazanin"/>
          <w:color w:val="111111"/>
          <w:sz w:val="28"/>
          <w:sz w:val="28"/>
          <w:szCs w:val="28"/>
          <w:rtl w:val="true"/>
          <w:lang w:bidi="fa-IR"/>
        </w:rPr>
        <w:t>إرادة هذا المعنی،فتأمّل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بعدم تصدیق البائع فمحمولٌ علی شرائه سواءً زاد أو نقص،خصوصاً إذا لم یطمئنّ بتصدیقه،لا شرائه علی أنّه القدر المعیّن الذی أخبر به البائع؛فإنّ هذا لا یصدق علیه الجزاف</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أخبره البائع بکیله ثمّ باعه بذلک الکیل،صحّ عندنا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bookmarkStart w:id="405" w:name="pg19861_202494"/>
    </w:p>
    <w:p>
      <w:pPr>
        <w:pStyle w:val="BookText"/>
        <w:rPr/>
      </w:pPr>
      <w:bookmarkEnd w:id="405"/>
      <w:r>
        <w:rPr>
          <w:rFonts w:ascii="IRNazanin" w:hAnsi="IRNazanin" w:eastAsia="IRNazanin"/>
          <w:color w:val="111111"/>
          <w:sz w:val="28"/>
          <w:sz w:val="28"/>
          <w:szCs w:val="28"/>
          <w:rtl w:val="true"/>
          <w:lang w:bidi="fa-IR"/>
        </w:rPr>
        <w:t>و قال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أعلمه بالکیل،فباعه بثمنٍ،سواءً زاد أو نقص،لم یجز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نسبة الکراهة إلی هذا البیع،فلیس فیه ظهورٌ فی المعنی المصطلح یعارض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الفساد</w:t>
      </w:r>
      <w:r>
        <w:rPr>
          <w:rFonts w:eastAsia="IRNazanin" w:cs="IRNazanin"/>
          <w:color w:val="111111"/>
          <w:sz w:val="28"/>
          <w:szCs w:val="28"/>
          <w:rtl w:val="true"/>
          <w:lang w:bidi="fa-IR"/>
        </w:rPr>
        <w:t>.</w:t>
      </w:r>
    </w:p>
    <w:p>
      <w:pPr>
        <w:pStyle w:val="Heading6"/>
        <w:numPr>
          <w:ilvl w:val="5"/>
          <w:numId w:val="1"/>
        </w:numPr>
        <w:rPr/>
      </w:pPr>
      <w:bookmarkStart w:id="406" w:name="__RefHeading___Toc5119149_2314609296"/>
      <w:bookmarkStart w:id="407" w:name="_Toc159"/>
      <w:bookmarkEnd w:id="406"/>
      <w:r>
        <w:rPr>
          <w:rtl w:val="true"/>
        </w:rPr>
        <w:t>[</w:t>
      </w:r>
      <w:r>
        <w:rPr>
          <w:rtl w:val="true"/>
        </w:rPr>
        <w:t>روایة سماعة</w:t>
      </w:r>
      <w:r>
        <w:rPr>
          <w:rtl w:val="true"/>
        </w:rPr>
        <w:t>]</w:t>
      </w:r>
      <w:bookmarkEnd w:id="407"/>
    </w:p>
    <w:p>
      <w:pPr>
        <w:pStyle w:val="BookText"/>
        <w:rPr/>
      </w:pPr>
      <w:r>
        <w:rPr>
          <w:rFonts w:ascii="IRNazanin" w:hAnsi="IRNazanin" w:eastAsia="IRNazanin"/>
          <w:color w:val="111111"/>
          <w:sz w:val="28"/>
          <w:sz w:val="28"/>
          <w:szCs w:val="28"/>
          <w:rtl w:val="true"/>
          <w:lang w:bidi="fa-IR"/>
        </w:rPr>
        <w:t>و فی الصحیح عن ابن محبوب،عن زرعة،عن سماعة،قال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شراء الطعام و ما یکال و </w:t>
      </w:r>
      <w:r>
        <w:rPr>
          <w:rStyle w:val="FootnoteAnchor"/>
          <w:rtl w:val="true"/>
        </w:rPr>
        <w:footnoteReference w:id="1073"/>
      </w:r>
      <w:r>
        <w:rPr>
          <w:rFonts w:ascii="IRNazanin" w:hAnsi="IRNazanin" w:eastAsia="IRNazanin"/>
          <w:color w:val="111111"/>
          <w:sz w:val="28"/>
          <w:sz w:val="28"/>
          <w:szCs w:val="28"/>
          <w:rtl w:val="true"/>
          <w:lang w:bidi="fa-IR"/>
        </w:rPr>
        <w:t xml:space="preserve">یوزن، </w:t>
      </w:r>
      <w:r>
        <w:rPr>
          <w:rStyle w:val="FootnoteAnchor"/>
          <w:rtl w:val="true"/>
        </w:rPr>
        <w:footnoteReference w:id="1074"/>
      </w:r>
      <w:r>
        <w:rPr>
          <w:rFonts w:ascii="IRNazanin" w:hAnsi="IRNazanin" w:eastAsia="IRNazanin"/>
          <w:color w:val="111111"/>
          <w:sz w:val="28"/>
          <w:sz w:val="28"/>
          <w:szCs w:val="28"/>
          <w:rtl w:val="true"/>
          <w:lang w:bidi="fa-IR"/>
        </w:rPr>
        <w:t>بغیر کیلٍ و لا وزن؟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أن تأتی رجلاً فی طعامٍ قد کیل أو </w:t>
      </w:r>
      <w:r>
        <w:rPr>
          <w:rStyle w:val="FootnoteAnchor"/>
          <w:rtl w:val="true"/>
        </w:rPr>
        <w:footnoteReference w:id="1075"/>
      </w:r>
      <w:r>
        <w:rPr>
          <w:rFonts w:ascii="IRNazanin" w:hAnsi="IRNazanin" w:eastAsia="IRNazanin"/>
          <w:color w:val="111111"/>
          <w:sz w:val="28"/>
          <w:sz w:val="28"/>
          <w:szCs w:val="28"/>
          <w:rtl w:val="true"/>
          <w:lang w:bidi="fa-IR"/>
        </w:rPr>
        <w:t>وزن تشتری منه مرابحةً،فلا بأس إن اشتریته منه و لم تکله و لم تزنه،إذا أخذه المشتری الأوّل بکیلٍ أو وزنٍ و قلت له عند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أُربحک کذا و کذا</w:t>
      </w:r>
      <w:r>
        <w:rPr>
          <w:rFonts w:eastAsia="IRNazanin" w:cs="IRNazanin"/>
          <w:color w:val="111111"/>
          <w:sz w:val="28"/>
          <w:szCs w:val="28"/>
          <w:rtl w:val="true"/>
          <w:lang w:bidi="fa-IR"/>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دلالتها أوضح من الاُولی</w:t>
      </w:r>
      <w:r>
        <w:rPr>
          <w:rFonts w:eastAsia="IRNazanin" w:cs="IRNazanin"/>
          <w:color w:val="111111"/>
          <w:sz w:val="28"/>
          <w:szCs w:val="28"/>
          <w:rtl w:val="true"/>
          <w:lang w:bidi="fa-IR"/>
        </w:rPr>
        <w:t>.</w:t>
      </w:r>
    </w:p>
    <w:p>
      <w:pPr>
        <w:pStyle w:val="Heading6"/>
        <w:numPr>
          <w:ilvl w:val="5"/>
          <w:numId w:val="1"/>
        </w:numPr>
        <w:rPr/>
      </w:pPr>
      <w:bookmarkStart w:id="408" w:name="__RefHeading___Toc5119151_2314609296"/>
      <w:bookmarkStart w:id="409" w:name="_Toc160"/>
      <w:bookmarkEnd w:id="408"/>
      <w:r>
        <w:rPr>
          <w:rtl w:val="true"/>
        </w:rPr>
        <w:t>و روایة أبان،</w:t>
      </w:r>
      <w:bookmarkEnd w:id="409"/>
    </w:p>
    <w:p>
      <w:pPr>
        <w:pStyle w:val="BookText"/>
        <w:rPr/>
      </w:pPr>
      <w:r>
        <w:rPr>
          <w:rFonts w:ascii="IRNazanin" w:hAnsi="IRNazanin" w:eastAsia="IRNazanin"/>
          <w:color w:val="111111"/>
          <w:sz w:val="28"/>
          <w:sz w:val="28"/>
          <w:szCs w:val="28"/>
          <w:rtl w:val="true"/>
          <w:lang w:bidi="fa-IR"/>
        </w:rPr>
        <w:t>عن محمّد بن حمران،قال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اشترینا طعاماً،فزعم صاحبه أنّه کاله،فصدّقناه و أخذناه بکیله؟قال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یجوز أن أبیعه کما اشتریته بغیر کیل؟قال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فلا تبعه حتّی تکیله</w:t>
      </w:r>
      <w:r>
        <w:rPr>
          <w:rFonts w:eastAsia="IRNazanin" w:cs="IRNazanin"/>
          <w:color w:val="111111"/>
          <w:sz w:val="28"/>
          <w:szCs w:val="28"/>
          <w:rtl w:val="true"/>
          <w:lang w:bidi="fa-IR"/>
        </w:rPr>
        <w:t xml:space="preserve">» </w:t>
      </w:r>
      <w:r>
        <w:rPr>
          <w:rStyle w:val="FootnoteAnchor"/>
          <w:rtl w:val="true"/>
        </w:rPr>
        <w:footnoteReference w:id="1077"/>
      </w:r>
      <w:r>
        <w:rPr>
          <w:rFonts w:ascii="IRNazanin" w:hAnsi="IRNazanin" w:eastAsia="IRNazanin"/>
          <w:color w:val="111111"/>
          <w:sz w:val="28"/>
          <w:sz w:val="28"/>
          <w:szCs w:val="28"/>
          <w:rtl w:val="true"/>
          <w:lang w:bidi="fa-IR"/>
        </w:rPr>
        <w:t>،دلّت علی عدم جواز البیع بغیر کیل،إلّا إذا أخبره البائع فصدّقه</w:t>
      </w:r>
      <w:r>
        <w:rPr>
          <w:rFonts w:eastAsia="IRNazanin" w:cs="IRNazanin"/>
          <w:color w:val="111111"/>
          <w:sz w:val="28"/>
          <w:szCs w:val="28"/>
          <w:rtl w:val="true"/>
          <w:lang w:bidi="fa-IR"/>
        </w:rPr>
        <w:t>.</w:t>
      </w:r>
      <w:bookmarkStart w:id="410" w:name="pg19861_202495"/>
    </w:p>
    <w:p>
      <w:pPr>
        <w:pStyle w:val="Heading6"/>
        <w:numPr>
          <w:ilvl w:val="5"/>
          <w:numId w:val="1"/>
        </w:numPr>
        <w:rPr/>
      </w:pPr>
      <w:bookmarkStart w:id="411" w:name="__RefHeading___Toc5119153_2314609296"/>
      <w:bookmarkStart w:id="412" w:name="_Toc161"/>
      <w:bookmarkEnd w:id="410"/>
      <w:bookmarkEnd w:id="411"/>
      <w:r>
        <w:rPr>
          <w:rtl w:val="true"/>
        </w:rPr>
        <w:t>[</w:t>
      </w:r>
      <w:r>
        <w:rPr>
          <w:rtl w:val="true"/>
        </w:rPr>
        <w:t>روایة أبی العطارد</w:t>
      </w:r>
      <w:r>
        <w:rPr>
          <w:rtl w:val="true"/>
        </w:rPr>
        <w:t>]</w:t>
      </w:r>
      <w:bookmarkEnd w:id="412"/>
    </w:p>
    <w:p>
      <w:pPr>
        <w:pStyle w:val="BookText"/>
        <w:rPr/>
      </w:pPr>
      <w:r>
        <w:rPr>
          <w:rFonts w:ascii="IRNazanin" w:hAnsi="IRNazanin" w:eastAsia="IRNazanin"/>
          <w:color w:val="111111"/>
          <w:sz w:val="28"/>
          <w:sz w:val="28"/>
          <w:szCs w:val="28"/>
          <w:rtl w:val="true"/>
          <w:lang w:bidi="fa-IR"/>
        </w:rPr>
        <w:t xml:space="preserve">و فحوی مفهوم </w:t>
      </w:r>
      <w:r>
        <w:rPr>
          <w:rStyle w:val="FootnoteAnchor"/>
          <w:rtl w:val="true"/>
        </w:rPr>
        <w:footnoteReference w:id="1078"/>
      </w:r>
      <w:r>
        <w:rPr>
          <w:rFonts w:ascii="IRNazanin" w:hAnsi="IRNazanin" w:eastAsia="IRNazanin"/>
          <w:color w:val="111111"/>
          <w:sz w:val="28"/>
          <w:sz w:val="28"/>
          <w:szCs w:val="28"/>
          <w:rtl w:val="true"/>
          <w:lang w:bidi="fa-IR"/>
        </w:rPr>
        <w:t>روایة أبی العطارد،و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فاُخرج الکرّ و الکرّین،فیقول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أعطنیه بکیلک،فقال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ائتمنک فلا بأس به</w:t>
      </w:r>
      <w:r>
        <w:rPr>
          <w:rFonts w:eastAsia="IRNazanin" w:cs="IRNazanin"/>
          <w:color w:val="111111"/>
          <w:sz w:val="28"/>
          <w:szCs w:val="28"/>
          <w:rtl w:val="true"/>
          <w:lang w:bidi="fa-IR"/>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3" w:name="__RefHeading___Toc5119155_2314609296"/>
      <w:bookmarkStart w:id="414" w:name="_Toc162"/>
      <w:bookmarkEnd w:id="413"/>
      <w:r>
        <w:rPr>
          <w:rtl w:val="true"/>
        </w:rPr>
        <w:t>و مرسلة ابن بکیر</w:t>
      </w:r>
      <w:bookmarkEnd w:id="414"/>
    </w:p>
    <w:p>
      <w:pPr>
        <w:pStyle w:val="BookText"/>
        <w:rPr/>
      </w:pP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w:t>
      </w:r>
      <w:r>
        <w:rPr>
          <w:rStyle w:val="FootnoteAnchor"/>
          <w:rtl w:val="true"/>
        </w:rPr>
        <w:footnoteReference w:id="1080"/>
      </w:r>
      <w:r>
        <w:rPr>
          <w:rFonts w:ascii="IRNazanin" w:hAnsi="IRNazanin" w:eastAsia="IRNazanin"/>
          <w:color w:val="111111"/>
          <w:sz w:val="28"/>
          <w:sz w:val="28"/>
          <w:szCs w:val="28"/>
          <w:rtl w:val="true"/>
          <w:lang w:bidi="fa-IR"/>
        </w:rPr>
        <w:t>أبا عبد اللّٰه علیه السلام عن الرجل یشتری الجصّ،فیکیل بعضه و یأخذ البقیّة بغیر کیل،فقال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یأخذ کلّه بتصدیقه،و إمّا أن یکیله کلّه</w:t>
      </w:r>
      <w:r>
        <w:rPr>
          <w:rFonts w:eastAsia="IRNazanin" w:cs="IRNazanin"/>
          <w:color w:val="111111"/>
          <w:sz w:val="28"/>
          <w:szCs w:val="28"/>
          <w:rtl w:val="true"/>
          <w:lang w:bidi="fa-IR"/>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المنع من التبعیض المستفاد منه إرشادیّ محمول علی أنّه إن صدّقه فلا حاجة إلی کلفة کیل البعض،و إلّا فلا یجزئ کیل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الروایة الحمل علی استیفاء المبیع بعد الاشتراء</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کان،ففی مجموع ما ذکر من الأخبار،و ما لم یذکر ممّا فیه إیماء إلی المطلب من حیث ظهوره فی کون الحکم مفروغاً عنه عند السائل،و تقریر الإمام علیه السلام،کما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 ما لا یستطاع عدّه</w:t>
      </w:r>
      <w:r>
        <w:rPr>
          <w:rFonts w:eastAsia="IRNazanin" w:cs="IRNazanin"/>
          <w:color w:val="111111"/>
          <w:sz w:val="28"/>
          <w:szCs w:val="28"/>
          <w:rtl w:val="true"/>
          <w:lang w:bidi="fa-IR"/>
        </w:rPr>
        <w:t xml:space="preserve">» </w:t>
      </w:r>
      <w:r>
        <w:rPr>
          <w:rStyle w:val="FootnoteAnchor"/>
          <w:rtl w:val="true"/>
        </w:rPr>
        <w:footnoteReference w:id="1082"/>
      </w:r>
      <w:r>
        <w:rPr>
          <w:rFonts w:ascii="IRNazanin" w:hAnsi="IRNazanin" w:eastAsia="IRNazanin"/>
          <w:color w:val="111111"/>
          <w:sz w:val="28"/>
          <w:sz w:val="28"/>
          <w:szCs w:val="28"/>
          <w:rtl w:val="true"/>
          <w:lang w:bidi="fa-IR"/>
        </w:rPr>
        <w:t xml:space="preserve">و غیرها مع ما ذکر من الشهرة المحقّقة و الاتفاقات المنقولة </w:t>
      </w:r>
      <w:r>
        <w:rPr>
          <w:rStyle w:val="FootnoteAnchor"/>
          <w:rtl w:val="true"/>
        </w:rPr>
        <w:footnoteReference w:id="1083"/>
      </w:r>
      <w:r>
        <w:rPr>
          <w:rFonts w:ascii="IRNazanin" w:hAnsi="IRNazanin" w:eastAsia="IRNazanin"/>
          <w:color w:val="111111"/>
          <w:sz w:val="28"/>
          <w:sz w:val="28"/>
          <w:szCs w:val="28"/>
          <w:rtl w:val="true"/>
          <w:lang w:bidi="fa-IR"/>
        </w:rPr>
        <w:t>کفایة فی المسألة</w:t>
      </w:r>
      <w:r>
        <w:rPr>
          <w:rFonts w:eastAsia="IRNazanin" w:cs="IRNazanin"/>
          <w:color w:val="111111"/>
          <w:sz w:val="28"/>
          <w:szCs w:val="28"/>
          <w:rtl w:val="true"/>
          <w:lang w:bidi="fa-IR"/>
        </w:rPr>
        <w:t>.</w:t>
      </w:r>
      <w:bookmarkStart w:id="415" w:name="pg19861_202496"/>
    </w:p>
    <w:p>
      <w:pPr>
        <w:pStyle w:val="Heading5"/>
        <w:numPr>
          <w:ilvl w:val="4"/>
          <w:numId w:val="1"/>
        </w:numPr>
        <w:rPr/>
      </w:pPr>
      <w:bookmarkStart w:id="416" w:name="__RefHeading___Toc5119157_2314609296"/>
      <w:bookmarkStart w:id="417" w:name="_Toc163"/>
      <w:bookmarkEnd w:id="415"/>
      <w:bookmarkEnd w:id="416"/>
      <w:r>
        <w:rPr>
          <w:rtl w:val="true"/>
        </w:rPr>
        <w:t>[</w:t>
      </w:r>
      <w:r>
        <w:rPr>
          <w:rtl w:val="true"/>
        </w:rPr>
        <w:t>هل الحکم منوط بالغرر الشخصی أم لا</w:t>
      </w:r>
      <w:r>
        <w:rPr>
          <w:rtl w:val="true"/>
        </w:rPr>
        <w:t>]</w:t>
      </w:r>
      <w:bookmarkEnd w:id="417"/>
    </w:p>
    <w:p>
      <w:pPr>
        <w:pStyle w:val="BookText"/>
        <w:rPr/>
      </w:pPr>
      <w:r>
        <w:rPr>
          <w:rFonts w:ascii="IRNazanin" w:hAnsi="IRNazanin" w:eastAsia="IRNazanin"/>
          <w:color w:val="111111"/>
          <w:sz w:val="28"/>
          <w:sz w:val="28"/>
          <w:szCs w:val="28"/>
          <w:rtl w:val="true"/>
          <w:lang w:bidi="fa-IR"/>
        </w:rPr>
        <w:t>ثمّ إنّ ظاهر إطلاق جمیع ما ذکر أنّ الحکم لیس منوطاً بالغرر الشخصی و إن کان حکمته سدّ باب المسامحة المفضیة إلی الوقوع فی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حکمة الحکم باعتبار بعض الشروط فی بعض المعاملات رفع المنازعة المتوقّعة عند إهمال ذلک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فیعتبر التقدیر بالکیل و الوزن و إن لم یکن فی شخص المقام غرر،کما لو باع مقداراً من الطعام بما یقابله فی المیزان من جنسه أو غیره المساوی </w:t>
      </w:r>
      <w:r>
        <w:rPr>
          <w:rStyle w:val="FootnoteAnchor"/>
          <w:rtl w:val="true"/>
        </w:rPr>
        <w:footnoteReference w:id="1084"/>
      </w:r>
      <w:r>
        <w:rPr>
          <w:rFonts w:ascii="IRNazanin" w:hAnsi="IRNazanin" w:eastAsia="IRNazanin"/>
          <w:color w:val="111111"/>
          <w:sz w:val="28"/>
          <w:sz w:val="28"/>
          <w:szCs w:val="28"/>
          <w:rtl w:val="true"/>
          <w:lang w:bidi="fa-IR"/>
        </w:rPr>
        <w:t xml:space="preserve">له فی القیمة؛فإنّه لا یتصوّر هنا غرر أصلاً مع الجهل بمقدار کلٍّ من العوضین؛لأنّه </w:t>
      </w:r>
      <w:r>
        <w:rPr>
          <w:rStyle w:val="FootnoteAnchor"/>
          <w:rtl w:val="true"/>
        </w:rPr>
        <w:footnoteReference w:id="1085"/>
      </w:r>
      <w:r>
        <w:rPr>
          <w:rFonts w:ascii="IRNazanin" w:hAnsi="IRNazanin" w:eastAsia="IRNazanin"/>
          <w:color w:val="111111"/>
          <w:sz w:val="28"/>
          <w:sz w:val="28"/>
          <w:szCs w:val="28"/>
          <w:rtl w:val="true"/>
          <w:lang w:bidi="fa-IR"/>
        </w:rPr>
        <w:t xml:space="preserve">مساوٍ للآخر فی المقدار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یحتمل غیر بعید حمل الإطلاقات سیّما الأخبار علی المورد الغالب،و هو ما کان رفع </w:t>
      </w:r>
      <w:r>
        <w:rPr>
          <w:rStyle w:val="FootnoteAnchor"/>
          <w:rtl w:val="true"/>
        </w:rPr>
        <w:footnoteReference w:id="1087"/>
      </w:r>
      <w:r>
        <w:rPr>
          <w:rFonts w:ascii="IRNazanin" w:hAnsi="IRNazanin" w:eastAsia="IRNazanin"/>
          <w:color w:val="111111"/>
          <w:sz w:val="28"/>
          <w:sz w:val="28"/>
          <w:szCs w:val="28"/>
          <w:rtl w:val="true"/>
          <w:lang w:bidi="fa-IR"/>
        </w:rPr>
        <w:t xml:space="preserve">الغرر من حیث مقدار العوضین موقوفاً علی التقدیر،فلو فرض اندفاع الغرر بغیر التقدیر کفی،کما فی الفرض المزبور،و کما إذا کان للمتبایعین حدس قویّ بالمقدار نادر التخلّف عن الواقع،و کما إذا کان المبیع قلیلاً لم یتعارف وضع </w:t>
      </w:r>
      <w:r>
        <w:rPr>
          <w:rStyle w:val="FootnoteAnchor"/>
          <w:rtl w:val="true"/>
        </w:rPr>
        <w:footnoteReference w:id="1088"/>
      </w:r>
      <w:r>
        <w:rPr>
          <w:rFonts w:ascii="IRNazanin" w:hAnsi="IRNazanin" w:eastAsia="IRNazanin"/>
          <w:color w:val="111111"/>
          <w:sz w:val="28"/>
          <w:sz w:val="28"/>
          <w:szCs w:val="28"/>
          <w:rtl w:val="true"/>
          <w:lang w:bidi="fa-IR"/>
        </w:rPr>
        <w:t>المیزان لمثله،کما لو دفع فلساً و أراد به دهناً لحاجة؛فإنّ المیزان لم یوضع لمثله،فیجوز بما تراضیا علیه من التخمین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منافاة بین کون الشیء من جنس المکیل و الموزون،و عدم</w:t>
      </w:r>
    </w:p>
    <w:p>
      <w:pPr>
        <w:pStyle w:val="BookText"/>
        <w:rPr/>
      </w:pPr>
      <w:r>
        <w:rPr>
          <w:rFonts w:ascii="IRNazanin" w:hAnsi="IRNazanin" w:eastAsia="IRNazanin"/>
          <w:color w:val="111111"/>
          <w:sz w:val="28"/>
          <w:sz w:val="28"/>
          <w:szCs w:val="28"/>
          <w:rtl w:val="true"/>
          <w:lang w:bidi="fa-IR"/>
        </w:rPr>
        <w:t xml:space="preserve">دخول الکیل و الوزن فیه،لقلّته کالحبّتین و الثلاثة من الحنطة،أو لکثرته کزبرة الحدید،کما نبّه علیه فی القواعد </w:t>
      </w:r>
      <w:r>
        <w:rPr>
          <w:rStyle w:val="FootnoteAnchor"/>
          <w:rtl w:val="true"/>
        </w:rPr>
        <w:footnoteReference w:id="1089"/>
      </w:r>
      <w:r>
        <w:rPr>
          <w:rFonts w:ascii="IRNazanin" w:hAnsi="IRNazanin" w:eastAsia="IRNazanin"/>
          <w:color w:val="111111"/>
          <w:sz w:val="28"/>
          <w:sz w:val="28"/>
          <w:szCs w:val="28"/>
          <w:rtl w:val="true"/>
          <w:lang w:bidi="fa-IR"/>
        </w:rPr>
        <w:t xml:space="preserve">و شرحها </w:t>
      </w:r>
      <w:r>
        <w:rPr>
          <w:rStyle w:val="FootnoteAnchor"/>
          <w:rtl w:val="true"/>
        </w:rPr>
        <w:footnoteReference w:id="1090"/>
      </w:r>
      <w:r>
        <w:rPr>
          <w:rFonts w:ascii="IRNazanin" w:hAnsi="IRNazanin" w:eastAsia="IRNazanin"/>
          <w:color w:val="111111"/>
          <w:sz w:val="28"/>
          <w:sz w:val="28"/>
          <w:szCs w:val="28"/>
          <w:rtl w:val="true"/>
          <w:lang w:bidi="fa-IR"/>
        </w:rPr>
        <w:t xml:space="preserve">و حاشیتها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یتّجه عدم اعتبار العلم بوزن الفلوس المسکوکة؛فإنّها و إن کانت من الموزون و لذا صرّح فی التذکرة بوقوع الربا فیها </w:t>
      </w:r>
      <w:r>
        <w:rPr>
          <w:rStyle w:val="FootnoteAnchor"/>
          <w:rtl w:val="true"/>
        </w:rPr>
        <w:footnoteReference w:id="1092"/>
      </w:r>
      <w:r>
        <w:rPr>
          <w:rFonts w:ascii="IRNazanin" w:hAnsi="IRNazanin" w:eastAsia="IRNazanin"/>
          <w:color w:val="111111"/>
          <w:sz w:val="28"/>
          <w:sz w:val="28"/>
          <w:szCs w:val="28"/>
          <w:rtl w:val="true"/>
          <w:lang w:bidi="fa-IR"/>
        </w:rPr>
        <w:t xml:space="preserve">إلّا أنّها عند وقوعها ثمناً حکمها کالمعدود فی أنّ معرفة مقدار مالیّتها لا تتوقّف علی وزنها،فهی کالقلیل و الکثیر من الموزون الذی لا یدخله الوزن </w:t>
      </w:r>
      <w:r>
        <w:rPr>
          <w:rStyle w:val="FootnoteAnchor"/>
          <w:rtl w:val="true"/>
        </w:rPr>
        <w:footnoteReference w:id="10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شبه الفلوس من المسکوکات المرکّبة من النحاس و الفضّة کأکثر نقود بغداد فی هذا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الدرهم و الدینار الخالصان </w:t>
      </w:r>
      <w:r>
        <w:rPr>
          <w:rStyle w:val="FootnoteAnchor"/>
          <w:rtl w:val="true"/>
        </w:rPr>
        <w:footnoteReference w:id="1094"/>
      </w:r>
      <w:r>
        <w:rPr>
          <w:rFonts w:ascii="Amiri" w:hAnsi="Amiri" w:eastAsia="Amiri" w:cs="Amiri"/>
          <w:color w:val="111111"/>
          <w:sz w:val="28"/>
          <w:sz w:val="28"/>
          <w:szCs w:val="28"/>
          <w:rtl w:val="true"/>
          <w:lang w:bidi="ar-SA"/>
        </w:rPr>
        <w:t xml:space="preserve">فإنّها </w:t>
      </w:r>
      <w:r>
        <w:rPr>
          <w:rStyle w:val="FootnoteAnchor"/>
          <w:rtl w:val="true"/>
        </w:rPr>
        <w:footnoteReference w:id="1095"/>
      </w:r>
      <w:r>
        <w:rPr>
          <w:rFonts w:ascii="IRNazanin" w:hAnsi="IRNazanin" w:eastAsia="IRNazanin"/>
          <w:color w:val="111111"/>
          <w:sz w:val="28"/>
          <w:sz w:val="28"/>
          <w:szCs w:val="28"/>
          <w:rtl w:val="true"/>
          <w:lang w:bidi="fa-IR"/>
        </w:rPr>
        <w:t>و إن کانت من الموزون و یدخل فیها الربا إجماعاً،إلّا أنّ ذلک</w:t>
      </w:r>
    </w:p>
    <w:p>
      <w:pPr>
        <w:pStyle w:val="BookText"/>
        <w:rPr/>
      </w:pPr>
      <w:r>
        <w:rPr>
          <w:rFonts w:ascii="IRNazanin" w:hAnsi="IRNazanin" w:eastAsia="IRNazanin"/>
          <w:color w:val="111111"/>
          <w:sz w:val="28"/>
          <w:sz w:val="28"/>
          <w:szCs w:val="28"/>
          <w:rtl w:val="true"/>
          <w:lang w:bidi="fa-IR"/>
        </w:rPr>
        <w:t xml:space="preserve">لا ینافی جواز </w:t>
      </w:r>
      <w:r>
        <w:rPr>
          <w:rStyle w:val="FootnoteAnchor"/>
          <w:rtl w:val="true"/>
        </w:rPr>
        <w:footnoteReference w:id="1096"/>
      </w:r>
      <w:r>
        <w:rPr>
          <w:rFonts w:ascii="IRNazanin" w:hAnsi="IRNazanin" w:eastAsia="IRNazanin"/>
          <w:color w:val="111111"/>
          <w:sz w:val="28"/>
          <w:sz w:val="28"/>
          <w:szCs w:val="28"/>
          <w:rtl w:val="true"/>
          <w:lang w:bidi="fa-IR"/>
        </w:rPr>
        <w:t>جعلها عوضاً من دون معرفة بوزنها؛لعدم غرر فی ذلک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 ذلک جریان سیرة الناس علی المعاملة بها من دون معرفة الأغلب </w:t>
      </w:r>
      <w:r>
        <w:rPr>
          <w:rStyle w:val="FootnoteAnchor"/>
          <w:rtl w:val="true"/>
        </w:rPr>
        <w:footnoteReference w:id="1097"/>
      </w:r>
      <w:r>
        <w:rPr>
          <w:rFonts w:ascii="IRNazanin" w:hAnsi="IRNazanin" w:eastAsia="IRNazanin"/>
          <w:color w:val="111111"/>
          <w:sz w:val="28"/>
          <w:sz w:val="28"/>
          <w:szCs w:val="28"/>
          <w:rtl w:val="true"/>
          <w:lang w:bidi="fa-IR"/>
        </w:rPr>
        <w:t>بوزنها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نعم،یعتبرون فیها عدم نقصها عن وزنها المقرّر فی وضعها من حیث تفاوت قیمتها بذلک،فالنقص فیها عندهم بمنزلة العیب؛و من هنا لا یجوز إعطاء الناقص منها؛لکونه غشّاً و خیانة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یمتاز الدرهم و الدینار عن الفلوس السود و شبهها حیث إنّ نقصان الوزن لا یؤثّر فی قیمتها،فلا بأس بإعطاء ما یعلم نقصه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ما ذکرنا من الفرق أُشیر فی صحیحة ابن عبد الرحمن </w:t>
      </w:r>
      <w:r>
        <w:rPr>
          <w:rStyle w:val="FootnoteAnchor"/>
          <w:rtl w:val="true"/>
        </w:rPr>
        <w:footnoteReference w:id="109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أشتری الشیء بالدراهم فاُعطی الناقص الحبّة و الحبّتین؟قال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لا،حتّی تبیّنه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تکون نحو </w:t>
      </w:r>
      <w:r>
        <w:rPr>
          <w:rStyle w:val="FootnoteAnchor"/>
          <w:rtl w:val="true"/>
        </w:rPr>
        <w:footnoteReference w:id="1099"/>
      </w:r>
      <w:r>
        <w:rPr>
          <w:rFonts w:ascii="IRNazanin" w:hAnsi="IRNazanin" w:eastAsia="IRNazanin"/>
          <w:color w:val="111111"/>
          <w:sz w:val="28"/>
          <w:sz w:val="28"/>
          <w:szCs w:val="28"/>
          <w:rtl w:val="true"/>
          <w:lang w:bidi="fa-IR"/>
        </w:rPr>
        <w:t xml:space="preserve">هذه الدراهم الأوضاحیّة </w:t>
      </w:r>
      <w:r>
        <w:rPr>
          <w:rStyle w:val="FootnoteAnchor"/>
          <w:rtl w:val="true"/>
        </w:rPr>
        <w:footnoteReference w:id="1100"/>
      </w:r>
      <w:r>
        <w:rPr>
          <w:rFonts w:ascii="IRNazanin" w:hAnsi="IRNazanin" w:eastAsia="IRNazanin"/>
          <w:color w:val="111111"/>
          <w:sz w:val="28"/>
          <w:sz w:val="28"/>
          <w:szCs w:val="28"/>
          <w:rtl w:val="true"/>
          <w:lang w:bidi="fa-IR"/>
        </w:rPr>
        <w:t>التی تکون عندنا عدداً</w:t>
      </w:r>
      <w:r>
        <w:rPr>
          <w:rFonts w:eastAsia="IRNazanin" w:cs="IRNazanin"/>
          <w:color w:val="111111"/>
          <w:sz w:val="28"/>
          <w:szCs w:val="28"/>
          <w:rtl w:val="true"/>
          <w:lang w:bidi="fa-IR"/>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bookmarkStart w:id="418" w:name="pg19861_202499"/>
    </w:p>
    <w:p>
      <w:pPr>
        <w:pStyle w:val="BookText"/>
        <w:rPr/>
      </w:pPr>
      <w:bookmarkEnd w:id="418"/>
      <w:r>
        <w:rPr>
          <w:rFonts w:ascii="IRNazanin" w:hAnsi="IRNazanin" w:eastAsia="IRNazanin"/>
          <w:color w:val="111111"/>
          <w:sz w:val="28"/>
          <w:sz w:val="28"/>
          <w:szCs w:val="28"/>
          <w:rtl w:val="true"/>
          <w:lang w:bidi="fa-IR"/>
        </w:rPr>
        <w:t>و بالجملة،فإناطة الحکم بوجوب معرفة وزن المبیع وکیله مدار الغرر الشخصی قریب فی الغایة،إلّا أنّ الظاهر کونه مخالفاً لکلمات الأصحاب فی موارد کثیرة</w:t>
      </w:r>
      <w:r>
        <w:rPr>
          <w:rFonts w:eastAsia="IRNazanin" w:cs="IRNazanin"/>
          <w:color w:val="111111"/>
          <w:sz w:val="28"/>
          <w:szCs w:val="28"/>
          <w:rtl w:val="true"/>
          <w:lang w:bidi="fa-IR"/>
        </w:rPr>
        <w:t>.</w:t>
      </w:r>
    </w:p>
    <w:p>
      <w:pPr>
        <w:pStyle w:val="Heading5"/>
        <w:numPr>
          <w:ilvl w:val="4"/>
          <w:numId w:val="1"/>
        </w:numPr>
        <w:rPr/>
      </w:pPr>
      <w:bookmarkStart w:id="419" w:name="__RefHeading___Toc5119159_2314609296"/>
      <w:bookmarkStart w:id="420" w:name="_Toc164"/>
      <w:bookmarkEnd w:id="419"/>
      <w:r>
        <w:rPr>
          <w:rtl w:val="true"/>
        </w:rPr>
        <w:t>[</w:t>
      </w:r>
      <w:r>
        <w:rPr>
          <w:rtl w:val="true"/>
        </w:rPr>
        <w:t>وجوب معرفة العدد فی المعدود و الدلیل علیه</w:t>
      </w:r>
      <w:r>
        <w:rPr>
          <w:rtl w:val="true"/>
        </w:rPr>
        <w:t>]</w:t>
      </w:r>
      <w:bookmarkEnd w:id="420"/>
    </w:p>
    <w:p>
      <w:pPr>
        <w:pStyle w:val="BookText"/>
        <w:rPr/>
      </w:pPr>
      <w:r>
        <w:rPr>
          <w:rFonts w:ascii="IRNazanin" w:hAnsi="IRNazanin" w:eastAsia="IRNazanin"/>
          <w:color w:val="111111"/>
          <w:sz w:val="28"/>
          <w:sz w:val="28"/>
          <w:szCs w:val="28"/>
          <w:rtl w:val="true"/>
          <w:lang w:bidi="fa-IR"/>
        </w:rPr>
        <w:t>ثمّ إنّ الحکم فی المعدود و وجوب معرفة العدد فیه،حکم المکیل و الموزون،بلا خلاف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إلیه،بل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تقریر الإمام علیه السلام فی الروایة الآتیة </w:t>
      </w:r>
      <w:r>
        <w:rPr>
          <w:rStyle w:val="FootnoteAnchor"/>
          <w:rtl w:val="true"/>
        </w:rPr>
        <w:footnoteReference w:id="1102"/>
      </w:r>
      <w:r>
        <w:rPr>
          <w:rFonts w:ascii="IRNazanin" w:hAnsi="IRNazanin" w:eastAsia="IRNazanin"/>
          <w:color w:val="111111"/>
          <w:sz w:val="28"/>
          <w:sz w:val="28"/>
          <w:szCs w:val="28"/>
          <w:rtl w:val="true"/>
          <w:lang w:bidi="fa-IR"/>
        </w:rPr>
        <w:t xml:space="preserve">المصرّحة بتجویز </w:t>
      </w:r>
      <w:r>
        <w:rPr>
          <w:rStyle w:val="FootnoteAnchor"/>
          <w:rtl w:val="true"/>
        </w:rPr>
        <w:footnoteReference w:id="1103"/>
      </w:r>
      <w:r>
        <w:rPr>
          <w:rFonts w:ascii="IRNazanin" w:hAnsi="IRNazanin" w:eastAsia="IRNazanin"/>
          <w:color w:val="111111"/>
          <w:sz w:val="28"/>
          <w:sz w:val="28"/>
          <w:szCs w:val="28"/>
          <w:rtl w:val="true"/>
          <w:lang w:bidi="fa-IR"/>
        </w:rPr>
        <w:t>الکیل فی المعدود المتعذّر 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المحکی عن المحقّق الأردبیلی المناقشة فی ذلک،بل المیل إلی منعه و جواز بیع المعدود مشاهدة </w:t>
      </w:r>
      <w:r>
        <w:rPr>
          <w:rStyle w:val="FootnoteAnchor"/>
          <w:rtl w:val="true"/>
        </w:rPr>
        <w:footnoteReference w:id="1104"/>
      </w:r>
      <w:r>
        <w:rPr>
          <w:rFonts w:ascii="IRNazanin" w:hAnsi="IRNazanin" w:eastAsia="IRNazanin"/>
          <w:color w:val="111111"/>
          <w:sz w:val="28"/>
          <w:sz w:val="28"/>
          <w:szCs w:val="28"/>
          <w:rtl w:val="true"/>
          <w:lang w:bidi="fa-IR"/>
        </w:rPr>
        <w:t xml:space="preserve">،و یردّه روایة الجوز الآتیة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بالمعدودات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یعرف مقدار مالیّتها بأعدادها،کالجوز و البیض،بخلاف مثل الشاة و الفرس و الثوب</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 العلّامة البطیخ و الباذنجان فی المعدودات،حیث قال فی شروط السلم من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یکفی </w:t>
      </w:r>
      <w:r>
        <w:rPr>
          <w:rStyle w:val="FootnoteAnchor"/>
          <w:rtl w:val="true"/>
        </w:rPr>
        <w:footnoteReference w:id="1106"/>
      </w:r>
      <w:r>
        <w:rPr>
          <w:rFonts w:ascii="IRNazanin" w:hAnsi="IRNazanin" w:eastAsia="IRNazanin"/>
          <w:color w:val="111111"/>
          <w:sz w:val="28"/>
          <w:sz w:val="28"/>
          <w:szCs w:val="28"/>
          <w:rtl w:val="true"/>
          <w:lang w:bidi="fa-IR"/>
        </w:rPr>
        <w:t>العدّ فی المعدودات،بل لا بدّ من الوزن فی البطّیخ و الباذنجان و الرمّان،و إنّما اکتفی بعدّها فی البیع</w:t>
      </w:r>
    </w:p>
    <w:p>
      <w:pPr>
        <w:pStyle w:val="BookText"/>
        <w:rPr/>
      </w:pPr>
      <w:r>
        <w:rPr>
          <w:rFonts w:ascii="IRNazanin" w:hAnsi="IRNazanin" w:eastAsia="IRNazanin"/>
          <w:color w:val="111111"/>
          <w:sz w:val="28"/>
          <w:sz w:val="28"/>
          <w:szCs w:val="28"/>
          <w:rtl w:val="true"/>
          <w:lang w:bidi="fa-IR"/>
        </w:rPr>
        <w:t xml:space="preserve">للمعاینة،انتهی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صرّح فی التذکرة بعدم الربا فی البطّیخ و الرمّان إذا کان رطباً؛لعدم الوزن،و ثبوته مع الجفاف </w:t>
      </w:r>
      <w:r>
        <w:rPr>
          <w:rStyle w:val="FootnoteAnchor"/>
          <w:rtl w:val="true"/>
        </w:rPr>
        <w:footnoteReference w:id="1108"/>
      </w:r>
      <w:r>
        <w:rPr>
          <w:rFonts w:ascii="IRNazanin" w:hAnsi="IRNazanin" w:eastAsia="IRNazanin"/>
          <w:color w:val="111111"/>
          <w:sz w:val="28"/>
          <w:sz w:val="28"/>
          <w:szCs w:val="28"/>
          <w:rtl w:val="true"/>
          <w:lang w:bidi="fa-IR"/>
        </w:rPr>
        <w:t>،بل یظهر منه کون القثّاء و الخوخ و المشمش أیضاً غیر موزونة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ذلک محلّ تأمّل؛لحصول الغرر أحیاناً بعدم 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 تقدیر المال عرفاً فی المذکورات بالوزن لا بالعدد،کما فی الجوز و البیض</w:t>
      </w:r>
      <w:r>
        <w:rPr>
          <w:rFonts w:eastAsia="IRNazanin" w:cs="IRNazanin"/>
          <w:color w:val="111111"/>
          <w:sz w:val="28"/>
          <w:szCs w:val="28"/>
          <w:rtl w:val="true"/>
          <w:lang w:bidi="fa-IR"/>
        </w:rPr>
        <w:t>.</w:t>
      </w:r>
      <w:bookmarkStart w:id="421" w:name="pg19861_202501"/>
    </w:p>
    <w:p>
      <w:pPr>
        <w:pStyle w:val="Heading4"/>
        <w:numPr>
          <w:ilvl w:val="3"/>
          <w:numId w:val="1"/>
        </w:numPr>
        <w:rPr/>
      </w:pPr>
      <w:bookmarkStart w:id="422" w:name="__RefHeading___Toc5119161_2314609296"/>
      <w:bookmarkStart w:id="423" w:name="_Toc165"/>
      <w:bookmarkEnd w:id="421"/>
      <w:bookmarkEnd w:id="422"/>
      <w:r>
        <w:rPr>
          <w:rtl w:val="true"/>
        </w:rPr>
        <w:t xml:space="preserve">مسألة </w:t>
      </w:r>
      <w:r>
        <w:rPr>
          <w:rtl w:val="true"/>
        </w:rPr>
        <w:t>[</w:t>
      </w:r>
      <w:r>
        <w:rPr>
          <w:rtl w:val="true"/>
        </w:rPr>
        <w:t>التقدیر بغیر ما یتعارف التقدیر به</w:t>
      </w:r>
      <w:r>
        <w:rPr>
          <w:rtl w:val="true"/>
        </w:rPr>
        <w:t>]</w:t>
      </w:r>
      <w:bookmarkEnd w:id="423"/>
    </w:p>
    <w:p>
      <w:pPr>
        <w:pStyle w:val="Heading5"/>
        <w:numPr>
          <w:ilvl w:val="4"/>
          <w:numId w:val="1"/>
        </w:numPr>
        <w:rPr/>
      </w:pPr>
      <w:bookmarkStart w:id="424" w:name="__RefHeading___Toc5119163_2314609296"/>
      <w:bookmarkStart w:id="425" w:name="_Toc166"/>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لو قلنا بأنّ المناط فی اعتبار تقدیر المبیع فی المکیل و الموزون و المعدود بما یتعارف التقدیر به هو حصول الغرر الشخصی،فلا إشکال فی جواز تقدیر کلٍّ منها بغیر ما یتعارف تقدیره به إذا انتفی الغرر بذلک،بل فی کفایة المشاهدة فیها من غیر تقدیر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 تقدّم </w:t>
      </w:r>
      <w:r>
        <w:rPr>
          <w:rStyle w:val="FootnoteAnchor"/>
          <w:rtl w:val="true"/>
        </w:rPr>
        <w:footnoteReference w:id="1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الأخبار الواردة فی هذا الباب اعتبار التقدیر من غیر ملاحظة الغرر الشخصی؛لحکمة سدّ باب الغرر المؤدّی إلی التنازع،المقصود رفعه من اعتبار بعض الخصوصیّات فی أکثر المعاملات زیادة علی التراضی الفعلی حال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فیقع الکلام و الإشکال فی تقدیر بعض المقدّرات بغیر ما تعارف فیه،فنقول</w:t>
      </w:r>
      <w:r>
        <w:rPr>
          <w:rFonts w:eastAsia="IRNazanin" w:cs="IRNazanin"/>
          <w:color w:val="111111"/>
          <w:sz w:val="28"/>
          <w:szCs w:val="28"/>
          <w:rtl w:val="true"/>
          <w:lang w:bidi="fa-IR"/>
        </w:rPr>
        <w:t>:</w:t>
      </w:r>
    </w:p>
    <w:p>
      <w:pPr>
        <w:pStyle w:val="Heading5"/>
        <w:numPr>
          <w:ilvl w:val="4"/>
          <w:numId w:val="1"/>
        </w:numPr>
        <w:rPr/>
      </w:pPr>
      <w:bookmarkStart w:id="426" w:name="__RefHeading___Toc5119165_2314609296"/>
      <w:bookmarkStart w:id="427" w:name="_Toc167"/>
      <w:bookmarkEnd w:id="426"/>
      <w:r>
        <w:rPr>
          <w:rtl w:val="true"/>
        </w:rPr>
        <w:t>[</w:t>
      </w:r>
      <w:r>
        <w:rPr>
          <w:rtl w:val="true"/>
        </w:rPr>
        <w:t>هل یجوز بیع المکیل وزنا و بالعکس</w:t>
      </w:r>
      <w:r>
        <w:rPr>
          <w:rtl w:val="true"/>
        </w:rPr>
        <w:t>]</w:t>
      </w:r>
      <w:bookmarkEnd w:id="427"/>
    </w:p>
    <w:p>
      <w:pPr>
        <w:pStyle w:val="Heading6"/>
        <w:numPr>
          <w:ilvl w:val="5"/>
          <w:numId w:val="1"/>
        </w:numPr>
        <w:rPr/>
      </w:pPr>
      <w:bookmarkStart w:id="428" w:name="__RefHeading___Toc5119167_2314609296"/>
      <w:bookmarkStart w:id="429" w:name="_Toc168"/>
      <w:bookmarkEnd w:id="428"/>
      <w:r>
        <w:rPr>
          <w:rtl w:val="true"/>
        </w:rPr>
        <w:t>اشاره</w:t>
      </w:r>
      <w:bookmarkEnd w:id="42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اختلفوا فی جواز بیع المکیل وزناً و بالعکس و عدمه </w:t>
      </w:r>
      <w:r>
        <w:rPr>
          <w:rStyle w:val="FootnoteAnchor"/>
          <w:rtl w:val="true"/>
        </w:rPr>
        <w:footnoteReference w:id="1110"/>
      </w:r>
      <w:r>
        <w:rPr>
          <w:rFonts w:ascii="IRNazanin" w:hAnsi="IRNazanin" w:eastAsia="IRNazanin"/>
          <w:color w:val="111111"/>
          <w:sz w:val="28"/>
          <w:sz w:val="28"/>
          <w:szCs w:val="28"/>
          <w:rtl w:val="true"/>
          <w:lang w:bidi="fa-IR"/>
        </w:rPr>
        <w:t>علی أقوال،</w:t>
      </w:r>
      <w:bookmarkStart w:id="430" w:name="pg19861_202502"/>
    </w:p>
    <w:p>
      <w:pPr>
        <w:pStyle w:val="BookText"/>
        <w:rPr/>
      </w:pPr>
      <w:bookmarkEnd w:id="430"/>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المکیل </w:t>
      </w:r>
      <w:r>
        <w:rPr>
          <w:rStyle w:val="FootnoteAnchor"/>
          <w:rtl w:val="true"/>
        </w:rPr>
        <w:footnoteReference w:id="1111"/>
      </w:r>
      <w:r>
        <w:rPr>
          <w:rFonts w:ascii="Amiri" w:hAnsi="Amiri" w:eastAsia="Amiri" w:cs="Amiri"/>
          <w:color w:val="111111"/>
          <w:sz w:val="28"/>
          <w:sz w:val="28"/>
          <w:szCs w:val="28"/>
          <w:rtl w:val="true"/>
          <w:lang w:bidi="ar-SA"/>
        </w:rPr>
        <w:t xml:space="preserve">وزناً </w:t>
      </w:r>
      <w:r>
        <w:rPr>
          <w:rStyle w:val="FootnoteAnchor"/>
          <w:rtl w:val="true"/>
        </w:rPr>
        <w:footnoteReference w:id="1112"/>
      </w:r>
      <w:r>
        <w:rPr>
          <w:rFonts w:ascii="IRNazanin" w:hAnsi="IRNazanin" w:eastAsia="IRNazanin"/>
          <w:color w:val="111111"/>
          <w:sz w:val="28"/>
          <w:sz w:val="28"/>
          <w:szCs w:val="28"/>
          <w:rtl w:val="true"/>
          <w:lang w:bidi="fa-IR"/>
        </w:rPr>
        <w:t>،دون العکس؛لأنّ الوزن أصل الکیل و أضبط،و إنّما عدل إلیه فی المکیلات تسهیلاً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فالمحکیّ عن الدروس فی السلَم جوازه مطلقاً،حیث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أسلم فی المکیل وزناً و بالعکس فالوجه الصحّة؛لروایة وهب عن الصادق علیه السلام </w:t>
      </w:r>
      <w:r>
        <w:rPr>
          <w:rStyle w:val="FootnoteAnchor"/>
          <w:rtl w:val="true"/>
        </w:rPr>
        <w:footnoteReference w:id="1113"/>
      </w:r>
      <w:r>
        <w:rPr>
          <w:rFonts w:ascii="IRNazanin" w:hAnsi="IRNazanin" w:eastAsia="IRNazanin"/>
          <w:color w:val="111111"/>
          <w:sz w:val="28"/>
          <w:sz w:val="28"/>
          <w:szCs w:val="28"/>
          <w:rtl w:val="true"/>
          <w:lang w:bidi="fa-IR"/>
        </w:rPr>
        <w:t>،و کأنّه أشار بها إلی روایة وهب،عن جعفر،عن أبیه،عن علیٍّ صلوات اللّٰه علیهم،قال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بسَلَف </w:t>
      </w:r>
      <w:r>
        <w:rPr>
          <w:rStyle w:val="FootnoteAnchor"/>
          <w:rtl w:val="true"/>
        </w:rPr>
        <w:footnoteReference w:id="1114"/>
      </w:r>
      <w:r>
        <w:rPr>
          <w:rFonts w:ascii="IRNazanin" w:hAnsi="IRNazanin" w:eastAsia="IRNazanin"/>
          <w:color w:val="111111"/>
          <w:sz w:val="28"/>
          <w:sz w:val="28"/>
          <w:szCs w:val="28"/>
          <w:rtl w:val="true"/>
          <w:lang w:bidi="fa-IR"/>
        </w:rPr>
        <w:t>ما یوزن فیما یکال،و ما یکال فیما یوزن</w:t>
      </w:r>
      <w:r>
        <w:rPr>
          <w:rFonts w:eastAsia="IRNazanin" w:cs="IRNazanin"/>
          <w:color w:val="111111"/>
          <w:sz w:val="28"/>
          <w:szCs w:val="28"/>
          <w:rtl w:val="true"/>
          <w:lang w:bidi="fa-IR"/>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قصور الروایة سنداً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دلالةً بأنّ الظاهر منها جواز إسلاف الموزون فی المکیل و بالعکس،لا جواز تقدیر المسْلَم فیه المکیل بالوزن و بالعکس،و یعضده ذکر الشیخ للروایة فی باب إسلاف الزیت فی السمن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1" w:name="__RefHeading___Toc5119169_2314609296"/>
      <w:bookmarkStart w:id="432" w:name="_Toc169"/>
      <w:bookmarkEnd w:id="431"/>
      <w:r>
        <w:rPr>
          <w:rtl w:val="true"/>
        </w:rPr>
        <w:t>[</w:t>
      </w:r>
      <w:r>
        <w:rPr>
          <w:rtl w:val="true"/>
        </w:rPr>
        <w:t>الکلام فی مقامین</w:t>
      </w:r>
      <w:r>
        <w:rPr>
          <w:rtl w:val="true"/>
        </w:rPr>
        <w:t>]</w:t>
      </w:r>
      <w:bookmarkEnd w:id="43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الکلام تارةً فی کفایة کلٍّ من التقدیرین فی المقدّر بالآخر من حیث جعله دلیلاً علی التقدیر المعتبر فیه،بأن یستکشف من الکیل وزن الموزون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فی کفایته فیه أصلاً من غیر ملاحظة تقدیره المتعارف</w:t>
      </w:r>
      <w:r>
        <w:rPr>
          <w:rFonts w:eastAsia="IRNazanin" w:cs="IRNazanin"/>
          <w:color w:val="111111"/>
          <w:sz w:val="28"/>
          <w:szCs w:val="28"/>
          <w:rtl w:val="true"/>
          <w:lang w:bidi="fa-IR"/>
        </w:rPr>
        <w:t>.</w:t>
      </w:r>
      <w:bookmarkStart w:id="433" w:name="pg19861_202503"/>
    </w:p>
    <w:p>
      <w:pPr>
        <w:pStyle w:val="Heading6"/>
        <w:numPr>
          <w:ilvl w:val="5"/>
          <w:numId w:val="1"/>
        </w:numPr>
        <w:rPr/>
      </w:pPr>
      <w:bookmarkStart w:id="434" w:name="__RefHeading___Toc5119171_2314609296"/>
      <w:bookmarkStart w:id="435" w:name="_Toc170"/>
      <w:bookmarkEnd w:id="433"/>
      <w:bookmarkEnd w:id="434"/>
      <w:r>
        <w:rPr>
          <w:rtl w:val="true"/>
        </w:rPr>
        <w:t xml:space="preserve">أمّا الأوّل، </w:t>
      </w:r>
      <w:r>
        <w:rPr>
          <w:rtl w:val="true"/>
        </w:rPr>
        <w:t>[</w:t>
      </w:r>
      <w:r>
        <w:rPr>
          <w:rtl w:val="true"/>
        </w:rPr>
        <w:t>التقدیر بغیر ما تعارف تقدیره به من حیث جعله طریقا إلی ما تعارف فیه</w:t>
      </w:r>
      <w:r>
        <w:rPr>
          <w:rtl w:val="true"/>
        </w:rPr>
        <w:t>]</w:t>
      </w:r>
      <w:bookmarkEnd w:id="435"/>
    </w:p>
    <w:p>
      <w:pPr>
        <w:pStyle w:val="BookText"/>
        <w:rPr/>
      </w:pPr>
      <w:r>
        <w:rPr>
          <w:rFonts w:ascii="IRNazanin" w:hAnsi="IRNazanin" w:eastAsia="IRNazanin"/>
          <w:color w:val="111111"/>
          <w:sz w:val="28"/>
          <w:sz w:val="28"/>
          <w:szCs w:val="28"/>
          <w:rtl w:val="true"/>
          <w:lang w:bidi="fa-IR"/>
        </w:rPr>
        <w:t>فقد یکون التفاوت المحتمل ممّا یتسامح فیه عادة،و قد یکون ممّا لا یتسامح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الأوّل،فالظاهر جوازه،خصوصاً مع تعسّر تقدیره بما یتعارف فیه؛لأنّ ذلک غیر خارج فی الحقیقة عن تقدیره ممّا </w:t>
      </w:r>
      <w:r>
        <w:rPr>
          <w:rStyle w:val="FootnoteAnchor"/>
          <w:rtl w:val="true"/>
        </w:rPr>
        <w:footnoteReference w:id="1117"/>
      </w:r>
      <w:r>
        <w:rPr>
          <w:rFonts w:ascii="IRNazanin" w:hAnsi="IRNazanin" w:eastAsia="IRNazanin"/>
          <w:color w:val="111111"/>
          <w:sz w:val="28"/>
          <w:sz w:val="28"/>
          <w:szCs w:val="28"/>
          <w:rtl w:val="true"/>
          <w:lang w:bidi="fa-IR"/>
        </w:rPr>
        <w:t>یتعارف فیه، غایة ما فی الباب أن یجعل التقدیر الآخر طریقاً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روایة عبد الملک بن عمرو،قال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أشتری مائة راویة من زیت،فأعترض </w:t>
      </w:r>
      <w:r>
        <w:rPr>
          <w:rStyle w:val="FootnoteAnchor"/>
          <w:rtl w:val="true"/>
        </w:rPr>
        <w:footnoteReference w:id="1118"/>
      </w:r>
      <w:r>
        <w:rPr>
          <w:rFonts w:ascii="IRNazanin" w:hAnsi="IRNazanin" w:eastAsia="IRNazanin"/>
          <w:color w:val="111111"/>
          <w:sz w:val="28"/>
          <w:sz w:val="28"/>
          <w:szCs w:val="28"/>
          <w:rtl w:val="true"/>
          <w:lang w:bidi="fa-IR"/>
        </w:rPr>
        <w:t xml:space="preserve">راویة أو اثنتین فأزنهما </w:t>
      </w:r>
      <w:r>
        <w:rPr>
          <w:rStyle w:val="FootnoteAnchor"/>
          <w:rtl w:val="true"/>
        </w:rPr>
        <w:footnoteReference w:id="1119"/>
      </w:r>
      <w:r>
        <w:rPr>
          <w:rFonts w:ascii="IRNazanin" w:hAnsi="IRNazanin" w:eastAsia="IRNazanin"/>
          <w:color w:val="111111"/>
          <w:sz w:val="28"/>
          <w:sz w:val="28"/>
          <w:szCs w:val="28"/>
          <w:rtl w:val="true"/>
          <w:lang w:bidi="fa-IR"/>
        </w:rPr>
        <w:t>،ثمّ آخذ سائره علی قدر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 بها فی التذکرة علی جواز بیع الموزون عند تعذّر وزنه بوزن واحد من المتعدّد و نسبة الباقی إلیه،و أردفه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لأنه یحصل المطلوب و هو العلم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استدلاله الثانی یدلّ علی عدم اختصاص الحکم بصورة التعذّر، و التقیید بالتعذّر لعلّه استنبطه من الغالب فی مورد السؤال،و هو تعذّر</w:t>
      </w:r>
      <w:bookmarkStart w:id="436" w:name="pg19861_202504"/>
    </w:p>
    <w:p>
      <w:pPr>
        <w:pStyle w:val="BookText"/>
        <w:rPr/>
      </w:pPr>
      <w:bookmarkEnd w:id="436"/>
      <w:r>
        <w:rPr>
          <w:rFonts w:ascii="IRNazanin" w:hAnsi="IRNazanin" w:eastAsia="IRNazanin"/>
          <w:color w:val="111111"/>
          <w:sz w:val="28"/>
          <w:sz w:val="28"/>
          <w:szCs w:val="28"/>
          <w:rtl w:val="true"/>
          <w:lang w:bidi="fa-IR"/>
        </w:rPr>
        <w:t xml:space="preserve">وزن مائة راویة من الزیت؛و لا یخفی أنّ هذه العلّة </w:t>
      </w:r>
      <w:r>
        <w:rPr>
          <w:rStyle w:val="FootnoteAnchor"/>
          <w:rtl w:val="true"/>
        </w:rPr>
        <w:footnoteReference w:id="1122"/>
      </w:r>
      <w:r>
        <w:rPr>
          <w:rFonts w:ascii="IRNazanin" w:hAnsi="IRNazanin" w:eastAsia="IRNazanin"/>
          <w:color w:val="111111"/>
          <w:sz w:val="28"/>
          <w:sz w:val="28"/>
          <w:szCs w:val="28"/>
          <w:rtl w:val="true"/>
          <w:lang w:bidi="fa-IR"/>
        </w:rPr>
        <w:t>لو سلّمت علی وجهٍ یقدح فی عموم ترک الاستفصال إنّما یجب الاقتصار علی موردها لو کان الحکم مخالفاً لعمومات وجوب التقدیر،و قد عرفت أنّ هذا فی الحقیقة تقدیرٌ و لیس بجزاف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نعم،ربما ینافی ذلک التقریر المستفاد من الصحیحة الآتیة فی بیع الجوز،کما سیجیء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لو کان </w:t>
      </w:r>
      <w:r>
        <w:rPr>
          <w:rStyle w:val="FootnoteAnchor"/>
          <w:rtl w:val="true"/>
        </w:rPr>
        <w:footnoteReference w:id="1124"/>
      </w:r>
      <w:r>
        <w:rPr>
          <w:rFonts w:ascii="IRNazanin" w:hAnsi="IRNazanin" w:eastAsia="IRNazanin"/>
          <w:color w:val="111111"/>
          <w:sz w:val="28"/>
          <w:sz w:val="28"/>
          <w:szCs w:val="28"/>
          <w:rtl w:val="true"/>
          <w:lang w:bidi="fa-IR"/>
        </w:rPr>
        <w:t xml:space="preserve">التفاوت ممّا لا یتسامح فیه،فالظاهر أیضاً الجواز مع البناء علی ذلک المقدار </w:t>
      </w:r>
      <w:r>
        <w:rPr>
          <w:rStyle w:val="FootnoteAnchor"/>
          <w:rtl w:val="true"/>
        </w:rPr>
        <w:footnoteReference w:id="1125"/>
      </w:r>
      <w:r>
        <w:rPr>
          <w:rFonts w:ascii="IRNazanin" w:hAnsi="IRNazanin" w:eastAsia="IRNazanin"/>
          <w:color w:val="111111"/>
          <w:sz w:val="28"/>
          <w:sz w:val="28"/>
          <w:szCs w:val="28"/>
          <w:rtl w:val="true"/>
          <w:lang w:bidi="fa-IR"/>
        </w:rPr>
        <w:t>المستکشف من التقدیر إذا کان ذلک التقدیر أمارةً علی ذلک المقدار،لأنّ ذلک أیضاً خارجٌ عن الجزاف، فیکون نظیر إخبار البائع بالکیل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یتخیّر المشتری لو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تقدّم من صحیحة الحلبی فی أوّل الباب من المنع عن شراء أحد العِدلین بکیل أحدهما قد عرفت توجیهه هناک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مع جعل التقدیر الغیر المتعارف أمارةً علی المتعارف</w:t>
      </w:r>
      <w:r>
        <w:rPr>
          <w:rFonts w:eastAsia="IRNazanin" w:cs="IRNazanin"/>
          <w:color w:val="111111"/>
          <w:sz w:val="28"/>
          <w:szCs w:val="28"/>
          <w:rtl w:val="true"/>
          <w:lang w:bidi="fa-IR"/>
        </w:rPr>
        <w:t>.</w:t>
      </w:r>
    </w:p>
    <w:p>
      <w:pPr>
        <w:pStyle w:val="Heading6"/>
        <w:numPr>
          <w:ilvl w:val="5"/>
          <w:numId w:val="1"/>
        </w:numPr>
        <w:rPr/>
      </w:pPr>
      <w:bookmarkStart w:id="437" w:name="__RefHeading___Toc5119173_2314609296"/>
      <w:bookmarkStart w:id="438" w:name="_Toc171"/>
      <w:bookmarkEnd w:id="437"/>
      <w:r>
        <w:rPr>
          <w:rtl w:val="true"/>
        </w:rPr>
        <w:t>[</w:t>
      </w:r>
      <w:r>
        <w:rPr>
          <w:rtl w:val="true"/>
        </w:rPr>
        <w:t>التقدیر بغیر ما تعارف تقدیره به مستقلا</w:t>
      </w:r>
      <w:r>
        <w:rPr>
          <w:rtl w:val="true"/>
        </w:rPr>
        <w:t>]</w:t>
      </w:r>
      <w:bookmarkEnd w:id="43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کفایة أحد التقدیرین عن الآخر أصالةً من غیر ملاحظة التقدیر المتعارف </w:t>
      </w:r>
      <w:r>
        <w:rPr>
          <w:rStyle w:val="FootnoteAnchor"/>
          <w:rtl w:val="true"/>
        </w:rPr>
        <w:footnoteReference w:id="1127"/>
      </w:r>
      <w:r>
        <w:rPr>
          <w:rFonts w:ascii="IRNazanin" w:hAnsi="IRNazanin" w:eastAsia="IRNazanin"/>
          <w:color w:val="111111"/>
          <w:sz w:val="28"/>
          <w:sz w:val="28"/>
          <w:szCs w:val="28"/>
          <w:rtl w:val="true"/>
          <w:lang w:bidi="fa-IR"/>
        </w:rPr>
        <w:t xml:space="preserve">،فالظاهر جواز بیع المکیل </w:t>
      </w:r>
      <w:r>
        <w:rPr>
          <w:rStyle w:val="FootnoteAnchor"/>
          <w:rtl w:val="true"/>
        </w:rPr>
        <w:footnoteReference w:id="1128"/>
      </w:r>
      <w:r>
        <w:rPr>
          <w:rFonts w:ascii="IRNazanin" w:hAnsi="IRNazanin" w:eastAsia="IRNazanin"/>
          <w:color w:val="111111"/>
          <w:sz w:val="28"/>
          <w:sz w:val="28"/>
          <w:szCs w:val="28"/>
          <w:rtl w:val="true"/>
          <w:lang w:bidi="fa-IR"/>
        </w:rPr>
        <w:t>وزناً علی المشهور،کما</w:t>
      </w:r>
    </w:p>
    <w:p>
      <w:pPr>
        <w:pStyle w:val="BookText"/>
        <w:rPr/>
      </w:pPr>
      <w:r>
        <w:rPr>
          <w:rFonts w:ascii="IRNazanin" w:hAnsi="IRNazanin" w:eastAsia="IRNazanin"/>
          <w:color w:val="111111"/>
          <w:sz w:val="28"/>
          <w:sz w:val="28"/>
          <w:szCs w:val="28"/>
          <w:rtl w:val="true"/>
          <w:lang w:bidi="fa-IR"/>
        </w:rPr>
        <w:t xml:space="preserve">عن الریاض </w:t>
      </w:r>
      <w:r>
        <w:rPr>
          <w:rStyle w:val="FootnoteAnchor"/>
          <w:rtl w:val="true"/>
        </w:rPr>
        <w:footnoteReference w:id="1129"/>
      </w:r>
      <w:r>
        <w:rPr>
          <w:rFonts w:ascii="IRNazanin" w:hAnsi="IRNazanin" w:eastAsia="IRNazanin"/>
          <w:color w:val="111111"/>
          <w:sz w:val="28"/>
          <w:sz w:val="28"/>
          <w:szCs w:val="28"/>
          <w:rtl w:val="true"/>
          <w:lang w:bidi="fa-IR"/>
        </w:rPr>
        <w:t xml:space="preserve">لأنّ ذلک لیس من بیع المکیل مجازفةً،المنهیّ عنه فی الأخبار </w:t>
      </w:r>
      <w:r>
        <w:rPr>
          <w:rStyle w:val="FootnoteAnchor"/>
          <w:rtl w:val="true"/>
        </w:rPr>
        <w:footnoteReference w:id="1130"/>
      </w:r>
      <w:r>
        <w:rPr>
          <w:rFonts w:ascii="IRNazanin" w:hAnsi="IRNazanin" w:eastAsia="IRNazanin"/>
          <w:color w:val="111111"/>
          <w:sz w:val="28"/>
          <w:sz w:val="28"/>
          <w:szCs w:val="28"/>
          <w:rtl w:val="true"/>
          <w:lang w:bidi="fa-IR"/>
        </w:rPr>
        <w:t>و معقد الإجماعات؛لأنّ الوزن أضبط من الکیل،و مقدار مالیّة المکیلات معلومٌ به أصالةً من دون إرجاعٍ إلی الکیل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المحکی المؤیّد بالتتبّع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الوزن أصلٌ للکیل،و أنّ العدول إلی الکیل من باب الرخصة؛و هذا معلوم لمن تتبّع موارد تعارف الکیل فی الموزونات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لأصالة 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المکاییل المتعارفة فی الأماکن المتفرّقة علی اختلافها فی المقدار لیس لها مأخذ إلّا الوزن؛إذ لیس هنا کیلٌ واحدٌ یقاس المکاییل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کفایة الکیل فی الموزون </w:t>
      </w:r>
      <w:r>
        <w:rPr>
          <w:rStyle w:val="FootnoteAnchor"/>
          <w:rtl w:val="true"/>
        </w:rPr>
        <w:footnoteReference w:id="1131"/>
      </w:r>
      <w:r>
        <w:rPr>
          <w:rFonts w:ascii="IRNazanin" w:hAnsi="IRNazanin" w:eastAsia="IRNazanin"/>
          <w:color w:val="111111"/>
          <w:sz w:val="28"/>
          <w:sz w:val="28"/>
          <w:szCs w:val="28"/>
          <w:rtl w:val="true"/>
          <w:lang w:bidi="fa-IR"/>
        </w:rPr>
        <w:t>من دون ملاحظة کشفه عن الوزن،ففیه إشکالٌ،بل لا یبعد عدم الجواز،و قد عرفت عن السرائر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ما یباع وزناً لا یباع کیلاً بلا خلاف </w:t>
      </w:r>
      <w:r>
        <w:rPr>
          <w:rStyle w:val="FootnoteAnchor"/>
          <w:rtl w:val="true"/>
        </w:rPr>
        <w:footnoteReference w:id="1132"/>
      </w:r>
      <w:r>
        <w:rPr>
          <w:rFonts w:ascii="IRNazanin" w:hAnsi="IRNazanin" w:eastAsia="IRNazanin"/>
          <w:color w:val="111111"/>
          <w:sz w:val="28"/>
          <w:sz w:val="28"/>
          <w:szCs w:val="28"/>
          <w:rtl w:val="true"/>
          <w:lang w:bidi="fa-IR"/>
        </w:rPr>
        <w:t xml:space="preserve">،فإنّ هذه مجازفةٌ صرفة؛ إذ لیس الکیل فیما لم یتعارف فیه،وعاءً منضبطاً </w:t>
      </w:r>
      <w:r>
        <w:rPr>
          <w:rStyle w:val="FootnoteAnchor"/>
          <w:rtl w:val="true"/>
        </w:rPr>
        <w:footnoteReference w:id="1133"/>
      </w:r>
      <w:r>
        <w:rPr>
          <w:rFonts w:ascii="IRNazanin" w:hAnsi="IRNazanin" w:eastAsia="IRNazanin"/>
          <w:color w:val="111111"/>
          <w:sz w:val="28"/>
          <w:sz w:val="28"/>
          <w:szCs w:val="28"/>
          <w:rtl w:val="true"/>
          <w:lang w:bidi="fa-IR"/>
        </w:rPr>
        <w:t xml:space="preserve">،فهو بعینه ما منعوه من التقدیر بقصعةٍ حاضرةٍ أو ملء الید </w:t>
      </w:r>
      <w:r>
        <w:rPr>
          <w:rStyle w:val="FootnoteAnchor"/>
          <w:rtl w:val="true"/>
        </w:rPr>
        <w:footnoteReference w:id="1134"/>
      </w:r>
      <w:r>
        <w:rPr>
          <w:rFonts w:ascii="IRNazanin" w:hAnsi="IRNazanin" w:eastAsia="IRNazanin"/>
          <w:color w:val="111111"/>
          <w:sz w:val="28"/>
          <w:sz w:val="28"/>
          <w:szCs w:val="28"/>
          <w:rtl w:val="true"/>
          <w:lang w:bidi="fa-IR"/>
        </w:rPr>
        <w:t>فإنّ الکیل من حیث هو لا</w:t>
      </w:r>
    </w:p>
    <w:p>
      <w:pPr>
        <w:pStyle w:val="BookText"/>
        <w:rPr/>
      </w:pPr>
      <w:r>
        <w:rPr>
          <w:rFonts w:ascii="IRNazanin" w:hAnsi="IRNazanin" w:eastAsia="IRNazanin"/>
          <w:color w:val="111111"/>
          <w:sz w:val="28"/>
          <w:sz w:val="28"/>
          <w:szCs w:val="28"/>
          <w:rtl w:val="true"/>
          <w:lang w:bidi="fa-IR"/>
        </w:rPr>
        <w:t>یوجب فی الموزونات معرفة زائدة علی ما یحصل بالمشاهدة،فالقول بالجواز فیما نحن فیه مرجعه إلی کفایة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علم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وقعت معاملة الموزون بعنوان معلوم عند أحد المتبایعین دون الآخر کالحقّة و الرطل و الوَزْنة باصطلاح أهل العراق،الذی لا یعرفه غیرهم،خصوصاً الأعاجم غیر جائز؛لأنّ مجرّد ذکر أحد هذه العنوانات علیه و جعله فی المیزان، و وضع صخرة مجهولة المقدار معلومة الاسم فی مقابله،لا یوجب للجاهل معرفة زائدة علی ما یحصل بالمشاهدة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المکیل و الموزون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الکیل أو الوزن طریقاً إلیه،فالکلام فیه کما عرفت فی أخویه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ینافیه التقریر المستفاد من صحیحة الحلبی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سئل عن الجوز لا نستطیع أن نعدّه؛ فیکال بمکیال </w:t>
      </w:r>
      <w:r>
        <w:rPr>
          <w:rStyle w:val="FootnoteAnchor"/>
          <w:rtl w:val="true"/>
        </w:rPr>
        <w:footnoteReference w:id="1135"/>
      </w:r>
      <w:r>
        <w:rPr>
          <w:rFonts w:ascii="IRNazanin" w:hAnsi="IRNazanin" w:eastAsia="IRNazanin"/>
          <w:color w:val="111111"/>
          <w:sz w:val="28"/>
          <w:sz w:val="28"/>
          <w:szCs w:val="28"/>
          <w:rtl w:val="true"/>
          <w:lang w:bidi="fa-IR"/>
        </w:rPr>
        <w:t>ثمّ یعدّ ما فیه،ثمّ یکال ما بقی علی حساب ذلک العدد؟قال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ظاهر السؤال اعتقاد السائل عدم جواز ذلک فی غیر حال الضرورة،و لم یردعه الإمام علیه السلام بالتنبیه علی أنّ ذلک غیر مختصّ بصورة الاضطرار</w:t>
      </w:r>
      <w:r>
        <w:rPr>
          <w:rFonts w:eastAsia="IRNazanin" w:cs="IRNazanin"/>
          <w:color w:val="111111"/>
          <w:sz w:val="28"/>
          <w:szCs w:val="28"/>
          <w:rtl w:val="true"/>
          <w:lang w:bidi="fa-IR"/>
        </w:rPr>
        <w:t>.</w:t>
      </w:r>
      <w:bookmarkStart w:id="439" w:name="pg19861_202507"/>
    </w:p>
    <w:p>
      <w:pPr>
        <w:pStyle w:val="BookText"/>
        <w:rPr/>
      </w:pPr>
      <w:bookmarkEnd w:id="439"/>
      <w:r>
        <w:rPr>
          <w:rFonts w:ascii="IRNazanin" w:hAnsi="IRNazanin" w:eastAsia="IRNazanin"/>
          <w:color w:val="111111"/>
          <w:sz w:val="28"/>
          <w:sz w:val="28"/>
          <w:szCs w:val="28"/>
          <w:rtl w:val="true"/>
          <w:lang w:bidi="fa-IR"/>
        </w:rPr>
        <w:t xml:space="preserve">لکن التقریر غیر واضح،فلا تنهض الروایة لتخصیص العمومات؛ و لذا قوّی فی الروضة الجواز مطلقاً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کفایة الکیل فیه أصالةً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مشکلٌ؛لأنّه لا یخرج عن المجازفة،و الکیل لا یزید علی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کفایته،بل ظاهر قولهم فی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یکفی العدّ فی المعدودات و إن جاز بیعها معجّلاً بالعدّ،بل لا بدّ من الوزن</w:t>
      </w:r>
      <w:r>
        <w:rPr>
          <w:rFonts w:eastAsia="IRNazanin" w:cs="IRNazanin"/>
          <w:color w:val="111111"/>
          <w:sz w:val="28"/>
          <w:szCs w:val="28"/>
          <w:rtl w:val="true"/>
          <w:lang w:bidi="fa-IR"/>
        </w:rPr>
        <w:t xml:space="preserve">» </w:t>
      </w:r>
      <w:r>
        <w:rPr>
          <w:rStyle w:val="FootnoteAnchor"/>
          <w:rtl w:val="true"/>
        </w:rPr>
        <w:footnoteReference w:id="1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خلاف فی أنّه أضبط،و أنّه یغنی عن العدّ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فقولهم فی شروط العوضین </w:t>
      </w:r>
      <w:r>
        <w:rPr>
          <w:rStyle w:val="FootnoteAnchor"/>
          <w:rtl w:val="true"/>
        </w:rPr>
        <w:footnoteReference w:id="1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بدّ من العدّ فی المعدودات</w:t>
      </w:r>
      <w:r>
        <w:rPr>
          <w:rFonts w:eastAsia="Amiri" w:cs="Amiri" w:ascii="Amiri" w:hAnsi="Amiri"/>
          <w:color w:val="111111"/>
          <w:sz w:val="28"/>
          <w:szCs w:val="28"/>
          <w:rtl w:val="true"/>
          <w:lang w:bidi="ar-SA"/>
        </w:rPr>
        <w:t xml:space="preserve">» </w:t>
      </w:r>
      <w:r>
        <w:rPr>
          <w:rStyle w:val="FootnoteAnchor"/>
          <w:rtl w:val="true"/>
        </w:rPr>
        <w:footnoteReference w:id="1141"/>
      </w:r>
      <w:r>
        <w:rPr>
          <w:rFonts w:ascii="IRNazanin" w:hAnsi="IRNazanin" w:eastAsia="IRNazanin"/>
          <w:color w:val="111111"/>
          <w:sz w:val="28"/>
          <w:sz w:val="28"/>
          <w:szCs w:val="28"/>
          <w:rtl w:val="true"/>
          <w:lang w:bidi="fa-IR"/>
        </w:rPr>
        <w:t>محمولٌ علی أقلّ مراتب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ربما ینافی ذلک تعقیب بعضهم ذلک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الوزن عن العدّ</w:t>
      </w:r>
      <w:r>
        <w:rPr>
          <w:rFonts w:eastAsia="IRNazanin" w:cs="IRNazanin"/>
          <w:color w:val="111111"/>
          <w:sz w:val="28"/>
          <w:szCs w:val="28"/>
          <w:rtl w:val="true"/>
          <w:lang w:bidi="fa-IR"/>
        </w:rPr>
        <w:t xml:space="preserve">» </w:t>
      </w:r>
      <w:r>
        <w:rPr>
          <w:rStyle w:val="FootnoteAnchor"/>
          <w:rtl w:val="true"/>
        </w:rPr>
        <w:footnoteReference w:id="1142"/>
      </w:r>
      <w:r>
        <w:rPr>
          <w:rFonts w:ascii="IRNazanin" w:hAnsi="IRNazanin" w:eastAsia="IRNazanin"/>
          <w:color w:val="111111"/>
          <w:sz w:val="28"/>
          <w:sz w:val="28"/>
          <w:szCs w:val="28"/>
          <w:rtl w:val="true"/>
          <w:lang w:bidi="fa-IR"/>
        </w:rPr>
        <w:t>فإنّه یوهم کونه الأصل فی الضبط،إلّا أن یریدوا هنا الأصالة و الفرعیّة بحسب الضبط المتعارف،لا بحسب الحقیقة،فافهم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40" w:name="__RefHeading___Toc5119175_2314609296"/>
      <w:bookmarkStart w:id="441" w:name="_Toc172"/>
      <w:bookmarkEnd w:id="440"/>
      <w:r>
        <w:rPr>
          <w:rtl w:val="true"/>
        </w:rPr>
        <w:t>بقی الکلام فی تعیین المناط فی کون الشیء مکیلاً أو موزوناً</w:t>
      </w:r>
      <w:r>
        <w:rPr>
          <w:rtl w:val="true"/>
        </w:rPr>
        <w:t>.</w:t>
      </w:r>
      <w:bookmarkEnd w:id="441"/>
    </w:p>
    <w:p>
      <w:pPr>
        <w:pStyle w:val="BookText"/>
        <w:rPr/>
      </w:pPr>
      <w:r>
        <w:rPr>
          <w:rFonts w:ascii="IRNazanin" w:hAnsi="IRNazanin" w:eastAsia="IRNazanin"/>
          <w:color w:val="111111"/>
          <w:sz w:val="28"/>
          <w:sz w:val="28"/>
          <w:szCs w:val="28"/>
          <w:rtl w:val="true"/>
          <w:lang w:bidi="fa-IR"/>
        </w:rPr>
        <w:t xml:space="preserve">فقد قیل </w:t>
      </w:r>
      <w:r>
        <w:rPr>
          <w:rStyle w:val="FootnoteAnchor"/>
          <w:rtl w:val="true"/>
        </w:rPr>
        <w:footnoteReference w:id="1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الموجود فی کلام الأصحاب اعتبار الکیل و الوزن فیما بیع بهما فی زمن الشارع،و حکم الباقی فی البلدان ما هو المتعارف فیها،فما کان مکیلاً أو موزوناً فی بلد یباع کذا،و إلّا فلا </w:t>
      </w:r>
      <w:r>
        <w:rPr>
          <w:rStyle w:val="FootnoteAnchor"/>
          <w:rtl w:val="true"/>
        </w:rPr>
        <w:footnoteReference w:id="1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ظاهر مجمع البرهان و صریح الحدائق نسبته إلی الأصحاب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منع ذلک بعض المعاصرین،قائلاً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دعوی الإجماع علی کون المدار هنا علی زمانه صلّی اللّٰه علیه و آله و سلم علی الوجه المذکور،غریبة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لم أجد ذلک فی کلام أحد من الأساطین،فضلاً عن أن یکون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نعم،قد ذکروا ذلک بالنسبة إلی حکم الربا،لا أنّه کذلک بالنظر إلی الجهالة و الغرر الذی من المعلوم عدم المدخلیّة لزمانه صلّی اللّٰه علیه و آله و سلم فی رفع شیءٍ من ذلک و إثباته </w:t>
      </w:r>
      <w:r>
        <w:rPr>
          <w:rStyle w:val="FootnoteAnchor"/>
          <w:rtl w:val="true"/>
        </w:rPr>
        <w:footnoteReference w:id="114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تعرّض جلّ الفقهاء لذلک هنا یعنی فی شروط العوضین و أنّ ما ذکروه فی باب الربا،حقٌّ،إلّا أنّ المدار وجوداً و عدماً فی الربا علی اشتراط الکیل و الوزن فی صحة بیع جنس ذلک الشیء،و أکثر الفقهاء لم یذکروا تحدید هذا الشرط و المعیار فیه هنا یعنی فی شروط العوضین إلّا أنّ الأکثر ذکروا فی باب الربا ما هو المعیار هنا و فی ذلک الباب</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اختصاص هذا المعیار بمسألة الربا و عدم جریانه فی شروط</w:t>
      </w:r>
    </w:p>
    <w:p>
      <w:pPr>
        <w:pStyle w:val="BookText"/>
        <w:rPr/>
      </w:pPr>
      <w:r>
        <w:rPr>
          <w:rFonts w:ascii="IRNazanin" w:hAnsi="IRNazanin" w:eastAsia="IRNazanin"/>
          <w:color w:val="111111"/>
          <w:sz w:val="28"/>
          <w:sz w:val="28"/>
          <w:szCs w:val="28"/>
          <w:rtl w:val="true"/>
          <w:lang w:bidi="fa-IR"/>
        </w:rPr>
        <w:t>العوضین کما ذکره فهو 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أوّلاً،فلشهادة تتبّع کلمات الأصحاب 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المبسوط فی باب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کانت عادة الحجاز علی عهده صلّی اللّٰه علیه و آله و سلم فی شیءٍ الکیل،لم یجز إلّا کیلاً فی سائر البلاد،و ما کانت فیه وزناً لم یجز إلّا وزناً فی سائر البلاد،و المکیال مکیال أهل المدینة،و المیزان میزان أهل مکّة </w:t>
      </w:r>
      <w:r>
        <w:rPr>
          <w:rStyle w:val="FootnoteAnchor"/>
          <w:rtl w:val="true"/>
        </w:rPr>
        <w:footnoteReference w:id="1147"/>
      </w:r>
      <w:r>
        <w:rPr>
          <w:rFonts w:ascii="IRNazanin" w:hAnsi="IRNazanin" w:eastAsia="IRNazanin"/>
          <w:color w:val="111111"/>
          <w:sz w:val="28"/>
          <w:sz w:val="28"/>
          <w:szCs w:val="28"/>
          <w:rtl w:val="true"/>
          <w:lang w:bidi="fa-IR"/>
        </w:rPr>
        <w:t>،هذا کلّه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ممّا لا یعرف عادته </w:t>
      </w:r>
      <w:r>
        <w:rPr>
          <w:rStyle w:val="FootnoteAnchor"/>
          <w:rtl w:val="true"/>
        </w:rPr>
        <w:footnoteReference w:id="1148"/>
      </w:r>
      <w:r>
        <w:rPr>
          <w:rFonts w:ascii="IRNazanin" w:hAnsi="IRNazanin" w:eastAsia="IRNazanin"/>
          <w:color w:val="111111"/>
          <w:sz w:val="28"/>
          <w:sz w:val="28"/>
          <w:szCs w:val="28"/>
          <w:rtl w:val="true"/>
          <w:lang w:bidi="fa-IR"/>
        </w:rPr>
        <w:t xml:space="preserve">فی عهده صلّی اللّٰه علیه و آله حمل علی عادة البلد الذی فیه ذلک الشیء،فما عرف بالکیل لا یباع إلّا کیلاً،و ما عرف فیه الوزن لا یباع إلّا وزناً </w:t>
      </w:r>
      <w:r>
        <w:rPr>
          <w:rStyle w:val="FootnoteAnchor"/>
          <w:rtl w:val="true"/>
        </w:rPr>
        <w:footnoteReference w:id="114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عموم ما ذکره من التحدید لمطلق البیع،لا لخصوص مبایعة المتماثلین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کلام العلّامة فی التذکرة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ثانیاً،فلأنّ ما یقطع به بعد التتبّع فی کلماتهم هنا،و فی باب الربا أنّ الموضوع فی کلتا المسألتین شیء واحد أعنی المکیل و الموزون قد حمل علیه حکمان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عدم صحّة بیعه جزافاً، و الآخر عدم صحّة بیع بعضه ببعض متفاضلاً،و یزیده وضوحاً ملاحظة أخبار المسألتین المعنونة بما یکال أو یوزن،فإذا ذکروا ضابطة لتحدید</w:t>
      </w:r>
    </w:p>
    <w:p>
      <w:pPr>
        <w:pStyle w:val="BookText"/>
        <w:rPr/>
      </w:pPr>
      <w:r>
        <w:rPr>
          <w:rFonts w:ascii="IRNazanin" w:hAnsi="IRNazanin" w:eastAsia="IRNazanin"/>
          <w:color w:val="111111"/>
          <w:sz w:val="28"/>
          <w:sz w:val="28"/>
          <w:szCs w:val="28"/>
          <w:rtl w:val="true"/>
          <w:lang w:bidi="fa-IR"/>
        </w:rPr>
        <w:t>الموضوع فهی مرعیّة فی کلتا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ثالثاً،فلأنه یظهر من جماعة تصریحاً أو ظهوراً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 شرط الربا کون الکیل و الوزن شرطاً فی صحّة بیعه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المحقّق فی الشرائع بعد ذکر اشتراط اعتبار الکیل و الوزن فی الربا تفریعاً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لا ربا فی الماء؛إذ لا یشترط فی بیعه الکیل أو الوزن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یجری الربا فی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وزن أو کیل </w:t>
      </w:r>
      <w:r>
        <w:rPr>
          <w:rStyle w:val="FootnoteAnchor"/>
          <w:rtl w:val="true"/>
        </w:rPr>
        <w:footnoteReference w:id="1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اشتراطهما فی صحّة بیعه نقداً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الحجارة و التراب و الحطب،و لا عبرة ببیع الحطب وزناً فی بعض البلدان؛لأنّ الوزن غیر شرط فی صحّته </w:t>
      </w:r>
      <w:r>
        <w:rPr>
          <w:rStyle w:val="FootnoteAnchor"/>
          <w:rtl w:val="true"/>
        </w:rPr>
        <w:footnoteReference w:id="115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المضمون سهل الإصابة لمن لاحظ کلماتهم،فلاحظ المسالک هنا </w:t>
      </w:r>
      <w:r>
        <w:rPr>
          <w:rStyle w:val="FootnoteAnchor"/>
          <w:rtl w:val="true"/>
        </w:rPr>
        <w:footnoteReference w:id="1155"/>
      </w:r>
      <w:r>
        <w:rPr>
          <w:rFonts w:ascii="IRNazanin" w:hAnsi="IRNazanin" w:eastAsia="IRNazanin"/>
          <w:color w:val="111111"/>
          <w:sz w:val="28"/>
          <w:sz w:val="28"/>
          <w:szCs w:val="28"/>
          <w:rtl w:val="true"/>
          <w:lang w:bidi="fa-IR"/>
        </w:rPr>
        <w:t xml:space="preserve">،و شرح القواعد و حاشیتها للمحقّق الثانی </w:t>
      </w:r>
      <w:r>
        <w:rPr>
          <w:rStyle w:val="FootnoteAnchor"/>
          <w:rtl w:val="true"/>
        </w:rPr>
        <w:footnoteReference w:id="1156"/>
      </w:r>
      <w:r>
        <w:rPr>
          <w:rFonts w:ascii="IRNazanin" w:hAnsi="IRNazanin" w:eastAsia="IRNazanin"/>
          <w:color w:val="111111"/>
          <w:sz w:val="28"/>
          <w:sz w:val="28"/>
          <w:szCs w:val="28"/>
          <w:rtl w:val="true"/>
          <w:lang w:bidi="fa-IR"/>
        </w:rPr>
        <w:t xml:space="preserve">و الشهید </w:t>
      </w:r>
      <w:r>
        <w:rPr>
          <w:rStyle w:val="FootnoteAnchor"/>
          <w:rtl w:val="true"/>
        </w:rPr>
        <w:footnoteReference w:id="1157"/>
      </w:r>
      <w:r>
        <w:rPr>
          <w:rFonts w:ascii="IRNazanin" w:hAnsi="IRNazanin" w:eastAsia="IRNazanin"/>
          <w:color w:val="111111"/>
          <w:sz w:val="28"/>
          <w:sz w:val="28"/>
          <w:szCs w:val="28"/>
          <w:rtl w:val="true"/>
          <w:lang w:bidi="fa-IR"/>
        </w:rPr>
        <w:t>عند قول</w:t>
      </w:r>
    </w:p>
    <w:p>
      <w:pPr>
        <w:pStyle w:val="BookText"/>
        <w:rPr/>
      </w:pP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بالمکیل و الموزون هنا جنسه و إن لم یدخلاه لقلّته کالحبّة و الحبّتین من الحنطة،أو لکثرته کالزبرة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9"/>
      </w:r>
      <w:r>
        <w:rPr>
          <w:rFonts w:ascii="IRNazanin" w:hAnsi="IRNazanin" w:eastAsia="IRNazanin"/>
          <w:color w:val="111111"/>
          <w:sz w:val="28"/>
          <w:sz w:val="28"/>
          <w:szCs w:val="28"/>
          <w:rtl w:val="true"/>
          <w:lang w:bidi="fa-IR"/>
        </w:rPr>
        <w:t>،و لازم ذلک یعنی اشتراط دخول الربا فی جنسٍ باشتراط الکیل و الوزن فی صحّة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إذا ثبت الربا فی زماننا فی جنسٍ؛لثبوت کونه مکیلاً أو موزوناً علی عهد رسول اللّٰه صلّی اللّٰه علیه و آله و سلم،لزم أن لا یجوز بیعه جزافاً،و إلّا لم یصدق ما 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اشتراط الربا باشتراط التقدیر فی صحّة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بالجملة،فتلازم الحکمین أعنی دخول الربا فی جنسٍ،و اشتراط بیعه بالکیل أو الوزن ممّا لا یخفی علی المتتبّع فی کتب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ثبت کونه مکیلاً أو موزوناً فی عصره صلّی اللّٰه علیه و آله و سلم فهو ربویٌّ فی زماننا و لا یجوز بیعه جزافاً،فلو فرض تعارف بیعه جزافاً عندنا کان باطلاً و إن لم یلزم غررٌ؛للإجماع،و لما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اعتبار الکیل و الوزن لحکمة سدّ باب نوع الغرر لا شخصه </w:t>
      </w:r>
      <w:r>
        <w:rPr>
          <w:rStyle w:val="FootnoteAnchor"/>
          <w:rtl w:val="true"/>
        </w:rPr>
        <w:footnoteReference w:id="1160"/>
      </w:r>
      <w:r>
        <w:rPr>
          <w:rFonts w:ascii="IRNazanin" w:hAnsi="IRNazanin" w:eastAsia="IRNazanin"/>
          <w:color w:val="111111"/>
          <w:sz w:val="28"/>
          <w:sz w:val="28"/>
          <w:szCs w:val="28"/>
          <w:rtl w:val="true"/>
          <w:lang w:bidi="fa-IR"/>
        </w:rPr>
        <w:t xml:space="preserve">،فهو حکمٌ لحکمةٍ غیر مطّردة،نظیر النهی عن بیع الثمار قبل الظهور لرفع التنازع،و اعتبار الانضباط فی المسلَم فیه؛لأنّ فی ترکه مظنّة التنازع و التغابن،و نحو ذلک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کما عرفت من غیر واحد </w:t>
      </w:r>
      <w:r>
        <w:rPr>
          <w:rStyle w:val="FootnoteAnchor"/>
          <w:rtl w:val="true"/>
        </w:rPr>
        <w:footnoteReference w:id="1162"/>
      </w:r>
      <w:r>
        <w:rPr>
          <w:rFonts w:ascii="Amiri" w:hAnsi="Amiri" w:eastAsia="Amiri" w:cs="Amiri"/>
          <w:color w:val="111111"/>
          <w:sz w:val="28"/>
          <w:sz w:val="28"/>
          <w:szCs w:val="28"/>
          <w:rtl w:val="true"/>
          <w:lang w:bidi="ar-SA"/>
        </w:rPr>
        <w:t>أنّ المسألة اتّفاقیة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ما علم أنّه کان یباع جزافاً فی زمانه صلّی اللّٰه علیه و آله و سلم،فالظاهر جواز بیعه کذلک عندنا مع عدم الغرر قطعاً،و الظاهر أنّه إجماعیٌّ،کما یشهد به دعوی بعضهم الإجماع علی أنّ مثل هذا لیس بربویٍّ </w:t>
      </w:r>
      <w:r>
        <w:rPr>
          <w:rStyle w:val="FootnoteAnchor"/>
          <w:rtl w:val="true"/>
        </w:rPr>
        <w:footnoteReference w:id="1163"/>
      </w:r>
      <w:r>
        <w:rPr>
          <w:rFonts w:ascii="IRNazanin" w:hAnsi="IRNazanin" w:eastAsia="IRNazanin"/>
          <w:color w:val="111111"/>
          <w:sz w:val="28"/>
          <w:sz w:val="28"/>
          <w:szCs w:val="28"/>
          <w:rtl w:val="true"/>
          <w:lang w:bidi="fa-IR"/>
        </w:rPr>
        <w:t>، و الشهرة محقّقة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نعم،ینافی ذلک بعض ما تقدّم من إطلاق النهی عن بیع المکیل و الموزون جزافاً،الظاهر فیما تعارف کیله فی زمان الإمام علیه السلام أو فی عرف السائل أو فی عرف المتبایعین أو أحدهما،و إن لم یتعارف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طعامٍ سمّیت فیه کیلاً فلا یصلح مجازفةً</w:t>
      </w:r>
      <w:r>
        <w:rPr>
          <w:rFonts w:eastAsia="IRNazanin" w:cs="IRNazanin"/>
          <w:color w:val="111111"/>
          <w:sz w:val="28"/>
          <w:szCs w:val="28"/>
          <w:rtl w:val="true"/>
          <w:lang w:bidi="fa-IR"/>
        </w:rPr>
        <w:t xml:space="preserve">» </w:t>
      </w:r>
      <w:r>
        <w:rPr>
          <w:rStyle w:val="FootnoteAnchor"/>
          <w:rtl w:val="true"/>
        </w:rPr>
        <w:footnoteReference w:id="1164"/>
      </w:r>
      <w:r>
        <w:rPr>
          <w:rFonts w:ascii="IRNazanin" w:hAnsi="IRNazanin" w:eastAsia="IRNazanin"/>
          <w:color w:val="111111"/>
          <w:sz w:val="28"/>
          <w:sz w:val="28"/>
          <w:szCs w:val="28"/>
          <w:rtl w:val="true"/>
          <w:lang w:bidi="fa-IR"/>
        </w:rPr>
        <w:t>الظاهر فی وضع المکیال علیه عند المخاطب و فی عرفه و إن لم یکن کذلک فی عرف الشارع</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 یعلم أنّ </w:t>
      </w:r>
      <w:r>
        <w:rPr>
          <w:rStyle w:val="FootnoteAnchor"/>
          <w:rtl w:val="true"/>
        </w:rPr>
        <w:footnoteReference w:id="1165"/>
      </w:r>
      <w:r>
        <w:rPr>
          <w:rFonts w:ascii="IRNazanin" w:hAnsi="IRNazanin" w:eastAsia="IRNazanin"/>
          <w:color w:val="111111"/>
          <w:sz w:val="28"/>
          <w:sz w:val="28"/>
          <w:szCs w:val="28"/>
          <w:rtl w:val="true"/>
          <w:lang w:bidi="fa-IR"/>
        </w:rPr>
        <w:t>ما تعارف کیله أو وزنه فی عرف الأئمة و أصحابهم،کان غیر مقدّرٍ فی زمان الشارع حتّی یتحقّق المنافاة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مفهوم المکیل و الموزون فی الأخبار لا یراد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فرض صیرورته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یعمّ ما علم کونه غیر مقدّر فی زمن الشارع،بل المراد بهما المصداق الفعلی المعنون بهما فی زمان المتکلّم،و هذه الأفراد لا یعلم عدم کونها مکیلةً و لا موزونةً فی زمن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یرد علی ذلک مع کونه مخالفاً للظاهر المستفاد 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یکال و یوزن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دلیل حینئذٍ علی اعتبار الکیل فیما شکّ فی کونه مقدّراً فی ذلک الزمان،مع تعارف التقدیر فیه فی الزمان الآخر؛ إذ لا یکفی فی الحکم حینئذٍ دخوله فی مفهوم المکیل و الموزون،بل لا بدّ من کونه أحد المصادیق الفعلیّة فی زمان صدور الأخبار،و لا دلیل أیضاً علی إلحاق کلّ بلد لحکم </w:t>
      </w:r>
      <w:r>
        <w:rPr>
          <w:rStyle w:val="FootnoteAnchor"/>
          <w:rtl w:val="true"/>
        </w:rPr>
        <w:footnoteReference w:id="1166"/>
      </w:r>
      <w:r>
        <w:rPr>
          <w:rFonts w:ascii="IRNazanin" w:hAnsi="IRNazanin" w:eastAsia="IRNazanin"/>
          <w:color w:val="111111"/>
          <w:sz w:val="28"/>
          <w:sz w:val="28"/>
          <w:szCs w:val="28"/>
          <w:rtl w:val="true"/>
          <w:lang w:bidi="fa-IR"/>
        </w:rPr>
        <w:t>نفسه مع اختلاف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الاستدلال </w:t>
      </w:r>
      <w:r>
        <w:rPr>
          <w:rStyle w:val="FootnoteAnchor"/>
          <w:rtl w:val="true"/>
        </w:rPr>
        <w:footnoteReference w:id="1167"/>
      </w:r>
      <w:r>
        <w:rPr>
          <w:rFonts w:ascii="IRNazanin" w:hAnsi="IRNazanin" w:eastAsia="IRNazanin"/>
          <w:color w:val="111111"/>
          <w:sz w:val="28"/>
          <w:sz w:val="28"/>
          <w:szCs w:val="28"/>
          <w:rtl w:val="true"/>
          <w:lang w:bidi="fa-IR"/>
        </w:rPr>
        <w:t>بأخبار المسألة المعنونة بما یکال أو یوزن علی ما هو المشهور من کون العبرة فی التقدیر بزمان النبیّ صلّی اللّٰه علیه و آله و سلم،ثمّ بما اتّفق علیه البلاد،ثمّ بما تعارف فی کلّ بلدة بالنسبة إلی نفسه فی غایة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تنزیل الأخبار علی ما تعارف تقدیره عند المتبایعین و إثبات ما ینافی ذلک من الأحکام المشهورة بالإجماع المنقول المعتضد بالشهرة المحقّقة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الإشکال لو علم التقدیر فی زمن الشارع و لم یعلم کونه بالکیل أو بالوزن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ظهر ضعف ما فی کلام جماعة من التمسّک لکون الاعتبار فی التقدیر بعادة الشرع بوجوب حمل اللفظ علی المتعارف عند الشارع،و لکون المرجع فیما لم یعلم عادة الشرع هی العادة المتعارفة فی البلدان بأنّ الحقیقة العرفیّة هی المرجع عند انتفاء الشرعیّة،و لکون المرجع عادة کلّ بلد إذا اختلف البلدان،بأنّ العرف الخاصّ قائم مقام</w:t>
      </w:r>
    </w:p>
    <w:p>
      <w:pPr>
        <w:pStyle w:val="BookText"/>
        <w:rPr/>
      </w:pPr>
      <w:r>
        <w:rPr>
          <w:rFonts w:ascii="IRNazanin" w:hAnsi="IRNazanin" w:eastAsia="IRNazanin"/>
          <w:color w:val="111111"/>
          <w:sz w:val="28"/>
          <w:sz w:val="28"/>
          <w:szCs w:val="28"/>
          <w:rtl w:val="true"/>
          <w:lang w:bidi="fa-IR"/>
        </w:rPr>
        <w:t xml:space="preserve">العامّ عند انتفائه </w:t>
      </w:r>
      <w:r>
        <w:rPr>
          <w:rStyle w:val="FootnoteAnchor"/>
          <w:rtl w:val="true"/>
        </w:rPr>
        <w:footnoteReference w:id="116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المحقّق الثانی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الحقیقة العرفیّة یعتبر فیها ما کان یعتبر فی حمل إطلاق لفظ الشارع علیها،فلو تغیّرت فی عصر بعد استقرارها فیما قبله فالمعتبر هو العرف السابق،و لا أثر للعرف </w:t>
      </w:r>
      <w:r>
        <w:rPr>
          <w:rStyle w:val="FootnoteAnchor"/>
          <w:rtl w:val="true"/>
        </w:rPr>
        <w:footnoteReference w:id="1169"/>
      </w:r>
      <w:r>
        <w:rPr>
          <w:rFonts w:ascii="IRNazanin" w:hAnsi="IRNazanin" w:eastAsia="IRNazanin"/>
          <w:color w:val="111111"/>
          <w:sz w:val="28"/>
          <w:sz w:val="28"/>
          <w:szCs w:val="28"/>
          <w:rtl w:val="true"/>
          <w:lang w:bidi="fa-IR"/>
        </w:rPr>
        <w:t>الطارئ؛للاستصحاب،و لظاهر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علی الواحد حکمی علی الجماعة</w:t>
      </w:r>
      <w:r>
        <w:rPr>
          <w:rFonts w:eastAsia="IRNazanin" w:cs="IRNazanin"/>
          <w:color w:val="111111"/>
          <w:sz w:val="28"/>
          <w:szCs w:val="28"/>
          <w:rtl w:val="true"/>
          <w:lang w:bidi="fa-IR"/>
        </w:rPr>
        <w:t xml:space="preserve">» </w:t>
      </w:r>
      <w:r>
        <w:rPr>
          <w:rStyle w:val="FootnoteAnchor"/>
          <w:rtl w:val="true"/>
        </w:rPr>
        <w:footnoteReference w:id="1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فی الأقاریر و الایمان و نحوها، فالظاهر الحوالة علی عرف ذلک العصر الواقع فیه شیءٌ منها </w:t>
      </w:r>
      <w:r>
        <w:rPr>
          <w:rStyle w:val="FootnoteAnchor"/>
          <w:rtl w:val="true"/>
        </w:rPr>
        <w:footnoteReference w:id="1171"/>
      </w:r>
      <w:r>
        <w:rPr>
          <w:rFonts w:ascii="IRNazanin" w:hAnsi="IRNazanin" w:eastAsia="IRNazanin"/>
          <w:color w:val="111111"/>
          <w:sz w:val="28"/>
          <w:sz w:val="28"/>
          <w:szCs w:val="28"/>
          <w:rtl w:val="true"/>
          <w:lang w:bidi="fa-IR"/>
        </w:rPr>
        <w:t xml:space="preserve">حملاً له علی ما یفهمه الموقع </w:t>
      </w:r>
      <w:r>
        <w:rPr>
          <w:rStyle w:val="FootnoteAnchor"/>
          <w:rtl w:val="true"/>
        </w:rPr>
        <w:footnoteReference w:id="117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الکلام فی مفهوم المکیل و الموزون،بل الکلام فیما هو المعتبر فی تحقّق هذا المفهوم؛فإنّ المراد بقولهم علیهم السلام </w:t>
      </w:r>
      <w:r>
        <w:rPr>
          <w:rStyle w:val="FootnoteAnchor"/>
          <w:rtl w:val="true"/>
        </w:rPr>
        <w:footnoteReference w:id="1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مکیلاً فلا یباع جزافاً</w:t>
      </w:r>
      <w:r>
        <w:rPr>
          <w:rFonts w:eastAsia="IRNazanin" w:cs="IRNazanin"/>
          <w:color w:val="111111"/>
          <w:sz w:val="28"/>
          <w:szCs w:val="28"/>
          <w:rtl w:val="true"/>
          <w:lang w:bidi="fa-IR"/>
        </w:rPr>
        <w:t xml:space="preserve">» </w:t>
      </w:r>
      <w:r>
        <w:rPr>
          <w:rStyle w:val="FootnoteAnchor"/>
          <w:rtl w:val="true"/>
        </w:rPr>
        <w:footnoteReference w:id="1174"/>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یُباع بعضه ببعض إلّا متساویاً</w:t>
      </w:r>
      <w:r>
        <w:rPr>
          <w:rFonts w:eastAsia="Amiri" w:cs="Amiri" w:ascii="Amiri" w:hAnsi="Amiri"/>
          <w:color w:val="111111"/>
          <w:sz w:val="28"/>
          <w:szCs w:val="28"/>
          <w:rtl w:val="true"/>
          <w:lang w:bidi="ar-SA"/>
        </w:rPr>
        <w:t xml:space="preserve">» </w:t>
      </w:r>
      <w:r>
        <w:rPr>
          <w:rStyle w:val="FootnoteAnchor"/>
          <w:rtl w:val="true"/>
        </w:rPr>
        <w:footnoteReference w:id="1175"/>
      </w:r>
      <w:r>
        <w:rPr>
          <w:rFonts w:ascii="Amiri" w:hAnsi="Amiri" w:eastAsia="Amiri" w:cs="Amiri"/>
          <w:color w:val="111111"/>
          <w:sz w:val="28"/>
          <w:sz w:val="28"/>
          <w:szCs w:val="28"/>
          <w:rtl w:val="true"/>
          <w:lang w:bidi="ar-SA"/>
        </w:rPr>
        <w:t>،إمّا أن</w:t>
      </w:r>
    </w:p>
    <w:p>
      <w:pPr>
        <w:pStyle w:val="BookText"/>
        <w:rPr/>
      </w:pPr>
      <w:r>
        <w:rPr>
          <w:rFonts w:ascii="IRNazanin" w:hAnsi="IRNazanin" w:eastAsia="IRNazanin"/>
          <w:color w:val="111111"/>
          <w:sz w:val="28"/>
          <w:sz w:val="28"/>
          <w:szCs w:val="28"/>
          <w:rtl w:val="true"/>
          <w:lang w:bidi="fa-IR"/>
        </w:rPr>
        <w:t>یکون ما هو المکیل فی عرف المتکلّم،أو یراد به ما هو المکیل فی العرف العامّ،أو ما هو المکیل فی عرف کلّ مکلّف،و علی أیّ تقدیرٍ فلا یفید الکلام لحکم غیر ما هو المراد،فلا بدّ لبیان حکم غیر المراد من دلیلٍ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إرادة جمیع هذه الثلاثة خصوصاً مع ترتیبٍ خاصٍّ فی ثبوت الحکم بها،و خصوصاً مع کون مرتبة کلّ لاحقٍ مع عدم العلم بسابقه لا مع عدمه غیر صحیحةٍ،کما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المقدّس الأردبیلی أراد ما ذکرنا،حیث تأمّل فیما ذکروه من الترتیب بین عرف الشارع،و العرف العامّ،و العرف الخاصّ؛معلّلاً باحتمال إرادة الکیل و الوزن المتعارف عرفاً عامّاً،أو فی أکثر البلدان، أو فی الجملة مطلقاً،أو بالنسبة إلی کلّ بلدٍ بلد کما قیل فی المأکول و الملبوس فی السجدة من الأمر الوارد بهما لو سلّم </w:t>
      </w:r>
      <w:r>
        <w:rPr>
          <w:rStyle w:val="FootnoteAnchor"/>
          <w:rtl w:val="true"/>
        </w:rPr>
        <w:footnoteReference w:id="1176"/>
      </w:r>
      <w:r>
        <w:rPr>
          <w:rFonts w:ascii="IRNazanin" w:hAnsi="IRNazanin" w:eastAsia="IRNazanin"/>
          <w:color w:val="111111"/>
          <w:sz w:val="28"/>
          <w:sz w:val="28"/>
          <w:szCs w:val="28"/>
          <w:rtl w:val="true"/>
          <w:lang w:bidi="fa-IR"/>
        </w:rPr>
        <w:t xml:space="preserve">،و الظاهر هو الأخیر </w:t>
      </w:r>
      <w:r>
        <w:rPr>
          <w:rStyle w:val="FootnoteAnchor"/>
          <w:rtl w:val="true"/>
        </w:rPr>
        <w:footnoteReference w:id="117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ردّه فی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الواجب فی معانی الألفاظ الواردة فی الأخبار حملها علی عرفهم صلوات اللّٰه علیهم،فکلّ ما کان مکیلاً أو موزوناً فی عرفهم وجب إجراء الحکم علیه فی الأزمنة المتأخّرة، و ما لم یعلم فهو بناءً علی قواعدهم یرجع إلی العرف العامّ و إلی آخر ما ذکروه من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یستدلّ للعرف العامّ بما تقدّم فی صحیحة الحلبی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طعامٍ سمّیت فیه 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 أنّ المرجع فی کونه مکیلاً إلی تسمیته عرفاً</w:t>
      </w:r>
    </w:p>
    <w:p>
      <w:pPr>
        <w:pStyle w:val="BookText"/>
        <w:rPr/>
      </w:pPr>
      <w:r>
        <w:rPr>
          <w:rFonts w:ascii="IRNazanin" w:hAnsi="IRNazanin" w:eastAsia="IRNazanin"/>
          <w:color w:val="111111"/>
          <w:sz w:val="28"/>
          <w:sz w:val="28"/>
          <w:szCs w:val="28"/>
          <w:rtl w:val="true"/>
          <w:lang w:bidi="fa-IR"/>
        </w:rPr>
        <w:t>مکیلاً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تقییده بما لم یعلم حاله فی زمانهم علیهم السلام </w:t>
      </w:r>
      <w:r>
        <w:rPr>
          <w:rStyle w:val="FootnoteAnchor"/>
          <w:rtl w:val="true"/>
        </w:rPr>
        <w:footnoteReference w:id="117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الکلام هنا لیس فی معنی اللفظ؛لأنّ مفهوم الکیل معلوم لغةً،و إنّما الکلام فی تعیین الاصطلاح الذی یتعارف فیه هذا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فرض کون الکلام فی معنی اللفظ،کان اللازم حمله علی العرف العامّ إذا لم یکن عرفٌ شرعی،لا إذا جهل عرفه الشرعیّ؛فإنّه لم یقل أحد بحمل اللفظ حینئذٍ علی المعنی العرفی،بل لا بدّ من الاجتهاد فی تعیین ذلک المعنی الشرعیّ،و مع العجز یحکم بإجمال اللفظ، کما هو واضح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مع أنّ الأخبار إنّما وصلت إلینا من الأئمة صلوات اللّٰه و سلامه علیهم،فاللازم اعتبار عرفهم لا عرف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استشهد به للرجوع إلی العرف العامّ من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سمّیت فیه کیلاً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1180"/>
      </w:r>
      <w:r>
        <w:rPr>
          <w:rFonts w:ascii="IRNazanin" w:hAnsi="IRNazanin" w:eastAsia="IRNazanin"/>
          <w:color w:val="111111"/>
          <w:sz w:val="28"/>
          <w:sz w:val="28"/>
          <w:szCs w:val="28"/>
          <w:rtl w:val="true"/>
          <w:lang w:bidi="fa-IR"/>
        </w:rPr>
        <w:t>فیحتمل أن یراد عرف المخاطب،فیکون المعیار العرف الخاصّ بالمتبایعین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نعم،مع العلم بالعرف العامّ لا عبرة بالعرف الخاصّ؛لمقطوعة ابن هاشم الآتیة </w:t>
      </w:r>
      <w:r>
        <w:rPr>
          <w:rStyle w:val="FootnoteAnchor"/>
          <w:rtl w:val="true"/>
        </w:rPr>
        <w:footnoteReference w:id="1181"/>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أبعد شیءٍ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فی جامع المقاصد،من أنّ الحقیقة العرفیّة یعتبر فیها ما کان یعتبر فی حمل إطلاق لفظ الشارع علیها </w:t>
      </w:r>
      <w:r>
        <w:rPr>
          <w:rStyle w:val="FootnoteAnchor"/>
          <w:rtl w:val="true"/>
        </w:rPr>
        <w:footnoteReference w:id="1182"/>
      </w:r>
      <w:r>
        <w:rPr>
          <w:rFonts w:ascii="IRNazanin" w:hAnsi="IRNazanin" w:eastAsia="IRNazanin"/>
          <w:color w:val="111111"/>
          <w:sz w:val="28"/>
          <w:sz w:val="28"/>
          <w:szCs w:val="28"/>
          <w:rtl w:val="true"/>
          <w:lang w:bidi="fa-IR"/>
        </w:rPr>
        <w:t>، فلو تغیّرت فی عصرٍ بعد استقرارها فیما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بالجملة،فإتمام المسائل الثلاث بالأخبار مشکل،لکن الظاهر أنّ کلّها متّفق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نعم،اختلفوا فیما إذا کان البلاد مختلفة فی أنّ لکلّ بلد حکم نفسه من حیث الربا،أو أنّه یغلّب جانب التحریم،کما علیه جماعة من أصحابنا </w:t>
      </w:r>
      <w:r>
        <w:rPr>
          <w:rStyle w:val="FootnoteAnchor"/>
          <w:rtl w:val="true"/>
        </w:rPr>
        <w:footnoteReference w:id="1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الظاهر اختصاص هذا الحکم بالربا،لا فی جواز البیع جزافاً فی بلد لا یتعارف فیه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یشکل الأمر فیما لو </w:t>
      </w:r>
      <w:r>
        <w:rPr>
          <w:rStyle w:val="FootnoteAnchor"/>
          <w:rtl w:val="true"/>
        </w:rPr>
        <w:footnoteReference w:id="1185"/>
      </w:r>
      <w:r>
        <w:rPr>
          <w:rFonts w:ascii="IRNazanin" w:hAnsi="IRNazanin" w:eastAsia="IRNazanin"/>
          <w:color w:val="111111"/>
          <w:sz w:val="28"/>
          <w:sz w:val="28"/>
          <w:szCs w:val="28"/>
          <w:rtl w:val="true"/>
          <w:lang w:bidi="fa-IR"/>
        </w:rPr>
        <w:t>علم کونه مقدّراً فی زمان الشارع لکن لم یعلم أنّ تقدیره بالکیل أو بالوزن،ففیه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أقواها و أحوطها اعتبار ما هو أبعد من الغرر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أشکل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علم کون الشیء غیر مکیل فی زمن الشارع أو فی العرف العامّ،مع لزوم الغرر فیه عند قومٍ خاصٍّ،و لا یمکن جعل ترخیص الشارع لبیعه جزافاً تخصیصاً لأدلّة نفی الغرر؛ لاحتمال کون ذلک الشیء من المبتذلات فی زمن الشارع أو فی العرف</w:t>
      </w:r>
    </w:p>
    <w:p>
      <w:pPr>
        <w:pStyle w:val="BookText"/>
        <w:rPr/>
      </w:pPr>
      <w:r>
        <w:rPr>
          <w:rFonts w:ascii="IRNazanin" w:hAnsi="IRNazanin" w:eastAsia="IRNazanin"/>
          <w:color w:val="111111"/>
          <w:sz w:val="28"/>
          <w:sz w:val="28"/>
          <w:szCs w:val="28"/>
          <w:rtl w:val="true"/>
          <w:lang w:bidi="fa-IR"/>
        </w:rPr>
        <w:t>بحیث یتحرّز عن الغرر بمشاهدته و قد بلغ عند قوم فی العزّة إلی حیث لا یتسامح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فالأقوی وجوب الاعتبار فی الفرض المذکور بما یندفع فیه الغرر من الکیل أو الوزن أو العدّ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بالجملة،فالأولی جعل المدار فیما لا إجماع فیه علی وجوب التقدیر بما </w:t>
      </w:r>
      <w:r>
        <w:rPr>
          <w:rStyle w:val="FootnoteAnchor"/>
          <w:rtl w:val="true"/>
        </w:rPr>
        <w:footnoteReference w:id="1186"/>
      </w:r>
      <w:r>
        <w:rPr>
          <w:rFonts w:ascii="IRNazanin" w:hAnsi="IRNazanin" w:eastAsia="IRNazanin"/>
          <w:color w:val="111111"/>
          <w:sz w:val="28"/>
          <w:sz w:val="28"/>
          <w:szCs w:val="28"/>
          <w:rtl w:val="true"/>
          <w:lang w:bidi="fa-IR"/>
        </w:rPr>
        <w:t xml:space="preserve">بنی الأمر فی مقام استعلام مالیّة الشیء علی ذلک التقدیر، فإذا سئل عن مقدار ما عنده من الجوز،فیجاب بذکر العدد،بخلاف ما إذا سئل عن مقدار </w:t>
      </w:r>
      <w:r>
        <w:rPr>
          <w:rStyle w:val="FootnoteAnchor"/>
          <w:rtl w:val="true"/>
        </w:rPr>
        <w:footnoteReference w:id="1187"/>
      </w:r>
      <w:r>
        <w:rPr>
          <w:rFonts w:ascii="IRNazanin" w:hAnsi="IRNazanin" w:eastAsia="IRNazanin"/>
          <w:color w:val="111111"/>
          <w:sz w:val="28"/>
          <w:sz w:val="28"/>
          <w:szCs w:val="28"/>
          <w:rtl w:val="true"/>
          <w:lang w:bidi="fa-IR"/>
        </w:rPr>
        <w:t xml:space="preserve">ما عنده من الرمّان و البطّیخ،فإنّه لا یجاب إلّا بالوزن،و إذا سئل عن مقدار الحنطة و الشعیر فربما یجاب بالکیل و ربما یجاب بالوزن،لکن الجواب بالکیل مختصّ بمن یعرف مقدار الکیل من حیث الوزن؛إذ الکیل بنفسه غیر منضبط،بخلاف الوزن،و قد تقدّم أنّ الوزن أصل فی </w:t>
      </w:r>
      <w:r>
        <w:rPr>
          <w:rStyle w:val="FootnoteAnchor"/>
          <w:rtl w:val="true"/>
        </w:rPr>
        <w:footnoteReference w:id="1188"/>
      </w:r>
      <w:r>
        <w:rPr>
          <w:rFonts w:ascii="IRNazanin" w:hAnsi="IRNazanin" w:eastAsia="IRNazanin"/>
          <w:color w:val="111111"/>
          <w:sz w:val="28"/>
          <w:sz w:val="28"/>
          <w:szCs w:val="28"/>
          <w:rtl w:val="true"/>
          <w:lang w:bidi="fa-IR"/>
        </w:rPr>
        <w:t xml:space="preserve">الکیل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ذکرنا هو المراد بالمکیل </w:t>
      </w:r>
      <w:r>
        <w:rPr>
          <w:rStyle w:val="FootnoteAnchor"/>
          <w:rtl w:val="true"/>
        </w:rPr>
        <w:footnoteReference w:id="1190"/>
      </w:r>
      <w:r>
        <w:rPr>
          <w:rFonts w:ascii="IRNazanin" w:hAnsi="IRNazanin" w:eastAsia="IRNazanin"/>
          <w:color w:val="111111"/>
          <w:sz w:val="28"/>
          <w:sz w:val="28"/>
          <w:szCs w:val="28"/>
          <w:rtl w:val="true"/>
          <w:lang w:bidi="fa-IR"/>
        </w:rPr>
        <w:t>و الموزون اللذین حمل علیهما الحکم بوجوب الاعتبار بالکیل و الوزن عند البیع،و بدخول الربا فیهما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لا یعتبر مقدار مالیّته بالتقدیر بأحد الثلاثة کالماء و التبن و الخضریات </w:t>
      </w:r>
      <w:r>
        <w:rPr>
          <w:rStyle w:val="FootnoteAnchor"/>
          <w:rtl w:val="true"/>
        </w:rPr>
        <w:footnoteReference w:id="1191"/>
      </w:r>
      <w:r>
        <w:rPr>
          <w:rFonts w:ascii="IRNazanin" w:hAnsi="IRNazanin" w:eastAsia="IRNazanin"/>
          <w:color w:val="111111"/>
          <w:sz w:val="28"/>
          <w:sz w:val="28"/>
          <w:szCs w:val="28"/>
          <w:rtl w:val="true"/>
          <w:lang w:bidi="fa-IR"/>
        </w:rPr>
        <w:t>فالظاهر کفایة المشاهدة فیها من غیر تقدیر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اختلف البلاد فی التقدیر و العدم،فلا إشکال فی التقدیر فی بلد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بلد عدم التقدیر،فإن کان ذلک لابتذال الشیء عندهم بحیث یتسامح فی مقدار التفاوت المحتمل مع المشاهدة کفت المشاهدة،و إن کان لعدم مبالاتهم بالغرر و إقدامهم علیه خرصاً </w:t>
      </w:r>
      <w:r>
        <w:rPr>
          <w:rStyle w:val="FootnoteAnchor"/>
          <w:rtl w:val="true"/>
        </w:rPr>
        <w:footnoteReference w:id="1192"/>
      </w:r>
      <w:r>
        <w:rPr>
          <w:rFonts w:ascii="IRNazanin" w:hAnsi="IRNazanin" w:eastAsia="IRNazanin"/>
          <w:color w:val="111111"/>
          <w:sz w:val="28"/>
          <w:sz w:val="28"/>
          <w:szCs w:val="28"/>
          <w:rtl w:val="true"/>
          <w:lang w:bidi="fa-IR"/>
        </w:rPr>
        <w:t xml:space="preserve">مع الاعتداد بالتفاوت المحتمل بالمشاهدة فلا اعتبار بعادتهم،بل یجب مخالفتها،فإنّ النواهی الواردة فی الشرع عن بیوع الغرر و المجازفات کبیع الملاقیح و المضامین </w:t>
      </w:r>
      <w:r>
        <w:rPr>
          <w:rStyle w:val="FootnoteAnchor"/>
          <w:rtl w:val="true"/>
        </w:rPr>
        <w:footnoteReference w:id="1193"/>
      </w:r>
      <w:r>
        <w:rPr>
          <w:rFonts w:ascii="Amiri" w:hAnsi="Amiri" w:eastAsia="Amiri" w:cs="Amiri"/>
          <w:color w:val="111111"/>
          <w:sz w:val="28"/>
          <w:sz w:val="28"/>
          <w:szCs w:val="28"/>
          <w:rtl w:val="true"/>
          <w:lang w:bidi="ar-SA"/>
        </w:rPr>
        <w:t xml:space="preserve">و الملامسة و المنابذة و الحصاة </w:t>
      </w:r>
      <w:r>
        <w:rPr>
          <w:rStyle w:val="FootnoteAnchor"/>
          <w:rtl w:val="true"/>
        </w:rPr>
        <w:footnoteReference w:id="1194"/>
      </w:r>
      <w:r>
        <w:rPr>
          <w:rFonts w:ascii="IRNazanin" w:hAnsi="IRNazanin" w:eastAsia="IRNazanin"/>
          <w:color w:val="111111"/>
          <w:sz w:val="28"/>
          <w:sz w:val="28"/>
          <w:szCs w:val="28"/>
          <w:rtl w:val="true"/>
          <w:lang w:bidi="fa-IR"/>
        </w:rPr>
        <w:t xml:space="preserve">،علی بعض تفاسیرها </w:t>
      </w:r>
      <w:r>
        <w:rPr>
          <w:rStyle w:val="FootnoteAnchor"/>
          <w:rtl w:val="true"/>
        </w:rPr>
        <w:footnoteReference w:id="1195"/>
      </w:r>
      <w:r>
        <w:rPr>
          <w:rFonts w:ascii="IRNazanin" w:hAnsi="IRNazanin" w:eastAsia="IRNazanin"/>
          <w:color w:val="111111"/>
          <w:sz w:val="28"/>
          <w:sz w:val="28"/>
          <w:szCs w:val="28"/>
          <w:rtl w:val="true"/>
          <w:lang w:bidi="fa-IR"/>
        </w:rPr>
        <w:t xml:space="preserve">،و ثمر الشجر قبل الوجود </w:t>
      </w:r>
      <w:r>
        <w:rPr>
          <w:rStyle w:val="FootnoteAnchor"/>
          <w:rtl w:val="true"/>
        </w:rPr>
        <w:footnoteReference w:id="1196"/>
      </w:r>
      <w:r>
        <w:rPr>
          <w:rFonts w:ascii="IRNazanin" w:hAnsi="IRNazanin" w:eastAsia="IRNazanin"/>
          <w:color w:val="111111"/>
          <w:sz w:val="28"/>
          <w:sz w:val="28"/>
          <w:szCs w:val="28"/>
          <w:rtl w:val="true"/>
          <w:lang w:bidi="fa-IR"/>
        </w:rPr>
        <w:t>،و غیر ذلک لم یرد إلّا ردّاً علی من تعارف عندهم الإقدام علی الغرر و البناء علی المجازفات،الموجب لفتح أبواب المنازعات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 بعض ما ذکرنا أشار ما عن </w:t>
      </w:r>
      <w:r>
        <w:rPr>
          <w:rStyle w:val="FootnoteAnchor"/>
          <w:rtl w:val="true"/>
        </w:rPr>
        <w:footnoteReference w:id="1197"/>
      </w:r>
      <w:r>
        <w:rPr>
          <w:rFonts w:ascii="IRNazanin" w:hAnsi="IRNazanin" w:eastAsia="IRNazanin"/>
          <w:color w:val="111111"/>
          <w:sz w:val="28"/>
          <w:sz w:val="28"/>
          <w:szCs w:val="28"/>
          <w:rtl w:val="true"/>
          <w:lang w:bidi="fa-IR"/>
        </w:rPr>
        <w:t xml:space="preserve">علی بن إبراهیم عن أبیه </w:t>
      </w:r>
      <w:r>
        <w:rPr>
          <w:rStyle w:val="FootnoteAnchor"/>
          <w:rtl w:val="true"/>
        </w:rPr>
        <w:footnoteReference w:id="1198"/>
      </w:r>
      <w:r>
        <w:rPr>
          <w:rFonts w:ascii="IRNazanin" w:hAnsi="IRNazanin" w:eastAsia="IRNazanin"/>
          <w:color w:val="111111"/>
          <w:sz w:val="28"/>
          <w:sz w:val="28"/>
          <w:szCs w:val="28"/>
          <w:rtl w:val="true"/>
          <w:lang w:bidi="fa-IR"/>
        </w:rPr>
        <w:t xml:space="preserve">عن رجاله </w:t>
      </w:r>
      <w:r>
        <w:rPr>
          <w:rStyle w:val="FootnoteAnchor"/>
          <w:rtl w:val="true"/>
        </w:rPr>
        <w:footnoteReference w:id="1199"/>
      </w:r>
      <w:r>
        <w:rPr>
          <w:rFonts w:ascii="IRNazanin" w:hAnsi="IRNazanin" w:eastAsia="IRNazanin"/>
          <w:color w:val="111111"/>
          <w:sz w:val="28"/>
          <w:sz w:val="28"/>
          <w:szCs w:val="28"/>
          <w:rtl w:val="true"/>
          <w:lang w:bidi="fa-IR"/>
        </w:rPr>
        <w:t>ذکره فی حدیث طویل،قال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ینظر فیما یکال أو یوزن إلّا إلی العامّة،و لا یؤخذ فیه بالخاصّة </w:t>
      </w:r>
      <w:r>
        <w:rPr>
          <w:rStyle w:val="FootnoteAnchor"/>
          <w:rtl w:val="true"/>
        </w:rPr>
        <w:footnoteReference w:id="1200"/>
      </w:r>
      <w:r>
        <w:rPr>
          <w:rFonts w:ascii="IRNazanin" w:hAnsi="IRNazanin" w:eastAsia="IRNazanin"/>
          <w:color w:val="111111"/>
          <w:sz w:val="28"/>
          <w:sz w:val="28"/>
          <w:szCs w:val="28"/>
          <w:rtl w:val="true"/>
          <w:lang w:bidi="fa-IR"/>
        </w:rPr>
        <w:t>فإن کان قوم یکیلون اللحم و یکیلون الجوز فلا یعتبر بهم؛لأنّ أصل اللحم أن یوزن و أصل الجوز أن یعدّ</w:t>
      </w:r>
      <w:r>
        <w:rPr>
          <w:rFonts w:eastAsia="IRNazanin" w:cs="IRNazanin"/>
          <w:color w:val="111111"/>
          <w:sz w:val="28"/>
          <w:szCs w:val="28"/>
          <w:rtl w:val="true"/>
          <w:lang w:bidi="fa-IR"/>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ما ذکرنا،فالعبرة ببلدِ </w:t>
      </w:r>
      <w:r>
        <w:rPr>
          <w:rStyle w:val="FootnoteAnchor"/>
          <w:rtl w:val="true"/>
        </w:rPr>
        <w:footnoteReference w:id="1202"/>
      </w:r>
      <w:r>
        <w:rPr>
          <w:rFonts w:ascii="IRNazanin" w:hAnsi="IRNazanin" w:eastAsia="IRNazanin"/>
          <w:color w:val="111111"/>
          <w:sz w:val="28"/>
          <w:sz w:val="28"/>
          <w:szCs w:val="28"/>
          <w:rtl w:val="true"/>
          <w:lang w:bidi="fa-IR"/>
        </w:rPr>
        <w:t>وجود المبیع،لا ببلد العقد و لا ببلد المتعاقدین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شرح القواعد لبعض الأساطین </w:t>
      </w:r>
      <w:r>
        <w:rPr>
          <w:rStyle w:val="FootnoteAnchor"/>
          <w:rtl w:val="true"/>
        </w:rPr>
        <w:footnoteReference w:id="1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الرجوع إلی العادة مع اتّفاقها اتّفاقی،و لو اختلف فلکلّ بلد حکمه کما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یراد به بلد العقد أو المتعاقدین؟الأقوی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تعاقدا فی الصحراء رجعا إلی حکم بلدهما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رجّح الأقرب،أو الأعظم،أو ذو</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الاختبار </w:t>
      </w:r>
      <w:r>
        <w:rPr>
          <w:rStyle w:val="FootnoteAnchor"/>
          <w:rtl w:val="true"/>
        </w:rPr>
        <w:footnoteReference w:id="1204"/>
      </w:r>
      <w:r>
        <w:rPr>
          <w:rFonts w:ascii="IRNazanin" w:hAnsi="IRNazanin" w:eastAsia="IRNazanin"/>
          <w:color w:val="111111"/>
          <w:sz w:val="28"/>
          <w:sz w:val="28"/>
          <w:szCs w:val="28"/>
          <w:rtl w:val="true"/>
          <w:lang w:bidi="fa-IR"/>
        </w:rPr>
        <w:t xml:space="preserve">علی ذی الجزاف،أو البائع فی مبیعه و المشتری فی ثمنه،أو یبنی علی الإقراع مع الاختلاف و ما اتّفقا علیه مع الاتّفاق،أو </w:t>
      </w:r>
      <w:r>
        <w:rPr>
          <w:rStyle w:val="FootnoteAnchor"/>
          <w:rtl w:val="true"/>
        </w:rPr>
        <w:footnoteReference w:id="1205"/>
      </w:r>
      <w:r>
        <w:rPr>
          <w:rFonts w:ascii="IRNazanin" w:hAnsi="IRNazanin" w:eastAsia="IRNazanin"/>
          <w:color w:val="111111"/>
          <w:sz w:val="28"/>
          <w:sz w:val="28"/>
          <w:szCs w:val="28"/>
          <w:rtl w:val="true"/>
          <w:lang w:bidi="fa-IR"/>
        </w:rPr>
        <w:t xml:space="preserve">التخییر،و لعلّه الأقوی </w:t>
      </w:r>
      <w:r>
        <w:rPr>
          <w:rStyle w:val="FootnoteAnchor"/>
          <w:rtl w:val="true"/>
        </w:rPr>
        <w:footnoteReference w:id="1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یجری مثله فی معاملة الغرباء فی الصحراء مع اختلاف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التخلّص بإیقاع المعاملة علی وجه لا یفسدها الجهالة،من صلح أو هبة بعوض أو معاطاة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حصل الاختلاف فی البلد الواحد علی وجه التساوی فالأقوی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الاختصاص بجمع قلیل إشکال </w:t>
      </w:r>
      <w:r>
        <w:rPr>
          <w:rStyle w:val="FootnoteAnchor"/>
          <w:rtl w:val="true"/>
        </w:rPr>
        <w:footnoteReference w:id="120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442" w:name="pg19861_202522"/>
    </w:p>
    <w:p>
      <w:pPr>
        <w:pStyle w:val="Heading4"/>
        <w:numPr>
          <w:ilvl w:val="3"/>
          <w:numId w:val="1"/>
        </w:numPr>
        <w:rPr/>
      </w:pPr>
      <w:bookmarkStart w:id="443" w:name="__RefHeading___Toc5119177_2314609296"/>
      <w:bookmarkStart w:id="444" w:name="_Toc173"/>
      <w:bookmarkEnd w:id="442"/>
      <w:bookmarkEnd w:id="443"/>
      <w:r>
        <w:rPr>
          <w:rtl w:val="true"/>
        </w:rPr>
        <w:t>مسألة لو أخبر البائع بمقدار المبیع جاز الاعتماد علیه علی المشهور،</w:t>
      </w:r>
      <w:bookmarkEnd w:id="444"/>
    </w:p>
    <w:p>
      <w:pPr>
        <w:pStyle w:val="Heading5"/>
        <w:numPr>
          <w:ilvl w:val="4"/>
          <w:numId w:val="1"/>
        </w:numPr>
        <w:rPr/>
      </w:pPr>
      <w:bookmarkStart w:id="445" w:name="__RefHeading___Toc5119179_2314609296"/>
      <w:bookmarkStart w:id="446" w:name="_Toc174"/>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 xml:space="preserve">و عبارة التذکرة </w:t>
      </w:r>
      <w:r>
        <w:rPr>
          <w:rStyle w:val="FootnoteAnchor"/>
          <w:rtl w:val="true"/>
        </w:rPr>
        <w:footnoteReference w:id="1208"/>
      </w:r>
      <w:r>
        <w:rPr>
          <w:rFonts w:ascii="IRNazanin" w:hAnsi="IRNazanin" w:eastAsia="IRNazanin"/>
          <w:color w:val="111111"/>
          <w:sz w:val="28"/>
          <w:sz w:val="28"/>
          <w:szCs w:val="28"/>
          <w:rtl w:val="true"/>
          <w:lang w:bidi="fa-IR"/>
        </w:rPr>
        <w:t xml:space="preserve">مشعرة بالاتّفاق علیه،و یدلّ علیه غیر واحد من الأخبار المتقدّمة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تقدّم من </w:t>
      </w:r>
      <w:r>
        <w:rPr>
          <w:rStyle w:val="FootnoteAnchor"/>
          <w:rtl w:val="true"/>
        </w:rPr>
        <w:footnoteReference w:id="1210"/>
      </w:r>
      <w:r>
        <w:rPr>
          <w:rFonts w:ascii="IRNazanin" w:hAnsi="IRNazanin" w:eastAsia="IRNazanin"/>
          <w:color w:val="111111"/>
          <w:sz w:val="28"/>
          <w:sz w:val="28"/>
          <w:szCs w:val="28"/>
          <w:rtl w:val="true"/>
          <w:lang w:bidi="fa-IR"/>
        </w:rPr>
        <w:t xml:space="preserve">صحیحة الحلبی الظاهرة فی المنع عن ذلک </w:t>
      </w:r>
      <w:r>
        <w:rPr>
          <w:rStyle w:val="FootnoteAnchor"/>
          <w:rtl w:val="true"/>
        </w:rPr>
        <w:footnoteReference w:id="1211"/>
      </w:r>
      <w:r>
        <w:rPr>
          <w:rFonts w:ascii="IRNazanin" w:hAnsi="IRNazanin" w:eastAsia="IRNazanin"/>
          <w:color w:val="111111"/>
          <w:sz w:val="28"/>
          <w:sz w:val="28"/>
          <w:szCs w:val="28"/>
          <w:rtl w:val="true"/>
          <w:lang w:bidi="fa-IR"/>
        </w:rPr>
        <w:t xml:space="preserve">محمول علی صورة إیقاع المعاملة غیر مبنیّة علی المقدار المخبر به و إن کان الإخبار داعیاً إلیها،فإنّها لا تخرج بمجرّد ذلک عن الغرر،و قد تقدّم عن التحریر ما یوافق ذلک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 w:name="__RefHeading___Toc5119181_2314609296"/>
      <w:bookmarkStart w:id="448" w:name="_Toc175"/>
      <w:bookmarkEnd w:id="447"/>
      <w:r>
        <w:rPr>
          <w:rtl w:val="true"/>
        </w:rPr>
        <w:t>[</w:t>
      </w:r>
      <w:r>
        <w:rPr>
          <w:rtl w:val="true"/>
        </w:rPr>
        <w:t>هل یعتبر کون الخبر طریقا عرفیا للمقدار</w:t>
      </w:r>
      <w:r>
        <w:rPr>
          <w:rtl w:val="true"/>
        </w:rPr>
        <w:t>]</w:t>
      </w:r>
      <w:bookmarkEnd w:id="44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الظاهر اعتبار کون الخبر طریقاً عرفیّاً للمقدار کما یشهد به الروایات المتقدّمة،فلو لم یُفد ظنّاً فإشکال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بقاء الجهالة الموجبة</w:t>
      </w:r>
      <w:bookmarkStart w:id="449" w:name="pg19861_202523"/>
    </w:p>
    <w:p>
      <w:pPr>
        <w:pStyle w:val="BookText"/>
        <w:rPr/>
      </w:pPr>
      <w:bookmarkEnd w:id="449"/>
      <w:r>
        <w:rPr>
          <w:rFonts w:ascii="IRNazanin" w:hAnsi="IRNazanin" w:eastAsia="IRNazanin"/>
          <w:color w:val="111111"/>
          <w:sz w:val="28"/>
          <w:sz w:val="28"/>
          <w:szCs w:val="28"/>
          <w:rtl w:val="true"/>
          <w:lang w:bidi="fa-IR"/>
        </w:rPr>
        <w:t>للغرر،و من عدم تقییدهم الإخبار بإفادة الظنّ و لا المخبر بالعدالة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الأقوی؛بناءً علی اعتبار التقدیر و إن لم یلزم الغرر الفعلی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الاعتبار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نعم،لو دار الحکم مدار الغرر کفی فی صحّة المعاملة إیقاعها مبنیّةً علی المقدار المخبر به و إن کان مجهولاً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یندفع الغرر ببناء المتعاملین علی ذلک المقدار؛فإنّ ذلک لیس بأدون من بیع العین الغائبة علی أوصاف مذکورة فی العقد،فیقول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بعتک هذه الصبرة علی أنّها کذا و کذا صاعاً، و علی کلّ تقدیرٍ حکمنا فیه بالصحّة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تبیّن الخلاف،فإمّا أن یکون بالنقیصة،و إمّا أن یکون بالزیادة</w:t>
      </w:r>
      <w:r>
        <w:rPr>
          <w:rFonts w:eastAsia="IRNazanin" w:cs="IRNazanin"/>
          <w:color w:val="111111"/>
          <w:sz w:val="28"/>
          <w:szCs w:val="28"/>
          <w:rtl w:val="true"/>
          <w:lang w:bidi="fa-IR"/>
        </w:rPr>
        <w:t>.</w:t>
      </w:r>
    </w:p>
    <w:p>
      <w:pPr>
        <w:pStyle w:val="Heading5"/>
        <w:numPr>
          <w:ilvl w:val="4"/>
          <w:numId w:val="1"/>
        </w:numPr>
        <w:rPr/>
      </w:pPr>
      <w:bookmarkStart w:id="450" w:name="__RefHeading___Toc5119183_2314609296"/>
      <w:bookmarkStart w:id="451" w:name="_Toc176"/>
      <w:bookmarkEnd w:id="450"/>
      <w:r>
        <w:rPr>
          <w:rtl w:val="true"/>
        </w:rPr>
        <w:t>[</w:t>
      </w:r>
      <w:r>
        <w:rPr>
          <w:rtl w:val="true"/>
        </w:rPr>
        <w:t>ثبوت الخیار للمشتری لو تبین الخلاف بالنقیصة</w:t>
      </w:r>
      <w:r>
        <w:rPr>
          <w:rtl w:val="true"/>
        </w:rPr>
        <w:t>]</w:t>
      </w:r>
      <w:bookmarkEnd w:id="451"/>
    </w:p>
    <w:p>
      <w:pPr>
        <w:pStyle w:val="Heading6"/>
        <w:numPr>
          <w:ilvl w:val="5"/>
          <w:numId w:val="1"/>
        </w:numPr>
        <w:rPr/>
      </w:pPr>
      <w:bookmarkStart w:id="452" w:name="__RefHeading___Toc5119185_2314609296"/>
      <w:bookmarkStart w:id="453" w:name="_Toc177"/>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فإن کان بالنقیصة تخیّر المشتری بین الفسخ و بین الإمضاء،بل 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البطلان،کما لو باعه ثوباً علی أنّه کتّان فبان قطناً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ردّه بکون ذلک من غیر الجنس و هذا منه و إنّما الفائت الوصف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مغایرة الموجود الخارجی لما هو عنوان العقد حقیقةً مغایرةٌ حقیقیّةٌ لا تشبه مغایرة الفاقد للوصف لواجده؛</w:t>
      </w:r>
    </w:p>
    <w:p>
      <w:pPr>
        <w:pStyle w:val="BookText"/>
        <w:rPr/>
      </w:pPr>
      <w:r>
        <w:rPr>
          <w:rFonts w:ascii="IRNazanin" w:hAnsi="IRNazanin" w:eastAsia="IRNazanin"/>
          <w:color w:val="111111"/>
          <w:sz w:val="28"/>
          <w:sz w:val="28"/>
          <w:szCs w:val="28"/>
          <w:rtl w:val="true"/>
          <w:lang w:bidi="fa-IR"/>
        </w:rPr>
        <w:t>لاشتراکهما فی أصل الحقیقة،بخلاف الجزء و الکلّ،فتأمّل؛فإنّ المتعیّن الصحّة و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عبّر فی القواعد عن ثبوت هذا الخیار للبائع مع الزیادة و للمشتری مع النقیصة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المغبون</w:t>
      </w:r>
      <w:r>
        <w:rPr>
          <w:rFonts w:eastAsia="IRNazanin" w:cs="IRNazanin"/>
          <w:color w:val="111111"/>
          <w:sz w:val="28"/>
          <w:szCs w:val="28"/>
          <w:rtl w:val="true"/>
          <w:lang w:bidi="fa-IR"/>
        </w:rPr>
        <w:t xml:space="preserve">» </w:t>
      </w:r>
      <w:r>
        <w:rPr>
          <w:rStyle w:val="FootnoteAnchor"/>
          <w:rtl w:val="true"/>
        </w:rPr>
        <w:footnoteReference w:id="1216"/>
      </w:r>
      <w:r>
        <w:rPr>
          <w:rFonts w:ascii="Amiri" w:hAnsi="Amiri" w:eastAsia="Amiri" w:cs="Amiri"/>
          <w:color w:val="111111"/>
          <w:sz w:val="28"/>
          <w:sz w:val="28"/>
          <w:szCs w:val="28"/>
          <w:rtl w:val="true"/>
          <w:lang w:bidi="ar-SA"/>
        </w:rPr>
        <w:t xml:space="preserve">،فربما تخیّل بعضٌ تبعاً لبعضٍ </w:t>
      </w:r>
      <w:r>
        <w:rPr>
          <w:rStyle w:val="FootnoteAnchor"/>
          <w:rtl w:val="true"/>
        </w:rPr>
        <w:footnoteReference w:id="1217"/>
      </w:r>
      <w:r>
        <w:rPr>
          <w:rFonts w:ascii="IRNazanin" w:hAnsi="IRNazanin" w:eastAsia="IRNazanin"/>
          <w:color w:val="111111"/>
          <w:sz w:val="28"/>
          <w:sz w:val="28"/>
          <w:szCs w:val="28"/>
          <w:rtl w:val="true"/>
          <w:lang w:bidi="fa-IR"/>
        </w:rPr>
        <w:t>أنّ هذا لیس من خیار فوات الوصف أو الجزء؛ معلّلاً بأنّ خیار الوصف إنّما یثبت مع التصریح باشتراط الوصف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العلّامة فی هذه المسألة من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لو ظهر النقصان رجع المشتری بالناقص </w:t>
      </w:r>
      <w:r>
        <w:rPr>
          <w:rStyle w:val="FootnoteAnchor"/>
          <w:rtl w:val="true"/>
        </w:rPr>
        <w:footnoteReference w:id="1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باب الصرف من القواعد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بأنّه لو تبیّن المبیع علی خلاف ما أخبر البائع تخیّر المشتری بین الفسخ و الإمضاء بحصّةٍ معیّنة </w:t>
      </w:r>
      <w:r>
        <w:rPr>
          <w:rStyle w:val="FootnoteAnchor"/>
          <w:rtl w:val="true"/>
        </w:rPr>
        <w:footnoteReference w:id="1219"/>
      </w:r>
      <w:r>
        <w:rPr>
          <w:rFonts w:ascii="IRNazanin" w:hAnsi="IRNazanin" w:eastAsia="IRNazanin"/>
          <w:color w:val="111111"/>
          <w:sz w:val="28"/>
          <w:sz w:val="28"/>
          <w:szCs w:val="28"/>
          <w:rtl w:val="true"/>
          <w:lang w:bidi="fa-IR"/>
        </w:rPr>
        <w:t xml:space="preserve">من الثمن </w:t>
      </w:r>
      <w:r>
        <w:rPr>
          <w:rStyle w:val="FootnoteAnchor"/>
          <w:rtl w:val="true"/>
        </w:rPr>
        <w:footnoteReference w:id="1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تصریح جامع المقاصد فی المسألة الأخیرة بابتنائها علی المسألة المعروفة،و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باع متساوی الأجزاء علی أنّه مقدار معیّن فبان أقلّ</w:t>
      </w:r>
      <w:r>
        <w:rPr>
          <w:rFonts w:eastAsia="IRNazanin" w:cs="IRNazanin"/>
          <w:color w:val="111111"/>
          <w:sz w:val="28"/>
          <w:szCs w:val="28"/>
          <w:rtl w:val="true"/>
          <w:lang w:bidi="fa-IR"/>
        </w:rPr>
        <w:t xml:space="preserve">» </w:t>
      </w:r>
      <w:r>
        <w:rPr>
          <w:rStyle w:val="FootnoteAnchor"/>
          <w:rtl w:val="true"/>
        </w:rPr>
        <w:footnoteReference w:id="1221"/>
      </w:r>
      <w:r>
        <w:rPr>
          <w:rFonts w:ascii="IRNazanin" w:hAnsi="IRNazanin" w:eastAsia="IRNazanin"/>
          <w:color w:val="111111"/>
          <w:sz w:val="28"/>
          <w:sz w:val="28"/>
          <w:szCs w:val="28"/>
          <w:rtl w:val="true"/>
          <w:lang w:bidi="fa-IR"/>
        </w:rPr>
        <w:t>،و من المعلوم أنّ الخیار فی تلک المسألة إمّا لفوات الوصف،و إمّا لفوات الجزء،علی الخلاف الآتی</w:t>
      </w:r>
      <w:r>
        <w:rPr>
          <w:rFonts w:eastAsia="IRNazanin" w:cs="IRNazanin"/>
          <w:color w:val="111111"/>
          <w:sz w:val="28"/>
          <w:szCs w:val="28"/>
          <w:rtl w:val="true"/>
          <w:lang w:bidi="fa-IR"/>
        </w:rPr>
        <w:t>.</w:t>
      </w:r>
      <w:bookmarkStart w:id="454" w:name="pg19861_202525"/>
    </w:p>
    <w:p>
      <w:pPr>
        <w:pStyle w:val="BookText"/>
        <w:rPr/>
      </w:pPr>
      <w:bookmarkEnd w:id="454"/>
      <w:r>
        <w:rPr>
          <w:rFonts w:ascii="IRNazanin" w:hAnsi="IRNazanin" w:eastAsia="IRNazanin"/>
          <w:color w:val="111111"/>
          <w:sz w:val="28"/>
          <w:sz w:val="28"/>
          <w:szCs w:val="28"/>
          <w:rtl w:val="true"/>
          <w:lang w:bidi="fa-IR"/>
        </w:rPr>
        <w:t>و أمّا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فیشمل البائع علی تقدیر الزیادة، و المشتری علی تقدیر النقیصة،نظیر تعبیر الشهید فی اللمعة عن البائع و المشتری فی بیع العین الغائبة برؤیتها السابقة مع تبیّن الخلاف،حیث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تخیّر المغبون منهما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الخیار إنّما یثبت فی تخلّف الوصف إذا اشترط فی متن العقد،ففیه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ذلک فی الأوصاف الخارجة التی لا یشترط اعتبارها فی صحّة البیع </w:t>
      </w:r>
      <w:r>
        <w:rPr>
          <w:rStyle w:val="FootnoteAnchor"/>
          <w:rtl w:val="true"/>
        </w:rPr>
        <w:footnoteReference w:id="1223"/>
      </w:r>
      <w:r>
        <w:rPr>
          <w:rFonts w:ascii="IRNazanin" w:hAnsi="IRNazanin" w:eastAsia="IRNazanin"/>
          <w:color w:val="111111"/>
          <w:sz w:val="28"/>
          <w:sz w:val="28"/>
          <w:szCs w:val="28"/>
          <w:rtl w:val="true"/>
          <w:lang w:bidi="fa-IR"/>
        </w:rPr>
        <w:t>،ککتابة العبد و خیاطته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الملحوظ فی عنوان المبیع بحیث لو لم یلاحظ لم یصحّ البیع کمقدارٍ معیّن من </w:t>
      </w:r>
      <w:r>
        <w:rPr>
          <w:rStyle w:val="FootnoteAnchor"/>
          <w:rtl w:val="true"/>
        </w:rPr>
        <w:footnoteReference w:id="1224"/>
      </w:r>
      <w:r>
        <w:rPr>
          <w:rFonts w:ascii="IRNazanin" w:hAnsi="IRNazanin" w:eastAsia="IRNazanin"/>
          <w:color w:val="111111"/>
          <w:sz w:val="28"/>
          <w:sz w:val="28"/>
          <w:szCs w:val="28"/>
          <w:rtl w:val="true"/>
          <w:lang w:bidi="fa-IR"/>
        </w:rPr>
        <w:t>الکیل أو الوزن أو العدّ فهذا لا یحتاج إلی ذکره فی متن العقد،فإنّ هذا أولی من وصف الصحّة الذی یغنی بناءُ العقد علیه عن ذکره فی العقد،فإنّ معرفة وجود ملاحظة الصحّة لیست من مصحّحات العقد، بخلاف معرفة وجود المقدار المعیّن</w:t>
      </w:r>
      <w:r>
        <w:rPr>
          <w:rFonts w:eastAsia="IRNazanin" w:cs="IRNazanin"/>
          <w:color w:val="111111"/>
          <w:sz w:val="28"/>
          <w:szCs w:val="28"/>
          <w:rtl w:val="true"/>
          <w:lang w:bidi="fa-IR"/>
        </w:rPr>
        <w:t>.</w:t>
      </w:r>
    </w:p>
    <w:p>
      <w:pPr>
        <w:pStyle w:val="Heading6"/>
        <w:numPr>
          <w:ilvl w:val="5"/>
          <w:numId w:val="1"/>
        </w:numPr>
        <w:rPr/>
      </w:pPr>
      <w:bookmarkStart w:id="455" w:name="__RefHeading___Toc5119187_2314609296"/>
      <w:bookmarkStart w:id="456" w:name="_Toc178"/>
      <w:bookmarkEnd w:id="455"/>
      <w:r>
        <w:rPr>
          <w:rtl w:val="true"/>
        </w:rPr>
        <w:t>[</w:t>
      </w:r>
      <w:r>
        <w:rPr>
          <w:rtl w:val="true"/>
        </w:rPr>
        <w:t>عدم الإشکال فی کون هذا الخیار خیار التخلف</w:t>
      </w:r>
      <w:r>
        <w:rPr>
          <w:rtl w:val="true"/>
        </w:rPr>
        <w:t>]</w:t>
      </w:r>
      <w:bookmarkEnd w:id="45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کان،فلا إشکال فی کون هذا الخیار خیار التخلّف و إنّما الإشکال فی أنّ المتخلّف فی الحقیقة هل هو جزء </w:t>
      </w:r>
      <w:r>
        <w:rPr>
          <w:rStyle w:val="FootnoteAnchor"/>
          <w:rtl w:val="true"/>
        </w:rPr>
        <w:footnoteReference w:id="1225"/>
      </w:r>
      <w:r>
        <w:rPr>
          <w:rFonts w:ascii="IRNazanin" w:hAnsi="IRNazanin" w:eastAsia="IRNazanin"/>
          <w:color w:val="111111"/>
          <w:sz w:val="28"/>
          <w:sz w:val="28"/>
          <w:szCs w:val="28"/>
          <w:rtl w:val="true"/>
          <w:lang w:bidi="fa-IR"/>
        </w:rPr>
        <w:t>المبیع أو وصف من أوصافه؟فلذلک اختلف فی أنّ الإمضاء هل هو بجمیع الثمن،أو بحصّةٍ منه نسبتها إلیه کنسبة الموجود من الأجزاء إلی المعدوم؟و تمام الکلام فی موضع تعرّض الأصحاب للمسألة</w:t>
      </w:r>
      <w:r>
        <w:rPr>
          <w:rFonts w:eastAsia="IRNazanin" w:cs="IRNazanin"/>
          <w:color w:val="111111"/>
          <w:sz w:val="28"/>
          <w:szCs w:val="28"/>
          <w:rtl w:val="true"/>
          <w:lang w:bidi="fa-IR"/>
        </w:rPr>
        <w:t>.</w:t>
      </w:r>
      <w:bookmarkStart w:id="457" w:name="pg19861_202526"/>
    </w:p>
    <w:p>
      <w:pPr>
        <w:pStyle w:val="Heading5"/>
        <w:numPr>
          <w:ilvl w:val="4"/>
          <w:numId w:val="1"/>
        </w:numPr>
        <w:rPr/>
      </w:pPr>
      <w:bookmarkStart w:id="458" w:name="__RefHeading___Toc5119189_2314609296"/>
      <w:bookmarkStart w:id="459" w:name="_Toc179"/>
      <w:bookmarkEnd w:id="457"/>
      <w:bookmarkEnd w:id="458"/>
      <w:r>
        <w:rPr>
          <w:rtl w:val="true"/>
        </w:rPr>
        <w:t>[</w:t>
      </w:r>
      <w:r>
        <w:rPr>
          <w:rtl w:val="true"/>
        </w:rPr>
        <w:t>کل ما یکون طریقا عرفیا إلی مقدار البیع فهو بحکم إخبار البائع</w:t>
      </w:r>
      <w:r>
        <w:rPr>
          <w:rtl w:val="true"/>
        </w:rPr>
        <w:t>]</w:t>
      </w:r>
      <w:bookmarkEnd w:id="45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فی حکم إخبار البائع بالکیل و الوزن من حیث ثبوت الخیار عند تبیّن الخلاف،کلّ ما یکون طریقاً عرفیّاً إلی مقدار المبیع و أُوقع </w:t>
      </w:r>
      <w:r>
        <w:rPr>
          <w:rStyle w:val="FootnoteAnchor"/>
          <w:rtl w:val="true"/>
        </w:rPr>
        <w:footnoteReference w:id="1226"/>
      </w:r>
      <w:r>
        <w:rPr>
          <w:rFonts w:ascii="IRNazanin" w:hAnsi="IRNazanin" w:eastAsia="IRNazanin"/>
          <w:color w:val="111111"/>
          <w:sz w:val="28"/>
          <w:sz w:val="28"/>
          <w:szCs w:val="28"/>
          <w:rtl w:val="true"/>
          <w:lang w:bidi="fa-IR"/>
        </w:rPr>
        <w:t>العقد بناءً علیه،کما إذا جعلنا الکیل فی المعدود و الموزون طریقاً إلی عدّه أو وزنه</w:t>
      </w:r>
      <w:r>
        <w:rPr>
          <w:rFonts w:eastAsia="IRNazanin" w:cs="IRNazanin"/>
          <w:color w:val="111111"/>
          <w:sz w:val="28"/>
          <w:szCs w:val="28"/>
          <w:rtl w:val="true"/>
          <w:lang w:bidi="fa-IR"/>
        </w:rPr>
        <w:t>.</w:t>
      </w:r>
      <w:bookmarkStart w:id="460" w:name="pg19861_202527"/>
    </w:p>
    <w:p>
      <w:pPr>
        <w:pStyle w:val="Heading4"/>
        <w:numPr>
          <w:ilvl w:val="3"/>
          <w:numId w:val="1"/>
        </w:numPr>
        <w:rPr/>
      </w:pPr>
      <w:bookmarkStart w:id="461" w:name="__RefHeading___Toc5119191_2314609296"/>
      <w:bookmarkStart w:id="462" w:name="_Toc180"/>
      <w:bookmarkEnd w:id="460"/>
      <w:bookmarkEnd w:id="461"/>
      <w:r>
        <w:rPr>
          <w:rtl w:val="true"/>
        </w:rPr>
        <w:t xml:space="preserve">مسألة </w:t>
      </w:r>
      <w:r>
        <w:rPr>
          <w:rtl w:val="true"/>
        </w:rPr>
        <w:t>[</w:t>
      </w:r>
      <w:r>
        <w:rPr>
          <w:rtl w:val="true"/>
        </w:rPr>
        <w:t>هل یجوز بیع الثوب و الأراضی مع المشاهدة</w:t>
      </w:r>
      <w:r>
        <w:rPr>
          <w:rtl w:val="true"/>
        </w:rPr>
        <w:t>]</w:t>
      </w:r>
      <w:bookmarkEnd w:id="462"/>
    </w:p>
    <w:p>
      <w:pPr>
        <w:pStyle w:val="BookText"/>
        <w:rPr/>
      </w:pP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بیع الثوب و الأرض مع المشاهدة و إن لم یُمسحا،و لو مُسحا کان أحوط؛لتفاوت الغرض فی ذلک،و تعذّر إدراکه بالمشاهدة </w:t>
      </w:r>
      <w:r>
        <w:rPr>
          <w:rStyle w:val="FootnoteAnchor"/>
          <w:rtl w:val="true"/>
        </w:rPr>
        <w:footnoteReference w:id="122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باع مختلف الأجزاء مع المشاهدة صحّ کالثوب و الدار و الغنم إجماعاً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صرّح فی التحریر بجواز بیع قطیع الغنم و إن لم یعلم عددها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یشکل الحکم بالجواز فی کثیر من هذه الموارد،لثبوت الغرر غالباً مع جهل أذرع الثوب و عدد قطیع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الاعتماد فی عددها علی ما یحصل تخمیناً بالمشاهدة عین المجازفة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بالجملة،فإذا فرضنا أنّ مقدار مالیّة الغنم قلّة و کثرة یعلم بالعدد فلا فرق بین الجهل بالعدد فیها و بین الجهل بالمقدار فی المکیل و الموزون</w:t>
      </w:r>
    </w:p>
    <w:p>
      <w:pPr>
        <w:pStyle w:val="BookText"/>
        <w:rPr/>
      </w:pPr>
      <w:r>
        <w:rPr>
          <w:rFonts w:ascii="IRNazanin" w:hAnsi="IRNazanin" w:eastAsia="IRNazanin"/>
          <w:color w:val="111111"/>
          <w:sz w:val="28"/>
          <w:sz w:val="28"/>
          <w:szCs w:val="28"/>
          <w:rtl w:val="true"/>
          <w:lang w:bidi="fa-IR"/>
        </w:rPr>
        <w:t>و المعدود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الحکم فی عدد الأذرع و الطاقات فی الکرابیس </w:t>
      </w:r>
      <w:r>
        <w:rPr>
          <w:rStyle w:val="FootnoteAnchor"/>
          <w:rtl w:val="true"/>
        </w:rPr>
        <w:footnoteReference w:id="1230"/>
      </w:r>
      <w:r>
        <w:rPr>
          <w:rFonts w:ascii="IRNazanin" w:hAnsi="IRNazanin" w:eastAsia="IRNazanin"/>
          <w:color w:val="111111"/>
          <w:sz w:val="28"/>
          <w:sz w:val="28"/>
          <w:szCs w:val="28"/>
          <w:rtl w:val="true"/>
          <w:lang w:bidi="fa-IR"/>
        </w:rPr>
        <w:t>و الجربان فی کثیرٍ من الأراضی المقدّرة عادةً بالجریب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نعم،ربما یتّفق تعارف عددٍ خاصٍّ فی أذرع بعض طاقات الکرابیس،لکن الاعتماد علی هذا من حیث کونه طریقاً إلی عدد الأذرع،نظیر إخبار البائع،و لیس هذا معنی کفایة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تظهر الثمرة فی ثبوت الخیار؛إذ علی تقدیر کفایة المشاهدة لا یثبت خیارٌ مع تبیّن قلّة الأذرع بالنسبة إلی ما حصل التخمین به من المشاهدة،إلّا إذا کان النقص عیباً أو اشترط عدداً خاصّاً من حیث الذراع </w:t>
      </w:r>
      <w:r>
        <w:rPr>
          <w:rStyle w:val="FootnoteAnchor"/>
          <w:rtl w:val="true"/>
        </w:rPr>
        <w:footnoteReference w:id="1231"/>
      </w:r>
      <w:r>
        <w:rPr>
          <w:rFonts w:ascii="Amiri" w:hAnsi="Amiri" w:eastAsia="Amiri" w:cs="Amiri"/>
          <w:color w:val="111111"/>
          <w:sz w:val="28"/>
          <w:sz w:val="28"/>
          <w:szCs w:val="28"/>
          <w:rtl w:val="true"/>
          <w:lang w:bidi="ar-SA"/>
        </w:rPr>
        <w:t>طولاً و عرضاً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بالجملة،فالمعیار هنا دفع الغرر الشخصی،إذ لم یرد هنا نصٌّ بالتقدیر لیحتمل إناطة الحکم به و لو لم یکن غرر،کما استظهرناه فی المکیل و الموزون،فافهم</w:t>
      </w:r>
      <w:r>
        <w:rPr>
          <w:rFonts w:eastAsia="IRNazanin" w:cs="IRNazanin"/>
          <w:color w:val="111111"/>
          <w:sz w:val="28"/>
          <w:szCs w:val="28"/>
          <w:rtl w:val="true"/>
          <w:lang w:bidi="fa-IR"/>
        </w:rPr>
        <w:t>.</w:t>
      </w:r>
      <w:bookmarkStart w:id="463" w:name="pg19861_202529"/>
    </w:p>
    <w:p>
      <w:pPr>
        <w:pStyle w:val="Heading4"/>
        <w:numPr>
          <w:ilvl w:val="3"/>
          <w:numId w:val="1"/>
        </w:numPr>
        <w:rPr/>
      </w:pPr>
      <w:bookmarkStart w:id="464" w:name="__RefHeading___Toc5119193_2314609296"/>
      <w:bookmarkStart w:id="465" w:name="_Toc181"/>
      <w:bookmarkEnd w:id="463"/>
      <w:bookmarkEnd w:id="464"/>
      <w:r>
        <w:rPr>
          <w:rtl w:val="true"/>
        </w:rPr>
        <w:t>مسألة بیع بعضٍ من جملةٍ متساویة الأجزاء</w:t>
      </w:r>
      <w:bookmarkEnd w:id="465"/>
    </w:p>
    <w:p>
      <w:pPr>
        <w:pStyle w:val="Heading5"/>
        <w:numPr>
          <w:ilvl w:val="4"/>
          <w:numId w:val="1"/>
        </w:numPr>
        <w:rPr/>
      </w:pPr>
      <w:bookmarkStart w:id="466" w:name="__RefHeading___Toc5119195_2314609296"/>
      <w:bookmarkStart w:id="467" w:name="_Toc182"/>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کصاعٍ من صبرةٍ مجتمعة الصیعان أو متفرّقتها،أو ذراعٍ من کرباسٍ،أو عبدٍ من عبدین،و شبه ذلک یتصوّر علی وجوه</w:t>
      </w:r>
      <w:r>
        <w:rPr>
          <w:rFonts w:eastAsia="IRNazanin" w:cs="IRNazanin"/>
          <w:color w:val="111111"/>
          <w:sz w:val="28"/>
          <w:szCs w:val="28"/>
          <w:rtl w:val="true"/>
          <w:lang w:bidi="fa-IR"/>
        </w:rPr>
        <w:t>:</w:t>
      </w:r>
    </w:p>
    <w:p>
      <w:pPr>
        <w:pStyle w:val="Heading5"/>
        <w:numPr>
          <w:ilvl w:val="4"/>
          <w:numId w:val="1"/>
        </w:numPr>
        <w:rPr/>
      </w:pPr>
      <w:bookmarkStart w:id="468" w:name="__RefHeading___Toc5119197_2314609296"/>
      <w:bookmarkStart w:id="469" w:name="_Toc183"/>
      <w:bookmarkEnd w:id="468"/>
      <w:r>
        <w:rPr>
          <w:rtl w:val="true"/>
        </w:rPr>
        <w:t>الأوّل</w:t>
      </w:r>
      <w:r>
        <w:rPr>
          <w:rtl w:val="true"/>
        </w:rPr>
        <w:t xml:space="preserve">: </w:t>
      </w:r>
      <w:r>
        <w:rPr>
          <w:rtl w:val="true"/>
        </w:rPr>
        <w:t>أن یرید</w:t>
      </w:r>
      <w:bookmarkEnd w:id="46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یرید </w:t>
      </w:r>
      <w:r>
        <w:rPr>
          <w:rStyle w:val="FootnoteAnchor"/>
          <w:rtl w:val="true"/>
        </w:rPr>
        <w:footnoteReference w:id="1232"/>
      </w:r>
      <w:r>
        <w:rPr>
          <w:rFonts w:ascii="Amiri" w:hAnsi="Amiri" w:eastAsia="Amiri" w:cs="Amiri"/>
          <w:color w:val="111111"/>
          <w:sz w:val="28"/>
          <w:sz w:val="28"/>
          <w:szCs w:val="28"/>
          <w:rtl w:val="true"/>
          <w:lang w:bidi="ar-SA"/>
        </w:rPr>
        <w:t xml:space="preserve">بذلک البعض کسراً واقعیّاً من الجملة مقدّراً </w:t>
      </w:r>
      <w:r>
        <w:rPr>
          <w:rStyle w:val="FootnoteAnchor"/>
          <w:rtl w:val="true"/>
        </w:rPr>
        <w:footnoteReference w:id="1233"/>
      </w:r>
      <w:r>
        <w:rPr>
          <w:rFonts w:ascii="IRNazanin" w:hAnsi="IRNazanin" w:eastAsia="IRNazanin"/>
          <w:color w:val="111111"/>
          <w:sz w:val="28"/>
          <w:sz w:val="28"/>
          <w:szCs w:val="28"/>
          <w:rtl w:val="true"/>
          <w:lang w:bidi="fa-IR"/>
        </w:rPr>
        <w:t>بذلک العنوان،</w:t>
      </w:r>
    </w:p>
    <w:p>
      <w:pPr>
        <w:pStyle w:val="BookText"/>
        <w:rPr/>
      </w:pPr>
      <w:r>
        <w:rPr>
          <w:rFonts w:ascii="IRNazanin" w:hAnsi="IRNazanin" w:eastAsia="IRNazanin"/>
          <w:color w:val="111111"/>
          <w:sz w:val="28"/>
          <w:sz w:val="28"/>
          <w:szCs w:val="28"/>
          <w:rtl w:val="true"/>
          <w:lang w:bidi="fa-IR"/>
        </w:rPr>
        <w:t xml:space="preserve">فیرید </w:t>
      </w:r>
      <w:r>
        <w:rPr>
          <w:rStyle w:val="FootnoteAnchor"/>
          <w:rtl w:val="true"/>
        </w:rPr>
        <w:footnoteReference w:id="1234"/>
      </w:r>
      <w:r>
        <w:rPr>
          <w:rFonts w:ascii="IRNazanin" w:hAnsi="IRNazanin" w:eastAsia="IRNazanin"/>
          <w:color w:val="111111"/>
          <w:sz w:val="28"/>
          <w:sz w:val="28"/>
          <w:szCs w:val="28"/>
          <w:rtl w:val="true"/>
          <w:lang w:bidi="fa-IR"/>
        </w:rPr>
        <w:t>بالصاع مثلاً من صبرةٍ تکون عشرة أصوع عُشرها،و من عبدٍ من العبدین نصفهما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صحّة ذلک،و لا فی کون المبیع مشاعاً فی الجملة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بین اختلاف العبدین فی القیمة و عدمه،و لا بین العلم بعدد صیعان الصبرة و عدمه،لأنّ الکسر مقدّرٌ بالصاع فلا یعتبر العلم بنسبته إلی المجموع</w:t>
      </w:r>
      <w:r>
        <w:rPr>
          <w:rFonts w:eastAsia="IRNazanin" w:cs="IRNazanin"/>
          <w:color w:val="111111"/>
          <w:sz w:val="28"/>
          <w:szCs w:val="28"/>
          <w:rtl w:val="true"/>
          <w:lang w:bidi="fa-IR"/>
        </w:rPr>
        <w:t>.</w:t>
      </w:r>
      <w:bookmarkStart w:id="470" w:name="pg19861_202530"/>
    </w:p>
    <w:p>
      <w:pPr>
        <w:pStyle w:val="BookText"/>
        <w:rPr/>
      </w:pPr>
      <w:bookmarkEnd w:id="470"/>
      <w:r>
        <w:rPr>
          <w:rFonts w:ascii="IRNazanin" w:hAnsi="IRNazanin" w:eastAsia="IRNazanin"/>
          <w:color w:val="111111"/>
          <w:sz w:val="28"/>
          <w:sz w:val="28"/>
          <w:szCs w:val="28"/>
          <w:rtl w:val="true"/>
          <w:lang w:bidi="fa-IR"/>
        </w:rPr>
        <w:t>هذا،و لکن 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الأقرب أنّه لو قصد الإشاعة فی عبد من عبدین أو شاة من شاتین بطل،بخلاف الذراع من الأرض </w:t>
      </w:r>
      <w:r>
        <w:rPr>
          <w:rStyle w:val="FootnoteAnchor"/>
          <w:rtl w:val="true"/>
        </w:rPr>
        <w:footnoteReference w:id="123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یعلم وجه الفرق </w:t>
      </w:r>
      <w:r>
        <w:rPr>
          <w:rStyle w:val="FootnoteAnchor"/>
          <w:rtl w:val="true"/>
        </w:rPr>
        <w:footnoteReference w:id="1236"/>
      </w:r>
      <w:r>
        <w:rPr>
          <w:rFonts w:ascii="IRNazanin" w:hAnsi="IRNazanin" w:eastAsia="IRNazanin"/>
          <w:color w:val="111111"/>
          <w:sz w:val="28"/>
          <w:sz w:val="28"/>
          <w:szCs w:val="28"/>
          <w:rtl w:val="true"/>
          <w:lang w:bidi="fa-IR"/>
        </w:rPr>
        <w:t xml:space="preserve">،إلّا منع ظهور الکسر المشاع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الشاة</w:t>
      </w:r>
      <w:r>
        <w:rPr>
          <w:rFonts w:eastAsia="IRNazanin" w:cs="IRNazanin"/>
          <w:color w:val="111111"/>
          <w:sz w:val="28"/>
          <w:szCs w:val="28"/>
          <w:rtl w:val="true"/>
          <w:lang w:bidi="fa-IR"/>
        </w:rPr>
        <w:t>».</w:t>
      </w:r>
    </w:p>
    <w:p>
      <w:pPr>
        <w:pStyle w:val="Heading5"/>
        <w:numPr>
          <w:ilvl w:val="4"/>
          <w:numId w:val="1"/>
        </w:numPr>
        <w:rPr/>
      </w:pPr>
      <w:bookmarkStart w:id="471" w:name="__RefHeading___Toc5119199_2314609296"/>
      <w:bookmarkStart w:id="472" w:name="_Toc184"/>
      <w:bookmarkEnd w:id="471"/>
      <w:r>
        <w:rPr>
          <w:rtl w:val="true"/>
        </w:rPr>
        <w:t>الثانی</w:t>
      </w:r>
      <w:r>
        <w:rPr>
          <w:rtl w:val="true"/>
        </w:rPr>
        <w:t xml:space="preserve">: </w:t>
      </w:r>
      <w:r>
        <w:rPr>
          <w:rtl w:val="true"/>
        </w:rPr>
        <w:t>أن یراد به بعض مردّد بین ما یمکن صدقه علیه من الأفراد المتصوّرة فی المجموع،</w:t>
      </w:r>
      <w:bookmarkEnd w:id="472"/>
    </w:p>
    <w:p>
      <w:pPr>
        <w:pStyle w:val="Heading6"/>
        <w:numPr>
          <w:ilvl w:val="5"/>
          <w:numId w:val="1"/>
        </w:numPr>
        <w:rPr/>
      </w:pPr>
      <w:bookmarkStart w:id="473" w:name="__RefHeading___Toc5119201_2314609296"/>
      <w:bookmarkStart w:id="474" w:name="_Toc185"/>
      <w:bookmarkEnd w:id="473"/>
      <w:r>
        <w:rPr>
          <w:rtl w:val="true"/>
        </w:rPr>
        <w:t>اشاره</w:t>
      </w:r>
      <w:bookmarkEnd w:id="474"/>
    </w:p>
    <w:p>
      <w:pPr>
        <w:pStyle w:val="BookText"/>
        <w:rPr/>
      </w:pPr>
      <w:r>
        <w:rPr>
          <w:rFonts w:ascii="IRNazanin" w:hAnsi="IRNazanin" w:eastAsia="IRNazanin"/>
          <w:color w:val="111111"/>
          <w:sz w:val="28"/>
          <w:sz w:val="28"/>
          <w:szCs w:val="28"/>
          <w:rtl w:val="true"/>
          <w:lang w:bidi="fa-IR"/>
        </w:rPr>
        <w:t>نظیر تردّد الفرد المنتشر بین الأفراد،و هذا یتّضح فی صاعٍ من الصیعان المتفرّقة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بطلان ذلک مع اختلاف المصادیق فی القیمة کالعبدین المختلفین؛لأنّه غرر؛لأنّ المشتری لا یعلم بما یحصل فی یده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مع اتّفاقهما فی القیمة کما فی الصیعان المتفرّقة،فالمشهور أیضاً کما فی کلام بعض </w:t>
      </w:r>
      <w:r>
        <w:rPr>
          <w:rStyle w:val="FootnoteAnchor"/>
          <w:rtl w:val="true"/>
        </w:rPr>
        <w:footnoteReference w:id="1237"/>
      </w:r>
      <w:r>
        <w:rPr>
          <w:rFonts w:ascii="IRNazanin" w:hAnsi="IRNazanin" w:eastAsia="IRNazanin"/>
          <w:color w:val="111111"/>
          <w:sz w:val="28"/>
          <w:sz w:val="28"/>
          <w:szCs w:val="28"/>
          <w:rtl w:val="true"/>
          <w:lang w:bidi="fa-IR"/>
        </w:rPr>
        <w:t xml:space="preserve">المنع،بل فی الریاض نسبته إلی الأصحاب </w:t>
      </w:r>
      <w:r>
        <w:rPr>
          <w:rStyle w:val="FootnoteAnchor"/>
          <w:rtl w:val="true"/>
        </w:rPr>
        <w:footnoteReference w:id="1238"/>
      </w:r>
      <w:r>
        <w:rPr>
          <w:rFonts w:ascii="IRNazanin" w:hAnsi="IRNazanin" w:eastAsia="IRNazanin"/>
          <w:color w:val="111111"/>
          <w:sz w:val="28"/>
          <w:sz w:val="28"/>
          <w:szCs w:val="28"/>
          <w:rtl w:val="true"/>
          <w:lang w:bidi="fa-IR"/>
        </w:rPr>
        <w:t xml:space="preserve">، و عن المحقّق الأردبیلی قدّس سرّه أیضاً نسبة المنع عن بیع ذراع من کرباس مشاهد من غیر تعیین أحد طرفیه إلی الأصحاب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علی المنع بعضهم </w:t>
      </w:r>
      <w:r>
        <w:rPr>
          <w:rStyle w:val="FootnoteAnchor"/>
          <w:rtl w:val="true"/>
        </w:rPr>
        <w:footnoteReference w:id="1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بالجهالة التی یبطل معها البیع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 </w:t>
      </w:r>
      <w:r>
        <w:rPr>
          <w:rStyle w:val="FootnoteAnchor"/>
          <w:rtl w:val="true"/>
        </w:rPr>
        <w:footnoteReference w:id="1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الإبهام فی البیع مبطلٌ له،لا من حیث الجهالة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یؤیّده أنّه حکم فی التذکرة مع منعه عن بیع أحد العبدین المشاهدین المتساویین بأنّه لو تلف أحدهما فباع الباقی و لم یدرِ أیّهما هو،صحّ، خلافاً لبعض العامّة </w:t>
      </w:r>
      <w:r>
        <w:rPr>
          <w:rStyle w:val="FootnoteAnchor"/>
          <w:rtl w:val="true"/>
        </w:rPr>
        <w:footnoteReference w:id="1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ثالثٌ </w:t>
      </w:r>
      <w:r>
        <w:rPr>
          <w:rStyle w:val="FootnoteAnchor"/>
          <w:rtl w:val="true"/>
        </w:rPr>
        <w:footnoteReference w:id="1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بلزوم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رابعٌ </w:t>
      </w:r>
      <w:r>
        <w:rPr>
          <w:rStyle w:val="FootnoteAnchor"/>
          <w:rtl w:val="true"/>
        </w:rPr>
        <w:footnoteReference w:id="1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الملک صفةٌ وجودیّةٌ محتاجةٌ إلی محلٍّ تقوم به کسائر الصفات الموجودة فی الخارج و أحدهما علی سبیل البدل غیر قابل لقیامه به؛لأنّه أمرٌ انتزاعیٌّ من أمرین معیّنین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الأوّل بمنع المقدّمتین؛لأنّ الواحد علی سبیل البدل غیر مجهول؛إذ لا تعیّن له فی الواقع حتّی یُجهل،و المنع عن بیع المجهول و لو لم یلزم غررٌ،غیر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نعم،وقع فی معقد بعض الإجماعات ما یظهر منه صدق کلتا المقدّمتین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السرائر بعد نقل الروایة التی رواها فی الخلاف علی جواز بیع عبدٍ من عبدین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ما اشتملت علیه الروایة مخالفٌ لما علیه الأُمّة بأسرها،منافٍ لأُصول مذهب أصحابنا و فتاویهم و تصانیفهم؛لأنّ المبیع إذا کان مجهولاً کان البیع باطلاً بغیر خلاف </w:t>
      </w:r>
      <w:r>
        <w:rPr>
          <w:rStyle w:val="FootnoteAnchor"/>
          <w:rtl w:val="true"/>
        </w:rPr>
        <w:footnoteReference w:id="124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الخلاف فی باب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أشتری منک أحد</w:t>
      </w:r>
    </w:p>
    <w:p>
      <w:pPr>
        <w:pStyle w:val="BookText"/>
        <w:rPr/>
      </w:pPr>
      <w:r>
        <w:rPr>
          <w:rFonts w:ascii="IRNazanin" w:hAnsi="IRNazanin" w:eastAsia="IRNazanin"/>
          <w:color w:val="111111"/>
          <w:sz w:val="28"/>
          <w:sz w:val="28"/>
          <w:szCs w:val="28"/>
          <w:rtl w:val="true"/>
          <w:lang w:bidi="fa-IR"/>
        </w:rPr>
        <w:t>هذین العبدین أو هؤلاء 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الشراء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بیع مجهول فیجب أن لا یصحّ،و لأنه بیع غرر لاختلاف قیمتی العبدین،و لأنه لا دلیل علی صحّة ذلک فی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هذه المسألة فی البیوع 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أصحابنا رووا جواز ذلک فی العبدین،فإن قلنا بذلک تبعنا فیه الروایة،و لم یقس </w:t>
      </w:r>
      <w:r>
        <w:rPr>
          <w:rStyle w:val="FootnoteAnchor"/>
          <w:rtl w:val="true"/>
        </w:rPr>
        <w:footnoteReference w:id="1246"/>
      </w:r>
      <w:r>
        <w:rPr>
          <w:rFonts w:ascii="IRNazanin" w:hAnsi="IRNazanin" w:eastAsia="IRNazanin"/>
          <w:color w:val="111111"/>
          <w:sz w:val="28"/>
          <w:sz w:val="28"/>
          <w:szCs w:val="28"/>
          <w:rtl w:val="true"/>
          <w:lang w:bidi="fa-IR"/>
        </w:rPr>
        <w:t xml:space="preserve">غیرها علیها </w:t>
      </w:r>
      <w:r>
        <w:rPr>
          <w:rStyle w:val="FootnoteAnchor"/>
          <w:rtl w:val="true"/>
        </w:rPr>
        <w:footnoteReference w:id="124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عبارته المحکیة فی باب البیوع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روی أصحابنا أنّه إذا اشتری عبداً من عبدین علی أنّ للمشتری أن یختار أیّهما شاء،أنّه جائز،و لم یرووا فی الثوبین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إجماع الفرقة، 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24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أیضاً فی کلام فخر الدین أنّ عدم تشخیص المبیع،من الغرر الذی یوجب النهی عنه الفساد إجماعاً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هذه الکلمات صدق الجهالة و کون مثلها قادحة اتّفاقاً مع فرض عدم نصٍّ،بل قد عرفت ردّ الحلّی للنصّ المجوّز بمخالفته لإجماع الأُمّة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من منع کبری الوجه الأوّل یظهر حال الوجه الثانی من وجوه المنع،أعنی کون الإبهام مبطلاً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الثالث،فیردّه منع لزوم الغَرَر مع فرض اتّفاق الأفراد فی الصفات الموجبة لاختلاف القیمة؛و لذا یجوز الإسلاف فی الکلیّ من هذه الأفراد،مع أنّ الانضباط فی السلَم آکد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فقد جوّزوا بیع الصاع الکلیّ من الصبرة،و لا فرق بینهما من حیث الغرر قطعاً؛و لذا ردّ فی الإیضاح حمل الصاع من الصبرة علی الکلیّ برجوعه إلی عدم تعیین المبیع الموجب للغرر المفسد إجماعاً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الرابع،فبمنع احتیاج صفة الملک إلی موجودٍ خارجیٍّ،فإنّ الکلیّ المبیع سَلَماً أو حالّا مملوکٌ للمشتری،و لا وجود لفردٍ منه فی الخارج بصفة کونه مملوکاً للمشتری،فالوجه أنّ الملکیّة أمرٌ اعتباریٌّ یعتبره العرف و الشرع أو أحدهما فی موارده،و لیست صفةً وجودیّةً متأصّلةً کالحموضة و السواد؛و لذا صرّحوا بصحّة الوصیّة بأحد الشیئین، بل لأحد </w:t>
      </w:r>
      <w:r>
        <w:rPr>
          <w:rStyle w:val="FootnoteAnchor"/>
          <w:rtl w:val="true"/>
        </w:rPr>
        <w:footnoteReference w:id="1252"/>
      </w:r>
      <w:r>
        <w:rPr>
          <w:rFonts w:ascii="IRNazanin" w:hAnsi="IRNazanin" w:eastAsia="IRNazanin"/>
          <w:color w:val="111111"/>
          <w:sz w:val="28"/>
          <w:sz w:val="28"/>
          <w:szCs w:val="28"/>
          <w:rtl w:val="true"/>
          <w:lang w:bidi="fa-IR"/>
        </w:rPr>
        <w:t xml:space="preserve">الشخصین و نحوهما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فالإنصاف کما اعترف به جماعةٌ </w:t>
      </w:r>
      <w:r>
        <w:rPr>
          <w:rStyle w:val="FootnoteAnchor"/>
          <w:rtl w:val="true"/>
        </w:rPr>
        <w:footnoteReference w:id="1254"/>
      </w:r>
      <w:r>
        <w:rPr>
          <w:rFonts w:ascii="IRNazanin" w:hAnsi="IRNazanin" w:eastAsia="IRNazanin"/>
          <w:color w:val="111111"/>
          <w:sz w:val="28"/>
          <w:sz w:val="28"/>
          <w:szCs w:val="28"/>
          <w:rtl w:val="true"/>
          <w:lang w:bidi="fa-IR"/>
        </w:rPr>
        <w:t>أوّلهم المحقّق الأردبیلی عدم دلیلٍ معتبرٍ علی المنع</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شرح الإرشاد علی ما حکی عنه بعد أن حکی عن الأصحاب المنع عن بیع ذراعٍ من کرباسٍ من غیر تقیید کونه من أیّ الطرفین،قال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تأمّلٌ،إذ لم یقم دلیلٌ علی اعتبار هذا المقدار من</w:t>
      </w:r>
    </w:p>
    <w:p>
      <w:pPr>
        <w:pStyle w:val="BookText"/>
        <w:rPr/>
      </w:pPr>
      <w:r>
        <w:rPr>
          <w:rFonts w:ascii="IRNazanin" w:hAnsi="IRNazanin" w:eastAsia="IRNazanin"/>
          <w:color w:val="111111"/>
          <w:sz w:val="28"/>
          <w:sz w:val="28"/>
          <w:szCs w:val="28"/>
          <w:rtl w:val="true"/>
          <w:lang w:bidi="fa-IR"/>
        </w:rPr>
        <w:t xml:space="preserve">العلم،فإنّهما إذا تراضیا علی ذراع من هذا الکرباس من أیّ طرف أراد المشتری أو من أیّ جانب کان من الأرض،فما المانع بعد العلم بذلک؟ </w:t>
      </w:r>
      <w:r>
        <w:rPr>
          <w:rStyle w:val="FootnoteAnchor"/>
          <w:rtl w:val="true"/>
        </w:rPr>
        <w:footnoteReference w:id="125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فالدلیل هو الإجماع لو ثبت،و قد عرفت من </w:t>
      </w:r>
      <w:r>
        <w:rPr>
          <w:rStyle w:val="FootnoteAnchor"/>
          <w:rtl w:val="true"/>
        </w:rPr>
        <w:footnoteReference w:id="1256"/>
      </w:r>
      <w:r>
        <w:rPr>
          <w:rFonts w:ascii="IRNazanin" w:hAnsi="IRNazanin" w:eastAsia="IRNazanin"/>
          <w:color w:val="111111"/>
          <w:sz w:val="28"/>
          <w:sz w:val="28"/>
          <w:szCs w:val="28"/>
          <w:rtl w:val="true"/>
          <w:lang w:bidi="fa-IR"/>
        </w:rPr>
        <w:t>غیر واحد نسبته إلی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الأساطین فی شرحه علی القواعد بعد حکم المصنّف بصحّة بیع الذراع من الثوب و الأرض،الراجع إلی بیع الکسر المشاع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قصدا معیّناً </w:t>
      </w:r>
      <w:r>
        <w:rPr>
          <w:rStyle w:val="FootnoteAnchor"/>
          <w:rtl w:val="true"/>
        </w:rPr>
        <w:footnoteReference w:id="1257"/>
      </w:r>
      <w:r>
        <w:rPr>
          <w:rFonts w:ascii="IRNazanin" w:hAnsi="IRNazanin" w:eastAsia="IRNazanin"/>
          <w:color w:val="111111"/>
          <w:sz w:val="28"/>
          <w:sz w:val="28"/>
          <w:szCs w:val="28"/>
          <w:rtl w:val="true"/>
          <w:lang w:bidi="fa-IR"/>
        </w:rPr>
        <w:t>أو کلّیاً لا علی وجه الإشاعة بطل؛لحصول الغرر بالإبهام فی الأوّل،و کونه بیع المعدوم،و باختلاف الأغراض فی الثانی غالباً،فیلحق به النادر،و للإجماع المنقول فیه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بعد إمعان النظر و نهایة التتبّع أنّ الغرر الشرعی لا یستلزم الغرر العرفی و بالعکس،و ارتفاع الجهالة فی الخصوصیّة قد لا یثمر مع حصولها فی أصل الماهیّة،و لعلّ الدائرة فی الشرع أضیق،و إن کان بین المصطلحین عموم و خصوص من وجهین </w:t>
      </w:r>
      <w:r>
        <w:rPr>
          <w:rStyle w:val="FootnoteAnchor"/>
          <w:rtl w:val="true"/>
        </w:rPr>
        <w:footnoteReference w:id="1258"/>
      </w:r>
      <w:r>
        <w:rPr>
          <w:rFonts w:ascii="IRNazanin" w:hAnsi="IRNazanin" w:eastAsia="IRNazanin"/>
          <w:color w:val="111111"/>
          <w:sz w:val="28"/>
          <w:sz w:val="28"/>
          <w:szCs w:val="28"/>
          <w:rtl w:val="true"/>
          <w:lang w:bidi="fa-IR"/>
        </w:rPr>
        <w:t xml:space="preserve">،و فهم الأصحاب مقدّم؛لأنّهم أدری بمذاق الشارع و أعلم </w:t>
      </w:r>
      <w:r>
        <w:rPr>
          <w:rStyle w:val="FootnoteAnchor"/>
          <w:rtl w:val="true"/>
        </w:rPr>
        <w:footnoteReference w:id="125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أجاد حیث التجأ إلی فهم الأصحاب فیما یخالف العمومات</w:t>
      </w:r>
      <w:r>
        <w:rPr>
          <w:rFonts w:eastAsia="IRNazanin" w:cs="IRNazanin"/>
          <w:color w:val="111111"/>
          <w:sz w:val="28"/>
          <w:szCs w:val="28"/>
          <w:rtl w:val="true"/>
          <w:lang w:bidi="fa-IR"/>
        </w:rPr>
        <w:t>.</w:t>
      </w:r>
      <w:bookmarkStart w:id="475" w:name="pg19861_202535"/>
    </w:p>
    <w:p>
      <w:pPr>
        <w:pStyle w:val="Heading6"/>
        <w:numPr>
          <w:ilvl w:val="5"/>
          <w:numId w:val="1"/>
        </w:numPr>
        <w:rPr/>
      </w:pPr>
      <w:bookmarkStart w:id="476" w:name="__RefHeading___Toc5119203_2314609296"/>
      <w:bookmarkStart w:id="477" w:name="_Toc186"/>
      <w:bookmarkEnd w:id="475"/>
      <w:bookmarkEnd w:id="476"/>
      <w:r>
        <w:rPr>
          <w:rtl w:val="true"/>
        </w:rPr>
        <w:t>فرع</w:t>
      </w:r>
      <w:r>
        <w:rPr>
          <w:rtl w:val="true"/>
        </w:rPr>
        <w:t>:</w:t>
      </w:r>
      <w:bookmarkEnd w:id="477"/>
    </w:p>
    <w:p>
      <w:pPr>
        <w:pStyle w:val="BookText"/>
        <w:rPr/>
      </w:pPr>
      <w:r>
        <w:rPr>
          <w:rFonts w:ascii="IRNazanin" w:hAnsi="IRNazanin" w:eastAsia="IRNazanin"/>
          <w:color w:val="111111"/>
          <w:sz w:val="28"/>
          <w:sz w:val="28"/>
          <w:szCs w:val="28"/>
          <w:rtl w:val="true"/>
          <w:lang w:bidi="fa-IR"/>
        </w:rPr>
        <w:t>علی المشهور من المنع،لو اتّفقا علی أنّهما أرادا غیر شائعٍ لم یصحّ البیع؛</w:t>
      </w:r>
    </w:p>
    <w:p>
      <w:pPr>
        <w:pStyle w:val="BookText"/>
        <w:rPr/>
      </w:pPr>
      <w:r>
        <w:rPr>
          <w:rFonts w:ascii="IRNazanin" w:hAnsi="IRNazanin" w:eastAsia="IRNazanin"/>
          <w:color w:val="111111"/>
          <w:sz w:val="28"/>
          <w:sz w:val="28"/>
          <w:szCs w:val="28"/>
          <w:rtl w:val="true"/>
          <w:lang w:bidi="fa-IR"/>
        </w:rPr>
        <w:t>لاتّفاقهما علی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اختلفا فادّعی المشتری الإشاعة فیصحّ البیع،و قال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أردت معیّناً،ففی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الأقرب قبول قول المشتری؛عملاً بأصالة الصحّة و أصالة عدم التعیین </w:t>
      </w:r>
      <w:r>
        <w:rPr>
          <w:rStyle w:val="FootnoteAnchor"/>
          <w:rtl w:val="true"/>
        </w:rPr>
        <w:footnoteReference w:id="126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حسن لو لم یتسالما علی صیغة ظاهرة فی أحد المعنیین،أمّا معه فالمتّبع </w:t>
      </w:r>
      <w:r>
        <w:rPr>
          <w:rStyle w:val="FootnoteAnchor"/>
          <w:rtl w:val="true"/>
        </w:rPr>
        <w:footnoteReference w:id="1261"/>
      </w:r>
      <w:r>
        <w:rPr>
          <w:rFonts w:ascii="Amiri" w:hAnsi="Amiri" w:eastAsia="Amiri" w:cs="Amiri"/>
          <w:color w:val="111111"/>
          <w:sz w:val="28"/>
          <w:sz w:val="28"/>
          <w:szCs w:val="28"/>
          <w:rtl w:val="true"/>
          <w:lang w:bidi="ar-SA"/>
        </w:rPr>
        <w:t xml:space="preserve">هو الظاهر،و أصالة الصحّة لا تصرف الظواهر </w:t>
      </w:r>
      <w:r>
        <w:rPr>
          <w:rStyle w:val="FootnoteAnchor"/>
          <w:rtl w:val="true"/>
        </w:rPr>
        <w:footnoteReference w:id="1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أصالة عدم التعیین فلم أتحقّقها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بعض من قارب عصرنا </w:t>
      </w:r>
      <w:r>
        <w:rPr>
          <w:rStyle w:val="FootnoteAnchor"/>
          <w:rtl w:val="true"/>
        </w:rPr>
        <w:footnoteReference w:id="1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فرض للکلام ظهور فی عدم </w:t>
      </w:r>
      <w:r>
        <w:rPr>
          <w:rStyle w:val="FootnoteAnchor"/>
          <w:rtl w:val="true"/>
        </w:rPr>
        <w:footnoteReference w:id="1264"/>
      </w:r>
      <w:r>
        <w:rPr>
          <w:rFonts w:ascii="IRNazanin" w:hAnsi="IRNazanin" w:eastAsia="IRNazanin"/>
          <w:color w:val="111111"/>
          <w:sz w:val="28"/>
          <w:sz w:val="28"/>
          <w:szCs w:val="28"/>
          <w:rtl w:val="true"/>
          <w:lang w:bidi="fa-IR"/>
        </w:rPr>
        <w:t>الإشاعة کان حمل الفعل علی الصحّة قرینة صارفة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Heading5"/>
        <w:numPr>
          <w:ilvl w:val="4"/>
          <w:numId w:val="1"/>
        </w:numPr>
        <w:rPr/>
      </w:pPr>
      <w:bookmarkStart w:id="478" w:name="__RefHeading___Toc5119205_2314609296"/>
      <w:bookmarkStart w:id="479" w:name="_Toc187"/>
      <w:bookmarkEnd w:id="478"/>
      <w:r>
        <w:rPr>
          <w:rtl w:val="true"/>
        </w:rPr>
        <w:t>الثالث من وجوه بیع البعض من الکلّ</w:t>
      </w:r>
      <w:r>
        <w:rPr>
          <w:rtl w:val="true"/>
        </w:rPr>
        <w:t>:</w:t>
      </w:r>
      <w:r>
        <w:rPr>
          <w:rtl w:val="true"/>
        </w:rPr>
        <w:t>أن یکون المبیع طبیعة کلّیة منحصرة المصادیق</w:t>
      </w:r>
      <w:bookmarkEnd w:id="479"/>
    </w:p>
    <w:p>
      <w:pPr>
        <w:pStyle w:val="Heading6"/>
        <w:numPr>
          <w:ilvl w:val="5"/>
          <w:numId w:val="1"/>
        </w:numPr>
        <w:rPr/>
      </w:pPr>
      <w:bookmarkStart w:id="480" w:name="__RefHeading___Toc5119207_2314609296"/>
      <w:bookmarkStart w:id="481" w:name="_Toc188"/>
      <w:bookmarkEnd w:id="480"/>
      <w:r>
        <w:rPr>
          <w:rtl w:val="true"/>
        </w:rPr>
        <w:t>اشاره</w:t>
      </w:r>
      <w:bookmarkEnd w:id="48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الأفراد المتصوّرة فی تلک الجملة</w:t>
      </w:r>
      <w:r>
        <w:rPr>
          <w:rFonts w:eastAsia="IRNazanin" w:cs="IRNazanin"/>
          <w:color w:val="111111"/>
          <w:sz w:val="28"/>
          <w:szCs w:val="28"/>
          <w:rtl w:val="true"/>
          <w:lang w:bidi="fa-IR"/>
        </w:rPr>
        <w:t>.</w:t>
      </w:r>
      <w:bookmarkStart w:id="482" w:name="pg19861_202536"/>
    </w:p>
    <w:p>
      <w:pPr>
        <w:pStyle w:val="Heading6"/>
        <w:numPr>
          <w:ilvl w:val="5"/>
          <w:numId w:val="1"/>
        </w:numPr>
        <w:rPr/>
      </w:pPr>
      <w:bookmarkStart w:id="483" w:name="__RefHeading___Toc5119209_2314609296"/>
      <w:bookmarkStart w:id="484" w:name="_Toc189"/>
      <w:bookmarkEnd w:id="482"/>
      <w:bookmarkEnd w:id="483"/>
      <w:r>
        <w:rPr>
          <w:rtl w:val="true"/>
        </w:rPr>
        <w:t>و الفرق بین هذا الوجه و الوجه الثانی</w:t>
      </w:r>
      <w:bookmarkEnd w:id="484"/>
    </w:p>
    <w:p>
      <w:pPr>
        <w:pStyle w:val="BookText"/>
        <w:rPr/>
      </w:pPr>
      <w:r>
        <w:rPr>
          <w:rFonts w:ascii="IRNazanin" w:hAnsi="IRNazanin" w:eastAsia="IRNazanin"/>
          <w:color w:val="111111"/>
          <w:sz w:val="28"/>
          <w:sz w:val="28"/>
          <w:szCs w:val="28"/>
          <w:rtl w:val="true"/>
          <w:lang w:bidi="fa-IR"/>
        </w:rPr>
        <w:t>کما حقّقه فی جامع المقاصد بعد التمثیل للثانی بما إذا فرّق الصیعان،و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المبیع هناک </w:t>
      </w:r>
      <w:r>
        <w:rPr>
          <w:rStyle w:val="FootnoteAnchor"/>
          <w:rtl w:val="true"/>
        </w:rPr>
        <w:footnoteReference w:id="1265"/>
      </w:r>
      <w:r>
        <w:rPr>
          <w:rFonts w:ascii="Amiri" w:hAnsi="Amiri" w:eastAsia="Amiri" w:cs="Amiri"/>
          <w:color w:val="111111"/>
          <w:sz w:val="28"/>
          <w:sz w:val="28"/>
          <w:szCs w:val="28"/>
          <w:rtl w:val="true"/>
          <w:lang w:bidi="ar-SA"/>
        </w:rPr>
        <w:t xml:space="preserve">واحدٌ من الصیعان المتمیّزة المتشخّصة غیر معیّنٍ </w:t>
      </w:r>
      <w:r>
        <w:rPr>
          <w:rStyle w:val="FootnoteAnchor"/>
          <w:rtl w:val="true"/>
        </w:rPr>
        <w:footnoteReference w:id="1266"/>
      </w:r>
      <w:r>
        <w:rPr>
          <w:rFonts w:ascii="IRNazanin" w:hAnsi="IRNazanin" w:eastAsia="IRNazanin"/>
          <w:color w:val="111111"/>
          <w:sz w:val="28"/>
          <w:sz w:val="28"/>
          <w:szCs w:val="28"/>
          <w:rtl w:val="true"/>
          <w:lang w:bidi="fa-IR"/>
        </w:rPr>
        <w:t>،فیکون بیعه مشتملاً علی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الوجه أمر کلیّ‌ٌ غیر متشخّصٍ و لا متمیّزٍ بنفسه،و یتقوّم بکلّ واحدٍ من صیعان الصبرة و یوجد به؛و مثله ما لو قسّم الأرباع و باع ربعاً منها من غیر 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ربعاً قبل القسمة صحّ و تنزّل علی واحدٍ منها مشاعاً؛لأنّه حینئذٍ أمر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المبیع فی الأُولی أیضاً أمر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کذلک،بل هو واحدٌ من تلک الصیعان المتشخّصة،مبهم بحسب صورة العبارة،فیشبه الأمر الکلیّ،و بحسب الواقع جزئیٌّ غیر معیّن و لا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المقتضی لهذا المعنی هو تفریق الصیعان،و جعل کلّ واحد منها </w:t>
      </w:r>
      <w:r>
        <w:rPr>
          <w:rStyle w:val="FootnoteAnchor"/>
          <w:rtl w:val="true"/>
        </w:rPr>
        <w:footnoteReference w:id="1267"/>
      </w:r>
      <w:r>
        <w:rPr>
          <w:rFonts w:ascii="IRNazanin" w:hAnsi="IRNazanin" w:eastAsia="IRNazanin"/>
          <w:color w:val="111111"/>
          <w:sz w:val="28"/>
          <w:sz w:val="28"/>
          <w:szCs w:val="28"/>
          <w:rtl w:val="true"/>
          <w:lang w:bidi="fa-IR"/>
        </w:rPr>
        <w:t>برأسه،فصار إطلاق أحدها منزَّلاً علی شخصیٍّ غیر معلوم،فصار کبیع أحد الشیاه و أحد 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بعتک صاعاً من هذه شائعاً فی جملتها،لحکمنا بالصحّة </w:t>
      </w:r>
      <w:r>
        <w:rPr>
          <w:rStyle w:val="FootnoteAnchor"/>
          <w:rtl w:val="true"/>
        </w:rPr>
        <w:footnoteReference w:id="126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المبیع مع التردید جزئیٌّ حقیقیٌّ،فیمتاز عن المبیع الکلیّ الصادق علی الأفراد المتصوّرة فی تلک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الفرق بینهما هو الفرق بین الکلیّ المقیّد بالوحدة و بین الفرد المنتشر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الظاهر صحّة بیع الکلیّ بهذا المعنی،کما هو صریح جماعةٍ، منهم الشیخ </w:t>
      </w:r>
      <w:r>
        <w:rPr>
          <w:rStyle w:val="FootnoteAnchor"/>
          <w:rtl w:val="true"/>
        </w:rPr>
        <w:footnoteReference w:id="1270"/>
      </w:r>
      <w:r>
        <w:rPr>
          <w:rFonts w:ascii="IRNazanin" w:hAnsi="IRNazanin" w:eastAsia="IRNazanin"/>
          <w:color w:val="111111"/>
          <w:sz w:val="28"/>
          <w:sz w:val="28"/>
          <w:szCs w:val="28"/>
          <w:rtl w:val="true"/>
          <w:lang w:bidi="fa-IR"/>
        </w:rPr>
        <w:t xml:space="preserve">و الشهیدان </w:t>
      </w:r>
      <w:r>
        <w:rPr>
          <w:rStyle w:val="FootnoteAnchor"/>
          <w:rtl w:val="true"/>
        </w:rPr>
        <w:footnoteReference w:id="1271"/>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272"/>
      </w:r>
      <w:r>
        <w:rPr>
          <w:rFonts w:ascii="IRNazanin" w:hAnsi="IRNazanin" w:eastAsia="IRNazanin"/>
          <w:color w:val="111111"/>
          <w:sz w:val="28"/>
          <w:sz w:val="28"/>
          <w:szCs w:val="28"/>
          <w:rtl w:val="true"/>
          <w:lang w:bidi="fa-IR"/>
        </w:rPr>
        <w:t xml:space="preserve">و غیرهم </w:t>
      </w:r>
      <w:r>
        <w:rPr>
          <w:rStyle w:val="FootnoteAnchor"/>
          <w:rtl w:val="true"/>
        </w:rPr>
        <w:footnoteReference w:id="1273"/>
      </w:r>
      <w:r>
        <w:rPr>
          <w:rFonts w:ascii="IRNazanin" w:hAnsi="IRNazanin" w:eastAsia="IRNazanin"/>
          <w:color w:val="111111"/>
          <w:sz w:val="28"/>
          <w:sz w:val="28"/>
          <w:szCs w:val="28"/>
          <w:rtl w:val="true"/>
          <w:lang w:bidi="fa-IR"/>
        </w:rPr>
        <w:t>،بل الظاهر عدم الخلاف فیه و إن اختلفوا فی تنزیل الصاع من الصبرة علی الکلیّ أو الإشاعة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یظهر ممّا عن الإیضاح وجود الخلاف فی صحّة بیع الکلیّ و أنّ منشأ القول بالتنزیل علی الإشاعة هو بطلان بیع الکلیّ بهذا المعنی، و الکلیّ الذی یجوز بیعه هو ما یکون فی الذمّة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الإیضاح فی ترجیح التنزیل علی الإشاعة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لو لم یکن مشاعاً لکان غیر معیّن،فلا یکون معلوم العین،و هو الغرر الذی یدلّ النهی عنه علی الفساد إجماعاً،و لأنّ أحدهما بعینه لو وقع البیع علیه ترجّح </w:t>
      </w:r>
      <w:r>
        <w:rPr>
          <w:rStyle w:val="FootnoteAnchor"/>
          <w:rtl w:val="true"/>
        </w:rPr>
        <w:footnoteReference w:id="1274"/>
      </w:r>
      <w:r>
        <w:rPr>
          <w:rFonts w:ascii="IRNazanin" w:hAnsi="IRNazanin" w:eastAsia="IRNazanin"/>
          <w:color w:val="111111"/>
          <w:sz w:val="28"/>
          <w:sz w:val="28"/>
          <w:szCs w:val="28"/>
          <w:rtl w:val="true"/>
          <w:lang w:bidi="fa-IR"/>
        </w:rPr>
        <w:t xml:space="preserve">من غیر مرجّح،و لا بعینه هو المبهم،و إبهام المبیع مبطل </w:t>
      </w:r>
      <w:r>
        <w:rPr>
          <w:rStyle w:val="FootnoteAnchor"/>
          <w:rtl w:val="true"/>
        </w:rPr>
        <w:footnoteReference w:id="127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تبعه بعض المعاصرین </w:t>
      </w:r>
      <w:r>
        <w:rPr>
          <w:rStyle w:val="FootnoteAnchor"/>
          <w:rtl w:val="true"/>
        </w:rPr>
        <w:footnoteReference w:id="1276"/>
      </w:r>
      <w:r>
        <w:rPr>
          <w:rFonts w:ascii="IRNazanin" w:hAnsi="IRNazanin" w:eastAsia="IRNazanin"/>
          <w:color w:val="111111"/>
          <w:sz w:val="28"/>
          <w:sz w:val="28"/>
          <w:szCs w:val="28"/>
          <w:rtl w:val="true"/>
          <w:lang w:bidi="fa-IR"/>
        </w:rPr>
        <w:t>مستنداً تارةً إلی ما فی الإیضاح من لزوم الإبهام و الغرر،و أُخری إلی عدم معهودیّة ملک الکلیّ فی غیر الذمّة لا علی وجه الإشاعة،و ثالثةً باتّفاقهم علی تنزیل الأرطال المستثناة من بیع الثمرة علی الإشاعة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 من منع الغرر فی بیع الفرد المنتشر، فکیف نسلّم فی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معهود فی الوصیّة و الإصداق؛مع أنّه لم یفهم مراده من المعهودیّة،فإنّ أنواع الملک بل کلّ جنس لا یعهد تحقّق أحدها فی مورد الآخر،إلّا أن یراد منه عدم وجود موردٍ یقینیٍّ </w:t>
      </w:r>
      <w:r>
        <w:rPr>
          <w:rStyle w:val="FootnoteAnchor"/>
          <w:rtl w:val="true"/>
        </w:rPr>
        <w:footnoteReference w:id="1277"/>
      </w:r>
      <w:r>
        <w:rPr>
          <w:rFonts w:ascii="IRNazanin" w:hAnsi="IRNazanin" w:eastAsia="IRNazanin"/>
          <w:color w:val="111111"/>
          <w:sz w:val="28"/>
          <w:sz w:val="28"/>
          <w:szCs w:val="28"/>
          <w:rtl w:val="true"/>
          <w:lang w:bidi="fa-IR"/>
        </w:rPr>
        <w:t xml:space="preserve">حکم فیه الشارع بملکیّة الکلیّ المشترک بین أفراد موجودة،فیکفی </w:t>
      </w:r>
      <w:r>
        <w:rPr>
          <w:rStyle w:val="FootnoteAnchor"/>
          <w:rtl w:val="true"/>
        </w:rPr>
        <w:footnoteReference w:id="1278"/>
      </w:r>
      <w:r>
        <w:rPr>
          <w:rFonts w:ascii="IRNazanin" w:hAnsi="IRNazanin" w:eastAsia="IRNazanin"/>
          <w:color w:val="111111"/>
          <w:sz w:val="28"/>
          <w:sz w:val="28"/>
          <w:szCs w:val="28"/>
          <w:rtl w:val="true"/>
          <w:lang w:bidi="fa-IR"/>
        </w:rPr>
        <w:t>فی ردّه النقض بالوصیّة و 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مضافاً إلی صحیحة الأطنان الآتیة </w:t>
      </w:r>
      <w:r>
        <w:rPr>
          <w:rStyle w:val="FootnoteAnchor"/>
          <w:rtl w:val="true"/>
        </w:rPr>
        <w:footnoteReference w:id="1279"/>
      </w:r>
      <w:r>
        <w:rPr>
          <w:rFonts w:ascii="IRNazanin" w:hAnsi="IRNazanin" w:eastAsia="IRNazanin"/>
          <w:color w:val="111111"/>
          <w:sz w:val="28"/>
          <w:sz w:val="28"/>
          <w:szCs w:val="28"/>
          <w:rtl w:val="true"/>
          <w:lang w:bidi="fa-IR"/>
        </w:rPr>
        <w:t>،فإنّ موردها إمّا بیع الفرد المنتشر،و إمّا بیع الکلیّ فی الخارج</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فسیأتی الکلام فیه إن شاء اللّٰه تعالی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bookmarkStart w:id="485" w:name="pg19861_202539"/>
    </w:p>
    <w:p>
      <w:pPr>
        <w:pStyle w:val="Heading4"/>
        <w:numPr>
          <w:ilvl w:val="3"/>
          <w:numId w:val="1"/>
        </w:numPr>
        <w:rPr/>
      </w:pPr>
      <w:bookmarkStart w:id="486" w:name="__RefHeading___Toc5119211_2314609296"/>
      <w:bookmarkStart w:id="487" w:name="_Toc190"/>
      <w:bookmarkEnd w:id="485"/>
      <w:bookmarkEnd w:id="486"/>
      <w:r>
        <w:rPr>
          <w:rtl w:val="true"/>
        </w:rPr>
        <w:t>مسألة</w:t>
      </w:r>
      <w:bookmarkEnd w:id="487"/>
    </w:p>
    <w:p>
      <w:pPr>
        <w:pStyle w:val="Heading5"/>
        <w:numPr>
          <w:ilvl w:val="4"/>
          <w:numId w:val="1"/>
        </w:numPr>
        <w:rPr/>
      </w:pPr>
      <w:bookmarkStart w:id="488" w:name="__RefHeading___Toc5119213_2314609296"/>
      <w:bookmarkStart w:id="489" w:name="_Toc191"/>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لو باع صاعاً من صبرة،فهل ینزّل علی الوجه الأوّل من الوجوه الثلاثة المتقدّمة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الکسر المشاع أو علی الوجه الثالث و هو الکلیّ،بناءً علی المشهور من صحّته؟وجهان،بل قولان،حکی ثانیهما عن الشیخ </w:t>
      </w:r>
      <w:r>
        <w:rPr>
          <w:rStyle w:val="FootnoteAnchor"/>
          <w:rtl w:val="true"/>
        </w:rPr>
        <w:footnoteReference w:id="1281"/>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1282"/>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283"/>
      </w:r>
      <w:r>
        <w:rPr>
          <w:rFonts w:ascii="Amiri" w:hAnsi="Amiri" w:eastAsia="Amiri" w:cs="Amiri"/>
          <w:color w:val="111111"/>
          <w:sz w:val="28"/>
          <w:sz w:val="28"/>
          <w:szCs w:val="28"/>
          <w:rtl w:val="true"/>
          <w:lang w:bidi="ar-SA"/>
        </w:rPr>
        <w:t xml:space="preserve">و جماعة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له 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السابق إلی الفهم، و بروایة برید بن معاویة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p>
    <w:p>
      <w:pPr>
        <w:pStyle w:val="BookText"/>
        <w:rPr/>
      </w:pPr>
      <w:r>
        <w:rPr>
          <w:rFonts w:ascii="IRNazanin" w:hAnsi="IRNazanin" w:eastAsia="IRNazanin"/>
          <w:color w:val="111111"/>
          <w:sz w:val="28"/>
          <w:sz w:val="28"/>
          <w:szCs w:val="28"/>
          <w:rtl w:val="true"/>
          <w:lang w:bidi="fa-IR"/>
        </w:rPr>
        <w:t xml:space="preserve">اشتری </w:t>
      </w:r>
      <w:r>
        <w:rPr>
          <w:rStyle w:val="FootnoteAnchor"/>
          <w:rtl w:val="true"/>
        </w:rPr>
        <w:footnoteReference w:id="1285"/>
      </w:r>
      <w:r>
        <w:rPr>
          <w:rFonts w:ascii="IRNazanin" w:hAnsi="IRNazanin" w:eastAsia="IRNazanin"/>
          <w:color w:val="111111"/>
          <w:sz w:val="28"/>
          <w:sz w:val="28"/>
          <w:szCs w:val="28"/>
          <w:rtl w:val="true"/>
          <w:lang w:bidi="fa-IR"/>
        </w:rPr>
        <w:t>عشرة آلاف طُنّ من أنبار بعضه علی بعض من أجمة واحدة، و الأنبار فیه ثلاثون ألف طُنّ،فقال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بعتک من هذا القصب عشرة آلاف 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قبلت و اشتریت و رضیت،فأعطاه المشتری من ثمنه ألف درهم،و وکّل من یقبضه،فأصبحوا و قد وقع فی القصب نار فاحترق منه عشرون ألف طُنّ و بقی عشرة آلاف طُنّ،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العشرة آلاف طُنّ التی بقیت هی للمشتری،و العشرون التی احترقت من مال البائع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دفع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مقتضی الوضع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صاعاً من صبرة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الفرد المنتشر الذی عرفت سابقاً </w:t>
      </w:r>
      <w:r>
        <w:rPr>
          <w:rStyle w:val="FootnoteAnchor"/>
          <w:rtl w:val="true"/>
        </w:rPr>
        <w:footnoteReference w:id="1287"/>
      </w:r>
      <w:r>
        <w:rPr>
          <w:rFonts w:ascii="IRNazanin" w:hAnsi="IRNazanin" w:eastAsia="IRNazanin"/>
          <w:color w:val="111111"/>
          <w:sz w:val="28"/>
          <w:sz w:val="28"/>
          <w:szCs w:val="28"/>
          <w:rtl w:val="true"/>
          <w:lang w:bidi="fa-IR"/>
        </w:rPr>
        <w:t>أنّ المشهور بل الإجماع علی بطلانه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المعنی العرفی هو المقدار المقدّر بصاع،و ظاهره حینئذٍ الإشاعة،لأنّ المقدار المذکور من مجموع الصبرة مشاع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الروایة فهی أیضاً ظاهرة فی الفرد المنتشر،کما اعترف به فی الریاض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العرف یعاملون فی البیع المذکور معاملة الکلیّ فیجعلون الخیار فی التعیین إلی البائع،و هذه أمارة فهمهم الکلیّ</w:t>
      </w:r>
      <w:r>
        <w:rPr>
          <w:rFonts w:eastAsia="IRNazanin" w:cs="IRNazanin"/>
          <w:color w:val="111111"/>
          <w:sz w:val="28"/>
          <w:szCs w:val="28"/>
          <w:rtl w:val="true"/>
          <w:lang w:bidi="fa-IR"/>
        </w:rPr>
        <w:t>.</w:t>
      </w:r>
      <w:bookmarkStart w:id="490" w:name="pg19861_202541"/>
    </w:p>
    <w:p>
      <w:pPr>
        <w:pStyle w:val="BookText"/>
        <w:rPr/>
      </w:pPr>
      <w:bookmarkEnd w:id="490"/>
      <w:r>
        <w:rPr>
          <w:rFonts w:ascii="IRNazanin" w:hAnsi="IRNazanin" w:eastAsia="IRNazanin"/>
          <w:color w:val="111111"/>
          <w:sz w:val="28"/>
          <w:sz w:val="28"/>
          <w:szCs w:val="28"/>
          <w:rtl w:val="true"/>
          <w:lang w:bidi="fa-IR"/>
        </w:rPr>
        <w:t>و أمّا الروایة،فلو فرضنا ظهورها فی الفرد المنتشر فلا بأس بحملها علی الکلیّ لأجل القرینة الخارجیّة،و تدلّ علی عدم الإشاعة من حیث الحکم ببقاء المقدار المبیع و کونه مالاً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فالقول الثانی لا یخلو من قوّة،بل لم نظفر بمن جزم بالأوّل و إن حکاه فی الإیضاح قولاً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5119215_2314609296"/>
      <w:bookmarkStart w:id="492" w:name="_Toc192"/>
      <w:bookmarkEnd w:id="491"/>
      <w:r>
        <w:rPr>
          <w:rtl w:val="true"/>
        </w:rPr>
        <w:t>ثمّ إنّه یتفرّع علی المختار من کون المبیع کلّیاً أُمور</w:t>
      </w:r>
      <w:r>
        <w:rPr>
          <w:rtl w:val="true"/>
        </w:rPr>
        <w:t>:</w:t>
      </w:r>
      <w:bookmarkEnd w:id="492"/>
    </w:p>
    <w:p>
      <w:pPr>
        <w:pStyle w:val="Heading6"/>
        <w:numPr>
          <w:ilvl w:val="5"/>
          <w:numId w:val="1"/>
        </w:numPr>
        <w:rPr/>
      </w:pPr>
      <w:bookmarkStart w:id="493" w:name="__RefHeading___Toc5119217_2314609296"/>
      <w:bookmarkStart w:id="494" w:name="_Toc193"/>
      <w:bookmarkEnd w:id="493"/>
      <w:r>
        <w:rPr>
          <w:rtl w:val="true"/>
        </w:rPr>
        <w:t>أحدها</w:t>
      </w:r>
      <w:r>
        <w:rPr>
          <w:rtl w:val="true"/>
        </w:rPr>
        <w:t>:</w:t>
      </w:r>
      <w:r>
        <w:rPr>
          <w:rtl w:val="true"/>
        </w:rPr>
        <w:t>کون التخییر فی تعیینه بید البائع؛</w:t>
      </w:r>
      <w:bookmarkEnd w:id="494"/>
    </w:p>
    <w:p>
      <w:pPr>
        <w:pStyle w:val="BookText"/>
        <w:rPr/>
      </w:pPr>
      <w:r>
        <w:rPr>
          <w:rFonts w:ascii="IRNazanin" w:hAnsi="IRNazanin" w:eastAsia="IRNazanin"/>
          <w:color w:val="111111"/>
          <w:sz w:val="28"/>
          <w:sz w:val="28"/>
          <w:szCs w:val="28"/>
          <w:rtl w:val="true"/>
          <w:lang w:bidi="fa-IR"/>
        </w:rPr>
        <w:t xml:space="preserve">لأنّ المفروض أنّ المشتری لم یملک إلّا الطبیعة المعرّاة عن التشخّص الخاصّ،فلا یستحقّ علی البائع خصوصیّة فإذا طالب بخصوصیّة زائدة علی الطبیعة فقد طالب ما </w:t>
      </w:r>
      <w:r>
        <w:rPr>
          <w:rStyle w:val="FootnoteAnchor"/>
          <w:rtl w:val="true"/>
        </w:rPr>
        <w:footnoteReference w:id="1290"/>
      </w:r>
      <w:r>
        <w:rPr>
          <w:rFonts w:ascii="IRNazanin" w:hAnsi="IRNazanin" w:eastAsia="IRNazanin"/>
          <w:color w:val="111111"/>
          <w:sz w:val="28"/>
          <w:sz w:val="28"/>
          <w:szCs w:val="28"/>
          <w:rtl w:val="true"/>
          <w:lang w:bidi="fa-IR"/>
        </w:rPr>
        <w:t>لیس حقّا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جارٍ فی کلّ من ملک کلّیاً فی الذمّة أو فی الخارج،فلیس لمالکه اقتراح الخصوصیّة علی من علیه الکلیّ؛و لذا کان اختیار التعیین بید الوارث إذا أوصی المیّت لرجل بواحد من متعدّد یملکه المیّت،کعبدٍ من عبیده و نحو ذلک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قد جزم المحقّق القمّی قدّس سرّه فی غیر موضعٍ من أجوبة مسائله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الاختیار فی التعیین بید المشتری </w:t>
      </w:r>
      <w:r>
        <w:rPr>
          <w:rStyle w:val="FootnoteAnchor"/>
          <w:rtl w:val="true"/>
        </w:rPr>
        <w:footnoteReference w:id="1291"/>
      </w:r>
      <w:r>
        <w:rPr>
          <w:rFonts w:ascii="IRNazanin" w:hAnsi="IRNazanin" w:eastAsia="IRNazanin"/>
          <w:color w:val="111111"/>
          <w:sz w:val="28"/>
          <w:sz w:val="28"/>
          <w:szCs w:val="28"/>
          <w:rtl w:val="true"/>
          <w:lang w:bidi="fa-IR"/>
        </w:rPr>
        <w:t>،و لم یعلم له وجه مصحّح،فیا لیته قاس ذلک علی طلب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الطالب لمّا ملک الطبیعة علی المأمور و استحقّها منه لم یجز له بحکم العقل مطالبة خصوصیّة دون اخری،و کذلک مسألة التملیک کما لا یخفی</w:t>
      </w:r>
      <w:r>
        <w:rPr>
          <w:rFonts w:eastAsia="IRNazanin" w:cs="IRNazanin"/>
          <w:color w:val="111111"/>
          <w:sz w:val="28"/>
          <w:szCs w:val="28"/>
          <w:rtl w:val="true"/>
          <w:lang w:bidi="fa-IR"/>
        </w:rPr>
        <w:t>.</w:t>
      </w:r>
      <w:bookmarkStart w:id="495" w:name="pg19861_202542"/>
    </w:p>
    <w:p>
      <w:pPr>
        <w:pStyle w:val="BookText"/>
        <w:rPr/>
      </w:pPr>
      <w:bookmarkEnd w:id="495"/>
      <w:r>
        <w:rPr>
          <w:rFonts w:ascii="IRNazanin" w:hAnsi="IRNazanin" w:eastAsia="IRNazanin"/>
          <w:color w:val="111111"/>
          <w:sz w:val="28"/>
          <w:sz w:val="28"/>
          <w:szCs w:val="28"/>
          <w:rtl w:val="true"/>
          <w:lang w:bidi="fa-IR"/>
        </w:rPr>
        <w:t>و أمّا علی الإشاعة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اختیار لأحدهما،لحصول الشرکة، فیحتاج القسمة إلی التراضی</w:t>
      </w:r>
      <w:r>
        <w:rPr>
          <w:rFonts w:eastAsia="IRNazanin" w:cs="IRNazanin"/>
          <w:color w:val="111111"/>
          <w:sz w:val="28"/>
          <w:szCs w:val="28"/>
          <w:rtl w:val="true"/>
          <w:lang w:bidi="fa-IR"/>
        </w:rPr>
        <w:t>.</w:t>
      </w:r>
    </w:p>
    <w:p>
      <w:pPr>
        <w:pStyle w:val="Heading6"/>
        <w:numPr>
          <w:ilvl w:val="5"/>
          <w:numId w:val="1"/>
        </w:numPr>
        <w:rPr/>
      </w:pPr>
      <w:bookmarkStart w:id="496" w:name="__RefHeading___Toc5119219_2314609296"/>
      <w:bookmarkStart w:id="497" w:name="_Toc194"/>
      <w:bookmarkEnd w:id="496"/>
      <w:r>
        <w:rPr>
          <w:rtl w:val="true"/>
        </w:rPr>
        <w:t>و منها</w:t>
      </w:r>
      <w:r>
        <w:rPr>
          <w:rtl w:val="true"/>
        </w:rPr>
        <w:t>:</w:t>
      </w:r>
      <w:r>
        <w:rPr>
          <w:rtl w:val="true"/>
        </w:rPr>
        <w:t>أنّه لو تلف بعض الجملة و بقی مصداق الطبیعة انحصر حقّ المشتری فیه،</w:t>
      </w:r>
      <w:bookmarkEnd w:id="497"/>
    </w:p>
    <w:p>
      <w:pPr>
        <w:pStyle w:val="BookText"/>
        <w:rPr/>
      </w:pPr>
      <w:r>
        <w:rPr>
          <w:rFonts w:ascii="IRNazanin" w:hAnsi="IRNazanin" w:eastAsia="IRNazanin"/>
          <w:color w:val="111111"/>
          <w:sz w:val="28"/>
          <w:sz w:val="28"/>
          <w:szCs w:val="28"/>
          <w:rtl w:val="true"/>
          <w:lang w:bidi="fa-IR"/>
        </w:rPr>
        <w:t xml:space="preserve">لأنّ کلّ فرد من أفراد الطبیعة و إن کان قابلاً لتعلّق ملکه به بخصوصه،إلّا أنّه یتوقّف علی تعیین مالک المجموع و إقباضه،فکلّ ما تلف قبل إقباضه خرج عن قابلیّة ملکیّته للمشتری </w:t>
      </w:r>
      <w:r>
        <w:rPr>
          <w:rStyle w:val="FootnoteAnchor"/>
          <w:rtl w:val="true"/>
        </w:rPr>
        <w:footnoteReference w:id="1292"/>
      </w:r>
      <w:r>
        <w:rPr>
          <w:rFonts w:ascii="Amiri" w:hAnsi="Amiri" w:eastAsia="Amiri" w:cs="Amiri"/>
          <w:color w:val="111111"/>
          <w:sz w:val="28"/>
          <w:sz w:val="28"/>
          <w:szCs w:val="28"/>
          <w:rtl w:val="true"/>
          <w:lang w:bidi="ar-SA"/>
        </w:rPr>
        <w:t xml:space="preserve">فعلاً </w:t>
      </w:r>
      <w:r>
        <w:rPr>
          <w:rStyle w:val="FootnoteAnchor"/>
          <w:rtl w:val="true"/>
        </w:rPr>
        <w:footnoteReference w:id="1293"/>
      </w:r>
      <w:r>
        <w:rPr>
          <w:rFonts w:ascii="IRNazanin" w:hAnsi="IRNazanin" w:eastAsia="IRNazanin"/>
          <w:color w:val="111111"/>
          <w:sz w:val="28"/>
          <w:sz w:val="28"/>
          <w:szCs w:val="28"/>
          <w:rtl w:val="true"/>
          <w:lang w:bidi="fa-IR"/>
        </w:rPr>
        <w:t>فینحصر فی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بخلاف المشاع،فإنّ ملک المشتری فعلاً </w:t>
      </w:r>
      <w:r>
        <w:rPr>
          <w:rStyle w:val="FootnoteAnchor"/>
          <w:rtl w:val="true"/>
        </w:rPr>
        <w:footnoteReference w:id="1294"/>
      </w:r>
      <w:r>
        <w:rPr>
          <w:rFonts w:ascii="IRNazanin" w:hAnsi="IRNazanin" w:eastAsia="IRNazanin"/>
          <w:color w:val="111111"/>
          <w:sz w:val="28"/>
          <w:sz w:val="28"/>
          <w:szCs w:val="28"/>
          <w:rtl w:val="true"/>
          <w:lang w:bidi="fa-IR"/>
        </w:rPr>
        <w:t>ثابت فی کلّ جزءٍ من المال من دون حاجة إلی اختیارٍ و إقباض،فکلّ ما یتلف من المال فقد تلف من المشتری جزء بنسبة حصّته</w:t>
      </w:r>
      <w:r>
        <w:rPr>
          <w:rFonts w:eastAsia="IRNazanin" w:cs="IRNazanin"/>
          <w:color w:val="111111"/>
          <w:sz w:val="28"/>
          <w:szCs w:val="28"/>
          <w:rtl w:val="true"/>
          <w:lang w:bidi="fa-IR"/>
        </w:rPr>
        <w:t>.</w:t>
      </w:r>
    </w:p>
    <w:p>
      <w:pPr>
        <w:pStyle w:val="Heading6"/>
        <w:numPr>
          <w:ilvl w:val="5"/>
          <w:numId w:val="1"/>
        </w:numPr>
        <w:rPr/>
      </w:pPr>
      <w:bookmarkStart w:id="498" w:name="__RefHeading___Toc5119221_2314609296"/>
      <w:bookmarkStart w:id="499" w:name="_Toc195"/>
      <w:bookmarkEnd w:id="498"/>
      <w:r>
        <w:rPr>
          <w:rtl w:val="true"/>
        </w:rPr>
        <w:t>و منها</w:t>
      </w:r>
      <w:r>
        <w:rPr>
          <w:rtl w:val="true"/>
        </w:rPr>
        <w:t>:</w:t>
      </w:r>
      <w:r>
        <w:rPr>
          <w:rtl w:val="true"/>
        </w:rPr>
        <w:t>أنّه</w:t>
      </w:r>
      <w:bookmarkEnd w:id="499"/>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Style w:val="FootnoteAnchor"/>
          <w:rtl w:val="true"/>
        </w:rPr>
        <w:footnoteReference w:id="1295"/>
      </w:r>
      <w:r>
        <w:rPr>
          <w:rFonts w:ascii="IRNazanin" w:hAnsi="IRNazanin" w:eastAsia="IRNazanin"/>
          <w:color w:val="111111"/>
          <w:sz w:val="28"/>
          <w:sz w:val="28"/>
          <w:szCs w:val="28"/>
          <w:rtl w:val="true"/>
          <w:lang w:bidi="fa-IR"/>
        </w:rPr>
        <w:t>لو فرضنا أنّ البائع بعد ما باع صاعاً من الجملة باع من شخص آخر صاعاً کلیّاً آخر،</w:t>
      </w:r>
    </w:p>
    <w:p>
      <w:pPr>
        <w:pStyle w:val="BookText"/>
        <w:rPr/>
      </w:pPr>
      <w:r>
        <w:rPr>
          <w:rFonts w:ascii="IRNazanin" w:hAnsi="IRNazanin" w:eastAsia="IRNazanin"/>
          <w:color w:val="111111"/>
          <w:sz w:val="28"/>
          <w:sz w:val="28"/>
          <w:szCs w:val="28"/>
          <w:rtl w:val="true"/>
          <w:lang w:bidi="fa-IR"/>
        </w:rPr>
        <w:t>فالظاهر أنّه إذا بقی صاع واحد کان للأوّل،لأنّ الکلیّ المبیع ثانیاً إنّما هو سارٍ فی مال البائع و هو ما عدا الصاع من الصبرة،فإذا تلف ما عدا الصاع فقد تلف جمیع ما کان الکلیّ فیه ساریاً فقد تلف المبیع الثانی قبل القبض،و هذا بخلاف ما لو قلنا بالإشاعة</w:t>
      </w:r>
      <w:r>
        <w:rPr>
          <w:rFonts w:eastAsia="IRNazanin" w:cs="IRNazanin"/>
          <w:color w:val="111111"/>
          <w:sz w:val="28"/>
          <w:szCs w:val="28"/>
          <w:rtl w:val="true"/>
          <w:lang w:bidi="fa-IR"/>
        </w:rPr>
        <w:t>.</w:t>
      </w:r>
    </w:p>
    <w:p>
      <w:pPr>
        <w:pStyle w:val="Heading5"/>
        <w:numPr>
          <w:ilvl w:val="4"/>
          <w:numId w:val="1"/>
        </w:numPr>
        <w:rPr/>
      </w:pPr>
      <w:bookmarkStart w:id="500" w:name="__RefHeading___Toc5119223_2314609296"/>
      <w:bookmarkStart w:id="501" w:name="_Toc196"/>
      <w:bookmarkEnd w:id="500"/>
      <w:r>
        <w:rPr>
          <w:rtl w:val="true"/>
        </w:rPr>
        <w:t>[</w:t>
      </w:r>
      <w:r>
        <w:rPr>
          <w:rtl w:val="true"/>
        </w:rPr>
        <w:t>صور إقباض الکلی</w:t>
      </w:r>
      <w:r>
        <w:rPr>
          <w:rtl w:val="true"/>
        </w:rPr>
        <w:t>]</w:t>
      </w:r>
      <w:bookmarkEnd w:id="50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المبیع إنّما یبقی کلّیاً ما لم یقبض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قُبض، فإن قُبض منفرداً عمّا عداه کان مختصّاً بالمشتری،و إن قبض فی ضمن الباقی بأن أقبضه البائع مجموع الصبرة فیکون بعضه وفاءً،و الباقی</w:t>
      </w:r>
      <w:bookmarkStart w:id="502" w:name="pg19861_202543"/>
    </w:p>
    <w:p>
      <w:pPr>
        <w:pStyle w:val="BookText"/>
        <w:rPr/>
      </w:pPr>
      <w:bookmarkEnd w:id="502"/>
      <w:r>
        <w:rPr>
          <w:rFonts w:ascii="IRNazanin" w:hAnsi="IRNazanin" w:eastAsia="IRNazanin"/>
          <w:color w:val="111111"/>
          <w:sz w:val="28"/>
          <w:sz w:val="28"/>
          <w:szCs w:val="28"/>
          <w:rtl w:val="true"/>
          <w:lang w:bidi="fa-IR"/>
        </w:rPr>
        <w:t>أمانة حصلت الشرکة،لحصول ماله فی یده و عدم توقّفه علی تعیینٍ و إقباضٍ حتّی یخرج التالف عن قابلیّة تملّک المشتری له فعلاً و ینحصر حقّه فی الباقی،فحینئذٍ حساب التالف علی البائع دون المشتری ترجیحٌ بلا مرجّح،فیحسب علیهما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کلّ جزءٍ </w:t>
      </w:r>
      <w:r>
        <w:rPr>
          <w:rStyle w:val="FootnoteAnchor"/>
          <w:rtl w:val="true"/>
        </w:rPr>
        <w:footnoteReference w:id="1296"/>
      </w:r>
      <w:r>
        <w:rPr>
          <w:rFonts w:ascii="IRNazanin" w:hAnsi="IRNazanin" w:eastAsia="IRNazanin"/>
          <w:color w:val="111111"/>
          <w:sz w:val="28"/>
          <w:sz w:val="28"/>
          <w:szCs w:val="28"/>
          <w:rtl w:val="true"/>
          <w:lang w:bidi="fa-IR"/>
        </w:rPr>
        <w:t xml:space="preserve">معیّن قبل الإقباض قابلٌ لکونه کلا أو بعضاً </w:t>
      </w:r>
      <w:r>
        <w:rPr>
          <w:rStyle w:val="FootnoteAnchor"/>
          <w:rtl w:val="true"/>
        </w:rPr>
        <w:footnoteReference w:id="1297"/>
      </w:r>
      <w:r>
        <w:rPr>
          <w:rFonts w:ascii="IRNazanin" w:hAnsi="IRNazanin" w:eastAsia="IRNazanin"/>
          <w:color w:val="111111"/>
          <w:sz w:val="28"/>
          <w:sz w:val="28"/>
          <w:szCs w:val="28"/>
          <w:rtl w:val="true"/>
          <w:lang w:bidi="fa-IR"/>
        </w:rPr>
        <w:t xml:space="preserve">ملکاً فعلیّاً للمشتری،و الملک الفعلی له حینئذٍ هو الکلیّ الساری،فالتالف المعیّن غیر قابل لکون جزئه </w:t>
      </w:r>
      <w:r>
        <w:rPr>
          <w:rStyle w:val="FootnoteAnchor"/>
          <w:rtl w:val="true"/>
        </w:rPr>
        <w:footnoteReference w:id="1298"/>
      </w:r>
      <w:r>
        <w:rPr>
          <w:rFonts w:ascii="IRNazanin" w:hAnsi="IRNazanin" w:eastAsia="IRNazanin"/>
          <w:color w:val="111111"/>
          <w:sz w:val="28"/>
          <w:sz w:val="28"/>
          <w:szCs w:val="28"/>
          <w:rtl w:val="true"/>
          <w:lang w:bidi="fa-IR"/>
        </w:rPr>
        <w:t>محسوباً علی المشتری، لأنّ تملّکه لمعیّن موقوف علی اختیار البائع و إقباضه،فیحسب علی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التالف بعد الإقباض،فإنّ تملّک المشتری لمقدارٍ منه حاصلٌ فعلاً؛لتحقّق الإقباض،فنسبة کلّ جزءٍ معیّنٍ من الجملة إلی کلٍّ من البائع و المشتری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لم یکن إقباض البائع للمجموع </w:t>
      </w:r>
      <w:r>
        <w:rPr>
          <w:rStyle w:val="FootnoteAnchor"/>
          <w:rtl w:val="true"/>
        </w:rPr>
        <w:footnoteReference w:id="1299"/>
      </w:r>
      <w:r>
        <w:rPr>
          <w:rFonts w:ascii="IRNazanin" w:hAnsi="IRNazanin" w:eastAsia="IRNazanin"/>
          <w:color w:val="111111"/>
          <w:sz w:val="28"/>
          <w:sz w:val="28"/>
          <w:szCs w:val="28"/>
          <w:rtl w:val="true"/>
          <w:lang w:bidi="fa-IR"/>
        </w:rPr>
        <w:t>علی وجه الإیفاء،بل علی وجه التوکیل فی التعیین،أو علی وجه الأمانة حتّی یعیّن البائع بعد ذلک،کان حکمه حکم ما قبل القبض</w:t>
      </w:r>
      <w:r>
        <w:rPr>
          <w:rFonts w:eastAsia="IRNazanin" w:cs="IRNazanin"/>
          <w:color w:val="111111"/>
          <w:sz w:val="28"/>
          <w:szCs w:val="28"/>
          <w:rtl w:val="true"/>
          <w:lang w:bidi="fa-IR"/>
        </w:rPr>
        <w:t>.</w:t>
      </w:r>
    </w:p>
    <w:p>
      <w:pPr>
        <w:pStyle w:val="Heading5"/>
        <w:numPr>
          <w:ilvl w:val="4"/>
          <w:numId w:val="1"/>
        </w:numPr>
        <w:rPr/>
      </w:pPr>
      <w:bookmarkStart w:id="503" w:name="__RefHeading___Toc5119225_2314609296"/>
      <w:bookmarkStart w:id="504" w:name="_Toc197"/>
      <w:bookmarkEnd w:id="503"/>
      <w:r>
        <w:rPr>
          <w:rtl w:val="true"/>
        </w:rPr>
        <w:t>[</w:t>
      </w:r>
      <w:r>
        <w:rPr>
          <w:rtl w:val="true"/>
        </w:rPr>
        <w:t>لو باع ثمرة شجرات و استثنی منها أرطالا معلومة</w:t>
      </w:r>
      <w:r>
        <w:rPr>
          <w:rtl w:val="true"/>
        </w:rPr>
        <w:t>]</w:t>
      </w:r>
      <w:bookmarkEnd w:id="50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ممّا لا إشکال فیه،و إنّما الإشکال فی أنّهم ذکروا فیما لو باع ثمرة شجراتٍ و استثنی منها أرطالاً معلومة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خاست الثمرة</w:t>
      </w:r>
    </w:p>
    <w:p>
      <w:pPr>
        <w:pStyle w:val="BookText"/>
        <w:rPr/>
      </w:pPr>
      <w:r>
        <w:rPr>
          <w:rFonts w:ascii="IRNazanin" w:hAnsi="IRNazanin" w:eastAsia="IRNazanin"/>
          <w:color w:val="111111"/>
          <w:sz w:val="28"/>
          <w:sz w:val="28"/>
          <w:szCs w:val="28"/>
          <w:rtl w:val="true"/>
          <w:lang w:bidi="fa-IR"/>
        </w:rPr>
        <w:t xml:space="preserve">سقط من المستثنی بحسابه </w:t>
      </w:r>
      <w:r>
        <w:rPr>
          <w:rStyle w:val="FootnoteAnchor"/>
          <w:rtl w:val="true"/>
        </w:rPr>
        <w:footnoteReference w:id="1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ذلک تنزیل الأرطال المستثناة علی الإشاعة،و لذا قال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فی هذا الحکم دلالةً علی تنزیل الصاع من الصبرة علی الإشاعة </w:t>
      </w:r>
      <w:r>
        <w:rPr>
          <w:rStyle w:val="FootnoteAnchor"/>
          <w:rtl w:val="true"/>
        </w:rPr>
        <w:footnoteReference w:id="1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یقع الإشکال فی الفرق بین المسألتین،حیث إنّ مسألة الاستثناء ظاهرهم الاتّفاق علی تنزیلها علی الإشاعة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هنا التنزیل علی الکلّی،بل لم یُعرف مَن جزم بالإشاعة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یفرّق بین المسألتین </w:t>
      </w:r>
      <w:r>
        <w:rPr>
          <w:rStyle w:val="FootnoteAnchor"/>
          <w:rtl w:val="true"/>
        </w:rPr>
        <w:footnoteReference w:id="1302"/>
      </w:r>
      <w:r>
        <w:rPr>
          <w:rFonts w:ascii="IRNazanin" w:hAnsi="IRNazanin" w:eastAsia="IRNazanin"/>
          <w:color w:val="111111"/>
          <w:sz w:val="28"/>
          <w:sz w:val="28"/>
          <w:szCs w:val="28"/>
          <w:rtl w:val="true"/>
          <w:lang w:bidi="fa-IR"/>
        </w:rPr>
        <w:t xml:space="preserve">بالنصّ فیما نحن فیه علی التنزیل علی الکلیّ،و هو ما تقدّم من الصحیحة المتقدّمة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النصّ إن استفید منه حکم القاعدة لزم التعدّی عن مورده إلی مسألة الاستثناء،أو بیان الفارق و خروجها عن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اقتصر علی مورده لم یتعدّ إلی غیر مورده حتّی فی البیع إلّا بعد إبداء الفرق بین موارد التعدّی و بین مسألة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بالجملة،فالنصّ بنفسه لا یصلح فارقاً مع البناء علی التعدّی عن مورده الشخصی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أضعف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بقیام الإجماع علی الإشاعة فی مسألة</w:t>
      </w:r>
    </w:p>
    <w:p>
      <w:pPr>
        <w:pStyle w:val="BookText"/>
        <w:rPr/>
      </w:pPr>
      <w:r>
        <w:rPr>
          <w:rFonts w:ascii="IRNazanin" w:hAnsi="IRNazanin" w:eastAsia="IRNazanin"/>
          <w:color w:val="111111"/>
          <w:sz w:val="28"/>
          <w:sz w:val="28"/>
          <w:szCs w:val="28"/>
          <w:rtl w:val="true"/>
          <w:lang w:bidi="fa-IR"/>
        </w:rPr>
        <w:t>الاستثناء؛لأنّا نقطع بعدم استناد المجمعین فیها إلی توقیف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أضعف من هذین،الفرق بین مسألة الاستثناء و مسألة الزکاة و غیرهما ممّا یحمل الکلیّ فیها علی الإشاعة،و بین البیع،باعتبار </w:t>
      </w:r>
      <w:r>
        <w:rPr>
          <w:rStyle w:val="FootnoteAnchor"/>
          <w:rtl w:val="true"/>
        </w:rPr>
        <w:footnoteReference w:id="1304"/>
      </w:r>
      <w:r>
        <w:rPr>
          <w:rFonts w:ascii="IRNazanin" w:hAnsi="IRNazanin" w:eastAsia="IRNazanin"/>
          <w:color w:val="111111"/>
          <w:sz w:val="28"/>
          <w:sz w:val="28"/>
          <w:szCs w:val="28"/>
          <w:rtl w:val="true"/>
          <w:lang w:bidi="fa-IR"/>
        </w:rPr>
        <w:t xml:space="preserve">القبض فی لزوم البیع و إیجابه علی البائع،فمع وجود فرد یتحقّق فیه البیع </w:t>
      </w:r>
      <w:r>
        <w:rPr>
          <w:rStyle w:val="FootnoteAnchor"/>
          <w:rtl w:val="true"/>
        </w:rPr>
        <w:footnoteReference w:id="1305"/>
      </w:r>
      <w:r>
        <w:rPr>
          <w:rFonts w:ascii="IRNazanin" w:hAnsi="IRNazanin" w:eastAsia="IRNazanin"/>
          <w:color w:val="111111"/>
          <w:sz w:val="28"/>
          <w:sz w:val="28"/>
          <w:szCs w:val="28"/>
          <w:rtl w:val="true"/>
          <w:lang w:bidi="fa-IR"/>
        </w:rPr>
        <w:t>یجب دفعه إلی المشتری،إذ هو شبه الکلیّ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مع أنّ إیجاب القبض متحقّق فی مسألتی الزکاة و الاستثناء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إیجاب القبض علی البائع یتوقّف علی بقائه؛إذ مع عدم بقائه کلاّ أو بعضاً ینفسخ البیع فی التالف،و الحکم بالبقاء یتوقّف علی نفی الإشاعة،فنفی الإشاعة بوجوب الإقباض لا یخلو عن مصادرة،کما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مدخلیّة القبض فی اللزوم فلا دخل له أصلاً فی الفرق</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فی الضعف لو لم یکن عینه ما فی مفتاح الکرامة من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التلف من الصبرة قبل القبض،فیلزم علی البائع تسلیم المبیع منها و </w:t>
      </w:r>
      <w:r>
        <w:rPr>
          <w:rStyle w:val="FootnoteAnchor"/>
          <w:rtl w:val="true"/>
        </w:rPr>
        <w:footnoteReference w:id="1306"/>
      </w:r>
      <w:r>
        <w:rPr>
          <w:rFonts w:ascii="IRNazanin" w:hAnsi="IRNazanin" w:eastAsia="IRNazanin"/>
          <w:color w:val="111111"/>
          <w:sz w:val="28"/>
          <w:sz w:val="28"/>
          <w:szCs w:val="28"/>
          <w:rtl w:val="true"/>
          <w:lang w:bidi="fa-IR"/>
        </w:rPr>
        <w:t>إن بقی قدره،فلا ینقص المبیع لأجله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 الاستثناء، فإنّ التلف فیه بعد القبض،و المستثنی بید المشتری أمانة علی الإشاعة بینهما،فیوزّع الناقص علیهما،و لهذا لم یحکم بضمان المشتری هنا،بخلاف البائع هناک </w:t>
      </w:r>
      <w:r>
        <w:rPr>
          <w:rStyle w:val="FootnoteAnchor"/>
          <w:rtl w:val="true"/>
        </w:rPr>
        <w:footnoteReference w:id="130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مع ما عرفت من أنّ التلف من الصبرة قبل القبض إنّما یوجب تسلیم تمام المبیع من الباقی بعد ثبوت عدم الإشاعة،فکیف یثبت به؟أنّه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أُرید من </w:t>
      </w:r>
      <w:r>
        <w:rPr>
          <w:rStyle w:val="FootnoteAnchor"/>
          <w:rtl w:val="true"/>
        </w:rPr>
        <w:footnoteReference w:id="1308"/>
      </w:r>
      <w:r>
        <w:rPr>
          <w:rFonts w:ascii="IRNazanin" w:hAnsi="IRNazanin" w:eastAsia="IRNazanin"/>
          <w:color w:val="111111"/>
          <w:sz w:val="28"/>
          <w:sz w:val="28"/>
          <w:szCs w:val="28"/>
          <w:rtl w:val="true"/>
          <w:lang w:bidi="fa-IR"/>
        </w:rPr>
        <w:t>کون التلف فی مسألة الاستثناء بعد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قبض المشتری؟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موجب لخروج البائع عن ضمان ما یتلف من مال المشتری و لا کلام فیه و لا إشکال،و إنّما الإشکال فی الفرق بین المشتری فی مسألة الصاع و البائع فی مسألة الاستثناء،حیث إنّ کلاّ منهما یستحقّ مقداراً من المجموع لم یقبضه مستحقّه،فکیف یحسب نقص التالف </w:t>
      </w:r>
      <w:r>
        <w:rPr>
          <w:rStyle w:val="FootnoteAnchor"/>
          <w:rtl w:val="true"/>
        </w:rPr>
        <w:footnoteReference w:id="1309"/>
      </w:r>
      <w:r>
        <w:rPr>
          <w:rFonts w:ascii="IRNazanin" w:hAnsi="IRNazanin" w:eastAsia="IRNazanin"/>
          <w:color w:val="111111"/>
          <w:sz w:val="28"/>
          <w:sz w:val="28"/>
          <w:szCs w:val="28"/>
          <w:rtl w:val="true"/>
          <w:lang w:bidi="fa-IR"/>
        </w:rPr>
        <w:t xml:space="preserve">علی أحدهما دون الآخر مع اشتراکهما فی عدم قبض حقّه </w:t>
      </w:r>
      <w:r>
        <w:rPr>
          <w:rStyle w:val="FootnoteAnchor"/>
          <w:rtl w:val="true"/>
        </w:rPr>
        <w:footnoteReference w:id="1310"/>
      </w:r>
      <w:r>
        <w:rPr>
          <w:rFonts w:ascii="Amiri" w:hAnsi="Amiri" w:eastAsia="Amiri" w:cs="Amiri"/>
          <w:color w:val="111111"/>
          <w:sz w:val="28"/>
          <w:sz w:val="28"/>
          <w:szCs w:val="28"/>
          <w:rtl w:val="true"/>
          <w:lang w:bidi="ar-SA"/>
        </w:rPr>
        <w:t>الکلیّ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أُرید من کون التلف بعد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الکلیّ الذی یستحقّه البائع قد کان فی یده بعد العقد فحصل الاشتراک،فإذا دفع الکلّ إلی المشتری فقد دفع مالاً مشترکاً،فهو نظیر ما إذا دفع البائع مجموع الصبرة إلی المشتری،فالاشتراک کان قبل القبض</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الإشکال بحاله؛إذ یبقی سؤال الفرق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صاعاً من هذه الصبرة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هذه الصبرة أو هذه</w:t>
      </w:r>
    </w:p>
    <w:p>
      <w:pPr>
        <w:pStyle w:val="BookText"/>
        <w:rPr/>
      </w:pPr>
      <w:r>
        <w:rPr>
          <w:rFonts w:ascii="IRNazanin" w:hAnsi="IRNazanin" w:eastAsia="IRNazanin"/>
          <w:color w:val="111111"/>
          <w:sz w:val="28"/>
          <w:sz w:val="28"/>
          <w:szCs w:val="28"/>
          <w:rtl w:val="true"/>
          <w:lang w:bidi="fa-IR"/>
        </w:rPr>
        <w:t>الثمرة إلّا صاعاً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الموجب للاشتراک فی الثانی دون الأوّل؟ مع کون مقتضی الکلیّ عدم تعیّن </w:t>
      </w:r>
      <w:r>
        <w:rPr>
          <w:rStyle w:val="FootnoteAnchor"/>
          <w:rtl w:val="true"/>
        </w:rPr>
        <w:footnoteReference w:id="1311"/>
      </w:r>
      <w:r>
        <w:rPr>
          <w:rFonts w:ascii="IRNazanin" w:hAnsi="IRNazanin" w:eastAsia="IRNazanin"/>
          <w:color w:val="111111"/>
          <w:sz w:val="28"/>
          <w:sz w:val="28"/>
          <w:szCs w:val="28"/>
          <w:rtl w:val="true"/>
          <w:lang w:bidi="fa-IR"/>
        </w:rPr>
        <w:t xml:space="preserve">فردٍ منه أو جزءٍ منه لمالکه </w:t>
      </w:r>
      <w:r>
        <w:rPr>
          <w:rStyle w:val="FootnoteAnchor"/>
          <w:rtl w:val="true"/>
        </w:rPr>
        <w:footnoteReference w:id="1312"/>
      </w:r>
      <w:r>
        <w:rPr>
          <w:rFonts w:ascii="IRNazanin" w:hAnsi="IRNazanin" w:eastAsia="IRNazanin"/>
          <w:color w:val="111111"/>
          <w:sz w:val="28"/>
          <w:sz w:val="28"/>
          <w:szCs w:val="28"/>
          <w:rtl w:val="true"/>
          <w:lang w:bidi="fa-IR"/>
        </w:rPr>
        <w:t>إلّا بعد إقباض مالک الکلّ الذی هو المشتری فی مسألة الاستثناء،فإنّ کون الکلّ بید البائع المالک للکلیّ لا یوجب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هذا،مع أنّه لم یعلم من الأصحاب فی مسألة الاستثناء الحکم بعد العقد بالاشتراک و عدم جواز تصرّف المشتری إلّا بإذن البائع،کما یشعر به فتوی جماعةٍ،منهم الشهیدان </w:t>
      </w:r>
      <w:r>
        <w:rPr>
          <w:rStyle w:val="FootnoteAnchor"/>
          <w:rtl w:val="true"/>
        </w:rPr>
        <w:footnoteReference w:id="1313"/>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314"/>
      </w:r>
      <w:r>
        <w:rPr>
          <w:rFonts w:ascii="IRNazanin" w:hAnsi="IRNazanin" w:eastAsia="IRNazanin"/>
          <w:color w:val="111111"/>
          <w:sz w:val="28"/>
          <w:sz w:val="28"/>
          <w:szCs w:val="28"/>
          <w:rtl w:val="true"/>
          <w:lang w:bidi="fa-IR"/>
        </w:rPr>
        <w:t>بأنّه لو فرّط المشتری وجب أداء المستثنی من الباقی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w:t>
      </w:r>
      <w:r>
        <w:rPr>
          <w:rStyle w:val="FootnoteAnchor"/>
          <w:rtl w:val="true"/>
        </w:rPr>
        <w:footnoteReference w:id="1315"/>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بناء المشهور فی مسألة استثناء الأرطال إن کان علی عدم الإشاعة قبل التلف و اختصاص الاشتراک بالتالف دون الموجود کما ینبئ عنه فتوی جماعةٍ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کان تلف البعض بتفریط المشتری کان حصّة البائع فی الباقی،و یؤیّده استمرار السیرة فی صورة استثناء أرطال معلومة من الثمرة علی استقلال المشتری فی التصرّف و عدم المعاملة مع البائع معاملة الشرکاء فالمسألتان مشترکتان فی التنزیل علی الکلیّ،و لا فرق بینهما إلّا فی بعض ثمرات التنزیل علی</w:t>
      </w:r>
    </w:p>
    <w:p>
      <w:pPr>
        <w:pStyle w:val="BookText"/>
        <w:rPr/>
      </w:pPr>
      <w:r>
        <w:rPr>
          <w:rFonts w:ascii="IRNazanin" w:hAnsi="IRNazanin" w:eastAsia="IRNazanin"/>
          <w:color w:val="111111"/>
          <w:sz w:val="28"/>
          <w:sz w:val="28"/>
          <w:szCs w:val="28"/>
          <w:rtl w:val="true"/>
          <w:lang w:bidi="fa-IR"/>
        </w:rPr>
        <w:t>الکلیّ و هو حساب التالف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یحضرنی وجهٌ واضح لهذا الفرق، إلّا دعوی أنّ المتبادر من الکلیّ المستثنی هو الکلیّ الشائع فیما یسلم للمشتری،لا مطلق الموجود وقت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بناؤهم علی الإشاعة من أوّل الأمر أمکن أن یکون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المستثنی کما یکون ظاهراً فی الکلیّ،کذلک یکون عنوان المستثنی منه الذی انتقل إلی المشتری بالبیع کلّیاً،بمعنی أنّه ملحوظٌ بعنوانٍ کلیّ یقع علیه البیع،فمعنی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هذه الصبرة إلّا صاعاً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الکلیّ الخارجی الذی هو المجموع المخرج عنه الصاع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کلیّ‌ٌ کنفس الصاع،فکلٌّ منهما مالک لعنوان کلیّ،فالموجود مشترک بینهما؛لأنّ نسبة کل جزءٍ منه إلی کلٍّ منهما علی نهجٍ سواء،فتخصیص أحدهما به ترجیحٌ من غیر مرجّح؛و کذا التالف نسبته إلیهما علی السواء،فیحسب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إذا کان المبیع کلّیاً،فإنّ مال البائع لیس ملحوظاً بعنوان کلیّ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صاعاً من هذه الصبرة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لم یقع موضوع الحکم </w:t>
      </w:r>
      <w:r>
        <w:rPr>
          <w:rStyle w:val="FootnoteAnchor"/>
          <w:rtl w:val="true"/>
        </w:rPr>
        <w:footnoteReference w:id="1316"/>
      </w:r>
      <w:r>
        <w:rPr>
          <w:rFonts w:ascii="IRNazanin" w:hAnsi="IRNazanin" w:eastAsia="IRNazanin"/>
          <w:color w:val="111111"/>
          <w:sz w:val="28"/>
          <w:sz w:val="28"/>
          <w:szCs w:val="28"/>
          <w:rtl w:val="true"/>
          <w:lang w:bidi="fa-IR"/>
        </w:rPr>
        <w:t>فی هذا الکلام حتّی یلحظ بعنوان کلیّ کنفس الصاع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مال البائع بعد بیع الصاع لیس جزئیّاً حقیقیّا متشخّصاً فی الخارج فیکون کلّیاً کنفس الصاع</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لکن ملکیّة البائع له لیس بعنوانٍ کلیّ حتّی یبقی ما بقی ذلک العنوان،لیکون الباقی بعد تلف البعض صادقاً علی هذا العنوان</w:t>
      </w:r>
      <w:bookmarkStart w:id="505" w:name="pg19861_202549"/>
    </w:p>
    <w:p>
      <w:pPr>
        <w:pStyle w:val="BookText"/>
        <w:rPr/>
      </w:pPr>
      <w:bookmarkEnd w:id="505"/>
      <w:r>
        <w:rPr>
          <w:rFonts w:ascii="IRNazanin" w:hAnsi="IRNazanin" w:eastAsia="IRNazanin"/>
          <w:color w:val="111111"/>
          <w:sz w:val="28"/>
          <w:sz w:val="28"/>
          <w:szCs w:val="28"/>
          <w:rtl w:val="true"/>
          <w:lang w:bidi="fa-IR"/>
        </w:rPr>
        <w:t xml:space="preserve">و علی عنوان الصاع </w:t>
      </w:r>
      <w:r>
        <w:rPr>
          <w:rStyle w:val="FootnoteAnchor"/>
          <w:rtl w:val="true"/>
        </w:rPr>
        <w:footnoteReference w:id="1317"/>
      </w:r>
      <w:r>
        <w:rPr>
          <w:rFonts w:ascii="IRNazanin" w:hAnsi="IRNazanin" w:eastAsia="IRNazanin"/>
          <w:color w:val="111111"/>
          <w:sz w:val="28"/>
          <w:sz w:val="28"/>
          <w:szCs w:val="28"/>
          <w:rtl w:val="true"/>
          <w:lang w:bidi="fa-IR"/>
        </w:rPr>
        <w:t>علی نهجٍ سواء،لیلزم من تخصیصه بأحدهما الترجیح من غیر مرجّح فیجیء الاشتراک،فإذا لم یبقَ إلّا صاع کان الموجود مصداقاً لعنوان ملک المشتری فیحکم بکونه مالکاً له،و لا یزاحمه بقاء عنوان ملک البائع،فتأمّل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خطر عاجلاً بالبال،و قد أو کلنا تحقیق هذا المقام الذی لم یبلغ إلیه ذهنی القاصر إلی نظر الناظر البصیر الخبیر الماهر،عفی اللّٰه عن الزلل فی المعاثر</w:t>
      </w:r>
      <w:r>
        <w:rPr>
          <w:rFonts w:eastAsia="IRNazanin" w:cs="IRNazanin"/>
          <w:color w:val="111111"/>
          <w:sz w:val="28"/>
          <w:szCs w:val="28"/>
          <w:rtl w:val="true"/>
          <w:lang w:bidi="fa-IR"/>
        </w:rPr>
        <w:t>.</w:t>
      </w:r>
    </w:p>
    <w:p>
      <w:pPr>
        <w:pStyle w:val="Heading5"/>
        <w:numPr>
          <w:ilvl w:val="4"/>
          <w:numId w:val="1"/>
        </w:numPr>
        <w:rPr/>
      </w:pPr>
      <w:bookmarkStart w:id="506" w:name="__RefHeading___Toc5119227_2314609296"/>
      <w:bookmarkStart w:id="507" w:name="_Toc198"/>
      <w:bookmarkEnd w:id="506"/>
      <w:r>
        <w:rPr>
          <w:rtl w:val="true"/>
        </w:rPr>
        <w:t>[</w:t>
      </w:r>
      <w:r>
        <w:rPr>
          <w:rtl w:val="true"/>
        </w:rPr>
        <w:t>أقسام بیع الصبرة</w:t>
      </w:r>
      <w:r>
        <w:rPr>
          <w:rtl w:val="true"/>
        </w:rPr>
        <w:t>]</w:t>
      </w:r>
      <w:bookmarkEnd w:id="507"/>
    </w:p>
    <w:p>
      <w:pPr>
        <w:pStyle w:val="BookText"/>
        <w:rPr/>
      </w:pPr>
      <w:r>
        <w:rPr>
          <w:rFonts w:ascii="IRNazanin" w:hAnsi="IRNazanin" w:eastAsia="IRNazanin"/>
          <w:color w:val="111111"/>
          <w:sz w:val="28"/>
          <w:sz w:val="28"/>
          <w:szCs w:val="28"/>
          <w:rtl w:val="true"/>
          <w:lang w:bidi="fa-IR"/>
        </w:rPr>
        <w:t xml:space="preserve">قال فی الروضة تبعاً للمحکی عن حواشی الشهید </w:t>
      </w:r>
      <w:r>
        <w:rPr>
          <w:rStyle w:val="FootnoteAnchor"/>
          <w:rtl w:val="true"/>
        </w:rPr>
        <w:footnoteReference w:id="1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أقسام بیع الصبرة عشرة؛لأنّها إمّا أن تکون معلومة المقدار أو مجهولته،فإن کانت معلومة صحّ بیعها أجمع،و بیع جزءٍ منها معلومٍ مشاعٍ،و بیع مقدارٍ کقفیزٍ تشتمل علیه،و بیعها کلّ قفیز بکذا،لا </w:t>
      </w:r>
      <w:r>
        <w:rPr>
          <w:rStyle w:val="FootnoteAnchor"/>
          <w:rtl w:val="true"/>
        </w:rPr>
        <w:footnoteReference w:id="1319"/>
      </w:r>
      <w:r>
        <w:rPr>
          <w:rFonts w:ascii="Amiri" w:hAnsi="Amiri" w:eastAsia="Amiri" w:cs="Amiri"/>
          <w:color w:val="111111"/>
          <w:sz w:val="28"/>
          <w:sz w:val="28"/>
          <w:szCs w:val="28"/>
          <w:rtl w:val="true"/>
          <w:lang w:bidi="ar-SA"/>
        </w:rPr>
        <w:t>بیع کلِّ قفیز منها بکذا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المجهولة کلّها باطلة إلّا الثالث </w:t>
      </w:r>
      <w:r>
        <w:rPr>
          <w:rStyle w:val="FootnoteAnchor"/>
          <w:rtl w:val="true"/>
        </w:rPr>
        <w:footnoteReference w:id="1320"/>
      </w:r>
      <w:r>
        <w:rPr>
          <w:rFonts w:ascii="IRNazanin" w:hAnsi="IRNazanin" w:eastAsia="IRNazanin"/>
          <w:color w:val="111111"/>
          <w:sz w:val="28"/>
          <w:sz w:val="28"/>
          <w:szCs w:val="28"/>
          <w:rtl w:val="true"/>
          <w:lang w:bidi="fa-IR"/>
        </w:rPr>
        <w:t>،و هو بیع مقدارٍ معلوم یشتمل الصبرة علیه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لم یعلم باشتمالها علیه،فظاهر القواعد </w:t>
      </w:r>
      <w:r>
        <w:rPr>
          <w:rStyle w:val="FootnoteAnchor"/>
          <w:rtl w:val="true"/>
        </w:rPr>
        <w:footnoteReference w:id="1321"/>
      </w:r>
      <w:r>
        <w:rPr>
          <w:rFonts w:ascii="IRNazanin" w:hAnsi="IRNazanin" w:eastAsia="IRNazanin"/>
          <w:color w:val="111111"/>
          <w:sz w:val="28"/>
          <w:sz w:val="28"/>
          <w:szCs w:val="28"/>
          <w:rtl w:val="true"/>
          <w:lang w:bidi="fa-IR"/>
        </w:rPr>
        <w:t>و المحکی عن حواشی</w:t>
      </w:r>
    </w:p>
    <w:p>
      <w:pPr>
        <w:pStyle w:val="BookText"/>
        <w:rPr/>
      </w:pPr>
      <w:r>
        <w:rPr>
          <w:rFonts w:ascii="IRNazanin" w:hAnsi="IRNazanin" w:eastAsia="IRNazanin"/>
          <w:color w:val="111111"/>
          <w:sz w:val="28"/>
          <w:sz w:val="28"/>
          <w:szCs w:val="28"/>
          <w:rtl w:val="true"/>
          <w:lang w:bidi="fa-IR"/>
        </w:rPr>
        <w:t xml:space="preserve">الشهید </w:t>
      </w:r>
      <w:r>
        <w:rPr>
          <w:rStyle w:val="FootnoteAnchor"/>
          <w:rtl w:val="true"/>
        </w:rPr>
        <w:footnoteReference w:id="1322"/>
      </w:r>
      <w:r>
        <w:rPr>
          <w:rFonts w:ascii="IRNazanin" w:hAnsi="IRNazanin" w:eastAsia="IRNazanin"/>
          <w:color w:val="111111"/>
          <w:sz w:val="28"/>
          <w:sz w:val="28"/>
          <w:szCs w:val="28"/>
          <w:rtl w:val="true"/>
          <w:lang w:bidi="fa-IR"/>
        </w:rPr>
        <w:t xml:space="preserve">و غیرها </w:t>
      </w:r>
      <w:r>
        <w:rPr>
          <w:rStyle w:val="FootnoteAnchor"/>
          <w:rtl w:val="true"/>
        </w:rPr>
        <w:footnoteReference w:id="1323"/>
      </w:r>
      <w:r>
        <w:rPr>
          <w:rFonts w:ascii="IRNazanin" w:hAnsi="IRNazanin" w:eastAsia="IRNazanin"/>
          <w:color w:val="111111"/>
          <w:sz w:val="28"/>
          <w:sz w:val="28"/>
          <w:szCs w:val="28"/>
          <w:rtl w:val="true"/>
          <w:lang w:bidi="fa-IR"/>
        </w:rPr>
        <w:t>عدم الصحّة،و استحسنه فی الروضة،ثمّ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قیل بالاکتفاء بالظنّ باشتمالها علیه کان متّجهاً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المحکی عن ظاهر الدروس و اللمعة الصحّة </w:t>
      </w:r>
      <w:r>
        <w:rPr>
          <w:rStyle w:val="FootnoteAnchor"/>
          <w:rtl w:val="true"/>
        </w:rPr>
        <w:footnoteReference w:id="1325"/>
      </w:r>
      <w:r>
        <w:rPr>
          <w:rFonts w:ascii="IRNazanin" w:hAnsi="IRNazanin" w:eastAsia="IRNazanin"/>
          <w:color w:val="111111"/>
          <w:sz w:val="28"/>
          <w:sz w:val="28"/>
          <w:szCs w:val="28"/>
          <w:rtl w:val="true"/>
          <w:lang w:bidi="fa-IR"/>
        </w:rPr>
        <w:t>،قال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نقصت تخیّر بین أخذ الموجود منها بحصّته </w:t>
      </w:r>
      <w:r>
        <w:rPr>
          <w:rStyle w:val="FootnoteAnchor"/>
          <w:rtl w:val="true"/>
        </w:rPr>
        <w:footnoteReference w:id="1326"/>
      </w:r>
      <w:r>
        <w:rPr>
          <w:rFonts w:ascii="IRNazanin" w:hAnsi="IRNazanin" w:eastAsia="IRNazanin"/>
          <w:color w:val="111111"/>
          <w:sz w:val="28"/>
          <w:sz w:val="28"/>
          <w:szCs w:val="28"/>
          <w:rtl w:val="true"/>
          <w:lang w:bidi="fa-IR"/>
        </w:rPr>
        <w:t xml:space="preserve">من الثمن و بین الفسخ </w:t>
      </w:r>
      <w:r>
        <w:rPr>
          <w:rStyle w:val="FootnoteAnchor"/>
          <w:rtl w:val="true"/>
        </w:rPr>
        <w:footnoteReference w:id="1327"/>
      </w:r>
      <w:r>
        <w:rPr>
          <w:rFonts w:ascii="IRNazanin" w:hAnsi="IRNazanin" w:eastAsia="IRNazanin"/>
          <w:color w:val="111111"/>
          <w:sz w:val="28"/>
          <w:sz w:val="28"/>
          <w:szCs w:val="28"/>
          <w:rtl w:val="true"/>
          <w:lang w:bidi="fa-IR"/>
        </w:rPr>
        <w:t>، لتبعّض الصفقة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یحکی عن المبسوط،و المحکیّ </w:t>
      </w:r>
      <w:r>
        <w:rPr>
          <w:rStyle w:val="FootnoteAnchor"/>
          <w:rtl w:val="true"/>
        </w:rPr>
        <w:footnoteReference w:id="1328"/>
      </w:r>
      <w:r>
        <w:rPr>
          <w:rFonts w:ascii="IRNazanin" w:hAnsi="IRNazanin" w:eastAsia="IRNazanin"/>
          <w:color w:val="111111"/>
          <w:sz w:val="28"/>
          <w:sz w:val="28"/>
          <w:szCs w:val="28"/>
          <w:rtl w:val="true"/>
          <w:lang w:bidi="fa-IR"/>
        </w:rPr>
        <w:t xml:space="preserve">خلافه </w:t>
      </w:r>
      <w:r>
        <w:rPr>
          <w:rStyle w:val="FootnoteAnchor"/>
          <w:rtl w:val="true"/>
        </w:rPr>
        <w:footnoteReference w:id="1329"/>
      </w:r>
      <w:r>
        <w:rPr>
          <w:rFonts w:ascii="IRNazanin" w:hAnsi="IRNazanin" w:eastAsia="IRNazanin"/>
          <w:color w:val="111111"/>
          <w:sz w:val="28"/>
          <w:sz w:val="28"/>
          <w:szCs w:val="28"/>
          <w:rtl w:val="true"/>
          <w:lang w:bidi="fa-IR"/>
        </w:rPr>
        <w:t xml:space="preserve">، و لا یخلو عن قوّة و إن کان فی تعیینه نظر،لا لتدارک الغرر </w:t>
      </w:r>
      <w:r>
        <w:rPr>
          <w:rStyle w:val="FootnoteAnchor"/>
          <w:rtl w:val="true"/>
        </w:rPr>
        <w:footnoteReference w:id="1330"/>
      </w:r>
      <w:r>
        <w:rPr>
          <w:rFonts w:ascii="IRNazanin" w:hAnsi="IRNazanin" w:eastAsia="IRNazanin"/>
          <w:color w:val="111111"/>
          <w:sz w:val="28"/>
          <w:sz w:val="28"/>
          <w:szCs w:val="28"/>
          <w:rtl w:val="true"/>
          <w:lang w:bidi="fa-IR"/>
        </w:rPr>
        <w:t>بالخیار؛ لما عرفت غیر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الغرر إنّما یلاحظ فی البیع مع قطع النظر</w:t>
      </w:r>
    </w:p>
    <w:p>
      <w:pPr>
        <w:pStyle w:val="BookText"/>
        <w:rPr/>
      </w:pPr>
      <w:r>
        <w:rPr>
          <w:rFonts w:ascii="IRNazanin" w:hAnsi="IRNazanin" w:eastAsia="IRNazanin"/>
          <w:color w:val="111111"/>
          <w:sz w:val="28"/>
          <w:sz w:val="28"/>
          <w:szCs w:val="28"/>
          <w:rtl w:val="true"/>
          <w:lang w:bidi="fa-IR"/>
        </w:rPr>
        <w:t>عن الخیار الذی هو من أحکام العقد،فلا یرتفع به الغرر الحاصل عند العقد،بل لمنع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قیل </w:t>
      </w:r>
      <w:r>
        <w:rPr>
          <w:rStyle w:val="FootnoteAnchor"/>
          <w:rtl w:val="true"/>
        </w:rPr>
        <w:footnoteReference w:id="1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 بالوجود من أعظم أفراد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بنی العقد علی جعل الثمن فی مقابل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بنی علی توزیع الثمن علی مجموع المبیع الغیر المعلوم الوجود </w:t>
      </w:r>
      <w:r>
        <w:rPr>
          <w:rStyle w:val="FootnoteAnchor"/>
          <w:rtl w:val="true"/>
        </w:rPr>
        <w:footnoteReference w:id="1332"/>
      </w:r>
      <w:r>
        <w:rPr>
          <w:rFonts w:ascii="IRNazanin" w:hAnsi="IRNazanin" w:eastAsia="IRNazanin"/>
          <w:color w:val="111111"/>
          <w:sz w:val="28"/>
          <w:sz w:val="28"/>
          <w:szCs w:val="28"/>
          <w:rtl w:val="true"/>
          <w:lang w:bidi="fa-IR"/>
        </w:rPr>
        <w:t>بتمامه فلا غرر عرفاً،و ربما یحتمل الصحّة مراعیً بتبیّن اشتمالها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الغرر إن ثبت حال البیع لم ینفع تبیّن الاشتمال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هذا،و لکن الأوفق بکلماتهم فی موارد الغرر عدم الصحّة،إلّا </w:t>
      </w:r>
      <w:r>
        <w:rPr>
          <w:rStyle w:val="FootnoteAnchor"/>
          <w:rtl w:val="true"/>
        </w:rPr>
        <w:footnoteReference w:id="1333"/>
      </w:r>
      <w:r>
        <w:rPr>
          <w:rFonts w:ascii="IRNazanin" w:hAnsi="IRNazanin" w:eastAsia="IRNazanin"/>
          <w:color w:val="111111"/>
          <w:sz w:val="28"/>
          <w:sz w:val="28"/>
          <w:szCs w:val="28"/>
          <w:rtl w:val="true"/>
          <w:lang w:bidi="fa-IR"/>
        </w:rPr>
        <w:t>مع العلم بالاشتمال،أو الظنّ الذی یتعارف الاعتماد علیه و لو کان من جهة استصحاب الاشتمال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الرابع مع الجهالة و هو بیعها کلّ قفیز بکذا فالمحکیّ عن جماعة </w:t>
      </w:r>
      <w:r>
        <w:rPr>
          <w:rStyle w:val="FootnoteAnchor"/>
          <w:rtl w:val="true"/>
        </w:rPr>
        <w:footnoteReference w:id="1334"/>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ظاهر إطلاق المحکیّ من عبارتی المبسوط و الخلاف أنّه لو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هذه الصبرة کلّ قفیز بدرهم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البیع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مانع منه،و الأصل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إطلاقه یعمّ صورة الجهل بالاشتمال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 البُعد عنه </w:t>
      </w:r>
      <w:r>
        <w:rPr>
          <w:rStyle w:val="FootnoteAnchor"/>
          <w:rtl w:val="true"/>
        </w:rPr>
        <w:footnoteReference w:id="1336"/>
      </w:r>
      <w:r>
        <w:rPr>
          <w:rFonts w:ascii="IRNazanin" w:hAnsi="IRNazanin" w:eastAsia="IRNazanin"/>
          <w:color w:val="111111"/>
          <w:sz w:val="28"/>
          <w:sz w:val="28"/>
          <w:szCs w:val="28"/>
          <w:rtl w:val="true"/>
          <w:lang w:bidi="fa-IR"/>
        </w:rPr>
        <w:t xml:space="preserve">إذ المبیع معلوم بالمشاهدة،و الثمن ممّا یمکن أن یعرف،بأن تکال الصبرة و یوزّع الثمن علی قفزاتها، قال </w:t>
      </w:r>
      <w:r>
        <w:rPr>
          <w:rStyle w:val="FootnoteAnchor"/>
          <w:rtl w:val="true"/>
        </w:rPr>
        <w:footnoteReference w:id="1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نظائر ذکر جملة منها فی التذکرة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bookmarkStart w:id="508" w:name="pg19861_202553"/>
    </w:p>
    <w:p>
      <w:pPr>
        <w:pStyle w:val="Heading4"/>
        <w:numPr>
          <w:ilvl w:val="3"/>
          <w:numId w:val="1"/>
        </w:numPr>
        <w:rPr/>
      </w:pPr>
      <w:bookmarkStart w:id="509" w:name="__RefHeading___Toc5119229_2314609296"/>
      <w:bookmarkStart w:id="510" w:name="_Toc199"/>
      <w:bookmarkEnd w:id="508"/>
      <w:bookmarkEnd w:id="509"/>
      <w:r>
        <w:rPr>
          <w:rtl w:val="true"/>
        </w:rPr>
        <w:t>مسألة إذا شاهد عیناً فی زمان سابق علی العقد علیها،</w:t>
      </w:r>
      <w:bookmarkEnd w:id="510"/>
    </w:p>
    <w:p>
      <w:pPr>
        <w:pStyle w:val="Heading5"/>
        <w:numPr>
          <w:ilvl w:val="4"/>
          <w:numId w:val="1"/>
        </w:numPr>
        <w:rPr/>
      </w:pPr>
      <w:bookmarkStart w:id="511" w:name="__RefHeading___Toc5119231_2314609296"/>
      <w:bookmarkStart w:id="512" w:name="_Toc200"/>
      <w:bookmarkEnd w:id="511"/>
      <w:r>
        <w:rPr>
          <w:rtl w:val="true"/>
        </w:rPr>
        <w:t>اشاره</w:t>
      </w:r>
      <w:bookmarkEnd w:id="512"/>
    </w:p>
    <w:p>
      <w:pPr>
        <w:pStyle w:val="BookText"/>
        <w:rPr/>
      </w:pPr>
      <w:r>
        <w:rPr>
          <w:rFonts w:ascii="IRNazanin" w:hAnsi="IRNazanin" w:eastAsia="IRNazanin"/>
          <w:color w:val="111111"/>
          <w:sz w:val="28"/>
          <w:sz w:val="28"/>
          <w:szCs w:val="28"/>
          <w:rtl w:val="true"/>
          <w:lang w:bidi="fa-IR"/>
        </w:rPr>
        <w:t xml:space="preserve">فإن اقتضت العادة تغیّرها عن صفاتها </w:t>
      </w:r>
      <w:r>
        <w:rPr>
          <w:rStyle w:val="FootnoteAnchor"/>
          <w:rtl w:val="true"/>
        </w:rPr>
        <w:footnoteReference w:id="1339"/>
      </w:r>
      <w:r>
        <w:rPr>
          <w:rFonts w:ascii="IRNazanin" w:hAnsi="IRNazanin" w:eastAsia="IRNazanin"/>
          <w:color w:val="111111"/>
          <w:sz w:val="28"/>
          <w:sz w:val="28"/>
          <w:szCs w:val="28"/>
          <w:rtl w:val="true"/>
          <w:lang w:bidi="fa-IR"/>
        </w:rPr>
        <w:t>السابقة إلی غیرها المجهول عند المتبایعین، فلا یصحّ البیع إلّا بذکر صفات تصحّح بیع الغائب؛لأنّ الرؤیة القدیمة غیر نافعة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اقتضت العادة بقاءها علیها فلا إشکال فی الصحّة،و لا خلاف أیضاً إلّا من بعض الشافعیّة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احتمل الأمران جاز الاعتماد علی أصالة عدم التغیّر </w:t>
      </w:r>
      <w:r>
        <w:rPr>
          <w:rStyle w:val="FootnoteAnchor"/>
          <w:rtl w:val="true"/>
        </w:rPr>
        <w:footnoteReference w:id="1341"/>
      </w:r>
      <w:r>
        <w:rPr>
          <w:rFonts w:ascii="IRNazanin" w:hAnsi="IRNazanin" w:eastAsia="IRNazanin"/>
          <w:color w:val="111111"/>
          <w:sz w:val="28"/>
          <w:sz w:val="28"/>
          <w:szCs w:val="28"/>
          <w:rtl w:val="true"/>
          <w:lang w:bidi="fa-IR"/>
        </w:rPr>
        <w:t>و البناء علیها فی العقد،فیکون نظیر إخبار البائع بالکیل و الوزن؛لأنّ الأصل من الطرق التی یتعارف التعویل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فرضناه فی مقام لا یمکن التعویل علیه </w:t>
      </w:r>
      <w:r>
        <w:rPr>
          <w:rStyle w:val="FootnoteAnchor"/>
          <w:rtl w:val="true"/>
        </w:rPr>
        <w:footnoteReference w:id="1342"/>
      </w:r>
      <w:r>
        <w:rPr>
          <w:rFonts w:ascii="IRNazanin" w:hAnsi="IRNazanin" w:eastAsia="IRNazanin"/>
          <w:color w:val="111111"/>
          <w:sz w:val="28"/>
          <w:sz w:val="28"/>
          <w:szCs w:val="28"/>
          <w:rtl w:val="true"/>
          <w:lang w:bidi="fa-IR"/>
        </w:rPr>
        <w:t xml:space="preserve">لحصول أمارة علی خلافه </w:t>
      </w:r>
      <w:r>
        <w:rPr>
          <w:rStyle w:val="FootnoteAnchor"/>
          <w:rtl w:val="true"/>
        </w:rPr>
        <w:footnoteReference w:id="1343"/>
      </w:r>
      <w:r>
        <w:rPr>
          <w:rFonts w:ascii="IRNazanin" w:hAnsi="IRNazanin" w:eastAsia="IRNazanin"/>
          <w:color w:val="111111"/>
          <w:sz w:val="28"/>
          <w:sz w:val="28"/>
          <w:szCs w:val="28"/>
          <w:rtl w:val="true"/>
          <w:lang w:bidi="fa-IR"/>
        </w:rPr>
        <w:t>،فإن بلغت قوّة الظنّ حدّا یلحقه بالقسم الأوّل و هو ما اقتضی العادة تغیّره لم یجز البیع،و إلّا جاز مع ذکر تلک الصفات، لا بدونه؛لأنّه لا ینقص عن الغائب الموصوف الذی یجوز بیعه بصفات لم یشاهد علیها،بل یمکن القول بالصحّة فی القسم الأوّل إذا لم یفرض کون ذکر الصفات مع اقتضاء العادة عدمها لغواً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هذا کلّه خارج عن البیع بالرؤیة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کان،فإذا باع أو اشتری برؤیة قدیمة فانکشف التغیّر تخیّر المغبون و هو البائع إن تغیّر </w:t>
      </w:r>
      <w:r>
        <w:rPr>
          <w:rStyle w:val="FootnoteAnchor"/>
          <w:rtl w:val="true"/>
        </w:rPr>
        <w:footnoteReference w:id="1344"/>
      </w:r>
      <w:r>
        <w:rPr>
          <w:rFonts w:ascii="IRNazanin" w:hAnsi="IRNazanin" w:eastAsia="IRNazanin"/>
          <w:color w:val="111111"/>
          <w:sz w:val="28"/>
          <w:sz w:val="28"/>
          <w:szCs w:val="28"/>
          <w:rtl w:val="true"/>
          <w:lang w:bidi="fa-IR"/>
        </w:rPr>
        <w:t>إلی صفات زادت فی مالیّته،و المشتری إن نقصت عن تلک الصفات 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الصفات المبنیّ علیها فی حکم الصفات المشروطة،فهی من قبیل تخلّف الشرط،کما أشار إلیه فی نهایة الإحکام و المسالک بقولهما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الرؤیة بمثابة الشرط فی الصفات الکائنة فی المرئیّ،فکلّ ما فات منها فهو بمثابة التخلّف فی الشرط </w:t>
      </w:r>
      <w:r>
        <w:rPr>
          <w:rStyle w:val="FootnoteAnchor"/>
          <w:rtl w:val="true"/>
        </w:rPr>
        <w:footnoteReference w:id="134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الشروط إذا لم تُذکر فی متن العقد لا عبرة بها، فما </w:t>
      </w:r>
      <w:r>
        <w:rPr>
          <w:rStyle w:val="FootnoteAnchor"/>
          <w:rtl w:val="true"/>
        </w:rPr>
        <w:footnoteReference w:id="1346"/>
      </w:r>
      <w:r>
        <w:rPr>
          <w:rFonts w:ascii="IRNazanin" w:hAnsi="IRNazanin" w:eastAsia="IRNazanin"/>
          <w:color w:val="111111"/>
          <w:sz w:val="28"/>
          <w:sz w:val="28"/>
          <w:szCs w:val="28"/>
          <w:rtl w:val="true"/>
          <w:lang w:bidi="fa-IR"/>
        </w:rPr>
        <w:t>نحن فیه من قبیل ما لم یذکر من الشروط فی متن العقد،مدفوع</w:t>
      </w:r>
    </w:p>
    <w:p>
      <w:pPr>
        <w:pStyle w:val="BookText"/>
        <w:rPr/>
      </w:pPr>
      <w:r>
        <w:rPr>
          <w:rFonts w:ascii="IRNazanin" w:hAnsi="IRNazanin" w:eastAsia="IRNazanin"/>
          <w:color w:val="111111"/>
          <w:sz w:val="28"/>
          <w:sz w:val="28"/>
          <w:szCs w:val="28"/>
          <w:rtl w:val="true"/>
          <w:lang w:bidi="fa-IR"/>
        </w:rPr>
        <w:t>بأنّ الغرض من ذکر الشروط فی العقد صیرورتها مأخوذةً فیه حتّی لا یکون العمل بالعقد بدونها وفاءً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الصفات المرئیّة سابقاً حیث إنّ البیع لا یصحّ إلّا مبنیّاً علیها کانت </w:t>
      </w:r>
      <w:r>
        <w:rPr>
          <w:rStyle w:val="FootnoteAnchor"/>
          <w:rtl w:val="true"/>
        </w:rPr>
        <w:footnoteReference w:id="1347"/>
      </w:r>
      <w:r>
        <w:rPr>
          <w:rFonts w:ascii="IRNazanin" w:hAnsi="IRNazanin" w:eastAsia="IRNazanin"/>
          <w:color w:val="111111"/>
          <w:sz w:val="28"/>
          <w:sz w:val="28"/>
          <w:szCs w:val="28"/>
          <w:rtl w:val="true"/>
          <w:lang w:bidi="fa-IR"/>
        </w:rPr>
        <w:t>دخولها فی العقد أولی من دخول الشرط المذکور علی وجه الشرطیّة؛و لذا لو لم یبن البیع علیها و لم یلاحظ وجودها فی البیع کان البیع باطلاً،فالذکر اللفظی إنّما یحتاج إلیه فی شروط خارجة لا یجب ملاحظتها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احتمل فی نهایة الإحکام البطلان </w:t>
      </w:r>
      <w:r>
        <w:rPr>
          <w:rStyle w:val="FootnoteAnchor"/>
          <w:rtl w:val="true"/>
        </w:rPr>
        <w:footnoteReference w:id="1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لأنّ المضیّ علی البیع و عدم نقضه عند تبیّن الخلاف إن کان وفاءً بالعقد وجب،فلا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وفاءً لم یدلّ دلیل علی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إذا وقع علی الشیء الموصوف انتفی متعلّقه بانتفاء صفته،و إلّا فلا وجه للخیار مع أصالة اللزوم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الأوصاف الخارجة عن حقیقة المبیع إذا اعتبرت فیه عند البیع إمّا ببناء العقد علیها،و إمّا بذکرها فی متن العقد لا تعدّ </w:t>
      </w:r>
      <w:r>
        <w:rPr>
          <w:rStyle w:val="FootnoteAnchor"/>
          <w:rtl w:val="true"/>
        </w:rPr>
        <w:footnoteReference w:id="1349"/>
      </w:r>
      <w:r>
        <w:rPr>
          <w:rFonts w:ascii="Amiri" w:hAnsi="Amiri" w:eastAsia="Amiri" w:cs="Amiri"/>
          <w:color w:val="111111"/>
          <w:sz w:val="28"/>
          <w:sz w:val="28"/>
          <w:szCs w:val="28"/>
          <w:rtl w:val="true"/>
          <w:lang w:bidi="ar-SA"/>
        </w:rPr>
        <w:t xml:space="preserve">مقوّماتٍ للعقد کما أنّها لیست </w:t>
      </w:r>
      <w:r>
        <w:rPr>
          <w:rStyle w:val="FootnoteAnchor"/>
          <w:rtl w:val="true"/>
        </w:rPr>
        <w:footnoteReference w:id="1350"/>
      </w:r>
      <w:r>
        <w:rPr>
          <w:rFonts w:ascii="IRNazanin" w:hAnsi="IRNazanin" w:eastAsia="IRNazanin"/>
          <w:color w:val="111111"/>
          <w:sz w:val="28"/>
          <w:sz w:val="28"/>
          <w:szCs w:val="28"/>
          <w:rtl w:val="true"/>
          <w:lang w:bidi="fa-IR"/>
        </w:rPr>
        <w:t>مقوّمات المبیع،ففواتها فوات حقٍّ للمشتری ثبت بسببه الخیار؛دفعاً لضرر الالتزام بما لم یقدم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باب الخیارات إن شاء اللّٰه</w:t>
      </w:r>
      <w:r>
        <w:rPr>
          <w:rFonts w:eastAsia="IRNazanin" w:cs="IRNazanin"/>
          <w:color w:val="111111"/>
          <w:sz w:val="28"/>
          <w:szCs w:val="28"/>
          <w:rtl w:val="true"/>
          <w:lang w:bidi="fa-IR"/>
        </w:rPr>
        <w:t>.</w:t>
      </w:r>
      <w:bookmarkStart w:id="513" w:name="pg19861_202556"/>
    </w:p>
    <w:p>
      <w:pPr>
        <w:pStyle w:val="Heading5"/>
        <w:numPr>
          <w:ilvl w:val="4"/>
          <w:numId w:val="1"/>
        </w:numPr>
        <w:rPr/>
      </w:pPr>
      <w:bookmarkStart w:id="514" w:name="__RefHeading___Toc5119233_2314609296"/>
      <w:bookmarkStart w:id="515" w:name="_Toc201"/>
      <w:bookmarkEnd w:id="513"/>
      <w:bookmarkEnd w:id="514"/>
      <w:r>
        <w:rPr>
          <w:rtl w:val="true"/>
        </w:rPr>
        <w:t>فرعان</w:t>
      </w:r>
      <w:r>
        <w:rPr>
          <w:rtl w:val="true"/>
        </w:rPr>
        <w:t>:</w:t>
      </w:r>
      <w:bookmarkEnd w:id="515"/>
    </w:p>
    <w:p>
      <w:pPr>
        <w:pStyle w:val="Heading6"/>
        <w:numPr>
          <w:ilvl w:val="5"/>
          <w:numId w:val="1"/>
        </w:numPr>
        <w:rPr/>
      </w:pPr>
      <w:bookmarkStart w:id="516" w:name="__RefHeading___Toc5119235_2314609296"/>
      <w:bookmarkStart w:id="517" w:name="_Toc202"/>
      <w:bookmarkEnd w:id="516"/>
      <w:r>
        <w:rPr>
          <w:rtl w:val="true"/>
        </w:rPr>
        <w:t>الأوّل لو اختلفا فی التغییر</w:t>
      </w:r>
      <w:bookmarkEnd w:id="517"/>
    </w:p>
    <w:p>
      <w:pPr>
        <w:pStyle w:val="BookText"/>
        <w:rPr/>
      </w:pPr>
      <w:r>
        <w:rPr>
          <w:rFonts w:ascii="IRNazanin" w:hAnsi="IRNazanin" w:eastAsia="IRNazanin"/>
          <w:color w:val="111111"/>
          <w:sz w:val="28"/>
          <w:sz w:val="28"/>
          <w:szCs w:val="28"/>
          <w:rtl w:val="true"/>
          <w:lang w:bidi="fa-IR"/>
        </w:rPr>
        <w:t xml:space="preserve">الأوّل لو اختلفا فی التغییر </w:t>
      </w:r>
      <w:r>
        <w:rPr>
          <w:rStyle w:val="FootnoteAnchor"/>
          <w:rtl w:val="true"/>
        </w:rPr>
        <w:footnoteReference w:id="1351"/>
      </w:r>
      <w:r>
        <w:rPr>
          <w:rFonts w:ascii="IRNazanin" w:hAnsi="IRNazanin" w:eastAsia="IRNazanin"/>
          <w:color w:val="111111"/>
          <w:sz w:val="28"/>
          <w:sz w:val="28"/>
          <w:szCs w:val="28"/>
          <w:rtl w:val="true"/>
          <w:lang w:bidi="fa-IR"/>
        </w:rPr>
        <w:t>فادّعاه المشتری،</w:t>
      </w:r>
    </w:p>
    <w:p>
      <w:pPr>
        <w:pStyle w:val="BookText"/>
        <w:rPr/>
      </w:pPr>
      <w:r>
        <w:rPr>
          <w:rFonts w:ascii="IRNazanin" w:hAnsi="IRNazanin" w:eastAsia="IRNazanin"/>
          <w:color w:val="111111"/>
          <w:sz w:val="28"/>
          <w:sz w:val="28"/>
          <w:szCs w:val="28"/>
          <w:rtl w:val="true"/>
          <w:lang w:bidi="fa-IR"/>
        </w:rPr>
        <w:t xml:space="preserve">ففی المبسوط </w:t>
      </w:r>
      <w:r>
        <w:rPr>
          <w:rStyle w:val="FootnoteAnchor"/>
          <w:rtl w:val="true"/>
        </w:rPr>
        <w:footnoteReference w:id="1352"/>
      </w:r>
      <w:r>
        <w:rPr>
          <w:rFonts w:ascii="IRNazanin" w:hAnsi="IRNazanin" w:eastAsia="IRNazanin"/>
          <w:color w:val="111111"/>
          <w:sz w:val="28"/>
          <w:sz w:val="28"/>
          <w:szCs w:val="28"/>
          <w:rtl w:val="true"/>
          <w:lang w:bidi="fa-IR"/>
        </w:rPr>
        <w:t xml:space="preserve">و التذکرة </w:t>
      </w:r>
      <w:r>
        <w:rPr>
          <w:rStyle w:val="FootnoteAnchor"/>
          <w:rtl w:val="true"/>
        </w:rPr>
        <w:footnoteReference w:id="1353"/>
      </w:r>
      <w:r>
        <w:rPr>
          <w:rFonts w:ascii="IRNazanin" w:hAnsi="IRNazanin" w:eastAsia="IRNazanin"/>
          <w:color w:val="111111"/>
          <w:sz w:val="28"/>
          <w:sz w:val="28"/>
          <w:szCs w:val="28"/>
          <w:rtl w:val="true"/>
          <w:lang w:bidi="fa-IR"/>
        </w:rPr>
        <w:t xml:space="preserve">و الإیضاح </w:t>
      </w:r>
      <w:r>
        <w:rPr>
          <w:rStyle w:val="FootnoteAnchor"/>
          <w:rtl w:val="true"/>
        </w:rPr>
        <w:footnoteReference w:id="1354"/>
      </w:r>
      <w:r>
        <w:rPr>
          <w:rFonts w:ascii="IRNazanin" w:hAnsi="IRNazanin" w:eastAsia="IRNazanin"/>
          <w:color w:val="111111"/>
          <w:sz w:val="28"/>
          <w:sz w:val="28"/>
          <w:szCs w:val="28"/>
          <w:rtl w:val="true"/>
          <w:lang w:bidi="fa-IR"/>
        </w:rPr>
        <w:t xml:space="preserve">و الدروس </w:t>
      </w:r>
      <w:r>
        <w:rPr>
          <w:rStyle w:val="FootnoteAnchor"/>
          <w:rtl w:val="true"/>
        </w:rPr>
        <w:footnoteReference w:id="1355"/>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356"/>
      </w:r>
      <w:r>
        <w:rPr>
          <w:rFonts w:ascii="IRNazanin" w:hAnsi="IRNazanin" w:eastAsia="IRNazanin"/>
          <w:color w:val="111111"/>
          <w:sz w:val="28"/>
          <w:sz w:val="28"/>
          <w:szCs w:val="28"/>
          <w:rtl w:val="true"/>
          <w:lang w:bidi="fa-IR"/>
        </w:rPr>
        <w:t xml:space="preserve">و المسالک </w:t>
      </w:r>
      <w:r>
        <w:rPr>
          <w:rStyle w:val="FootnoteAnchor"/>
          <w:rtl w:val="true"/>
        </w:rPr>
        <w:footnoteReference w:id="1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قول المشتری؛لأنّ یده علی الثمن،کما فی الدروس </w:t>
      </w:r>
      <w:r>
        <w:rPr>
          <w:rStyle w:val="FootnoteAnchor"/>
          <w:rtl w:val="true"/>
        </w:rPr>
        <w:footnoteReference w:id="1358"/>
      </w:r>
      <w:r>
        <w:rPr>
          <w:rFonts w:ascii="IRNazanin" w:hAnsi="IRNazanin" w:eastAsia="IRNazanin"/>
          <w:color w:val="111111"/>
          <w:sz w:val="28"/>
          <w:sz w:val="28"/>
          <w:szCs w:val="28"/>
          <w:rtl w:val="true"/>
          <w:lang w:bidi="fa-IR"/>
        </w:rPr>
        <w:t xml:space="preserve">،و هو راجع إلی ما فی المبسوط </w:t>
      </w:r>
      <w:r>
        <w:rPr>
          <w:rStyle w:val="FootnoteAnchor"/>
          <w:rtl w:val="true"/>
        </w:rPr>
        <w:footnoteReference w:id="1359"/>
      </w:r>
      <w:r>
        <w:rPr>
          <w:rFonts w:ascii="IRNazanin" w:hAnsi="IRNazanin" w:eastAsia="IRNazanin"/>
          <w:color w:val="111111"/>
          <w:sz w:val="28"/>
          <w:sz w:val="28"/>
          <w:szCs w:val="28"/>
          <w:rtl w:val="true"/>
          <w:lang w:bidi="fa-IR"/>
        </w:rPr>
        <w:t xml:space="preserve">و السرائر </w:t>
      </w:r>
      <w:r>
        <w:rPr>
          <w:rStyle w:val="FootnoteAnchor"/>
          <w:rtl w:val="true"/>
        </w:rPr>
        <w:footnoteReference w:id="1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المشتری هو الذی ینتزع منه الثمن،و لا ینتزع منه إلّا بإقراره أو بیّنةٍ </w:t>
      </w:r>
      <w:r>
        <w:rPr>
          <w:rStyle w:val="FootnoteAnchor"/>
          <w:rtl w:val="true"/>
        </w:rPr>
        <w:footnoteReference w:id="1361"/>
      </w:r>
      <w:r>
        <w:rPr>
          <w:rFonts w:ascii="IRNazanin" w:hAnsi="IRNazanin" w:eastAsia="IRNazanin"/>
          <w:color w:val="111111"/>
          <w:sz w:val="28"/>
          <w:sz w:val="28"/>
          <w:szCs w:val="28"/>
          <w:rtl w:val="true"/>
          <w:lang w:bidi="fa-IR"/>
        </w:rPr>
        <w:t>تقوم علیه،انتهی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تبعهما </w:t>
      </w:r>
      <w:r>
        <w:rPr>
          <w:rStyle w:val="FootnoteAnchor"/>
          <w:rtl w:val="true"/>
        </w:rPr>
        <w:footnoteReference w:id="1362"/>
      </w:r>
      <w:r>
        <w:rPr>
          <w:rFonts w:ascii="IRNazanin" w:hAnsi="IRNazanin" w:eastAsia="IRNazanin"/>
          <w:color w:val="111111"/>
          <w:sz w:val="28"/>
          <w:sz w:val="28"/>
          <w:szCs w:val="28"/>
          <w:rtl w:val="true"/>
          <w:lang w:bidi="fa-IR"/>
        </w:rPr>
        <w:t>العلّامة أیضاً فی صورة الاختلاف فی أوصاف المبیع</w:t>
      </w:r>
    </w:p>
    <w:p>
      <w:pPr>
        <w:pStyle w:val="BookText"/>
        <w:rPr/>
      </w:pPr>
      <w:r>
        <w:rPr>
          <w:rFonts w:ascii="IRNazanin" w:hAnsi="IRNazanin" w:eastAsia="IRNazanin"/>
          <w:color w:val="111111"/>
          <w:sz w:val="28"/>
          <w:sz w:val="28"/>
          <w:szCs w:val="28"/>
          <w:rtl w:val="true"/>
          <w:lang w:bidi="fa-IR"/>
        </w:rPr>
        <w:t xml:space="preserve">الموصوف إذا لم یسبقه رؤیة </w:t>
      </w:r>
      <w:r>
        <w:rPr>
          <w:rStyle w:val="FootnoteAnchor"/>
          <w:rtl w:val="true"/>
        </w:rPr>
        <w:footnoteReference w:id="1363"/>
      </w:r>
      <w:r>
        <w:rPr>
          <w:rFonts w:ascii="IRNazanin" w:hAnsi="IRNazanin" w:eastAsia="IRNazanin"/>
          <w:color w:val="111111"/>
          <w:sz w:val="28"/>
          <w:sz w:val="28"/>
          <w:szCs w:val="28"/>
          <w:rtl w:val="true"/>
          <w:lang w:bidi="fa-IR"/>
        </w:rPr>
        <w:t xml:space="preserve">،حیث تمسّک بأصالة براءة ذمّة المشتری من الثمن،فلا یلزمه ما لم یقرَّ بِه أو یثبت </w:t>
      </w:r>
      <w:r>
        <w:rPr>
          <w:rStyle w:val="FootnoteAnchor"/>
          <w:rtl w:val="true"/>
        </w:rPr>
        <w:footnoteReference w:id="1364"/>
      </w:r>
      <w:r>
        <w:rPr>
          <w:rFonts w:ascii="Amiri" w:hAnsi="Amiri" w:eastAsia="Amiri" w:cs="Amiri"/>
          <w:color w:val="111111"/>
          <w:sz w:val="28"/>
          <w:sz w:val="28"/>
          <w:szCs w:val="28"/>
          <w:rtl w:val="true"/>
          <w:lang w:bidi="ar-SA"/>
        </w:rPr>
        <w:t>بالبیّنة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لأنّ البائع یدّعی علمه بالمبیع علی هذا الوصف الموجود و الرضا به،و الأصل عدمه کما فی التذکرة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لأنّ الأصل عدم وصول حقّه إلیه کما فی جامع المقاصد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یضعّف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ید المشتری علی الثمن بعد اعترافه بتحقّق الناقل الصحیح ید أمانة،غایة الأمر أنّه یدّعی سلطنته علی الفسخ فلا ینفع تشبّثه بالید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وجود الناقل لا یکفی فی سلطنة البائع علی الثمن،بناءً علی ما ذکره العلّامة فی أحکام الخیار من التذکرة،و لم ینسب خلافه إلّا إلی بعض الشافعیّة،من عدم وجوب تسلیم الثمن و المثمن فی مدّة الخیار و إن تسلّم الآخر </w:t>
      </w:r>
      <w:r>
        <w:rPr>
          <w:rStyle w:val="FootnoteAnchor"/>
          <w:rtl w:val="true"/>
        </w:rPr>
        <w:footnoteReference w:id="1367"/>
      </w:r>
      <w:r>
        <w:rPr>
          <w:rFonts w:ascii="IRNazanin" w:hAnsi="IRNazanin" w:eastAsia="IRNazanin"/>
          <w:color w:val="111111"/>
          <w:sz w:val="28"/>
          <w:sz w:val="28"/>
          <w:szCs w:val="28"/>
          <w:rtl w:val="true"/>
          <w:lang w:bidi="fa-IR"/>
        </w:rPr>
        <w:t>،و حینئذٍ فالشکّ فی ثبوت الخیار یوجب الشکّ فی سلطنة البائع علی أخذ الثمن،فلا مدفع لهذا الوجه إلّا أصالة عدم سبب الخیار لو تمّ،کما سیجیء</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 </w:t>
      </w:r>
      <w:r>
        <w:rPr>
          <w:rStyle w:val="FootnoteAnchor"/>
          <w:rtl w:val="true"/>
        </w:rPr>
        <w:footnoteReference w:id="1368"/>
      </w:r>
      <w:r>
        <w:rPr>
          <w:rFonts w:ascii="IRNazanin" w:hAnsi="IRNazanin" w:eastAsia="IRNazanin"/>
          <w:color w:val="111111"/>
          <w:sz w:val="28"/>
          <w:sz w:val="28"/>
          <w:szCs w:val="28"/>
          <w:rtl w:val="true"/>
          <w:lang w:bidi="fa-IR"/>
        </w:rPr>
        <w:t>مع معارضته بأصالة عدم علم المشتری بالمبیع علی وصف آخر حتّی یکون حقّا له یوجب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الشکّ فی علم</w:t>
      </w:r>
    </w:p>
    <w:p>
      <w:pPr>
        <w:pStyle w:val="BookText"/>
        <w:rPr/>
      </w:pPr>
      <w:r>
        <w:rPr>
          <w:rFonts w:ascii="IRNazanin" w:hAnsi="IRNazanin" w:eastAsia="IRNazanin"/>
          <w:color w:val="111111"/>
          <w:sz w:val="28"/>
          <w:sz w:val="28"/>
          <w:szCs w:val="28"/>
          <w:rtl w:val="true"/>
          <w:lang w:bidi="fa-IR"/>
        </w:rPr>
        <w:t>المشتری بهذا الوصف و علمه بغیره مسبّب عن الشکّ فی وجود غیر هذا الوصف سابقاً،فإذا انتفی غیره بالأصل الذی یرجع إلیه أصالة عدم تغیّر المبیع لم یجر أصالة عدم علمه بهذا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حقّ المشتری من نفس العین قد وصل إلیه قطعاً، و لذا یجوز له إمضاء العقد،و ثبوت حقٍّ له من حیث الوصف المفقود غیر ثابت،فعلیه الإثبات،و المرجع أصالة لزوم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لأجل ما ذکرنا قوّی بعضٌ </w:t>
      </w:r>
      <w:r>
        <w:rPr>
          <w:rStyle w:val="FootnoteAnchor"/>
          <w:rtl w:val="true"/>
        </w:rPr>
        <w:footnoteReference w:id="1369"/>
      </w:r>
      <w:r>
        <w:rPr>
          <w:rFonts w:ascii="IRNazanin" w:hAnsi="IRNazanin" w:eastAsia="IRNazanin"/>
          <w:color w:val="111111"/>
          <w:sz w:val="28"/>
          <w:sz w:val="28"/>
          <w:szCs w:val="28"/>
          <w:rtl w:val="true"/>
          <w:lang w:bidi="fa-IR"/>
        </w:rPr>
        <w:t>تقدیم قول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هذا،و یمکن بناء المسألة علی أنّ بناء المتبایعین حین العقد علی الأوصاف الملحوظة حین المشاهدة هل هو کاشتراطها فی العقد،فهی کشروط مضمرة فی نفس المتعاقدین کما عرفت </w:t>
      </w:r>
      <w:r>
        <w:rPr>
          <w:rStyle w:val="FootnoteAnchor"/>
          <w:rtl w:val="true"/>
        </w:rPr>
        <w:footnoteReference w:id="1370"/>
      </w:r>
      <w:r>
        <w:rPr>
          <w:rFonts w:ascii="IRNazanin" w:hAnsi="IRNazanin" w:eastAsia="IRNazanin"/>
          <w:color w:val="111111"/>
          <w:sz w:val="28"/>
          <w:sz w:val="28"/>
          <w:szCs w:val="28"/>
          <w:rtl w:val="true"/>
          <w:lang w:bidi="fa-IR"/>
        </w:rPr>
        <w:t>عن النهایة و المسالک و لذا لا یحصل من فقدها إلّا خیار لمن اشترطت له و لا یلزم بطلان العقد،أو أنّها مأخوذة فی نفس المعقود علیه،بحیث یکون المعقود علیه هو الشیء المقیّد؛و لذا لا یجوز إلغاؤها فی المعقود علیه کما یجوز إلغاء غیرها من الشروط؟ فعلی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النزاع فی التغیّر و عدمه إلی النزاع فی اشتراط خلاف هذا الوصف الموجود علی البائع و عدمه،و الأصل مع البائع</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النزاع فی أنّ العقد وقع علی الشیء الملحوظ فیه الوصف المفقود،أم لا </w:t>
      </w:r>
      <w:r>
        <w:rPr>
          <w:rStyle w:val="FootnoteAnchor"/>
          <w:rtl w:val="true"/>
        </w:rPr>
        <w:footnoteReference w:id="1371"/>
      </w:r>
      <w:r>
        <w:rPr>
          <w:rFonts w:ascii="IRNazanin" w:hAnsi="IRNazanin" w:eastAsia="IRNazanin"/>
          <w:color w:val="111111"/>
          <w:sz w:val="28"/>
          <w:sz w:val="28"/>
          <w:szCs w:val="28"/>
          <w:rtl w:val="true"/>
          <w:lang w:bidi="fa-IR"/>
        </w:rPr>
        <w:t>؟ 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البناء فی حکم</w:t>
      </w:r>
    </w:p>
    <w:p>
      <w:pPr>
        <w:pStyle w:val="BookText"/>
        <w:rPr/>
      </w:pPr>
      <w:r>
        <w:rPr>
          <w:rFonts w:ascii="IRNazanin" w:hAnsi="IRNazanin" w:eastAsia="IRNazanin"/>
          <w:color w:val="111111"/>
          <w:sz w:val="28"/>
          <w:sz w:val="28"/>
          <w:szCs w:val="28"/>
          <w:rtl w:val="true"/>
          <w:lang w:bidi="fa-IR"/>
        </w:rPr>
        <w:t xml:space="preserve">الاشتراط من حیث ثبوت الخیار،لکنّه لیس شیئاً مستقلا حتّی یدفع عند الشکّ بالأصل،بل المراد به إیقاع العقد علی العین الملحوظ کونه متّصفاً </w:t>
      </w:r>
      <w:r>
        <w:rPr>
          <w:rStyle w:val="FootnoteAnchor"/>
          <w:rtl w:val="true"/>
        </w:rPr>
        <w:footnoteReference w:id="1372"/>
      </w:r>
      <w:r>
        <w:rPr>
          <w:rFonts w:ascii="IRNazanin" w:hAnsi="IRNazanin" w:eastAsia="IRNazanin"/>
          <w:color w:val="111111"/>
          <w:sz w:val="28"/>
          <w:sz w:val="28"/>
          <w:szCs w:val="28"/>
          <w:rtl w:val="true"/>
          <w:lang w:bidi="fa-IR"/>
        </w:rPr>
        <w:t xml:space="preserve">بهذا الوصف،و لیس هنا عقدٌ علی العین و التزامٌ بکونه متّصفاً </w:t>
      </w:r>
      <w:r>
        <w:rPr>
          <w:rStyle w:val="FootnoteAnchor"/>
          <w:rtl w:val="true"/>
        </w:rPr>
        <w:footnoteReference w:id="1373"/>
      </w:r>
      <w:r>
        <w:rPr>
          <w:rFonts w:ascii="IRNazanin" w:hAnsi="IRNazanin" w:eastAsia="IRNazanin"/>
          <w:color w:val="111111"/>
          <w:sz w:val="28"/>
          <w:sz w:val="28"/>
          <w:szCs w:val="28"/>
          <w:rtl w:val="true"/>
          <w:lang w:bidi="fa-IR"/>
        </w:rPr>
        <w:t xml:space="preserve">بذلک الوصف،فهو قیدٌ ملحوظٌ فی المعقود علیه نظیر الأجزاء،لا شرطٌ ملزمٌ </w:t>
      </w:r>
      <w:r>
        <w:rPr>
          <w:rStyle w:val="FootnoteAnchor"/>
          <w:rtl w:val="true"/>
        </w:rPr>
        <w:footnoteReference w:id="1374"/>
      </w:r>
      <w:r>
        <w:rPr>
          <w:rFonts w:ascii="IRNazanin" w:hAnsi="IRNazanin" w:eastAsia="IRNazanin"/>
          <w:color w:val="111111"/>
          <w:sz w:val="28"/>
          <w:sz w:val="28"/>
          <w:szCs w:val="28"/>
          <w:rtl w:val="true"/>
          <w:lang w:bidi="fa-IR"/>
        </w:rPr>
        <w:t>فی العقد؛فحینئذٍ یرجع النزاع إلی وقوع العقد علی ما ینطبق علی الشیء الموجود حتّی یلزم الوفاء و عدمه،و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معارضته بأصالة عدم وقوع العقد علی العین المقیّدة بالوصف المفقود لیثبت الجواز،مدفوعةٌ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عدم وقوع العقد علی العین المقیّدة لا یثبت جواز العقد الواقع إلّا بعد إثبات وقوع العقد علی العین الغیر المقیّدة بأصالة عدم وقوع العقد علی المقیّدة،و هو غیر جائزٍ کما حقّق فی الأُصول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الثانی </w:t>
      </w:r>
      <w:r>
        <w:rPr>
          <w:rStyle w:val="FootnoteAnchor"/>
          <w:rtl w:val="true"/>
        </w:rPr>
        <w:footnoteReference w:id="1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النزاع إلی وقوع العقد </w:t>
      </w:r>
      <w:r>
        <w:rPr>
          <w:rStyle w:val="FootnoteAnchor"/>
          <w:rtl w:val="true"/>
        </w:rPr>
        <w:footnoteReference w:id="1377"/>
      </w:r>
      <w:r>
        <w:rPr>
          <w:rFonts w:ascii="IRNazanin" w:hAnsi="IRNazanin" w:eastAsia="IRNazanin"/>
          <w:color w:val="111111"/>
          <w:sz w:val="28"/>
          <w:sz w:val="28"/>
          <w:szCs w:val="28"/>
          <w:rtl w:val="true"/>
          <w:lang w:bidi="fa-IR"/>
        </w:rPr>
        <w:t>و التراضی علی الشیء المطلق بحیث یشمل الموصوف بهذا الوصف الموجود و عدمه،</w:t>
      </w:r>
    </w:p>
    <w:p>
      <w:pPr>
        <w:pStyle w:val="BookText"/>
        <w:rPr/>
      </w:pPr>
      <w:r>
        <w:rPr>
          <w:rFonts w:ascii="IRNazanin" w:hAnsi="IRNazanin" w:eastAsia="IRNazanin"/>
          <w:color w:val="111111"/>
          <w:sz w:val="28"/>
          <w:sz w:val="28"/>
          <w:szCs w:val="28"/>
          <w:rtl w:val="true"/>
          <w:lang w:bidi="fa-IR"/>
        </w:rPr>
        <w:t>و الأصل مع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معارضته بأصالة عدم وقوع العقد علی الشیء الموصوف بالصفة المفقودة،مدفوعة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یلزم من عدم تعلّقه بذاک تعلّقه بهذا حتّی یلزم علی المشتری الوفاء به،فإلزام المشتری بالوفاء بالعقد موقوف علی ثبوت تعلّق العقد بهذا،و هو غیر ثابت و الأصل عدمه؛ و قد تقرّر فی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نفی أحد الضدّین بالأصل </w:t>
      </w:r>
      <w:r>
        <w:rPr>
          <w:rStyle w:val="FootnoteAnchor"/>
          <w:rtl w:val="true"/>
        </w:rPr>
        <w:footnoteReference w:id="1378"/>
      </w:r>
      <w:r>
        <w:rPr>
          <w:rFonts w:ascii="IRNazanin" w:hAnsi="IRNazanin" w:eastAsia="IRNazanin"/>
          <w:color w:val="111111"/>
          <w:sz w:val="28"/>
          <w:sz w:val="28"/>
          <w:szCs w:val="28"/>
          <w:rtl w:val="true"/>
          <w:lang w:bidi="fa-IR"/>
        </w:rPr>
        <w:t xml:space="preserve">لا یثبت الضدّ الآخر </w:t>
      </w:r>
      <w:r>
        <w:rPr>
          <w:rStyle w:val="FootnoteAnchor"/>
          <w:rtl w:val="true"/>
        </w:rPr>
        <w:footnoteReference w:id="1379"/>
      </w:r>
      <w:r>
        <w:rPr>
          <w:rFonts w:ascii="IRNazanin" w:hAnsi="IRNazanin" w:eastAsia="IRNazanin"/>
          <w:color w:val="111111"/>
          <w:sz w:val="28"/>
          <w:sz w:val="28"/>
          <w:szCs w:val="28"/>
          <w:rtl w:val="true"/>
          <w:lang w:bidi="fa-IR"/>
        </w:rPr>
        <w:t>لیترتّب علیه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 فساد التمسّک بأصالة اللزوم؛حیث إنّ المبیع ملک المشتری،و الثمن ملک البائع اتّفاقاً،و إنّما اختلافهما فی تسلّط المشتری علی الفسخ،فیُنفی بما تقدّم من قاعدة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فی اللزوم و عدمه من حیث الشکّ فی متعلّق العقد،فإنّا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الأصل عدم تعلّق العقد بهذا الموجود حتّی یثبت اللزوم،و هو وارد علی أصالة اللزوم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 أمرین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تقیید </w:t>
      </w:r>
      <w:r>
        <w:rPr>
          <w:rStyle w:val="FootnoteAnchor"/>
          <w:rtl w:val="true"/>
        </w:rPr>
        <w:footnoteReference w:id="1381"/>
      </w:r>
      <w:r>
        <w:rPr>
          <w:rFonts w:ascii="IRNazanin" w:hAnsi="IRNazanin" w:eastAsia="IRNazanin"/>
          <w:color w:val="111111"/>
          <w:sz w:val="28"/>
          <w:sz w:val="28"/>
          <w:szCs w:val="28"/>
          <w:rtl w:val="true"/>
          <w:lang w:bidi="fa-IR"/>
        </w:rPr>
        <w:t>متعلّق العقد بذلک الوصف المفقود و أخذه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الأصل ینفع فی عدم الخیار،لکنّه غیر جارٍ؛لعدم 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وقوع العقد علی الموصوف بذاک الوصف المفقود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جارٍ غیر نافع،نظیر الشکّ فی کون الماء المخلوق </w:t>
      </w:r>
      <w:r>
        <w:rPr>
          <w:rStyle w:val="FootnoteAnchor"/>
          <w:rtl w:val="true"/>
        </w:rPr>
        <w:footnoteReference w:id="1382"/>
      </w:r>
      <w:r>
        <w:rPr>
          <w:rFonts w:ascii="IRNazanin" w:hAnsi="IRNazanin" w:eastAsia="IRNazanin"/>
          <w:color w:val="111111"/>
          <w:sz w:val="28"/>
          <w:sz w:val="28"/>
          <w:szCs w:val="28"/>
          <w:rtl w:val="true"/>
          <w:lang w:bidi="fa-IR"/>
        </w:rPr>
        <w:t>دفعة کرّاً من أصله،فإنّ أصالة عدم کرّیته نافعةٌ غیر جاریة،و أصالة عدم وجود الکرّ جاریةٌ غیر نافعة فی ترتّب آثار القلّة علی الماء المذکور،فافهم و اغتنم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ذکرنا یظهر حال التمسّک بالعمومات المقتضیة للزوم العقد الحاکمة علی الأُصول العملیّة المتقدّمة،مثل ما دلّ علی حرمة أکل المال إِلاّٰ أَنْ تَکُونَ تِجٰارَةً عَنْ تَرٰاضٍ </w:t>
      </w:r>
      <w:r>
        <w:rPr>
          <w:rStyle w:val="FootnoteAnchor"/>
          <w:rtl w:val="true"/>
        </w:rPr>
        <w:footnoteReference w:id="1383"/>
      </w:r>
      <w:r>
        <w:rPr>
          <w:rFonts w:ascii="IRNazanin" w:hAnsi="IRNazanin" w:eastAsia="IRNazanin"/>
          <w:color w:val="111111"/>
          <w:sz w:val="28"/>
          <w:sz w:val="28"/>
          <w:szCs w:val="28"/>
          <w:rtl w:val="true"/>
          <w:lang w:bidi="fa-IR"/>
        </w:rPr>
        <w:t>،و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1384"/>
      </w:r>
      <w:r>
        <w:rPr>
          <w:rFonts w:ascii="Amiri" w:hAnsi="Amiri" w:eastAsia="Amiri" w:cs="Amiri"/>
          <w:color w:val="111111"/>
          <w:sz w:val="28"/>
          <w:sz w:val="28"/>
          <w:szCs w:val="28"/>
          <w:rtl w:val="true"/>
          <w:lang w:bidi="ar-SA"/>
        </w:rPr>
        <w:t>یحلّ مال امرئٍ مسلمٍ إلّا عن طیب نفسه</w:t>
      </w:r>
      <w:r>
        <w:rPr>
          <w:rFonts w:eastAsia="Amiri" w:cs="Amiri" w:ascii="Amiri" w:hAnsi="Amiri"/>
          <w:color w:val="111111"/>
          <w:sz w:val="28"/>
          <w:szCs w:val="28"/>
          <w:rtl w:val="true"/>
          <w:lang w:bidi="ar-SA"/>
        </w:rPr>
        <w:t xml:space="preserve">» </w:t>
      </w:r>
      <w:r>
        <w:rPr>
          <w:rStyle w:val="FootnoteAnchor"/>
          <w:rtl w:val="true"/>
        </w:rPr>
        <w:footnoteReference w:id="1385"/>
      </w:r>
      <w:r>
        <w:rPr>
          <w:rFonts w:ascii="IRNazanin" w:hAnsi="IRNazanin" w:eastAsia="IRNazanin"/>
          <w:color w:val="111111"/>
          <w:sz w:val="28"/>
          <w:sz w:val="28"/>
          <w:szCs w:val="28"/>
          <w:rtl w:val="true"/>
          <w:lang w:bidi="fa-IR"/>
        </w:rPr>
        <w:t>،و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Style w:val="FootnoteAnchor"/>
          <w:rtl w:val="true"/>
        </w:rPr>
        <w:footnoteReference w:id="1386"/>
      </w:r>
      <w:r>
        <w:rPr>
          <w:rFonts w:ascii="IRNazanin" w:hAnsi="IRNazanin" w:eastAsia="IRNazanin"/>
          <w:color w:val="111111"/>
          <w:sz w:val="28"/>
          <w:sz w:val="28"/>
          <w:szCs w:val="28"/>
          <w:rtl w:val="true"/>
          <w:lang w:bidi="fa-IR"/>
        </w:rPr>
        <w:t xml:space="preserve">،بناءً علی أنّها تدلّ علی عدم تسلّط المشتری علی استرداد الثمن من البائع؛لأنّ المفروض صیرورته مِلکاً له </w:t>
      </w:r>
      <w:r>
        <w:rPr>
          <w:rStyle w:val="FootnoteAnchor"/>
          <w:rtl w:val="true"/>
        </w:rPr>
        <w:footnoteReference w:id="1387"/>
      </w:r>
      <w:r>
        <w:rPr>
          <w:rFonts w:ascii="IRNazanin" w:hAnsi="IRNazanin" w:eastAsia="IRNazanin"/>
          <w:color w:val="111111"/>
          <w:sz w:val="28"/>
          <w:sz w:val="28"/>
          <w:szCs w:val="28"/>
          <w:rtl w:val="true"/>
          <w:lang w:bidi="fa-IR"/>
        </w:rPr>
        <w:t>إذ لا یخفی علیک أنّ هذه العمومات مخصَّصة قد خرج عنها بحکم أدلّة الخیار المال الذی لم یدفع عوضه الذی وقع المعاوضة علیه إلی المشتری،فإذا شکّ فی ذلک فالأصل عدم دفع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أصالة عدم وصول حقّ المشتری إلیه،فإنّ عدم وصول حقّه إلیه یثبت موضوع</w:t>
      </w:r>
    </w:p>
    <w:p>
      <w:pPr>
        <w:pStyle w:val="BookText"/>
        <w:rPr/>
      </w:pPr>
      <w:r>
        <w:rPr>
          <w:rFonts w:ascii="IRNazanin" w:hAnsi="IRNazanin" w:eastAsia="IRNazanin"/>
          <w:color w:val="111111"/>
          <w:sz w:val="28"/>
          <w:sz w:val="28"/>
          <w:szCs w:val="28"/>
          <w:rtl w:val="true"/>
          <w:lang w:bidi="fa-IR"/>
        </w:rPr>
        <w:t>خیار تخلّف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کون الخارج من العمومات المذکورة معنوناً بالعنوان المذکور،بل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خرج من تلک العمومات المال الذی وقع المعاوضة بینه و بین ما لم ینطبق علی المدفوع،فإذا شکّ فی ذلک فالأصل عدم وقوع المعاوضة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السبب فی الخیار و سلطنة المشتری علی فسخ العقد و عدم وجوب الوفاء به علیه هو عدم کون العین الخارجیّة </w:t>
      </w:r>
      <w:r>
        <w:rPr>
          <w:rStyle w:val="FootnoteAnchor"/>
          <w:rtl w:val="true"/>
        </w:rPr>
        <w:footnoteReference w:id="1388"/>
      </w:r>
      <w:r>
        <w:rPr>
          <w:rFonts w:ascii="IRNazanin" w:hAnsi="IRNazanin" w:eastAsia="IRNazanin"/>
          <w:color w:val="111111"/>
          <w:sz w:val="28"/>
          <w:sz w:val="28"/>
          <w:szCs w:val="28"/>
          <w:rtl w:val="true"/>
          <w:lang w:bidi="fa-IR"/>
        </w:rPr>
        <w:t>منطبقة علی ما وقع العقد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عدم وفاء البائع بالعقد بدفع العنوان الذی وقع العقد علیه إلی المشتری،لا وقوع العقد علی ما لا </w:t>
      </w:r>
      <w:r>
        <w:rPr>
          <w:rStyle w:val="FootnoteAnchor"/>
          <w:rtl w:val="true"/>
        </w:rPr>
        <w:footnoteReference w:id="1389"/>
      </w:r>
      <w:r>
        <w:rPr>
          <w:rFonts w:ascii="IRNazanin" w:hAnsi="IRNazanin" w:eastAsia="IRNazanin"/>
          <w:color w:val="111111"/>
          <w:sz w:val="28"/>
          <w:sz w:val="28"/>
          <w:szCs w:val="28"/>
          <w:rtl w:val="true"/>
          <w:lang w:bidi="fa-IR"/>
        </w:rPr>
        <w:t>یطابق العین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السبب فی لزوم العقد تحقّق مقتضاه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انتقال العین بالصفات التی وقع العقد علیها إلی ملک المشتری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الأصل موافق للأوّل،و مخالف للثانی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إذا وقع العقد علی العین علی أنّها سمینة فبانت مهزولة،فالموجب للخیار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ینتقل إلیه فی الخارج ما عُقد علیه و هو السمین،لا وقوع العقد علی السمین، فإنّ ذلک لا یقتضی الجواز،و إنّما المقتضی للجواز عدم انطباق العین الخارجیّة علی متعلّق العقد،و من المعلوم أنّ عدم الانطباق هو المطابق</w:t>
      </w:r>
    </w:p>
    <w:p>
      <w:pPr>
        <w:pStyle w:val="BookText"/>
        <w:rPr/>
      </w:pPr>
      <w:r>
        <w:rPr>
          <w:rFonts w:ascii="IRNazanin" w:hAnsi="IRNazanin" w:eastAsia="IRNazanin"/>
          <w:color w:val="111111"/>
          <w:sz w:val="28"/>
          <w:sz w:val="28"/>
          <w:szCs w:val="28"/>
          <w:rtl w:val="true"/>
          <w:lang w:bidi="fa-IR"/>
        </w:rPr>
        <w:t>للأصل عند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تحقّق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أصالة عدم وصول حقّ المشتری إلیه،و کذا صحّة ما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أصالة عدم التزام المشتری بتملّک هذا الموجود حتّی یجب الوفاء بما أُلزم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ما فی المبسوط </w:t>
      </w:r>
      <w:r>
        <w:rPr>
          <w:rStyle w:val="FootnoteAnchor"/>
          <w:rtl w:val="true"/>
        </w:rPr>
        <w:footnoteReference w:id="1391"/>
      </w:r>
      <w:r>
        <w:rPr>
          <w:rFonts w:ascii="IRNazanin" w:hAnsi="IRNazanin" w:eastAsia="IRNazanin"/>
          <w:color w:val="111111"/>
          <w:sz w:val="28"/>
          <w:sz w:val="28"/>
          <w:szCs w:val="28"/>
          <w:rtl w:val="true"/>
          <w:lang w:bidi="fa-IR"/>
        </w:rPr>
        <w:t xml:space="preserve">و السرائر </w:t>
      </w:r>
      <w:r>
        <w:rPr>
          <w:rStyle w:val="FootnoteAnchor"/>
          <w:rtl w:val="true"/>
        </w:rPr>
        <w:footnoteReference w:id="1392"/>
      </w:r>
      <w:r>
        <w:rPr>
          <w:rFonts w:ascii="IRNazanin" w:hAnsi="IRNazanin" w:eastAsia="IRNazanin"/>
          <w:color w:val="111111"/>
          <w:sz w:val="28"/>
          <w:sz w:val="28"/>
          <w:szCs w:val="28"/>
          <w:rtl w:val="true"/>
          <w:lang w:bidi="fa-IR"/>
        </w:rPr>
        <w:t xml:space="preserve">و الدروس </w:t>
      </w:r>
      <w:r>
        <w:rPr>
          <w:rStyle w:val="FootnoteAnchor"/>
          <w:rtl w:val="true"/>
        </w:rPr>
        <w:footnoteReference w:id="1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أصالة بقاء ید المشتری علی الثمن،کأنه لا یناسب أصالة اللزوم بل یناسب أصالة الجواز عند الشکّ فی لزوم العقد،کما یظهر من المختلف فی باب السبق و الرمایة </w:t>
      </w:r>
      <w:r>
        <w:rPr>
          <w:rStyle w:val="FootnoteAnchor"/>
          <w:rtl w:val="true"/>
        </w:rPr>
        <w:footnoteReference w:id="1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تحقیق الحال فی باب الخیار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دعوی ورود أصالة عدم تغیّر المبیع علی الأُصول المذکورة؛ لأنّ الشکّ فیها مسبّب عن الشکّ فی تغیّر المبیع،فهی مدفوعة مضافاً إلی منع جریانه فیما إذا علم بالسمَن قبل المشاهدة فاختلف فی زمان المشاهدة،کما إذا علم بکونها سمینة و أنّها صارت مهزولة،و لا یعلم أنّها فی زمان المشاهدة کانت باقیة علی السمن أو لا،فحینئذٍ مقتضی الأصل تأخّر الهزال عن المشاهدة،فالأصل تأخّر التغیّر،لا عدمه</w:t>
      </w:r>
    </w:p>
    <w:p>
      <w:pPr>
        <w:pStyle w:val="BookText"/>
        <w:rPr/>
      </w:pPr>
      <w:r>
        <w:rPr>
          <w:rFonts w:ascii="IRNazanin" w:hAnsi="IRNazanin" w:eastAsia="IRNazanin"/>
          <w:color w:val="111111"/>
          <w:sz w:val="28"/>
          <w:sz w:val="28"/>
          <w:szCs w:val="28"/>
          <w:rtl w:val="true"/>
          <w:lang w:bidi="fa-IR"/>
        </w:rPr>
        <w:t>الموجب للزوم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w:t>
      </w:r>
      <w:r>
        <w:rPr>
          <w:rStyle w:val="FootnoteAnchor"/>
          <w:rtl w:val="true"/>
        </w:rPr>
        <w:footnoteReference w:id="1395"/>
      </w:r>
      <w:r>
        <w:rPr>
          <w:rFonts w:ascii="IRNazanin" w:hAnsi="IRNazanin" w:eastAsia="IRNazanin"/>
          <w:color w:val="111111"/>
          <w:sz w:val="28"/>
          <w:sz w:val="28"/>
          <w:szCs w:val="28"/>
          <w:rtl w:val="true"/>
          <w:lang w:bidi="fa-IR"/>
        </w:rPr>
        <w:t>مرجع أصالة عدم تغیّر المبیع إلی عدم کونها حین المشاهدة سمینة،و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بنفسه لا یوجب لزوم العقد،نظیر أصالة عدم وقوع العقد علی السمین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ثبت بذلک الأصل هزالها عند المشاهدة و تعلّق العقد بالمهزول ثبت لزوم العقد،و لکنّ الأُصول العدمیّة فی مجاریها لا تثبت وجود أضدادها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دعوی المشتری النقص الموجب للخیار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البائع الزیادة الموجبة لخیار البائع،فمقتضی ما ذکرنا فی طرف المشتری تقدیم قول البائع،لأنّ الأصل عدم وقوع العقد علی هذا الموجود حتّی یجب علیه الوفاء به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عبارة اللمعة تقدیم قول المشتری هنا </w:t>
      </w:r>
      <w:r>
        <w:rPr>
          <w:rStyle w:val="FootnoteAnchor"/>
          <w:rtl w:val="true"/>
        </w:rPr>
        <w:footnoteReference w:id="1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یعلم وجهه</w:t>
      </w:r>
      <w:r>
        <w:rPr>
          <w:rFonts w:eastAsia="IRNazanin" w:cs="IRNazanin"/>
          <w:color w:val="111111"/>
          <w:sz w:val="28"/>
          <w:szCs w:val="28"/>
          <w:rtl w:val="true"/>
          <w:lang w:bidi="fa-IR"/>
        </w:rPr>
        <w:t>.</w:t>
      </w:r>
      <w:bookmarkStart w:id="518" w:name="pg19861_202565"/>
    </w:p>
    <w:p>
      <w:pPr>
        <w:pStyle w:val="BookText"/>
        <w:rPr/>
      </w:pPr>
      <w:bookmarkEnd w:id="518"/>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9" w:name="__RefHeading___Toc5119237_2314609296"/>
      <w:bookmarkStart w:id="520" w:name="_Toc203"/>
      <w:bookmarkEnd w:id="519"/>
      <w:r>
        <w:rPr>
          <w:rtl w:val="true"/>
        </w:rPr>
        <w:t>الفرع</w:t>
      </w:r>
      <w:bookmarkEnd w:id="520"/>
    </w:p>
    <w:p>
      <w:pPr>
        <w:pStyle w:val="BookText"/>
        <w:rPr/>
      </w:pPr>
      <w:r>
        <w:rPr>
          <w:rFonts w:ascii="IRNazanin" w:hAnsi="IRNazanin" w:eastAsia="IRNazanin"/>
          <w:color w:val="111111"/>
          <w:sz w:val="28"/>
          <w:sz w:val="28"/>
          <w:szCs w:val="28"/>
          <w:rtl w:val="true"/>
          <w:lang w:bidi="fa-IR"/>
        </w:rPr>
        <w:t xml:space="preserve">الفرع </w:t>
      </w:r>
      <w:r>
        <w:rPr>
          <w:rStyle w:val="FootnoteAnchor"/>
          <w:rtl w:val="true"/>
        </w:rPr>
        <w:footnoteReference w:id="1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لو اتّفقا علی التغیّر بعد المشاهدة،و وقوع العقد علی الوصف المشاهَد،و اختلفا فی تقدّم التغیّر علی البیع لیثبت الخیار،و تأخّره عنه</w:t>
      </w:r>
    </w:p>
    <w:p>
      <w:pPr>
        <w:pStyle w:val="BookText"/>
        <w:rPr/>
      </w:pPr>
      <w:r>
        <w:rPr>
          <w:rFonts w:ascii="IRNazanin" w:hAnsi="IRNazanin" w:eastAsia="IRNazanin"/>
          <w:color w:val="111111"/>
          <w:sz w:val="28"/>
          <w:sz w:val="28"/>
          <w:szCs w:val="28"/>
          <w:rtl w:val="true"/>
          <w:lang w:bidi="fa-IR"/>
        </w:rPr>
        <w:t>علی وجهٍ لا یوجب الخیار،تعارض کلٌّ من أصالة عدم تقدّم البیع و التغیّر علی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إنّ مرجع الأصلین إلی أصالة عدم وقوع البیع حال السمن مثلاً،و أصالة بقاء السمن،و عدم وجود الهزال حال البیع و الظاهر أنّه لا یترتّب علی شیءٍ منهما الحکم بالجواز أو </w:t>
      </w:r>
      <w:r>
        <w:rPr>
          <w:rStyle w:val="FootnoteAnchor"/>
          <w:rtl w:val="true"/>
        </w:rPr>
        <w:footnoteReference w:id="1398"/>
      </w:r>
      <w:r>
        <w:rPr>
          <w:rFonts w:ascii="IRNazanin" w:hAnsi="IRNazanin" w:eastAsia="IRNazanin"/>
          <w:color w:val="111111"/>
          <w:sz w:val="28"/>
          <w:sz w:val="28"/>
          <w:szCs w:val="28"/>
          <w:rtl w:val="true"/>
          <w:lang w:bidi="fa-IR"/>
        </w:rPr>
        <w:t>اللزوم؛ لأنّ اللزوم من أحکام وصول ما عقد علیه و انتقاله إلی المشتری، و أصالة بقاء السمن لا یثبت وصول السمین؛کما أنّ أصالة عدم وقوع البیع حال السمن لا ینفیه فالمرجع إلی أصالة عدم وصول حقّ المشتری إلیه کما فی المسألة السابقة،إلّا أنّ الفرق بینهما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فی وصول الحقّ هناک ناشٍ عن الشکّ فی نفس الحقّ،و هنا ناشٍ عن الشکّ فی وصول الحقّ المعلوم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الشکّ هنا فی وصول الحقّ،و هناک فی حقیّة </w:t>
      </w:r>
      <w:r>
        <w:rPr>
          <w:rStyle w:val="FootnoteAnchor"/>
          <w:rtl w:val="true"/>
        </w:rPr>
        <w:footnoteReference w:id="1399"/>
      </w:r>
      <w:r>
        <w:rPr>
          <w:rFonts w:ascii="IRNazanin" w:hAnsi="IRNazanin" w:eastAsia="IRNazanin"/>
          <w:color w:val="111111"/>
          <w:sz w:val="28"/>
          <w:sz w:val="28"/>
          <w:szCs w:val="28"/>
          <w:rtl w:val="true"/>
          <w:lang w:bidi="fa-IR"/>
        </w:rPr>
        <w:t>الواصل،و مقتضی الأصل فی المقامین عدم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یعلم الکلام فیما لو کان مدّعی الخیار هو البائع،بأن اتّفقا علی مشاهدته مهزولاً و وقوع العقد علی المشاهد و حصل السمن، و اختلفا فی تقدّمه علی البیع لیثبت الخیار للبائع،فافهم و تدبّر؛فإنّ المقام لا یخلو عن إشکال و 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 المبیع تالفاً بعد القبض فیما یکفی فی قبضه التخلیة، و اختلفا فی تقدّم التلف علی البیع و تأخّره،فالأصل بقاء ملک المشتری علی الثمن،لأصالة عدم تأثیر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جریان أصالة صحّة البیع هنا،للشکّ فی بعض شروطه،و هو وجود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صحّة العقد عبارةٌ عن کونه بحیث یترتّب علیه الأثر شرعاً،فإذا فرضنا أنّه عقد علی شیءٍ معدومٍ فی الواقع فلا تأثیر له عقلاً فی تملیک العین؛لأنّ تملیک المعدوم لا علی قصد تملیکه عند الوجود،و لا علی قصد تملیک بدله مِثلاً أو قیمته </w:t>
      </w:r>
      <w:r>
        <w:rPr>
          <w:rStyle w:val="FootnoteAnchor"/>
          <w:rtl w:val="true"/>
        </w:rPr>
        <w:footnoteReference w:id="1400"/>
      </w:r>
      <w:r>
        <w:rPr>
          <w:rFonts w:ascii="IRNazanin" w:hAnsi="IRNazanin" w:eastAsia="IRNazanin"/>
          <w:color w:val="111111"/>
          <w:sz w:val="28"/>
          <w:sz w:val="28"/>
          <w:szCs w:val="28"/>
          <w:rtl w:val="true"/>
          <w:lang w:bidi="fa-IR"/>
        </w:rPr>
        <w:t>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مجرّد إنشائه باللفظ لغوٌ عرفاً،یقبح مع العلم دون الجهل بالحال،فإذا شککنا فی وجود العین حال العقد فلا یلزم من الحکم بعدمه فعلٌ فاسدٌ من المسلم؛لأنّ التملیک الحقیقی غیر متحقّق،و الصوری و إن تحقّق لکنّه لیس بفاسد؛إذ اللغو فاسدٌ عرفاً أی قبیح إذا صدر عن علمٍ </w:t>
      </w:r>
      <w:r>
        <w:rPr>
          <w:rStyle w:val="FootnoteAnchor"/>
          <w:rtl w:val="true"/>
        </w:rPr>
        <w:footnoteReference w:id="1401"/>
      </w:r>
      <w:r>
        <w:rPr>
          <w:rFonts w:ascii="IRNazanin" w:hAnsi="IRNazanin" w:eastAsia="IRNazanin"/>
          <w:color w:val="111111"/>
          <w:sz w:val="28"/>
          <w:sz w:val="28"/>
          <w:szCs w:val="28"/>
          <w:rtl w:val="true"/>
          <w:lang w:bidi="fa-IR"/>
        </w:rPr>
        <w:t>بالحال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بالجملة،الفاسد شرعاً الذی تنزّه </w:t>
      </w:r>
      <w:r>
        <w:rPr>
          <w:rStyle w:val="FootnoteAnchor"/>
          <w:rtl w:val="true"/>
        </w:rPr>
        <w:footnoteReference w:id="1402"/>
      </w:r>
      <w:r>
        <w:rPr>
          <w:rFonts w:ascii="IRNazanin" w:hAnsi="IRNazanin" w:eastAsia="IRNazanin"/>
          <w:color w:val="111111"/>
          <w:sz w:val="28"/>
          <w:sz w:val="28"/>
          <w:szCs w:val="28"/>
          <w:rtl w:val="true"/>
          <w:lang w:bidi="fa-IR"/>
        </w:rPr>
        <w:t>عنه فعل المسلم هو التملیک</w:t>
      </w:r>
    </w:p>
    <w:p>
      <w:pPr>
        <w:pStyle w:val="BookText"/>
        <w:rPr/>
      </w:pPr>
      <w:r>
        <w:rPr>
          <w:rFonts w:ascii="IRNazanin" w:hAnsi="IRNazanin" w:eastAsia="IRNazanin"/>
          <w:color w:val="111111"/>
          <w:sz w:val="28"/>
          <w:sz w:val="28"/>
          <w:szCs w:val="28"/>
          <w:rtl w:val="true"/>
          <w:lang w:bidi="fa-IR"/>
        </w:rPr>
        <w:t>الحقیقی المقصود الذی لم یمضه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فافهم هذا،فإنّه قد غفل عنه بعضٌ </w:t>
      </w:r>
      <w:r>
        <w:rPr>
          <w:rStyle w:val="FootnoteAnchor"/>
          <w:rtl w:val="true"/>
        </w:rPr>
        <w:footnoteReference w:id="1403"/>
      </w:r>
      <w:r>
        <w:rPr>
          <w:rFonts w:ascii="IRNazanin" w:hAnsi="IRNazanin" w:eastAsia="IRNazanin"/>
          <w:color w:val="111111"/>
          <w:sz w:val="28"/>
          <w:sz w:val="28"/>
          <w:szCs w:val="28"/>
          <w:rtl w:val="true"/>
          <w:lang w:bidi="fa-IR"/>
        </w:rPr>
        <w:t xml:space="preserve">فی مسألة الاختلاف فی تقدّم </w:t>
      </w:r>
      <w:r>
        <w:rPr>
          <w:rStyle w:val="FootnoteAnchor"/>
          <w:rtl w:val="true"/>
        </w:rPr>
        <w:footnoteReference w:id="1404"/>
      </w:r>
      <w:r>
        <w:rPr>
          <w:rFonts w:ascii="IRNazanin" w:hAnsi="IRNazanin" w:eastAsia="IRNazanin"/>
          <w:color w:val="111111"/>
          <w:sz w:val="28"/>
          <w:sz w:val="28"/>
          <w:szCs w:val="28"/>
          <w:rtl w:val="true"/>
          <w:lang w:bidi="fa-IR"/>
        </w:rPr>
        <w:t xml:space="preserve">بیع الراهن علی رجوع المرتهن عن إذنه فی البیع و تأخّره </w:t>
      </w:r>
      <w:r>
        <w:rPr>
          <w:rStyle w:val="FootnoteAnchor"/>
          <w:rtl w:val="true"/>
        </w:rPr>
        <w:footnoteReference w:id="1405"/>
      </w:r>
      <w:r>
        <w:rPr>
          <w:rFonts w:ascii="IRNazanin" w:hAnsi="IRNazanin" w:eastAsia="IRNazanin"/>
          <w:color w:val="111111"/>
          <w:sz w:val="28"/>
          <w:sz w:val="28"/>
          <w:szCs w:val="28"/>
          <w:rtl w:val="true"/>
          <w:lang w:bidi="fa-IR"/>
        </w:rPr>
        <w:t>عنه، حیث تمسّک بأصالة صحّة الرجوع عن الإذن؛لأنّ الرجوع لو وقع بعد بیع الراهن کان فاسداً؛لعدم مصادفته محلّاً یؤثّر فیه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نعم،لو تحقّقت قابلیّة التأثیر عقلاً و تحقّق </w:t>
      </w:r>
      <w:r>
        <w:rPr>
          <w:rStyle w:val="FootnoteAnchor"/>
          <w:rtl w:val="true"/>
        </w:rPr>
        <w:footnoteReference w:id="1406"/>
      </w:r>
      <w:r>
        <w:rPr>
          <w:rFonts w:ascii="IRNazanin" w:hAnsi="IRNazanin" w:eastAsia="IRNazanin"/>
          <w:color w:val="111111"/>
          <w:sz w:val="28"/>
          <w:sz w:val="28"/>
          <w:szCs w:val="28"/>
          <w:rtl w:val="true"/>
          <w:lang w:bidi="fa-IR"/>
        </w:rPr>
        <w:t>الإنشاء الحقیقی عرفاً و لو فیما إذا باع بلا ثمن،أو باع ما هو غیر مملوکٍ کالخمر و الخنزیر و کالتالف شرعاً کالغریق و المسروق،أو معدوم قُصد تملّکه عند وجوده کالثمرة المعدومة،أو قصد تملیک بدله مِثلاً أو قیمةً،کما لو باع ما أتلفه زید علی عمرو،أو صالحه إیّاه بقصد حصول أثر الملک فی بدله تحقّق مورد الصحّة و الفساد،فإذا حکم بفساد شیءٍ من ذلک ثمّ شکّ فی أنّ العقد الخارجی منه أم من الصحیح،حمل علی الصحیح</w:t>
      </w:r>
      <w:r>
        <w:rPr>
          <w:rFonts w:eastAsia="IRNazanin" w:cs="IRNazanin"/>
          <w:color w:val="111111"/>
          <w:sz w:val="28"/>
          <w:szCs w:val="28"/>
          <w:rtl w:val="true"/>
          <w:lang w:bidi="fa-IR"/>
        </w:rPr>
        <w:t>.</w:t>
      </w:r>
      <w:bookmarkStart w:id="521" w:name="pg19861_202569"/>
    </w:p>
    <w:p>
      <w:pPr>
        <w:pStyle w:val="Heading4"/>
        <w:numPr>
          <w:ilvl w:val="3"/>
          <w:numId w:val="1"/>
        </w:numPr>
        <w:rPr/>
      </w:pPr>
      <w:bookmarkStart w:id="522" w:name="__RefHeading___Toc5119239_2314609296"/>
      <w:bookmarkStart w:id="523" w:name="_Toc204"/>
      <w:bookmarkEnd w:id="521"/>
      <w:bookmarkEnd w:id="522"/>
      <w:r>
        <w:rPr>
          <w:rtl w:val="true"/>
        </w:rPr>
        <w:t>مسألة لا بدّ من اختبار الطعم و اللون و الرائحة فیما یختلف قیمته باختلاف ذلک،</w:t>
      </w:r>
      <w:bookmarkEnd w:id="523"/>
    </w:p>
    <w:p>
      <w:pPr>
        <w:pStyle w:val="BookText"/>
        <w:rPr/>
      </w:pPr>
      <w:r>
        <w:rPr>
          <w:rFonts w:ascii="IRNazanin" w:hAnsi="IRNazanin" w:eastAsia="IRNazanin"/>
          <w:color w:val="111111"/>
          <w:sz w:val="28"/>
          <w:sz w:val="28"/>
          <w:szCs w:val="28"/>
          <w:rtl w:val="true"/>
          <w:lang w:bidi="fa-IR"/>
        </w:rPr>
        <w:t>کما فی کلّ وصفٍ یکون کذلک؛إذ لا فرق فی توقّف رفع الغرر علی العلم،بین هذه الأوصاف و بین تقدیر العوضین بالکیل و الوزن و العدّ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یغنی الوصف عن الاختبار فیما ینضبط من الأوصاف،دون ما لا ینضبط،کمقدار الطعم و الرائحة و اللون و کیفیّاتها،فإنّ ذلک ممّا لا یمکن ضبطه إلّا باختبار شیءٍ من جنسه،ثمّ الشراء علی ذلک النحو من الوصف،مثل أن یکون الأعمی قد رأی قبل العمی لؤلؤةً،فبیع منه لؤلؤةٌ أُخری علی ذلک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الکلام فی الطعم و الرائحة لمن کان مسلوب الذائقة و الشامّة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لم یُرد من اختبار الأوصاف إلّا استعلام صحّته و فساده، جاز شراؤها بوصف الصحّة،کما فی الدبس و الدهن مثلاً،فإنّ المقصود من طعمهما ملاحظة عدم فسادهما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بعض أنواع الفواکه و الروائح التی تختلف قیمتها باختلاف طعمها و رائحتها،و لا یقصد من اختبار أوصافها ملاحظة صحّتها و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إطلاق کلمات الأصحاب </w:t>
      </w:r>
      <w:r>
        <w:rPr>
          <w:rStyle w:val="FootnoteAnchor"/>
          <w:rtl w:val="true"/>
        </w:rPr>
        <w:footnoteReference w:id="1407"/>
      </w:r>
      <w:r>
        <w:rPr>
          <w:rFonts w:ascii="IRNazanin" w:hAnsi="IRNazanin" w:eastAsia="IRNazanin"/>
          <w:color w:val="111111"/>
          <w:sz w:val="28"/>
          <w:sz w:val="28"/>
          <w:szCs w:val="28"/>
          <w:rtl w:val="true"/>
          <w:lang w:bidi="fa-IR"/>
        </w:rPr>
        <w:t xml:space="preserve">فی جواز شراء ما یراد طعمه و رائحته بالوصف محمولٌ علی ما إذا أُرید الأوصاف التی لها مدخلٌ فی الصحّة،لا الزائدة علی الصحّة التی یختلف بها القیمة </w:t>
      </w:r>
      <w:r>
        <w:rPr>
          <w:rStyle w:val="FootnoteAnchor"/>
          <w:rtl w:val="true"/>
        </w:rPr>
        <w:footnoteReference w:id="1408"/>
      </w:r>
      <w:r>
        <w:rPr>
          <w:rFonts w:ascii="IRNazanin" w:hAnsi="IRNazanin" w:eastAsia="IRNazanin"/>
          <w:color w:val="111111"/>
          <w:sz w:val="28"/>
          <w:sz w:val="28"/>
          <w:szCs w:val="28"/>
          <w:rtl w:val="true"/>
          <w:lang w:bidi="fa-IR"/>
        </w:rPr>
        <w:t>،بقرینة تعرّضهم بعد هذا لبیان جواز شرائها من دون اختبارٍ و لا وصفٍ،بناءً علی أصالة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کان،فقد قوّی فی السرائر عدم الجواز أخیراً بعد اختیار جواز بیع ما ذکرنا بالوصف،وفاقاً للمشهور المدّعی علیه الإجماع فی الغنیة </w:t>
      </w:r>
      <w:r>
        <w:rPr>
          <w:rStyle w:val="FootnoteAnchor"/>
          <w:rtl w:val="true"/>
        </w:rPr>
        <w:footnoteReference w:id="1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بیع العین المشاهدة المرئیّة لا یجوز أن یکون بالوصف؛لأنّه غیر غائبٍ فیباع مع خیار الرؤیة بالوصف،فإذاً لا بدّ من شمّه و ذوقه؛لأنّه حاضر مشاهَد غیر غائبٍ یحتاج إلی الوصف،و هذا قویٌّ </w:t>
      </w:r>
      <w:r>
        <w:rPr>
          <w:rStyle w:val="FootnoteAnchor"/>
          <w:rtl w:val="true"/>
        </w:rPr>
        <w:footnoteReference w:id="141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من الاختبار رفع الغرر،فإذا فرض رفعه بالوصف کان الفرق بین الحاضر و الغائب تحکّماً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الأقوی جواز بیعه من غیر اختبار و لا وصفٍ،بناءً علی أصالة الصحّة،وفاقاً للفاضلین </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 xml:space="preserve">و من تأخّر عنهما </w:t>
      </w:r>
      <w:r>
        <w:rPr>
          <w:rStyle w:val="FootnoteAnchor"/>
          <w:rtl w:val="true"/>
        </w:rPr>
        <w:footnoteReference w:id="1412"/>
      </w:r>
      <w:r>
        <w:rPr>
          <w:rFonts w:ascii="IRNazanin" w:hAnsi="IRNazanin" w:eastAsia="IRNazanin"/>
          <w:color w:val="111111"/>
          <w:sz w:val="28"/>
          <w:sz w:val="28"/>
          <w:szCs w:val="28"/>
          <w:rtl w:val="true"/>
          <w:lang w:bidi="fa-IR"/>
        </w:rPr>
        <w:t>،لأنّه إذا کان المفروض ملاحظة الوصف من جهة دوران الصحّة معه،فذکره فی الحقیقة یرجع إلی ذکر وصف الصحّة، و من المعلوم أنّه غیر معتبرٍ فی البیع إجماعاً،بل یکفی بناء المتعاقدین علیه إذا لم یصرّح البائع بالبراءة من العیوب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محمّد بن العیص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یشتری ما یذاق، أ یذوقه قبل أن یشتری؟قال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فلیذقه،و لا یذوقنّ ما لا یشتری</w:t>
      </w:r>
      <w:r>
        <w:rPr>
          <w:rFonts w:eastAsia="IRNazanin" w:cs="IRNazanin"/>
          <w:color w:val="111111"/>
          <w:sz w:val="28"/>
          <w:szCs w:val="28"/>
          <w:rtl w:val="true"/>
          <w:lang w:bidi="fa-IR"/>
        </w:rPr>
        <w:t xml:space="preserve">»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فالسؤال فیها عن جواز الذوق،لا عن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نسب الخلاف فی هذه المسألة إلی المفید و القاضی و سلّار و أبی الصلاح و ابن حمزة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من المطعومات و المشمومات یمکن للإنسان اختباره من غیر إفسادٍ له کالأدهان المختبرة بالشمّ و صنوف الطیب و الحلوات المذوقة فإنّه لا یصحّ بیعه بغیر اختباره </w:t>
      </w:r>
      <w:r>
        <w:rPr>
          <w:rStyle w:val="FootnoteAnchor"/>
          <w:rtl w:val="true"/>
        </w:rPr>
        <w:footnoteReference w:id="1414"/>
      </w:r>
      <w:r>
        <w:rPr>
          <w:rFonts w:ascii="IRNazanin" w:hAnsi="IRNazanin" w:eastAsia="IRNazanin"/>
          <w:color w:val="111111"/>
          <w:sz w:val="28"/>
          <w:sz w:val="28"/>
          <w:szCs w:val="28"/>
          <w:rtl w:val="true"/>
          <w:lang w:bidi="fa-IR"/>
        </w:rPr>
        <w:t xml:space="preserve">،فإن ابتیع بغیر اختبارٍ کان البیع باطلاً،و المتبایعان فیه </w:t>
      </w:r>
      <w:r>
        <w:rPr>
          <w:rStyle w:val="FootnoteAnchor"/>
          <w:rtl w:val="true"/>
        </w:rPr>
        <w:footnoteReference w:id="1415"/>
      </w:r>
      <w:r>
        <w:rPr>
          <w:rFonts w:ascii="IRNazanin" w:hAnsi="IRNazanin" w:eastAsia="IRNazanin"/>
          <w:color w:val="111111"/>
          <w:sz w:val="28"/>
          <w:sz w:val="28"/>
          <w:szCs w:val="28"/>
          <w:rtl w:val="true"/>
          <w:lang w:bidi="fa-IR"/>
        </w:rPr>
        <w:t xml:space="preserve">بالخیار </w:t>
      </w:r>
      <w:r>
        <w:rPr>
          <w:rStyle w:val="FootnoteAnchor"/>
          <w:rtl w:val="true"/>
        </w:rPr>
        <w:footnoteReference w:id="1416"/>
      </w:r>
      <w:r>
        <w:rPr>
          <w:rFonts w:ascii="IRNazanin" w:hAnsi="IRNazanin" w:eastAsia="IRNazanin"/>
          <w:color w:val="111111"/>
          <w:sz w:val="28"/>
          <w:sz w:val="28"/>
          <w:szCs w:val="28"/>
          <w:rtl w:val="true"/>
          <w:lang w:bidi="fa-IR"/>
        </w:rPr>
        <w:t>فإن تراضیا</w:t>
      </w:r>
    </w:p>
    <w:p>
      <w:pPr>
        <w:pStyle w:val="BookText"/>
        <w:rPr/>
      </w:pPr>
      <w:r>
        <w:rPr>
          <w:rFonts w:ascii="IRNazanin" w:hAnsi="IRNazanin" w:eastAsia="IRNazanin"/>
          <w:color w:val="111111"/>
          <w:sz w:val="28"/>
          <w:sz w:val="28"/>
          <w:szCs w:val="28"/>
          <w:rtl w:val="true"/>
          <w:lang w:bidi="fa-IR"/>
        </w:rPr>
        <w:t xml:space="preserve">بذلک لم یکن به بأس،انتهی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یجوز بیعه إلّا بعد أن یختبر،فإن بیع من غیر اختبار کان المشتری مخیّراً فی ردّه له علی البائع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المحکیّ عن سلّار و أبی الصلاح و ابن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إطلاق القول بعدم صحّة البیع من غیر اختبار فی ما لا یفسده الاختبار </w:t>
      </w:r>
      <w:r>
        <w:rPr>
          <w:rStyle w:val="FootnoteAnchor"/>
          <w:rtl w:val="true"/>
        </w:rPr>
        <w:footnoteReference w:id="1419"/>
      </w:r>
      <w:r>
        <w:rPr>
          <w:rFonts w:ascii="IRNazanin" w:hAnsi="IRNazanin" w:eastAsia="IRNazanin"/>
          <w:color w:val="111111"/>
          <w:sz w:val="28"/>
          <w:sz w:val="28"/>
          <w:szCs w:val="28"/>
          <w:rtl w:val="true"/>
          <w:lang w:bidi="fa-IR"/>
        </w:rPr>
        <w:t xml:space="preserve">من غیر تعرّض لخیارٍ للمتبایعین </w:t>
      </w:r>
      <w:r>
        <w:rPr>
          <w:rStyle w:val="FootnoteAnchor"/>
          <w:rtl w:val="true"/>
        </w:rPr>
        <w:footnoteReference w:id="1420"/>
      </w:r>
      <w:r>
        <w:rPr>
          <w:rFonts w:ascii="IRNazanin" w:hAnsi="IRNazanin" w:eastAsia="IRNazanin"/>
          <w:color w:val="111111"/>
          <w:sz w:val="28"/>
          <w:sz w:val="28"/>
          <w:szCs w:val="28"/>
          <w:rtl w:val="true"/>
          <w:lang w:bidi="fa-IR"/>
        </w:rPr>
        <w:t>کالمفید،أو للمشتری کالقاضی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المحکیّ عن المفید و سلّار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یفسده الاختبار یجوز بیعه بشرط الصحّة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النهایة و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بیعه جائز علی شرط الصحّة أو البراءة من العیوب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بیعه إلّا بشرط الصحّة أو البراءة من العیوب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محکیّ المختلف بعد ذکر عبارة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العبارة توهم اشتراط أحد القیدین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الصحّة أو البراءة من العیوب،و لیس</w:t>
      </w:r>
    </w:p>
    <w:p>
      <w:pPr>
        <w:pStyle w:val="BookText"/>
        <w:rPr/>
      </w:pPr>
      <w:r>
        <w:rPr>
          <w:rFonts w:ascii="IRNazanin" w:hAnsi="IRNazanin" w:eastAsia="IRNazanin"/>
          <w:color w:val="111111"/>
          <w:sz w:val="28"/>
          <w:sz w:val="28"/>
          <w:szCs w:val="28"/>
          <w:rtl w:val="true"/>
          <w:lang w:bidi="fa-IR"/>
        </w:rPr>
        <w:t xml:space="preserve">بجیّد،بل الأولی انعقاد البیع،سواء شرط أحدهما أو خلی </w:t>
      </w:r>
      <w:r>
        <w:rPr>
          <w:rStyle w:val="FootnoteAnchor"/>
          <w:rtl w:val="true"/>
        </w:rPr>
        <w:footnoteReference w:id="1424"/>
      </w:r>
      <w:r>
        <w:rPr>
          <w:rFonts w:ascii="IRNazanin" w:hAnsi="IRNazanin" w:eastAsia="IRNazanin"/>
          <w:color w:val="111111"/>
          <w:sz w:val="28"/>
          <w:sz w:val="28"/>
          <w:szCs w:val="28"/>
          <w:rtl w:val="true"/>
          <w:lang w:bidi="fa-IR"/>
        </w:rPr>
        <w:t>عنهما أو شرط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أنّه إنّما صار إلی الإبهام من عبارة الشیخین </w:t>
      </w:r>
      <w:r>
        <w:rPr>
          <w:rStyle w:val="FootnoteAnchor"/>
          <w:rtl w:val="true"/>
        </w:rPr>
        <w:footnoteReference w:id="1425"/>
      </w:r>
      <w:r>
        <w:rPr>
          <w:rFonts w:ascii="IRNazanin" w:hAnsi="IRNazanin" w:eastAsia="IRNazanin"/>
          <w:color w:val="111111"/>
          <w:sz w:val="28"/>
          <w:sz w:val="28"/>
          <w:szCs w:val="28"/>
          <w:rtl w:val="true"/>
          <w:lang w:bidi="fa-IR"/>
        </w:rPr>
        <w:t>، حیث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جاز علی شرط الصحّة أو بشرط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البیع بشرط الصحّة أو علی شرط الصحّة جائز،لا أنّ جوازه مشروط بالصحّة أو البراءة </w:t>
      </w:r>
      <w:r>
        <w:rPr>
          <w:rStyle w:val="FootnoteAnchor"/>
          <w:rtl w:val="true"/>
        </w:rPr>
        <w:footnoteReference w:id="142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لعلّه لنکتةِ بیانِ أنّ مطلب الشیخین لیس وجوب ذکر الوصف فی العقد </w:t>
      </w:r>
      <w:r>
        <w:rPr>
          <w:rStyle w:val="FootnoteAnchor"/>
          <w:rtl w:val="true"/>
        </w:rPr>
        <w:footnoteReference w:id="1427"/>
      </w:r>
      <w:r>
        <w:rPr>
          <w:rFonts w:ascii="IRNazanin" w:hAnsi="IRNazanin" w:eastAsia="IRNazanin"/>
          <w:color w:val="111111"/>
          <w:sz w:val="28"/>
          <w:sz w:val="28"/>
          <w:szCs w:val="28"/>
          <w:rtl w:val="true"/>
          <w:lang w:bidi="fa-IR"/>
        </w:rPr>
        <w:t>عبّر فی القواعد فیما یفسده الاختبار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جاز </w:t>
      </w:r>
      <w:r>
        <w:rPr>
          <w:rStyle w:val="FootnoteAnchor"/>
          <w:rtl w:val="true"/>
        </w:rPr>
        <w:footnoteReference w:id="1428"/>
      </w:r>
      <w:r>
        <w:rPr>
          <w:rFonts w:ascii="IRNazanin" w:hAnsi="IRNazanin" w:eastAsia="IRNazanin"/>
          <w:color w:val="111111"/>
          <w:sz w:val="28"/>
          <w:sz w:val="28"/>
          <w:szCs w:val="28"/>
          <w:rtl w:val="true"/>
          <w:lang w:bidi="fa-IR"/>
        </w:rPr>
        <w:t xml:space="preserve">بشرط </w:t>
      </w:r>
      <w:r>
        <w:rPr>
          <w:rStyle w:val="FootnoteAnchor"/>
          <w:rtl w:val="true"/>
        </w:rPr>
        <w:footnoteReference w:id="1429"/>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Style w:val="FootnoteAnchor"/>
          <w:rtl w:val="true"/>
        </w:rPr>
        <w:footnoteReference w:id="1430"/>
      </w:r>
      <w:r>
        <w:rPr>
          <w:rFonts w:ascii="IRNazanin" w:hAnsi="IRNazanin" w:eastAsia="IRNazanin"/>
          <w:color w:val="111111"/>
          <w:sz w:val="28"/>
          <w:sz w:val="28"/>
          <w:szCs w:val="28"/>
          <w:rtl w:val="true"/>
          <w:lang w:bidi="fa-IR"/>
        </w:rPr>
        <w:t xml:space="preserve">،لکنّ الإنصاف أنّ الظاهر من عبارتی المقنعة و النهایة و نحوهما هو اعتبار ذکر الصحّة فی العقد،کما یظهر بالتدبّر فی عبارة المقنعة من أوّلها إلی آخرها </w:t>
      </w:r>
      <w:r>
        <w:rPr>
          <w:rStyle w:val="FootnoteAnchor"/>
          <w:rtl w:val="true"/>
        </w:rPr>
        <w:footnoteReference w:id="1431"/>
      </w:r>
      <w:r>
        <w:rPr>
          <w:rFonts w:ascii="IRNazanin" w:hAnsi="IRNazanin" w:eastAsia="IRNazanin"/>
          <w:color w:val="111111"/>
          <w:sz w:val="28"/>
          <w:sz w:val="28"/>
          <w:szCs w:val="28"/>
          <w:rtl w:val="true"/>
          <w:lang w:bidi="fa-IR"/>
        </w:rPr>
        <w:t xml:space="preserve">،و عبارة النهایة هنا هی عبارة المقنعة بعینها،فلاحظ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الکلّ کما تری اعتبار خصوص الاختبار فیما لا یفسده،</w:t>
      </w:r>
    </w:p>
    <w:p>
      <w:pPr>
        <w:pStyle w:val="BookText"/>
        <w:rPr/>
      </w:pPr>
      <w:r>
        <w:rPr>
          <w:rFonts w:ascii="Amiri" w:hAnsi="Amiri" w:eastAsia="Amiri" w:cs="Amiri"/>
          <w:color w:val="111111"/>
          <w:sz w:val="28"/>
          <w:sz w:val="28"/>
          <w:szCs w:val="28"/>
          <w:rtl w:val="true"/>
          <w:lang w:bidi="ar-SA"/>
        </w:rPr>
        <w:t xml:space="preserve">کما تقدّم من الحلّی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یکفی ذکر الأوصاف،فضلاً عن الاستغناء عنها بأصالة 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هؤلاء اشترطوا فی ظاهر عبائرهم المتقدّمة اشتراط الوصف أو السلامة من العیوب فیما یفسده الاختبار،و إن فهم فی المختلف خلاف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قدّمنا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أن یکون کلامهم فی الأُمور التی لا تنضبط خصوصیّة طعمها و ریحها بالوصف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 ذلک فی غیر الأوصاف التی یدور علیها السلامة من العیب،إلّا أنّ تخصیصهم </w:t>
      </w:r>
      <w:r>
        <w:rPr>
          <w:rStyle w:val="FootnoteAnchor"/>
          <w:rtl w:val="true"/>
        </w:rPr>
        <w:footnoteReference w:id="1434"/>
      </w:r>
      <w:r>
        <w:rPr>
          <w:rFonts w:ascii="IRNazanin" w:hAnsi="IRNazanin" w:eastAsia="IRNazanin"/>
          <w:color w:val="111111"/>
          <w:sz w:val="28"/>
          <w:sz w:val="28"/>
          <w:szCs w:val="28"/>
          <w:rtl w:val="true"/>
          <w:lang w:bidi="fa-IR"/>
        </w:rPr>
        <w:t xml:space="preserve">الحکم بما لا یفسده الاختبار کالشاهد </w:t>
      </w:r>
      <w:r>
        <w:rPr>
          <w:rStyle w:val="FootnoteAnchor"/>
          <w:rtl w:val="true"/>
        </w:rPr>
        <w:footnoteReference w:id="1435"/>
      </w:r>
      <w:r>
        <w:rPr>
          <w:rFonts w:ascii="IRNazanin" w:hAnsi="IRNazanin" w:eastAsia="IRNazanin"/>
          <w:color w:val="111111"/>
          <w:sz w:val="28"/>
          <w:sz w:val="28"/>
          <w:szCs w:val="28"/>
          <w:rtl w:val="true"/>
          <w:lang w:bidi="fa-IR"/>
        </w:rPr>
        <w:t>علی أنّ المراد بالأوصاف التی لا یفسد اختبارها ما هو مناط السلامة،کما أنّ مقابله و هو ما یفسد الشیء باختباره کالبیض و البطّیخ کذلک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یؤیّده حکم القاضی بخیار المشتری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کان،فإن کان مذهبهم تعیین الاختبار فیما لا ینضبط بالأوصاف،فلا خلاف معهم منّا و لا من الأصحاب</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مذهبهم موافقاً للحلّی </w:t>
      </w:r>
      <w:r>
        <w:rPr>
          <w:rStyle w:val="FootnoteAnchor"/>
          <w:rtl w:val="true"/>
        </w:rPr>
        <w:footnoteReference w:id="1437"/>
      </w:r>
      <w:r>
        <w:rPr>
          <w:rFonts w:ascii="IRNazanin" w:hAnsi="IRNazanin" w:eastAsia="IRNazanin"/>
          <w:color w:val="111111"/>
          <w:sz w:val="28"/>
          <w:sz w:val="28"/>
          <w:szCs w:val="28"/>
          <w:rtl w:val="true"/>
          <w:lang w:bidi="fa-IR"/>
        </w:rPr>
        <w:t xml:space="preserve">بناءً علی إرادة الأوصاف التی بها قوام السلامة من العیب،فقد عرفت أنّه ضعیف فی الغایة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مذهبهم عدم کفایة البناء علی أصالة السلامة عن الاختبار و الوصف و إن کان ذکر الوصف کافیاً عن الاختبار،فقد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حالهم و حال غیرهم عدم التزام ذکر الأوصاف الراجعة إلی السلامة من العیوب فی بیع الأعیان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یقال بعد منع جریان أصالة السلامة فی الأعیان؛ لعدم الدلیل علیها،لا من بناء العقلاء إلّا فیما إذا کان الشکّ فی طروّ المفسد،مع أنّ الکلام </w:t>
      </w:r>
      <w:r>
        <w:rPr>
          <w:rStyle w:val="FootnoteAnchor"/>
          <w:rtl w:val="true"/>
        </w:rPr>
        <w:footnoteReference w:id="1439"/>
      </w:r>
      <w:r>
        <w:rPr>
          <w:rFonts w:ascii="IRNazanin" w:hAnsi="IRNazanin" w:eastAsia="IRNazanin"/>
          <w:color w:val="111111"/>
          <w:sz w:val="28"/>
          <w:sz w:val="28"/>
          <w:szCs w:val="28"/>
          <w:rtl w:val="true"/>
          <w:lang w:bidi="fa-IR"/>
        </w:rPr>
        <w:t>فی کفایة أصالة السلامة عن ذکر الأوصاف أعمّ،و لا من الشرع؛لعدم الدلیل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السلامة من العیب الخاصّ متی ما کانت مقصودة علی جهة الرکنیّة للمال کالحلاوة فی الدبس،و الرائحة فی الجُلّاب،و الحموضة فی الخلّ،و غیر ذلک ممّا یذهب بذهابه معظم المالیّة فلا بدّ فی دفع الغرر من إحراز السلامة من هذا العیب الناشئ من عدم هذه الصفات،و حیث فرض عدم اعتبار أصالة السلامة،فلا بدّ من الاختبار أو الوصف أو الاعتقاد </w:t>
      </w:r>
      <w:r>
        <w:rPr>
          <w:rStyle w:val="FootnoteAnchor"/>
          <w:rtl w:val="true"/>
        </w:rPr>
        <w:footnoteReference w:id="1440"/>
      </w:r>
      <w:r>
        <w:rPr>
          <w:rFonts w:ascii="IRNazanin" w:hAnsi="IRNazanin" w:eastAsia="IRNazanin"/>
          <w:color w:val="111111"/>
          <w:sz w:val="28"/>
          <w:sz w:val="28"/>
          <w:szCs w:val="28"/>
          <w:rtl w:val="true"/>
          <w:lang w:bidi="fa-IR"/>
        </w:rPr>
        <w:t>بوجودها لأمارة عرفیّة مغنیة عن الاختبار و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ما کانت مقصودة لا علی هذا الوجه لم یجب إحرازها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نعم،لمّا کان الإطلاق منصرفاً إلی الصحیح جاء الخیار عند تبیّن العیب، فالخیار من جهة الانصراف نظیر انصراف الإطلاق إلی النقد لا النسیئة، و انصراف إطلاق الملک فی المبیع إلی غیر مسلوب المنفعة مدّة یعتدّ بها، لا من جهة الاعتماد فی إحراز الصحّة و البناء علیها علی أصالة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بعض العیوب قد لا یستلزم الغرر، ککون الجاریة ممّن لا تحیض فی سنّ الحیض،و مثل هذا لا یعتبر إحراز السلامة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یستلزمه،ککون الجاریة خنثی و کون الدابّة لا تستطیع المشی أو الرکوب و الحمل علیها،و هذه ممّا یعتبر إحراز السلامة عنها؛ و حیث فرض عدم إحرازها بالأصل،فلا بدّ من الاختبار أو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یؤیّد ما ذکرنا من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بعضهم کالمحقّق فی النافع </w:t>
      </w:r>
      <w:r>
        <w:rPr>
          <w:rStyle w:val="FootnoteAnchor"/>
          <w:rtl w:val="true"/>
        </w:rPr>
        <w:footnoteReference w:id="1441"/>
      </w:r>
      <w:r>
        <w:rPr>
          <w:rFonts w:ascii="IRNazanin" w:hAnsi="IRNazanin" w:eastAsia="IRNazanin"/>
          <w:color w:val="111111"/>
          <w:sz w:val="28"/>
          <w:sz w:val="28"/>
          <w:szCs w:val="28"/>
          <w:rtl w:val="true"/>
          <w:lang w:bidi="fa-IR"/>
        </w:rPr>
        <w:t xml:space="preserve">و العلّامة فی القواعد </w:t>
      </w:r>
      <w:r>
        <w:rPr>
          <w:rStyle w:val="FootnoteAnchor"/>
          <w:rtl w:val="true"/>
        </w:rPr>
        <w:footnoteReference w:id="1442"/>
      </w:r>
      <w:r>
        <w:rPr>
          <w:rFonts w:ascii="IRNazanin" w:hAnsi="IRNazanin" w:eastAsia="IRNazanin"/>
          <w:color w:val="111111"/>
          <w:sz w:val="28"/>
          <w:sz w:val="28"/>
          <w:szCs w:val="28"/>
          <w:rtl w:val="true"/>
          <w:lang w:bidi="fa-IR"/>
        </w:rPr>
        <w:t>عنون المسألة بما کان المراد طعمه أو 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الإنصاف أنّ مطلق العیب إذا التفت إلیه المشتری و شکّ فیه،فلا بدّ فی رفع الغرر من إحراز السلامة عنه إمّا بالاختبار، و إمّا بالوصف،و إمّا بالإطلاق إذا فرض قیامه مقام الوصف إمّا لأجل الانصراف و إمّا لأصالة السلامة،من غیر تفرقة بین العیوب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إمّا من کفایة الإطلاق فی الکلّ؛للأصل و الانصراف،و إمّا من عدم کفایته فی الکلّ؛نظراً إلی أنّه لا یندفع به الغرر إلّا إذا حصل منه الوثوق،حتّی أنّه لو شکّ فی أنّ هذا العبد صحیح أو أنّه أجذم لم یجز البناء علی أصالة السلامة إذا لم یفد الوثوق،بل لا بدّ من الاختبار أو وصف کونه غیر أجذم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و إن کان لا یخلو عن وجه،إلّا أنّه مخالف لما یستفاد من کلماتهم فی غیر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وجوب اختبار غیر ما یراد طعمه أو ریحه من حیث سلامته من العیوب و عدمها</w:t>
      </w:r>
      <w:r>
        <w:rPr>
          <w:rFonts w:eastAsia="IRNazanin" w:cs="IRNazanin"/>
          <w:color w:val="111111"/>
          <w:sz w:val="28"/>
          <w:szCs w:val="28"/>
          <w:rtl w:val="true"/>
          <w:lang w:bidi="fa-IR"/>
        </w:rPr>
        <w:t>.</w:t>
      </w:r>
      <w:bookmarkStart w:id="524" w:name="pg19861_202577"/>
    </w:p>
    <w:p>
      <w:pPr>
        <w:pStyle w:val="Heading4"/>
        <w:numPr>
          <w:ilvl w:val="3"/>
          <w:numId w:val="1"/>
        </w:numPr>
        <w:rPr/>
      </w:pPr>
      <w:bookmarkStart w:id="525" w:name="__RefHeading___Toc5119241_2314609296"/>
      <w:bookmarkStart w:id="526" w:name="_Toc205"/>
      <w:bookmarkEnd w:id="524"/>
      <w:bookmarkEnd w:id="525"/>
      <w:r>
        <w:rPr>
          <w:rtl w:val="true"/>
        </w:rPr>
        <w:t>مسألة یجوز ابتیاع ما یفسده الاختبار من دون اختبار</w:t>
      </w:r>
      <w:bookmarkEnd w:id="526"/>
    </w:p>
    <w:p>
      <w:pPr>
        <w:pStyle w:val="BookText"/>
        <w:rPr/>
      </w:pPr>
      <w:r>
        <w:rPr>
          <w:rFonts w:ascii="IRNazanin" w:hAnsi="IRNazanin" w:eastAsia="IRNazanin"/>
          <w:color w:val="111111"/>
          <w:sz w:val="28"/>
          <w:sz w:val="28"/>
          <w:szCs w:val="28"/>
          <w:rtl w:val="true"/>
          <w:lang w:bidi="fa-IR"/>
        </w:rPr>
        <w:t xml:space="preserve">إجماعاً علی الظاهر،و الأقوی عدم اعتبار اشتراط الصحّة فی العقد و کفایة الاعتماد علی أصالة السلامة کما فیما لا یفسده الاختبار </w:t>
      </w:r>
      <w:r>
        <w:rPr>
          <w:rStyle w:val="FootnoteAnchor"/>
          <w:rtl w:val="true"/>
        </w:rPr>
        <w:footnoteReference w:id="1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خلافاً لظاهر جماعة تقدّم ذکرهم </w:t>
      </w:r>
      <w:r>
        <w:rPr>
          <w:rStyle w:val="FootnoteAnchor"/>
          <w:rtl w:val="true"/>
        </w:rPr>
        <w:footnoteReference w:id="1444"/>
      </w:r>
      <w:r>
        <w:rPr>
          <w:rFonts w:ascii="IRNazanin" w:hAnsi="IRNazanin" w:eastAsia="IRNazanin"/>
          <w:color w:val="111111"/>
          <w:sz w:val="28"/>
          <w:sz w:val="28"/>
          <w:szCs w:val="28"/>
          <w:rtl w:val="true"/>
          <w:lang w:bidi="fa-IR"/>
        </w:rPr>
        <w:t>من اعتبار اشتراط الصحّة أو البراءة من العیوب أو خصوص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تأویل العلّامة فی المختلف لعبارتی المقنعة و النهایة الظاهرتین فی ذلک و إرجاعهما إلی ما أراده من قوله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بیعه بشرط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مع الصحّة یمضی البیع،و لا معها یتخیّر المشتری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عرفت أنّ هذا التأویل مخالف للظاهر،حتّی أنّ قوله فی القواعد</w:t>
      </w:r>
    </w:p>
    <w:p>
      <w:pPr>
        <w:pStyle w:val="BookText"/>
        <w:rPr/>
      </w:pPr>
      <w:r>
        <w:rPr>
          <w:rFonts w:ascii="IRNazanin" w:hAnsi="IRNazanin" w:eastAsia="IRNazanin"/>
          <w:color w:val="111111"/>
          <w:sz w:val="28"/>
          <w:sz w:val="28"/>
          <w:szCs w:val="28"/>
          <w:rtl w:val="true"/>
          <w:lang w:bidi="fa-IR"/>
        </w:rPr>
        <w:t>ظاهرٌ فی اعتبار شرط الصحّة؛و لذا قال 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کما یجوز بیعه بشرط الصحّة یجوز بیعه مطلقاً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کان،فإذا تبیّن فساد المبیع،فإن کان قبل التصرّف فیه بالکسر و نحوه،فإن کان لفاسده قیمة کبیض النعامة و الجوز تخیّر بین الردّ و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بلوغ الفساد إلی حیث لا یعدّ الفاسد من أفراد ذلک الجنس عرفاً کالجوز الأجوف الذی لا یصلح إلّا للإحراق فیحتمل قویّاً بطلان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لفاسده قیمة تبیّن بطلان البیع؛ لوقوعه علی ما لیس بمتموّلٍ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تبیّن الفساد بعد الکسر،ففی الأوّل یتعیّن </w:t>
      </w:r>
      <w:r>
        <w:rPr>
          <w:rStyle w:val="FootnoteAnchor"/>
          <w:rtl w:val="true"/>
        </w:rPr>
        <w:footnoteReference w:id="1447"/>
      </w:r>
      <w:r>
        <w:rPr>
          <w:rFonts w:ascii="IRNazanin" w:hAnsi="IRNazanin" w:eastAsia="IRNazanin"/>
          <w:color w:val="111111"/>
          <w:sz w:val="28"/>
          <w:sz w:val="28"/>
          <w:szCs w:val="28"/>
          <w:rtl w:val="true"/>
          <w:lang w:bidi="fa-IR"/>
        </w:rPr>
        <w:t>الأرش خاصة؛لمکان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المبسوط قولٌ بأنّه لو کان تصرّفه علی قَدَرٍ یستعلم به فساد المبیع لم یسقط الردّ،و </w:t>
      </w:r>
      <w:r>
        <w:rPr>
          <w:rStyle w:val="FootnoteAnchor"/>
          <w:rtl w:val="true"/>
        </w:rPr>
        <w:footnoteReference w:id="1448"/>
      </w:r>
      <w:r>
        <w:rPr>
          <w:rFonts w:ascii="IRNazanin" w:hAnsi="IRNazanin" w:eastAsia="IRNazanin"/>
          <w:color w:val="111111"/>
          <w:sz w:val="28"/>
          <w:sz w:val="28"/>
          <w:szCs w:val="28"/>
          <w:rtl w:val="true"/>
          <w:lang w:bidi="fa-IR"/>
        </w:rPr>
        <w:t>المراد بالأرش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 ما بین صحیحه و فاسده الغیر المکسور؛لأنّ الکسر نقصٌ حصل فی ید المشتری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یعلم ثبوت الأرش أیضاً و لو لم یکن لمکسوره قیمة؛لأنّ العبرة فی التموّل بالفاسد الغیر المکسور،و لا عبرة بخروجه بالکسر عن التموّل</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یبطل البیع فی الثانی أعنی ما لم یکن لفاسده قیمة وفاقاً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للمبسوط </w:t>
      </w:r>
      <w:r>
        <w:rPr>
          <w:rStyle w:val="FootnoteAnchor"/>
          <w:rtl w:val="true"/>
        </w:rPr>
        <w:footnoteReference w:id="1450"/>
      </w:r>
      <w:r>
        <w:rPr>
          <w:rFonts w:ascii="IRNazanin" w:hAnsi="IRNazanin" w:eastAsia="IRNazanin"/>
          <w:color w:val="111111"/>
          <w:sz w:val="28"/>
          <w:sz w:val="28"/>
          <w:szCs w:val="28"/>
          <w:rtl w:val="true"/>
          <w:lang w:bidi="fa-IR"/>
        </w:rPr>
        <w:t xml:space="preserve">و السرائر </w:t>
      </w:r>
      <w:r>
        <w:rPr>
          <w:rStyle w:val="FootnoteAnchor"/>
          <w:rtl w:val="true"/>
        </w:rPr>
        <w:footnoteReference w:id="1451"/>
      </w:r>
      <w:r>
        <w:rPr>
          <w:rFonts w:ascii="IRNazanin" w:hAnsi="IRNazanin" w:eastAsia="IRNazanin"/>
          <w:color w:val="111111"/>
          <w:sz w:val="28"/>
          <w:sz w:val="28"/>
          <w:szCs w:val="28"/>
          <w:rtl w:val="true"/>
          <w:lang w:bidi="fa-IR"/>
        </w:rPr>
        <w:t xml:space="preserve">، </w:t>
      </w:r>
      <w:r>
        <w:rPr>
          <w:rStyle w:val="FootnoteAnchor"/>
          <w:rtl w:val="true"/>
        </w:rPr>
        <w:footnoteReference w:id="1452"/>
      </w:r>
      <w:r>
        <w:rPr>
          <w:rFonts w:ascii="IRNazanin" w:hAnsi="IRNazanin" w:eastAsia="IRNazanin"/>
          <w:color w:val="111111"/>
          <w:sz w:val="28"/>
          <w:sz w:val="28"/>
          <w:szCs w:val="28"/>
          <w:rtl w:val="true"/>
          <w:lang w:bidi="fa-IR"/>
        </w:rPr>
        <w:t xml:space="preserve">و ظاهر من تأخّر عنهما </w:t>
      </w:r>
      <w:r>
        <w:rPr>
          <w:rStyle w:val="FootnoteAnchor"/>
          <w:rtl w:val="true"/>
        </w:rPr>
        <w:footnoteReference w:id="1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ظاهرهم بطلان البیع من رأس،کما صرّح به الشیخ </w:t>
      </w:r>
      <w:r>
        <w:rPr>
          <w:rStyle w:val="FootnoteAnchor"/>
          <w:rtl w:val="true"/>
        </w:rPr>
        <w:footnoteReference w:id="1454"/>
      </w:r>
      <w:r>
        <w:rPr>
          <w:rFonts w:ascii="Amiri" w:hAnsi="Amiri" w:eastAsia="Amiri" w:cs="Amiri"/>
          <w:color w:val="111111"/>
          <w:sz w:val="28"/>
          <w:sz w:val="28"/>
          <w:szCs w:val="28"/>
          <w:rtl w:val="true"/>
          <w:lang w:bidi="ar-SA"/>
        </w:rPr>
        <w:t xml:space="preserve">و الحلّی </w:t>
      </w:r>
      <w:r>
        <w:rPr>
          <w:rStyle w:val="FootnoteAnchor"/>
          <w:rtl w:val="true"/>
        </w:rPr>
        <w:footnoteReference w:id="1455"/>
      </w:r>
      <w:r>
        <w:rPr>
          <w:rFonts w:ascii="IRNazanin" w:hAnsi="IRNazanin" w:eastAsia="IRNazanin"/>
          <w:color w:val="111111"/>
          <w:sz w:val="28"/>
          <w:sz w:val="28"/>
          <w:szCs w:val="28"/>
          <w:rtl w:val="true"/>
          <w:lang w:bidi="fa-IR"/>
        </w:rPr>
        <w:t xml:space="preserve">و العلّامة فی التذکرة </w:t>
      </w:r>
      <w:r>
        <w:rPr>
          <w:rStyle w:val="FootnoteAnchor"/>
          <w:rtl w:val="true"/>
        </w:rPr>
        <w:footnoteReference w:id="1456"/>
      </w:r>
      <w:r>
        <w:rPr>
          <w:rFonts w:ascii="IRNazanin" w:hAnsi="IRNazanin" w:eastAsia="IRNazanin"/>
          <w:color w:val="111111"/>
          <w:sz w:val="28"/>
          <w:sz w:val="28"/>
          <w:szCs w:val="28"/>
          <w:rtl w:val="true"/>
          <w:lang w:bidi="fa-IR"/>
        </w:rPr>
        <w:t>، مستدلّین بوقوعه علی ما لا قیمة له،کالحشرات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صریح جملةٍ ممّن تأخّر عنهم </w:t>
      </w:r>
      <w:r>
        <w:rPr>
          <w:rStyle w:val="FootnoteAnchor"/>
          <w:rtl w:val="true"/>
        </w:rPr>
        <w:footnoteReference w:id="1457"/>
      </w:r>
      <w:r>
        <w:rPr>
          <w:rFonts w:ascii="IRNazanin" w:hAnsi="IRNazanin" w:eastAsia="IRNazanin"/>
          <w:color w:val="111111"/>
          <w:sz w:val="28"/>
          <w:sz w:val="28"/>
          <w:szCs w:val="28"/>
          <w:rtl w:val="true"/>
          <w:lang w:bidi="fa-IR"/>
        </w:rPr>
        <w:t xml:space="preserve">و ظاهر آخرین عدا الشهید فی الدروس؛فإنّ ظاهره انفساخ البیع من حین </w:t>
      </w:r>
      <w:r>
        <w:rPr>
          <w:rStyle w:val="FootnoteAnchor"/>
          <w:rtl w:val="true"/>
        </w:rPr>
        <w:footnoteReference w:id="1458"/>
      </w:r>
      <w:r>
        <w:rPr>
          <w:rFonts w:ascii="IRNazanin" w:hAnsi="IRNazanin" w:eastAsia="IRNazanin"/>
          <w:color w:val="111111"/>
          <w:sz w:val="28"/>
          <w:sz w:val="28"/>
          <w:szCs w:val="28"/>
          <w:rtl w:val="true"/>
          <w:lang w:bidi="fa-IR"/>
        </w:rPr>
        <w:t xml:space="preserve">تبیّن الفساد لا من أصله،و جَعَلَ الثانی احتمالاً و نسبه إلی ظاهر الجماعة </w:t>
      </w:r>
      <w:r>
        <w:rPr>
          <w:rStyle w:val="FootnoteAnchor"/>
          <w:rtl w:val="true"/>
        </w:rPr>
        <w:footnoteReference w:id="1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یعلم وجه ما اختاره؛و لذا نسب فی الروضة خلافه إلی الوضوح </w:t>
      </w:r>
      <w:r>
        <w:rPr>
          <w:rStyle w:val="FootnoteAnchor"/>
          <w:rtl w:val="true"/>
        </w:rPr>
        <w:footnoteReference w:id="1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کذلک؛فإنّ الفاسد الواقعی إن لم یکن من الأموال الواقعیّة کان العقد علیه فاسداً،لأنّ اشتراط تموّل</w:t>
      </w:r>
    </w:p>
    <w:p>
      <w:pPr>
        <w:pStyle w:val="BookText"/>
        <w:rPr/>
      </w:pPr>
      <w:r>
        <w:rPr>
          <w:rFonts w:ascii="IRNazanin" w:hAnsi="IRNazanin" w:eastAsia="IRNazanin"/>
          <w:color w:val="111111"/>
          <w:sz w:val="28"/>
          <w:sz w:val="28"/>
          <w:szCs w:val="28"/>
          <w:rtl w:val="true"/>
          <w:lang w:bidi="fa-IR"/>
        </w:rPr>
        <w:t>العوضین واقعی لا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الأموال الواقعیّة،فإن لم یکن بینه و بین الصحیح تفاوتٌ فی القیمة لم یکن هنا أرشٌ و لا ردٌّ،بل کان البیع لازماً و قد تلف المبیع بعد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بینه و بین الصحیح الواقعی تفاوتٌ،فاللازم هو استرجاع نسبة تفاوت ما بین الصحیح و الفاسد من الثمن لا جمیع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مالٌ واقعیٌّ إلی حین تبیّن الفساد،فإذا سقط عن المالیّة لأمرٍ سابقٍ علی العقد و هو فساده واقعاً کان فی ضمان البائع،فینفسخ </w:t>
      </w:r>
      <w:r>
        <w:rPr>
          <w:rStyle w:val="FootnoteAnchor"/>
          <w:rtl w:val="true"/>
        </w:rPr>
        <w:footnoteReference w:id="1461"/>
      </w:r>
      <w:r>
        <w:rPr>
          <w:rFonts w:ascii="IRNazanin" w:hAnsi="IRNazanin" w:eastAsia="IRNazanin"/>
          <w:color w:val="111111"/>
          <w:sz w:val="28"/>
          <w:sz w:val="28"/>
          <w:szCs w:val="28"/>
          <w:rtl w:val="true"/>
          <w:lang w:bidi="fa-IR"/>
        </w:rPr>
        <w:t>البیع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أن یقال بعدم الانفساخ،فیجوز له الإمضاء فیکون المکسور ملکاً له و إن خرج عن المالیّة بالکسر،و حیث إنّ خروجه عن المالیة لأمرٍ سابق علی العقد کان مضموناً علی البائع،و تدارک هذا العیب أعنی فوات المالیّة لا یکون إلّا بدفع تمام الثمن </w:t>
      </w:r>
      <w:r>
        <w:rPr>
          <w:rStyle w:val="FootnoteAnchor"/>
          <w:rtl w:val="true"/>
        </w:rPr>
        <w:footnoteReference w:id="1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سیجیء ما فیه من مخالفة القواعد و الفتاوی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وضوح کون مالیّته عرفاً و شرعاً من حیث الظاهر،و أمّا </w:t>
      </w:r>
      <w:r>
        <w:rPr>
          <w:rStyle w:val="FootnoteAnchor"/>
          <w:rtl w:val="true"/>
        </w:rPr>
        <w:footnoteReference w:id="1463"/>
      </w:r>
      <w:r>
        <w:rPr>
          <w:rFonts w:ascii="IRNazanin" w:hAnsi="IRNazanin" w:eastAsia="IRNazanin"/>
          <w:color w:val="111111"/>
          <w:sz w:val="28"/>
          <w:sz w:val="28"/>
          <w:szCs w:val="28"/>
          <w:rtl w:val="true"/>
          <w:lang w:bidi="fa-IR"/>
        </w:rPr>
        <w:t>إذا انکشف الفساد حُکم بعدم المالیّة الواقعیّة من أوّل الأمر؛مع أنّه لو کان مالاً واقعاً فالعیب حادثٌ فی ملک المشتری؛فإنّ العلم مخرجٌ له عن المالیّة،لا کاشفٌ،فلیس هذا عیباً مجهولاً،و لو سلّم فهو کالأرمد یعمی بعد الاشتراء و المریض یموت،مع أنّ فوات المالیّة یُعدّ تلفاً،لا عیباً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فائدة الخلاف تظهر فی ترتّب آثار مالکیّة </w:t>
      </w:r>
      <w:r>
        <w:rPr>
          <w:rStyle w:val="FootnoteAnchor"/>
          <w:rtl w:val="true"/>
        </w:rPr>
        <w:footnoteReference w:id="1464"/>
      </w:r>
      <w:r>
        <w:rPr>
          <w:rFonts w:ascii="IRNazanin" w:hAnsi="IRNazanin" w:eastAsia="IRNazanin"/>
          <w:color w:val="111111"/>
          <w:sz w:val="28"/>
          <w:sz w:val="28"/>
          <w:szCs w:val="28"/>
          <w:rtl w:val="true"/>
          <w:lang w:bidi="fa-IR"/>
        </w:rPr>
        <w:t xml:space="preserve">المشتری الثمن </w:t>
      </w:r>
      <w:r>
        <w:rPr>
          <w:rStyle w:val="FootnoteAnchor"/>
          <w:rtl w:val="true"/>
        </w:rPr>
        <w:footnoteReference w:id="1465"/>
      </w:r>
      <w:r>
        <w:rPr>
          <w:rFonts w:ascii="IRNazanin" w:hAnsi="IRNazanin" w:eastAsia="IRNazanin"/>
          <w:color w:val="111111"/>
          <w:sz w:val="28"/>
          <w:sz w:val="28"/>
          <w:szCs w:val="28"/>
          <w:rtl w:val="true"/>
          <w:lang w:bidi="fa-IR"/>
        </w:rPr>
        <w:t xml:space="preserve">إلی </w:t>
      </w:r>
      <w:r>
        <w:rPr>
          <w:rStyle w:val="FootnoteAnchor"/>
          <w:rtl w:val="true"/>
        </w:rPr>
        <w:footnoteReference w:id="1466"/>
      </w:r>
      <w:r>
        <w:rPr>
          <w:rFonts w:ascii="IRNazanin" w:hAnsi="IRNazanin" w:eastAsia="IRNazanin"/>
          <w:color w:val="111111"/>
          <w:sz w:val="28"/>
          <w:sz w:val="28"/>
          <w:szCs w:val="28"/>
          <w:rtl w:val="true"/>
          <w:lang w:bidi="fa-IR"/>
        </w:rPr>
        <w:t>حین تبیّن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الدروس و اللمعة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تظهر فی مئونة نقله عن الموضع الذی اشتراه فیه إلی موضع اختباره </w:t>
      </w:r>
      <w:r>
        <w:rPr>
          <w:rStyle w:val="FootnoteAnchor"/>
          <w:rtl w:val="true"/>
        </w:rPr>
        <w:footnoteReference w:id="1467"/>
      </w:r>
      <w:r>
        <w:rPr>
          <w:rFonts w:ascii="IRNazanin" w:hAnsi="IRNazanin" w:eastAsia="IRNazanin"/>
          <w:color w:val="111111"/>
          <w:sz w:val="28"/>
          <w:sz w:val="28"/>
          <w:szCs w:val="28"/>
          <w:rtl w:val="true"/>
          <w:lang w:bidi="fa-IR"/>
        </w:rPr>
        <w:t>،فعلی الأوّل علی البائع،و علی الثانی علی المشتری؛لوقوعه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یقتضیه النظر أنّه لیس له رجوعٌ علی البائع بها؛لانتفاء المقتضی </w:t>
      </w:r>
      <w:r>
        <w:rPr>
          <w:rStyle w:val="FootnoteAnchor"/>
          <w:rtl w:val="true"/>
        </w:rPr>
        <w:footnoteReference w:id="1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 الشهید الثانی،قال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نقله بغیر أمره،فلا یتّجه الرجوع علیه بها،و کون المشتری هنا کجاهل استحقاق المبیع حیث یرجع </w:t>
      </w:r>
      <w:r>
        <w:rPr>
          <w:rStyle w:val="FootnoteAnchor"/>
          <w:rtl w:val="true"/>
        </w:rPr>
        <w:footnoteReference w:id="1469"/>
      </w:r>
      <w:r>
        <w:rPr>
          <w:rFonts w:ascii="IRNazanin" w:hAnsi="IRNazanin" w:eastAsia="IRNazanin"/>
          <w:color w:val="111111"/>
          <w:sz w:val="28"/>
          <w:sz w:val="28"/>
          <w:szCs w:val="28"/>
          <w:rtl w:val="true"/>
          <w:lang w:bidi="fa-IR"/>
        </w:rPr>
        <w:t xml:space="preserve">بما غرم،إنّما یتّجه مع الغرور،و هو منفیٌّ هنا، لاشتراکهما فی الجهل </w:t>
      </w:r>
      <w:r>
        <w:rPr>
          <w:rStyle w:val="FootnoteAnchor"/>
          <w:rtl w:val="true"/>
        </w:rPr>
        <w:footnoteReference w:id="147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اعتُرض علیه </w:t>
      </w:r>
      <w:r>
        <w:rPr>
          <w:rStyle w:val="FootnoteAnchor"/>
          <w:rtl w:val="true"/>
        </w:rPr>
        <w:footnoteReference w:id="1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الغرور لا یختصّ بصورة علم الغارّ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 قولٌ ثالثٌ نفی عنه البعد بعض الأساطین </w:t>
      </w:r>
      <w:r>
        <w:rPr>
          <w:rStyle w:val="FootnoteAnchor"/>
          <w:rtl w:val="true"/>
        </w:rPr>
        <w:footnoteReference w:id="1472"/>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علی البائع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 علی تقدیر الفسخ من حین تبیّن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مئونة النقل من موضع الاشتراء إلی موضع 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مئونة نقله من موضع الکسر لو وجب تفریغه منه لمطالبة مالکه أو لکونه مسجداً أو مشهداً فإن کان المکسور مع عدم تموّله ملکاً نظیر حبّة الحنطة،فالظاهر أنّه علی البائع علی التقدیرین؛لأنّه بعد الفسخ ملکه،و أمّا لو لم یکن قابلاً للتملّک،فلا یبعد مؤاخذة المشتری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رجوعه علی البائع ما تقدّم فی مئونة نقله إلی موضع 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المحکیّ فی الدروس عن الشیخ و أتباعه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تبرّأ البائع من العیب فیما لا قیمة لمکسوره صحّ </w:t>
      </w:r>
      <w:r>
        <w:rPr>
          <w:rStyle w:val="FootnoteAnchor"/>
          <w:rtl w:val="true"/>
        </w:rPr>
        <w:footnoteReference w:id="14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أکل مال بالباطل </w:t>
      </w:r>
      <w:r>
        <w:rPr>
          <w:rStyle w:val="FootnoteAnchor"/>
          <w:rtl w:val="true"/>
        </w:rPr>
        <w:footnoteReference w:id="1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الشهید و المحقّق الثانیان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تصدّی بعض لتوجیه صحّة اشتراط البراءة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بطلان البیع و إن استحقّ المشتری مجموع الثمن من باب الأرش المستوعب،فإنّ الأرش غرامة أوجبها الشارع بسبب العیب،لا أنّه جزءٌ من الثمن استحقّ بسبب فوات ما قابلة من المثمن،و لذا یسقط بالإسقاط،و لا یتعیّن علی البائع الإعطاء من نفس الثمن،و یسقط </w:t>
      </w:r>
      <w:r>
        <w:rPr>
          <w:rStyle w:val="FootnoteAnchor"/>
          <w:rtl w:val="true"/>
        </w:rPr>
        <w:footnoteReference w:id="1476"/>
      </w:r>
      <w:r>
        <w:rPr>
          <w:rFonts w:ascii="IRNazanin" w:hAnsi="IRNazanin" w:eastAsia="IRNazanin"/>
          <w:color w:val="111111"/>
          <w:sz w:val="28"/>
          <w:sz w:val="28"/>
          <w:szCs w:val="28"/>
          <w:rtl w:val="true"/>
          <w:lang w:bidi="fa-IR"/>
        </w:rPr>
        <w:t>بالتبرّی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هذا کاشتراط عدم المبیع فی عقد البیع؛إذ المثمن متحقّق </w:t>
      </w:r>
      <w:r>
        <w:rPr>
          <w:rStyle w:val="FootnoteAnchor"/>
          <w:rtl w:val="true"/>
        </w:rPr>
        <w:footnoteReference w:id="1477"/>
      </w:r>
      <w:r>
        <w:rPr>
          <w:rFonts w:ascii="IRNazanin" w:hAnsi="IRNazanin" w:eastAsia="IRNazanin"/>
          <w:color w:val="111111"/>
          <w:sz w:val="28"/>
          <w:sz w:val="28"/>
          <w:szCs w:val="28"/>
          <w:rtl w:val="true"/>
          <w:lang w:bidi="fa-IR"/>
        </w:rPr>
        <w:t>علی حسب معاملة العقلاء،و لم یعلم اعتبار أزید من ذلک فی</w:t>
      </w:r>
    </w:p>
    <w:p>
      <w:pPr>
        <w:pStyle w:val="BookText"/>
        <w:rPr/>
      </w:pPr>
      <w:r>
        <w:rPr>
          <w:rFonts w:ascii="IRNazanin" w:hAnsi="IRNazanin" w:eastAsia="IRNazanin"/>
          <w:color w:val="111111"/>
          <w:sz w:val="28"/>
          <w:sz w:val="28"/>
          <w:szCs w:val="28"/>
          <w:rtl w:val="true"/>
          <w:lang w:bidi="fa-IR"/>
        </w:rPr>
        <w:t>صحّة البیع،فمع فرض رضاه بذلک یکون قادماً علی بذل ماله علی هذا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لم یشترط استحقّ الرجوع بالأرش المستوعب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لذا لم یعبّروا بالبطلان و إن ذکر المحقّق و غیره الرجوع بالثمن و فهم منه جماعةٌ بطلان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لکنّه قد یمنع بعدم خروجه عن المالیّة و إن لم یکن له قیمةٌ،و هو أعمّ من بطلان البیع </w:t>
      </w:r>
      <w:r>
        <w:rPr>
          <w:rStyle w:val="FootnoteAnchor"/>
          <w:rtl w:val="true"/>
        </w:rPr>
        <w:footnoteReference w:id="1478"/>
      </w:r>
      <w:r>
        <w:rPr>
          <w:rFonts w:ascii="IRNazanin" w:hAnsi="IRNazanin" w:eastAsia="IRNazanin"/>
          <w:color w:val="111111"/>
          <w:sz w:val="28"/>
          <w:sz w:val="28"/>
          <w:szCs w:val="28"/>
          <w:rtl w:val="true"/>
          <w:lang w:bidi="fa-IR"/>
        </w:rPr>
        <w:t xml:space="preserve">،انتهی محصّله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فیه مواقع النظر </w:t>
      </w:r>
      <w:r>
        <w:rPr>
          <w:rStyle w:val="FootnoteAnchor"/>
          <w:rtl w:val="true"/>
        </w:rPr>
        <w:footnoteReference w:id="1480"/>
      </w:r>
      <w:r>
        <w:rPr>
          <w:rFonts w:ascii="IRNazanin" w:hAnsi="IRNazanin" w:eastAsia="IRNazanin"/>
          <w:color w:val="111111"/>
          <w:sz w:val="28"/>
          <w:sz w:val="28"/>
          <w:szCs w:val="28"/>
          <w:rtl w:val="true"/>
          <w:lang w:bidi="fa-IR"/>
        </w:rPr>
        <w:t xml:space="preserve">فإنّ المتعرّضین للمسألة بین مصرّحٍ ببطلان البیع کالشیخ فی المبسوط </w:t>
      </w:r>
      <w:r>
        <w:rPr>
          <w:rStyle w:val="FootnoteAnchor"/>
          <w:rtl w:val="true"/>
        </w:rPr>
        <w:footnoteReference w:id="1481"/>
      </w:r>
      <w:r>
        <w:rPr>
          <w:rFonts w:ascii="IRNazanin" w:hAnsi="IRNazanin" w:eastAsia="IRNazanin"/>
          <w:color w:val="111111"/>
          <w:sz w:val="28"/>
          <w:sz w:val="28"/>
          <w:szCs w:val="28"/>
          <w:rtl w:val="true"/>
          <w:lang w:bidi="fa-IR"/>
        </w:rPr>
        <w:t xml:space="preserve">،و الحلّی فی السرائر </w:t>
      </w:r>
      <w:r>
        <w:rPr>
          <w:rStyle w:val="FootnoteAnchor"/>
          <w:rtl w:val="true"/>
        </w:rPr>
        <w:footnoteReference w:id="1482"/>
      </w:r>
      <w:r>
        <w:rPr>
          <w:rFonts w:ascii="IRNazanin" w:hAnsi="IRNazanin" w:eastAsia="IRNazanin"/>
          <w:color w:val="111111"/>
          <w:sz w:val="28"/>
          <w:sz w:val="28"/>
          <w:szCs w:val="28"/>
          <w:rtl w:val="true"/>
          <w:lang w:bidi="fa-IR"/>
        </w:rPr>
        <w:t xml:space="preserve">،و العلّامة فی التذکرة </w:t>
      </w:r>
      <w:r>
        <w:rPr>
          <w:rStyle w:val="FootnoteAnchor"/>
          <w:rtl w:val="true"/>
        </w:rPr>
        <w:footnoteReference w:id="1483"/>
      </w:r>
      <w:r>
        <w:rPr>
          <w:rFonts w:ascii="IRNazanin" w:hAnsi="IRNazanin" w:eastAsia="IRNazanin"/>
          <w:color w:val="111111"/>
          <w:sz w:val="28"/>
          <w:sz w:val="28"/>
          <w:szCs w:val="28"/>
          <w:rtl w:val="true"/>
          <w:lang w:bidi="fa-IR"/>
        </w:rPr>
        <w:t xml:space="preserve">معلّلین ذلک بأنّه لا یجوز بیع ما لا قیمة له و بین من صرّح برجوع المشتری بتمام الثمن،الظاهر فی البطلان </w:t>
      </w:r>
      <w:r>
        <w:rPr>
          <w:rStyle w:val="FootnoteAnchor"/>
          <w:rtl w:val="true"/>
        </w:rPr>
        <w:footnoteReference w:id="1484"/>
      </w:r>
      <w:r>
        <w:rPr>
          <w:rFonts w:ascii="IRNazanin" w:hAnsi="IRNazanin" w:eastAsia="IRNazanin"/>
          <w:color w:val="111111"/>
          <w:sz w:val="28"/>
          <w:sz w:val="28"/>
          <w:szCs w:val="28"/>
          <w:rtl w:val="true"/>
          <w:lang w:bidi="fa-IR"/>
        </w:rPr>
        <w:t>،فإنّ الرجوع بعین الثمن لا یعقل من دون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یکفی فی ذلک ما تقدّم </w:t>
      </w:r>
      <w:r>
        <w:rPr>
          <w:rStyle w:val="FootnoteAnchor"/>
          <w:rtl w:val="true"/>
        </w:rPr>
        <w:footnoteReference w:id="1485"/>
      </w:r>
      <w:r>
        <w:rPr>
          <w:rFonts w:ascii="IRNazanin" w:hAnsi="IRNazanin" w:eastAsia="IRNazanin"/>
          <w:color w:val="111111"/>
          <w:sz w:val="28"/>
          <w:sz w:val="28"/>
          <w:szCs w:val="28"/>
          <w:rtl w:val="true"/>
          <w:lang w:bidi="fa-IR"/>
        </w:rPr>
        <w:t>من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ظاهر الجماعة البطلان من أوّل الأمر،و اختیاره </w:t>
      </w:r>
      <w:r>
        <w:rPr>
          <w:rStyle w:val="FootnoteAnchor"/>
          <w:rtl w:val="true"/>
        </w:rPr>
        <w:footnoteReference w:id="1486"/>
      </w:r>
      <w:r>
        <w:rPr>
          <w:rFonts w:ascii="Amiri" w:hAnsi="Amiri" w:eastAsia="Amiri" w:cs="Amiri"/>
          <w:color w:val="111111"/>
          <w:sz w:val="28"/>
          <w:sz w:val="28"/>
          <w:szCs w:val="28"/>
          <w:rtl w:val="true"/>
          <w:lang w:bidi="ar-SA"/>
        </w:rPr>
        <w:t>قدّس سرّه</w:t>
      </w:r>
    </w:p>
    <w:p>
      <w:pPr>
        <w:pStyle w:val="BookText"/>
        <w:rPr/>
      </w:pPr>
      <w:r>
        <w:rPr>
          <w:rFonts w:ascii="IRNazanin" w:hAnsi="IRNazanin" w:eastAsia="IRNazanin"/>
          <w:color w:val="111111"/>
          <w:sz w:val="28"/>
          <w:sz w:val="28"/>
          <w:szCs w:val="28"/>
          <w:rtl w:val="true"/>
          <w:lang w:bidi="fa-IR"/>
        </w:rPr>
        <w:t xml:space="preserve">الانفساخ من حیث تبیّن الفساد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فعلم أن لا قول بالصحّة مع الأرش،بل ظاهر العلّامة رحمه اللّٰه فی التذکرة عدم هذا القول بین المسلمین،حیث إنّه بعد حکمه بفساد البیع،معلّلاً بوقوع العقد علی ما لا قیمة له،و حکایة ذلک عن بعض الشافعیّة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 بفساد البیع لا لهذه العلّة،بل لأنّ الردّ ثبت علی سبیل استدراک الظلامة،و کما یرجع بجزءٍ من الثمن عند انتقاص جزءٍ من المبیع،کذلک یرجع بکلّ الثمن عند فوات کلّ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فائدة الخلاف فی أنّ القشور الباقیة بمن تختصّ حتّی یجب علیه تطهیر الموضع عنها </w:t>
      </w:r>
      <w:r>
        <w:rPr>
          <w:rStyle w:val="FootnoteAnchor"/>
          <w:rtl w:val="true"/>
        </w:rPr>
        <w:footnoteReference w:id="148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هذا،مع أنّه لا مجال للتأمّل فی البطلان؛بناءً علی ما ذکرنا من القطع بأنّ الحکم بمالیّة المبیع هنا شرعاً و عرفاً حکمٌ ظاهریٌّ،و تموّل العوضین واقعاً شرطٌ واقعیٌّ لا علمیٌّ؛و لذا لم یتأمّل ذو مُسْکةٍ فی بطلان بیع من بان حرّا أو </w:t>
      </w:r>
      <w:r>
        <w:rPr>
          <w:rStyle w:val="FootnoteAnchor"/>
          <w:rtl w:val="true"/>
        </w:rPr>
        <w:footnoteReference w:id="1489"/>
      </w:r>
      <w:r>
        <w:rPr>
          <w:rFonts w:ascii="IRNazanin" w:hAnsi="IRNazanin" w:eastAsia="IRNazanin"/>
          <w:color w:val="111111"/>
          <w:sz w:val="28"/>
          <w:sz w:val="28"/>
          <w:szCs w:val="28"/>
          <w:rtl w:val="true"/>
          <w:lang w:bidi="fa-IR"/>
        </w:rPr>
        <w:t>ما بان خمراً،و غیر ذلک؛إذ انکشاف فقد العوض مشترکٌ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الجمع بین عدم خروجه عن المالیّة،و بین عدم القیمة لمکسوره ممّا لم یُفهم؛فلعلّه أراد الملکیّة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الأرش المستوعب للثمن لا یخلو تصوّره عن إشکالٍ،لأنّ الأرش کما صرّحوا به تفاوت ما بین قیمتی الصحیح</w:t>
      </w:r>
    </w:p>
    <w:p>
      <w:pPr>
        <w:pStyle w:val="BookText"/>
        <w:rPr/>
      </w:pPr>
      <w:r>
        <w:rPr>
          <w:rFonts w:ascii="IRNazanin" w:hAnsi="IRNazanin" w:eastAsia="IRNazanin"/>
          <w:color w:val="111111"/>
          <w:sz w:val="28"/>
          <w:sz w:val="28"/>
          <w:szCs w:val="28"/>
          <w:rtl w:val="true"/>
          <w:lang w:bidi="fa-IR"/>
        </w:rPr>
        <w:t xml:space="preserve">و المعیب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نعم،ذکر العلّامة فی التذکرة </w:t>
      </w:r>
      <w:r>
        <w:rPr>
          <w:rStyle w:val="FootnoteAnchor"/>
          <w:rtl w:val="true"/>
        </w:rPr>
        <w:footnoteReference w:id="1491"/>
      </w:r>
      <w:r>
        <w:rPr>
          <w:rFonts w:ascii="IRNazanin" w:hAnsi="IRNazanin" w:eastAsia="IRNazanin"/>
          <w:color w:val="111111"/>
          <w:sz w:val="28"/>
          <w:sz w:val="28"/>
          <w:szCs w:val="28"/>
          <w:rtl w:val="true"/>
          <w:lang w:bidi="fa-IR"/>
        </w:rPr>
        <w:t xml:space="preserve">و التحریر </w:t>
      </w:r>
      <w:r>
        <w:rPr>
          <w:rStyle w:val="FootnoteAnchor"/>
          <w:rtl w:val="true"/>
        </w:rPr>
        <w:footnoteReference w:id="1492"/>
      </w:r>
      <w:r>
        <w:rPr>
          <w:rFonts w:ascii="IRNazanin" w:hAnsi="IRNazanin" w:eastAsia="IRNazanin"/>
          <w:color w:val="111111"/>
          <w:sz w:val="28"/>
          <w:sz w:val="28"/>
          <w:szCs w:val="28"/>
          <w:rtl w:val="true"/>
          <w:lang w:bidi="fa-IR"/>
        </w:rPr>
        <w:t xml:space="preserve">و القواعد </w:t>
      </w:r>
      <w:r>
        <w:rPr>
          <w:rStyle w:val="FootnoteAnchor"/>
          <w:rtl w:val="true"/>
        </w:rPr>
        <w:footnoteReference w:id="1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المشتری للعبد الجانی عمداً،یتخیّر مع الجهل بین الفسخ فیستردّ الثمن، أو </w:t>
      </w:r>
      <w:r>
        <w:rPr>
          <w:rStyle w:val="FootnoteAnchor"/>
          <w:rtl w:val="true"/>
        </w:rPr>
        <w:footnoteReference w:id="1494"/>
      </w:r>
      <w:r>
        <w:rPr>
          <w:rFonts w:ascii="IRNazanin" w:hAnsi="IRNazanin" w:eastAsia="IRNazanin"/>
          <w:color w:val="111111"/>
          <w:sz w:val="28"/>
          <w:sz w:val="28"/>
          <w:szCs w:val="28"/>
          <w:rtl w:val="true"/>
          <w:lang w:bidi="fa-IR"/>
        </w:rPr>
        <w:t xml:space="preserve">طلب الأرش،فإن استوعب الجنایة القیمة کان الأرش جمیع الثمن أیضاً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تصدّی جامع المقاصد لتوجیه عبارة القواعد فی هذا المقام بما لا یخلو عن بُعد،فراجع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کان،فلا أجد وجهاً لما ذکره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أضعف من ذلک ما ذکره بعض آخر </w:t>
      </w:r>
      <w:r>
        <w:rPr>
          <w:rStyle w:val="FootnoteAnchor"/>
          <w:rtl w:val="true"/>
        </w:rPr>
        <w:footnoteReference w:id="1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منع حکم الشیخ و أتباعه </w:t>
      </w:r>
      <w:r>
        <w:rPr>
          <w:rStyle w:val="FootnoteAnchor"/>
          <w:rtl w:val="true"/>
        </w:rPr>
        <w:footnoteReference w:id="1498"/>
      </w:r>
      <w:r>
        <w:rPr>
          <w:rFonts w:ascii="IRNazanin" w:hAnsi="IRNazanin" w:eastAsia="IRNazanin"/>
          <w:color w:val="111111"/>
          <w:sz w:val="28"/>
          <w:sz w:val="28"/>
          <w:szCs w:val="28"/>
          <w:rtl w:val="true"/>
          <w:lang w:bidi="fa-IR"/>
        </w:rPr>
        <w:t xml:space="preserve">بصحّة البیع،و </w:t>
      </w:r>
      <w:r>
        <w:rPr>
          <w:rStyle w:val="FootnoteAnchor"/>
          <w:rtl w:val="true"/>
        </w:rPr>
        <w:footnoteReference w:id="1499"/>
      </w:r>
      <w:r>
        <w:rPr>
          <w:rFonts w:ascii="IRNazanin" w:hAnsi="IRNazanin" w:eastAsia="IRNazanin"/>
          <w:color w:val="111111"/>
          <w:sz w:val="28"/>
          <w:sz w:val="28"/>
          <w:szCs w:val="28"/>
          <w:rtl w:val="true"/>
          <w:lang w:bidi="fa-IR"/>
        </w:rPr>
        <w:t>اشتراط البائع علی المشتری البراءة من</w:t>
      </w:r>
    </w:p>
    <w:p>
      <w:pPr>
        <w:pStyle w:val="BookText"/>
        <w:rPr/>
      </w:pPr>
      <w:r>
        <w:rPr>
          <w:rFonts w:ascii="IRNazanin" w:hAnsi="IRNazanin" w:eastAsia="IRNazanin"/>
          <w:color w:val="111111"/>
          <w:sz w:val="28"/>
          <w:sz w:val="28"/>
          <w:szCs w:val="28"/>
          <w:rtl w:val="true"/>
          <w:lang w:bidi="fa-IR"/>
        </w:rPr>
        <w:t xml:space="preserve">العیوب </w:t>
      </w:r>
      <w:r>
        <w:rPr>
          <w:rStyle w:val="FootnoteAnchor"/>
          <w:rtl w:val="true"/>
        </w:rPr>
        <w:footnoteReference w:id="1500"/>
      </w:r>
      <w:r>
        <w:rPr>
          <w:rFonts w:ascii="IRNazanin" w:hAnsi="IRNazanin" w:eastAsia="IRNazanin"/>
          <w:color w:val="111111"/>
          <w:sz w:val="28"/>
          <w:sz w:val="28"/>
          <w:szCs w:val="28"/>
          <w:rtl w:val="true"/>
          <w:lang w:bidi="fa-IR"/>
        </w:rPr>
        <w:t>،و 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اشتراط البراءة فی کلامهم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المشتری علی البائع البراءة من العیوب،فیکون مرادفاً لاشتراط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خبیر بفساد ذلک بعد ملاحظة عبارة الشیخ و الأتباع، فإنّ کلامهم ظاهر أو صریح فی أنّ المراد براءة البائع من العیوب،لا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نعم،لم أجد فی کلام الشیخین و المحکیّ عن غیرهما تعرّضٌ لذکر هذا الشرط فی خصوص ما لا قیمة لمکسوره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ربما یستشکل فی جواز اشتراط البراءة من العیوب الغیر المخرجة عن المالیّة أیضاً بلزوم الغرر،فإنّ بیع ما لا یعلم صحّته و فساده لا یجوز إلّا بناءً علی أصالة الصحّة،فإذا اشترط </w:t>
      </w:r>
      <w:r>
        <w:rPr>
          <w:rStyle w:val="FootnoteAnchor"/>
          <w:rtl w:val="true"/>
        </w:rPr>
        <w:footnoteReference w:id="1501"/>
      </w:r>
      <w:r>
        <w:rPr>
          <w:rFonts w:ascii="IRNazanin" w:hAnsi="IRNazanin" w:eastAsia="IRNazanin"/>
          <w:color w:val="111111"/>
          <w:sz w:val="28"/>
          <w:sz w:val="28"/>
          <w:szCs w:val="28"/>
          <w:rtl w:val="true"/>
          <w:lang w:bidi="fa-IR"/>
        </w:rPr>
        <w:t>البراءة کان بمنزلة البیع من غیر اعتدادٍ بوجود العیوب و عدمها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صرّح العلّامة و جماعة بفساد العقد لو اشترط سقوط خیار الرؤیة فی العین الغائبة </w:t>
      </w:r>
      <w:r>
        <w:rPr>
          <w:rStyle w:val="FootnoteAnchor"/>
          <w:rtl w:val="true"/>
        </w:rPr>
        <w:footnoteReference w:id="1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 توضیحه فی باب الخیارات إن شاء اللّٰه تعالی</w:t>
      </w:r>
      <w:r>
        <w:rPr>
          <w:rFonts w:eastAsia="IRNazanin" w:cs="IRNazanin"/>
          <w:color w:val="111111"/>
          <w:sz w:val="28"/>
          <w:szCs w:val="28"/>
          <w:rtl w:val="true"/>
          <w:lang w:bidi="fa-IR"/>
        </w:rPr>
        <w:t>.</w:t>
      </w:r>
      <w:bookmarkStart w:id="527" w:name="pg19861_202587"/>
    </w:p>
    <w:p>
      <w:pPr>
        <w:pStyle w:val="Heading4"/>
        <w:numPr>
          <w:ilvl w:val="3"/>
          <w:numId w:val="1"/>
        </w:numPr>
        <w:rPr/>
      </w:pPr>
      <w:bookmarkStart w:id="528" w:name="__RefHeading___Toc5119243_2314609296"/>
      <w:bookmarkStart w:id="529" w:name="_Toc206"/>
      <w:bookmarkEnd w:id="527"/>
      <w:bookmarkEnd w:id="528"/>
      <w:r>
        <w:rPr>
          <w:rtl w:val="true"/>
        </w:rPr>
        <w:t>مسألة المشهور من غیر خلاف یذکر جواز بیع المسک فی فأره</w:t>
      </w:r>
      <w:r>
        <w:rPr>
          <w:rtl w:val="true"/>
        </w:rPr>
        <w:t>.</w:t>
      </w:r>
      <w:bookmarkEnd w:id="529"/>
    </w:p>
    <w:p>
      <w:pPr>
        <w:pStyle w:val="BookText"/>
        <w:rPr/>
      </w:pPr>
      <w:r>
        <w:rPr>
          <w:rFonts w:ascii="IRNazanin" w:hAnsi="IRNazanin" w:eastAsia="IRNazanin"/>
          <w:color w:val="111111"/>
          <w:sz w:val="28"/>
          <w:sz w:val="28"/>
          <w:szCs w:val="28"/>
          <w:rtl w:val="true"/>
          <w:lang w:bidi="fa-IR"/>
        </w:rPr>
        <w:t>و الفأر بالهمزة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فأرة،کتمر و تمرة </w:t>
      </w:r>
      <w:r>
        <w:rPr>
          <w:rStyle w:val="FootnoteAnchor"/>
          <w:rtl w:val="true"/>
        </w:rPr>
        <w:footnoteReference w:id="1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 لا یهمز تخفیفاً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مستند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العمومات الغیر المزاحمة بما یصلح للتخصیص،عدا توهّم النجاسة المندفع فی باب النجاسات بالنصّ </w:t>
      </w:r>
      <w:r>
        <w:rPr>
          <w:rStyle w:val="FootnoteAnchor"/>
          <w:rtl w:val="true"/>
        </w:rPr>
        <w:footnoteReference w:id="1505"/>
      </w:r>
      <w:r>
        <w:rPr>
          <w:rFonts w:ascii="IRNazanin" w:hAnsi="IRNazanin" w:eastAsia="IRNazanin"/>
          <w:color w:val="111111"/>
          <w:sz w:val="28"/>
          <w:sz w:val="28"/>
          <w:szCs w:val="28"/>
          <w:rtl w:val="true"/>
          <w:lang w:bidi="fa-IR"/>
        </w:rPr>
        <w:t xml:space="preserve">و الإجماع </w:t>
      </w:r>
      <w:r>
        <w:rPr>
          <w:rStyle w:val="FootnoteAnchor"/>
          <w:rtl w:val="true"/>
        </w:rPr>
        <w:footnoteReference w:id="1506"/>
      </w:r>
      <w:r>
        <w:rPr>
          <w:rFonts w:ascii="Amiri" w:hAnsi="Amiri" w:eastAsia="Amiri" w:cs="Amiri"/>
          <w:color w:val="111111"/>
          <w:sz w:val="28"/>
          <w:sz w:val="28"/>
          <w:szCs w:val="28"/>
          <w:rtl w:val="true"/>
          <w:lang w:bidi="ar-SA"/>
        </w:rPr>
        <w:t xml:space="preserve">،أو توهّم جهالته؛ بناءً علی ما تقدّم </w:t>
      </w:r>
      <w:r>
        <w:rPr>
          <w:rStyle w:val="FootnoteAnchor"/>
          <w:rtl w:val="true"/>
        </w:rPr>
        <w:footnoteReference w:id="1507"/>
      </w:r>
      <w:r>
        <w:rPr>
          <w:rFonts w:ascii="IRNazanin" w:hAnsi="IRNazanin" w:eastAsia="IRNazanin"/>
          <w:color w:val="111111"/>
          <w:sz w:val="28"/>
          <w:sz w:val="28"/>
          <w:szCs w:val="28"/>
          <w:rtl w:val="true"/>
          <w:lang w:bidi="fa-IR"/>
        </w:rPr>
        <w:t xml:space="preserve">من احتمال عدم العبرة بأصالة الصحّة فی دفع </w:t>
      </w:r>
      <w:r>
        <w:rPr>
          <w:rStyle w:val="FootnoteAnchor"/>
          <w:rtl w:val="true"/>
        </w:rPr>
        <w:footnoteReference w:id="1508"/>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یندفع بما تقدّم </w:t>
      </w:r>
      <w:r>
        <w:rPr>
          <w:rStyle w:val="FootnoteAnchor"/>
          <w:rtl w:val="true"/>
        </w:rPr>
        <w:footnoteReference w:id="1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بناء العرف علی الأصل فی نفی الفساد،و بناء الأصحاب علی عدم التزام الاختبار فی الأوصاف التی تدور معها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خبیر بأنّ هذا کلّه حسنٌ لدفع الغرر الحاصل من احتمال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الغرر من جهة تفاوت أفراد الصحیح الذی لا یعلم إلّا بالاختبار،فلا رافع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نعم،قد روی فی التذکرة مرسلاً عن الصادق علیه السلام جواز بیعه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لم یعلم </w:t>
      </w:r>
      <w:r>
        <w:rPr>
          <w:rStyle w:val="FootnoteAnchor"/>
          <w:rtl w:val="true"/>
        </w:rPr>
        <w:footnoteReference w:id="1511"/>
      </w:r>
      <w:r>
        <w:rPr>
          <w:rFonts w:ascii="IRNazanin" w:hAnsi="IRNazanin" w:eastAsia="IRNazanin"/>
          <w:color w:val="111111"/>
          <w:sz w:val="28"/>
          <w:sz w:val="28"/>
          <w:szCs w:val="28"/>
          <w:rtl w:val="true"/>
          <w:lang w:bidi="fa-IR"/>
        </w:rPr>
        <w:t>إرادة ما فی الفأرة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کان،فإذا فرض أنّه لیس له أوصاف خارجیّة یعرف بها الوصف الذی له دخلٌ فی القیمة،فالأحوط ما ذکروه من فتقه بإدخال خیطٍ فیها بإبرةٍ،ثمّ إخراجه و شمّه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لو شمّه و لم یرضَ به </w:t>
      </w:r>
      <w:r>
        <w:rPr>
          <w:rStyle w:val="FootnoteAnchor"/>
          <w:rtl w:val="true"/>
        </w:rPr>
        <w:footnoteReference w:id="1513"/>
      </w:r>
      <w:r>
        <w:rPr>
          <w:rFonts w:ascii="IRNazanin" w:hAnsi="IRNazanin" w:eastAsia="IRNazanin"/>
          <w:color w:val="111111"/>
          <w:sz w:val="28"/>
          <w:sz w:val="28"/>
          <w:szCs w:val="28"/>
          <w:rtl w:val="true"/>
          <w:lang w:bidi="fa-IR"/>
        </w:rPr>
        <w:t xml:space="preserve">فهل یضمن هذا النقص الداخل علیه من جهة الفتق لو فرض حصوله فیه و لو بکونه جزءاً أخیراً لسبب </w:t>
      </w:r>
      <w:r>
        <w:rPr>
          <w:rStyle w:val="FootnoteAnchor"/>
          <w:rtl w:val="true"/>
        </w:rPr>
        <w:footnoteReference w:id="1514"/>
      </w:r>
      <w:r>
        <w:rPr>
          <w:rFonts w:ascii="IRNazanin" w:hAnsi="IRNazanin" w:eastAsia="IRNazanin"/>
          <w:color w:val="111111"/>
          <w:sz w:val="28"/>
          <w:sz w:val="28"/>
          <w:szCs w:val="28"/>
          <w:rtl w:val="true"/>
          <w:lang w:bidi="fa-IR"/>
        </w:rPr>
        <w:t>النقص،بأن فتق قبله بإدخال الخیط و الإبرة مراراً؟وجهٌ مبنیٌّ علی ضمان النقص فی المقبوض بالسوم،فالأولی أن یباشر البائع ذلک فیشمّ المشتری الخیط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الظاهر من العلّامة عدم جواز بیع اللؤلؤ فی الصدف </w:t>
      </w:r>
      <w:r>
        <w:rPr>
          <w:rStyle w:val="FootnoteAnchor"/>
          <w:rtl w:val="true"/>
        </w:rPr>
        <w:footnoteReference w:id="1515"/>
      </w:r>
      <w:r>
        <w:rPr>
          <w:rFonts w:ascii="IRNazanin" w:hAnsi="IRNazanin" w:eastAsia="IRNazanin"/>
          <w:color w:val="111111"/>
          <w:sz w:val="28"/>
          <w:sz w:val="28"/>
          <w:szCs w:val="28"/>
          <w:rtl w:val="true"/>
          <w:lang w:bidi="fa-IR"/>
        </w:rPr>
        <w:t>،و هو کذلک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صرّح بعدم جواز بیع البیض فی بطن الدجاج للجهالة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هو حسنٌ إذا لم یعرف لذلک الدجاج فردٌ معتادٌ من البیض من حیث الکبر و الصغر</w:t>
      </w:r>
      <w:r>
        <w:rPr>
          <w:rFonts w:eastAsia="IRNazanin" w:cs="IRNazanin"/>
          <w:color w:val="111111"/>
          <w:sz w:val="28"/>
          <w:szCs w:val="28"/>
          <w:rtl w:val="true"/>
          <w:lang w:bidi="fa-IR"/>
        </w:rPr>
        <w:t>.</w:t>
      </w:r>
      <w:bookmarkStart w:id="530" w:name="pg19861_202589"/>
    </w:p>
    <w:p>
      <w:pPr>
        <w:pStyle w:val="Heading4"/>
        <w:numPr>
          <w:ilvl w:val="3"/>
          <w:numId w:val="1"/>
        </w:numPr>
        <w:rPr/>
      </w:pPr>
      <w:bookmarkStart w:id="531" w:name="__RefHeading___Toc5119245_2314609296"/>
      <w:bookmarkStart w:id="532" w:name="_Toc207"/>
      <w:bookmarkEnd w:id="530"/>
      <w:bookmarkEnd w:id="531"/>
      <w:r>
        <w:rPr>
          <w:rtl w:val="true"/>
        </w:rPr>
        <w:t>مسألة لا فرق فی عدم جواز بیع المجهول بین ضمّ معلومٍ إلیه و عدمه؛</w:t>
      </w:r>
      <w:bookmarkEnd w:id="532"/>
    </w:p>
    <w:p>
      <w:pPr>
        <w:pStyle w:val="BookText"/>
        <w:rPr/>
      </w:pPr>
      <w:r>
        <w:rPr>
          <w:rFonts w:ascii="IRNazanin" w:hAnsi="IRNazanin" w:eastAsia="IRNazanin"/>
          <w:color w:val="111111"/>
          <w:sz w:val="28"/>
          <w:sz w:val="28"/>
          <w:szCs w:val="28"/>
          <w:rtl w:val="true"/>
          <w:lang w:bidi="fa-IR"/>
        </w:rPr>
        <w:t xml:space="preserve">لأنّ ضمّ المعلوم إلیه لا یخرجه عن الجهالة فیکون المجموع مجهولاً؛إذ لا یُعنی </w:t>
      </w:r>
      <w:r>
        <w:rPr>
          <w:rStyle w:val="FootnoteAnchor"/>
          <w:rtl w:val="true"/>
        </w:rPr>
        <w:footnoteReference w:id="1516"/>
      </w:r>
      <w:r>
        <w:rPr>
          <w:rFonts w:ascii="Amiri" w:hAnsi="Amiri" w:eastAsia="Amiri" w:cs="Amiri"/>
          <w:color w:val="111111"/>
          <w:sz w:val="28"/>
          <w:sz w:val="28"/>
          <w:szCs w:val="28"/>
          <w:rtl w:val="true"/>
          <w:lang w:bidi="ar-SA"/>
        </w:rPr>
        <w:t>بالمجهول ما کان کلّ جزءٍ جزءٍ منه مجهولاً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یتفرّع علی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لا یجوز بیع سمک الآجام و لو کان مملوکاً؛لجهالته و إن ضمّ إلیه القصب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اللبن فی الضرع و لو ضمّ إلیه ما یحلب منه،أو غیره،علی المشهور کما فی الروضة </w:t>
      </w:r>
      <w:r>
        <w:rPr>
          <w:rStyle w:val="FootnoteAnchor"/>
          <w:rtl w:val="true"/>
        </w:rPr>
        <w:footnoteReference w:id="1517"/>
      </w:r>
      <w:r>
        <w:rPr>
          <w:rFonts w:ascii="IRNazanin" w:hAnsi="IRNazanin" w:eastAsia="IRNazanin"/>
          <w:color w:val="111111"/>
          <w:sz w:val="28"/>
          <w:sz w:val="28"/>
          <w:szCs w:val="28"/>
          <w:rtl w:val="true"/>
          <w:lang w:bidi="fa-IR"/>
        </w:rPr>
        <w:t xml:space="preserve">و عن الحدائق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خصّ المنع جماعة بما إذا کان المجهول مقصوداً بالاستقلال أو منضمّاً إلی المعلوم،و جوّزوا بیعه إذا کان تابعاً للمعلوم،و هو المحکیّ </w:t>
      </w:r>
      <w:r>
        <w:rPr>
          <w:rStyle w:val="FootnoteAnchor"/>
          <w:rtl w:val="true"/>
        </w:rPr>
        <w:footnoteReference w:id="1519"/>
      </w:r>
      <w:r>
        <w:rPr>
          <w:rFonts w:ascii="IRNazanin" w:hAnsi="IRNazanin" w:eastAsia="IRNazanin"/>
          <w:color w:val="111111"/>
          <w:sz w:val="28"/>
          <w:sz w:val="28"/>
          <w:szCs w:val="28"/>
          <w:rtl w:val="true"/>
          <w:lang w:bidi="fa-IR"/>
        </w:rPr>
        <w:t xml:space="preserve">عن المختلف </w:t>
      </w:r>
      <w:r>
        <w:rPr>
          <w:rStyle w:val="FootnoteAnchor"/>
          <w:rtl w:val="true"/>
        </w:rPr>
        <w:footnoteReference w:id="1520"/>
      </w:r>
      <w:r>
        <w:rPr>
          <w:rFonts w:ascii="IRNazanin" w:hAnsi="IRNazanin" w:eastAsia="IRNazanin"/>
          <w:color w:val="111111"/>
          <w:sz w:val="28"/>
          <w:sz w:val="28"/>
          <w:szCs w:val="28"/>
          <w:rtl w:val="true"/>
          <w:lang w:bidi="fa-IR"/>
        </w:rPr>
        <w:t xml:space="preserve">و شرح الإرشاد لفخر الإسلام </w:t>
      </w:r>
      <w:r>
        <w:rPr>
          <w:rStyle w:val="FootnoteAnchor"/>
          <w:rtl w:val="true"/>
        </w:rPr>
        <w:footnoteReference w:id="1521"/>
      </w:r>
      <w:r>
        <w:rPr>
          <w:rFonts w:ascii="IRNazanin" w:hAnsi="IRNazanin" w:eastAsia="IRNazanin"/>
          <w:color w:val="111111"/>
          <w:sz w:val="28"/>
          <w:sz w:val="28"/>
          <w:szCs w:val="28"/>
          <w:rtl w:val="true"/>
          <w:lang w:bidi="fa-IR"/>
        </w:rPr>
        <w:t xml:space="preserve">و المقتصر </w:t>
      </w:r>
      <w:r>
        <w:rPr>
          <w:rStyle w:val="FootnoteAnchor"/>
          <w:rtl w:val="true"/>
        </w:rPr>
        <w:footnoteReference w:id="1522"/>
      </w:r>
      <w:r>
        <w:rPr>
          <w:rFonts w:ascii="IRNazanin" w:hAnsi="IRNazanin" w:eastAsia="IRNazanin"/>
          <w:color w:val="111111"/>
          <w:sz w:val="28"/>
          <w:sz w:val="28"/>
          <w:szCs w:val="28"/>
          <w:rtl w:val="true"/>
          <w:lang w:bidi="fa-IR"/>
        </w:rPr>
        <w:t>،و استحسنه</w:t>
      </w:r>
    </w:p>
    <w:p>
      <w:pPr>
        <w:pStyle w:val="BookText"/>
        <w:rPr/>
      </w:pPr>
      <w:r>
        <w:rPr>
          <w:rFonts w:ascii="IRNazanin" w:hAnsi="IRNazanin" w:eastAsia="IRNazanin"/>
          <w:color w:val="111111"/>
          <w:sz w:val="28"/>
          <w:sz w:val="28"/>
          <w:szCs w:val="28"/>
          <w:rtl w:val="true"/>
          <w:lang w:bidi="fa-IR"/>
        </w:rPr>
        <w:t xml:space="preserve">المحقّق و الشهید الثانیان </w:t>
      </w:r>
      <w:r>
        <w:rPr>
          <w:rStyle w:val="FootnoteAnchor"/>
          <w:rtl w:val="true"/>
        </w:rPr>
        <w:footnoteReference w:id="1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المانعین لا یریدون إلّا ذلک؛نظراً إلی أنّ جهالة التابع لا توجب الغرر و لا صدق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المبیع عرفاً حتّی یندرج فی إطلاق ما دلّ من الإجماع علی عدم جواز بیع المجهول؛فإنّ أکثر المعلومات بعض أجزائها مجهول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للشیخ فی النهایة </w:t>
      </w:r>
      <w:r>
        <w:rPr>
          <w:rStyle w:val="FootnoteAnchor"/>
          <w:rtl w:val="true"/>
        </w:rPr>
        <w:footnoteReference w:id="1524"/>
      </w:r>
      <w:r>
        <w:rPr>
          <w:rFonts w:ascii="IRNazanin" w:hAnsi="IRNazanin" w:eastAsia="IRNazanin"/>
          <w:color w:val="111111"/>
          <w:sz w:val="28"/>
          <w:sz w:val="28"/>
          <w:szCs w:val="28"/>
          <w:rtl w:val="true"/>
          <w:lang w:bidi="fa-IR"/>
        </w:rPr>
        <w:t xml:space="preserve">و ابن حمزة فی الوسیلة </w:t>
      </w:r>
      <w:r>
        <w:rPr>
          <w:rStyle w:val="FootnoteAnchor"/>
          <w:rtl w:val="true"/>
        </w:rPr>
        <w:footnoteReference w:id="1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المحکیّ عن الإسکافی </w:t>
      </w:r>
      <w:r>
        <w:rPr>
          <w:rStyle w:val="FootnoteAnchor"/>
          <w:rtl w:val="true"/>
        </w:rPr>
        <w:footnoteReference w:id="1526"/>
      </w:r>
      <w:r>
        <w:rPr>
          <w:rFonts w:ascii="IRNazanin" w:hAnsi="IRNazanin" w:eastAsia="IRNazanin"/>
          <w:color w:val="111111"/>
          <w:sz w:val="28"/>
          <w:sz w:val="28"/>
          <w:szCs w:val="28"/>
          <w:rtl w:val="true"/>
          <w:lang w:bidi="fa-IR"/>
        </w:rPr>
        <w:t xml:space="preserve">و القاضی </w:t>
      </w:r>
      <w:r>
        <w:rPr>
          <w:rStyle w:val="FootnoteAnchor"/>
          <w:rtl w:val="true"/>
        </w:rPr>
        <w:footnoteReference w:id="1527"/>
      </w:r>
      <w:r>
        <w:rPr>
          <w:rFonts w:ascii="IRNazanin" w:hAnsi="IRNazanin" w:eastAsia="IRNazanin"/>
          <w:color w:val="111111"/>
          <w:sz w:val="28"/>
          <w:sz w:val="28"/>
          <w:szCs w:val="28"/>
          <w:rtl w:val="true"/>
          <w:lang w:bidi="fa-IR"/>
        </w:rPr>
        <w:t>،بل فی مفتاح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الحاصل من التتبّع أنّ المشهور بین المتقدّمین هو الصحّة </w:t>
      </w:r>
      <w:r>
        <w:rPr>
          <w:rStyle w:val="FootnoteAnchor"/>
          <w:rtl w:val="true"/>
        </w:rPr>
        <w:footnoteReference w:id="1528"/>
      </w:r>
      <w:r>
        <w:rPr>
          <w:rFonts w:ascii="IRNazanin" w:hAnsi="IRNazanin" w:eastAsia="IRNazanin"/>
          <w:color w:val="111111"/>
          <w:sz w:val="28"/>
          <w:sz w:val="28"/>
          <w:szCs w:val="28"/>
          <w:rtl w:val="true"/>
          <w:lang w:bidi="fa-IR"/>
        </w:rPr>
        <w:t xml:space="preserve">،بل عن الخلاف </w:t>
      </w:r>
      <w:r>
        <w:rPr>
          <w:rStyle w:val="FootnoteAnchor"/>
          <w:rtl w:val="true"/>
        </w:rPr>
        <w:footnoteReference w:id="1529"/>
      </w:r>
      <w:r>
        <w:rPr>
          <w:rFonts w:ascii="IRNazanin" w:hAnsi="IRNazanin" w:eastAsia="IRNazanin"/>
          <w:color w:val="111111"/>
          <w:sz w:val="28"/>
          <w:sz w:val="28"/>
          <w:szCs w:val="28"/>
          <w:rtl w:val="true"/>
          <w:lang w:bidi="fa-IR"/>
        </w:rPr>
        <w:t xml:space="preserve">و الغنیة </w:t>
      </w:r>
      <w:r>
        <w:rPr>
          <w:rStyle w:val="FootnoteAnchor"/>
          <w:rtl w:val="true"/>
        </w:rPr>
        <w:footnoteReference w:id="1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فی مسألة السمک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من المتأخّرین المحقّق الأردبیلی </w:t>
      </w:r>
      <w:r>
        <w:rPr>
          <w:rStyle w:val="FootnoteAnchor"/>
          <w:rtl w:val="true"/>
        </w:rPr>
        <w:footnoteReference w:id="1531"/>
      </w:r>
      <w:r>
        <w:rPr>
          <w:rFonts w:ascii="IRNazanin" w:hAnsi="IRNazanin" w:eastAsia="IRNazanin"/>
          <w:color w:val="111111"/>
          <w:sz w:val="28"/>
          <w:sz w:val="28"/>
          <w:szCs w:val="28"/>
          <w:rtl w:val="true"/>
          <w:lang w:bidi="fa-IR"/>
        </w:rPr>
        <w:t xml:space="preserve">و صاحب الکفایة </w:t>
      </w:r>
      <w:r>
        <w:rPr>
          <w:rStyle w:val="FootnoteAnchor"/>
          <w:rtl w:val="true"/>
        </w:rPr>
        <w:footnoteReference w:id="1532"/>
      </w:r>
      <w:r>
        <w:rPr>
          <w:rFonts w:ascii="IRNazanin" w:hAnsi="IRNazanin" w:eastAsia="IRNazanin"/>
          <w:color w:val="111111"/>
          <w:sz w:val="28"/>
          <w:sz w:val="28"/>
          <w:szCs w:val="28"/>
          <w:rtl w:val="true"/>
          <w:lang w:bidi="fa-IR"/>
        </w:rPr>
        <w:t xml:space="preserve">و المحدّث العاملی </w:t>
      </w:r>
      <w:r>
        <w:rPr>
          <w:rStyle w:val="FootnoteAnchor"/>
          <w:rtl w:val="true"/>
        </w:rPr>
        <w:footnoteReference w:id="1533"/>
      </w:r>
      <w:r>
        <w:rPr>
          <w:rFonts w:ascii="IRNazanin" w:hAnsi="IRNazanin" w:eastAsia="IRNazanin"/>
          <w:color w:val="111111"/>
          <w:sz w:val="28"/>
          <w:sz w:val="28"/>
          <w:szCs w:val="28"/>
          <w:rtl w:val="true"/>
          <w:lang w:bidi="fa-IR"/>
        </w:rPr>
        <w:t xml:space="preserve">و المحدّث الکاشانی </w:t>
      </w:r>
      <w:r>
        <w:rPr>
          <w:rStyle w:val="FootnoteAnchor"/>
          <w:rtl w:val="true"/>
        </w:rPr>
        <w:footnoteReference w:id="1534"/>
      </w:r>
      <w:r>
        <w:rPr>
          <w:rFonts w:ascii="IRNazanin" w:hAnsi="IRNazanin" w:eastAsia="IRNazanin"/>
          <w:color w:val="111111"/>
          <w:sz w:val="28"/>
          <w:sz w:val="28"/>
          <w:szCs w:val="28"/>
          <w:rtl w:val="true"/>
          <w:lang w:bidi="fa-IR"/>
        </w:rPr>
        <w:t xml:space="preserve">،و حکی عن ظاهر غایة المراد </w:t>
      </w:r>
      <w:r>
        <w:rPr>
          <w:rStyle w:val="FootnoteAnchor"/>
          <w:rtl w:val="true"/>
        </w:rPr>
        <w:footnoteReference w:id="153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صریح حواشیه علی القواعد </w:t>
      </w:r>
      <w:r>
        <w:rPr>
          <w:rStyle w:val="FootnoteAnchor"/>
          <w:rtl w:val="true"/>
        </w:rPr>
        <w:footnoteReference w:id="1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حجّتهم علی ذلک الأخبار المستفیضة الواردة فی مسألتی السمک و اللبن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مرسلة البزنطی التی إرسالها،کوجود سهلٍ فیها،سهلٌ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کانت أجَمَةٌ لیس فیها قصبٌ،أخرج شیئاً من سمکٍ فباع </w:t>
      </w:r>
      <w:r>
        <w:rPr>
          <w:rStyle w:val="FootnoteAnchor"/>
          <w:rtl w:val="true"/>
        </w:rPr>
        <w:footnoteReference w:id="1537"/>
      </w:r>
      <w:r>
        <w:rPr>
          <w:rFonts w:ascii="IRNazanin" w:hAnsi="IRNazanin" w:eastAsia="IRNazanin"/>
          <w:color w:val="111111"/>
          <w:sz w:val="28"/>
          <w:sz w:val="28"/>
          <w:szCs w:val="28"/>
          <w:rtl w:val="true"/>
          <w:lang w:bidi="fa-IR"/>
        </w:rPr>
        <w:t>و ما فی الأجمة</w:t>
      </w:r>
      <w:r>
        <w:rPr>
          <w:rFonts w:eastAsia="IRNazanin" w:cs="IRNazanin"/>
          <w:color w:val="111111"/>
          <w:sz w:val="28"/>
          <w:szCs w:val="28"/>
          <w:rtl w:val="true"/>
          <w:lang w:bidi="fa-IR"/>
        </w:rPr>
        <w:t xml:space="preserve">»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روایة </w:t>
      </w:r>
      <w:r>
        <w:rPr>
          <w:rStyle w:val="FootnoteAnchor"/>
          <w:rtl w:val="true"/>
        </w:rPr>
        <w:footnoteReference w:id="1539"/>
      </w:r>
      <w:r>
        <w:rPr>
          <w:rFonts w:ascii="IRNazanin" w:hAnsi="IRNazanin" w:eastAsia="IRNazanin"/>
          <w:color w:val="111111"/>
          <w:sz w:val="28"/>
          <w:sz w:val="28"/>
          <w:szCs w:val="28"/>
          <w:rtl w:val="true"/>
          <w:lang w:bidi="fa-IR"/>
        </w:rPr>
        <w:t xml:space="preserve">معاویة بن عمّار عن أبی عبد اللّٰه علیه السلام </w:t>
      </w:r>
      <w:r>
        <w:rPr>
          <w:rStyle w:val="FootnoteAnchor"/>
          <w:rtl w:val="true"/>
        </w:rPr>
        <w:footnoteReference w:id="1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یشتری الآجام إذا کان فیها قصب</w:t>
      </w:r>
      <w:r>
        <w:rPr>
          <w:rFonts w:eastAsia="IRNazanin" w:cs="IRNazanin"/>
          <w:color w:val="111111"/>
          <w:sz w:val="28"/>
          <w:szCs w:val="28"/>
          <w:rtl w:val="true"/>
          <w:lang w:bidi="fa-IR"/>
        </w:rPr>
        <w:t xml:space="preserve">» </w:t>
      </w:r>
      <w:r>
        <w:rPr>
          <w:rStyle w:val="FootnoteAnchor"/>
          <w:rtl w:val="true"/>
        </w:rPr>
        <w:footnoteReference w:id="1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شراء ما فیها بقرینة الروایة السابقة و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أبی بصیر عن أبی عبد اللّٰه علیه السلام فی شراء الأجَمَة لیس فیها قصبٌ إنّما هی ماء،قال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تصید </w:t>
      </w:r>
      <w:r>
        <w:rPr>
          <w:rStyle w:val="FootnoteAnchor"/>
          <w:rtl w:val="true"/>
        </w:rPr>
        <w:footnoteReference w:id="1542"/>
      </w:r>
      <w:r>
        <w:rPr>
          <w:rFonts w:ascii="IRNazanin" w:hAnsi="IRNazanin" w:eastAsia="IRNazanin"/>
          <w:color w:val="111111"/>
          <w:sz w:val="28"/>
          <w:sz w:val="28"/>
          <w:szCs w:val="28"/>
          <w:rtl w:val="true"/>
          <w:lang w:bidi="fa-IR"/>
        </w:rPr>
        <w:t>کفّاً من سمکٍ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أشتری منک هذا السمک و ما فی هذه الأجَمَة بکذا و کذا</w:t>
      </w:r>
      <w:r>
        <w:rPr>
          <w:rFonts w:eastAsia="IRNazanin" w:cs="IRNazanin"/>
          <w:color w:val="111111"/>
          <w:sz w:val="28"/>
          <w:szCs w:val="28"/>
          <w:rtl w:val="true"/>
          <w:lang w:bidi="fa-IR"/>
        </w:rPr>
        <w:t xml:space="preserve">»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سماعة عن أبی عبد اللّٰه علیه السلام کما فی الفقیه قال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اللبن یشتری و هو فی الضرع؟قال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لا،إلّا أن یَحلب </w:t>
      </w:r>
      <w:r>
        <w:rPr>
          <w:rStyle w:val="FootnoteAnchor"/>
          <w:rtl w:val="true"/>
        </w:rPr>
        <w:footnoteReference w:id="1544"/>
      </w:r>
    </w:p>
    <w:p>
      <w:pPr>
        <w:pStyle w:val="BookText"/>
        <w:rPr/>
      </w:pPr>
      <w:r>
        <w:rPr>
          <w:rFonts w:ascii="Amiri" w:hAnsi="Amiri" w:eastAsia="Amiri" w:cs="Amiri"/>
          <w:color w:val="111111"/>
          <w:sz w:val="28"/>
          <w:sz w:val="28"/>
          <w:szCs w:val="28"/>
          <w:rtl w:val="true"/>
          <w:lang w:bidi="ar-SA"/>
        </w:rPr>
        <w:t xml:space="preserve">سُکُرُّجة </w:t>
      </w:r>
      <w:r>
        <w:rPr>
          <w:rStyle w:val="FootnoteAnchor"/>
          <w:rtl w:val="true"/>
        </w:rPr>
        <w:footnoteReference w:id="1545"/>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 منّی </w:t>
      </w:r>
      <w:r>
        <w:rPr>
          <w:rStyle w:val="FootnoteAnchor"/>
          <w:rtl w:val="true"/>
        </w:rPr>
        <w:footnoteReference w:id="1546"/>
      </w:r>
      <w:r>
        <w:rPr>
          <w:rFonts w:ascii="IRNazanin" w:hAnsi="IRNazanin" w:eastAsia="IRNazanin"/>
          <w:color w:val="111111"/>
          <w:sz w:val="28"/>
          <w:sz w:val="28"/>
          <w:szCs w:val="28"/>
          <w:rtl w:val="true"/>
          <w:lang w:bidi="fa-IR"/>
        </w:rPr>
        <w:t xml:space="preserve">هذا اللبن الذی فی السکرجة </w:t>
      </w:r>
      <w:r>
        <w:rPr>
          <w:rStyle w:val="FootnoteAnchor"/>
          <w:rtl w:val="true"/>
        </w:rPr>
        <w:footnoteReference w:id="1547"/>
      </w:r>
      <w:r>
        <w:rPr>
          <w:rFonts w:ascii="Amiri" w:hAnsi="Amiri" w:eastAsia="Amiri" w:cs="Amiri"/>
          <w:color w:val="111111"/>
          <w:sz w:val="28"/>
          <w:sz w:val="28"/>
          <w:szCs w:val="28"/>
          <w:rtl w:val="true"/>
          <w:lang w:bidi="ar-SA"/>
        </w:rPr>
        <w:t xml:space="preserve">و ما فی ضروعها بثمنٍ مسمّی،فإن لم یکن فی الضرع شیءٌ کان ما فی السکُرُّجة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علیها تحمل صحیحة العیص بن القاسم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له نَعَمٌ یبیع ألبانها بغیر کیل؟قال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نعم،حتّی تنقطع </w:t>
      </w:r>
      <w:r>
        <w:rPr>
          <w:rStyle w:val="FootnoteAnchor"/>
          <w:rtl w:val="true"/>
        </w:rPr>
        <w:footnoteReference w:id="1550"/>
      </w:r>
      <w:r>
        <w:rPr>
          <w:rFonts w:ascii="Amiri" w:hAnsi="Amiri" w:eastAsia="Amiri" w:cs="Amiri"/>
          <w:color w:val="111111"/>
          <w:sz w:val="28"/>
          <w:sz w:val="28"/>
          <w:szCs w:val="28"/>
          <w:rtl w:val="true"/>
          <w:lang w:bidi="ar-SA"/>
        </w:rPr>
        <w:t>أو شیءٌ منها</w:t>
      </w:r>
      <w:r>
        <w:rPr>
          <w:rFonts w:eastAsia="Amiri" w:cs="Amiri" w:ascii="Amiri" w:hAnsi="Amiri"/>
          <w:color w:val="111111"/>
          <w:sz w:val="28"/>
          <w:szCs w:val="28"/>
          <w:rtl w:val="true"/>
          <w:lang w:bidi="ar-SA"/>
        </w:rPr>
        <w:t xml:space="preserve">» </w:t>
      </w:r>
      <w:r>
        <w:rPr>
          <w:rStyle w:val="FootnoteAnchor"/>
          <w:rtl w:val="true"/>
        </w:rPr>
        <w:footnoteReference w:id="1551"/>
      </w:r>
      <w:r>
        <w:rPr>
          <w:rFonts w:ascii="IRNazanin" w:hAnsi="IRNazanin" w:eastAsia="IRNazanin"/>
          <w:color w:val="111111"/>
          <w:sz w:val="28"/>
          <w:sz w:val="28"/>
          <w:szCs w:val="28"/>
          <w:rtl w:val="true"/>
          <w:lang w:bidi="fa-IR"/>
        </w:rPr>
        <w:t>،بناءً علی أنّ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 اللبن الذی فی الضرع بتمامه،أو بیع شیءٍ منه محلوب فی الخارج و </w:t>
      </w:r>
      <w:r>
        <w:rPr>
          <w:rStyle w:val="FootnoteAnchor"/>
          <w:rtl w:val="true"/>
        </w:rPr>
        <w:footnoteReference w:id="1552"/>
      </w:r>
      <w:r>
        <w:rPr>
          <w:rFonts w:ascii="IRNazanin" w:hAnsi="IRNazanin" w:eastAsia="IRNazanin"/>
          <w:color w:val="111111"/>
          <w:sz w:val="28"/>
          <w:sz w:val="28"/>
          <w:szCs w:val="28"/>
          <w:rtl w:val="true"/>
          <w:lang w:bidi="fa-IR"/>
        </w:rPr>
        <w:t>ما بقی فی الضرع بعد حلب شیءٍ منه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إلی ابن محبوب،عن إبراهیم الکرخی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رجلٍ اشتری من رجلٍ أصواف مائة نعجة و ما فی بطونها من حملٍ بکذا و کذا درهماً؟قال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بأس،إن لم یکن فی بطونها حملٌ کان رأس ماله فی الصوف</w:t>
      </w:r>
      <w:r>
        <w:rPr>
          <w:rFonts w:eastAsia="IRNazanin" w:cs="IRNazanin"/>
          <w:color w:val="111111"/>
          <w:sz w:val="28"/>
          <w:szCs w:val="28"/>
          <w:rtl w:val="true"/>
          <w:lang w:bidi="fa-IR"/>
        </w:rPr>
        <w:t xml:space="preserve">»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إسماعیل بن الفضل الهاشمی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الرجل یتقبّل بخراج الرجال و جزیة رؤوسهم و خراج النخل و الشجر و الآجام و المصائد و السمک و الطیر،و هو لا یدری لعلّه لا یکون شیءٌ من هذا أبداً أو یکون،أ یشتریه </w:t>
      </w:r>
      <w:r>
        <w:rPr>
          <w:rStyle w:val="FootnoteAnchor"/>
          <w:rtl w:val="true"/>
        </w:rPr>
        <w:footnoteReference w:id="1554"/>
      </w:r>
      <w:r>
        <w:rPr>
          <w:rFonts w:ascii="IRNazanin" w:hAnsi="IRNazanin" w:eastAsia="IRNazanin"/>
          <w:color w:val="111111"/>
          <w:sz w:val="28"/>
          <w:sz w:val="28"/>
          <w:szCs w:val="28"/>
          <w:rtl w:val="true"/>
          <w:lang w:bidi="fa-IR"/>
        </w:rPr>
        <w:t xml:space="preserve">؟و فی أیّ زمان یشتریه و یتقبّل به </w:t>
      </w:r>
      <w:r>
        <w:rPr>
          <w:rStyle w:val="FootnoteAnchor"/>
          <w:rtl w:val="true"/>
        </w:rPr>
        <w:footnoteReference w:id="1555"/>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علمت </w:t>
      </w:r>
      <w:r>
        <w:rPr>
          <w:rStyle w:val="FootnoteAnchor"/>
          <w:rtl w:val="true"/>
        </w:rPr>
        <w:footnoteReference w:id="1556"/>
      </w:r>
      <w:r>
        <w:rPr>
          <w:rFonts w:ascii="Amiri" w:hAnsi="Amiri" w:eastAsia="Amiri" w:cs="Amiri"/>
          <w:color w:val="111111"/>
          <w:sz w:val="28"/>
          <w:sz w:val="28"/>
          <w:szCs w:val="28"/>
          <w:rtl w:val="true"/>
          <w:lang w:bidi="ar-SA"/>
        </w:rPr>
        <w:t>من ذلک شیئاً واحداً أنّه قد أدرک فاشتره و تقبّل به</w:t>
      </w:r>
      <w:r>
        <w:rPr>
          <w:rFonts w:eastAsia="Amiri" w:cs="Amiri" w:ascii="Amiri" w:hAnsi="Amiri"/>
          <w:color w:val="111111"/>
          <w:sz w:val="28"/>
          <w:szCs w:val="28"/>
          <w:rtl w:val="true"/>
          <w:lang w:bidi="ar-SA"/>
        </w:rPr>
        <w:t xml:space="preserve">»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الأخیرین کموثّقة سماعة أنّ الضمیمة المعلومة إنّما تنفع من حیث عدم الوثوق بحصول المبیع،لا من حیث جهالته،فإنّ ما فی السُّکُرُّجَة </w:t>
      </w:r>
      <w:r>
        <w:rPr>
          <w:rStyle w:val="FootnoteAnchor"/>
          <w:rtl w:val="true"/>
        </w:rPr>
        <w:footnoteReference w:id="1558"/>
      </w:r>
      <w:r>
        <w:rPr>
          <w:rFonts w:ascii="IRNazanin" w:hAnsi="IRNazanin" w:eastAsia="IRNazanin"/>
          <w:color w:val="111111"/>
          <w:sz w:val="28"/>
          <w:sz w:val="28"/>
          <w:szCs w:val="28"/>
          <w:rtl w:val="true"/>
          <w:lang w:bidi="fa-IR"/>
        </w:rPr>
        <w:t>غیر معلوم بالوزن و الکیل،و کذا المعلوم الحصول من الأشیاء المذکورة فی روایة الهاشمی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المشهور کما عن الحدائق </w:t>
      </w:r>
      <w:r>
        <w:rPr>
          <w:rStyle w:val="FootnoteAnchor"/>
          <w:rtl w:val="true"/>
        </w:rPr>
        <w:footnoteReference w:id="1559"/>
      </w:r>
      <w:r>
        <w:rPr>
          <w:rFonts w:ascii="IRNazanin" w:hAnsi="IRNazanin" w:eastAsia="IRNazanin"/>
          <w:color w:val="111111"/>
          <w:sz w:val="28"/>
          <w:sz w:val="28"/>
          <w:szCs w:val="28"/>
          <w:rtl w:val="true"/>
          <w:lang w:bidi="fa-IR"/>
        </w:rPr>
        <w:t xml:space="preserve">المنع عن بیع الأصواف علی ظهور الغنم،بل عن الخلاف علیه الإجماع </w:t>
      </w:r>
      <w:r>
        <w:rPr>
          <w:rStyle w:val="FootnoteAnchor"/>
          <w:rtl w:val="true"/>
        </w:rPr>
        <w:footnoteReference w:id="1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القائلون بجوازه </w:t>
      </w:r>
      <w:r>
        <w:rPr>
          <w:rStyle w:val="FootnoteAnchor"/>
          <w:rtl w:val="true"/>
        </w:rPr>
        <w:footnoteReference w:id="1561"/>
      </w:r>
      <w:r>
        <w:rPr>
          <w:rFonts w:ascii="Amiri" w:hAnsi="Amiri" w:eastAsia="Amiri" w:cs="Amiri"/>
          <w:color w:val="111111"/>
          <w:sz w:val="28"/>
          <w:sz w:val="28"/>
          <w:szCs w:val="28"/>
          <w:rtl w:val="true"/>
          <w:lang w:bidi="ar-SA"/>
        </w:rPr>
        <w:t>استدلّوا</w:t>
      </w:r>
    </w:p>
    <w:p>
      <w:pPr>
        <w:pStyle w:val="BookText"/>
        <w:rPr/>
      </w:pPr>
      <w:r>
        <w:rPr>
          <w:rFonts w:ascii="IRNazanin" w:hAnsi="IRNazanin" w:eastAsia="IRNazanin"/>
          <w:color w:val="111111"/>
          <w:sz w:val="28"/>
          <w:sz w:val="28"/>
          <w:szCs w:val="28"/>
          <w:rtl w:val="true"/>
          <w:lang w:bidi="fa-IR"/>
        </w:rPr>
        <w:t xml:space="preserve">بروایة الکرخی </w:t>
      </w:r>
      <w:r>
        <w:rPr>
          <w:rStyle w:val="FootnoteAnchor"/>
          <w:rtl w:val="true"/>
        </w:rPr>
        <w:footnoteReference w:id="1562"/>
      </w:r>
      <w:r>
        <w:rPr>
          <w:rFonts w:ascii="IRNazanin" w:hAnsi="IRNazanin" w:eastAsia="IRNazanin"/>
          <w:color w:val="111111"/>
          <w:sz w:val="28"/>
          <w:sz w:val="28"/>
          <w:szCs w:val="28"/>
          <w:rtl w:val="true"/>
          <w:lang w:bidi="fa-IR"/>
        </w:rPr>
        <w:t xml:space="preserve">مع منعهم عن مضمونها </w:t>
      </w:r>
      <w:r>
        <w:rPr>
          <w:rStyle w:val="FootnoteAnchor"/>
          <w:rtl w:val="true"/>
        </w:rPr>
        <w:footnoteReference w:id="1563"/>
      </w:r>
      <w:r>
        <w:rPr>
          <w:rFonts w:ascii="IRNazanin" w:hAnsi="IRNazanin" w:eastAsia="IRNazanin"/>
          <w:color w:val="111111"/>
          <w:sz w:val="28"/>
          <w:sz w:val="28"/>
          <w:szCs w:val="28"/>
          <w:rtl w:val="true"/>
          <w:lang w:bidi="fa-IR"/>
        </w:rPr>
        <w:t xml:space="preserve">من حیث </w:t>
      </w:r>
      <w:r>
        <w:rPr>
          <w:rStyle w:val="FootnoteAnchor"/>
          <w:rtl w:val="true"/>
        </w:rPr>
        <w:footnoteReference w:id="1564"/>
      </w:r>
      <w:r>
        <w:rPr>
          <w:rFonts w:ascii="IRNazanin" w:hAnsi="IRNazanin" w:eastAsia="IRNazanin"/>
          <w:color w:val="111111"/>
          <w:sz w:val="28"/>
          <w:sz w:val="28"/>
          <w:szCs w:val="28"/>
          <w:rtl w:val="true"/>
          <w:lang w:bidi="fa-IR"/>
        </w:rPr>
        <w:t>ضمّ ما فی البطون إلی الأصواف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 أنّ الروایة لم یقل أحد بظاهرها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مثلها فی الخروج عن مسألة ضمّ المعلوم إلی المجهول روایتا أبی بصیر و البزنطی </w:t>
      </w:r>
      <w:r>
        <w:rPr>
          <w:rStyle w:val="FootnoteAnchor"/>
          <w:rtl w:val="true"/>
        </w:rPr>
        <w:footnoteReference w:id="1565"/>
      </w:r>
      <w:r>
        <w:rPr>
          <w:rFonts w:ascii="IRNazanin" w:hAnsi="IRNazanin" w:eastAsia="IRNazanin"/>
          <w:color w:val="111111"/>
          <w:sz w:val="28"/>
          <w:sz w:val="28"/>
          <w:szCs w:val="28"/>
          <w:rtl w:val="true"/>
          <w:lang w:bidi="fa-IR"/>
        </w:rPr>
        <w:t xml:space="preserve">فإنّ الکفّ من السمک لا یجوز بیعه،لکونه من الموزون؛و لذا جعلوه من الربویّات </w:t>
      </w:r>
      <w:r>
        <w:rPr>
          <w:rStyle w:val="FootnoteAnchor"/>
          <w:rtl w:val="true"/>
        </w:rPr>
        <w:footnoteReference w:id="1566"/>
      </w:r>
      <w:r>
        <w:rPr>
          <w:rFonts w:ascii="IRNazanin" w:hAnsi="IRNazanin" w:eastAsia="IRNazanin"/>
          <w:color w:val="111111"/>
          <w:sz w:val="28"/>
          <w:sz w:val="28"/>
          <w:szCs w:val="28"/>
          <w:rtl w:val="true"/>
          <w:lang w:bidi="fa-IR"/>
        </w:rPr>
        <w:t>،و لا ینافی ذلک تجویز بیع سمک الآجام إذا کانت مشاهدة،لاحتمال أن لا یعتبر الوزن فی بیع الکثیر منه،کالذی لا یدخل فی الوزن لکثرته کزُبْرَةِ الحدید،بخلاف القلیل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معاویة بن عمّار،فلا دلالة فیها علی بیع السمک، إلّا بقرینة روایتی أبی بصیر و البزنطی اللّتین عرفت حالهما،فتأمّل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الدلالة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أُرید انتزاع قاعدة منها و هی جواز ضمّ المجهول إلی المعلوم و إن کان المعلوم غیر مقصود بالبیع إلّا حیلة لجواز نقل المجهول فلا دلالة فیها </w:t>
      </w:r>
      <w:r>
        <w:rPr>
          <w:rStyle w:val="FootnoteAnchor"/>
          <w:rtl w:val="true"/>
        </w:rPr>
        <w:footnoteReference w:id="1567"/>
      </w:r>
    </w:p>
    <w:p>
      <w:pPr>
        <w:pStyle w:val="BookText"/>
        <w:rPr/>
      </w:pPr>
      <w:r>
        <w:rPr>
          <w:rFonts w:ascii="IRNazanin" w:hAnsi="IRNazanin" w:eastAsia="IRNazanin"/>
          <w:color w:val="111111"/>
          <w:sz w:val="28"/>
          <w:sz w:val="28"/>
          <w:szCs w:val="28"/>
          <w:rtl w:val="true"/>
          <w:lang w:bidi="fa-IR"/>
        </w:rPr>
        <w:t xml:space="preserve">علی ذلک،و لم یظهر من العاملین بها </w:t>
      </w:r>
      <w:r>
        <w:rPr>
          <w:rStyle w:val="FootnoteAnchor"/>
          <w:rtl w:val="true"/>
        </w:rPr>
        <w:footnoteReference w:id="1568"/>
      </w:r>
      <w:r>
        <w:rPr>
          <w:rFonts w:ascii="IRNazanin" w:hAnsi="IRNazanin" w:eastAsia="IRNazanin"/>
          <w:color w:val="111111"/>
          <w:sz w:val="28"/>
          <w:sz w:val="28"/>
          <w:szCs w:val="28"/>
          <w:rtl w:val="true"/>
          <w:lang w:bidi="fa-IR"/>
        </w:rPr>
        <w:t>التزام هذه القاعدة،بل المعلوم من بعضهم،بل کلّهم خلافه؛فإنّا نعلم من فتاویهم عدم التزامهم لجواز بیع کلّ مجهول من حیث الوصف أو التقدیر بمجرّد ضمّ شیءٍ معلوم إلیه، کما یشهد به تتبّع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الاقتصار علی مورد النصوص و هو بیع سمک الآجام، و لبن الضرع،و ما فی البطون مع الأصواف فالأمر سهل علی تقدیر الإغماض عن مخالفة هذه النصوص للقاعدة المجمع علیها بین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عدم جواز بیع المجهول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توضیح التفصیل المتقدّم،واصلة من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القواعد فی باب شرط العوضین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مجهولٍ مقصودٍ بالبیع لا یصحّ بیعه و إن انضمّ إلی معلوم،و یجوز مع الانضمام إلی معلوم إذا کان تابعاً </w:t>
      </w:r>
      <w:r>
        <w:rPr>
          <w:rStyle w:val="FootnoteAnchor"/>
          <w:rtl w:val="true"/>
        </w:rPr>
        <w:footnoteReference w:id="156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ارتضی هذا التفصیل جماعة ممّن تأخّر عنه </w:t>
      </w:r>
      <w:r>
        <w:rPr>
          <w:rStyle w:val="FootnoteAnchor"/>
          <w:rtl w:val="true"/>
        </w:rPr>
        <w:footnoteReference w:id="1570"/>
      </w:r>
      <w:r>
        <w:rPr>
          <w:rFonts w:ascii="IRNazanin" w:hAnsi="IRNazanin" w:eastAsia="IRNazanin"/>
          <w:color w:val="111111"/>
          <w:sz w:val="28"/>
          <w:sz w:val="28"/>
          <w:szCs w:val="28"/>
          <w:rtl w:val="true"/>
          <w:lang w:bidi="fa-IR"/>
        </w:rPr>
        <w:t xml:space="preserve">،إلّا أنّ مرادهم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یظهر من مواضعَ من القواعد و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مراده بالتابع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یشترط دخوله فی البیع،و بالمقصود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جزءاً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القواعد فی باب الشرط فی ضمن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شرط أنّ الأمة حامل أو الدابّة کذلک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باع الدابّة و حملها أو الجاریة</w:t>
      </w:r>
    </w:p>
    <w:p>
      <w:pPr>
        <w:pStyle w:val="BookText"/>
        <w:rPr/>
      </w:pPr>
      <w:r>
        <w:rPr>
          <w:rFonts w:ascii="IRNazanin" w:hAnsi="IRNazanin" w:eastAsia="IRNazanin"/>
          <w:color w:val="111111"/>
          <w:sz w:val="28"/>
          <w:sz w:val="28"/>
          <w:szCs w:val="28"/>
          <w:rtl w:val="true"/>
          <w:lang w:bidi="fa-IR"/>
        </w:rPr>
        <w:t xml:space="preserve">و حملها بطل؛لأنّ </w:t>
      </w:r>
      <w:r>
        <w:rPr>
          <w:rStyle w:val="FootnoteAnchor"/>
          <w:rtl w:val="true"/>
        </w:rPr>
        <w:footnoteReference w:id="1571"/>
      </w:r>
      <w:r>
        <w:rPr>
          <w:rFonts w:ascii="Amiri" w:hAnsi="Amiri" w:eastAsia="Amiri" w:cs="Amiri"/>
          <w:color w:val="111111"/>
          <w:sz w:val="28"/>
          <w:sz w:val="28"/>
          <w:szCs w:val="28"/>
          <w:rtl w:val="true"/>
          <w:lang w:bidi="ar-SA"/>
        </w:rPr>
        <w:t xml:space="preserve">کلّ ما لا یصحّ بیعه منفرداً لا یصحّ جزءاً من المقصود،و یصحّ تابعاً </w:t>
      </w:r>
      <w:r>
        <w:rPr>
          <w:rStyle w:val="FootnoteAnchor"/>
          <w:rtl w:val="true"/>
        </w:rPr>
        <w:footnoteReference w:id="157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باب ما یندرج فی المبیع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العبد،و لا یتناول ماله الذی ملّکه </w:t>
      </w:r>
      <w:r>
        <w:rPr>
          <w:rStyle w:val="FootnoteAnchor"/>
          <w:rtl w:val="true"/>
        </w:rPr>
        <w:footnoteReference w:id="1573"/>
      </w:r>
      <w:r>
        <w:rPr>
          <w:rFonts w:ascii="IRNazanin" w:hAnsi="IRNazanin" w:eastAsia="IRNazanin"/>
          <w:color w:val="111111"/>
          <w:sz w:val="28"/>
          <w:sz w:val="28"/>
          <w:szCs w:val="28"/>
          <w:rtl w:val="true"/>
          <w:lang w:bidi="fa-IR"/>
        </w:rPr>
        <w:t>مولاه،إلّا أن یستثنیه المشتری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العبد یملک،فینتقل إلی المشتری مع العبد،و کان جعله للمشتری إبقاءً له </w:t>
      </w:r>
      <w:r>
        <w:rPr>
          <w:rStyle w:val="FootnoteAnchor"/>
          <w:rtl w:val="true"/>
        </w:rPr>
        <w:footnoteReference w:id="1574"/>
      </w:r>
      <w:r>
        <w:rPr>
          <w:rFonts w:ascii="IRNazanin" w:hAnsi="IRNazanin" w:eastAsia="IRNazanin"/>
          <w:color w:val="111111"/>
          <w:sz w:val="28"/>
          <w:sz w:val="28"/>
          <w:szCs w:val="28"/>
          <w:rtl w:val="true"/>
          <w:lang w:bidi="fa-IR"/>
        </w:rPr>
        <w:t>علی العبد،فیجوز أن یکون مجهولاً أو غائباً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إذا أحلنا تملّکه و ما معه صار جزءاً من المبیع،فیعتبر فیه شرائط البیع </w:t>
      </w:r>
      <w:r>
        <w:rPr>
          <w:rStyle w:val="FootnoteAnchor"/>
          <w:rtl w:val="true"/>
        </w:rPr>
        <w:footnoteReference w:id="157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بمثل ذلک فی الفرق بین جعل المال شرطاً و بین جعله جزءً صرّح فی التذکرة فی فروع مسألة تملّک العبد و عدمه؛معلّلاً بکونه مع الشرط کماء الآبار و أخشاب السقوف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التذکرة أیضاً فی باب شروط العوضین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باع الحمل مع امّه جاز إجماعاً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موضعٍ من باب الشروط </w:t>
      </w:r>
      <w:r>
        <w:rPr>
          <w:rStyle w:val="FootnoteAnchor"/>
          <w:rtl w:val="true"/>
        </w:rPr>
        <w:footnoteReference w:id="1578"/>
      </w:r>
      <w:r>
        <w:rPr>
          <w:rFonts w:ascii="IRNazanin" w:hAnsi="IRNazanin" w:eastAsia="IRNazanin"/>
          <w:color w:val="111111"/>
          <w:sz w:val="28"/>
          <w:sz w:val="28"/>
          <w:szCs w:val="28"/>
          <w:rtl w:val="true"/>
          <w:lang w:bidi="fa-IR"/>
        </w:rPr>
        <w:t>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هذه الدابّة و حملها لم یصحّ عندنا،لما تقدّم من أنّ الحمل لا یصحّ جعله</w:t>
      </w:r>
    </w:p>
    <w:p>
      <w:pPr>
        <w:pStyle w:val="BookText"/>
        <w:rPr/>
      </w:pPr>
      <w:r>
        <w:rPr>
          <w:rFonts w:ascii="IRNazanin" w:hAnsi="IRNazanin" w:eastAsia="IRNazanin"/>
          <w:color w:val="111111"/>
          <w:sz w:val="28"/>
          <w:sz w:val="28"/>
          <w:szCs w:val="28"/>
          <w:rtl w:val="true"/>
          <w:lang w:bidi="fa-IR"/>
        </w:rPr>
        <w:t xml:space="preserve">مستقلا بالشراء و لا جزءاً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باع الحامل و شرط </w:t>
      </w:r>
      <w:r>
        <w:rPr>
          <w:rStyle w:val="FootnoteAnchor"/>
          <w:rtl w:val="true"/>
        </w:rPr>
        <w:footnoteReference w:id="1580"/>
      </w:r>
      <w:r>
        <w:rPr>
          <w:rFonts w:ascii="IRNazanin" w:hAnsi="IRNazanin" w:eastAsia="IRNazanin"/>
          <w:color w:val="111111"/>
          <w:sz w:val="28"/>
          <w:sz w:val="28"/>
          <w:szCs w:val="28"/>
          <w:rtl w:val="true"/>
          <w:lang w:bidi="fa-IR"/>
        </w:rPr>
        <w:t xml:space="preserve">للمشتری </w:t>
      </w:r>
      <w:r>
        <w:rPr>
          <w:rStyle w:val="FootnoteAnchor"/>
          <w:rtl w:val="true"/>
        </w:rPr>
        <w:footnoteReference w:id="1581"/>
      </w:r>
      <w:r>
        <w:rPr>
          <w:rFonts w:ascii="IRNazanin" w:hAnsi="IRNazanin" w:eastAsia="IRNazanin"/>
          <w:color w:val="111111"/>
          <w:sz w:val="28"/>
          <w:sz w:val="28"/>
          <w:szCs w:val="28"/>
          <w:rtl w:val="true"/>
          <w:lang w:bidi="fa-IR"/>
        </w:rPr>
        <w:t xml:space="preserve">الحمل صحّ؛ لأنّه تابعٌ،کأساس الحیطان و إن لم یصحّ ضمّه فی البیع مع الاُمّ؛للفرق بین الجزء و التابع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بعتک هذه الشیاه و ما فی ضرعها من اللبن،لم یجز عندنا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موضعٍ آخر </w:t>
      </w:r>
      <w:r>
        <w:rPr>
          <w:rStyle w:val="FootnoteAnchor"/>
          <w:rtl w:val="true"/>
        </w:rPr>
        <w:footnoteReference w:id="1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باع دجاجةً ذاتَ بیضةٍ و شَرَطَها صحّ،و إن جعلها جزءاً من المبیع لم یصحّ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کلّها صریحةٌ فی عدم جواز ضمّ المجهول علی وجه الجزئیة، من غیر فرقٍ بین تعلّق الغرض الداعی بالمعلوم أو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هذا،المحقّق الثانی فی جامع المقاصد </w:t>
      </w:r>
      <w:r>
        <w:rPr>
          <w:rStyle w:val="FootnoteAnchor"/>
          <w:rtl w:val="true"/>
        </w:rPr>
        <w:footnoteReference w:id="1586"/>
      </w:r>
      <w:r>
        <w:rPr>
          <w:rFonts w:ascii="IRNazanin" w:hAnsi="IRNazanin" w:eastAsia="IRNazanin"/>
          <w:color w:val="111111"/>
          <w:sz w:val="28"/>
          <w:sz w:val="28"/>
          <w:szCs w:val="28"/>
          <w:rtl w:val="true"/>
          <w:lang w:bidi="fa-IR"/>
        </w:rPr>
        <w:t>فی مسألة اشتراط دخول الزرع فی بیع الأرض،قال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قد یوجد فی بعض الکلام،من أنّ المجهول إن جُعل جزءاً من المبیع لا یصحّ،و إن اشترط صحّ و نحو ذلک فلیس بشیءٍ؛لأنّ العبارة لا أثر لها،و المشروط </w:t>
      </w:r>
      <w:r>
        <w:rPr>
          <w:rStyle w:val="FootnoteAnchor"/>
          <w:rtl w:val="true"/>
        </w:rPr>
        <w:footnoteReference w:id="1587"/>
      </w:r>
      <w:r>
        <w:rPr>
          <w:rFonts w:ascii="Amiri" w:hAnsi="Amiri" w:eastAsia="Amiri" w:cs="Amiri"/>
          <w:color w:val="111111"/>
          <w:sz w:val="28"/>
          <w:sz w:val="28"/>
          <w:szCs w:val="28"/>
          <w:rtl w:val="true"/>
          <w:lang w:bidi="ar-SA"/>
        </w:rPr>
        <w:t>محسوب من جملة</w:t>
      </w:r>
    </w:p>
    <w:p>
      <w:pPr>
        <w:pStyle w:val="BookText"/>
        <w:rPr/>
      </w:pPr>
      <w:r>
        <w:rPr>
          <w:rFonts w:ascii="IRNazanin" w:hAnsi="IRNazanin" w:eastAsia="IRNazanin"/>
          <w:color w:val="111111"/>
          <w:sz w:val="28"/>
          <w:sz w:val="28"/>
          <w:szCs w:val="28"/>
          <w:rtl w:val="true"/>
          <w:lang w:bidi="fa-IR"/>
        </w:rPr>
        <w:t xml:space="preserve">المبیع،و لأنه لو باع الحمل و الأُمّ صحّ البیع و لا یتوقّف علی بیعها و اشتراطه </w:t>
      </w:r>
      <w:r>
        <w:rPr>
          <w:rStyle w:val="FootnoteAnchor"/>
          <w:rtl w:val="true"/>
        </w:rPr>
        <w:footnoteReference w:id="158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الظاهر من الشهیدین فی اللّمعة و الروضة </w:t>
      </w:r>
      <w:r>
        <w:rPr>
          <w:rStyle w:val="FootnoteAnchor"/>
          <w:rtl w:val="true"/>
        </w:rPr>
        <w:footnoteReference w:id="1589"/>
      </w:r>
      <w:r>
        <w:rPr>
          <w:rFonts w:ascii="IRNazanin" w:hAnsi="IRNazanin" w:eastAsia="IRNazanin"/>
          <w:color w:val="111111"/>
          <w:sz w:val="28"/>
          <w:sz w:val="28"/>
          <w:szCs w:val="28"/>
          <w:rtl w:val="true"/>
          <w:lang w:bidi="fa-IR"/>
        </w:rPr>
        <w:t>حیث اشترطا فی مال العبد المشروط دخوله فی بیعه استجماعه لشروط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صرّح الشیخ فی مسألة اشتراط مال العبد باعتبار </w:t>
      </w:r>
      <w:r>
        <w:rPr>
          <w:rStyle w:val="FootnoteAnchor"/>
          <w:rtl w:val="true"/>
        </w:rPr>
        <w:footnoteReference w:id="1590"/>
      </w:r>
      <w:r>
        <w:rPr>
          <w:rFonts w:ascii="IRNazanin" w:hAnsi="IRNazanin" w:eastAsia="IRNazanin"/>
          <w:color w:val="111111"/>
          <w:sz w:val="28"/>
          <w:sz w:val="28"/>
          <w:szCs w:val="28"/>
          <w:rtl w:val="true"/>
          <w:lang w:bidi="fa-IR"/>
        </w:rPr>
        <w:t xml:space="preserve">العلم بمقدار المال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اشتراه و ما لَه صحّ،و لم یشترط علمَه و لا التفصّی من الربا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یملک،و إن أحلنا ملکه اشترط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جعل الحمل جزءاً من المبیع فالأقوی الصحّة،لأنّه بمنزلة الاشتراط،و لا یضرّ الجهالة؛لأنّه تابع </w:t>
      </w:r>
      <w:r>
        <w:rPr>
          <w:rStyle w:val="FootnoteAnchor"/>
          <w:rtl w:val="true"/>
        </w:rPr>
        <w:footnoteReference w:id="159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اختاره جامع المقاصد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کلام هؤلاء یحتمل أن یراد به </w:t>
      </w:r>
      <w:r>
        <w:rPr>
          <w:rStyle w:val="FootnoteAnchor"/>
          <w:rtl w:val="true"/>
        </w:rPr>
        <w:footnoteReference w:id="1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یعدّ فی العرف تابعاً کالحمل مع الاُمّ،و اللبن مع الشاة،و البیض مع الدجاج،</w:t>
      </w:r>
    </w:p>
    <w:p>
      <w:pPr>
        <w:pStyle w:val="BookText"/>
        <w:rPr/>
      </w:pPr>
      <w:r>
        <w:rPr>
          <w:rFonts w:ascii="IRNazanin" w:hAnsi="IRNazanin" w:eastAsia="IRNazanin"/>
          <w:color w:val="111111"/>
          <w:sz w:val="28"/>
          <w:sz w:val="28"/>
          <w:szCs w:val="28"/>
          <w:rtl w:val="true"/>
          <w:lang w:bidi="fa-IR"/>
        </w:rPr>
        <w:t xml:space="preserve">و مال العبد معه،و الباغ </w:t>
      </w:r>
      <w:r>
        <w:rPr>
          <w:rStyle w:val="FootnoteAnchor"/>
          <w:rtl w:val="true"/>
        </w:rPr>
        <w:footnoteReference w:id="1596"/>
      </w:r>
      <w:r>
        <w:rPr>
          <w:rFonts w:ascii="IRNazanin" w:hAnsi="IRNazanin" w:eastAsia="IRNazanin"/>
          <w:color w:val="111111"/>
          <w:sz w:val="28"/>
          <w:sz w:val="28"/>
          <w:szCs w:val="28"/>
          <w:rtl w:val="true"/>
          <w:lang w:bidi="fa-IR"/>
        </w:rPr>
        <w:t>فی الدار،و القصر فی البستان،و نحو ذلک ممّا نسب البیع عرفاً إلی المتبوع لا إلیهما معاً،و إن فرض تعلّق الغرض الشخصی بکلیهما فی بعض الأحیان،بل بالتابع خاصّة،کما قد یتّفق فی حمل بعض أفراد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الظاهر من کلماتهم فی بعض المقامات کما تقدّم عن الدروس و جامع المقاصد من صحّة بیع الاُمّ و حملها؛لأنّ الحمل 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جامع المقاصد فی شرح قوله المتقدّم فی القواعد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مع الانضمام إلی معلوم إذا کان تابعاً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إطلاق العبارة یشمل ما إذا شرط حمل دابّة فی بیع دابّة أُخری،إلّا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التبعیّة إنّما تتحقّق مع الاُمّ؛لأنّه حینئذٍ بمنزلة بعض أجزائها،و مثله زخرفة جدران البیت </w:t>
      </w:r>
      <w:r>
        <w:rPr>
          <w:rStyle w:val="FootnoteAnchor"/>
          <w:rtl w:val="true"/>
        </w:rPr>
        <w:footnoteReference w:id="159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التمثیل نظر؛لخروج زخرفة الجدران من محلّ الکلام فی المقام، إلّا أن یرید مثال الأجزاء،لا مثال التابع،لکن هذا ینافی ما تقدّم من</w:t>
      </w:r>
    </w:p>
    <w:p>
      <w:pPr>
        <w:pStyle w:val="BookText"/>
        <w:rPr/>
      </w:pPr>
      <w:r>
        <w:rPr>
          <w:rFonts w:ascii="IRNazanin" w:hAnsi="IRNazanin" w:eastAsia="IRNazanin"/>
          <w:color w:val="111111"/>
          <w:sz w:val="28"/>
          <w:sz w:val="28"/>
          <w:szCs w:val="28"/>
          <w:rtl w:val="true"/>
          <w:lang w:bidi="fa-IR"/>
        </w:rPr>
        <w:t xml:space="preserve">اعتبارهم العلم فی مال العبد </w:t>
      </w:r>
      <w:r>
        <w:rPr>
          <w:rStyle w:val="FootnoteAnchor"/>
          <w:rtl w:val="true"/>
        </w:rPr>
        <w:footnoteReference w:id="1598"/>
      </w:r>
      <w:r>
        <w:rPr>
          <w:rFonts w:ascii="IRNazanin" w:hAnsi="IRNazanin" w:eastAsia="IRNazanin"/>
          <w:color w:val="111111"/>
          <w:sz w:val="28"/>
          <w:sz w:val="28"/>
          <w:szCs w:val="28"/>
          <w:rtl w:val="true"/>
          <w:lang w:bidi="fa-IR"/>
        </w:rPr>
        <w:t xml:space="preserve">وفاقاً للشیخ قدّس سرّه مع أنّ مال العبد تابع عرفیّ،کما صرّح به فی المختلف فی مسألة بیع العبد و اشتراط ماله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أن یکون مرادهم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التابع بحسب قصد المتبایعین،و هو ما یکون المقصود بالبیع غیره و إن لم یکن تابعاً عرفیّاً کمن اشتری قصب الآجام و کان فیها قلیل من السمک،أو اشتری سمک الآجام و کان فیها قلیل من القصب،و هذا أیضاً قد یکون کذلک بحسب النوع، و قد یکون کذلک بحسب الشخص،کمن أراد السمک القلیل لأجل حاجة،لکن لم یتهیّأ له شراؤه إلّا فی ضمن قصب </w:t>
      </w:r>
      <w:r>
        <w:rPr>
          <w:rStyle w:val="FootnoteAnchor"/>
          <w:rtl w:val="true"/>
        </w:rPr>
        <w:footnoteReference w:id="1600"/>
      </w:r>
      <w:r>
        <w:rPr>
          <w:rFonts w:ascii="Amiri" w:hAnsi="Amiri" w:eastAsia="Amiri" w:cs="Amiri"/>
          <w:color w:val="111111"/>
          <w:sz w:val="28"/>
          <w:sz w:val="28"/>
          <w:szCs w:val="28"/>
          <w:rtl w:val="true"/>
          <w:lang w:bidi="ar-SA"/>
        </w:rPr>
        <w:t>الأجَمَة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الأوّل هو الظاهر من مواضع من المختلف،منها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بیع اللبن فی الضرع مع المحلوب منه،حیث حمل روایة سماعة المتقدّمة </w:t>
      </w:r>
      <w:r>
        <w:rPr>
          <w:rStyle w:val="FootnoteAnchor"/>
          <w:rtl w:val="true"/>
        </w:rPr>
        <w:footnoteReference w:id="1601"/>
      </w:r>
      <w:r>
        <w:rPr>
          <w:rFonts w:ascii="IRNazanin" w:hAnsi="IRNazanin" w:eastAsia="IRNazanin"/>
          <w:color w:val="111111"/>
          <w:sz w:val="28"/>
          <w:sz w:val="28"/>
          <w:szCs w:val="28"/>
          <w:rtl w:val="true"/>
          <w:lang w:bidi="fa-IR"/>
        </w:rPr>
        <w:t xml:space="preserve">علی ما إذا کان المحلوب یقارب الثمن و یصیر أصلاً،و الذی فی الضرع تابعاً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مسألة بیع ما فی بطون الأنعام مع الضمیمة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المعتمد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الحمل تابعاً صحّ البیع،کما لو باعه الاُمّ و حملها أو باعه ما یقصد مثله بمثل الثمن و ضمّ الحمل،فهذا لا بأس به،و إلّا کان باطلاً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الاحتمال الثانی أعنی مراعاة الغرض الشخصی للمتبایعین فلم نجد علیه شاهداً،إلّا ثبوت الغرر علی تقدیر تعلّق الغرض الشخصی بالمجهول،و انتفاءه علی تقدیر تعلّقه بالمعلوم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تنزیل إطلاقات عبارات المختلف علیه،کما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احتمل بعض </w:t>
      </w:r>
      <w:r>
        <w:rPr>
          <w:rStyle w:val="FootnoteAnchor"/>
          <w:rtl w:val="true"/>
        </w:rPr>
        <w:footnoteReference w:id="1604"/>
      </w:r>
      <w:r>
        <w:rPr>
          <w:rFonts w:ascii="IRNazanin" w:hAnsi="IRNazanin" w:eastAsia="IRNazanin"/>
          <w:color w:val="111111"/>
          <w:sz w:val="28"/>
          <w:sz w:val="28"/>
          <w:szCs w:val="28"/>
          <w:rtl w:val="true"/>
          <w:lang w:bidi="fa-IR"/>
        </w:rPr>
        <w:t>،بل استظهر أنّ مرادهم بکون المعلوم مقصوداً و المجهول تابعاً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المقصود بالبیع ذلک المعلوم،بمعنی الإقدام منهما و لو لتصحیح البیع علی أنّ المبیع المقابل بالثمن هذا المعلوم الذی هو و إن سُمّی ضمیمة لکنّه المقصود فی تصحیح البیع،قال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ینافیه کون المقصود بالنسبة إلی الغرض ما فیه الغرر،نظیر ما یستعمله بعض الناس فی التخلّص من المخاصمة بعد ذلک فی الذی یراد بیعه لعارض من العوارض بإیقاع العقد علی شیءٍ معیّنٍ معلومٍ لا نزاع فیه،و جعل ذلک من التوابع و اللواحق لما عقد علیه البیع،فلا یقدح حصوله و عدم حصوله کما أُومی إلیه فی ضمیمة الآبق،و ضمیمة الثمر علی الشجر، و ضمیمة ما فی الضروع و ما فی الآجام </w:t>
      </w:r>
      <w:r>
        <w:rPr>
          <w:rStyle w:val="FootnoteAnchor"/>
          <w:rtl w:val="true"/>
        </w:rPr>
        <w:footnoteReference w:id="160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أنّه لم توجد عبارة من عبائرهم تقبل </w:t>
      </w:r>
      <w:r>
        <w:rPr>
          <w:rStyle w:val="FootnoteAnchor"/>
          <w:rtl w:val="true"/>
        </w:rPr>
        <w:footnoteReference w:id="1606"/>
      </w:r>
      <w:r>
        <w:rPr>
          <w:rFonts w:ascii="IRNazanin" w:hAnsi="IRNazanin" w:eastAsia="IRNazanin"/>
          <w:color w:val="111111"/>
          <w:sz w:val="28"/>
          <w:sz w:val="28"/>
          <w:szCs w:val="28"/>
          <w:rtl w:val="true"/>
          <w:lang w:bidi="fa-IR"/>
        </w:rPr>
        <w:t>هذا الحمل، إلّا أن یرید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المجهول شرطاً و المعلوم مشروطاً،فیرید ما تقدّم عن القواعد و التذکرة </w:t>
      </w:r>
      <w:r>
        <w:rPr>
          <w:rStyle w:val="FootnoteAnchor"/>
          <w:rtl w:val="true"/>
        </w:rPr>
        <w:footnoteReference w:id="1607"/>
      </w:r>
      <w:r>
        <w:rPr>
          <w:rFonts w:ascii="IRNazanin" w:hAnsi="IRNazanin" w:eastAsia="IRNazanin"/>
          <w:color w:val="111111"/>
          <w:sz w:val="28"/>
          <w:sz w:val="28"/>
          <w:szCs w:val="28"/>
          <w:rtl w:val="true"/>
          <w:lang w:bidi="fa-IR"/>
        </w:rPr>
        <w:t>،و لا أظنّ إرادة ذلک من کلامه؛بقرینة استشهاده بأخبار الضمیمة فی الموارد المتفرّقة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الأوفق بالقواعد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الشرط و الجزء،فلا فرق بینهما من حیث لزوم الغرر بالجهالة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قصد المتبایعین بحسب الشخص،فالظاهر أنّه غیر مؤثّر فی الغرر وجوداً و عدماً؛لأنّ الظاهر من حدیث الغرر من کلماتهم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مدخلیّة قصد المتبایعین فی الموارد الشخصیّة،بل و کذلک قصدهما بحسب النوع علی الوجه الذی ذکره فی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کون قیمة المعلوم تقارب الثمن المدفوع له و للمجهول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التابع العرفی،فالمجهول منه و إن خرج عن الغرر عرفاً،إلّا أنّ المجهول منه جزءاً داخلٌ ظاهراً فی معقد الإجماع علی اشتراط العلم بالمبیع المتوقّف علی العلم بالمجموع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الشرط تابعاً عرفیّاً خرج عن بیع الغرر و عن معقد الإجماع علی اشتراط کون المبیع معلوماً فیقتصر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التابع من حیث جعل المتبایعین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التابع للمبیع الذی یندرج فی المبیع و إن لم ینضمّ إلیه حین العقد و لم یخطر ببال المتبایعین،فالظاهر عدم الخلاف و الإشکال فی عدم اعتبار العلم به،إلّا إذا استلزم </w:t>
      </w:r>
      <w:r>
        <w:rPr>
          <w:rStyle w:val="FootnoteAnchor"/>
          <w:rtl w:val="true"/>
        </w:rPr>
        <w:footnoteReference w:id="1610"/>
      </w:r>
      <w:r>
        <w:rPr>
          <w:rFonts w:ascii="IRNazanin" w:hAnsi="IRNazanin" w:eastAsia="IRNazanin"/>
          <w:color w:val="111111"/>
          <w:sz w:val="28"/>
          <w:sz w:val="28"/>
          <w:szCs w:val="28"/>
          <w:rtl w:val="true"/>
          <w:lang w:bidi="fa-IR"/>
        </w:rPr>
        <w:t>غرراً فی نفس المبیع؛إذ الکلام فی مسألة الضمیمة من حیث الغرر الحاصل فی المجموع،لا الساری من المجهول إلی المعلوم،فافهم</w:t>
      </w:r>
      <w:r>
        <w:rPr>
          <w:rFonts w:eastAsia="IRNazanin" w:cs="IRNazanin"/>
          <w:color w:val="111111"/>
          <w:sz w:val="28"/>
          <w:szCs w:val="28"/>
          <w:rtl w:val="true"/>
          <w:lang w:bidi="fa-IR"/>
        </w:rPr>
        <w:t>.</w:t>
      </w:r>
      <w:bookmarkStart w:id="533" w:name="pg19861_202603"/>
    </w:p>
    <w:p>
      <w:pPr>
        <w:pStyle w:val="Heading4"/>
        <w:numPr>
          <w:ilvl w:val="3"/>
          <w:numId w:val="1"/>
        </w:numPr>
        <w:rPr/>
      </w:pPr>
      <w:bookmarkStart w:id="534" w:name="__RefHeading___Toc5119247_2314609296"/>
      <w:bookmarkStart w:id="535" w:name="_Toc208"/>
      <w:bookmarkEnd w:id="533"/>
      <w:bookmarkEnd w:id="534"/>
      <w:r>
        <w:rPr>
          <w:rtl w:val="true"/>
        </w:rPr>
        <w:t>مسألة یجوز أن یُندر لظرفٍ ما یوزن مع ظرفه مقدارٌ یحتمل الزیادة و النقیصة</w:t>
      </w:r>
      <w:bookmarkEnd w:id="535"/>
    </w:p>
    <w:p>
      <w:pPr>
        <w:pStyle w:val="BookText"/>
        <w:rPr/>
      </w:pPr>
      <w:r>
        <w:rPr>
          <w:rFonts w:ascii="IRNazanin" w:hAnsi="IRNazanin" w:eastAsia="IRNazanin"/>
          <w:color w:val="111111"/>
          <w:sz w:val="28"/>
          <w:sz w:val="28"/>
          <w:szCs w:val="28"/>
          <w:rtl w:val="true"/>
          <w:lang w:bidi="fa-IR"/>
        </w:rPr>
        <w:t>علی المشهور،بل لا خلاف فیه فی الجملة،بل عن فخر الإسلام التصریح بدعوی الإجماع،قال فیما حکی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الأصحاب علی أنّه یجوز الإندار للظروف بما یحتمل الزیادة و النقیصة،فقد استثنی من المبیع أمرٌ مجهولٌ،و استثناء المجهول مبطل للبیع،إلّا فی هذه الصورة؛ فإنّه لا یبطل إجماعاً </w:t>
      </w:r>
      <w:r>
        <w:rPr>
          <w:rStyle w:val="FootnoteAnchor"/>
          <w:rtl w:val="true"/>
        </w:rPr>
        <w:footnoteReference w:id="161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إطلاق الاستثناء باعتبار خروجه عن المبیع و لو من أوّل الأمر،بل الاستثناء الحقیقی من المبیع یرجع إلی هذا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الأقوال فی تفصیل المسألة ستّة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الإندار بشرطین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المندَر متعارف الإندار عند التجار،و عدم العلم بزیادة ما یندره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للنهایة </w:t>
      </w:r>
      <w:r>
        <w:rPr>
          <w:rStyle w:val="FootnoteAnchor"/>
          <w:rtl w:val="true"/>
        </w:rPr>
        <w:footnoteReference w:id="1612"/>
      </w:r>
      <w:r>
        <w:rPr>
          <w:rFonts w:ascii="IRNazanin" w:hAnsi="IRNazanin" w:eastAsia="IRNazanin"/>
          <w:color w:val="111111"/>
          <w:sz w:val="28"/>
          <w:sz w:val="28"/>
          <w:szCs w:val="28"/>
          <w:rtl w:val="true"/>
          <w:lang w:bidi="fa-IR"/>
        </w:rPr>
        <w:t xml:space="preserve">و الوسیلة </w:t>
      </w:r>
      <w:r>
        <w:rPr>
          <w:rStyle w:val="FootnoteAnchor"/>
          <w:rtl w:val="true"/>
        </w:rPr>
        <w:footnoteReference w:id="1613"/>
      </w:r>
      <w:r>
        <w:rPr>
          <w:rFonts w:ascii="IRNazanin" w:hAnsi="IRNazanin" w:eastAsia="IRNazanin"/>
          <w:color w:val="111111"/>
          <w:sz w:val="28"/>
          <w:sz w:val="28"/>
          <w:szCs w:val="28"/>
          <w:rtl w:val="true"/>
          <w:lang w:bidi="fa-IR"/>
        </w:rPr>
        <w:t>و عن</w:t>
      </w:r>
    </w:p>
    <w:p>
      <w:pPr>
        <w:pStyle w:val="BookText"/>
        <w:rPr/>
      </w:pPr>
      <w:r>
        <w:rPr>
          <w:rFonts w:ascii="IRNazanin" w:hAnsi="IRNazanin" w:eastAsia="IRNazanin"/>
          <w:color w:val="111111"/>
          <w:sz w:val="28"/>
          <w:sz w:val="28"/>
          <w:szCs w:val="28"/>
          <w:rtl w:val="true"/>
          <w:lang w:bidi="fa-IR"/>
        </w:rPr>
        <w:t xml:space="preserve">غیرهما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النقیصة علی الزیادة فی اعتبار عدم العلم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للتحریر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العادة مطلقاً و لو علم الزیادة أو النقیصة،و مع عدم العادة فیما یحتملهما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لظاهر اللمعة و صریح الروضة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التفصیل بین ما یحتمل الزیادة و النقیصة فیجوز مطلقاً،و ما علم الزیادة </w:t>
      </w:r>
      <w:r>
        <w:rPr>
          <w:rStyle w:val="FootnoteAnchor"/>
          <w:rtl w:val="true"/>
        </w:rPr>
        <w:footnoteReference w:id="1617"/>
      </w:r>
      <w:r>
        <w:rPr>
          <w:rFonts w:ascii="IRNazanin" w:hAnsi="IRNazanin" w:eastAsia="IRNazanin"/>
          <w:color w:val="111111"/>
          <w:sz w:val="28"/>
          <w:sz w:val="28"/>
          <w:szCs w:val="28"/>
          <w:rtl w:val="true"/>
          <w:lang w:bidi="fa-IR"/>
        </w:rPr>
        <w:t xml:space="preserve">فالجواز بشرط التراضی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العلم بالنقیصة علی الزیادة،و هو للمحقّق الثانی ناسباً له إلی کلّ من لم یذکر 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إناطة الحکم بالغرر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صورة </w:t>
      </w:r>
      <w:r>
        <w:rPr>
          <w:rStyle w:val="FootnoteAnchor"/>
          <w:rtl w:val="true"/>
        </w:rPr>
        <w:footnoteReference w:id="1620"/>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یوزن مظروفٌ مع ظرفه فیعلم أنّه عشرة أرطال،فإذا أُرید بیع المظروف فقط کما هو المفروض و قلنا</w:t>
      </w:r>
    </w:p>
    <w:p>
      <w:pPr>
        <w:pStyle w:val="BookText"/>
        <w:rPr/>
      </w:pPr>
      <w:r>
        <w:rPr>
          <w:rFonts w:ascii="IRNazanin" w:hAnsi="IRNazanin" w:eastAsia="IRNazanin"/>
          <w:color w:val="111111"/>
          <w:sz w:val="28"/>
          <w:sz w:val="28"/>
          <w:szCs w:val="28"/>
          <w:rtl w:val="true"/>
          <w:lang w:bidi="fa-IR"/>
        </w:rPr>
        <w:t>بکفایة العلم بوزن المجموع و عدم اعتبار العلم بوزن المبیع منفرداً،علی ما هو مفروض المسألة و معقد الإجماع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یباع المظروف المذکور جملةً بکذا،و حینئذٍ فلا یحتاج إلی الإندار؛لأنّ الثمن و المثمن معلومان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یباع علی وجه التسعیر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بعتُکَه کلَّ رَطْلٍ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فیجیء مسألة الإندار؛للحاجة إلی تعیین ما یستحقّه البائع من 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تحرّر المسألة علی وجه آخر،و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ما علم وزن الظرف و المظروف،و قلنا بعدم لزوم العلم بوزن المظروف منفرداً فإندار أیّ مقدار للظرف یجعل وزن المظروف فی حکم المعلوم،و هل هو منوط بالمعتاد بین التجار،أو التراضی،أو بغیر ذلک؟ فالکلام فی تعیین المقدار المندَر لأجل إحراز شرط صحّة بیع المظروف،بعد قیام الإجماع علی عدم لزوم العلم بوزنه بالتقدیر أو بإخبار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 هذا الوجه ینظر بعض الأساطین </w:t>
      </w:r>
      <w:r>
        <w:rPr>
          <w:rStyle w:val="FootnoteAnchor"/>
          <w:rtl w:val="true"/>
        </w:rPr>
        <w:footnoteReference w:id="1621"/>
      </w:r>
      <w:r>
        <w:rPr>
          <w:rFonts w:ascii="IRNazanin" w:hAnsi="IRNazanin" w:eastAsia="IRNazanin"/>
          <w:color w:val="111111"/>
          <w:sz w:val="28"/>
          <w:sz w:val="28"/>
          <w:szCs w:val="28"/>
          <w:rtl w:val="true"/>
          <w:lang w:bidi="fa-IR"/>
        </w:rPr>
        <w:t>حیث أناط المقدار المندَر بما لا یحصل معه غرر،و اعترض علی ما فی القواعد و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اعتبار التراضی فی جواز إندار ما یعلم زیادته بأنّ التراضی لا یدفع غرراً و لا یصحّح عقداً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فی ذلک بعض أتباعه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یستظهر هذا الوجه من عبارة الفخر المتقدّمة </w:t>
      </w:r>
      <w:r>
        <w:rPr>
          <w:rStyle w:val="FootnoteAnchor"/>
          <w:rtl w:val="true"/>
        </w:rPr>
        <w:footnoteReference w:id="1623"/>
      </w:r>
      <w:r>
        <w:rPr>
          <w:rFonts w:ascii="IRNazanin" w:hAnsi="IRNazanin" w:eastAsia="IRNazanin"/>
          <w:color w:val="111111"/>
          <w:sz w:val="28"/>
          <w:sz w:val="28"/>
          <w:szCs w:val="28"/>
          <w:rtl w:val="true"/>
          <w:lang w:bidi="fa-IR"/>
        </w:rPr>
        <w:t>حیث</w:t>
      </w:r>
    </w:p>
    <w:p>
      <w:pPr>
        <w:pStyle w:val="BookText"/>
        <w:rPr/>
      </w:pPr>
      <w:r>
        <w:rPr>
          <w:rFonts w:ascii="IRNazanin" w:hAnsi="IRNazanin" w:eastAsia="IRNazanin"/>
          <w:color w:val="111111"/>
          <w:sz w:val="28"/>
          <w:sz w:val="28"/>
          <w:szCs w:val="28"/>
          <w:rtl w:val="true"/>
          <w:lang w:bidi="fa-IR"/>
        </w:rPr>
        <w:t xml:space="preserve">فرّع استثناء المجهول من المبیع علی جواز الإندار،إذ علی الوجه الأوّل یکون استثناء </w:t>
      </w:r>
      <w:r>
        <w:rPr>
          <w:rStyle w:val="FootnoteAnchor"/>
          <w:rtl w:val="true"/>
        </w:rPr>
        <w:footnoteReference w:id="1624"/>
      </w:r>
      <w:r>
        <w:rPr>
          <w:rFonts w:ascii="IRNazanin" w:hAnsi="IRNazanin" w:eastAsia="IRNazanin"/>
          <w:color w:val="111111"/>
          <w:sz w:val="28"/>
          <w:sz w:val="28"/>
          <w:szCs w:val="28"/>
          <w:rtl w:val="true"/>
          <w:lang w:bidi="fa-IR"/>
        </w:rPr>
        <w:t>المجهول متفرّعاً علی جواز بیع المظروف بدون الظرف المجهول،لا علی جواز إندار مقدارٍ معیّن؛إذ الإندار حینئذٍ لتعیین الثمن،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کان،فهذا الوجه مخالفٌ لظاهر کلمات الباقین،فإنّ جماعةً منهم کما عرفت من الفاضلین </w:t>
      </w:r>
      <w:r>
        <w:rPr>
          <w:rStyle w:val="FootnoteAnchor"/>
          <w:rtl w:val="true"/>
        </w:rPr>
        <w:footnoteReference w:id="1625"/>
      </w:r>
      <w:r>
        <w:rPr>
          <w:rFonts w:ascii="IRNazanin" w:hAnsi="IRNazanin" w:eastAsia="IRNazanin"/>
          <w:color w:val="111111"/>
          <w:sz w:val="28"/>
          <w:sz w:val="28"/>
          <w:szCs w:val="28"/>
          <w:rtl w:val="true"/>
          <w:lang w:bidi="fa-IR"/>
        </w:rPr>
        <w:t>و غیرهما خصّوا اعتبار التراضی بصورة العلم بالمخالفة،فلو کان الإندار لإحراز وزن المبیع و تصحیح العقد لکان معتبراً مطلقاً؛إذ لا معنی لإیقاع العقد علی وزنٍ مخصوصٍ بثمنٍ مخصوصٍ من دون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صرّح المحقّق و الشهید الثانیان فی وجه اعتبار التراضی مع العلم بالزیادة أو النقیصة بأنّ فی الإندار من دون التراضی تضییعاً لمال أحدهما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أنّه لو کان اعتبار الإندار قبل العقد لتصحیحه لم یتحقّق تضییع المال؛لأنّ الثمن وقع فی العقد فی مقابل المظروف،سواء فرض زائداً أو ناقصاً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هذا،مع أنّه إذا فرض کون استقرار العادة علی إندار مقدارٍ معیّنٍ</w:t>
      </w:r>
    </w:p>
    <w:p>
      <w:pPr>
        <w:pStyle w:val="BookText"/>
        <w:rPr/>
      </w:pPr>
      <w:r>
        <w:rPr>
          <w:rFonts w:ascii="IRNazanin" w:hAnsi="IRNazanin" w:eastAsia="IRNazanin"/>
          <w:color w:val="111111"/>
          <w:sz w:val="28"/>
          <w:sz w:val="28"/>
          <w:szCs w:val="28"/>
          <w:rtl w:val="true"/>
          <w:lang w:bidi="fa-IR"/>
        </w:rPr>
        <w:t>یحتمل الزیادة و النقیصة،فالتراضی علی الزائد علیه أو الناقص عنه یقیناً لا یوجب غرراً،بل یکون کاشتراط زیادة مقدارٍ علی المقدار المعلوم غیر قادحٍ فی صحّة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المجموع عشرة أرطال و کان المعتاد إسقاط رطل للظرف،فإذا تراضیا علی أن یُندَر للظرف رطلان </w:t>
      </w:r>
      <w:r>
        <w:rPr>
          <w:rStyle w:val="FootnoteAnchor"/>
          <w:rtl w:val="true"/>
        </w:rPr>
        <w:footnoteReference w:id="1627"/>
      </w:r>
      <w:r>
        <w:rPr>
          <w:rFonts w:ascii="IRNazanin" w:hAnsi="IRNazanin" w:eastAsia="IRNazanin"/>
          <w:color w:val="111111"/>
          <w:sz w:val="28"/>
          <w:sz w:val="28"/>
          <w:szCs w:val="28"/>
          <w:rtl w:val="true"/>
          <w:lang w:bidi="fa-IR"/>
        </w:rPr>
        <w:t>فکأنه شرط للمشتری أن لا یحسب علیه رطلاً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تراضیا علی إندار نصف رطلٍ فقد اشترط المشتری جَعْلَ ثَمَنِ تسعة أرطالٍ و نصفٍ ثَمَناً للتسعة، فلا معنی للاعتراض علی من قال باعتبار التراضی فی إندار ما علم زیادته أو نقیصته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التراضی لا یدفع غرراً و لا یصحّح عقداً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کان،فالأظهر </w:t>
      </w:r>
      <w:r>
        <w:rPr>
          <w:rStyle w:val="FootnoteAnchor"/>
          <w:rtl w:val="true"/>
        </w:rPr>
        <w:footnoteReference w:id="1628"/>
      </w:r>
      <w:r>
        <w:rPr>
          <w:rFonts w:ascii="IRNazanin" w:hAnsi="IRNazanin" w:eastAsia="IRNazanin"/>
          <w:color w:val="111111"/>
          <w:sz w:val="28"/>
          <w:sz w:val="28"/>
          <w:szCs w:val="28"/>
          <w:rtl w:val="true"/>
          <w:lang w:bidi="fa-IR"/>
        </w:rPr>
        <w:t xml:space="preserve">هو الوجه الأوّل،فیکون دخول هذه المسألة فی فروع مسألة تعیین العوضین من حیث تجویز بیع المظروف بدون ظرفه المجهول کما عنون المسألة بذلک فی اللمعة </w:t>
      </w:r>
      <w:r>
        <w:rPr>
          <w:rStyle w:val="FootnoteAnchor"/>
          <w:rtl w:val="true"/>
        </w:rPr>
        <w:footnoteReference w:id="1629"/>
      </w:r>
      <w:r>
        <w:rPr>
          <w:rFonts w:ascii="IRNazanin" w:hAnsi="IRNazanin" w:eastAsia="IRNazanin"/>
          <w:color w:val="111111"/>
          <w:sz w:val="28"/>
          <w:sz w:val="28"/>
          <w:szCs w:val="28"/>
          <w:rtl w:val="true"/>
          <w:lang w:bidi="fa-IR"/>
        </w:rPr>
        <w:t xml:space="preserve">،بل نسبه فی الحدائق إلیهم </w:t>
      </w:r>
      <w:r>
        <w:rPr>
          <w:rStyle w:val="FootnoteAnchor"/>
          <w:rtl w:val="true"/>
        </w:rPr>
        <w:footnoteReference w:id="1630"/>
      </w:r>
      <w:r>
        <w:rPr>
          <w:rFonts w:ascii="IRNazanin" w:hAnsi="IRNazanin" w:eastAsia="IRNazanin"/>
          <w:color w:val="111111"/>
          <w:sz w:val="28"/>
          <w:sz w:val="28"/>
          <w:szCs w:val="28"/>
          <w:rtl w:val="true"/>
          <w:lang w:bidi="fa-IR"/>
        </w:rPr>
        <w:t>لا من حیث إندار مقدارٍ معیّنٍ للظرف المجهول وقت العقد،و التواطؤ علی إیقاع العقد علی الباقی بعد الإندار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المحقّق الأردبیلی رحمه اللّٰه فی تفسیر عنوان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أنّه یجوز بیع الموزون بأن یوزن مع ظرفه ثمّ یُسقط من المجموع مقدار الظرف تخمیناً بحیث یحتمل کونه مقدار الظرف لا أزید و لا أنقص،بل</w:t>
      </w:r>
    </w:p>
    <w:p>
      <w:pPr>
        <w:pStyle w:val="BookText"/>
        <w:rPr/>
      </w:pPr>
      <w:r>
        <w:rPr>
          <w:rFonts w:ascii="IRNazanin" w:hAnsi="IRNazanin" w:eastAsia="IRNazanin"/>
          <w:color w:val="111111"/>
          <w:sz w:val="28"/>
          <w:sz w:val="28"/>
          <w:szCs w:val="28"/>
          <w:rtl w:val="true"/>
          <w:lang w:bidi="fa-IR"/>
        </w:rPr>
        <w:t xml:space="preserve">و إن تفاوت لا یکون إلّا بشیءٍ یسیر یتساهل </w:t>
      </w:r>
      <w:r>
        <w:rPr>
          <w:rStyle w:val="FootnoteAnchor"/>
          <w:rtl w:val="true"/>
        </w:rPr>
        <w:footnoteReference w:id="1631"/>
      </w:r>
      <w:r>
        <w:rPr>
          <w:rFonts w:ascii="IRNazanin" w:hAnsi="IRNazanin" w:eastAsia="IRNazanin"/>
          <w:color w:val="111111"/>
          <w:sz w:val="28"/>
          <w:sz w:val="28"/>
          <w:szCs w:val="28"/>
          <w:rtl w:val="true"/>
          <w:lang w:bidi="fa-IR"/>
        </w:rPr>
        <w:t xml:space="preserve">به </w:t>
      </w:r>
      <w:r>
        <w:rPr>
          <w:rStyle w:val="FootnoteAnchor"/>
          <w:rtl w:val="true"/>
        </w:rPr>
        <w:footnoteReference w:id="1632"/>
      </w:r>
      <w:r>
        <w:rPr>
          <w:rFonts w:ascii="Amiri" w:hAnsi="Amiri" w:eastAsia="Amiri" w:cs="Amiri"/>
          <w:color w:val="111111"/>
          <w:sz w:val="28"/>
          <w:sz w:val="28"/>
          <w:szCs w:val="28"/>
          <w:rtl w:val="true"/>
          <w:lang w:bidi="ar-SA"/>
        </w:rPr>
        <w:t xml:space="preserve">عادةً،ثمّ دفع </w:t>
      </w:r>
      <w:r>
        <w:rPr>
          <w:rStyle w:val="FootnoteAnchor"/>
          <w:rtl w:val="true"/>
        </w:rPr>
        <w:footnoteReference w:id="1633"/>
      </w:r>
      <w:r>
        <w:rPr>
          <w:rFonts w:ascii="IRNazanin" w:hAnsi="IRNazanin" w:eastAsia="IRNazanin"/>
          <w:color w:val="111111"/>
          <w:sz w:val="28"/>
          <w:sz w:val="28"/>
          <w:szCs w:val="28"/>
          <w:rtl w:val="true"/>
          <w:lang w:bidi="fa-IR"/>
        </w:rPr>
        <w:t xml:space="preserve">ثمن الباقی مع الظرف إلی البائع </w:t>
      </w:r>
      <w:r>
        <w:rPr>
          <w:rStyle w:val="FootnoteAnchor"/>
          <w:rtl w:val="true"/>
        </w:rPr>
        <w:footnoteReference w:id="163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فظاهره الوجه الأوّل الذی ذکرنا،حیث جوّز البیع بمجرّد وزن المظروف مع الظرف،و جَعَل الإندار لأجل تعیین الباقی الذی یجب علیه دفع 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الحدائق فی مقام الردّ علی من ألحق النقیصة بالزیادة فی اعتبار عدم العلم بها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الإندار حقٌّ للمشتری؛لأنّه قد اشتریٰ مثلاً مائة منٍّ من السمن فی هذه الظروف،فالواجب قیمة المائة المذکورة،و له إسقاط ما یقابل الظروف من هذا الوزن </w:t>
      </w:r>
      <w:r>
        <w:rPr>
          <w:rStyle w:val="FootnoteAnchor"/>
          <w:rtl w:val="true"/>
        </w:rPr>
        <w:footnoteReference w:id="163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الکلام و إن کان مؤیّداً لما استقربناه فی تحریر المسألة،إلّا أنّ جَعْلَ الإندار حقّا للمشتری و التمثیل بما ذکره لا یخلو عن </w:t>
      </w:r>
      <w:r>
        <w:rPr>
          <w:rStyle w:val="FootnoteAnchor"/>
          <w:rtl w:val="true"/>
        </w:rPr>
        <w:footnoteReference w:id="1636"/>
      </w:r>
      <w:r>
        <w:rPr>
          <w:rFonts w:ascii="IRNazanin" w:hAnsi="IRNazanin" w:eastAsia="IRNazanin"/>
          <w:color w:val="111111"/>
          <w:sz w:val="28"/>
          <w:sz w:val="28"/>
          <w:szCs w:val="28"/>
          <w:rtl w:val="true"/>
          <w:lang w:bidi="fa-IR"/>
        </w:rPr>
        <w:t>نظر؛ فإنّ المشتری لم یشترِ مائة منٍّ من السمن فی هذه الظروف؛لأنّ التعبیر بهذا مع العلم بعدم کون ما فی هذه الظروف مائة منٍّ لغو،بل المبیع فی الحقیقة ما فی هذه الظروف التی هی مع المظروف مائة منٍّ،فإن باعه بثمن معیّنٍ فلا حاجة إلی الإندار،و لا حقّ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اشتراه علی وجه التسعیر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یحتاج إلیه لتعیین</w:t>
      </w:r>
    </w:p>
    <w:p>
      <w:pPr>
        <w:pStyle w:val="BookText"/>
        <w:rPr/>
      </w:pPr>
      <w:r>
        <w:rPr>
          <w:rFonts w:ascii="IRNazanin" w:hAnsi="IRNazanin" w:eastAsia="IRNazanin"/>
          <w:color w:val="111111"/>
          <w:sz w:val="28"/>
          <w:sz w:val="28"/>
          <w:szCs w:val="28"/>
          <w:rtl w:val="true"/>
          <w:lang w:bidi="fa-IR"/>
        </w:rPr>
        <w:t>ما یستحقّه البائع علی المشتری من الثمن،فکیف یکون الواجب قیمة المائة کما ذکره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الإندار الذی هو عبارة عن تخمین الظرف الخارج عن المبیع بوزن إنّما هو لتعیین حقّ البائع،و لیس حقّا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موثّقة حنان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معمّر الزیّات قال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نشتری الزیت فی زقاقه،فیحسب لنا النقصان لمکان الزقاق؟فقال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یزید و ینقص فلا بأس،و إن کان یزید و لا ینقص فلا تقربه</w:t>
      </w:r>
      <w:r>
        <w:rPr>
          <w:rFonts w:eastAsia="IRNazanin" w:cs="IRNazanin"/>
          <w:color w:val="111111"/>
          <w:sz w:val="28"/>
          <w:szCs w:val="28"/>
          <w:rtl w:val="true"/>
          <w:lang w:bidi="fa-IR"/>
        </w:rPr>
        <w:t xml:space="preserve">»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قیل </w:t>
      </w:r>
      <w:r>
        <w:rPr>
          <w:rStyle w:val="FootnoteAnchor"/>
          <w:rtl w:val="true"/>
        </w:rPr>
        <w:footnoteReference w:id="1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ظاهره عدم اعتبار التراضی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المفروض فی السؤال هو التراضی؛لأنّ الحاسب هو البائع أو وکیله و هما مختاران،و المحسوب له هو المشتری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مورد السؤال صحّة الإندار مع إبقاء الزقاق للمشتری بلا ثمن أو بثمنٍ مغایرٍ للمظروف،أو مع ردّها إلی البائع من دون وزن لها،فإنّ السؤال عن صحّة جمیع </w:t>
      </w:r>
      <w:r>
        <w:rPr>
          <w:rStyle w:val="FootnoteAnchor"/>
          <w:rtl w:val="true"/>
        </w:rPr>
        <w:footnoteReference w:id="1640"/>
      </w:r>
      <w:r>
        <w:rPr>
          <w:rFonts w:ascii="IRNazanin" w:hAnsi="IRNazanin" w:eastAsia="IRNazanin"/>
          <w:color w:val="111111"/>
          <w:sz w:val="28"/>
          <w:sz w:val="28"/>
          <w:szCs w:val="28"/>
          <w:rtl w:val="true"/>
          <w:lang w:bidi="fa-IR"/>
        </w:rPr>
        <w:t>ذلک بعد الفراغ عن تراضی المتبایعین علیه،فلا إطلاق فیه یعمّ صورة عدم التراضی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یؤیّده النهی عن ارتکابه مع العلم بالزیادة؛فإنّ النهی </w:t>
      </w:r>
      <w:r>
        <w:rPr>
          <w:rStyle w:val="FootnoteAnchor"/>
          <w:rtl w:val="true"/>
        </w:rPr>
        <w:footnoteReference w:id="1641"/>
      </w:r>
      <w:r>
        <w:rPr>
          <w:rFonts w:ascii="IRNazanin" w:hAnsi="IRNazanin" w:eastAsia="IRNazanin"/>
          <w:color w:val="111111"/>
          <w:sz w:val="28"/>
          <w:sz w:val="28"/>
          <w:szCs w:val="28"/>
          <w:rtl w:val="true"/>
          <w:lang w:bidi="fa-IR"/>
        </w:rPr>
        <w:t xml:space="preserve">عنه لیس عن </w:t>
      </w:r>
      <w:r>
        <w:rPr>
          <w:rStyle w:val="FootnoteAnchor"/>
          <w:rtl w:val="true"/>
        </w:rPr>
        <w:footnoteReference w:id="1642"/>
      </w:r>
      <w:r>
        <w:rPr>
          <w:rFonts w:ascii="IRNazanin" w:hAnsi="IRNazanin" w:eastAsia="IRNazanin"/>
          <w:color w:val="111111"/>
          <w:sz w:val="28"/>
          <w:sz w:val="28"/>
          <w:szCs w:val="28"/>
          <w:rtl w:val="true"/>
          <w:lang w:bidi="fa-IR"/>
        </w:rPr>
        <w:t>ارتکابه</w:t>
      </w:r>
    </w:p>
    <w:p>
      <w:pPr>
        <w:pStyle w:val="BookText"/>
        <w:rPr/>
      </w:pPr>
      <w:r>
        <w:rPr>
          <w:rFonts w:ascii="IRNazanin" w:hAnsi="IRNazanin" w:eastAsia="IRNazanin"/>
          <w:color w:val="111111"/>
          <w:sz w:val="28"/>
          <w:sz w:val="28"/>
          <w:szCs w:val="28"/>
          <w:rtl w:val="true"/>
          <w:lang w:bidi="fa-IR"/>
        </w:rPr>
        <w:t>بغیر تراضٍ،فافهم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لا یعارضها ما دلّ علی صحّة ذلک مع التراضی،مثل روایة علیّ بن أبی حمزة،قال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معمّر الزیّات یسأل أبا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نطرح ظروف السمن و الزیت کلّ ظرف کذا و کذا رطلاً فربما زاد و ربما نقص؟قال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ذلک عن تراضٍ منکم فلا بأس</w:t>
      </w:r>
      <w:r>
        <w:rPr>
          <w:rFonts w:eastAsia="IRNazanin" w:cs="IRNazanin"/>
          <w:color w:val="111111"/>
          <w:sz w:val="28"/>
          <w:szCs w:val="28"/>
          <w:rtl w:val="true"/>
          <w:lang w:bidi="fa-IR"/>
        </w:rPr>
        <w:t xml:space="preserve">»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الشرط فیه مسوق لبیان کفایة التراضی فی ذلک و عدم المانع منه شرعاً،فیشبه التراضی العلّة التامّة الغیر المتوقّفة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اشتراط التراضی فی خبر علیّ بن جعفر المحکیّ عن قرب الإسناد عن أخیه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یشتری المتاع وزناً فی الناسیة و الجوالق،فیقول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للناسیة رطلاً أو أکثر من ذلک،أ یحلّ ذلک البیع؟قال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یعلم وزن الناسیة و الجوالق فلا بأس إذا تراضیا</w:t>
      </w:r>
      <w:r>
        <w:rPr>
          <w:rFonts w:eastAsia="IRNazanin" w:cs="IRNazanin"/>
          <w:color w:val="111111"/>
          <w:sz w:val="28"/>
          <w:szCs w:val="28"/>
          <w:rtl w:val="true"/>
          <w:lang w:bidi="fa-IR"/>
        </w:rPr>
        <w:t xml:space="preserve">»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یزید و ینقص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الأُولی،یحتمل أن یراد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 و النقیصة فی هذا المقدار المندَر فی شخص المعاملة، بمعنی زیادة مجموع ما أُندر لمجموع الزقاق أو نقصانه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یزید فی بعض الزقاق،و ینقص </w:t>
      </w:r>
      <w:r>
        <w:rPr>
          <w:rStyle w:val="FootnoteAnchor"/>
          <w:rtl w:val="true"/>
        </w:rPr>
        <w:footnoteReference w:id="1645"/>
      </w:r>
      <w:r>
        <w:rPr>
          <w:rFonts w:ascii="IRNazanin" w:hAnsi="IRNazanin" w:eastAsia="IRNazanin"/>
          <w:color w:val="111111"/>
          <w:sz w:val="28"/>
          <w:sz w:val="28"/>
          <w:szCs w:val="28"/>
          <w:rtl w:val="true"/>
          <w:lang w:bidi="fa-IR"/>
        </w:rPr>
        <w:t>فی 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 و النقیصة فی نوع المقدار المُندَر فی نوع هذه المعاملة بحیث قد یتّفق فی بعض المعاملات الزیادة و فی بعض أُخری النقیصة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الذی فهمه فی النهایة </w:t>
      </w:r>
      <w:r>
        <w:rPr>
          <w:rStyle w:val="FootnoteAnchor"/>
          <w:rtl w:val="true"/>
        </w:rPr>
        <w:footnoteReference w:id="1646"/>
      </w:r>
      <w:r>
        <w:rPr>
          <w:rFonts w:ascii="IRNazanin" w:hAnsi="IRNazanin" w:eastAsia="IRNazanin"/>
          <w:color w:val="111111"/>
          <w:sz w:val="28"/>
          <w:sz w:val="28"/>
          <w:szCs w:val="28"/>
          <w:rtl w:val="true"/>
          <w:lang w:bidi="fa-IR"/>
        </w:rPr>
        <w:t xml:space="preserve">حیث اعتبر أن یکون ما یندر للظروف ممّا یزید تارة و ینقص اخری،و نحوه فی الوسیلة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یشهد للاحتمال الأوّل رجوع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مجموع النقصان المحسوب لمکان الزقاق،و للثانی عطف النقیصة علی الزیادة بالواو الظاهر فی اجتماع نفس المتعاطفین لا احتمالهما،و للثالث ما ورد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ربما یشتری الطعام من أهل السفینة ثمّ یکیله فیزید؟قال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نقص؟قلت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نقص ردّوا علیکم؟قلت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فیکون معنی الروایة </w:t>
      </w:r>
      <w:r>
        <w:rPr>
          <w:rStyle w:val="FootnoteAnchor"/>
          <w:rtl w:val="true"/>
        </w:rPr>
        <w:footnoteReference w:id="1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کان الذی یحسب لکم </w:t>
      </w:r>
      <w:r>
        <w:rPr>
          <w:rStyle w:val="FootnoteAnchor"/>
          <w:rtl w:val="true"/>
        </w:rPr>
        <w:footnoteReference w:id="1650"/>
      </w:r>
      <w:r>
        <w:rPr>
          <w:rFonts w:ascii="IRNazanin" w:hAnsi="IRNazanin" w:eastAsia="IRNazanin"/>
          <w:color w:val="111111"/>
          <w:sz w:val="28"/>
          <w:sz w:val="28"/>
          <w:szCs w:val="28"/>
          <w:rtl w:val="true"/>
          <w:lang w:bidi="fa-IR"/>
        </w:rPr>
        <w:t>زائداً مرّة و ناقصاً اخری،فلا بأس بما یحسب و إن بلغ ما بلغ،و إن زاد دائماً، فلا یجوز إلّا بهبة أو إبراء من الثمن أو مع التراضی،بناءً علی عدم توقّف الشقّ الأوّل علیه،و وقوع المحاسبة من السمسار بمقتضی العادة من غیر اطّلاع صاحب الزیت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کان،فالذی یقوی فی النظر،هو المشهور بین المتأخّرین</w:t>
      </w:r>
    </w:p>
    <w:p>
      <w:pPr>
        <w:pStyle w:val="BookText"/>
        <w:rPr/>
      </w:pPr>
      <w:r>
        <w:rPr>
          <w:rFonts w:ascii="IRNazanin" w:hAnsi="IRNazanin" w:eastAsia="IRNazanin"/>
          <w:color w:val="111111"/>
          <w:sz w:val="28"/>
          <w:sz w:val="28"/>
          <w:szCs w:val="28"/>
          <w:rtl w:val="true"/>
          <w:lang w:bidi="fa-IR"/>
        </w:rPr>
        <w:t>من جواز إندار ما یحتمل الزیادة و النقیصة؛لأصالة عدم زیادة المبیع علیه و عدم استحقاق البائع أزید ممّا یعطیه المشتری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العمل بالأصل لا یوجب ذهاب حقّ أحدهما عند انکشاف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العلم بالزیادة أو النقیصة،فإن کان هنا عادةٌ تقتضیه، کان العقد واقعاً علیها مع علم المتبایعین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مراد من لم یقیّد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الجهل بها أو عدمها فلا یجوز إلّا مع التراضی لسقوط حقّ من له الحقّ،سواء تواطئا علی ذلک فی متن العقد،بأن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ما فی هذه الظروف کلّ رطلٍ بدرهمٍ علی أن یسقط لکلّ ظرفٍ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هبةٌ له </w:t>
      </w:r>
      <w:r>
        <w:rPr>
          <w:rStyle w:val="FootnoteAnchor"/>
          <w:rtl w:val="true"/>
        </w:rPr>
        <w:footnoteReference w:id="1651"/>
      </w:r>
      <w:r>
        <w:rPr>
          <w:rFonts w:ascii="IRNazanin" w:hAnsi="IRNazanin" w:eastAsia="IRNazanin"/>
          <w:color w:val="111111"/>
          <w:sz w:val="28"/>
          <w:sz w:val="28"/>
          <w:szCs w:val="28"/>
          <w:rtl w:val="true"/>
          <w:lang w:bidi="fa-IR"/>
        </w:rPr>
        <w:t>،أو تراضیا علیه بعده بإسقاطٍ من الذمّة أو هبةٍ للعین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مع قطع النظر عن النصوص،و أمّا مع ملاحظتها فالمعوّل علیه روایة حنّان المتقدّمة </w:t>
      </w:r>
      <w:r>
        <w:rPr>
          <w:rStyle w:val="FootnoteAnchor"/>
          <w:rtl w:val="true"/>
        </w:rPr>
        <w:footnoteReference w:id="1652"/>
      </w:r>
      <w:r>
        <w:rPr>
          <w:rFonts w:ascii="IRNazanin" w:hAnsi="IRNazanin" w:eastAsia="IRNazanin"/>
          <w:color w:val="111111"/>
          <w:sz w:val="28"/>
          <w:sz w:val="28"/>
          <w:szCs w:val="28"/>
          <w:rtl w:val="true"/>
          <w:lang w:bidi="fa-IR"/>
        </w:rPr>
        <w:t>الظاهرة فی اعتبار الاعتیاد،من حیث ظهورها فی کون حساب المقدار الخاصّ متعارفاً،و اعتبار عدم العلم بزیادة المحسوب عن الظروف بما لا یتسامح به فی بیع کلّ مظروفٍ بحسب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کأنّ الشیخ رحمه اللّٰه فی النهایة فهم ذلک من الروایة فعبّر بمضمونها کما هو دأبه فی ذلک الکتاب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حیث إنّ ظاهر الروایة جواز الإندار واقعاً،بمعنی عدم وقوعه مراعی بانکشاف الزیادة و النقیصة،عملنا </w:t>
      </w:r>
      <w:r>
        <w:rPr>
          <w:rStyle w:val="FootnoteAnchor"/>
          <w:rtl w:val="true"/>
        </w:rPr>
        <w:footnoteReference w:id="1654"/>
      </w:r>
      <w:r>
        <w:rPr>
          <w:rFonts w:ascii="IRNazanin" w:hAnsi="IRNazanin" w:eastAsia="IRNazanin"/>
          <w:color w:val="111111"/>
          <w:sz w:val="28"/>
          <w:sz w:val="28"/>
          <w:szCs w:val="28"/>
          <w:rtl w:val="true"/>
          <w:lang w:bidi="fa-IR"/>
        </w:rPr>
        <w:t>بها کذلک،فیکون مرجع النهی عن ارتکاب ما علم بزیادته نظیر ما ورد من النهی عن الشراء بالموازین الزائدة عمّا یتسامح به،فإنّ ذلک یحتاج إلی هبةٍ جدیدةٍ،و لا یکفی إقباضها من حیث کونها حقّا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تعارف إندار ذلک المقدار و عدم العلم بالزیادة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مع عدم </w:t>
      </w:r>
      <w:r>
        <w:rPr>
          <w:rStyle w:val="FootnoteAnchor"/>
          <w:rtl w:val="true"/>
        </w:rPr>
        <w:footnoteReference w:id="1655"/>
      </w:r>
      <w:r>
        <w:rPr>
          <w:rFonts w:ascii="IRNazanin" w:hAnsi="IRNazanin" w:eastAsia="IRNazanin"/>
          <w:color w:val="111111"/>
          <w:sz w:val="28"/>
          <w:sz w:val="28"/>
          <w:szCs w:val="28"/>
          <w:rtl w:val="true"/>
          <w:lang w:bidi="fa-IR"/>
        </w:rPr>
        <w:t>القیدین،فمع الشکّ فی الزیادة و النقیصة و عدم العادة یجوز الإندار،لکن مراعی بعدم انکشاف 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معها </w:t>
      </w:r>
      <w:r>
        <w:rPr>
          <w:rStyle w:val="FootnoteAnchor"/>
          <w:rtl w:val="true"/>
        </w:rPr>
        <w:footnoteReference w:id="1656"/>
      </w:r>
      <w:r>
        <w:rPr>
          <w:rFonts w:ascii="IRNazanin" w:hAnsi="IRNazanin" w:eastAsia="IRNazanin"/>
          <w:color w:val="111111"/>
          <w:sz w:val="28"/>
          <w:sz w:val="28"/>
          <w:szCs w:val="28"/>
          <w:rtl w:val="true"/>
          <w:lang w:bidi="fa-IR"/>
        </w:rPr>
        <w:t xml:space="preserve">یجوز بناءً علی انصراف العقد إلیها </w:t>
      </w:r>
      <w:r>
        <w:rPr>
          <w:rStyle w:val="FootnoteAnchor"/>
          <w:rtl w:val="true"/>
        </w:rPr>
        <w:footnoteReference w:id="1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فیه تأمّلٌ لو لم یبلغ حدّا یکون کالشرط فی ضمن العقد؛لأنّ هذا لیس من أفراد المطلق حتّی ینصرف بکون العادة صارفةً له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الحکم المذکور غیر مختصٍّ بظروف السمن و الزیت، بل یعمّ کلَّ ظرفٍ،کما هو ظاهر معقد الإجماع المتقدّم عن فخر الدین رحمه اللّٰه </w:t>
      </w:r>
      <w:r>
        <w:rPr>
          <w:rStyle w:val="FootnoteAnchor"/>
          <w:rtl w:val="true"/>
        </w:rPr>
        <w:footnoteReference w:id="1659"/>
      </w:r>
      <w:r>
        <w:rPr>
          <w:rFonts w:ascii="IRNazanin" w:hAnsi="IRNazanin" w:eastAsia="IRNazanin"/>
          <w:color w:val="111111"/>
          <w:sz w:val="28"/>
          <w:sz w:val="28"/>
          <w:szCs w:val="28"/>
          <w:rtl w:val="true"/>
          <w:lang w:bidi="fa-IR"/>
        </w:rPr>
        <w:t xml:space="preserve">و عبارة النهایة و الوسیلة </w:t>
      </w:r>
      <w:r>
        <w:rPr>
          <w:rStyle w:val="FootnoteAnchor"/>
          <w:rtl w:val="true"/>
        </w:rPr>
        <w:footnoteReference w:id="1660"/>
      </w:r>
      <w:r>
        <w:rPr>
          <w:rFonts w:ascii="IRNazanin" w:hAnsi="IRNazanin" w:eastAsia="IRNazanin"/>
          <w:color w:val="111111"/>
          <w:sz w:val="28"/>
          <w:sz w:val="28"/>
          <w:szCs w:val="28"/>
          <w:rtl w:val="true"/>
          <w:lang w:bidi="fa-IR"/>
        </w:rPr>
        <w:t>و الفاضلین و الشهیدین و المحقّق</w:t>
      </w:r>
    </w:p>
    <w:p>
      <w:pPr>
        <w:pStyle w:val="BookText"/>
        <w:rPr/>
      </w:pPr>
      <w:r>
        <w:rPr>
          <w:rFonts w:ascii="Amiri" w:hAnsi="Amiri" w:eastAsia="Amiri" w:cs="Amiri"/>
          <w:color w:val="111111"/>
          <w:sz w:val="28"/>
          <w:sz w:val="28"/>
          <w:szCs w:val="28"/>
          <w:rtl w:val="true"/>
          <w:lang w:bidi="ar-SA"/>
        </w:rPr>
        <w:t xml:space="preserve">الثانی رحمهم اللّٰه </w:t>
      </w:r>
      <w:r>
        <w:rPr>
          <w:rStyle w:val="FootnoteAnchor"/>
          <w:rtl w:val="true"/>
        </w:rPr>
        <w:footnoteReference w:id="1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یؤیّده الروایة المتقدّمة عن قرب الإسناد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یبعد أن یراد بالظروف خصوص الوعاء المتعارف بیع الشیء فیه و عدم تفریغه منه کقواریر الجُلّاب و العطریّات،لا مطلق اللغوی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العموم،و هو ضعیف</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نعم،یقوی تعدیة الحکم إلی کلّ مصاحب للمبیع یتعارف بیعه معه کالشمع فی الحلیّ المصوغة </w:t>
      </w:r>
      <w:r>
        <w:rPr>
          <w:rStyle w:val="FootnoteAnchor"/>
          <w:rtl w:val="true"/>
        </w:rPr>
        <w:footnoteReference w:id="1663"/>
      </w:r>
      <w:r>
        <w:rPr>
          <w:rFonts w:ascii="IRNazanin" w:hAnsi="IRNazanin" w:eastAsia="IRNazanin"/>
          <w:color w:val="111111"/>
          <w:sz w:val="28"/>
          <w:sz w:val="28"/>
          <w:szCs w:val="28"/>
          <w:rtl w:val="true"/>
          <w:lang w:bidi="fa-IR"/>
        </w:rPr>
        <w:t xml:space="preserve">من الذهب و الفضّة؛و کذا للمظروف </w:t>
      </w:r>
      <w:r>
        <w:rPr>
          <w:rStyle w:val="FootnoteAnchor"/>
          <w:rtl w:val="true"/>
        </w:rPr>
        <w:footnoteReference w:id="1664"/>
      </w:r>
      <w:r>
        <w:rPr>
          <w:rFonts w:ascii="IRNazanin" w:hAnsi="IRNazanin" w:eastAsia="IRNazanin"/>
          <w:color w:val="111111"/>
          <w:sz w:val="28"/>
          <w:sz w:val="28"/>
          <w:szCs w:val="28"/>
          <w:rtl w:val="true"/>
          <w:lang w:bidi="fa-IR"/>
        </w:rPr>
        <w:t xml:space="preserve">الذی یقصد ظرفه بالشراء إذا کان وجوده فیه تبعاً له کقلیل من الدبس فی الزقاق </w:t>
      </w:r>
      <w:r>
        <w:rPr>
          <w:rStyle w:val="FootnoteAnchor"/>
          <w:rtl w:val="true"/>
        </w:rPr>
        <w:footnoteReference w:id="1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تعدیة الحکم إلی کلّ ما ضمّ إلی المبیع ممّا لا یراد بیعه معه فممّا لا ینبغی احتماله</w:t>
      </w:r>
      <w:r>
        <w:rPr>
          <w:rFonts w:eastAsia="IRNazanin" w:cs="IRNazanin"/>
          <w:color w:val="111111"/>
          <w:sz w:val="28"/>
          <w:szCs w:val="28"/>
          <w:rtl w:val="true"/>
          <w:lang w:bidi="fa-IR"/>
        </w:rPr>
        <w:t>.</w:t>
      </w:r>
      <w:bookmarkStart w:id="536" w:name="pg19861_202615"/>
    </w:p>
    <w:p>
      <w:pPr>
        <w:pStyle w:val="Heading4"/>
        <w:numPr>
          <w:ilvl w:val="3"/>
          <w:numId w:val="1"/>
        </w:numPr>
        <w:rPr/>
      </w:pPr>
      <w:bookmarkStart w:id="537" w:name="__RefHeading___Toc5119249_2314609296"/>
      <w:bookmarkStart w:id="538" w:name="_Toc209"/>
      <w:bookmarkEnd w:id="536"/>
      <w:bookmarkEnd w:id="537"/>
      <w:r>
        <w:rPr>
          <w:rtl w:val="true"/>
        </w:rPr>
        <w:t>مسألة یجوز بیع المظروف مع ظرفه الموزون معه و إن لم یعلم إلّا بوزن المجموع،</w:t>
      </w:r>
      <w:bookmarkEnd w:id="538"/>
    </w:p>
    <w:p>
      <w:pPr>
        <w:pStyle w:val="BookText"/>
        <w:rPr/>
      </w:pPr>
      <w:r>
        <w:rPr>
          <w:rFonts w:ascii="IRNazanin" w:hAnsi="IRNazanin" w:eastAsia="IRNazanin"/>
          <w:color w:val="111111"/>
          <w:sz w:val="28"/>
          <w:sz w:val="28"/>
          <w:szCs w:val="28"/>
          <w:rtl w:val="true"/>
          <w:lang w:bidi="fa-IR"/>
        </w:rPr>
        <w:t xml:space="preserve">علی المشهور،بل لم یوجد قائلٌ بخلافه من الخاصّة إلّا ما أرسله فی الروضة </w:t>
      </w:r>
      <w:r>
        <w:rPr>
          <w:rStyle w:val="FootnoteAnchor"/>
          <w:rtl w:val="true"/>
        </w:rPr>
        <w:footnoteReference w:id="1666"/>
      </w:r>
      <w:r>
        <w:rPr>
          <w:rFonts w:ascii="IRNazanin" w:hAnsi="IRNazanin" w:eastAsia="IRNazanin"/>
          <w:color w:val="111111"/>
          <w:sz w:val="28"/>
          <w:sz w:val="28"/>
          <w:szCs w:val="28"/>
          <w:rtl w:val="true"/>
          <w:lang w:bidi="fa-IR"/>
        </w:rPr>
        <w:t xml:space="preserve">،و نسب فی التذکرة إلی بعض العامّة </w:t>
      </w:r>
      <w:r>
        <w:rPr>
          <w:rStyle w:val="FootnoteAnchor"/>
          <w:rtl w:val="true"/>
        </w:rPr>
        <w:footnoteReference w:id="1667"/>
      </w:r>
      <w:r>
        <w:rPr>
          <w:rFonts w:ascii="IRNazanin" w:hAnsi="IRNazanin" w:eastAsia="IRNazanin"/>
          <w:color w:val="111111"/>
          <w:sz w:val="28"/>
          <w:sz w:val="28"/>
          <w:szCs w:val="28"/>
          <w:rtl w:val="true"/>
          <w:lang w:bidi="fa-IR"/>
        </w:rPr>
        <w:t xml:space="preserve">،استناداً إلی أنّ وزن ما یباع وزناً غیر معلوم،و الظرف لا یباع وزناً،بل لو کان موزوناً لم ینفع مع جهالة وزن کلّ واحد و اختلاف قیمتهما،فالغرر الحاصل فی بیع </w:t>
      </w:r>
      <w:r>
        <w:rPr>
          <w:rStyle w:val="FootnoteAnchor"/>
          <w:rtl w:val="true"/>
        </w:rPr>
        <w:footnoteReference w:id="1668"/>
      </w:r>
      <w:r>
        <w:rPr>
          <w:rFonts w:ascii="IRNazanin" w:hAnsi="IRNazanin" w:eastAsia="IRNazanin"/>
          <w:color w:val="111111"/>
          <w:sz w:val="28"/>
          <w:sz w:val="28"/>
          <w:szCs w:val="28"/>
          <w:rtl w:val="true"/>
          <w:lang w:bidi="fa-IR"/>
        </w:rPr>
        <w:t>الجزاف حاصل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یقتضیه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فیما نحن فیه ممّا جُوّز شرعاً بیعُه منفرداً عن الظرف مع جهالة وزنه فالقطع بالجواز منضمّاً؛إذ لم یحصل بالانضمام </w:t>
      </w:r>
      <w:r>
        <w:rPr>
          <w:rStyle w:val="FootnoteAnchor"/>
          <w:rtl w:val="true"/>
        </w:rPr>
        <w:footnoteReference w:id="1669"/>
      </w:r>
      <w:r>
        <w:rPr>
          <w:rFonts w:ascii="IRNazanin" w:hAnsi="IRNazanin" w:eastAsia="IRNazanin"/>
          <w:color w:val="111111"/>
          <w:sz w:val="28"/>
          <w:sz w:val="28"/>
          <w:szCs w:val="28"/>
          <w:rtl w:val="true"/>
          <w:lang w:bidi="fa-IR"/>
        </w:rPr>
        <w:t>مانعٌ،و لا ارتفع شرط</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فی غیره من أحد المنضمّین اللذین </w:t>
      </w:r>
      <w:r>
        <w:rPr>
          <w:rStyle w:val="FootnoteAnchor"/>
          <w:rtl w:val="true"/>
        </w:rPr>
        <w:footnoteReference w:id="1670"/>
      </w:r>
      <w:r>
        <w:rPr>
          <w:rFonts w:ascii="IRNazanin" w:hAnsi="IRNazanin" w:eastAsia="IRNazanin"/>
          <w:color w:val="111111"/>
          <w:sz w:val="28"/>
          <w:sz w:val="28"/>
          <w:szCs w:val="28"/>
          <w:rtl w:val="true"/>
          <w:lang w:bidi="fa-IR"/>
        </w:rPr>
        <w:t>لا یکفی فی بیعه منفرداً</w:t>
      </w:r>
    </w:p>
    <w:p>
      <w:pPr>
        <w:pStyle w:val="BookText"/>
        <w:rPr/>
      </w:pPr>
      <w:r>
        <w:rPr>
          <w:rFonts w:ascii="IRNazanin" w:hAnsi="IRNazanin" w:eastAsia="IRNazanin"/>
          <w:color w:val="111111"/>
          <w:sz w:val="28"/>
          <w:sz w:val="28"/>
          <w:szCs w:val="28"/>
          <w:rtl w:val="true"/>
          <w:lang w:bidi="fa-IR"/>
        </w:rPr>
        <w:t xml:space="preserve">معرفة وزن المجموع،فالقطع بالمنع مع لزوم الغرر الشخصی،کما لو باع سبیکةً من ذهبٍ مردّدٍ بین مائة مثقالٍ و ألف مع و صلة من رصاص قد بلغ وزنهما </w:t>
      </w:r>
      <w:r>
        <w:rPr>
          <w:rStyle w:val="FootnoteAnchor"/>
          <w:rtl w:val="true"/>
        </w:rPr>
        <w:footnoteReference w:id="1671"/>
      </w:r>
      <w:r>
        <w:rPr>
          <w:rFonts w:ascii="IRNazanin" w:hAnsi="IRNazanin" w:eastAsia="IRNazanin"/>
          <w:color w:val="111111"/>
          <w:sz w:val="28"/>
          <w:sz w:val="28"/>
          <w:szCs w:val="28"/>
          <w:rtl w:val="true"/>
          <w:lang w:bidi="fa-IR"/>
        </w:rPr>
        <w:t xml:space="preserve">ألفی مثقال،فإنّ الإقدام علی هذا البیع </w:t>
      </w:r>
      <w:r>
        <w:rPr>
          <w:rStyle w:val="FootnoteAnchor"/>
          <w:rtl w:val="true"/>
        </w:rPr>
        <w:footnoteReference w:id="1672"/>
      </w:r>
      <w:r>
        <w:rPr>
          <w:rFonts w:ascii="IRNazanin" w:hAnsi="IRNazanin" w:eastAsia="IRNazanin"/>
          <w:color w:val="111111"/>
          <w:sz w:val="28"/>
          <w:sz w:val="28"/>
          <w:szCs w:val="28"/>
          <w:rtl w:val="true"/>
          <w:lang w:bidi="fa-IR"/>
        </w:rPr>
        <w:t>إقدامٌ علی ما فیه خطرٌ یستحقّ لأجله اللوم من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مع انتفاء الغرر الشخصی و انحصار المانع فی النصّ الدالّ علی لزوم الاعتبار بالکیل و الوزن </w:t>
      </w:r>
      <w:r>
        <w:rPr>
          <w:rStyle w:val="FootnoteAnchor"/>
          <w:rtl w:val="true"/>
        </w:rPr>
        <w:footnoteReference w:id="1673"/>
      </w:r>
      <w:r>
        <w:rPr>
          <w:rFonts w:ascii="IRNazanin" w:hAnsi="IRNazanin" w:eastAsia="IRNazanin"/>
          <w:color w:val="111111"/>
          <w:sz w:val="28"/>
          <w:sz w:val="28"/>
          <w:szCs w:val="28"/>
          <w:rtl w:val="true"/>
          <w:lang w:bidi="fa-IR"/>
        </w:rPr>
        <w:t xml:space="preserve">و الإجماع المنعقد علی بطلان البیع إذا کان المبیع مجهول </w:t>
      </w:r>
      <w:r>
        <w:rPr>
          <w:rStyle w:val="FootnoteAnchor"/>
          <w:rtl w:val="true"/>
        </w:rPr>
        <w:footnoteReference w:id="1674"/>
      </w:r>
      <w:r>
        <w:rPr>
          <w:rFonts w:ascii="IRNazanin" w:hAnsi="IRNazanin" w:eastAsia="IRNazanin"/>
          <w:color w:val="111111"/>
          <w:sz w:val="28"/>
          <w:sz w:val="28"/>
          <w:szCs w:val="28"/>
          <w:rtl w:val="true"/>
          <w:lang w:bidi="fa-IR"/>
        </w:rPr>
        <w:t xml:space="preserve">المقدار فی المکیل و الموزون،فالقطع بالجواز؛لأنّ النصّ و الإجماع إنّما دلّا </w:t>
      </w:r>
      <w:r>
        <w:rPr>
          <w:rStyle w:val="FootnoteAnchor"/>
          <w:rtl w:val="true"/>
        </w:rPr>
        <w:footnoteReference w:id="1675"/>
      </w:r>
      <w:r>
        <w:rPr>
          <w:rFonts w:ascii="IRNazanin" w:hAnsi="IRNazanin" w:eastAsia="IRNazanin"/>
          <w:color w:val="111111"/>
          <w:sz w:val="28"/>
          <w:sz w:val="28"/>
          <w:szCs w:val="28"/>
          <w:rtl w:val="true"/>
          <w:lang w:bidi="fa-IR"/>
        </w:rPr>
        <w:t>علی لزوم اعتبار المبیع،لا کلِّ جزءٍ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أحد الموزونین یجوز بیعه منفرداً مع معرفة وزن المجموع دون الآخر،کما لو فرضنا جواز بیع الفضّة المحشّی بالشمع و عدم جواز بیع الشمع کذلک،فإن فرضنا الشمع تابعاً لا یضرّ جهالته،و إلّا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بیع المظروف مع الظرف یتصوّر علی صورٍ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یبیعه مع ظرفه </w:t>
      </w:r>
      <w:r>
        <w:rPr>
          <w:rStyle w:val="FootnoteAnchor"/>
          <w:rtl w:val="true"/>
        </w:rPr>
        <w:footnoteReference w:id="1676"/>
      </w:r>
      <w:r>
        <w:rPr>
          <w:rFonts w:ascii="IRNazanin" w:hAnsi="IRNazanin" w:eastAsia="IRNazanin"/>
          <w:color w:val="111111"/>
          <w:sz w:val="28"/>
          <w:sz w:val="28"/>
          <w:szCs w:val="28"/>
          <w:rtl w:val="true"/>
          <w:lang w:bidi="fa-IR"/>
        </w:rPr>
        <w:t>بعشرة مثلاً،فیقسّط الثمن علی</w:t>
      </w:r>
    </w:p>
    <w:p>
      <w:pPr>
        <w:pStyle w:val="BookText"/>
        <w:rPr/>
      </w:pPr>
      <w:r>
        <w:rPr>
          <w:rFonts w:ascii="IRNazanin" w:hAnsi="IRNazanin" w:eastAsia="IRNazanin"/>
          <w:color w:val="111111"/>
          <w:sz w:val="28"/>
          <w:sz w:val="28"/>
          <w:szCs w:val="28"/>
          <w:rtl w:val="true"/>
          <w:lang w:bidi="fa-IR"/>
        </w:rPr>
        <w:t>قیمتی کلٍّ من المظروف و الظرف لو احتیج إلی التقسیط،فإذا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قیمة الظرف درهمٌ و قیمة المظروف تسعةٌ،کان للظرف عُشر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یبیعه مع ظرفه بکذا علی أنّ کلّ رطلٍ من المظروف بکذا،فیحتاج إلی إندار مقدارٍ للظرف،و یکون قیمة الظرف ما بقی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معنی بیع کلٍّ منهما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یبیعه مع الظرف کلَّ رطلٍ بکذا علی أن یکون التسعیر للظرف و المظروف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طریقة التقسیط لو احتیج إلیه کما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یوزن الظرف منفرداً و ینسب إلی الجملة و یؤخذ له من الثمن بتلک النسبة </w:t>
      </w:r>
      <w:r>
        <w:rPr>
          <w:rStyle w:val="FootnoteAnchor"/>
          <w:rtl w:val="true"/>
        </w:rPr>
        <w:footnoteReference w:id="1677"/>
      </w:r>
      <w:r>
        <w:rPr>
          <w:rFonts w:ascii="IRNazanin" w:hAnsi="IRNazanin" w:eastAsia="IRNazanin"/>
          <w:color w:val="111111"/>
          <w:sz w:val="28"/>
          <w:sz w:val="28"/>
          <w:szCs w:val="28"/>
          <w:rtl w:val="true"/>
          <w:lang w:bidi="fa-IR"/>
        </w:rPr>
        <w:t xml:space="preserve">،و تبعه علی هذا غیر واحدٍ </w:t>
      </w:r>
      <w:r>
        <w:rPr>
          <w:rStyle w:val="FootnoteAnchor"/>
          <w:rtl w:val="true"/>
        </w:rPr>
        <w:footnoteReference w:id="1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الظرف رطلین و المجموع عشرة أُخذ له خمس الثمن</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ملاحظة الظرف و المظروف شیئاً واحداً،حتّی أنّه یجوز أن یفرض تمام الظرف کسراً مشاعاً من المجموع لیساوی ثمنه ثمن </w:t>
      </w:r>
      <w:r>
        <w:rPr>
          <w:rStyle w:val="FootnoteAnchor"/>
          <w:rtl w:val="true"/>
        </w:rPr>
        <w:footnoteReference w:id="1679"/>
      </w:r>
      <w:r>
        <w:rPr>
          <w:rFonts w:ascii="IRNazanin" w:hAnsi="IRNazanin" w:eastAsia="IRNazanin"/>
          <w:color w:val="111111"/>
          <w:sz w:val="28"/>
          <w:sz w:val="28"/>
          <w:szCs w:val="28"/>
          <w:rtl w:val="true"/>
          <w:lang w:bidi="fa-IR"/>
        </w:rPr>
        <w:t>المظروف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فالمبیع کلّ رطلٍ من هذا المجموع،لا من المرکّب من الظرف و المظروف،لأنّه إذا باع کلّ رطل من الظرف و المظروف بدرهمٍ مثلاً وزّع الدرهم علی الرطل و المظروف </w:t>
      </w:r>
      <w:r>
        <w:rPr>
          <w:rStyle w:val="FootnoteAnchor"/>
          <w:rtl w:val="true"/>
        </w:rPr>
        <w:footnoteReference w:id="1680"/>
      </w:r>
      <w:r>
        <w:rPr>
          <w:rFonts w:ascii="IRNazanin" w:hAnsi="IRNazanin" w:eastAsia="IRNazanin"/>
          <w:color w:val="111111"/>
          <w:sz w:val="28"/>
          <w:sz w:val="28"/>
          <w:szCs w:val="28"/>
          <w:rtl w:val="true"/>
          <w:lang w:bidi="fa-IR"/>
        </w:rPr>
        <w:t>بحسب قیمة مثلهما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قیمة خمس الرطل المذکور الذی هو وزن الظرف الموجود فیه مساویاً لقیمة أربعة الأخماس التی هی مقدار المظروف الموجود،فکیف یقسّط الثمن علیه أخماساً؟</w:t>
      </w:r>
      <w:bookmarkStart w:id="539" w:name="pg19861_202619"/>
    </w:p>
    <w:p>
      <w:pPr>
        <w:pStyle w:val="Heading4"/>
        <w:numPr>
          <w:ilvl w:val="3"/>
          <w:numId w:val="1"/>
        </w:numPr>
        <w:rPr/>
      </w:pPr>
      <w:bookmarkStart w:id="540" w:name="__RefHeading___Toc5119251_2314609296"/>
      <w:bookmarkStart w:id="541" w:name="_Toc210"/>
      <w:bookmarkEnd w:id="539"/>
      <w:bookmarkEnd w:id="540"/>
      <w:r>
        <w:rPr>
          <w:rtl w:val="true"/>
        </w:rPr>
        <w:t>[</w:t>
      </w:r>
      <w:r>
        <w:rPr>
          <w:rtl w:val="true"/>
        </w:rPr>
        <w:t>تنبیهات البیع</w:t>
      </w:r>
      <w:r>
        <w:rPr>
          <w:rtl w:val="true"/>
        </w:rPr>
        <w:t>]</w:t>
      </w:r>
      <w:bookmarkEnd w:id="541"/>
    </w:p>
    <w:p>
      <w:pPr>
        <w:pStyle w:val="Heading5"/>
        <w:numPr>
          <w:ilvl w:val="4"/>
          <w:numId w:val="1"/>
        </w:numPr>
        <w:rPr/>
      </w:pPr>
      <w:bookmarkStart w:id="542" w:name="__RefHeading___Toc5119253_2314609296"/>
      <w:bookmarkStart w:id="543" w:name="_Toc211"/>
      <w:bookmarkEnd w:id="542"/>
      <w:r>
        <w:rPr>
          <w:rtl w:val="true"/>
        </w:rPr>
        <w:t>مسألة المعروف بین الأصحاب تبعاً لظاهر تعبیر الشیخ بلفظ</w:t>
      </w:r>
      <w:r>
        <w:rPr>
          <w:rtl w:val="true"/>
        </w:rPr>
        <w:t>«</w:t>
      </w:r>
      <w:r>
        <w:rPr>
          <w:rtl w:val="true"/>
        </w:rPr>
        <w:t>ینبغی</w:t>
      </w:r>
      <w:r>
        <w:rPr>
          <w:rtl w:val="true"/>
        </w:rPr>
        <w:t>»</w:t>
      </w:r>
      <w:bookmarkEnd w:id="543"/>
    </w:p>
    <w:p>
      <w:pPr>
        <w:pStyle w:val="BookText"/>
        <w:rPr/>
      </w:pPr>
      <w:r>
        <w:rPr>
          <w:rFonts w:ascii="IRNazanin" w:hAnsi="IRNazanin" w:eastAsia="IRNazanin"/>
          <w:color w:val="111111"/>
          <w:sz w:val="28"/>
          <w:sz w:val="28"/>
          <w:szCs w:val="28"/>
          <w:rtl w:val="true"/>
          <w:lang w:bidi="fa-IR"/>
        </w:rPr>
        <w:t>مسألة المعروف بین الأصحاب تبعاً لظاهر تعبیر الشیخ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التفقّه فی مسائل الحلال و الحرام المتعلّقة بالتجارات،</w:t>
      </w:r>
    </w:p>
    <w:p>
      <w:pPr>
        <w:pStyle w:val="BookText"/>
        <w:rPr/>
      </w:pPr>
      <w:r>
        <w:rPr>
          <w:rFonts w:ascii="IRNazanin" w:hAnsi="IRNazanin" w:eastAsia="IRNazanin"/>
          <w:color w:val="111111"/>
          <w:sz w:val="28"/>
          <w:sz w:val="28"/>
          <w:szCs w:val="28"/>
          <w:rtl w:val="true"/>
          <w:lang w:bidi="fa-IR"/>
        </w:rPr>
        <w:t xml:space="preserve">لیعرف صحیح العقد من </w:t>
      </w:r>
      <w:r>
        <w:rPr>
          <w:rStyle w:val="FootnoteAnchor"/>
          <w:rtl w:val="true"/>
        </w:rPr>
        <w:footnoteReference w:id="1682"/>
      </w:r>
      <w:r>
        <w:rPr>
          <w:rFonts w:ascii="IRNazanin" w:hAnsi="IRNazanin" w:eastAsia="IRNazanin"/>
          <w:color w:val="111111"/>
          <w:sz w:val="28"/>
          <w:sz w:val="28"/>
          <w:szCs w:val="28"/>
          <w:rtl w:val="true"/>
          <w:lang w:bidi="fa-IR"/>
        </w:rPr>
        <w:t>فاسده و یسلم من الربا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إیضاح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 یجب </w:t>
      </w:r>
      <w:r>
        <w:rPr>
          <w:rStyle w:val="FootnoteAnchor"/>
          <w:rtl w:val="true"/>
        </w:rPr>
        <w:footnoteReference w:id="1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ظاهر عبارة الحدائق أیضاً </w:t>
      </w:r>
      <w:r>
        <w:rPr>
          <w:rStyle w:val="FootnoteAnchor"/>
          <w:rtl w:val="true"/>
        </w:rPr>
        <w:footnoteReference w:id="1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کلام المفید رحمه اللّٰه فی المقنعة أیضاً لا یأبی الوجوب؛لأنّه بعد ذکر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تَأْکُلُوا أَمْوٰالَکُمْ بَیْنَکُمْ بِالْبٰاطِلِ إِلاّٰ أَنْ تَکُونَ تِجٰارَةً عَنْ تَرٰاضٍ </w:t>
      </w:r>
      <w:r>
        <w:rPr>
          <w:rStyle w:val="FootnoteAnchor"/>
          <w:rtl w:val="true"/>
        </w:rPr>
        <w:footnoteReference w:id="1685"/>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أَنْفِقُوا مِنْ طَیِّبٰاتِ مٰا کَسَبْتُمْ وَ مِمّٰا أَخْرَجْنٰا لَکُمْ مِنَ الْأَرْضِ وَ لاٰ تَیَمَّمُوا الْخَبِیثَ مِنْهُ تُنْفِقُونَ </w:t>
      </w:r>
      <w:r>
        <w:rPr>
          <w:rStyle w:val="FootnoteAnchor"/>
          <w:rtl w:val="true"/>
        </w:rPr>
        <w:footnoteReference w:id="16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فندب إلی الإنفاق</w:t>
      </w:r>
    </w:p>
    <w:p>
      <w:pPr>
        <w:pStyle w:val="BookText"/>
        <w:rPr/>
      </w:pPr>
      <w:r>
        <w:rPr>
          <w:rFonts w:ascii="IRNazanin" w:hAnsi="IRNazanin" w:eastAsia="IRNazanin"/>
          <w:color w:val="111111"/>
          <w:sz w:val="28"/>
          <w:sz w:val="28"/>
          <w:szCs w:val="28"/>
          <w:rtl w:val="true"/>
          <w:lang w:bidi="fa-IR"/>
        </w:rPr>
        <w:t xml:space="preserve">من طیّب الاکتساب،و نهی عن طلب الخبیث للمعیشة و الإنفاق،فمن لم یعرف فرق ما بین الحلال من المکتسب و الحرام لم یکن مجتنباً للخبیث من الأعمال،و لا کان علی ثقةٍ فی تفقّهٍ </w:t>
      </w:r>
      <w:r>
        <w:rPr>
          <w:rStyle w:val="FootnoteAnchor"/>
          <w:rtl w:val="true"/>
        </w:rPr>
        <w:footnoteReference w:id="1687"/>
      </w:r>
      <w:r>
        <w:rPr>
          <w:rFonts w:ascii="Amiri" w:hAnsi="Amiri" w:eastAsia="Amiri" w:cs="Amiri"/>
          <w:color w:val="111111"/>
          <w:sz w:val="28"/>
          <w:sz w:val="28"/>
          <w:szCs w:val="28"/>
          <w:rtl w:val="true"/>
          <w:lang w:bidi="ar-SA"/>
        </w:rPr>
        <w:t xml:space="preserve">من طیّب الاکتساب،و قال تعالی أیضاً ذٰلِکَ بِأَنَّهُمْ قٰالُوا إِنَّمَا الْبَیْعُ مِثْلُ الرِّبٰا وَ أَحَلَّ اللّٰهُ الْبَیْعَ وَ حَرَّمَ الرِّبٰا </w:t>
      </w:r>
      <w:r>
        <w:rPr>
          <w:rStyle w:val="FootnoteAnchor"/>
          <w:rtl w:val="true"/>
        </w:rPr>
        <w:footnoteReference w:id="1688"/>
      </w:r>
      <w:r>
        <w:rPr>
          <w:rFonts w:ascii="IRNazanin" w:hAnsi="IRNazanin" w:eastAsia="IRNazanin"/>
          <w:color w:val="111111"/>
          <w:sz w:val="28"/>
          <w:sz w:val="28"/>
          <w:szCs w:val="28"/>
          <w:rtl w:val="true"/>
          <w:lang w:bidi="fa-IR"/>
        </w:rPr>
        <w:t>،فینبغی أن یعرف البیع المخالف للربا لیعلم بذلک ما أحلّ اللّٰه و حرّم من المتاجر و الاکتساب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الروایة عن أمیر المؤمنین علیه السلام أنّه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اتّجر بغیر علمٍ فقد ارتطم فی الربا،ثمّ ارتطم</w:t>
      </w:r>
      <w:r>
        <w:rPr>
          <w:rFonts w:eastAsia="IRNazanin" w:cs="IRNazanin"/>
          <w:color w:val="111111"/>
          <w:sz w:val="28"/>
          <w:szCs w:val="28"/>
          <w:rtl w:val="true"/>
          <w:lang w:bidi="fa-IR"/>
        </w:rPr>
        <w:t xml:space="preserve">»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التجارة فلیتفقّه فی دینه؛ لیعلم بذلک ما یحلّ له ممّا یحرم علیه،و من لم یتفقّه فی دینه ثمّ اتّجر تورّط فی الشبهات</w:t>
      </w:r>
      <w:r>
        <w:rPr>
          <w:rFonts w:eastAsia="IRNazanin" w:cs="IRNazanin"/>
          <w:color w:val="111111"/>
          <w:sz w:val="28"/>
          <w:szCs w:val="28"/>
          <w:rtl w:val="true"/>
          <w:lang w:bidi="fa-IR"/>
        </w:rPr>
        <w:t xml:space="preserve">» </w:t>
      </w:r>
      <w:r>
        <w:rPr>
          <w:rStyle w:val="FootnoteAnchor"/>
          <w:rtl w:val="true"/>
        </w:rPr>
        <w:footnoteReference w:id="1690"/>
      </w:r>
      <w:r>
        <w:rPr>
          <w:rFonts w:ascii="IRNazanin" w:hAnsi="IRNazanin" w:eastAsia="IRNazanin"/>
          <w:color w:val="111111"/>
          <w:sz w:val="28"/>
          <w:sz w:val="28"/>
          <w:szCs w:val="28"/>
          <w:rtl w:val="true"/>
          <w:lang w:bidi="fa-IR"/>
        </w:rPr>
        <w:t xml:space="preserve">،انتهی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کلامه رحمه اللّٰه الوجوب،إلّا أنّ تعبیره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یُدّعی ظهوره فی الاستحباب،إلّا أنّ الإنصاف </w:t>
      </w:r>
      <w:r>
        <w:rPr>
          <w:rStyle w:val="FootnoteAnchor"/>
          <w:rtl w:val="true"/>
        </w:rPr>
        <w:footnoteReference w:id="1692"/>
      </w:r>
      <w:r>
        <w:rPr>
          <w:rFonts w:ascii="IRNazanin" w:hAnsi="IRNazanin" w:eastAsia="IRNazanin"/>
          <w:color w:val="111111"/>
          <w:sz w:val="28"/>
          <w:sz w:val="28"/>
          <w:szCs w:val="28"/>
          <w:rtl w:val="true"/>
          <w:lang w:bidi="fa-IR"/>
        </w:rPr>
        <w:t xml:space="preserve">أنّ ظهوره لیس بحیث یعارض </w:t>
      </w:r>
      <w:r>
        <w:rPr>
          <w:rStyle w:val="FootnoteAnchor"/>
          <w:rtl w:val="true"/>
        </w:rPr>
        <w:footnoteReference w:id="1693"/>
      </w:r>
      <w:r>
        <w:rPr>
          <w:rFonts w:ascii="IRNazanin" w:hAnsi="IRNazanin" w:eastAsia="IRNazanin"/>
          <w:color w:val="111111"/>
          <w:sz w:val="28"/>
          <w:sz w:val="28"/>
          <w:szCs w:val="28"/>
          <w:rtl w:val="true"/>
          <w:lang w:bidi="fa-IR"/>
        </w:rPr>
        <w:t xml:space="preserve">ظهور ما فی کلامه فی الوجوب من باب المقدّمة،فإنّ معرفة الحلال و الحرام واجبةٌ علی کلّ أحدٍ بالنظر إلی ما یبتلی به </w:t>
      </w:r>
      <w:r>
        <w:rPr>
          <w:rStyle w:val="FootnoteAnchor"/>
          <w:rtl w:val="true"/>
        </w:rPr>
        <w:footnoteReference w:id="1694"/>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معرفة جمیعها ممّا یتعلّق بالإنسان وجوبها فوراً دفعةً، بل عند الالتفات إلی احتمال الحرمة فی فعلٍ یرید أن یفعله،أو عند إرادة الإقدام علی أفعالٍ یعلم بوجود الحرام بینها،فإنّه معاقبٌ علی ما یفعله من الحرام لو ترک التعلّم و إن لم یلتفت عند فعله إلی احتمال تحریمه، فإنّ التفاته السابق و علمه بعدم خلوّ ما یرید مزاولتها من الأفعال من الحرام کافٍ فی حسن العقاب،و إلّا لم یعاقب أکثر الجهّال علی أکثر المحرّمات؛ لأنّهم یفعلونها و هم غیر ملتفتین إلی احتمال حرمتها عند الارتکاب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أجمعنا علی أنّ الکفّار یعاقبون علی 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 ذمّ الغافل المقصّر فی معصیته،فی غیر واحدٍ من الأخبار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لو قلنا بعدم العقاب علی فعل المحرّم الواقعی الذی یفعله من غیر شعورٍ </w:t>
      </w:r>
      <w:r>
        <w:rPr>
          <w:rStyle w:val="FootnoteAnchor"/>
          <w:rtl w:val="true"/>
        </w:rPr>
        <w:footnoteReference w:id="1696"/>
      </w:r>
      <w:r>
        <w:rPr>
          <w:rFonts w:ascii="IRNazanin" w:hAnsi="IRNazanin" w:eastAsia="IRNazanin"/>
          <w:color w:val="111111"/>
          <w:sz w:val="28"/>
          <w:sz w:val="28"/>
          <w:szCs w:val="28"/>
          <w:rtl w:val="true"/>
          <w:lang w:bidi="fa-IR"/>
        </w:rPr>
        <w:t>کما هو ظاهر جماعةٍ تبعاً للأردبیلی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العقاب علی الحرام المجهول حرمته عن تقصیرٍ؛لقبح خطاب الغافل، فیقبح عقابه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w:t>
      </w:r>
      <w:r>
        <w:rPr>
          <w:rStyle w:val="FootnoteAnchor"/>
          <w:rtl w:val="true"/>
        </w:rPr>
        <w:footnoteReference w:id="1697"/>
      </w:r>
      <w:r>
        <w:rPr>
          <w:rFonts w:ascii="IRNazanin" w:hAnsi="IRNazanin" w:eastAsia="IRNazanin"/>
          <w:color w:val="111111"/>
          <w:sz w:val="28"/>
          <w:sz w:val="28"/>
          <w:szCs w:val="28"/>
          <w:rtl w:val="true"/>
          <w:lang w:bidi="fa-IR"/>
        </w:rPr>
        <w:t>تحصیل العلم و إزالة الجهل واجبٌ علی هذا القول، کما اعترفوا به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التزام عدم عقاب الجاهل المقصّر لا </w:t>
      </w:r>
      <w:r>
        <w:rPr>
          <w:rStyle w:val="FootnoteAnchor"/>
          <w:rtl w:val="true"/>
        </w:rPr>
        <w:footnoteReference w:id="1698"/>
      </w:r>
      <w:r>
        <w:rPr>
          <w:rFonts w:ascii="IRNazanin" w:hAnsi="IRNazanin" w:eastAsia="IRNazanin"/>
          <w:color w:val="111111"/>
          <w:sz w:val="28"/>
          <w:sz w:val="28"/>
          <w:szCs w:val="28"/>
          <w:rtl w:val="true"/>
          <w:lang w:bidi="fa-IR"/>
        </w:rPr>
        <w:t>علی فعل الحرام،و لا علی ترک التعلّم إلّا إذا کان حین الفعل ملتفتاً إلی احتمال</w:t>
      </w:r>
    </w:p>
    <w:p>
      <w:pPr>
        <w:pStyle w:val="BookText"/>
        <w:rPr/>
      </w:pPr>
      <w:r>
        <w:rPr>
          <w:rFonts w:ascii="IRNazanin" w:hAnsi="IRNazanin" w:eastAsia="IRNazanin"/>
          <w:color w:val="111111"/>
          <w:sz w:val="28"/>
          <w:sz w:val="28"/>
          <w:szCs w:val="28"/>
          <w:rtl w:val="true"/>
          <w:lang w:bidi="fa-IR"/>
        </w:rPr>
        <w:t xml:space="preserve">تحریمه لا یوجد له وجهٌ،بعد ثبوت أدلّة التحریم،و وجوب طلب العلم علی کلّ مسلمٍ،و عدم تقبیح عقاب من التفت إلی وجود الحرام فی أفراد البیع التی یزاولها تدریجاً علی ارتکاب الحرام فی هذا </w:t>
      </w:r>
      <w:r>
        <w:rPr>
          <w:rStyle w:val="FootnoteAnchor"/>
          <w:rtl w:val="true"/>
        </w:rPr>
        <w:footnoteReference w:id="1699"/>
      </w:r>
      <w:r>
        <w:rPr>
          <w:rFonts w:ascii="IRNazanin" w:hAnsi="IRNazanin" w:eastAsia="IRNazanin"/>
          <w:color w:val="111111"/>
          <w:sz w:val="28"/>
          <w:sz w:val="28"/>
          <w:szCs w:val="28"/>
          <w:rtl w:val="true"/>
          <w:lang w:bidi="fa-IR"/>
        </w:rPr>
        <w:t>الأثناء و إن لم یلتفت حین إرادة ذلک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المقام یزید علی غیره بأنّ الأصل فی المعاملات الفساد، فالمکلّف إذا أراد التجارة و بنی علی التصرّف فیما یحصل فی یده من أموال الناس </w:t>
      </w:r>
      <w:r>
        <w:rPr>
          <w:rStyle w:val="FootnoteAnchor"/>
          <w:rtl w:val="true"/>
        </w:rPr>
        <w:footnoteReference w:id="1700"/>
      </w:r>
      <w:r>
        <w:rPr>
          <w:rFonts w:ascii="IRNazanin" w:hAnsi="IRNazanin" w:eastAsia="IRNazanin"/>
          <w:color w:val="111111"/>
          <w:sz w:val="28"/>
          <w:sz w:val="28"/>
          <w:szCs w:val="28"/>
          <w:rtl w:val="true"/>
          <w:lang w:bidi="fa-IR"/>
        </w:rPr>
        <w:t>علی وجه العوضیّة یحرم علیه ظاهراً الإقدام علی کلّ تصرّفٍ منها بمقتضی أصالة عدم انتقاله إلیه إلّا مع العلم بإمضاء الشارع لتلک المعاملة،و یمکن أن یکون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التاجر فاجر،و الفاجر فی النار إلّا من أخذ الحقّ و أعطی الحقّ</w:t>
      </w:r>
      <w:r>
        <w:rPr>
          <w:rFonts w:eastAsia="IRNazanin" w:cs="IRNazanin"/>
          <w:color w:val="111111"/>
          <w:sz w:val="28"/>
          <w:szCs w:val="28"/>
          <w:rtl w:val="true"/>
          <w:lang w:bidi="fa-IR"/>
        </w:rPr>
        <w:t xml:space="preserve">» </w:t>
      </w:r>
      <w:r>
        <w:rPr>
          <w:rStyle w:val="FootnoteAnchor"/>
          <w:rtl w:val="true"/>
        </w:rPr>
        <w:footnoteReference w:id="1701"/>
      </w:r>
      <w:r>
        <w:rPr>
          <w:rFonts w:ascii="IRNazanin" w:hAnsi="IRNazanin" w:eastAsia="IRNazanin"/>
          <w:color w:val="111111"/>
          <w:sz w:val="28"/>
          <w:sz w:val="28"/>
          <w:szCs w:val="28"/>
          <w:rtl w:val="true"/>
          <w:lang w:bidi="fa-IR"/>
        </w:rPr>
        <w:t>إشارةٌ إلی هذا المعنی،بناءً علی أنّ الخارج من العموم لیس إلّا من علم بإعطاء الحقّ و أخذ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فوجوب معرفة المعاملة الصحیحة فی هذا المقام </w:t>
      </w:r>
      <w:r>
        <w:rPr>
          <w:rStyle w:val="FootnoteAnchor"/>
          <w:rtl w:val="true"/>
        </w:rPr>
        <w:footnoteReference w:id="1702"/>
      </w:r>
      <w:r>
        <w:rPr>
          <w:rFonts w:ascii="IRNazanin" w:hAnsi="IRNazanin" w:eastAsia="IRNazanin"/>
          <w:color w:val="111111"/>
          <w:sz w:val="28"/>
          <w:sz w:val="28"/>
          <w:szCs w:val="28"/>
          <w:rtl w:val="true"/>
          <w:lang w:bidi="fa-IR"/>
        </w:rPr>
        <w:t>شرعیٌّ،لنهی الشارع عن التصرّف فی مالٍ لم یعلم انتقاله إلیه،بناءً علی أصالة عدم انتقاله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غیر هذا المقام عقلیٌّ مقدّمیٌّ لئلّا یقع فی الحرام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کان،فالحکم باستحباب التفقّه للتاجر محلّ نظر،بل الأولی وجوبه علیه عقلاً و شرعاً،و إن کان وجوب معرفة باقی المحرّمات من باب العقل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توجیه کلامهم بإرادة التفقّه الکامل لیطّلع علی مسائل الربا الدقیقة و المعاملات الفاسدة کذلک،و یطّلع علی موارد الشبهة و المعاملات الغیر الواضحة الصحّة فیجتنب عنها فی العمل،فإنّ القدر الواجب هو معرفة المسائل العامّة البلوی،لا الفروع الفقهیّة المذکورة فی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للغایة الأُولی قوله علیه السلام فی مقام تعلیل وجوب التفقّه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الربا أخفی من دبیب النملة علی الصفا</w:t>
      </w:r>
      <w:r>
        <w:rPr>
          <w:rFonts w:eastAsia="IRNazanin" w:cs="IRNazanin"/>
          <w:color w:val="111111"/>
          <w:sz w:val="28"/>
          <w:szCs w:val="28"/>
          <w:rtl w:val="true"/>
          <w:lang w:bidi="fa-IR"/>
        </w:rPr>
        <w:t xml:space="preserve">» </w:t>
      </w:r>
      <w:r>
        <w:rPr>
          <w:rStyle w:val="FootnoteAnchor"/>
          <w:rtl w:val="true"/>
        </w:rPr>
        <w:footnoteReference w:id="1703"/>
      </w:r>
      <w:r>
        <w:rPr>
          <w:rFonts w:ascii="IRNazanin" w:hAnsi="IRNazanin" w:eastAsia="IRNazanin"/>
          <w:color w:val="111111"/>
          <w:sz w:val="28"/>
          <w:sz w:val="28"/>
          <w:szCs w:val="28"/>
          <w:rtl w:val="true"/>
          <w:lang w:bidi="fa-IR"/>
        </w:rPr>
        <w:t>،و للغایة الثانیة قول الصادق علیه السلام فی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یتفقّه ثمّ اتّجر تورّط فی الشبهات</w:t>
      </w:r>
      <w:r>
        <w:rPr>
          <w:rFonts w:eastAsia="IRNazanin" w:cs="IRNazanin"/>
          <w:color w:val="111111"/>
          <w:sz w:val="28"/>
          <w:szCs w:val="28"/>
          <w:rtl w:val="true"/>
          <w:lang w:bidi="fa-IR"/>
        </w:rPr>
        <w:t xml:space="preserve">» </w:t>
      </w:r>
      <w:r>
        <w:rPr>
          <w:rStyle w:val="FootnoteAnchor"/>
          <w:rtl w:val="true"/>
        </w:rPr>
        <w:footnoteReference w:id="1704"/>
      </w:r>
      <w:r>
        <w:rPr>
          <w:rFonts w:ascii="IRNazanin" w:hAnsi="IRNazanin" w:eastAsia="IRNazanin"/>
          <w:color w:val="111111"/>
          <w:sz w:val="28"/>
          <w:sz w:val="28"/>
          <w:szCs w:val="28"/>
          <w:rtl w:val="true"/>
          <w:lang w:bidi="fa-IR"/>
        </w:rPr>
        <w:t>،لکن ظاهر صدره الوجوب،فلاحظ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حکی توجیه کلامهم بما ذکرنا عن غیر واحد </w:t>
      </w:r>
      <w:r>
        <w:rPr>
          <w:rStyle w:val="FootnoteAnchor"/>
          <w:rtl w:val="true"/>
        </w:rPr>
        <w:footnoteReference w:id="1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عن وجهٍ فی مقام 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التفقّه فی مسائل التجارة لمّا کان مطلوباً للتخلّص عن المعاملات الفاسدة التی أهمّها الربا الجامعة بین أکل المال بالباطل و ارتکاب الموبقة الکذائیّة لم یعتبر فیه کونه عن اجتهاد،بل یکفی فیه التقلید الصحیح،فلا تعارض بین أدلّة التفقّه هنا،و أدلّة تحصیل المعاش</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نعم،ربما أُورد </w:t>
      </w:r>
      <w:r>
        <w:rPr>
          <w:rStyle w:val="FootnoteAnchor"/>
          <w:rtl w:val="true"/>
        </w:rPr>
        <w:footnoteReference w:id="1706"/>
      </w:r>
      <w:r>
        <w:rPr>
          <w:rFonts w:ascii="IRNazanin" w:hAnsi="IRNazanin" w:eastAsia="IRNazanin"/>
          <w:color w:val="111111"/>
          <w:sz w:val="28"/>
          <w:sz w:val="28"/>
          <w:szCs w:val="28"/>
          <w:rtl w:val="true"/>
          <w:lang w:bidi="fa-IR"/>
        </w:rPr>
        <w:t>فی هذا المقام و إن کان خارجاً عنه التعارض</w:t>
      </w:r>
    </w:p>
    <w:p>
      <w:pPr>
        <w:pStyle w:val="BookText"/>
        <w:rPr/>
      </w:pPr>
      <w:r>
        <w:rPr>
          <w:rFonts w:ascii="IRNazanin" w:hAnsi="IRNazanin" w:eastAsia="IRNazanin"/>
          <w:color w:val="111111"/>
          <w:sz w:val="28"/>
          <w:sz w:val="28"/>
          <w:szCs w:val="28"/>
          <w:rtl w:val="true"/>
          <w:lang w:bidi="fa-IR"/>
        </w:rPr>
        <w:t>بین أدلّة طلب مطلق العلم،الشامل لمعرفة مسائل العبادات و أنواع المعاملات المتوقّف علی الاجتهاد،و بین أدلّة طلب الاکتساب و الاشتغال فی تحصیل المال لأجل الإنفاق علی من ینبغی أن ینفق علیه،و ترک إلقاء کَلِّه علی الناس الموجب لاستحقاق اللعن،فإنّ الأخبار من الطرفین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یکفی فی طلب الاکتساب 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اللّٰه تعالی إلی داود علی نبیّنا و آله و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إنّک نِعْم العبد لولا أنّک تأکل من بیت المال و لا تعمل بیدک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علیه السلام أربعین صباحاً ثمّ ألان اللّٰه تعالی له الحدید،و کان یعمل کلّ یوم درعاً و یبیعه بألف درهم، فعمل ثلاثمائة و ستّین درعاً فباعها و استغنی عن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أرسله فی الفقیه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ترک دنیاه لآخرته،أو آخرته لدنیاه</w:t>
      </w:r>
      <w:r>
        <w:rPr>
          <w:rFonts w:eastAsia="IRNazanin" w:cs="IRNazanin"/>
          <w:color w:val="111111"/>
          <w:sz w:val="28"/>
          <w:szCs w:val="28"/>
          <w:rtl w:val="true"/>
          <w:lang w:bidi="fa-IR"/>
        </w:rPr>
        <w:t xml:space="preserve">» </w:t>
      </w:r>
      <w:r>
        <w:rPr>
          <w:rStyle w:val="FootnoteAnchor"/>
          <w:rtl w:val="true"/>
        </w:rPr>
        <w:footnoteReference w:id="1708"/>
      </w:r>
      <w:r>
        <w:rPr>
          <w:rFonts w:ascii="Amiri" w:hAnsi="Amiri" w:eastAsia="Amiri" w:cs="Amiri"/>
          <w:color w:val="111111"/>
          <w:sz w:val="28"/>
          <w:sz w:val="28"/>
          <w:szCs w:val="28"/>
          <w:rtl w:val="true"/>
          <w:lang w:bidi="ar-SA"/>
        </w:rPr>
        <w:t>،و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سبعون جزءاً أفضلها طلب الحلال</w:t>
      </w:r>
      <w:r>
        <w:rPr>
          <w:rFonts w:eastAsia="Amiri" w:cs="Amiri" w:ascii="Amiri" w:hAnsi="Amiri"/>
          <w:color w:val="111111"/>
          <w:sz w:val="28"/>
          <w:szCs w:val="28"/>
          <w:rtl w:val="true"/>
          <w:lang w:bidi="ar-SA"/>
        </w:rPr>
        <w:t xml:space="preserve">»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الأخبار فی طلب العلم و فضله فهی أکثر من أن تذکر، و أوضح من أن تحتاج إلی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الجمع بینهما بأحد وجهین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و هو الأظهر بین علمائنا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أخبار وجوب طلب الرزق بأخبار وجوب طلب العلم،و یقال بوجوب ذلک علی</w:t>
      </w:r>
    </w:p>
    <w:p>
      <w:pPr>
        <w:pStyle w:val="BookText"/>
        <w:rPr/>
      </w:pPr>
      <w:r>
        <w:rPr>
          <w:rFonts w:ascii="IRNazanin" w:hAnsi="IRNazanin" w:eastAsia="IRNazanin"/>
          <w:color w:val="111111"/>
          <w:sz w:val="28"/>
          <w:sz w:val="28"/>
          <w:szCs w:val="28"/>
          <w:rtl w:val="true"/>
          <w:lang w:bidi="fa-IR"/>
        </w:rPr>
        <w:t xml:space="preserve">غیر طالب العلم المشتغل بتحصیله </w:t>
      </w:r>
      <w:r>
        <w:rPr>
          <w:rStyle w:val="FootnoteAnchor"/>
          <w:rtl w:val="true"/>
        </w:rPr>
        <w:footnoteReference w:id="1710"/>
      </w:r>
      <w:r>
        <w:rPr>
          <w:rFonts w:ascii="IRNazanin" w:hAnsi="IRNazanin" w:eastAsia="IRNazanin"/>
          <w:color w:val="111111"/>
          <w:sz w:val="28"/>
          <w:sz w:val="28"/>
          <w:szCs w:val="28"/>
          <w:rtl w:val="true"/>
          <w:lang w:bidi="fa-IR"/>
        </w:rPr>
        <w:t>و استفادته و تعلیمه و إفادته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الوجه صرّح الشهید الثانی رحمه اللّٰه فی رسالته المسمّاة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 فی آداب المفید و المستفید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فی جملة شرائط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یتوکّل علی اللّٰه و یفوّض أمره إلیه،و لا یعتمد علی الأسباب فیوکل إلیها </w:t>
      </w:r>
      <w:r>
        <w:rPr>
          <w:rStyle w:val="FootnoteAnchor"/>
          <w:rtl w:val="true"/>
        </w:rPr>
        <w:footnoteReference w:id="1711"/>
      </w:r>
      <w:r>
        <w:rPr>
          <w:rFonts w:ascii="IRNazanin" w:hAnsi="IRNazanin" w:eastAsia="IRNazanin"/>
          <w:color w:val="111111"/>
          <w:sz w:val="28"/>
          <w:sz w:val="28"/>
          <w:szCs w:val="28"/>
          <w:rtl w:val="true"/>
          <w:lang w:bidi="fa-IR"/>
        </w:rPr>
        <w:t xml:space="preserve">و تکون </w:t>
      </w:r>
      <w:r>
        <w:rPr>
          <w:rStyle w:val="FootnoteAnchor"/>
          <w:rtl w:val="true"/>
        </w:rPr>
        <w:footnoteReference w:id="1712"/>
      </w:r>
      <w:r>
        <w:rPr>
          <w:rFonts w:ascii="IRNazanin" w:hAnsi="IRNazanin" w:eastAsia="IRNazanin"/>
          <w:color w:val="111111"/>
          <w:sz w:val="28"/>
          <w:sz w:val="28"/>
          <w:szCs w:val="28"/>
          <w:rtl w:val="true"/>
          <w:lang w:bidi="fa-IR"/>
        </w:rPr>
        <w:t>وبالاً علیه،و لا علی أحدٍ من خلق اللّٰه تعالی، بل یلقی مقالید أمره إلی اللّٰه تعالی،یظهر له من نفحات قدسه و لحظات أُنسه ما به یحصل مطلوبه و یصلح به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 الحدیث عن النبی صلّی اللّٰه علیه و آله أنّ اللّٰه تعالی قد تکفّل لطالب العلم برزقه عمّا ضمنه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غیره یحتاج إلی السعی علی الرزق حتّی یحصل له، و طالب العلم لا یُکلَّف بذلک بل بالطلب،و کفاه مئونة الرزق إن أحسن النیّة،و أخلص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عندی فی ذلک من الوقائع ما لو جمعته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w:t>
      </w:r>
      <w:r>
        <w:rPr>
          <w:rStyle w:val="FootnoteAnchor"/>
          <w:rtl w:val="true"/>
        </w:rPr>
        <w:footnoteReference w:id="1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یعلمه إلّا اللّٰه من حسن صنع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جمیل معونته منذ </w:t>
      </w:r>
      <w:r>
        <w:rPr>
          <w:rStyle w:val="FootnoteAnchor"/>
          <w:rtl w:val="true"/>
        </w:rPr>
        <w:footnoteReference w:id="1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اشتغلت بالعلم،و هو مبادی عشر الثلاثین و تسعمائة إلی یومنا هذا،و هو منتصف شهر رمضان سنة ثلاث و خمسین و تسعمائة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بالجملة،لیس الخبر کالعیان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شیخنا المقدّم محمّد بن یعقوب الکلینی قدّس سرّه بإسناده إلی الحسین بن علوان،قال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فی مجلسٍ نطلب</w:t>
      </w:r>
    </w:p>
    <w:p>
      <w:pPr>
        <w:pStyle w:val="BookText"/>
        <w:rPr/>
      </w:pPr>
      <w:r>
        <w:rPr>
          <w:rFonts w:ascii="IRNazanin" w:hAnsi="IRNazanin" w:eastAsia="IRNazanin"/>
          <w:color w:val="111111"/>
          <w:sz w:val="28"/>
          <w:sz w:val="28"/>
          <w:szCs w:val="28"/>
          <w:rtl w:val="true"/>
          <w:lang w:bidi="fa-IR"/>
        </w:rPr>
        <w:t>فیه العلم،و قد نفدت نفقتی فی بعض الأسفار،فقال لی بعض أصحابی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تؤمّل لما قد نزل بک؟فقلت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 اللّٰه لا تسعف بحاجتک و لا تبلغ أملک و لا تنجح طلبتک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عِلمُک رحمک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عبد اللّٰه علیه السلام 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قرأ فی بعض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عزّتی و جلالی و مجدی و ارتفاعی </w:t>
      </w:r>
      <w:r>
        <w:rPr>
          <w:rStyle w:val="FootnoteAnchor"/>
          <w:rtl w:val="true"/>
        </w:rPr>
        <w:footnoteReference w:id="1715"/>
      </w:r>
      <w:r>
        <w:rPr>
          <w:rFonts w:ascii="IRNazanin" w:hAnsi="IRNazanin" w:eastAsia="IRNazanin"/>
          <w:color w:val="111111"/>
          <w:sz w:val="28"/>
          <w:sz w:val="28"/>
          <w:szCs w:val="28"/>
          <w:rtl w:val="true"/>
          <w:lang w:bidi="fa-IR"/>
        </w:rPr>
        <w:t>علی عرشی لأقطعنّ أمل کلِّ مؤمّل غیری بالیأس،و لأکسونَّه ثوب المذلّة عند الناس،و لأُنحینّه من قربی،و لأُبعّدنّه من و صلی،أ یُؤَمِّلُ غیری فی الشدائد و الشدائد 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یرجو غیری و یقرع باب غیری و بیدی مفاتیح الأبواب و هی مغلّقة،و بابی مفتوح لمن دعانی،فمن ذا الذی أمّلنی لنوائبه فقطعته دونها؟و من ذا الذی رجانی لعظیمة فقطعت رجاءه منّی؟جعلت آمال عبادی عندی محفوظة،فلم یرضوا بحفظی، و ملأت سماواتی ممّن لا یملّ من تسبیحی،و أمرتهم أن لا یغلقوا الأبواب بینی و بین عبادی،فلم یثقوا 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یعلم من طَرَقَتْه نائبة من نوائبی أنّه لا یملک کشفها أحد غیری إلّا مِن بعد إذنی،فما لی أراه لاهیاً عنّی؟أعطیته بجودی ما لم یسألنی،ثمّ انتزعته عنه </w:t>
      </w:r>
      <w:r>
        <w:rPr>
          <w:rStyle w:val="FootnoteAnchor"/>
          <w:rtl w:val="true"/>
        </w:rPr>
        <w:footnoteReference w:id="1716"/>
      </w:r>
      <w:r>
        <w:rPr>
          <w:rFonts w:ascii="IRNazanin" w:hAnsi="IRNazanin" w:eastAsia="IRNazanin"/>
          <w:color w:val="111111"/>
          <w:sz w:val="28"/>
          <w:sz w:val="28"/>
          <w:szCs w:val="28"/>
          <w:rtl w:val="true"/>
          <w:lang w:bidi="fa-IR"/>
        </w:rPr>
        <w:t>فلم یسألنی ردّه و سأل غیری،أ فترانی أبدأ بالعطایا قبل المسألة ثمّ اسأل فلا أُجیب سائلی؟أ بخیل أنا فیبخّلنی عبدی؟أ وَ لیس الجود و الکرم لی؟أ وَ لیس العفو و الرحمة بیدی؟أ وَ لیس أنا محلّ الآمال،فمن یقطعها دونی؟</w:t>
      </w:r>
    </w:p>
    <w:p>
      <w:pPr>
        <w:pStyle w:val="BookText"/>
        <w:rPr/>
      </w:pPr>
      <w:r>
        <w:rPr>
          <w:rFonts w:ascii="IRNazanin" w:hAnsi="IRNazanin" w:eastAsia="IRNazanin"/>
          <w:color w:val="111111"/>
          <w:sz w:val="28"/>
          <w:sz w:val="28"/>
          <w:szCs w:val="28"/>
          <w:rtl w:val="true"/>
          <w:lang w:bidi="fa-IR"/>
        </w:rPr>
        <w:t xml:space="preserve">أ فلا یخشی </w:t>
      </w:r>
      <w:r>
        <w:rPr>
          <w:rStyle w:val="FootnoteAnchor"/>
          <w:rtl w:val="true"/>
        </w:rPr>
        <w:footnoteReference w:id="1717"/>
      </w:r>
      <w:r>
        <w:rPr>
          <w:rFonts w:ascii="IRNazanin" w:hAnsi="IRNazanin" w:eastAsia="IRNazanin"/>
          <w:color w:val="111111"/>
          <w:sz w:val="28"/>
          <w:sz w:val="28"/>
          <w:szCs w:val="28"/>
          <w:rtl w:val="true"/>
          <w:lang w:bidi="fa-IR"/>
        </w:rPr>
        <w:t>المؤمّلون أن یؤمّلوا غیری؟فلو أنّ أهل سماواتی و أهل أرضی أمّلوا جمیعاً ثمّ أعطیت کلّ واحد منهم مثل ما أمّل الجمیع ما انتقص من ملکی مثل عضو ذرّة،و کیف ینقص مُلْکٌ أنا قیّمه؟ فیا بؤساً للقانطین من رحمتی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بؤساً لمن عصانی و لم یراقبنی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الحدیث الشریف،و انتهی کلام شیخنا الشهید رحمه اللّٰه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ذلک بأصرح دلالة ما رواه فی الکافی بإسناده إلی أبی إسحاق السبیعی عمّن حدّثه،قال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الناس،إنّ کمال الدین طلب العلم و العمل به،أ لا و إنّ طلب العلم أوجب علیکم من طلب المال،إنّ المال مقسوم مضمون لکم قد قسّمه عادل بینکم و ضمنه لکم،و سَیَفی لکم،و العلم مخزون عند أهله،و قد أُمرتم بطلبه من أهله فاطلبوه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یؤکّده ما رواه فی الکافی بسنده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عزّتی و جلالی و کبریائی و نوری،و عظمتی و عُلُوِّی و ارتفاع مکانی </w:t>
      </w:r>
      <w:r>
        <w:rPr>
          <w:rStyle w:val="FootnoteAnchor"/>
          <w:rtl w:val="true"/>
        </w:rPr>
        <w:footnoteReference w:id="1720"/>
      </w:r>
      <w:r>
        <w:rPr>
          <w:rFonts w:ascii="IRNazanin" w:hAnsi="IRNazanin" w:eastAsia="IRNazanin"/>
          <w:color w:val="111111"/>
          <w:sz w:val="28"/>
          <w:sz w:val="28"/>
          <w:szCs w:val="28"/>
          <w:rtl w:val="true"/>
          <w:lang w:bidi="fa-IR"/>
        </w:rPr>
        <w:t>لا یؤثر عبد هوای علی هواه إلّا استحفظته ملائکتی،و کفّلت السماوات و الأرضین</w:t>
      </w:r>
    </w:p>
    <w:p>
      <w:pPr>
        <w:pStyle w:val="BookText"/>
        <w:rPr/>
      </w:pPr>
      <w:r>
        <w:rPr>
          <w:rFonts w:ascii="IRNazanin" w:hAnsi="IRNazanin" w:eastAsia="IRNazanin"/>
          <w:color w:val="111111"/>
          <w:sz w:val="28"/>
          <w:sz w:val="28"/>
          <w:szCs w:val="28"/>
          <w:rtl w:val="true"/>
          <w:lang w:bidi="fa-IR"/>
        </w:rPr>
        <w:t xml:space="preserve">رزقه،و کنت له من وراء تجارة کلّ تاجر،فتأتیه الدنیا و هی راغمة </w:t>
      </w:r>
      <w:r>
        <w:rPr>
          <w:rStyle w:val="FootnoteAnchor"/>
          <w:rtl w:val="true"/>
        </w:rPr>
        <w:footnoteReference w:id="1721"/>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انتهی کلامه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خبیر بأنّ ما ذکره من کلام الشهید رحمه اللّٰه و ما ذکره من الحدیث القدسی لا ارتباط له بما ذکر من دفع التنافی بین أدلّة الطرفین؛ لأنّ ما ذکر </w:t>
      </w:r>
      <w:r>
        <w:rPr>
          <w:rStyle w:val="FootnoteAnchor"/>
          <w:rtl w:val="true"/>
        </w:rPr>
        <w:footnoteReference w:id="1724"/>
      </w:r>
      <w:r>
        <w:rPr>
          <w:rFonts w:ascii="IRNazanin" w:hAnsi="IRNazanin" w:eastAsia="IRNazanin"/>
          <w:color w:val="111111"/>
          <w:sz w:val="28"/>
          <w:sz w:val="28"/>
          <w:szCs w:val="28"/>
          <w:rtl w:val="true"/>
          <w:lang w:bidi="fa-IR"/>
        </w:rPr>
        <w:t xml:space="preserve">من التوکّل علی اللّٰه و عدم ربط القلب بغیره </w:t>
      </w:r>
      <w:r>
        <w:rPr>
          <w:rStyle w:val="FootnoteAnchor"/>
          <w:rtl w:val="true"/>
        </w:rPr>
        <w:footnoteReference w:id="1725"/>
      </w:r>
      <w:r>
        <w:rPr>
          <w:rFonts w:ascii="IRNazanin" w:hAnsi="IRNazanin" w:eastAsia="IRNazanin"/>
          <w:color w:val="111111"/>
          <w:sz w:val="28"/>
          <w:sz w:val="28"/>
          <w:szCs w:val="28"/>
          <w:rtl w:val="true"/>
          <w:lang w:bidi="fa-IR"/>
        </w:rPr>
        <w:t xml:space="preserve">لا ینافی الاشتغال بالاکتساب؛و لذا کان أمیر المؤمنین صلوات اللّٰه علیه و علی أخیه و زوجته و ولدیه و ذرّیته جامعاً بین أعلی مراتب التوکّل و أشدّ مشاقّ الاکتساب،و هو الاستقاء لحائط الیهودی </w:t>
      </w:r>
      <w:r>
        <w:rPr>
          <w:rStyle w:val="FootnoteAnchor"/>
          <w:rtl w:val="true"/>
        </w:rPr>
        <w:footnoteReference w:id="1726"/>
      </w:r>
      <w:r>
        <w:rPr>
          <w:rFonts w:ascii="IRNazanin" w:hAnsi="IRNazanin" w:eastAsia="IRNazanin"/>
          <w:color w:val="111111"/>
          <w:sz w:val="28"/>
          <w:sz w:val="28"/>
          <w:szCs w:val="28"/>
          <w:rtl w:val="true"/>
          <w:lang w:bidi="fa-IR"/>
        </w:rPr>
        <w:t>،و لیس الشهید أیضاً فی مقام أنّ طلب العلم أفضل من التکسّب و إن کان أفضل،بل فی مقام أنّ طالب العلم إذا اشتغل بتحصیل العلم فلیکن منقطعاً عن الأسباب الظاهرة الموجودة غالباً لطلّاب العلوم من الوظائف المستمرّة</w:t>
      </w:r>
    </w:p>
    <w:p>
      <w:pPr>
        <w:pStyle w:val="BookText"/>
        <w:rPr/>
      </w:pPr>
      <w:r>
        <w:rPr>
          <w:rFonts w:ascii="IRNazanin" w:hAnsi="IRNazanin" w:eastAsia="IRNazanin"/>
          <w:color w:val="111111"/>
          <w:sz w:val="28"/>
          <w:sz w:val="28"/>
          <w:szCs w:val="28"/>
          <w:rtl w:val="true"/>
          <w:lang w:bidi="fa-IR"/>
        </w:rPr>
        <w:t xml:space="preserve">من السلاطین،و الحاصلة من الموقوفات للمدارس و أهل العلم، و الموجودة الحاصلة غالباً للعلماء و المشتغلین من معاشرة السلطان و أتباعه و المراودة مع التجار و الأغنیاء و العلماء الذین لا ینتفع منهم إلّا بما فی أیدیهم من وجوه الزکوات و ردّ المظالم و الأخماس و شبه ذلک، کما کان ذلک </w:t>
      </w:r>
      <w:r>
        <w:rPr>
          <w:rStyle w:val="FootnoteAnchor"/>
          <w:rtl w:val="true"/>
        </w:rPr>
        <w:footnoteReference w:id="1727"/>
      </w:r>
      <w:r>
        <w:rPr>
          <w:rFonts w:ascii="IRNazanin" w:hAnsi="IRNazanin" w:eastAsia="IRNazanin"/>
          <w:color w:val="111111"/>
          <w:sz w:val="28"/>
          <w:sz w:val="28"/>
          <w:szCs w:val="28"/>
          <w:rtl w:val="true"/>
          <w:lang w:bidi="fa-IR"/>
        </w:rPr>
        <w:t>متعارفاً فی ذلک الزمان،بل فی کلّ زمان،فربما جعل الاشتغال بالعلم بنفسه سبباً للمعیشة من الجهات التی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بالجملة،فلا شهادة فیما ذکر من کلام الشهید رحمه اللّٰه من أوّله إلی آخره و ما أضاف إلیه من الروایات فی الجمع المذکور،أعنی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أدلّة طلب الحلال بغیر طالب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إشکال فی أنّ کلاّ من طلب العلم و طلب الرزق ینقسم إلی الأحکام الأربعة أو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المستحبّ من أحدهما لا یزاحم الواجب،و لا الواجب الکفائی الواجب العینی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إشکال أیضاً فی أنّ الأهمّ من الواجبین العینیّین </w:t>
      </w:r>
      <w:r>
        <w:rPr>
          <w:rStyle w:val="FootnoteAnchor"/>
          <w:rtl w:val="true"/>
        </w:rPr>
        <w:footnoteReference w:id="1728"/>
      </w:r>
      <w:r>
        <w:rPr>
          <w:rFonts w:ascii="IRNazanin" w:hAnsi="IRNazanin" w:eastAsia="IRNazanin"/>
          <w:color w:val="111111"/>
          <w:sz w:val="28"/>
          <w:sz w:val="28"/>
          <w:szCs w:val="28"/>
          <w:rtl w:val="true"/>
          <w:lang w:bidi="fa-IR"/>
        </w:rPr>
        <w:t>مقدّم علی غیره؛و کذا الحکم فی الواجبین الکفائیّین مع ظنّ قیام الغیر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کسب الکاسب مقدّمة لاشتغال غیره بالعلم، فیجب أو یستحبّ مقدّمة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 المستحبّ من الأمرین عند فرض عدم إمکان الجمع بینهما،و لا ریب فی تفاوت الحکم بالترجیح باختلاف الفوائد المرتّبة علی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 من لا یحصل له باشتغاله بالعلم إلّا شیء قلیل لا یترتّب علیه کثیر فائدة،و یترتّب علی اشتغاله بالتجارة فوائد کثیرة،منها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تکفّل أحوال المشتغلین من ماله أو مال أقرانه من التجار المخالطین معه علی وجه الصلة أو الصدقة الواجبة و المستحبّة،فیحصل بذلک ثواب الصدقة و ثواب الإعانة الواجبة أو المستحبّة علی تحصیل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 من یحصّل بالاشتغال مرتبةً عالیةً من العلم یُحیی بها فنون علم الدین،فلا یحصل له من کسبه إلّا قلیل من الرزق؛فإنّه لا إشکال فی أنّ اشتغاله بالعلم و الأکل من وجوه الصدقات أرجح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ذکر من حدیث داود علی نبیّنا و آله و علیه السلام </w:t>
      </w:r>
      <w:r>
        <w:rPr>
          <w:rStyle w:val="FootnoteAnchor"/>
          <w:rtl w:val="true"/>
        </w:rPr>
        <w:footnoteReference w:id="1729"/>
      </w:r>
      <w:r>
        <w:rPr>
          <w:rFonts w:ascii="IRNazanin" w:hAnsi="IRNazanin" w:eastAsia="IRNazanin"/>
          <w:color w:val="111111"/>
          <w:sz w:val="28"/>
          <w:sz w:val="28"/>
          <w:szCs w:val="28"/>
          <w:rtl w:val="true"/>
          <w:lang w:bidi="fa-IR"/>
        </w:rPr>
        <w:t>فإنّما هو لعدم مزاحمة اشتغاله بالکسب لشیء من وظائف النبوّة و الریاسة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بالجملة،فطلب کلٍّ من العلم و الرزق إذا لوحظ المستحبّ منهما من حیث النفع العائد إلی نفس الطالب کان طلب العلم أرجح،و إذا لوحظ من جهة النفع الواصل إلی الغیر کان اللازم ملاحظة مقدار النفع الواصل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فثبت من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تزاحم هذین المستحبّین کتزاحم سائر المستحبّات المتنافیة،کالاشتغال بالاکتساب أو طلب العلم الغیر الواجبین مع المسیر إلی الحجّ </w:t>
      </w:r>
      <w:r>
        <w:rPr>
          <w:rStyle w:val="FootnoteAnchor"/>
          <w:rtl w:val="true"/>
        </w:rPr>
        <w:footnoteReference w:id="1730"/>
      </w:r>
      <w:r>
        <w:rPr>
          <w:rFonts w:ascii="IRNazanin" w:hAnsi="IRNazanin" w:eastAsia="IRNazanin"/>
          <w:color w:val="111111"/>
          <w:sz w:val="28"/>
          <w:sz w:val="28"/>
          <w:szCs w:val="28"/>
          <w:rtl w:val="true"/>
          <w:lang w:bidi="fa-IR"/>
        </w:rPr>
        <w:t>أو إلی مشاهد الأئمة علیهم السلام،أو مع السعی فی قضاء حوائج الإخوان الذی لا یجامع طلب العلم أو المال الحلال،إلی غیر ذلک،ممّا لا یحصی</w:t>
      </w:r>
      <w:r>
        <w:rPr>
          <w:rFonts w:eastAsia="IRNazanin" w:cs="IRNazanin"/>
          <w:color w:val="111111"/>
          <w:sz w:val="28"/>
          <w:szCs w:val="28"/>
          <w:rtl w:val="true"/>
          <w:lang w:bidi="fa-IR"/>
        </w:rPr>
        <w:t>.</w:t>
      </w:r>
      <w:bookmarkStart w:id="544" w:name="pg19861_202631"/>
    </w:p>
    <w:p>
      <w:pPr>
        <w:pStyle w:val="Heading5"/>
        <w:numPr>
          <w:ilvl w:val="4"/>
          <w:numId w:val="1"/>
        </w:numPr>
        <w:rPr/>
      </w:pPr>
      <w:bookmarkStart w:id="545" w:name="__RefHeading___Toc5119255_2314609296"/>
      <w:bookmarkStart w:id="546" w:name="_Toc212"/>
      <w:bookmarkEnd w:id="544"/>
      <w:bookmarkEnd w:id="545"/>
      <w:r>
        <w:rPr>
          <w:rtl w:val="true"/>
        </w:rPr>
        <w:t xml:space="preserve">مسألة </w:t>
      </w:r>
      <w:r>
        <w:rPr>
          <w:rtl w:val="true"/>
        </w:rPr>
        <w:t>[</w:t>
      </w:r>
      <w:r>
        <w:rPr>
          <w:rtl w:val="true"/>
        </w:rPr>
        <w:t>حکم تلقی الرکبان تکلیفا</w:t>
      </w:r>
      <w:r>
        <w:rPr>
          <w:rtl w:val="true"/>
        </w:rPr>
        <w:t>]</w:t>
      </w:r>
      <w:bookmarkEnd w:id="546"/>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خلاف فی مرجوحیّة تلقّی الرکبان بالشروط الآتیة،و اختلفوا فی حرمته و کراهته،فعن التقی </w:t>
      </w:r>
      <w:r>
        <w:rPr>
          <w:rStyle w:val="FootnoteAnchor"/>
          <w:rtl w:val="true"/>
        </w:rPr>
        <w:footnoteReference w:id="1731"/>
      </w:r>
      <w:r>
        <w:rPr>
          <w:rFonts w:ascii="IRNazanin" w:hAnsi="IRNazanin" w:eastAsia="IRNazanin"/>
          <w:color w:val="111111"/>
          <w:sz w:val="28"/>
          <w:sz w:val="28"/>
          <w:szCs w:val="28"/>
          <w:rtl w:val="true"/>
          <w:lang w:bidi="fa-IR"/>
        </w:rPr>
        <w:t xml:space="preserve">و القاضی </w:t>
      </w:r>
      <w:r>
        <w:rPr>
          <w:rStyle w:val="FootnoteAnchor"/>
          <w:rtl w:val="true"/>
        </w:rPr>
        <w:footnoteReference w:id="1732"/>
      </w:r>
      <w:r>
        <w:rPr>
          <w:rFonts w:ascii="Amiri" w:hAnsi="Amiri" w:eastAsia="Amiri" w:cs="Amiri"/>
          <w:color w:val="111111"/>
          <w:sz w:val="28"/>
          <w:sz w:val="28"/>
          <w:szCs w:val="28"/>
          <w:rtl w:val="true"/>
          <w:lang w:bidi="ar-SA"/>
        </w:rPr>
        <w:t xml:space="preserve">و الحلّی </w:t>
      </w:r>
      <w:r>
        <w:rPr>
          <w:rStyle w:val="FootnoteAnchor"/>
          <w:rtl w:val="true"/>
        </w:rPr>
        <w:footnoteReference w:id="1733"/>
      </w:r>
      <w:r>
        <w:rPr>
          <w:rFonts w:ascii="IRNazanin" w:hAnsi="IRNazanin" w:eastAsia="IRNazanin"/>
          <w:color w:val="111111"/>
          <w:sz w:val="28"/>
          <w:sz w:val="28"/>
          <w:szCs w:val="28"/>
          <w:rtl w:val="true"/>
          <w:lang w:bidi="fa-IR"/>
        </w:rPr>
        <w:t xml:space="preserve">و العلّامة فی المنتهی </w:t>
      </w:r>
      <w:r>
        <w:rPr>
          <w:rStyle w:val="FootnoteAnchor"/>
          <w:rtl w:val="true"/>
        </w:rPr>
        <w:footnoteReference w:id="1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الحرمة،و هو المحکی عن ظاهر الدروس </w:t>
      </w:r>
      <w:r>
        <w:rPr>
          <w:rStyle w:val="FootnoteAnchor"/>
          <w:rtl w:val="true"/>
        </w:rPr>
        <w:footnoteReference w:id="1735"/>
      </w:r>
      <w:r>
        <w:rPr>
          <w:rFonts w:ascii="IRNazanin" w:hAnsi="IRNazanin" w:eastAsia="IRNazanin"/>
          <w:color w:val="111111"/>
          <w:sz w:val="28"/>
          <w:sz w:val="28"/>
          <w:szCs w:val="28"/>
          <w:rtl w:val="true"/>
          <w:lang w:bidi="fa-IR"/>
        </w:rPr>
        <w:t xml:space="preserve">و حواشی المحقّق الثانی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الشیخ و ابن 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w:t>
      </w:r>
      <w:r>
        <w:rPr>
          <w:rStyle w:val="FootnoteAnchor"/>
          <w:rtl w:val="true"/>
        </w:rPr>
        <w:footnoteReference w:id="1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أوَّلَ فی المختلف عبارة الشیخ بالکراهة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هی أی الکراهة </w:t>
      </w:r>
      <w:r>
        <w:rPr>
          <w:rStyle w:val="FootnoteAnchor"/>
          <w:rtl w:val="true"/>
        </w:rPr>
        <w:footnoteReference w:id="1739"/>
      </w:r>
      <w:r>
        <w:rPr>
          <w:rFonts w:ascii="IRNazanin" w:hAnsi="IRNazanin" w:eastAsia="IRNazanin"/>
          <w:color w:val="111111"/>
          <w:sz w:val="28"/>
          <w:sz w:val="28"/>
          <w:szCs w:val="28"/>
          <w:rtl w:val="true"/>
          <w:lang w:bidi="fa-IR"/>
        </w:rPr>
        <w:t>مذهب الأکثر،بل عن إیضاح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الشیخ ادّعی الإجماع علی عدم التحریم </w:t>
      </w:r>
      <w:r>
        <w:rPr>
          <w:rStyle w:val="FootnoteAnchor"/>
          <w:rtl w:val="true"/>
        </w:rPr>
        <w:footnoteReference w:id="1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نهایة الإحکام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تلقّی الرکبان مکروه عند أکثر علمائنا،و لیس حراماً إجماعاً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مستند التحریم ظواهر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منهال القصّاب،قال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تلقّ </w:t>
      </w:r>
      <w:r>
        <w:rPr>
          <w:rStyle w:val="FootnoteAnchor"/>
          <w:rtl w:val="true"/>
        </w:rPr>
        <w:footnoteReference w:id="1742"/>
      </w:r>
      <w:r>
        <w:rPr>
          <w:rFonts w:ascii="IRNazanin" w:hAnsi="IRNazanin" w:eastAsia="IRNazanin"/>
          <w:color w:val="111111"/>
          <w:sz w:val="28"/>
          <w:sz w:val="28"/>
          <w:szCs w:val="28"/>
          <w:rtl w:val="true"/>
          <w:lang w:bidi="fa-IR"/>
        </w:rPr>
        <w:t>،فإنّ رسول اللّٰه صلّی اللّٰه علیه و آله نهی عن التلقّی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حدّ التلقّی؟قال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دون غدوة أو روحة،قلت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الغدوة و الروحة؟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فراسخ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فوق ذلک فلیس بتلقٍّ</w:t>
      </w:r>
      <w:r>
        <w:rPr>
          <w:rFonts w:eastAsia="IRNazanin" w:cs="IRNazanin"/>
          <w:color w:val="111111"/>
          <w:sz w:val="28"/>
          <w:szCs w:val="28"/>
          <w:rtl w:val="true"/>
          <w:lang w:bidi="fa-IR"/>
        </w:rPr>
        <w:t xml:space="preserve">»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یتلقّی </w:t>
      </w:r>
      <w:r>
        <w:rPr>
          <w:rStyle w:val="FootnoteAnchor"/>
          <w:rtl w:val="true"/>
        </w:rPr>
        <w:footnoteReference w:id="1744"/>
      </w:r>
      <w:r>
        <w:rPr>
          <w:rFonts w:ascii="IRNazanin" w:hAnsi="IRNazanin" w:eastAsia="IRNazanin"/>
          <w:color w:val="111111"/>
          <w:sz w:val="28"/>
          <w:sz w:val="28"/>
          <w:szCs w:val="28"/>
          <w:rtl w:val="true"/>
          <w:lang w:bidi="fa-IR"/>
        </w:rPr>
        <w:t xml:space="preserve">أحدکم تجارةً خارجاً من المصر، و لا یبیع </w:t>
      </w:r>
      <w:r>
        <w:rPr>
          <w:rStyle w:val="FootnoteAnchor"/>
          <w:rtl w:val="true"/>
        </w:rPr>
        <w:footnoteReference w:id="1745"/>
      </w:r>
      <w:r>
        <w:rPr>
          <w:rFonts w:ascii="Amiri" w:hAnsi="Amiri" w:eastAsia="Amiri" w:cs="Amiri"/>
          <w:color w:val="111111"/>
          <w:sz w:val="28"/>
          <w:sz w:val="28"/>
          <w:szCs w:val="28"/>
          <w:rtl w:val="true"/>
          <w:lang w:bidi="ar-SA"/>
        </w:rPr>
        <w:t>حاضرٌ لبادٍ،و المسلمون یرزق اللّٰه بعضَهم من بعضٍ</w:t>
      </w:r>
      <w:r>
        <w:rPr>
          <w:rFonts w:eastAsia="Amiri" w:cs="Amiri" w:ascii="Amiri" w:hAnsi="Amiri"/>
          <w:color w:val="111111"/>
          <w:sz w:val="28"/>
          <w:szCs w:val="28"/>
          <w:rtl w:val="true"/>
          <w:lang w:bidi="ar-SA"/>
        </w:rPr>
        <w:t xml:space="preserve">»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تلقِّ و لا تشترِ ما یتلقّی و لا تأکل منه</w:t>
      </w:r>
      <w:r>
        <w:rPr>
          <w:rFonts w:eastAsia="Amiri" w:cs="Amiri" w:ascii="Amiri" w:hAnsi="Amiri"/>
          <w:color w:val="111111"/>
          <w:sz w:val="28"/>
          <w:szCs w:val="28"/>
          <w:rtl w:val="true"/>
          <w:lang w:bidi="ar-SA"/>
        </w:rPr>
        <w:t xml:space="preserve">»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النهی عن الأکل کونه لفساد المعاملة،فیکون أکلاً بالباطل،و لم یقل به إلّا الإسکافی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ظاهر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الاتّفاق علی خلافه </w:t>
      </w:r>
      <w:r>
        <w:rPr>
          <w:rStyle w:val="FootnoteAnchor"/>
          <w:rtl w:val="true"/>
        </w:rPr>
        <w:footnoteReference w:id="1749"/>
      </w:r>
      <w:r>
        <w:rPr>
          <w:rFonts w:ascii="IRNazanin" w:hAnsi="IRNazanin" w:eastAsia="IRNazanin"/>
          <w:color w:val="111111"/>
          <w:sz w:val="28"/>
          <w:sz w:val="28"/>
          <w:szCs w:val="28"/>
          <w:rtl w:val="true"/>
          <w:lang w:bidi="fa-IR"/>
        </w:rPr>
        <w:t>،فتکون الروایة مع ضعفها مخالفة لعمل الأصحاب،فتقصر عن إفادة الحرمة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بحملها علی الکراهة لو وجد القول بکراهة الأکل ممّا یُشتری من المتلقّی،و لا بأس به حسماً لمادّة التلقّی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النهی فی سائر الأخبار أیضاً محمولٌ علی الکراهة،الموافقة </w:t>
      </w:r>
      <w:r>
        <w:rPr>
          <w:rStyle w:val="FootnoteAnchor"/>
          <w:rtl w:val="true"/>
        </w:rPr>
        <w:footnoteReference w:id="1750"/>
      </w:r>
      <w:r>
        <w:rPr>
          <w:rFonts w:ascii="IRNazanin" w:hAnsi="IRNazanin" w:eastAsia="IRNazanin"/>
          <w:color w:val="111111"/>
          <w:sz w:val="28"/>
          <w:sz w:val="28"/>
          <w:szCs w:val="28"/>
          <w:rtl w:val="true"/>
          <w:lang w:bidi="fa-IR"/>
        </w:rPr>
        <w:t>للأصل مع ضعف الخبر و مخالفته للمشهور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حدّ التلقّی أربعة فراسخ،کما فی کلام بعض </w:t>
      </w:r>
      <w:r>
        <w:rPr>
          <w:rStyle w:val="FootnoteAnchor"/>
          <w:rtl w:val="true"/>
        </w:rPr>
        <w:footnoteReference w:id="1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مرادهم خروج الحدّ عن المحدود؛لأنّ الظاهر زوال المرجوحیّة إذا کان أربعة فراسخ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تبعوا بذلک مرسلة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 التلقّی روحة،فإذا بلغ إلی أربعة فراسخ فهو جَلب</w:t>
      </w:r>
      <w:r>
        <w:rPr>
          <w:rFonts w:eastAsia="IRNazanin" w:cs="IRNazanin"/>
          <w:color w:val="111111"/>
          <w:sz w:val="28"/>
          <w:szCs w:val="28"/>
          <w:rtl w:val="true"/>
          <w:lang w:bidi="fa-IR"/>
        </w:rPr>
        <w:t xml:space="preserve">» </w:t>
      </w:r>
      <w:r>
        <w:rPr>
          <w:rStyle w:val="FootnoteAnchor"/>
          <w:rtl w:val="true"/>
        </w:rPr>
        <w:footnoteReference w:id="1752"/>
      </w:r>
      <w:r>
        <w:rPr>
          <w:rFonts w:ascii="IRNazanin" w:hAnsi="IRNazanin" w:eastAsia="IRNazanin"/>
          <w:color w:val="111111"/>
          <w:sz w:val="28"/>
          <w:sz w:val="28"/>
          <w:szCs w:val="28"/>
          <w:rtl w:val="true"/>
          <w:lang w:bidi="fa-IR"/>
        </w:rPr>
        <w:t>،فإنّ الجمع بین صدرها و ذیلها لا یکون إلّا بإرادة خروج الحدّ عن المحدود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ما فی الروایة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دون غدوة أو روحة</w:t>
      </w:r>
      <w:r>
        <w:rPr>
          <w:rFonts w:eastAsia="IRNazanin" w:cs="IRNazanin"/>
          <w:color w:val="111111"/>
          <w:sz w:val="28"/>
          <w:szCs w:val="28"/>
          <w:rtl w:val="true"/>
          <w:lang w:bidi="fa-IR"/>
        </w:rPr>
        <w:t xml:space="preserve">» </w:t>
      </w:r>
      <w:r>
        <w:rPr>
          <w:rStyle w:val="FootnoteAnchor"/>
          <w:rtl w:val="true"/>
        </w:rPr>
        <w:footnoteReference w:id="1753"/>
      </w:r>
      <w:r>
        <w:rPr>
          <w:rFonts w:ascii="IRNazanin" w:hAnsi="IRNazanin" w:eastAsia="IRNazanin"/>
          <w:color w:val="111111"/>
          <w:sz w:val="28"/>
          <w:sz w:val="28"/>
          <w:szCs w:val="28"/>
          <w:rtl w:val="true"/>
          <w:lang w:bidi="fa-IR"/>
        </w:rPr>
        <w:t>محمولٌ علی دخول الحدّ فی المحدود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قال فی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علماؤنا التلقّی بأربعة فراسخ،فکرهوا التلقّی إلی ذلک الحدّ،فإن زاد علی ذلک کان تجارةً و جلباً،و هو ظاهرٌ، لأنّ بمضیّه و رجوعه یکون مسافراً،و یجب علیه القصر فیکون سفراً حقیقیّا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نعرف بین علمائنا خلافاً فیه </w:t>
      </w:r>
      <w:r>
        <w:rPr>
          <w:rStyle w:val="FootnoteAnchor"/>
          <w:rtl w:val="true"/>
        </w:rPr>
        <w:footnoteReference w:id="175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التعلیل بحصول السفر الحقیقی یدلّ علی مسامحة فی التعبیر،و لعلّ الوجه فی التحدید بالأربعة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الحصول </w:t>
      </w:r>
      <w:r>
        <w:rPr>
          <w:rStyle w:val="FootnoteAnchor"/>
          <w:rtl w:val="true"/>
        </w:rPr>
        <w:footnoteReference w:id="1755"/>
      </w:r>
      <w:r>
        <w:rPr>
          <w:rFonts w:ascii="IRNazanin" w:hAnsi="IRNazanin" w:eastAsia="IRNazanin"/>
          <w:color w:val="111111"/>
          <w:sz w:val="28"/>
          <w:sz w:val="28"/>
          <w:szCs w:val="28"/>
          <w:rtl w:val="true"/>
          <w:lang w:bidi="fa-IR"/>
        </w:rPr>
        <w:t>علی الأربعة بلا زیادة و نقیصة نادر،فلا یصلح أن یکون ضابطاً لرفع الکراهة؛إذ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وصل إلی الأربعة إلّا إذا تجاوز عنها و لو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أنّه لا إشکال فی أصل الحکم و إن وقع اختلافٌ فی التعبیر فی النصوص و الفتاوی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إشکال فی اعتبار القصد؛إذ بدونه لا یصدق عنوان التلقّی،فلو تلقّی الرکب فی طریقه ذاهباً أو جائیاً لم یکره المعاملة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اعتبار قصد المعاملة من المتلقّی،فلا یکره لغرضٍ آخر و لو اتّفقت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التعلیل فی روایة عروة المتقدّمة </w:t>
      </w:r>
      <w:r>
        <w:rPr>
          <w:rStyle w:val="FootnoteAnchor"/>
          <w:rtl w:val="true"/>
        </w:rPr>
        <w:footnoteReference w:id="1756"/>
      </w:r>
      <w:r>
        <w:rPr>
          <w:rFonts w:ascii="IRNazanin" w:hAnsi="IRNazanin" w:eastAsia="IRNazanin"/>
          <w:color w:val="111111"/>
          <w:sz w:val="28"/>
          <w:sz w:val="28"/>
          <w:szCs w:val="28"/>
          <w:rtl w:val="true"/>
          <w:lang w:bidi="fa-IR"/>
        </w:rPr>
        <w:t xml:space="preserve">اعتبار جهل الرکب بسعر البلد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مبنیٌّ علی عدم اختصاص القید بالحکم الأخیر، فیحتمل أن تکون العلّة فی کراهة التلقی مسامحة الرکب فی المیزان بما لا یتسامح به المتلقی،أو مظنّة حبس المتلقّین ما اشتروه،أو ادّخاره عن أعین الناس و بیعه تدریجاً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إذا أتی الرکب و طرحوا أمتعتهم فی الخانات و الأسواق،فإنّ له أثراً بیّناً فی امتلاء أعین الناس خصوصاً الفقراء وقت الغلاء إذا اتی بالطعام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کان،فاشتراط الکراهة بجهلهم بسعر البلد محلّ 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فرق بین أخذ المتلقّی بصیغة البیع أو الصلح أو غیرهما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نعم،لا بأس باستیهابهم و لو بإهداء شیءٍ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تلقّاهم لمعاملات أُخر غیر شراء متاعهم،فظاهر الروایات عدم المرجوحیّة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جعلنا المناط ما یقرب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یرزق اللّٰه بعضهم من بعض</w:t>
      </w:r>
      <w:r>
        <w:rPr>
          <w:rFonts w:eastAsia="IRNazanin" w:cs="IRNazanin"/>
          <w:color w:val="111111"/>
          <w:sz w:val="28"/>
          <w:szCs w:val="28"/>
          <w:rtl w:val="true"/>
          <w:lang w:bidi="fa-IR"/>
        </w:rPr>
        <w:t xml:space="preserve">» </w:t>
      </w:r>
      <w:r>
        <w:rPr>
          <w:rStyle w:val="FootnoteAnchor"/>
          <w:rtl w:val="true"/>
        </w:rPr>
        <w:footnoteReference w:id="1758"/>
      </w:r>
      <w:r>
        <w:rPr>
          <w:rFonts w:ascii="IRNazanin" w:hAnsi="IRNazanin" w:eastAsia="IRNazanin"/>
          <w:color w:val="111111"/>
          <w:sz w:val="28"/>
          <w:sz w:val="28"/>
          <w:szCs w:val="28"/>
          <w:rtl w:val="true"/>
          <w:lang w:bidi="fa-IR"/>
        </w:rPr>
        <w:t>قوی سرایة الحکم إلی بیع شیءٍ منهم و إیجارهم المساکن و الخانات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إذا جعلنا المناط فی الکراهة کراهة غبن الجاهل،کما یدلّ علیه النبویّ العامیّ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تلقّوا الجَلَب،فمن تلقّاه و اشتری منه فإذا أتی السوق فهو بالخیار</w:t>
      </w:r>
      <w:r>
        <w:rPr>
          <w:rFonts w:eastAsia="IRNazanin" w:cs="IRNazanin"/>
          <w:color w:val="111111"/>
          <w:sz w:val="28"/>
          <w:szCs w:val="28"/>
          <w:rtl w:val="true"/>
          <w:lang w:bidi="fa-IR"/>
        </w:rPr>
        <w:t xml:space="preserve">» </w:t>
      </w:r>
      <w:r>
        <w:rPr>
          <w:rStyle w:val="FootnoteAnchor"/>
          <w:rtl w:val="true"/>
        </w:rPr>
        <w:footnoteReference w:id="1759"/>
      </w:r>
      <w:r>
        <w:rPr>
          <w:rFonts w:ascii="IRNazanin" w:hAnsi="IRNazanin" w:eastAsia="IRNazanin"/>
          <w:color w:val="111111"/>
          <w:sz w:val="28"/>
          <w:sz w:val="28"/>
          <w:szCs w:val="28"/>
          <w:rtl w:val="true"/>
          <w:lang w:bidi="fa-IR"/>
        </w:rPr>
        <w:t xml:space="preserve">قوی سرایة الحکم إلی کلّ معاملة توجب غبنهم، کالبیع و الشراء منهم متلقّیاً </w:t>
      </w:r>
      <w:r>
        <w:rPr>
          <w:rStyle w:val="FootnoteAnchor"/>
          <w:rtl w:val="true"/>
        </w:rPr>
        <w:footnoteReference w:id="1760"/>
      </w:r>
      <w:r>
        <w:rPr>
          <w:rFonts w:ascii="IRNazanin" w:hAnsi="IRNazanin" w:eastAsia="IRNazanin"/>
          <w:color w:val="111111"/>
          <w:sz w:val="28"/>
          <w:sz w:val="28"/>
          <w:szCs w:val="28"/>
          <w:rtl w:val="true"/>
          <w:lang w:bidi="fa-IR"/>
        </w:rPr>
        <w:t>،و شبه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الأظهر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کان،فإذا فرض جهلهم بالسعر فثبت </w:t>
      </w:r>
      <w:r>
        <w:rPr>
          <w:rStyle w:val="FootnoteAnchor"/>
          <w:rtl w:val="true"/>
        </w:rPr>
        <w:footnoteReference w:id="1761"/>
      </w:r>
      <w:r>
        <w:rPr>
          <w:rFonts w:ascii="IRNazanin" w:hAnsi="IRNazanin" w:eastAsia="IRNazanin"/>
          <w:color w:val="111111"/>
          <w:sz w:val="28"/>
          <w:sz w:val="28"/>
          <w:szCs w:val="28"/>
          <w:rtl w:val="true"/>
          <w:lang w:bidi="fa-IR"/>
        </w:rPr>
        <w:t>لهم الغبن الفاحش کان لهم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یحکی عن الحلّی ثبوت الخیار و إن لم یکن غبن </w:t>
      </w:r>
      <w:r>
        <w:rPr>
          <w:rStyle w:val="FootnoteAnchor"/>
          <w:rtl w:val="true"/>
        </w:rPr>
        <w:footnoteReference w:id="1762"/>
      </w:r>
      <w:r>
        <w:rPr>
          <w:rFonts w:ascii="IRNazanin" w:hAnsi="IRNazanin" w:eastAsia="IRNazanin"/>
          <w:color w:val="111111"/>
          <w:sz w:val="28"/>
          <w:sz w:val="28"/>
          <w:szCs w:val="28"/>
          <w:rtl w:val="true"/>
          <w:lang w:bidi="fa-IR"/>
        </w:rPr>
        <w:t xml:space="preserve">، و لعلّه لإطلاق </w:t>
      </w:r>
      <w:r>
        <w:rPr>
          <w:rStyle w:val="FootnoteAnchor"/>
          <w:rtl w:val="true"/>
        </w:rPr>
        <w:footnoteReference w:id="1763"/>
      </w:r>
      <w:r>
        <w:rPr>
          <w:rFonts w:ascii="IRNazanin" w:hAnsi="IRNazanin" w:eastAsia="IRNazanin"/>
          <w:color w:val="111111"/>
          <w:sz w:val="28"/>
          <w:sz w:val="28"/>
          <w:szCs w:val="28"/>
          <w:rtl w:val="true"/>
          <w:lang w:bidi="fa-IR"/>
        </w:rPr>
        <w:t>النبویّ المتقدّم المحمول علی صورة تبیّنِ الغبن بدخول السوق و الاطّلاع علی القیمة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اختلفوا فی کون هذا الخیار علی الفور أو التراخی علی قولین، سیجیء ذکر الأقوی منهما فی مسألة خیار الغبن إن شاء اللّٰه</w:t>
      </w:r>
      <w:r>
        <w:rPr>
          <w:rFonts w:eastAsia="IRNazanin" w:cs="IRNazanin"/>
          <w:color w:val="111111"/>
          <w:sz w:val="28"/>
          <w:szCs w:val="28"/>
          <w:rtl w:val="true"/>
          <w:lang w:bidi="fa-IR"/>
        </w:rPr>
        <w:t>.</w:t>
      </w:r>
      <w:bookmarkStart w:id="547" w:name="pg19861_202637"/>
    </w:p>
    <w:p>
      <w:pPr>
        <w:pStyle w:val="Heading5"/>
        <w:numPr>
          <w:ilvl w:val="4"/>
          <w:numId w:val="1"/>
        </w:numPr>
        <w:rPr/>
      </w:pPr>
      <w:bookmarkStart w:id="548" w:name="__RefHeading___Toc5119257_2314609296"/>
      <w:bookmarkStart w:id="549" w:name="_Toc213"/>
      <w:bookmarkEnd w:id="547"/>
      <w:bookmarkEnd w:id="548"/>
      <w:r>
        <w:rPr>
          <w:rtl w:val="true"/>
        </w:rPr>
        <w:t>مسألة یحرم النجش</w:t>
      </w:r>
      <w:bookmarkEnd w:id="549"/>
    </w:p>
    <w:p>
      <w:pPr>
        <w:pStyle w:val="BookText"/>
        <w:rPr/>
      </w:pPr>
      <w:r>
        <w:rPr>
          <w:rFonts w:ascii="IRNazanin" w:hAnsi="IRNazanin" w:eastAsia="IRNazanin"/>
          <w:color w:val="111111"/>
          <w:sz w:val="28"/>
          <w:sz w:val="28"/>
          <w:szCs w:val="28"/>
          <w:rtl w:val="true"/>
          <w:lang w:bidi="fa-IR"/>
        </w:rPr>
        <w:t xml:space="preserve">علی المشهور،کما فی الحدائق </w:t>
      </w:r>
      <w:r>
        <w:rPr>
          <w:rStyle w:val="FootnoteAnchor"/>
          <w:rtl w:val="true"/>
        </w:rPr>
        <w:footnoteReference w:id="1764"/>
      </w:r>
      <w:r>
        <w:rPr>
          <w:rFonts w:ascii="IRNazanin" w:hAnsi="IRNazanin" w:eastAsia="IRNazanin"/>
          <w:color w:val="111111"/>
          <w:sz w:val="28"/>
          <w:sz w:val="28"/>
          <w:szCs w:val="28"/>
          <w:rtl w:val="true"/>
          <w:lang w:bidi="fa-IR"/>
        </w:rPr>
        <w:t>،بل عن المنتهی و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محرّم </w:t>
      </w:r>
      <w:r>
        <w:rPr>
          <w:rStyle w:val="FootnoteAnchor"/>
          <w:rtl w:val="true"/>
        </w:rPr>
        <w:footnoteReference w:id="1765"/>
      </w:r>
      <w:r>
        <w:rPr>
          <w:rFonts w:ascii="Amiri" w:hAnsi="Amiri" w:eastAsia="Amiri" w:cs="Amiri"/>
          <w:color w:val="111111"/>
          <w:sz w:val="28"/>
          <w:sz w:val="28"/>
          <w:szCs w:val="28"/>
          <w:rtl w:val="true"/>
          <w:lang w:bidi="ar-SA"/>
        </w:rPr>
        <w:t xml:space="preserve">إجماعاً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لروایة ابن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الواشمة و المؤتشمة و الناجش و المنجوش ملعونون علی لسان محمّد صلّی اللّٰه علیه و آله</w:t>
      </w:r>
      <w:r>
        <w:rPr>
          <w:rFonts w:eastAsia="IRNazanin" w:cs="IRNazanin"/>
          <w:color w:val="111111"/>
          <w:sz w:val="28"/>
          <w:szCs w:val="28"/>
          <w:rtl w:val="true"/>
          <w:lang w:bidi="fa-IR"/>
        </w:rPr>
        <w:t xml:space="preserve">»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النبوی المحکیّ عن 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تناجشوا و لا تدابروا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یزید الرجل فی ثمن السلعة و هو لا یرید شراءها؛ لیسمع غیره فیزید بزیادته،و الناجش خائن،و التدابر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الهجران </w:t>
      </w:r>
      <w:r>
        <w:rPr>
          <w:rStyle w:val="FootnoteAnchor"/>
          <w:rtl w:val="true"/>
        </w:rPr>
        <w:footnoteReference w:id="1768"/>
      </w:r>
      <w:r>
        <w:rPr>
          <w:rFonts w:ascii="IRNazanin" w:hAnsi="IRNazanin" w:eastAsia="IRNazanin"/>
          <w:color w:val="111111"/>
          <w:sz w:val="28"/>
          <w:sz w:val="28"/>
          <w:szCs w:val="28"/>
          <w:rtl w:val="true"/>
          <w:lang w:bidi="fa-IR"/>
        </w:rPr>
        <w:t>، انتهی کلام الصدوق</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المراد بزیادة الناجش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مؤاطاة البائع المنجوش له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bookmarkStart w:id="550" w:name="pg19861_202639"/>
    </w:p>
    <w:p>
      <w:pPr>
        <w:pStyle w:val="Heading5"/>
        <w:numPr>
          <w:ilvl w:val="4"/>
          <w:numId w:val="1"/>
        </w:numPr>
        <w:rPr/>
      </w:pPr>
      <w:bookmarkStart w:id="551" w:name="__RefHeading___Toc5119259_2314609296"/>
      <w:bookmarkStart w:id="552" w:name="_Toc214"/>
      <w:bookmarkEnd w:id="550"/>
      <w:bookmarkEnd w:id="551"/>
      <w:r>
        <w:rPr>
          <w:rtl w:val="true"/>
        </w:rPr>
        <w:t>مسألة إذا دفع إنسان إلی غیره مالاً لیصرفه فی قَبیلٍ یکون المدفوع إلیه منهم،</w:t>
      </w:r>
      <w:bookmarkEnd w:id="552"/>
    </w:p>
    <w:p>
      <w:pPr>
        <w:pStyle w:val="BookText"/>
        <w:rPr/>
      </w:pPr>
      <w:r>
        <w:rPr>
          <w:rFonts w:ascii="IRNazanin" w:hAnsi="IRNazanin" w:eastAsia="IRNazanin"/>
          <w:color w:val="111111"/>
          <w:sz w:val="28"/>
          <w:sz w:val="28"/>
          <w:szCs w:val="28"/>
          <w:rtl w:val="true"/>
          <w:lang w:bidi="fa-IR"/>
        </w:rPr>
        <w:t>و لم یحصل للمدفوع إلیه ولایة علی ذلک المال من دون الدافع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الإمام،أو ردّ المظالم المدفوع إلی الحاکم فله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تظهر </w:t>
      </w:r>
      <w:r>
        <w:rPr>
          <w:rStyle w:val="FootnoteAnchor"/>
          <w:rtl w:val="true"/>
        </w:rPr>
        <w:footnoteReference w:id="1770"/>
      </w:r>
      <w:r>
        <w:rPr>
          <w:rFonts w:ascii="IRNazanin" w:hAnsi="IRNazanin" w:eastAsia="IRNazanin"/>
          <w:color w:val="111111"/>
          <w:sz w:val="28"/>
          <w:sz w:val="28"/>
          <w:szCs w:val="28"/>
          <w:rtl w:val="true"/>
          <w:lang w:bidi="fa-IR"/>
        </w:rPr>
        <w:t xml:space="preserve">قرینة علی عدم جواز </w:t>
      </w:r>
      <w:r>
        <w:rPr>
          <w:rStyle w:val="FootnoteAnchor"/>
          <w:rtl w:val="true"/>
        </w:rPr>
        <w:footnoteReference w:id="1771"/>
      </w:r>
      <w:r>
        <w:rPr>
          <w:rFonts w:ascii="IRNazanin" w:hAnsi="IRNazanin" w:eastAsia="IRNazanin"/>
          <w:color w:val="111111"/>
          <w:sz w:val="28"/>
          <w:sz w:val="28"/>
          <w:szCs w:val="28"/>
          <w:rtl w:val="true"/>
          <w:lang w:bidi="fa-IR"/>
        </w:rPr>
        <w:t>رضاه بالأخذ منه، کما إذا عیّن له منه مقداراً قبل الدفع 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 عدم الجواز؛لحرمة التصرّف فی مال الناس علی غیر الوجه المأذون فیه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تظهر </w:t>
      </w:r>
      <w:r>
        <w:rPr>
          <w:rStyle w:val="FootnoteAnchor"/>
          <w:rtl w:val="true"/>
        </w:rPr>
        <w:footnoteReference w:id="1772"/>
      </w:r>
      <w:r>
        <w:rPr>
          <w:rFonts w:ascii="IRNazanin" w:hAnsi="IRNazanin" w:eastAsia="IRNazanin"/>
          <w:color w:val="111111"/>
          <w:sz w:val="28"/>
          <w:sz w:val="28"/>
          <w:szCs w:val="28"/>
          <w:rtl w:val="true"/>
          <w:lang w:bidi="fa-IR"/>
        </w:rPr>
        <w:t>قرینة حالیّة أو مقالیّة علی جواز أخذه منه مقداراً مساویاً لما یدفع إلی غیره أو أنقص أو أزید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 الجواز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قد یشکل الأمر فیما لو اختلف مقدار المدفوع إلی الأصناف المختلفة،کأن عیّن للمجتهدین مقداراً،و للمشتغلین مقداراً، و اعتقده </w:t>
      </w:r>
      <w:r>
        <w:rPr>
          <w:rStyle w:val="FootnoteAnchor"/>
          <w:rtl w:val="true"/>
        </w:rPr>
        <w:footnoteReference w:id="1773"/>
      </w:r>
      <w:r>
        <w:rPr>
          <w:rFonts w:ascii="Amiri" w:hAnsi="Amiri" w:eastAsia="Amiri" w:cs="Amiri"/>
          <w:color w:val="111111"/>
          <w:sz w:val="28"/>
          <w:sz w:val="28"/>
          <w:szCs w:val="28"/>
          <w:rtl w:val="true"/>
          <w:lang w:bidi="ar-SA"/>
        </w:rPr>
        <w:t>الدافع بعنوان یخالف مُعْتَقَد المدفوع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التحقیق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مراعاة معتقد المدفوع إلیه إن کان عنوان الصنف علی وجه الموضوعیّة،کأن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إلی کلّ مشتغل کذا و إلی کلّ مجتهد کذا،و خذ أنت ما یخصّک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علی وجه الداعی بأن کان عنوان الصنف داعیاً إلی تعیین ذلک المقدار،کان المتّبع اعتقاد الدافع؛ لأنّ الداعی إنّما یتفرّع علی الاعتقاد لا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تقوم قرینة علی أحد الأمرین،و یطلق المتکلّم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اختلف فیه کلماتهم بل کلمات واحد منهم،فالمحکیّ عن وکالة المبسوط </w:t>
      </w:r>
      <w:r>
        <w:rPr>
          <w:rStyle w:val="FootnoteAnchor"/>
          <w:rtl w:val="true"/>
        </w:rPr>
        <w:footnoteReference w:id="1774"/>
      </w:r>
      <w:r>
        <w:rPr>
          <w:rFonts w:ascii="IRNazanin" w:hAnsi="IRNazanin" w:eastAsia="IRNazanin"/>
          <w:color w:val="111111"/>
          <w:sz w:val="28"/>
          <w:sz w:val="28"/>
          <w:szCs w:val="28"/>
          <w:rtl w:val="true"/>
          <w:lang w:bidi="fa-IR"/>
        </w:rPr>
        <w:t xml:space="preserve">و زکاة السرائر </w:t>
      </w:r>
      <w:r>
        <w:rPr>
          <w:rStyle w:val="FootnoteAnchor"/>
          <w:rtl w:val="true"/>
        </w:rPr>
        <w:footnoteReference w:id="1775"/>
      </w:r>
      <w:r>
        <w:rPr>
          <w:rFonts w:ascii="IRNazanin" w:hAnsi="IRNazanin" w:eastAsia="IRNazanin"/>
          <w:color w:val="111111"/>
          <w:sz w:val="28"/>
          <w:sz w:val="28"/>
          <w:szCs w:val="28"/>
          <w:rtl w:val="true"/>
          <w:lang w:bidi="fa-IR"/>
        </w:rPr>
        <w:t xml:space="preserve">و مکاسب النافع </w:t>
      </w:r>
      <w:r>
        <w:rPr>
          <w:rStyle w:val="FootnoteAnchor"/>
          <w:rtl w:val="true"/>
        </w:rPr>
        <w:footnoteReference w:id="1776"/>
      </w:r>
      <w:r>
        <w:rPr>
          <w:rFonts w:ascii="IRNazanin" w:hAnsi="IRNazanin" w:eastAsia="IRNazanin"/>
          <w:color w:val="111111"/>
          <w:sz w:val="28"/>
          <w:sz w:val="28"/>
          <w:szCs w:val="28"/>
          <w:rtl w:val="true"/>
          <w:lang w:bidi="fa-IR"/>
        </w:rPr>
        <w:t xml:space="preserve">و کشف الرموز </w:t>
      </w:r>
      <w:r>
        <w:rPr>
          <w:rStyle w:val="FootnoteAnchor"/>
          <w:rtl w:val="true"/>
        </w:rPr>
        <w:footnoteReference w:id="1777"/>
      </w:r>
      <w:r>
        <w:rPr>
          <w:rFonts w:ascii="IRNazanin" w:hAnsi="IRNazanin" w:eastAsia="IRNazanin"/>
          <w:color w:val="111111"/>
          <w:sz w:val="28"/>
          <w:sz w:val="28"/>
          <w:szCs w:val="28"/>
          <w:rtl w:val="true"/>
          <w:lang w:bidi="fa-IR"/>
        </w:rPr>
        <w:t xml:space="preserve">و المختلف </w:t>
      </w:r>
      <w:r>
        <w:rPr>
          <w:rStyle w:val="FootnoteAnchor"/>
          <w:rtl w:val="true"/>
        </w:rPr>
        <w:footnoteReference w:id="1778"/>
      </w:r>
      <w:r>
        <w:rPr>
          <w:rFonts w:ascii="IRNazanin" w:hAnsi="IRNazanin" w:eastAsia="IRNazanin"/>
          <w:color w:val="111111"/>
          <w:sz w:val="28"/>
          <w:sz w:val="28"/>
          <w:szCs w:val="28"/>
          <w:rtl w:val="true"/>
          <w:lang w:bidi="fa-IR"/>
        </w:rPr>
        <w:t xml:space="preserve">و التذکرة </w:t>
      </w:r>
      <w:r>
        <w:rPr>
          <w:rStyle w:val="FootnoteAnchor"/>
          <w:rtl w:val="true"/>
        </w:rPr>
        <w:footnoteReference w:id="1779"/>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7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الأخذ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النهایة </w:t>
      </w:r>
      <w:r>
        <w:rPr>
          <w:rStyle w:val="FootnoteAnchor"/>
          <w:rtl w:val="true"/>
        </w:rPr>
        <w:footnoteReference w:id="1781"/>
      </w:r>
      <w:r>
        <w:rPr>
          <w:rFonts w:ascii="IRNazanin" w:hAnsi="IRNazanin" w:eastAsia="IRNazanin"/>
          <w:color w:val="111111"/>
          <w:sz w:val="28"/>
          <w:sz w:val="28"/>
          <w:szCs w:val="28"/>
          <w:rtl w:val="true"/>
          <w:lang w:bidi="fa-IR"/>
        </w:rPr>
        <w:t xml:space="preserve">و مکاسب السرائر </w:t>
      </w:r>
      <w:r>
        <w:rPr>
          <w:rStyle w:val="FootnoteAnchor"/>
          <w:rtl w:val="true"/>
        </w:rPr>
        <w:footnoteReference w:id="1782"/>
      </w:r>
      <w:r>
        <w:rPr>
          <w:rFonts w:ascii="IRNazanin" w:hAnsi="IRNazanin" w:eastAsia="IRNazanin"/>
          <w:color w:val="111111"/>
          <w:sz w:val="28"/>
          <w:sz w:val="28"/>
          <w:szCs w:val="28"/>
          <w:rtl w:val="true"/>
          <w:lang w:bidi="fa-IR"/>
        </w:rPr>
        <w:t xml:space="preserve">و الشرائع </w:t>
      </w:r>
      <w:r>
        <w:rPr>
          <w:rStyle w:val="FootnoteAnchor"/>
          <w:rtl w:val="true"/>
        </w:rPr>
        <w:footnoteReference w:id="1783"/>
      </w:r>
      <w:r>
        <w:rPr>
          <w:rFonts w:ascii="IRNazanin" w:hAnsi="IRNazanin" w:eastAsia="IRNazanin"/>
          <w:color w:val="111111"/>
          <w:sz w:val="28"/>
          <w:sz w:val="28"/>
          <w:szCs w:val="28"/>
          <w:rtl w:val="true"/>
          <w:lang w:bidi="fa-IR"/>
        </w:rPr>
        <w:t xml:space="preserve">و التحریر </w:t>
      </w:r>
      <w:r>
        <w:rPr>
          <w:rStyle w:val="FootnoteAnchor"/>
          <w:rtl w:val="true"/>
        </w:rPr>
        <w:footnoteReference w:id="1784"/>
      </w:r>
      <w:r>
        <w:rPr>
          <w:rFonts w:ascii="IRNazanin" w:hAnsi="IRNazanin" w:eastAsia="IRNazanin"/>
          <w:color w:val="111111"/>
          <w:sz w:val="28"/>
          <w:sz w:val="28"/>
          <w:szCs w:val="28"/>
          <w:rtl w:val="true"/>
          <w:lang w:bidi="fa-IR"/>
        </w:rPr>
        <w:t xml:space="preserve">و الإرشاد </w:t>
      </w:r>
      <w:r>
        <w:rPr>
          <w:rStyle w:val="FootnoteAnchor"/>
          <w:rtl w:val="true"/>
        </w:rPr>
        <w:footnoteReference w:id="1785"/>
      </w:r>
      <w:r>
        <w:rPr>
          <w:rFonts w:ascii="IRNazanin" w:hAnsi="IRNazanin" w:eastAsia="IRNazanin"/>
          <w:color w:val="111111"/>
          <w:sz w:val="28"/>
          <w:sz w:val="28"/>
          <w:szCs w:val="28"/>
          <w:rtl w:val="true"/>
          <w:lang w:bidi="fa-IR"/>
        </w:rPr>
        <w:t xml:space="preserve">و المسالک </w:t>
      </w:r>
      <w:r>
        <w:rPr>
          <w:rStyle w:val="FootnoteAnchor"/>
          <w:rtl w:val="true"/>
        </w:rPr>
        <w:footnoteReference w:id="1786"/>
      </w:r>
      <w:r>
        <w:rPr>
          <w:rFonts w:ascii="IRNazanin" w:hAnsi="IRNazanin" w:eastAsia="IRNazanin"/>
          <w:color w:val="111111"/>
          <w:sz w:val="28"/>
          <w:sz w:val="28"/>
          <w:szCs w:val="28"/>
          <w:rtl w:val="true"/>
          <w:lang w:bidi="fa-IR"/>
        </w:rPr>
        <w:t xml:space="preserve">و الکفایة </w:t>
      </w:r>
      <w:r>
        <w:rPr>
          <w:rStyle w:val="FootnoteAnchor"/>
          <w:rtl w:val="true"/>
        </w:rPr>
        <w:footnoteReference w:id="1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له الأخذ منه إن أطلق من دون زیادة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نسبه فی الدروس إلی الأکثر </w:t>
      </w:r>
      <w:r>
        <w:rPr>
          <w:rStyle w:val="FootnoteAnchor"/>
          <w:rtl w:val="true"/>
        </w:rPr>
        <w:footnoteReference w:id="1788"/>
      </w:r>
      <w:r>
        <w:rPr>
          <w:rFonts w:ascii="IRNazanin" w:hAnsi="IRNazanin" w:eastAsia="IRNazanin"/>
          <w:color w:val="111111"/>
          <w:sz w:val="28"/>
          <w:sz w:val="28"/>
          <w:szCs w:val="28"/>
          <w:rtl w:val="true"/>
          <w:lang w:bidi="fa-IR"/>
        </w:rPr>
        <w:t xml:space="preserve">،و فی الحدائق إلی المشهور </w:t>
      </w:r>
      <w:r>
        <w:rPr>
          <w:rStyle w:val="FootnoteAnchor"/>
          <w:rtl w:val="true"/>
        </w:rPr>
        <w:footnoteReference w:id="1789"/>
      </w: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شرط کلّ من سوّغ له الأخذ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نهایة الإحکام </w:t>
      </w:r>
      <w:r>
        <w:rPr>
          <w:rStyle w:val="FootnoteAnchor"/>
          <w:rtl w:val="true"/>
        </w:rPr>
        <w:footnoteReference w:id="1791"/>
      </w:r>
      <w:r>
        <w:rPr>
          <w:rFonts w:ascii="IRNazanin" w:hAnsi="IRNazanin" w:eastAsia="IRNazanin"/>
          <w:color w:val="111111"/>
          <w:sz w:val="28"/>
          <w:sz w:val="28"/>
          <w:szCs w:val="28"/>
          <w:rtl w:val="true"/>
          <w:lang w:bidi="fa-IR"/>
        </w:rPr>
        <w:t xml:space="preserve">و التنقیح </w:t>
      </w:r>
      <w:r>
        <w:rPr>
          <w:rStyle w:val="FootnoteAnchor"/>
          <w:rtl w:val="true"/>
        </w:rPr>
        <w:footnoteReference w:id="1792"/>
      </w:r>
      <w:r>
        <w:rPr>
          <w:rFonts w:ascii="IRNazanin" w:hAnsi="IRNazanin" w:eastAsia="IRNazanin"/>
          <w:color w:val="111111"/>
          <w:sz w:val="28"/>
          <w:sz w:val="28"/>
          <w:szCs w:val="28"/>
          <w:rtl w:val="true"/>
          <w:lang w:bidi="fa-IR"/>
        </w:rPr>
        <w:t xml:space="preserve">و المهذّب البارع </w:t>
      </w:r>
      <w:r>
        <w:rPr>
          <w:rStyle w:val="FootnoteAnchor"/>
          <w:rtl w:val="true"/>
        </w:rPr>
        <w:footnoteReference w:id="1793"/>
      </w:r>
      <w:r>
        <w:rPr>
          <w:rFonts w:ascii="IRNazanin" w:hAnsi="IRNazanin" w:eastAsia="IRNazanin"/>
          <w:color w:val="111111"/>
          <w:sz w:val="28"/>
          <w:sz w:val="28"/>
          <w:szCs w:val="28"/>
          <w:rtl w:val="true"/>
          <w:lang w:bidi="fa-IR"/>
        </w:rPr>
        <w:t xml:space="preserve">و المقتصر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الاقتصار علی نقل القولین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المهذّب البارع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حکایة التفصیل بالجواز </w:t>
      </w:r>
      <w:r>
        <w:rPr>
          <w:rStyle w:val="FootnoteAnchor"/>
          <w:rtl w:val="true"/>
        </w:rPr>
        <w:footnoteReference w:id="1795"/>
      </w:r>
      <w:r>
        <w:rPr>
          <w:rFonts w:ascii="IRNazanin" w:hAnsi="IRNazanin" w:eastAsia="IRNazanin"/>
          <w:color w:val="111111"/>
          <w:sz w:val="28"/>
          <w:sz w:val="28"/>
          <w:szCs w:val="28"/>
          <w:rtl w:val="true"/>
          <w:lang w:bidi="fa-IR"/>
        </w:rPr>
        <w:t>إن کانت الصیغة</w:t>
      </w:r>
    </w:p>
    <w:p>
      <w:pPr>
        <w:pStyle w:val="BookText"/>
        <w:rPr/>
      </w:pP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ضعه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أدّی معناه،و المنع إن کانت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ادفعه</w:t>
      </w:r>
      <w:r>
        <w:rPr>
          <w:rFonts w:eastAsia="IRNazanin" w:cs="IRNazanin"/>
          <w:color w:val="111111"/>
          <w:sz w:val="28"/>
          <w:szCs w:val="28"/>
          <w:rtl w:val="true"/>
          <w:lang w:bidi="fa-IR"/>
        </w:rPr>
        <w:t xml:space="preserve">»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التنقیح عن بعض الفضلاء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أعطه للفقراء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علم فقره لم یجز؛إذ لو أراده لخصّه،و إن لم یعلم جاز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القائل بالتحریم مضافاً إلی ظهور اللفظ فی مغایرة المأمور بالدفع </w:t>
      </w:r>
      <w:r>
        <w:rPr>
          <w:rStyle w:val="FootnoteAnchor"/>
          <w:rtl w:val="true"/>
        </w:rPr>
        <w:footnoteReference w:id="1798"/>
      </w:r>
      <w:r>
        <w:rPr>
          <w:rFonts w:ascii="IRNazanin" w:hAnsi="IRNazanin" w:eastAsia="IRNazanin"/>
          <w:color w:val="111111"/>
          <w:sz w:val="28"/>
          <w:sz w:val="28"/>
          <w:szCs w:val="28"/>
          <w:rtl w:val="true"/>
          <w:lang w:bidi="fa-IR"/>
        </w:rPr>
        <w:t xml:space="preserve">للمدفوع إلیهم،المؤیّد بما قالوه فیمن وکّلته امرأة أن یزوّجها من شخصٍ فزوّجها من نفسه،أو وکّله فی شراء شیءٍ فأعطاه من عنده بصحیحة </w:t>
      </w:r>
      <w:r>
        <w:rPr>
          <w:rStyle w:val="FootnoteAnchor"/>
          <w:rtl w:val="true"/>
        </w:rPr>
        <w:footnoteReference w:id="1799"/>
      </w:r>
      <w:r>
        <w:rPr>
          <w:rFonts w:ascii="IRNazanin" w:hAnsi="IRNazanin" w:eastAsia="IRNazanin"/>
          <w:color w:val="111111"/>
          <w:sz w:val="28"/>
          <w:sz w:val="28"/>
          <w:szCs w:val="28"/>
          <w:rtl w:val="true"/>
          <w:lang w:bidi="fa-IR"/>
        </w:rPr>
        <w:t>ابن الحجّاج المسندة فی التحریر إلی مولانا الصادق علیه السلام و إن أُضمرت فی غیره،قال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أعطاه رجلٌ مالاً لیصرفه فی محاویج أو فی مساکین،و هو یحتاج،أ یأخذ منه لنفسه و لا یعلمه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یأخذ شیئاً حتّی یأذن له صاحبه</w:t>
      </w:r>
      <w:r>
        <w:rPr>
          <w:rFonts w:eastAsia="IRNazanin" w:cs="IRNazanin"/>
          <w:color w:val="111111"/>
          <w:sz w:val="28"/>
          <w:szCs w:val="28"/>
          <w:rtl w:val="true"/>
          <w:lang w:bidi="fa-IR"/>
        </w:rPr>
        <w:t xml:space="preserve">»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 المجوّزون </w:t>
      </w:r>
      <w:r>
        <w:rPr>
          <w:rStyle w:val="FootnoteAnchor"/>
          <w:rtl w:val="true"/>
        </w:rPr>
        <w:footnoteReference w:id="18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العنوان المدفوع إلیه شامل له،و الغرض </w:t>
      </w:r>
      <w:r>
        <w:rPr>
          <w:rStyle w:val="FootnoteAnchor"/>
          <w:rtl w:val="true"/>
        </w:rPr>
        <w:footnoteReference w:id="1802"/>
      </w:r>
      <w:r>
        <w:rPr>
          <w:rFonts w:ascii="IRNazanin" w:hAnsi="IRNazanin" w:eastAsia="IRNazanin"/>
          <w:color w:val="111111"/>
          <w:sz w:val="28"/>
          <w:sz w:val="28"/>
          <w:szCs w:val="28"/>
          <w:rtl w:val="true"/>
          <w:lang w:bidi="fa-IR"/>
        </w:rPr>
        <w:t>الدفع إلی هذا العنوان من غیر ملاحظة لخصوصیّة الغیر،و اللفظ و إن</w:t>
      </w:r>
    </w:p>
    <w:p>
      <w:pPr>
        <w:pStyle w:val="BookText"/>
        <w:rPr/>
      </w:pPr>
      <w:r>
        <w:rPr>
          <w:rFonts w:ascii="IRNazanin" w:hAnsi="IRNazanin" w:eastAsia="IRNazanin"/>
          <w:color w:val="111111"/>
          <w:sz w:val="28"/>
          <w:sz w:val="28"/>
          <w:szCs w:val="28"/>
          <w:rtl w:val="true"/>
          <w:lang w:bidi="fa-IR"/>
        </w:rPr>
        <w:t>سُلّم عدم شموله له لغةً،إلّا أنّ المنساق عرفاً صرفه إلی کلّ من اتّصف بهذا العنوان،فالعنوان موضوع لجواز الدفع یحمل علیه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المدفوع إلیهم أشخاصاً خاصّة،و کان الداعی علی الدفع اتّصافهم بذلک الوصف لم یشمل المأمور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معارضة بروایات أُخر،مثل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عن الکافی فی الصحیح عن سعید بن یسار،قال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یعطی الزکاة یقسّمها فی أصحابه،أ یأخذ منها شیئاً؟قال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الحسین بن عثمان فی الصحیح أو الحسن بابن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اعطی مالاً یفرّقه فی من یحلّ له،أ یأخذ منه شیئاً لنفسه و إن لم یسمّ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منه لنفسه مثل ما یعطی غیرَه</w:t>
      </w:r>
      <w:r>
        <w:rPr>
          <w:rFonts w:eastAsia="IRNazanin" w:cs="IRNazanin"/>
          <w:color w:val="111111"/>
          <w:sz w:val="28"/>
          <w:szCs w:val="28"/>
          <w:rtl w:val="true"/>
          <w:lang w:bidi="fa-IR"/>
        </w:rPr>
        <w:t xml:space="preserve">»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ابن الحجّاج،قال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الرجل یعطی الرجل الدراهم یقسّمها و یضعها فی مواضعها و هو ممّن تحلّ له الصدقة؟قال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یأخذ لنفسه کما یعطی غیره،و لا یجوز له أن یأخذ إذا أمره أن یضعها فی مواضع مسمّاة إلّا بإذنه</w:t>
      </w:r>
      <w:r>
        <w:rPr>
          <w:rFonts w:eastAsia="IRNazanin" w:cs="IRNazanin"/>
          <w:color w:val="111111"/>
          <w:sz w:val="28"/>
          <w:szCs w:val="28"/>
          <w:rtl w:val="true"/>
          <w:lang w:bidi="fa-IR"/>
        </w:rPr>
        <w:t xml:space="preserve">»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حیث دلالة اللفظ الدالّ علی الإذن فی الدفع و الصرف،فإنّ المتّبع الظهور العرفی و إن کان ظاهراً</w:t>
      </w:r>
    </w:p>
    <w:p>
      <w:pPr>
        <w:pStyle w:val="BookText"/>
        <w:rPr/>
      </w:pPr>
      <w:r>
        <w:rPr>
          <w:rFonts w:ascii="IRNazanin" w:hAnsi="IRNazanin" w:eastAsia="IRNazanin"/>
          <w:color w:val="111111"/>
          <w:sz w:val="28"/>
          <w:sz w:val="28"/>
          <w:szCs w:val="28"/>
          <w:rtl w:val="true"/>
          <w:lang w:bidi="fa-IR"/>
        </w:rPr>
        <w:t>بحسب الوضع اللغوی فی غیره،کما أنّ الظهور الخارجی الذی یستفاد من القرائن الخارجیّة مقدّم علی الظهور العرفی الثابت للّفظ المجرّد عن تلک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التعبّد فی حکم هذه المسألة لا یخلو عن بُعد،فالأولی حمل الأخبار المجوّزة علی ما إذا کان غرض المتکلّم صَرف المدفوع فی العنوان المرسوم له من غیر تعلّق الغرض بخصوص فرد دون آخر، و حمل الصحیحة المانعة </w:t>
      </w:r>
      <w:r>
        <w:rPr>
          <w:rStyle w:val="FootnoteAnchor"/>
          <w:rtl w:val="true"/>
        </w:rPr>
        <w:footnoteReference w:id="1806"/>
      </w:r>
      <w:r>
        <w:rPr>
          <w:rFonts w:ascii="IRNazanin" w:hAnsi="IRNazanin" w:eastAsia="IRNazanin"/>
          <w:color w:val="111111"/>
          <w:sz w:val="28"/>
          <w:sz w:val="28"/>
          <w:szCs w:val="28"/>
          <w:rtl w:val="true"/>
          <w:lang w:bidi="fa-IR"/>
        </w:rPr>
        <w:t xml:space="preserve">علی ما إذا لم یعلم الآمر بفقر المأمور فأمره </w:t>
      </w:r>
      <w:r>
        <w:rPr>
          <w:rStyle w:val="FootnoteAnchor"/>
          <w:rtl w:val="true"/>
        </w:rPr>
        <w:footnoteReference w:id="1807"/>
      </w:r>
      <w:r>
        <w:rPr>
          <w:rFonts w:ascii="IRNazanin" w:hAnsi="IRNazanin" w:eastAsia="IRNazanin"/>
          <w:color w:val="111111"/>
          <w:sz w:val="28"/>
          <w:sz w:val="28"/>
          <w:szCs w:val="28"/>
          <w:rtl w:val="true"/>
          <w:lang w:bidi="fa-IR"/>
        </w:rPr>
        <w:t xml:space="preserve">بالدفع إلی مساکین علی وجه تکون المسکنة داعیاً </w:t>
      </w:r>
      <w:r>
        <w:rPr>
          <w:rStyle w:val="FootnoteAnchor"/>
          <w:rtl w:val="true"/>
        </w:rPr>
        <w:footnoteReference w:id="1808"/>
      </w:r>
      <w:r>
        <w:rPr>
          <w:rFonts w:ascii="IRNazanin" w:hAnsi="IRNazanin" w:eastAsia="IRNazanin"/>
          <w:color w:val="111111"/>
          <w:sz w:val="28"/>
          <w:sz w:val="28"/>
          <w:szCs w:val="28"/>
          <w:rtl w:val="true"/>
          <w:lang w:bidi="fa-IR"/>
        </w:rPr>
        <w:t>إلی الدفع لا موضوعاً، و لمّا لم یعلم المسکنة فی المأمور لم یحصل داعٍ علی الرضا بوصول شیءٍ من المال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المعارضة،فالواجب الرجوع إلی ظاهر اللفظ؛ لأنّ الشکّ بعد تکافؤ الأخبار فی الصارف الشرعی عن الظهور العرفی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یکن للّفظ ظهور فالواجب بعد التکافؤ الرجوع إلی المنع؛إذ لا یجوز التصرّف فی مال الغیر إلّا بإذنٍ من المالک أو الشارع</w:t>
      </w:r>
      <w:r>
        <w:rPr>
          <w:rFonts w:eastAsia="IRNazanin" w:cs="IRNazanin"/>
          <w:color w:val="111111"/>
          <w:sz w:val="28"/>
          <w:szCs w:val="28"/>
          <w:rtl w:val="true"/>
          <w:lang w:bidi="fa-IR"/>
        </w:rPr>
        <w:t>.</w:t>
      </w:r>
      <w:bookmarkStart w:id="553" w:name="pg19861_202645"/>
    </w:p>
    <w:p>
      <w:pPr>
        <w:pStyle w:val="Heading5"/>
        <w:numPr>
          <w:ilvl w:val="4"/>
          <w:numId w:val="1"/>
        </w:numPr>
        <w:rPr/>
      </w:pPr>
      <w:bookmarkStart w:id="554" w:name="__RefHeading___Toc5119261_2314609296"/>
      <w:bookmarkStart w:id="555" w:name="_Toc215"/>
      <w:bookmarkEnd w:id="553"/>
      <w:bookmarkEnd w:id="554"/>
      <w:r>
        <w:rPr>
          <w:rtl w:val="true"/>
        </w:rPr>
        <w:t>مسألة احتکار الطعام</w:t>
      </w:r>
      <w:bookmarkEnd w:id="555"/>
    </w:p>
    <w:p>
      <w:pPr>
        <w:pStyle w:val="Heading6"/>
        <w:numPr>
          <w:ilvl w:val="5"/>
          <w:numId w:val="1"/>
        </w:numPr>
        <w:rPr/>
      </w:pPr>
      <w:bookmarkStart w:id="556" w:name="__RefHeading___Toc5119263_2314609296"/>
      <w:bookmarkStart w:id="557" w:name="_Toc216"/>
      <w:bookmarkEnd w:id="556"/>
      <w:r>
        <w:rPr>
          <w:rtl w:val="true"/>
        </w:rPr>
        <w:t>اشاره</w:t>
      </w:r>
      <w:bookmarkEnd w:id="557"/>
    </w:p>
    <w:p>
      <w:pPr>
        <w:pStyle w:val="BookText"/>
        <w:rPr/>
      </w:pPr>
      <w:r>
        <w:rPr>
          <w:rFonts w:ascii="IRNazanin" w:hAnsi="IRNazanin" w:eastAsia="IRNazanin"/>
          <w:color w:val="111111"/>
          <w:sz w:val="28"/>
          <w:sz w:val="28"/>
          <w:szCs w:val="28"/>
          <w:rtl w:val="true"/>
          <w:lang w:bidi="fa-IR"/>
        </w:rPr>
        <w:t xml:space="preserve">و هو کما فی الصحاح </w:t>
      </w:r>
      <w:r>
        <w:rPr>
          <w:rStyle w:val="FootnoteAnchor"/>
          <w:rtl w:val="true"/>
        </w:rPr>
        <w:footnoteReference w:id="1809"/>
      </w:r>
      <w:r>
        <w:rPr>
          <w:rFonts w:ascii="IRNazanin" w:hAnsi="IRNazanin" w:eastAsia="IRNazanin"/>
          <w:color w:val="111111"/>
          <w:sz w:val="28"/>
          <w:sz w:val="28"/>
          <w:szCs w:val="28"/>
          <w:rtl w:val="true"/>
          <w:lang w:bidi="fa-IR"/>
        </w:rPr>
        <w:t xml:space="preserve">و عن المصباح </w:t>
      </w:r>
      <w:r>
        <w:rPr>
          <w:rStyle w:val="FootnoteAnchor"/>
          <w:rtl w:val="true"/>
        </w:rPr>
        <w:footnoteReference w:id="1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الطعام و حبسه یتربّص به الغلاء لا خلاف فی مرجوحیّته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اختلف فی حرمته،فعن المبسوط </w:t>
      </w:r>
      <w:r>
        <w:rPr>
          <w:rStyle w:val="FootnoteAnchor"/>
          <w:rtl w:val="true"/>
        </w:rPr>
        <w:footnoteReference w:id="1811"/>
      </w:r>
      <w:r>
        <w:rPr>
          <w:rFonts w:ascii="Amiri" w:hAnsi="Amiri" w:eastAsia="Amiri" w:cs="Amiri"/>
          <w:color w:val="111111"/>
          <w:sz w:val="28"/>
          <w:sz w:val="28"/>
          <w:szCs w:val="28"/>
          <w:rtl w:val="true"/>
          <w:lang w:bidi="ar-SA"/>
        </w:rPr>
        <w:t xml:space="preserve">و المقنعة </w:t>
      </w:r>
      <w:r>
        <w:rPr>
          <w:rStyle w:val="FootnoteAnchor"/>
          <w:rtl w:val="true"/>
        </w:rPr>
        <w:footnoteReference w:id="1812"/>
      </w:r>
      <w:r>
        <w:rPr>
          <w:rFonts w:ascii="IRNazanin" w:hAnsi="IRNazanin" w:eastAsia="IRNazanin"/>
          <w:color w:val="111111"/>
          <w:sz w:val="28"/>
          <w:sz w:val="28"/>
          <w:szCs w:val="28"/>
          <w:rtl w:val="true"/>
          <w:lang w:bidi="fa-IR"/>
        </w:rPr>
        <w:t xml:space="preserve">و الحلبی فی کتاب المکاسب </w:t>
      </w:r>
      <w:r>
        <w:rPr>
          <w:rStyle w:val="FootnoteAnchor"/>
          <w:rtl w:val="true"/>
        </w:rPr>
        <w:footnoteReference w:id="1813"/>
      </w:r>
      <w:r>
        <w:rPr>
          <w:rFonts w:ascii="IRNazanin" w:hAnsi="IRNazanin" w:eastAsia="IRNazanin"/>
          <w:color w:val="111111"/>
          <w:sz w:val="28"/>
          <w:sz w:val="28"/>
          <w:szCs w:val="28"/>
          <w:rtl w:val="true"/>
          <w:lang w:bidi="fa-IR"/>
        </w:rPr>
        <w:t xml:space="preserve">و الشرائع </w:t>
      </w:r>
      <w:r>
        <w:rPr>
          <w:rStyle w:val="FootnoteAnchor"/>
          <w:rtl w:val="true"/>
        </w:rPr>
        <w:footnoteReference w:id="1814"/>
      </w:r>
      <w:r>
        <w:rPr>
          <w:rFonts w:ascii="IRNazanin" w:hAnsi="IRNazanin" w:eastAsia="IRNazanin"/>
          <w:color w:val="111111"/>
          <w:sz w:val="28"/>
          <w:sz w:val="28"/>
          <w:szCs w:val="28"/>
          <w:rtl w:val="true"/>
          <w:lang w:bidi="fa-IR"/>
        </w:rPr>
        <w:t xml:space="preserve">و المختلف </w:t>
      </w:r>
      <w:r>
        <w:rPr>
          <w:rStyle w:val="FootnoteAnchor"/>
          <w:rtl w:val="true"/>
        </w:rPr>
        <w:footnoteReference w:id="1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کتب الصدوق </w:t>
      </w:r>
      <w:r>
        <w:rPr>
          <w:rStyle w:val="FootnoteAnchor"/>
          <w:rtl w:val="true"/>
        </w:rPr>
        <w:footnoteReference w:id="1816"/>
      </w:r>
      <w:r>
        <w:rPr>
          <w:rFonts w:ascii="IRNazanin" w:hAnsi="IRNazanin" w:eastAsia="IRNazanin"/>
          <w:color w:val="111111"/>
          <w:sz w:val="28"/>
          <w:sz w:val="28"/>
          <w:szCs w:val="28"/>
          <w:rtl w:val="true"/>
          <w:lang w:bidi="fa-IR"/>
        </w:rPr>
        <w:t xml:space="preserve">و الاستبصار </w:t>
      </w:r>
      <w:r>
        <w:rPr>
          <w:rStyle w:val="FootnoteAnchor"/>
          <w:rtl w:val="true"/>
        </w:rPr>
        <w:footnoteReference w:id="1817"/>
      </w:r>
      <w:r>
        <w:rPr>
          <w:rFonts w:ascii="IRNazanin" w:hAnsi="IRNazanin" w:eastAsia="IRNazanin"/>
          <w:color w:val="111111"/>
          <w:sz w:val="28"/>
          <w:sz w:val="28"/>
          <w:szCs w:val="28"/>
          <w:rtl w:val="true"/>
          <w:lang w:bidi="fa-IR"/>
        </w:rPr>
        <w:t xml:space="preserve">و السرائر </w:t>
      </w:r>
      <w:r>
        <w:rPr>
          <w:rStyle w:val="FootnoteAnchor"/>
          <w:rtl w:val="true"/>
        </w:rPr>
        <w:footnoteReference w:id="1818"/>
      </w:r>
      <w:r>
        <w:rPr>
          <w:rFonts w:ascii="IRNazanin" w:hAnsi="IRNazanin" w:eastAsia="IRNazanin"/>
          <w:color w:val="111111"/>
          <w:sz w:val="28"/>
          <w:sz w:val="28"/>
          <w:szCs w:val="28"/>
          <w:rtl w:val="true"/>
          <w:lang w:bidi="fa-IR"/>
        </w:rPr>
        <w:t xml:space="preserve">و القاضی </w:t>
      </w:r>
      <w:r>
        <w:rPr>
          <w:rStyle w:val="FootnoteAnchor"/>
          <w:rtl w:val="true"/>
        </w:rPr>
        <w:footnoteReference w:id="1819"/>
      </w:r>
    </w:p>
    <w:p>
      <w:pPr>
        <w:pStyle w:val="BookText"/>
        <w:rPr/>
      </w:pPr>
      <w:r>
        <w:rPr>
          <w:rFonts w:ascii="IRNazanin" w:hAnsi="IRNazanin" w:eastAsia="IRNazanin"/>
          <w:color w:val="111111"/>
          <w:sz w:val="28"/>
          <w:sz w:val="28"/>
          <w:szCs w:val="28"/>
          <w:rtl w:val="true"/>
          <w:lang w:bidi="fa-IR"/>
        </w:rPr>
        <w:t xml:space="preserve">و التذکرة </w:t>
      </w:r>
      <w:r>
        <w:rPr>
          <w:rStyle w:val="FootnoteAnchor"/>
          <w:rtl w:val="true"/>
        </w:rPr>
        <w:footnoteReference w:id="1820"/>
      </w:r>
      <w:r>
        <w:rPr>
          <w:rFonts w:ascii="IRNazanin" w:hAnsi="IRNazanin" w:eastAsia="IRNazanin"/>
          <w:color w:val="111111"/>
          <w:sz w:val="28"/>
          <w:sz w:val="28"/>
          <w:szCs w:val="28"/>
          <w:rtl w:val="true"/>
          <w:lang w:bidi="fa-IR"/>
        </w:rPr>
        <w:t xml:space="preserve">و التحریر </w:t>
      </w:r>
      <w:r>
        <w:rPr>
          <w:rStyle w:val="FootnoteAnchor"/>
          <w:rtl w:val="true"/>
        </w:rPr>
        <w:footnoteReference w:id="1821"/>
      </w:r>
      <w:r>
        <w:rPr>
          <w:rFonts w:ascii="IRNazanin" w:hAnsi="IRNazanin" w:eastAsia="IRNazanin"/>
          <w:color w:val="111111"/>
          <w:sz w:val="28"/>
          <w:sz w:val="28"/>
          <w:szCs w:val="28"/>
          <w:rtl w:val="true"/>
          <w:lang w:bidi="fa-IR"/>
        </w:rPr>
        <w:t xml:space="preserve">و الإیضاح </w:t>
      </w:r>
      <w:r>
        <w:rPr>
          <w:rStyle w:val="FootnoteAnchor"/>
          <w:rtl w:val="true"/>
        </w:rPr>
        <w:footnoteReference w:id="1822"/>
      </w:r>
      <w:r>
        <w:rPr>
          <w:rFonts w:ascii="IRNazanin" w:hAnsi="IRNazanin" w:eastAsia="IRNazanin"/>
          <w:color w:val="111111"/>
          <w:sz w:val="28"/>
          <w:sz w:val="28"/>
          <w:szCs w:val="28"/>
          <w:rtl w:val="true"/>
          <w:lang w:bidi="fa-IR"/>
        </w:rPr>
        <w:t xml:space="preserve">و الدروس </w:t>
      </w:r>
      <w:r>
        <w:rPr>
          <w:rStyle w:val="FootnoteAnchor"/>
          <w:rtl w:val="true"/>
        </w:rPr>
        <w:footnoteReference w:id="1823"/>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824"/>
      </w:r>
      <w:r>
        <w:rPr>
          <w:rFonts w:ascii="Amiri" w:hAnsi="Amiri" w:eastAsia="Amiri" w:cs="Amiri"/>
          <w:color w:val="111111"/>
          <w:sz w:val="28"/>
          <w:sz w:val="28"/>
          <w:szCs w:val="28"/>
          <w:rtl w:val="true"/>
          <w:lang w:bidi="ar-SA"/>
        </w:rPr>
        <w:t xml:space="preserve">و الروضة </w:t>
      </w:r>
      <w:r>
        <w:rPr>
          <w:rStyle w:val="FootnoteAnchor"/>
          <w:rtl w:val="true"/>
        </w:rPr>
        <w:footnoteReference w:id="18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التنقیح </w:t>
      </w:r>
      <w:r>
        <w:rPr>
          <w:rStyle w:val="FootnoteAnchor"/>
          <w:rtl w:val="true"/>
        </w:rPr>
        <w:footnoteReference w:id="1826"/>
      </w:r>
      <w:r>
        <w:rPr>
          <w:rFonts w:ascii="Amiri" w:hAnsi="Amiri" w:eastAsia="Amiri" w:cs="Amiri"/>
          <w:color w:val="111111"/>
          <w:sz w:val="28"/>
          <w:sz w:val="28"/>
          <w:szCs w:val="28"/>
          <w:rtl w:val="true"/>
          <w:lang w:bidi="ar-SA"/>
        </w:rPr>
        <w:t xml:space="preserve">و المیسیّة </w:t>
      </w:r>
      <w:r>
        <w:rPr>
          <w:rStyle w:val="FootnoteAnchor"/>
          <w:rtl w:val="true"/>
        </w:rPr>
        <w:footnoteReference w:id="18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الأقوی بشرط عدم باذل الکفایة </w:t>
      </w:r>
      <w:r>
        <w:rPr>
          <w:rStyle w:val="FootnoteAnchor"/>
          <w:rtl w:val="true"/>
        </w:rPr>
        <w:footnoteReference w:id="1828"/>
      </w:r>
      <w:r>
        <w:rPr>
          <w:rFonts w:ascii="IRNazanin" w:hAnsi="IRNazanin" w:eastAsia="IRNazanin"/>
          <w:color w:val="111111"/>
          <w:sz w:val="28"/>
          <w:sz w:val="28"/>
          <w:szCs w:val="28"/>
          <w:rtl w:val="true"/>
          <w:lang w:bidi="fa-IR"/>
        </w:rPr>
        <w:t>لصحیحة سالم الحنّاط،قال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عملک؟قلت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حنّاط،و ربما قدمت علی نفاق و ربما قدمت علی کساد فحبست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یقول مَن قِبَلَک فیه؟قلت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یبیعه أحد غیرک؟قلت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أبیع أنا من ألف جزءٍ جزءاً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بأس،إنّما کان ذلک رجل من قریش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حزام،و کان إذا دخل الطعام المدینة اشتراه کلَّه،فمرّ علیه النبی صلّی اللّٰه علیه و آله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حکیم بن حزام إیّاک أن تحتکر</w:t>
      </w:r>
      <w:r>
        <w:rPr>
          <w:rFonts w:eastAsia="IRNazanin" w:cs="IRNazanin"/>
          <w:color w:val="111111"/>
          <w:sz w:val="28"/>
          <w:szCs w:val="28"/>
          <w:rtl w:val="true"/>
          <w:lang w:bidi="fa-IR"/>
        </w:rPr>
        <w:t xml:space="preserve">» </w:t>
      </w:r>
      <w:r>
        <w:rPr>
          <w:rStyle w:val="FootnoteAnchor"/>
          <w:rtl w:val="true"/>
        </w:rPr>
        <w:footnoteReference w:id="1830"/>
      </w:r>
      <w:r>
        <w:rPr>
          <w:rFonts w:ascii="Amiri" w:hAnsi="Amiri" w:eastAsia="Amiri" w:cs="Amiri"/>
          <w:color w:val="111111"/>
          <w:sz w:val="28"/>
          <w:sz w:val="28"/>
          <w:szCs w:val="28"/>
          <w:rtl w:val="true"/>
          <w:lang w:bidi="ar-SA"/>
        </w:rPr>
        <w:t>،فإنّ الظاهر منه أنّ علّة عدم البأس وجود الباذل،فلولاه 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صحیحة الحلبی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الحکرة،فقال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الحکرة أن تشتری طعاماً و لیس فی المصر غیره فتحتکره،فإن کان فی المصر طعام غیره فلا بأس أن تلتمس بسلعتک الفضل</w:t>
      </w:r>
      <w:r>
        <w:rPr>
          <w:rFonts w:eastAsia="IRNazanin" w:cs="IRNazanin"/>
          <w:color w:val="111111"/>
          <w:sz w:val="28"/>
          <w:szCs w:val="28"/>
          <w:rtl w:val="true"/>
          <w:lang w:bidi="fa-IR"/>
        </w:rPr>
        <w:t xml:space="preserve">»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 فی الصحیحة المحکیّة عن الکافی و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الزیت،قال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w:t>
      </w:r>
      <w:r>
        <w:rPr>
          <w:rStyle w:val="FootnoteAnchor"/>
          <w:rtl w:val="true"/>
        </w:rPr>
        <w:footnoteReference w:id="1832"/>
      </w:r>
      <w:r>
        <w:rPr>
          <w:rFonts w:ascii="IRNazanin" w:hAnsi="IRNazanin" w:eastAsia="IRNazanin"/>
          <w:color w:val="111111"/>
          <w:sz w:val="28"/>
          <w:sz w:val="28"/>
          <w:szCs w:val="28"/>
          <w:rtl w:val="true"/>
          <w:lang w:bidi="fa-IR"/>
        </w:rPr>
        <w:t>عند غیرک فلا بأس بإمساکه</w:t>
      </w:r>
      <w:r>
        <w:rPr>
          <w:rFonts w:eastAsia="IRNazanin" w:cs="IRNazanin"/>
          <w:color w:val="111111"/>
          <w:sz w:val="28"/>
          <w:szCs w:val="28"/>
          <w:rtl w:val="true"/>
          <w:lang w:bidi="fa-IR"/>
        </w:rPr>
        <w:t xml:space="preserve">»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أمیر المؤمنین علیه السلام فی نهج البلاغة فی کتابه إلی مالک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فامنع من الاحتکار،فإنّ رسول اللّٰه صلّی اللّٰه علیه و آله منع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لیکن البیع بیعاً سمحاً فی موازین </w:t>
      </w:r>
      <w:r>
        <w:rPr>
          <w:rStyle w:val="FootnoteAnchor"/>
          <w:rtl w:val="true"/>
        </w:rPr>
        <w:footnoteReference w:id="1834"/>
      </w:r>
      <w:r>
        <w:rPr>
          <w:rFonts w:ascii="IRNazanin" w:hAnsi="IRNazanin" w:eastAsia="IRNazanin"/>
          <w:color w:val="111111"/>
          <w:sz w:val="28"/>
          <w:sz w:val="28"/>
          <w:szCs w:val="28"/>
          <w:rtl w:val="true"/>
          <w:lang w:bidi="fa-IR"/>
        </w:rPr>
        <w:t xml:space="preserve">عدل </w:t>
      </w:r>
      <w:r>
        <w:rPr>
          <w:rStyle w:val="FootnoteAnchor"/>
          <w:rtl w:val="true"/>
        </w:rPr>
        <w:footnoteReference w:id="1835"/>
      </w:r>
      <w:r>
        <w:rPr>
          <w:rFonts w:ascii="IRNazanin" w:hAnsi="IRNazanin" w:eastAsia="IRNazanin"/>
          <w:color w:val="111111"/>
          <w:sz w:val="28"/>
          <w:sz w:val="28"/>
          <w:szCs w:val="28"/>
          <w:rtl w:val="true"/>
          <w:lang w:bidi="fa-IR"/>
        </w:rPr>
        <w:t>لا یجحف بالفریقین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البائع و المبتاع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قارف حکرةً بعد نهیک إیّاه فنکِّل به و عاقب فی غیر إسراف</w:t>
      </w:r>
      <w:r>
        <w:rPr>
          <w:rFonts w:eastAsia="IRNazanin" w:cs="IRNazanin"/>
          <w:color w:val="111111"/>
          <w:sz w:val="28"/>
          <w:szCs w:val="28"/>
          <w:rtl w:val="true"/>
          <w:lang w:bidi="fa-IR"/>
        </w:rPr>
        <w:t xml:space="preserve">»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الحلبی،قال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علیه السلام عمّن یحتکر الطعام</w:t>
      </w:r>
    </w:p>
    <w:p>
      <w:pPr>
        <w:pStyle w:val="BookText"/>
        <w:rPr/>
      </w:pPr>
      <w:r>
        <w:rPr>
          <w:rFonts w:ascii="IRNazanin" w:hAnsi="IRNazanin" w:eastAsia="IRNazanin"/>
          <w:color w:val="111111"/>
          <w:sz w:val="28"/>
          <w:sz w:val="28"/>
          <w:szCs w:val="28"/>
          <w:rtl w:val="true"/>
          <w:lang w:bidi="fa-IR"/>
        </w:rPr>
        <w:t>و یتربّص به،هل یصلح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الطعام کثیراً یسع الناس فلا بأس به،و إن کان الطعام قلیلاً لا یسع الناس فإنّه یکره أن یحتکر و یترک الناس لیس لهم طعام</w:t>
      </w:r>
      <w:r>
        <w:rPr>
          <w:rFonts w:eastAsia="IRNazanin" w:cs="IRNazanin"/>
          <w:color w:val="111111"/>
          <w:sz w:val="28"/>
          <w:szCs w:val="28"/>
          <w:rtl w:val="true"/>
          <w:lang w:bidi="fa-IR"/>
        </w:rPr>
        <w:t xml:space="preserve">»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الکراهة فی کلامهم علیهم السلام و إن کان یستعمل فی المکروه و الحرام،إلّا أنّ فی تقییدها بصورة عدم باذلٍ غیره مع ما دلّ علی کراهة الاحتکار مطلقاً،قرینة علی إرادة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علی تأکّد الکراهة أیضاً مخالف 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الشرطیة الأُولی التحریم؛لأنّ الکراهة ثابتة فی هذه الصورة أیضاً،فالشرطیة الثانیة کالمفهوم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المجالس بسنده عن أبی مریم الأنصاری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اشتری طعاماً فحبسه أربعین صباحاً یرید به الغلاء للمسلمین،ثمّ باعه و تصدّق بثمنه لم یکن کفّارةً لما صنع</w:t>
      </w:r>
      <w:r>
        <w:rPr>
          <w:rFonts w:eastAsia="IRNazanin" w:cs="IRNazanin"/>
          <w:color w:val="111111"/>
          <w:sz w:val="28"/>
          <w:szCs w:val="28"/>
          <w:rtl w:val="true"/>
          <w:lang w:bidi="fa-IR"/>
        </w:rPr>
        <w:t xml:space="preserve">»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السند بعض بنی فضّال،و الظاهر أنّ الروایة مأخوذة من کتبهم التی قال العسکری علیه السلام عند سؤاله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بما رووا و ذروا ما رأوا</w:t>
      </w:r>
      <w:r>
        <w:rPr>
          <w:rFonts w:eastAsia="IRNazanin" w:cs="IRNazanin"/>
          <w:color w:val="111111"/>
          <w:sz w:val="28"/>
          <w:szCs w:val="28"/>
          <w:rtl w:val="true"/>
          <w:lang w:bidi="fa-IR"/>
        </w:rPr>
        <w:t xml:space="preserve">» </w:t>
      </w:r>
      <w:r>
        <w:rPr>
          <w:rStyle w:val="FootnoteAnchor"/>
          <w:rtl w:val="true"/>
        </w:rPr>
        <w:footnoteReference w:id="1839"/>
      </w:r>
      <w:r>
        <w:rPr>
          <w:rFonts w:ascii="IRNazanin" w:hAnsi="IRNazanin" w:eastAsia="IRNazanin"/>
          <w:color w:val="111111"/>
          <w:sz w:val="28"/>
          <w:sz w:val="28"/>
          <w:szCs w:val="28"/>
          <w:rtl w:val="true"/>
          <w:lang w:bidi="fa-IR"/>
        </w:rPr>
        <w:t>،ففیه دلیل علی اعتبار ما فی کتبهم،فیُستغنی بذلک</w:t>
      </w:r>
      <w:bookmarkStart w:id="558" w:name="pg19861_202649"/>
    </w:p>
    <w:p>
      <w:pPr>
        <w:pStyle w:val="BookText"/>
        <w:rPr/>
      </w:pPr>
      <w:bookmarkEnd w:id="558"/>
      <w:r>
        <w:rPr>
          <w:rFonts w:ascii="IRNazanin" w:hAnsi="IRNazanin" w:eastAsia="IRNazanin"/>
          <w:color w:val="111111"/>
          <w:sz w:val="28"/>
          <w:sz w:val="28"/>
          <w:szCs w:val="28"/>
          <w:rtl w:val="true"/>
          <w:lang w:bidi="fa-IR"/>
        </w:rPr>
        <w:t xml:space="preserve">عن ملاحظة من قبلهم فی السند،و قد ذکرنا </w:t>
      </w:r>
      <w:r>
        <w:rPr>
          <w:rStyle w:val="FootnoteAnchor"/>
          <w:rtl w:val="true"/>
        </w:rPr>
        <w:footnoteReference w:id="18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الحدیث أولی بالدلالة علی عدم وجوب الفحص عمّا قبل هؤلاء من الإجماع الذی ادّعاه الکشّی علی تصحیح ما یصحّ عن جماعة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الشیخ الجلیل الشیخ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أرسل عن النبیّ صلّی اللّٰه علیه و آله عن جبرئیل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اطّلعت علی النار فرأیت فی جهنّم وادیاً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مالک لمن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المحتکرین،و المدمنین للخمر،و القوّادین</w:t>
      </w:r>
      <w:r>
        <w:rPr>
          <w:rFonts w:eastAsia="IRNazanin" w:cs="IRNazanin"/>
          <w:color w:val="111111"/>
          <w:sz w:val="28"/>
          <w:szCs w:val="28"/>
          <w:rtl w:val="true"/>
          <w:lang w:bidi="fa-IR"/>
        </w:rPr>
        <w:t xml:space="preserve">»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یؤیّد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وجوب البیع علیه،فإنّ إلزامه بذلک ظاهر فی کون الحبس محرّماً؛إذ الإلزام علی ترک المکروه خلاف الظاهر و خلاف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سلطنة الناس علی أموالهم</w:t>
      </w:r>
      <w:r>
        <w:rPr>
          <w:rFonts w:eastAsia="IRNazanin" w:cs="IRNazanin"/>
          <w:color w:val="111111"/>
          <w:sz w:val="28"/>
          <w:szCs w:val="28"/>
          <w:rtl w:val="true"/>
          <w:lang w:bidi="fa-IR"/>
        </w:rPr>
        <w:t>».</w:t>
      </w:r>
    </w:p>
    <w:p>
      <w:pPr>
        <w:pStyle w:val="Heading6"/>
        <w:numPr>
          <w:ilvl w:val="5"/>
          <w:numId w:val="1"/>
        </w:numPr>
        <w:rPr/>
      </w:pPr>
      <w:bookmarkStart w:id="559" w:name="__RefHeading___Toc5119265_2314609296"/>
      <w:bookmarkStart w:id="560" w:name="_Toc217"/>
      <w:bookmarkEnd w:id="559"/>
      <w:r>
        <w:rPr>
          <w:rtl w:val="true"/>
        </w:rPr>
        <w:t>ثمّ إنّ کشف الإبهام عن أطراف المسألة یتمّ ببیان أُمور</w:t>
      </w:r>
      <w:r>
        <w:rPr>
          <w:rtl w:val="true"/>
        </w:rPr>
        <w:t>:</w:t>
      </w:r>
      <w:bookmarkEnd w:id="560"/>
    </w:p>
    <w:p>
      <w:pPr>
        <w:pStyle w:val="Heading6"/>
        <w:numPr>
          <w:ilvl w:val="5"/>
          <w:numId w:val="1"/>
        </w:numPr>
        <w:rPr/>
      </w:pPr>
      <w:bookmarkStart w:id="561" w:name="__RefHeading___Toc5119267_2314609296"/>
      <w:bookmarkStart w:id="562" w:name="_Toc218"/>
      <w:bookmarkEnd w:id="561"/>
      <w:r>
        <w:rPr>
          <w:rtl w:val="true"/>
        </w:rPr>
        <w:t>الأوّل</w:t>
      </w:r>
      <w:r>
        <w:rPr>
          <w:rtl w:val="true"/>
        </w:rPr>
        <w:t>:</w:t>
      </w:r>
      <w:r>
        <w:rPr>
          <w:rtl w:val="true"/>
        </w:rPr>
        <w:t>فی مورد الاحتکار،</w:t>
      </w:r>
      <w:bookmarkEnd w:id="562"/>
    </w:p>
    <w:p>
      <w:pPr>
        <w:pStyle w:val="BookText"/>
        <w:rPr/>
      </w:pPr>
      <w:r>
        <w:rPr>
          <w:rFonts w:ascii="IRNazanin" w:hAnsi="IRNazanin" w:eastAsia="IRNazanin"/>
          <w:color w:val="111111"/>
          <w:sz w:val="28"/>
          <w:sz w:val="28"/>
          <w:szCs w:val="28"/>
          <w:rtl w:val="true"/>
          <w:lang w:bidi="fa-IR"/>
        </w:rPr>
        <w:t>فإنّ ظاهر التفسیر المتقدّم عن أهل اللغة و بعض الأخبار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اختصاصه بالطعام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غیاث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الحکرة إلّا فی الحنطة،</w:t>
      </w:r>
    </w:p>
    <w:p>
      <w:pPr>
        <w:pStyle w:val="BookText"/>
        <w:rPr/>
      </w:pPr>
      <w:r>
        <w:rPr>
          <w:rFonts w:ascii="IRNazanin" w:hAnsi="IRNazanin" w:eastAsia="IRNazanin"/>
          <w:color w:val="111111"/>
          <w:sz w:val="28"/>
          <w:sz w:val="28"/>
          <w:szCs w:val="28"/>
          <w:rtl w:val="true"/>
          <w:lang w:bidi="fa-IR"/>
        </w:rPr>
        <w:t>و الشعیر،و التمر،و الزبیب</w:t>
      </w:r>
      <w:r>
        <w:rPr>
          <w:rFonts w:eastAsia="IRNazanin" w:cs="IRNazanin"/>
          <w:color w:val="111111"/>
          <w:sz w:val="28"/>
          <w:szCs w:val="28"/>
          <w:rtl w:val="true"/>
          <w:lang w:bidi="fa-IR"/>
        </w:rPr>
        <w:t xml:space="preserve">»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الزیت</w:t>
      </w:r>
      <w:r>
        <w:rPr>
          <w:rFonts w:eastAsia="IRNazanin" w:cs="IRNazanin"/>
          <w:color w:val="111111"/>
          <w:sz w:val="28"/>
          <w:szCs w:val="28"/>
          <w:rtl w:val="true"/>
          <w:lang w:bidi="fa-IR"/>
        </w:rPr>
        <w:t xml:space="preserve">» </w:t>
      </w:r>
      <w:r>
        <w:rPr>
          <w:rStyle w:val="FootnoteAnchor"/>
          <w:rtl w:val="true"/>
        </w:rPr>
        <w:footnoteReference w:id="1844"/>
      </w:r>
      <w:r>
        <w:rPr>
          <w:rFonts w:ascii="IRNazanin" w:hAnsi="IRNazanin" w:eastAsia="IRNazanin"/>
          <w:color w:val="111111"/>
          <w:sz w:val="28"/>
          <w:sz w:val="28"/>
          <w:szCs w:val="28"/>
          <w:rtl w:val="true"/>
          <w:lang w:bidi="fa-IR"/>
        </w:rPr>
        <w:t xml:space="preserve">،و قد تقدّم فی بعض الأخبار المتقدّمة دخول الزیت أیضاً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المحکیّ عن قرب الإسناد بروایة أبی البختری عن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الحکرة إلّا فی الحنطة و الشعیر و التمر و الزبیب </w:t>
      </w:r>
      <w:r>
        <w:rPr>
          <w:rStyle w:val="FootnoteAnchor"/>
          <w:rtl w:val="true"/>
        </w:rPr>
        <w:footnoteReference w:id="1846"/>
      </w:r>
      <w:r>
        <w:rPr>
          <w:rFonts w:ascii="IRNazanin" w:hAnsi="IRNazanin" w:eastAsia="IRNazanin"/>
          <w:color w:val="111111"/>
          <w:sz w:val="28"/>
          <w:sz w:val="28"/>
          <w:szCs w:val="28"/>
          <w:rtl w:val="true"/>
          <w:lang w:bidi="fa-IR"/>
        </w:rPr>
        <w:t>و السمن</w:t>
      </w:r>
      <w:r>
        <w:rPr>
          <w:rFonts w:eastAsia="IRNazanin" w:cs="IRNazanin"/>
          <w:color w:val="111111"/>
          <w:sz w:val="28"/>
          <w:szCs w:val="28"/>
          <w:rtl w:val="true"/>
          <w:lang w:bidi="fa-IR"/>
        </w:rPr>
        <w:t xml:space="preserve">»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الخصال فی روایة السکونی عن جعفر عن أبیه عن آبائه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الحکرة فی ستّة أقسام </w:t>
      </w:r>
      <w:r>
        <w:rPr>
          <w:rStyle w:val="FootnoteAnchor"/>
          <w:rtl w:val="true"/>
        </w:rPr>
        <w:footnoteReference w:id="1848"/>
      </w:r>
      <w:r>
        <w:rPr>
          <w:rFonts w:ascii="IRNazanin" w:hAnsi="IRNazanin" w:eastAsia="IRNazanin"/>
          <w:color w:val="111111"/>
          <w:sz w:val="28"/>
          <w:sz w:val="28"/>
          <w:szCs w:val="28"/>
          <w:rtl w:val="true"/>
          <w:lang w:bidi="fa-IR"/>
        </w:rPr>
        <w:t>الحنطة،و الشعیر،و التمر،و الزیت،و الزبیب،و السمن</w:t>
      </w:r>
      <w:r>
        <w:rPr>
          <w:rFonts w:eastAsia="IRNazanin" w:cs="IRNazanin"/>
          <w:color w:val="111111"/>
          <w:sz w:val="28"/>
          <w:szCs w:val="28"/>
          <w:rtl w:val="true"/>
          <w:lang w:bidi="fa-IR"/>
        </w:rPr>
        <w:t xml:space="preserve">»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ثبوته فی الغلّات الأربع 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خلاف فیه ظاهراً،و عن کشف الرموز </w:t>
      </w:r>
      <w:r>
        <w:rPr>
          <w:rStyle w:val="FootnoteAnchor"/>
          <w:rtl w:val="true"/>
        </w:rPr>
        <w:footnoteReference w:id="1850"/>
      </w:r>
      <w:r>
        <w:rPr>
          <w:rFonts w:ascii="IRNazanin" w:hAnsi="IRNazanin" w:eastAsia="IRNazanin"/>
          <w:color w:val="111111"/>
          <w:sz w:val="28"/>
          <w:sz w:val="28"/>
          <w:szCs w:val="28"/>
          <w:rtl w:val="true"/>
          <w:lang w:bidi="fa-IR"/>
        </w:rPr>
        <w:t xml:space="preserve">و ظاهر السرائر </w:t>
      </w:r>
      <w:r>
        <w:rPr>
          <w:rStyle w:val="FootnoteAnchor"/>
          <w:rtl w:val="true"/>
        </w:rPr>
        <w:footnoteReference w:id="18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الاتفاق علیه،</w:t>
      </w:r>
    </w:p>
    <w:p>
      <w:pPr>
        <w:pStyle w:val="BookText"/>
        <w:rPr/>
      </w:pPr>
      <w:r>
        <w:rPr>
          <w:rFonts w:ascii="IRNazanin" w:hAnsi="IRNazanin" w:eastAsia="IRNazanin"/>
          <w:color w:val="111111"/>
          <w:sz w:val="28"/>
          <w:sz w:val="28"/>
          <w:szCs w:val="28"/>
          <w:rtl w:val="true"/>
          <w:lang w:bidi="fa-IR"/>
        </w:rPr>
        <w:t>و عن مجمع 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 الخلاف فیه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تقدّم فی غیر واحدٍ من الأخبار؛و لذا اختاره الصدوق </w:t>
      </w:r>
      <w:r>
        <w:rPr>
          <w:rStyle w:val="FootnoteAnchor"/>
          <w:rtl w:val="true"/>
        </w:rPr>
        <w:footnoteReference w:id="1853"/>
      </w:r>
      <w:r>
        <w:rPr>
          <w:rFonts w:ascii="Amiri" w:hAnsi="Amiri" w:eastAsia="Amiri" w:cs="Amiri"/>
          <w:color w:val="111111"/>
          <w:sz w:val="28"/>
          <w:sz w:val="28"/>
          <w:szCs w:val="28"/>
          <w:rtl w:val="true"/>
          <w:lang w:bidi="ar-SA"/>
        </w:rPr>
        <w:t>و العلّامة فی التحریر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حیث ذکر أنّ به روایةً حسنةً </w:t>
      </w:r>
      <w:r>
        <w:rPr>
          <w:rStyle w:val="FootnoteAnchor"/>
          <w:rtl w:val="true"/>
        </w:rPr>
        <w:footnoteReference w:id="1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الشهیدان </w:t>
      </w:r>
      <w:r>
        <w:rPr>
          <w:rStyle w:val="FootnoteAnchor"/>
          <w:rtl w:val="true"/>
        </w:rPr>
        <w:footnoteReference w:id="1855"/>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856"/>
      </w:r>
      <w:r>
        <w:rPr>
          <w:rFonts w:ascii="IRNazanin" w:hAnsi="IRNazanin" w:eastAsia="IRNazanin"/>
          <w:color w:val="111111"/>
          <w:sz w:val="28"/>
          <w:sz w:val="28"/>
          <w:szCs w:val="28"/>
          <w:rtl w:val="true"/>
          <w:lang w:bidi="fa-IR"/>
        </w:rPr>
        <w:t>،و عن إیضاح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علیه الفتوی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ألحقه بها فی المبسوط </w:t>
      </w:r>
      <w:r>
        <w:rPr>
          <w:rStyle w:val="FootnoteAnchor"/>
          <w:rtl w:val="true"/>
        </w:rPr>
        <w:footnoteReference w:id="1858"/>
      </w:r>
      <w:r>
        <w:rPr>
          <w:rFonts w:ascii="IRNazanin" w:hAnsi="IRNazanin" w:eastAsia="IRNazanin"/>
          <w:color w:val="111111"/>
          <w:sz w:val="28"/>
          <w:sz w:val="28"/>
          <w:szCs w:val="28"/>
          <w:rtl w:val="true"/>
          <w:lang w:bidi="fa-IR"/>
        </w:rPr>
        <w:t xml:space="preserve">و الوسیلة </w:t>
      </w:r>
      <w:r>
        <w:rPr>
          <w:rStyle w:val="FootnoteAnchor"/>
          <w:rtl w:val="true"/>
        </w:rPr>
        <w:footnoteReference w:id="1859"/>
      </w:r>
      <w:r>
        <w:rPr>
          <w:rFonts w:ascii="IRNazanin" w:hAnsi="IRNazanin" w:eastAsia="IRNazanin"/>
          <w:color w:val="111111"/>
          <w:sz w:val="28"/>
          <w:sz w:val="28"/>
          <w:szCs w:val="28"/>
          <w:rtl w:val="true"/>
          <w:lang w:bidi="fa-IR"/>
        </w:rPr>
        <w:t xml:space="preserve">و التذکرة </w:t>
      </w:r>
      <w:r>
        <w:rPr>
          <w:rStyle w:val="FootnoteAnchor"/>
          <w:rtl w:val="true"/>
        </w:rPr>
        <w:footnoteReference w:id="1860"/>
      </w:r>
      <w:r>
        <w:rPr>
          <w:rFonts w:ascii="IRNazanin" w:hAnsi="IRNazanin" w:eastAsia="IRNazanin"/>
          <w:color w:val="111111"/>
          <w:sz w:val="28"/>
          <w:sz w:val="28"/>
          <w:szCs w:val="28"/>
          <w:rtl w:val="true"/>
          <w:lang w:bidi="fa-IR"/>
        </w:rPr>
        <w:t xml:space="preserve">و نهایة الإحکام </w:t>
      </w:r>
      <w:r>
        <w:rPr>
          <w:rStyle w:val="FootnoteAnchor"/>
          <w:rtl w:val="true"/>
        </w:rPr>
        <w:footnoteReference w:id="1861"/>
      </w:r>
      <w:r>
        <w:rPr>
          <w:rFonts w:ascii="IRNazanin" w:hAnsi="IRNazanin" w:eastAsia="IRNazanin"/>
          <w:color w:val="111111"/>
          <w:sz w:val="28"/>
          <w:sz w:val="28"/>
          <w:szCs w:val="28"/>
          <w:rtl w:val="true"/>
          <w:lang w:bidi="fa-IR"/>
        </w:rPr>
        <w:t xml:space="preserve">و الدروس </w:t>
      </w:r>
      <w:r>
        <w:rPr>
          <w:rStyle w:val="FootnoteAnchor"/>
          <w:rtl w:val="true"/>
        </w:rPr>
        <w:footnoteReference w:id="1862"/>
      </w:r>
      <w:r>
        <w:rPr>
          <w:rFonts w:ascii="IRNazanin" w:hAnsi="IRNazanin" w:eastAsia="IRNazanin"/>
          <w:color w:val="111111"/>
          <w:sz w:val="28"/>
          <w:sz w:val="28"/>
          <w:szCs w:val="28"/>
          <w:rtl w:val="true"/>
          <w:lang w:bidi="fa-IR"/>
        </w:rPr>
        <w:t xml:space="preserve">و المسالک </w:t>
      </w:r>
      <w:r>
        <w:rPr>
          <w:rStyle w:val="FootnoteAnchor"/>
          <w:rtl w:val="true"/>
        </w:rPr>
        <w:footnoteReference w:id="1863"/>
      </w:r>
      <w:r>
        <w:rPr>
          <w:rFonts w:ascii="IRNazanin" w:hAnsi="IRNazanin" w:eastAsia="IRNazanin"/>
          <w:color w:val="111111"/>
          <w:sz w:val="28"/>
          <w:sz w:val="28"/>
          <w:szCs w:val="28"/>
          <w:rtl w:val="true"/>
          <w:lang w:bidi="fa-IR"/>
        </w:rPr>
        <w:t>،و لعلّه لفحوی التعلیل الوارد فی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حاجة الناس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bookmarkStart w:id="563" w:name="pg19861_202652"/>
    </w:p>
    <w:p>
      <w:pPr>
        <w:pStyle w:val="Heading6"/>
        <w:numPr>
          <w:ilvl w:val="5"/>
          <w:numId w:val="1"/>
        </w:numPr>
        <w:rPr/>
      </w:pPr>
      <w:bookmarkStart w:id="564" w:name="__RefHeading___Toc5119269_2314609296"/>
      <w:bookmarkStart w:id="565" w:name="_Toc219"/>
      <w:bookmarkEnd w:id="563"/>
      <w:bookmarkEnd w:id="564"/>
      <w:r>
        <w:rPr>
          <w:rtl w:val="true"/>
        </w:rPr>
        <w:t xml:space="preserve">الثانی </w:t>
      </w:r>
      <w:r>
        <w:rPr>
          <w:rtl w:val="true"/>
        </w:rPr>
        <w:t>[</w:t>
      </w:r>
      <w:r>
        <w:rPr>
          <w:rtl w:val="true"/>
        </w:rPr>
        <w:t>ما هو حد الاحتکار</w:t>
      </w:r>
      <w:r>
        <w:rPr>
          <w:rtl w:val="true"/>
        </w:rPr>
        <w:t>]</w:t>
      </w:r>
      <w:bookmarkEnd w:id="565"/>
    </w:p>
    <w:p>
      <w:pPr>
        <w:pStyle w:val="BookText"/>
        <w:rPr/>
      </w:pPr>
      <w:r>
        <w:rPr>
          <w:rFonts w:ascii="IRNazanin" w:hAnsi="IRNazanin" w:eastAsia="IRNazanin"/>
          <w:color w:val="111111"/>
          <w:sz w:val="28"/>
          <w:sz w:val="28"/>
          <w:szCs w:val="28"/>
          <w:rtl w:val="true"/>
          <w:lang w:bidi="fa-IR"/>
        </w:rPr>
        <w:t>روی السکونی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الحکرة فی الخصب أربعون یوماً،و فی الغلاء و الشدّة ثلاثة أیّامٍ،فما زاد علی الأربعین یوماً فی الخصب،فصاحبه ملعونٌ،و ما زاد فی العسرة علی ثلاثة أیام فصاحبه ملعون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یؤیّدها ظاهر روایة المجالس المتقدّمة </w:t>
      </w:r>
      <w:r>
        <w:rPr>
          <w:rStyle w:val="FootnoteAnchor"/>
          <w:rtl w:val="true"/>
        </w:rPr>
        <w:footnoteReference w:id="1867"/>
      </w:r>
      <w:r>
        <w:rPr>
          <w:rFonts w:ascii="IRNazanin" w:hAnsi="IRNazanin" w:eastAsia="IRNazanin"/>
          <w:color w:val="111111"/>
          <w:sz w:val="28"/>
          <w:sz w:val="28"/>
          <w:szCs w:val="28"/>
          <w:rtl w:val="true"/>
          <w:lang w:bidi="fa-IR"/>
        </w:rPr>
        <w:t xml:space="preserve">و حکی عن الشیخ </w:t>
      </w:r>
      <w:r>
        <w:rPr>
          <w:rStyle w:val="FootnoteAnchor"/>
          <w:rtl w:val="true"/>
        </w:rPr>
        <w:footnoteReference w:id="1868"/>
      </w:r>
      <w:r>
        <w:rPr>
          <w:rFonts w:ascii="IRNazanin" w:hAnsi="IRNazanin" w:eastAsia="IRNazanin"/>
          <w:color w:val="111111"/>
          <w:sz w:val="28"/>
          <w:sz w:val="28"/>
          <w:szCs w:val="28"/>
          <w:rtl w:val="true"/>
          <w:lang w:bidi="fa-IR"/>
        </w:rPr>
        <w:t xml:space="preserve">و محکیّ القاضی </w:t>
      </w:r>
      <w:r>
        <w:rPr>
          <w:rStyle w:val="FootnoteAnchor"/>
          <w:rtl w:val="true"/>
        </w:rPr>
        <w:footnoteReference w:id="1869"/>
      </w:r>
      <w:r>
        <w:rPr>
          <w:rFonts w:ascii="IRNazanin" w:hAnsi="IRNazanin" w:eastAsia="IRNazanin"/>
          <w:color w:val="111111"/>
          <w:sz w:val="28"/>
          <w:sz w:val="28"/>
          <w:szCs w:val="28"/>
          <w:rtl w:val="true"/>
          <w:lang w:bidi="fa-IR"/>
        </w:rPr>
        <w:t xml:space="preserve">و الوسیلة </w:t>
      </w:r>
      <w:r>
        <w:rPr>
          <w:rStyle w:val="FootnoteAnchor"/>
          <w:rtl w:val="true"/>
        </w:rPr>
        <w:footnoteReference w:id="1870"/>
      </w:r>
      <w:r>
        <w:rPr>
          <w:rFonts w:ascii="IRNazanin" w:hAnsi="IRNazanin" w:eastAsia="IRNazanin"/>
          <w:color w:val="111111"/>
          <w:sz w:val="28"/>
          <w:sz w:val="28"/>
          <w:szCs w:val="28"/>
          <w:rtl w:val="true"/>
          <w:lang w:bidi="fa-IR"/>
        </w:rPr>
        <w:t>العمل بها،و عن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الأظهر تحریمه مع حاجة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مظنّتها الزیادة علی ثلاثة أیّام فی الغلاء و أربعین فی الرخص؛للروایة </w:t>
      </w:r>
      <w:r>
        <w:rPr>
          <w:rStyle w:val="FootnoteAnchor"/>
          <w:rtl w:val="true"/>
        </w:rPr>
        <w:footnoteReference w:id="187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تحدیده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حسنٌ،کما عن المقنعة </w:t>
      </w:r>
      <w:r>
        <w:rPr>
          <w:rStyle w:val="FootnoteAnchor"/>
          <w:rtl w:val="true"/>
        </w:rPr>
        <w:footnoteReference w:id="1872"/>
      </w:r>
      <w:r>
        <w:rPr>
          <w:rFonts w:ascii="IRNazanin" w:hAnsi="IRNazanin" w:eastAsia="IRNazanin"/>
          <w:color w:val="111111"/>
          <w:sz w:val="28"/>
          <w:sz w:val="28"/>
          <w:szCs w:val="28"/>
          <w:rtl w:val="true"/>
          <w:lang w:bidi="fa-IR"/>
        </w:rPr>
        <w:t xml:space="preserve">و غیرها </w:t>
      </w:r>
      <w:r>
        <w:rPr>
          <w:rStyle w:val="FootnoteAnchor"/>
          <w:rtl w:val="true"/>
        </w:rPr>
        <w:footnoteReference w:id="1873"/>
      </w:r>
      <w:r>
        <w:rPr>
          <w:rFonts w:ascii="IRNazanin" w:hAnsi="IRNazanin" w:eastAsia="IRNazanin"/>
          <w:color w:val="111111"/>
          <w:sz w:val="28"/>
          <w:sz w:val="28"/>
          <w:szCs w:val="28"/>
          <w:rtl w:val="true"/>
          <w:lang w:bidi="fa-IR"/>
        </w:rPr>
        <w:t>،و یظهر من الأخبار المتقدّمة</w:t>
      </w:r>
      <w:r>
        <w:rPr>
          <w:rFonts w:eastAsia="IRNazanin" w:cs="IRNazanin"/>
          <w:color w:val="111111"/>
          <w:sz w:val="28"/>
          <w:szCs w:val="28"/>
          <w:rtl w:val="true"/>
          <w:lang w:bidi="fa-IR"/>
        </w:rPr>
        <w:t>.</w:t>
      </w:r>
      <w:bookmarkStart w:id="566" w:name="pg19861_202653"/>
    </w:p>
    <w:p>
      <w:pPr>
        <w:pStyle w:val="BookText"/>
        <w:rPr/>
      </w:pPr>
      <w:bookmarkEnd w:id="566"/>
      <w:r>
        <w:rPr>
          <w:rFonts w:ascii="IRNazanin" w:hAnsi="IRNazanin" w:eastAsia="IRNazanin"/>
          <w:color w:val="111111"/>
          <w:sz w:val="28"/>
          <w:sz w:val="28"/>
          <w:szCs w:val="28"/>
          <w:rtl w:val="true"/>
          <w:lang w:bidi="fa-IR"/>
        </w:rPr>
        <w:t>و أمّا ما ذکره من حمل روایة السکونی علی بیان مظنّة الحاجة،فهو 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یظهر عدم دلالتها علی التحدید بالعددین تعبّداً</w:t>
      </w:r>
      <w:r>
        <w:rPr>
          <w:rFonts w:eastAsia="IRNazanin" w:cs="IRNazanin"/>
          <w:color w:val="111111"/>
          <w:sz w:val="28"/>
          <w:szCs w:val="28"/>
          <w:rtl w:val="true"/>
          <w:lang w:bidi="fa-IR"/>
        </w:rPr>
        <w:t>.</w:t>
      </w:r>
    </w:p>
    <w:p>
      <w:pPr>
        <w:pStyle w:val="Heading6"/>
        <w:numPr>
          <w:ilvl w:val="5"/>
          <w:numId w:val="1"/>
        </w:numPr>
        <w:rPr/>
      </w:pPr>
      <w:bookmarkStart w:id="567" w:name="__RefHeading___Toc5119271_2314609296"/>
      <w:bookmarkStart w:id="568" w:name="_Toc220"/>
      <w:bookmarkEnd w:id="567"/>
      <w:r>
        <w:rPr>
          <w:rtl w:val="true"/>
        </w:rPr>
        <w:t>الثالث</w:t>
      </w:r>
      <w:r>
        <w:rPr>
          <w:rtl w:val="true"/>
        </w:rPr>
        <w:t>: [</w:t>
      </w:r>
      <w:r>
        <w:rPr>
          <w:rtl w:val="true"/>
        </w:rPr>
        <w:t>عدم حصر الاحتکار فی شراء الطعام بل مطلق جمعه و حبسه</w:t>
      </w:r>
      <w:r>
        <w:rPr>
          <w:rtl w:val="true"/>
        </w:rPr>
        <w:t>]</w:t>
      </w:r>
      <w:bookmarkEnd w:id="568"/>
    </w:p>
    <w:p>
      <w:pPr>
        <w:pStyle w:val="BookText"/>
        <w:rPr/>
      </w:pPr>
      <w:r>
        <w:rPr>
          <w:rFonts w:ascii="IRNazanin" w:hAnsi="IRNazanin" w:eastAsia="IRNazanin"/>
          <w:color w:val="111111"/>
          <w:sz w:val="28"/>
          <w:sz w:val="28"/>
          <w:szCs w:val="28"/>
          <w:rtl w:val="true"/>
          <w:lang w:bidi="fa-IR"/>
        </w:rPr>
        <w:t xml:space="preserve">مقتضی ظاهر صحیحة الحلبی المتقدّمة </w:t>
      </w:r>
      <w:r>
        <w:rPr>
          <w:rStyle w:val="FootnoteAnchor"/>
          <w:rtl w:val="true"/>
        </w:rPr>
        <w:footnoteReference w:id="1874"/>
      </w:r>
      <w:r>
        <w:rPr>
          <w:rFonts w:ascii="IRNazanin" w:hAnsi="IRNazanin" w:eastAsia="IRNazanin"/>
          <w:color w:val="111111"/>
          <w:sz w:val="28"/>
          <w:sz w:val="28"/>
          <w:szCs w:val="28"/>
          <w:rtl w:val="true"/>
          <w:lang w:bidi="fa-IR"/>
        </w:rPr>
        <w:t xml:space="preserve">فی بادی النظر </w:t>
      </w:r>
      <w:r>
        <w:rPr>
          <w:rStyle w:val="FootnoteAnchor"/>
          <w:rtl w:val="true"/>
        </w:rPr>
        <w:footnoteReference w:id="1875"/>
      </w:r>
      <w:r>
        <w:rPr>
          <w:rFonts w:ascii="IRNazanin" w:hAnsi="IRNazanin" w:eastAsia="IRNazanin"/>
          <w:color w:val="111111"/>
          <w:sz w:val="28"/>
          <w:sz w:val="28"/>
          <w:szCs w:val="28"/>
          <w:rtl w:val="true"/>
          <w:lang w:bidi="fa-IR"/>
        </w:rPr>
        <w:t>حصر الاحتکار فی شراء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الأقوی التعمیم </w:t>
      </w:r>
      <w:r>
        <w:rPr>
          <w:rStyle w:val="FootnoteAnchor"/>
          <w:rtl w:val="true"/>
        </w:rPr>
        <w:footnoteReference w:id="18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تفریع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 المصر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من تفسیر الاحتکار فی کلام أهل اللغة بمطلق جمع الطعام و حبسه </w:t>
      </w:r>
      <w:r>
        <w:rPr>
          <w:rStyle w:val="FootnoteAnchor"/>
          <w:rtl w:val="true"/>
        </w:rPr>
        <w:footnoteReference w:id="1877"/>
      </w:r>
      <w:r>
        <w:rPr>
          <w:rFonts w:ascii="IRNazanin" w:hAnsi="IRNazanin" w:eastAsia="IRNazanin"/>
          <w:color w:val="111111"/>
          <w:sz w:val="28"/>
          <w:sz w:val="28"/>
          <w:szCs w:val="28"/>
          <w:rtl w:val="true"/>
          <w:lang w:bidi="fa-IR"/>
        </w:rPr>
        <w:t xml:space="preserve">،سواء کان بالاشتراء أو بالزرع و الحصاد و الإحراز،إلّا أن یراد جمعه فی ملکه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 التعمیم تعلیل الحکم فی بعض الأخبار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یترک الناس لیس لهم طعام</w:t>
      </w:r>
      <w:r>
        <w:rPr>
          <w:rFonts w:eastAsia="IRNazanin" w:cs="IRNazanin"/>
          <w:color w:val="111111"/>
          <w:sz w:val="28"/>
          <w:szCs w:val="28"/>
          <w:rtl w:val="true"/>
          <w:lang w:bidi="fa-IR"/>
        </w:rPr>
        <w:t xml:space="preserve">» </w:t>
      </w:r>
      <w:r>
        <w:rPr>
          <w:rStyle w:val="FootnoteAnchor"/>
          <w:rtl w:val="true"/>
        </w:rPr>
        <w:footnoteReference w:id="1879"/>
      </w:r>
      <w:r>
        <w:rPr>
          <w:rFonts w:ascii="IRNazanin" w:hAnsi="IRNazanin" w:eastAsia="IRNazanin"/>
          <w:color w:val="111111"/>
          <w:sz w:val="28"/>
          <w:sz w:val="28"/>
          <w:szCs w:val="28"/>
          <w:rtl w:val="true"/>
          <w:lang w:bidi="fa-IR"/>
        </w:rPr>
        <w:t>،و علیه فلا فرق بین أن یکون ذلک من زرعه أو من میراثٍ أو یکون موهوباً له،أو کان قد اشتراه لحاجة فانقضت الحاجة و بقی الطعام لا یحتاج إلیه المالک،فحبسه متربّصاً للغلاء</w:t>
      </w:r>
      <w:r>
        <w:rPr>
          <w:rFonts w:eastAsia="IRNazanin" w:cs="IRNazanin"/>
          <w:color w:val="111111"/>
          <w:sz w:val="28"/>
          <w:szCs w:val="28"/>
          <w:rtl w:val="true"/>
          <w:lang w:bidi="fa-IR"/>
        </w:rPr>
        <w:t>.</w:t>
      </w:r>
    </w:p>
    <w:p>
      <w:pPr>
        <w:pStyle w:val="Heading6"/>
        <w:numPr>
          <w:ilvl w:val="5"/>
          <w:numId w:val="1"/>
        </w:numPr>
        <w:rPr/>
      </w:pPr>
      <w:bookmarkStart w:id="569" w:name="__RefHeading___Toc5119273_2314609296"/>
      <w:bookmarkStart w:id="570" w:name="_Toc221"/>
      <w:bookmarkEnd w:id="569"/>
      <w:r>
        <w:rPr>
          <w:rtl w:val="true"/>
        </w:rPr>
        <w:t>الرابع</w:t>
      </w:r>
      <w:r>
        <w:rPr>
          <w:rtl w:val="true"/>
        </w:rPr>
        <w:t>:</w:t>
      </w:r>
      <w:r>
        <w:rPr>
          <w:rtl w:val="true"/>
        </w:rPr>
        <w:t>أقسام حبس الطعام</w:t>
      </w:r>
      <w:bookmarkEnd w:id="57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کثیرة؛لأنّ الشخص إمّا أن یکون</w:t>
      </w:r>
    </w:p>
    <w:p>
      <w:pPr>
        <w:pStyle w:val="BookText"/>
        <w:rPr/>
      </w:pPr>
      <w:r>
        <w:rPr>
          <w:rFonts w:ascii="IRNazanin" w:hAnsi="IRNazanin" w:eastAsia="IRNazanin"/>
          <w:color w:val="111111"/>
          <w:sz w:val="28"/>
          <w:sz w:val="28"/>
          <w:szCs w:val="28"/>
          <w:rtl w:val="true"/>
          <w:lang w:bidi="fa-IR"/>
        </w:rPr>
        <w:t>قد حصّل الطعام لحبسه أو لغرضٍ آخر،أو حصل له من دون تحصیل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یراد منه </w:t>
      </w:r>
      <w:r>
        <w:rPr>
          <w:rStyle w:val="FootnoteAnchor"/>
          <w:rtl w:val="true"/>
        </w:rPr>
        <w:footnoteReference w:id="1880"/>
      </w:r>
      <w:r>
        <w:rPr>
          <w:rFonts w:ascii="IRNazanin" w:hAnsi="IRNazanin" w:eastAsia="IRNazanin"/>
          <w:color w:val="111111"/>
          <w:sz w:val="28"/>
          <w:sz w:val="28"/>
          <w:szCs w:val="28"/>
          <w:rtl w:val="true"/>
          <w:lang w:bidi="fa-IR"/>
        </w:rPr>
        <w:t xml:space="preserve">نفس تقلیل الطعام إضراراً بالناس فی أنفسهم،أو یرید به الغلاء و هو إضرارهم من حیث المال،أو یرید به عدم الخسارة من رأس ماله و إن حصل ذلک لغلاءٍ عارضیٍّ لا یتضرّر به أهل البلد،کما قد یتّفق ورود عسکرٍ أو زوّارٍ </w:t>
      </w:r>
      <w:r>
        <w:rPr>
          <w:rStyle w:val="FootnoteAnchor"/>
          <w:rtl w:val="true"/>
        </w:rPr>
        <w:footnoteReference w:id="1881"/>
      </w:r>
      <w:r>
        <w:rPr>
          <w:rFonts w:ascii="IRNazanin" w:hAnsi="IRNazanin" w:eastAsia="IRNazanin"/>
          <w:color w:val="111111"/>
          <w:sz w:val="28"/>
          <w:sz w:val="28"/>
          <w:szCs w:val="28"/>
          <w:rtl w:val="true"/>
          <w:lang w:bidi="fa-IR"/>
        </w:rPr>
        <w:t>فی البلاد و توقّفهم یومین أو ثلاثة،فیحدث للطعام عزّةٌ لا یضرّ بأکثر أهل البلد،و قد یرید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لغرض آخر المستلزم للغلاء غرضاً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حصول الغلاء بحبسه،و قد یحبس انتظاراً لأیّام الغلاء من دون حصول الغلاء بحبسه،بل لقلّة الطعام آخر السنة،أو لورود عسکرٍ أو زوّارٍ ینفد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حبسه لانتظار أیّام الغلاء،قد یکون للبیع بأزید من قیمة الحال،و قد یکون لحبّ إعانة المضطرّین و لو بالبیع علیهم و الإرفاق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حاجة الناس قد یکون لأکلهم،و قد یکون للبذر أو علف الدوابّ،أو الاسترباح بالثمن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علیک باستخراج </w:t>
      </w:r>
      <w:r>
        <w:rPr>
          <w:rStyle w:val="FootnoteAnchor"/>
          <w:rtl w:val="true"/>
        </w:rPr>
        <w:footnoteReference w:id="1882"/>
      </w:r>
      <w:r>
        <w:rPr>
          <w:rFonts w:ascii="IRNazanin" w:hAnsi="IRNazanin" w:eastAsia="IRNazanin"/>
          <w:color w:val="111111"/>
          <w:sz w:val="28"/>
          <w:sz w:val="28"/>
          <w:szCs w:val="28"/>
          <w:rtl w:val="true"/>
          <w:lang w:bidi="fa-IR"/>
        </w:rPr>
        <w:t>أحکام هذه الأقسام و تمییز المباح و المکروه</w:t>
      </w:r>
      <w:bookmarkStart w:id="571" w:name="pg19861_202655"/>
    </w:p>
    <w:p>
      <w:pPr>
        <w:pStyle w:val="BookText"/>
        <w:rPr/>
      </w:pPr>
      <w:bookmarkEnd w:id="571"/>
      <w:r>
        <w:rPr>
          <w:rFonts w:ascii="IRNazanin" w:hAnsi="IRNazanin" w:eastAsia="IRNazanin"/>
          <w:color w:val="111111"/>
          <w:sz w:val="28"/>
          <w:sz w:val="28"/>
          <w:szCs w:val="28"/>
          <w:rtl w:val="true"/>
          <w:lang w:bidi="fa-IR"/>
        </w:rPr>
        <w:t>و المستحبّ من الحرام</w:t>
      </w:r>
      <w:r>
        <w:rPr>
          <w:rFonts w:eastAsia="IRNazanin" w:cs="IRNazanin"/>
          <w:color w:val="111111"/>
          <w:sz w:val="28"/>
          <w:szCs w:val="28"/>
          <w:rtl w:val="true"/>
          <w:lang w:bidi="fa-IR"/>
        </w:rPr>
        <w:t>.</w:t>
      </w:r>
    </w:p>
    <w:p>
      <w:pPr>
        <w:pStyle w:val="Heading6"/>
        <w:numPr>
          <w:ilvl w:val="5"/>
          <w:numId w:val="1"/>
        </w:numPr>
        <w:rPr/>
      </w:pPr>
      <w:bookmarkStart w:id="572" w:name="__RefHeading___Toc5119275_2314609296"/>
      <w:bookmarkStart w:id="573" w:name="_Toc222"/>
      <w:bookmarkEnd w:id="572"/>
      <w:r>
        <w:rPr>
          <w:rtl w:val="true"/>
        </w:rPr>
        <w:t>الخامس</w:t>
      </w:r>
      <w:r>
        <w:rPr>
          <w:rtl w:val="true"/>
        </w:rPr>
        <w:t>:</w:t>
      </w:r>
      <w:r>
        <w:rPr>
          <w:rtl w:val="true"/>
        </w:rPr>
        <w:t>الظاهر عدم الخلاف کما قیل</w:t>
      </w:r>
      <w:bookmarkEnd w:id="573"/>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عدم الخلاف کما قیل </w:t>
      </w:r>
      <w:r>
        <w:rPr>
          <w:rStyle w:val="FootnoteAnchor"/>
          <w:rtl w:val="true"/>
        </w:rPr>
        <w:footnoteReference w:id="1883"/>
      </w:r>
      <w:r>
        <w:rPr>
          <w:rFonts w:ascii="IRNazanin" w:hAnsi="IRNazanin" w:eastAsia="IRNazanin"/>
          <w:color w:val="111111"/>
          <w:sz w:val="28"/>
          <w:sz w:val="28"/>
          <w:szCs w:val="28"/>
          <w:rtl w:val="true"/>
          <w:lang w:bidi="fa-IR"/>
        </w:rPr>
        <w:t>فی إجبار المحتکر علی البیع،</w:t>
      </w:r>
    </w:p>
    <w:p>
      <w:pPr>
        <w:pStyle w:val="BookText"/>
        <w:rPr/>
      </w:pPr>
      <w:r>
        <w:rPr>
          <w:rFonts w:ascii="IRNazanin" w:hAnsi="IRNazanin" w:eastAsia="IRNazanin"/>
          <w:color w:val="111111"/>
          <w:sz w:val="28"/>
          <w:sz w:val="28"/>
          <w:szCs w:val="28"/>
          <w:rtl w:val="true"/>
          <w:lang w:bidi="fa-IR"/>
        </w:rPr>
        <w:t>حتّی علی القول بالکراهة،بل عن المهذّب البارع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w:t>
      </w:r>
      <w:r>
        <w:rPr>
          <w:rStyle w:val="FootnoteAnchor"/>
          <w:rtl w:val="true"/>
        </w:rPr>
        <w:footnoteReference w:id="1884"/>
      </w:r>
      <w:r>
        <w:rPr>
          <w:rFonts w:ascii="IRNazanin" w:hAnsi="IRNazanin" w:eastAsia="IRNazanin"/>
          <w:color w:val="111111"/>
          <w:sz w:val="28"/>
          <w:sz w:val="28"/>
          <w:szCs w:val="28"/>
          <w:rtl w:val="true"/>
          <w:lang w:bidi="fa-IR"/>
        </w:rPr>
        <w:t xml:space="preserve">، و عن التنقیح </w:t>
      </w:r>
      <w:r>
        <w:rPr>
          <w:rStyle w:val="FootnoteAnchor"/>
          <w:rtl w:val="true"/>
        </w:rPr>
        <w:footnoteReference w:id="1885"/>
      </w:r>
      <w:r>
        <w:rPr>
          <w:rFonts w:ascii="IRNazanin" w:hAnsi="IRNazanin" w:eastAsia="IRNazanin"/>
          <w:color w:val="111111"/>
          <w:sz w:val="28"/>
          <w:sz w:val="28"/>
          <w:szCs w:val="28"/>
          <w:rtl w:val="true"/>
          <w:lang w:bidi="fa-IR"/>
        </w:rPr>
        <w:t xml:space="preserve">کما عن الحدائق </w:t>
      </w:r>
      <w:r>
        <w:rPr>
          <w:rStyle w:val="FootnoteAnchor"/>
          <w:rtl w:val="true"/>
        </w:rPr>
        <w:footnoteReference w:id="18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الخلاف فیه،و هو الدلیل المخرج عن قاعدة عدم الإجبار لغیر الواجب؛و لذا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ظاهر أدلّة الإجبار تدلّ علی التحریم </w:t>
      </w:r>
      <w:r>
        <w:rPr>
          <w:rStyle w:val="FootnoteAnchor"/>
          <w:rtl w:val="true"/>
        </w:rPr>
        <w:footnoteReference w:id="1887"/>
      </w:r>
      <w:r>
        <w:rPr>
          <w:rFonts w:ascii="IRNazanin" w:hAnsi="IRNazanin" w:eastAsia="IRNazanin"/>
          <w:color w:val="111111"/>
          <w:sz w:val="28"/>
          <w:sz w:val="28"/>
          <w:szCs w:val="28"/>
          <w:rtl w:val="true"/>
          <w:lang w:bidi="fa-IR"/>
        </w:rPr>
        <w:t>لأنّ إلزام غیر اللازم خلاف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یسعّر علیه إجماعاً،کما عن السرائر،و زاد وجود الأخبار المتواترة </w:t>
      </w:r>
      <w:r>
        <w:rPr>
          <w:rStyle w:val="FootnoteAnchor"/>
          <w:rtl w:val="true"/>
        </w:rPr>
        <w:footnoteReference w:id="1888"/>
      </w:r>
      <w:r>
        <w:rPr>
          <w:rFonts w:ascii="IRNazanin" w:hAnsi="IRNazanin" w:eastAsia="IRNazanin"/>
          <w:color w:val="111111"/>
          <w:sz w:val="28"/>
          <w:sz w:val="28"/>
          <w:szCs w:val="28"/>
          <w:rtl w:val="true"/>
          <w:lang w:bidi="fa-IR"/>
        </w:rPr>
        <w:t>،و عن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الخلاف فیه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عن 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یُسعّر علیه بما یراه الحاکم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جماعة </w:t>
      </w:r>
      <w:r>
        <w:rPr>
          <w:rStyle w:val="FootnoteAnchor"/>
          <w:rtl w:val="true"/>
        </w:rPr>
        <w:footnoteReference w:id="1891"/>
      </w:r>
      <w:r>
        <w:rPr>
          <w:rFonts w:ascii="Amiri" w:hAnsi="Amiri" w:eastAsia="Amiri" w:cs="Amiri"/>
          <w:color w:val="111111"/>
          <w:sz w:val="28"/>
          <w:sz w:val="28"/>
          <w:szCs w:val="28"/>
          <w:rtl w:val="true"/>
          <w:lang w:bidi="ar-SA"/>
        </w:rPr>
        <w:t xml:space="preserve">منهم العلّامة </w:t>
      </w:r>
      <w:r>
        <w:rPr>
          <w:rStyle w:val="FootnoteAnchor"/>
          <w:rtl w:val="true"/>
        </w:rPr>
        <w:footnoteReference w:id="1892"/>
      </w:r>
      <w:r>
        <w:rPr>
          <w:rFonts w:ascii="IRNazanin" w:hAnsi="IRNazanin" w:eastAsia="IRNazanin"/>
          <w:color w:val="111111"/>
          <w:sz w:val="28"/>
          <w:sz w:val="28"/>
          <w:szCs w:val="28"/>
          <w:rtl w:val="true"/>
          <w:lang w:bidi="fa-IR"/>
        </w:rPr>
        <w:t xml:space="preserve">و ولده </w:t>
      </w:r>
      <w:r>
        <w:rPr>
          <w:rStyle w:val="FootnoteAnchor"/>
          <w:rtl w:val="true"/>
        </w:rPr>
        <w:footnoteReference w:id="1893"/>
      </w:r>
      <w:r>
        <w:rPr>
          <w:rFonts w:ascii="IRNazanin" w:hAnsi="IRNazanin" w:eastAsia="IRNazanin"/>
          <w:color w:val="111111"/>
          <w:sz w:val="28"/>
          <w:sz w:val="28"/>
          <w:szCs w:val="28"/>
          <w:rtl w:val="true"/>
          <w:lang w:bidi="fa-IR"/>
        </w:rPr>
        <w:t xml:space="preserve">و الشهید </w:t>
      </w:r>
      <w:r>
        <w:rPr>
          <w:rStyle w:val="FootnoteAnchor"/>
          <w:rtl w:val="true"/>
        </w:rPr>
        <w:footnoteReference w:id="1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یسعّر</w:t>
      </w:r>
    </w:p>
    <w:p>
      <w:pPr>
        <w:pStyle w:val="BookText"/>
        <w:rPr/>
      </w:pPr>
      <w:r>
        <w:rPr>
          <w:rFonts w:ascii="IRNazanin" w:hAnsi="IRNazanin" w:eastAsia="IRNazanin"/>
          <w:color w:val="111111"/>
          <w:sz w:val="28"/>
          <w:sz w:val="28"/>
          <w:szCs w:val="28"/>
          <w:rtl w:val="true"/>
          <w:lang w:bidi="fa-IR"/>
        </w:rPr>
        <w:t xml:space="preserve">علیه إن أجحف بالثمن؛لنفی الضرر،و عن المیسی </w:t>
      </w:r>
      <w:r>
        <w:rPr>
          <w:rStyle w:val="FootnoteAnchor"/>
          <w:rtl w:val="true"/>
        </w:rPr>
        <w:footnoteReference w:id="1895"/>
      </w:r>
      <w:r>
        <w:rPr>
          <w:rFonts w:ascii="IRNazanin" w:hAnsi="IRNazanin" w:eastAsia="IRNazanin"/>
          <w:color w:val="111111"/>
          <w:sz w:val="28"/>
          <w:sz w:val="28"/>
          <w:szCs w:val="28"/>
          <w:rtl w:val="true"/>
          <w:lang w:bidi="fa-IR"/>
        </w:rPr>
        <w:t xml:space="preserve">و الشهید الثانی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یؤمر بالنزول من دون تسعیر؛جمعاً بین النهی عن التسعیر، و الجبر </w:t>
      </w:r>
      <w:r>
        <w:rPr>
          <w:rStyle w:val="FootnoteAnchor"/>
          <w:rtl w:val="true"/>
        </w:rPr>
        <w:footnoteReference w:id="1897"/>
      </w:r>
      <w:r>
        <w:rPr>
          <w:rFonts w:ascii="IRNazanin" w:hAnsi="IRNazanin" w:eastAsia="IRNazanin"/>
          <w:color w:val="111111"/>
          <w:sz w:val="28"/>
          <w:sz w:val="28"/>
          <w:szCs w:val="28"/>
          <w:rtl w:val="true"/>
          <w:lang w:bidi="fa-IR"/>
        </w:rPr>
        <w:t>بنفی الإضرار</w:t>
      </w:r>
      <w:r>
        <w:rPr>
          <w:rFonts w:eastAsia="IRNazanin" w:cs="IRNazanin"/>
          <w:color w:val="111111"/>
          <w:sz w:val="28"/>
          <w:szCs w:val="28"/>
          <w:rtl w:val="true"/>
          <w:lang w:bidi="fa-IR"/>
        </w:rPr>
        <w:t>.</w:t>
      </w:r>
      <w:bookmarkStart w:id="574" w:name="pg19861_202657"/>
    </w:p>
    <w:p>
      <w:pPr>
        <w:pStyle w:val="Heading5"/>
        <w:numPr>
          <w:ilvl w:val="4"/>
          <w:numId w:val="1"/>
        </w:numPr>
        <w:rPr/>
      </w:pPr>
      <w:bookmarkStart w:id="575" w:name="__RefHeading___Toc5119277_2314609296"/>
      <w:bookmarkStart w:id="576" w:name="_Toc223"/>
      <w:bookmarkEnd w:id="574"/>
      <w:bookmarkEnd w:id="575"/>
      <w:r>
        <w:rPr>
          <w:rtl w:val="true"/>
        </w:rPr>
        <w:t>خاتمة و من أهمّ آداب التجارة الإجمال فی الطلب و الاقتصاد فیه،</w:t>
      </w:r>
      <w:bookmarkEnd w:id="576"/>
    </w:p>
    <w:p>
      <w:pPr>
        <w:pStyle w:val="BookText"/>
        <w:rPr/>
      </w:pPr>
      <w:r>
        <w:rPr>
          <w:rFonts w:ascii="IRNazanin" w:hAnsi="IRNazanin" w:eastAsia="IRNazanin"/>
          <w:color w:val="111111"/>
          <w:sz w:val="28"/>
          <w:sz w:val="28"/>
          <w:szCs w:val="28"/>
          <w:rtl w:val="true"/>
          <w:lang w:bidi="fa-IR"/>
        </w:rPr>
        <w:t>ففی مرسلة ابن فضّال عن رجل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طلبک للمعیشة فوق کسب المضیّع و دون طلب الحریص الراضی بدنیاه المطمئنّ إلیها،و لکن أنزل نفسک من ذلک منزلة المنصف المتعفّف،ترفع نفسک عن منزلة الواهن الضعیف و تکسب ما لا بدّ للمؤمن منه؛إنّ الذین أُعطوا المال ثمّ لم یشکروا،لا مال لهم</w:t>
      </w:r>
      <w:r>
        <w:rPr>
          <w:rFonts w:eastAsia="IRNazanin" w:cs="IRNazanin"/>
          <w:color w:val="111111"/>
          <w:sz w:val="28"/>
          <w:szCs w:val="28"/>
          <w:rtl w:val="true"/>
          <w:lang w:bidi="fa-IR"/>
        </w:rPr>
        <w:t xml:space="preserve">»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الثمالی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فی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الروح الأمین نفث فی رَوْعی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لن تموت نفس حتّی تستکمل رزقها،فاتّقوا اللّٰه و أجملوا فی الطلب، و لا یحملنّکم استبطاء شیءٍ من الرزق أن تطلبوه بشیءٍ من معصیة اللّٰه؛ فإنّ اللّٰه تبارک و تعالی قسّم الأرزاق فی خلقه حلالاً و لم یقسمها حراماً، فمن اتّقی اللّٰه و صبر آتاه اللّٰه برزقه من حِلِّه،و من هتک حجاب الستر و عجّل فأخذه من غیر حلّه قصّ </w:t>
      </w:r>
      <w:r>
        <w:rPr>
          <w:rStyle w:val="FootnoteAnchor"/>
          <w:rtl w:val="true"/>
        </w:rPr>
        <w:footnoteReference w:id="1899"/>
      </w:r>
      <w:r>
        <w:rPr>
          <w:rFonts w:ascii="IRNazanin" w:hAnsi="IRNazanin" w:eastAsia="IRNazanin"/>
          <w:color w:val="111111"/>
          <w:sz w:val="28"/>
          <w:sz w:val="28"/>
          <w:szCs w:val="28"/>
          <w:rtl w:val="true"/>
          <w:lang w:bidi="fa-IR"/>
        </w:rPr>
        <w:t>به من رزقه الحلال و حوسب علیه</w:t>
      </w:r>
    </w:p>
    <w:p>
      <w:pPr>
        <w:pStyle w:val="BookText"/>
        <w:rPr/>
      </w:pP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أمیر المؤمنین علیه السلام کثیراً 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اعلموا علماً یقیناً أنّ اللّٰه عزّ و جلّ لم یجعل للعبد و إن اشتدّ جهده و عظمت حیلته و کثرت مکائدته </w:t>
      </w:r>
      <w:r>
        <w:rPr>
          <w:rStyle w:val="FootnoteAnchor"/>
          <w:rtl w:val="true"/>
        </w:rPr>
        <w:footnoteReference w:id="1901"/>
      </w:r>
      <w:r>
        <w:rPr>
          <w:rFonts w:ascii="IRNazanin" w:hAnsi="IRNazanin" w:eastAsia="IRNazanin"/>
          <w:color w:val="111111"/>
          <w:sz w:val="28"/>
          <w:sz w:val="28"/>
          <w:szCs w:val="28"/>
          <w:rtl w:val="true"/>
          <w:lang w:bidi="fa-IR"/>
        </w:rPr>
        <w:t xml:space="preserve">أن یسبق ما سمّی له فی الذکر الحکیم،و لم یحل بین </w:t>
      </w:r>
      <w:r>
        <w:rPr>
          <w:rStyle w:val="FootnoteAnchor"/>
          <w:rtl w:val="true"/>
        </w:rPr>
        <w:footnoteReference w:id="1902"/>
      </w:r>
      <w:r>
        <w:rPr>
          <w:rFonts w:ascii="IRNazanin" w:hAnsi="IRNazanin" w:eastAsia="IRNazanin"/>
          <w:color w:val="111111"/>
          <w:sz w:val="28"/>
          <w:sz w:val="28"/>
          <w:szCs w:val="28"/>
          <w:rtl w:val="true"/>
          <w:lang w:bidi="fa-IR"/>
        </w:rPr>
        <w:t>العبد فی ضعفه و قلّة حیلته أن یبلغ ما سمّی له فی الذکر الحکیم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أیّها الناس،إنّه لن یزداد امرؤٌ نقیراً لحذقه </w:t>
      </w:r>
      <w:r>
        <w:rPr>
          <w:rStyle w:val="FootnoteAnchor"/>
          <w:rtl w:val="true"/>
        </w:rPr>
        <w:footnoteReference w:id="1903"/>
      </w:r>
      <w:r>
        <w:rPr>
          <w:rFonts w:ascii="IRNazanin" w:hAnsi="IRNazanin" w:eastAsia="IRNazanin"/>
          <w:color w:val="111111"/>
          <w:sz w:val="28"/>
          <w:sz w:val="28"/>
          <w:szCs w:val="28"/>
          <w:rtl w:val="true"/>
          <w:lang w:bidi="fa-IR"/>
        </w:rPr>
        <w:t xml:space="preserve">،و لم ینقص امرؤٌ نقیراً لحمقه </w:t>
      </w:r>
      <w:r>
        <w:rPr>
          <w:rStyle w:val="FootnoteAnchor"/>
          <w:rtl w:val="true"/>
        </w:rPr>
        <w:footnoteReference w:id="1904"/>
      </w:r>
      <w:r>
        <w:rPr>
          <w:rFonts w:ascii="IRNazanin" w:hAnsi="IRNazanin" w:eastAsia="IRNazanin"/>
          <w:color w:val="111111"/>
          <w:sz w:val="28"/>
          <w:sz w:val="28"/>
          <w:szCs w:val="28"/>
          <w:rtl w:val="true"/>
          <w:lang w:bidi="fa-IR"/>
        </w:rPr>
        <w:t xml:space="preserve">،فالعالم بهذا العامل به أعظم الناس راحةً فی منفعته، و العالم بهذا التارک له أعظم الناس شغلاً فی مضرّته،و ربّ مُنعَمٍ علیه مُستَدْرَجٍ بالإحسان إلیه،و ربّ مغرور فی الناس مصنوع له،فأبق </w:t>
      </w:r>
      <w:r>
        <w:rPr>
          <w:rStyle w:val="FootnoteAnchor"/>
          <w:rtl w:val="true"/>
        </w:rPr>
        <w:footnoteReference w:id="1905"/>
      </w:r>
      <w:r>
        <w:rPr>
          <w:rFonts w:ascii="Amiri" w:hAnsi="Amiri" w:eastAsia="Amiri" w:cs="Amiri"/>
          <w:color w:val="111111"/>
          <w:sz w:val="28"/>
          <w:sz w:val="28"/>
          <w:szCs w:val="28"/>
          <w:rtl w:val="true"/>
          <w:lang w:bidi="ar-SA"/>
        </w:rPr>
        <w:t>أیّها الساعی من سعیک،و أقصر من عجلتک،و انتبه من سِنَة غفلتک، و تفکّر فیما جاء عن اللّٰه عزّ و جلّ علی لسان نبیّه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عبد اللّٰه بن سلیمان،قال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وسّع فی أرزاق الحمقی لیعتبر العقلاء،و یعلموا أنّ الدنیا لیس یُنال ما فیها بعمل و لا حیلة</w:t>
      </w:r>
      <w:r>
        <w:rPr>
          <w:rFonts w:eastAsia="IRNazanin" w:cs="IRNazanin"/>
          <w:color w:val="111111"/>
          <w:sz w:val="28"/>
          <w:szCs w:val="28"/>
          <w:rtl w:val="true"/>
          <w:lang w:bidi="fa-IR"/>
        </w:rPr>
        <w:t xml:space="preserve">»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مرفوعة سهل بن زیاد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من متعب نفسه مقتَّر علیه </w:t>
      </w:r>
      <w:r>
        <w:rPr>
          <w:rStyle w:val="FootnoteAnchor"/>
          <w:rtl w:val="true"/>
        </w:rPr>
        <w:footnoteReference w:id="1908"/>
      </w:r>
      <w:r>
        <w:rPr>
          <w:rFonts w:ascii="IRNazanin" w:hAnsi="IRNazanin" w:eastAsia="IRNazanin"/>
          <w:color w:val="111111"/>
          <w:sz w:val="28"/>
          <w:sz w:val="28"/>
          <w:szCs w:val="28"/>
          <w:rtl w:val="true"/>
          <w:lang w:bidi="fa-IR"/>
        </w:rPr>
        <w:t>،و کم من مقتصد فی الطلب قد ساعدته المقادیر</w:t>
      </w:r>
      <w:r>
        <w:rPr>
          <w:rFonts w:eastAsia="IRNazanin" w:cs="IRNazanin"/>
          <w:color w:val="111111"/>
          <w:sz w:val="28"/>
          <w:szCs w:val="28"/>
          <w:rtl w:val="true"/>
          <w:lang w:bidi="fa-IR"/>
        </w:rPr>
        <w:t xml:space="preserve">»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علیّ بن عبد العزیز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 عمر بن مسلم؟قلت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علی العبادة و ترک التجارة،فقال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علم أنّ تارک الطلب لا تستجاب له دعوته </w:t>
      </w:r>
      <w:r>
        <w:rPr>
          <w:rStyle w:val="FootnoteAnchor"/>
          <w:rtl w:val="true"/>
        </w:rPr>
        <w:footnoteReference w:id="1910"/>
      </w:r>
      <w:r>
        <w:rPr>
          <w:rFonts w:ascii="Amiri" w:hAnsi="Amiri" w:eastAsia="Amiri" w:cs="Amiri"/>
          <w:color w:val="111111"/>
          <w:sz w:val="28"/>
          <w:sz w:val="28"/>
          <w:szCs w:val="28"/>
          <w:rtl w:val="true"/>
          <w:lang w:bidi="ar-SA"/>
        </w:rPr>
        <w:t>؟إنّ قوماً من أصحاب رسول اللّٰه صلّی اللّٰه علیه و آله لمّا نزل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یَتَّقِ اللّٰهَ یَجْعَلْ لَهُ مَخْرَجاً وَ یَرْزُقْهُ مِنْ حَیْثُ لاٰ یَحْتَسِبُ </w:t>
      </w:r>
      <w:r>
        <w:rPr>
          <w:rStyle w:val="FootnoteAnchor"/>
          <w:rtl w:val="true"/>
        </w:rPr>
        <w:footnoteReference w:id="1911"/>
      </w:r>
      <w:r>
        <w:rPr>
          <w:rFonts w:ascii="IRNazanin" w:hAnsi="IRNazanin" w:eastAsia="IRNazanin"/>
          <w:color w:val="111111"/>
          <w:sz w:val="28"/>
          <w:sz w:val="28"/>
          <w:szCs w:val="28"/>
          <w:rtl w:val="true"/>
          <w:lang w:bidi="fa-IR"/>
        </w:rPr>
        <w:t>أغلقوا الأبواب و أقبلوا علی العبادة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ذلک النبی صلّی اللّٰه علیه و آله فأرسل إلیهم،فقال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دعاکم إلی ما صنعتم؟فقالوا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تکفّل اللّٰه تعالی </w:t>
      </w:r>
      <w:r>
        <w:rPr>
          <w:rStyle w:val="FootnoteAnchor"/>
          <w:rtl w:val="true"/>
        </w:rPr>
        <w:footnoteReference w:id="1912"/>
      </w:r>
      <w:r>
        <w:rPr>
          <w:rFonts w:ascii="IRNazanin" w:hAnsi="IRNazanin" w:eastAsia="IRNazanin"/>
          <w:color w:val="111111"/>
          <w:sz w:val="28"/>
          <w:sz w:val="28"/>
          <w:szCs w:val="28"/>
          <w:rtl w:val="true"/>
          <w:lang w:bidi="fa-IR"/>
        </w:rPr>
        <w:t>لنا بأرزاقنا فأقبلنا علی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صلّی اللّٰه علیه و آله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من فعل ذلک لم یستجب له،علیکم بالطلب</w:t>
      </w:r>
      <w:r>
        <w:rPr>
          <w:rFonts w:eastAsia="IRNazanin" w:cs="IRNazanin"/>
          <w:color w:val="111111"/>
          <w:sz w:val="28"/>
          <w:szCs w:val="28"/>
          <w:rtl w:val="true"/>
          <w:lang w:bidi="fa-IR"/>
        </w:rPr>
        <w:t xml:space="preserve">»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تقدّم روایة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ترک آخرته لدنیاه،و لا من ترک دنیاه لآخرته</w:t>
      </w:r>
      <w:r>
        <w:rPr>
          <w:rFonts w:eastAsia="IRNazanin" w:cs="IRNazanin"/>
          <w:color w:val="111111"/>
          <w:sz w:val="28"/>
          <w:szCs w:val="28"/>
          <w:rtl w:val="true"/>
          <w:lang w:bidi="fa-IR"/>
        </w:rPr>
        <w:t xml:space="preserve">»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تقدّم أیضاً </w:t>
      </w:r>
      <w:r>
        <w:rPr>
          <w:rStyle w:val="FootnoteAnchor"/>
          <w:rtl w:val="true"/>
        </w:rPr>
        <w:footnoteReference w:id="1916"/>
      </w:r>
      <w:r>
        <w:rPr>
          <w:rFonts w:ascii="IRNazanin" w:hAnsi="IRNazanin" w:eastAsia="IRNazanin"/>
          <w:color w:val="111111"/>
          <w:sz w:val="28"/>
          <w:sz w:val="28"/>
          <w:szCs w:val="28"/>
          <w:rtl w:val="true"/>
          <w:lang w:bidi="fa-IR"/>
        </w:rPr>
        <w:t xml:space="preserve">حدیث داود </w:t>
      </w:r>
      <w:r>
        <w:rPr>
          <w:rStyle w:val="FootnoteAnchor"/>
          <w:rtl w:val="true"/>
        </w:rPr>
        <w:footnoteReference w:id="1917"/>
      </w:r>
      <w:r>
        <w:rPr>
          <w:rFonts w:ascii="IRNazanin" w:hAnsi="IRNazanin" w:eastAsia="IRNazanin"/>
          <w:color w:val="111111"/>
          <w:sz w:val="28"/>
          <w:sz w:val="28"/>
          <w:szCs w:val="28"/>
          <w:rtl w:val="true"/>
          <w:lang w:bidi="fa-IR"/>
        </w:rPr>
        <w:t>علی نبیّنا و آله و علیه السلام و علی جمیع أنبیائه الصلاة و السلام،بعد الحمد للّٰه الملک العلّام،علی ما أنعم علینا بالنعم الجسام التی من أعظمها الاشتغال بمطالعة و کتابة کلمات أولیائه الکرام التی هی مصابیح الظلام للخاصّ و العامّ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،ذیل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ذلک المحقّق الثانی فی جامع المقاصد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،و السیّد العاملی فی مفتاح الکرامة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الثانی فی جامع المقاصد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،و راجع التذکرة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الثانی فی جامع المقاصد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،و السیّد العاملی فی مفتاح الکرامة </w:t>
      </w:r>
      <w:r>
        <w:rPr>
          <w:rFonts w:eastAsia="IRNazanin" w:cs="IRNazanin"/>
          <w:b w:val="false"/>
          <w:bCs w:val="false"/>
          <w:i w:val="false"/>
          <w:iCs w:val="false"/>
          <w:color w:val="333333"/>
          <w:sz w:val="20"/>
          <w:szCs w:val="20"/>
        </w:rPr>
        <w:t>4:220</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22:347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الروایة فی المجلّد الأوّل من طبعتنا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انظر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حیث جری ذکر بعض هذه الروایة الشریفة،فلا بأس بذکرها بتمامها لاشتمالها علی فوائد جلیلة،خصوصاً فی تمیّز ما یجوز الاکتساب به و ما لا یجوز،فنقول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فی الوسائل عن کتاب تحف العقول للحسن بن علی ابن شعبة عن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معایش العباد کلّها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فذکر أکثر الروایة باختلاف کثیر عمّا ورد فی أوّل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هذا،و قد وردت هذه الزیادة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کتب علیها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بکون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 تثنیة الضمیر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لمنافعه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 تأنیث الضمیر،و کذا 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تقسیمه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ادّعاه الشیخ فی الخلاف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،کتاب الزکاة،المسألة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،و العلّامة فی المنتهی </w:t>
      </w:r>
      <w:r>
        <w:rPr>
          <w:rFonts w:eastAsia="IRNazanin" w:cs="IRNazanin"/>
          <w:b w:val="false"/>
          <w:bCs w:val="false"/>
          <w:i w:val="false"/>
          <w:iCs w:val="false"/>
          <w:color w:val="333333"/>
          <w:sz w:val="20"/>
          <w:szCs w:val="20"/>
        </w:rPr>
        <w:t>2:934</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،و راجع الجواهر </w:t>
      </w:r>
      <w:r>
        <w:rPr>
          <w:rFonts w:eastAsia="IRNazanin" w:cs="IRNazanin"/>
          <w:b w:val="false"/>
          <w:bCs w:val="false"/>
          <w:i w:val="false"/>
          <w:iCs w:val="false"/>
          <w:color w:val="333333"/>
          <w:sz w:val="20"/>
          <w:szCs w:val="20"/>
        </w:rPr>
        <w:t>21:157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الأحادیث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بالعمارة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3:525</w:t>
      </w:r>
      <w:r>
        <w:rPr>
          <w:rFonts w:ascii="IRNazanin" w:hAnsi="IRNazanin" w:eastAsia="IRNazanin"/>
          <w:b w:val="false"/>
          <w:b w:val="false"/>
          <w:bCs w:val="false"/>
          <w:i w:val="false"/>
          <w:i w:val="false"/>
          <w:iCs w:val="false"/>
          <w:color w:val="333333"/>
          <w:sz w:val="20"/>
          <w:sz w:val="20"/>
          <w:szCs w:val="20"/>
          <w:rtl w:val="true"/>
        </w:rPr>
        <w:t xml:space="preserve">،کتاب إحیاء الموات،المسألة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12:391</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عندنا موضع وفاق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و صاحب الجواهر عن المصادر المذکورة و عن ظاهر المبسوط و التذکرة و التنقیح و الکفایة،انظر مفتاح الکرامة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6:364</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الأنفال،و المستدرک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،نفس الباب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دعوی تواترها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النبویّین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رسوله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هذا النصّ بعینه فی المجامیع الحدیثیة،بل الموجود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موتان الأرض للّٰه و لرسوله،فمن أحیا منها شیئاً فهو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عوالی اللآلی </w:t>
      </w:r>
      <w:r>
        <w:rPr>
          <w:rFonts w:eastAsia="IRNazanin" w:cs="IRNazanin"/>
          <w:b w:val="false"/>
          <w:bCs w:val="false"/>
          <w:i w:val="false"/>
          <w:iCs w:val="false"/>
          <w:color w:val="333333"/>
          <w:sz w:val="20"/>
          <w:szCs w:val="20"/>
        </w:rPr>
        <w:t>3:480</w:t>
      </w:r>
      <w:r>
        <w:rPr>
          <w:rFonts w:ascii="IRNazanin" w:hAnsi="IRNazanin" w:eastAsia="IRNazanin"/>
          <w:b w:val="false"/>
          <w:b w:val="false"/>
          <w:bCs w:val="false"/>
          <w:i w:val="false"/>
          <w:i w:val="false"/>
          <w:iCs w:val="false"/>
          <w:color w:val="333333"/>
          <w:sz w:val="20"/>
          <w:sz w:val="20"/>
          <w:szCs w:val="20"/>
          <w:rtl w:val="true"/>
        </w:rPr>
        <w:t xml:space="preserve">، الحدیث الأوّل،و عنه فی المستدرک </w:t>
      </w:r>
      <w:r>
        <w:rPr>
          <w:rFonts w:eastAsia="IRNazanin" w:cs="IRNazanin"/>
          <w:b w:val="false"/>
          <w:bCs w:val="false"/>
          <w:i w:val="false"/>
          <w:iCs w:val="false"/>
          <w:color w:val="333333"/>
          <w:sz w:val="20"/>
          <w:szCs w:val="20"/>
        </w:rPr>
        <w:t>17:111</w:t>
      </w:r>
      <w:r>
        <w:rPr>
          <w:rFonts w:ascii="IRNazanin" w:hAnsi="IRNazanin" w:eastAsia="IRNazanin"/>
          <w:b w:val="false"/>
          <w:b w:val="false"/>
          <w:bCs w:val="false"/>
          <w:i w:val="false"/>
          <w:i w:val="false"/>
          <w:iCs w:val="false"/>
          <w:color w:val="333333"/>
          <w:sz w:val="20"/>
          <w:sz w:val="20"/>
          <w:szCs w:val="20"/>
          <w:rtl w:val="true"/>
        </w:rPr>
        <w:t>،الباب الأوّل من أبواب إحیاء الموات،الحدیث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نقل الروایة کما فی المتن العلّامة فی 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عنه فی المستدرک </w:t>
      </w:r>
      <w:r>
        <w:rPr>
          <w:rFonts w:eastAsia="IRNazanin" w:cs="IRNazanin"/>
          <w:b w:val="false"/>
          <w:bCs w:val="false"/>
          <w:i w:val="false"/>
          <w:iCs w:val="false"/>
          <w:color w:val="333333"/>
          <w:sz w:val="20"/>
          <w:szCs w:val="20"/>
        </w:rPr>
        <w:t>17:112</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إحیاء الموات،الحدیث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أنا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الأرض</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17:329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الآیة من 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یؤتی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یؤتیه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یؤدّیه به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وجه لها ظاهراً،لأنّ الحدیث مذکور بتمامه، انظر الوسائل </w:t>
      </w:r>
      <w:r>
        <w:rPr>
          <w:rFonts w:eastAsia="IRNazanin" w:cs="IRNazanin"/>
          <w:b w:val="false"/>
          <w:bCs w:val="false"/>
          <w:i w:val="false"/>
          <w:iCs w:val="false"/>
          <w:color w:val="333333"/>
          <w:sz w:val="20"/>
          <w:szCs w:val="20"/>
        </w:rPr>
        <w:t>6:383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أثبتناه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6:384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فی أیدیهم و یترک الأرض فی أیدیهم،و 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هذه الزیادة قد وردت فی الکافی و لم ترد فی التهذیب و الوسائل،انظر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4:144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6:382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17:326</w:t>
      </w:r>
      <w:r>
        <w:rPr>
          <w:rFonts w:ascii="IRNazanin" w:hAnsi="IRNazanin" w:eastAsia="IRNazanin"/>
          <w:b w:val="false"/>
          <w:b w:val="false"/>
          <w:bCs w:val="false"/>
          <w:i w:val="false"/>
          <w:i w:val="false"/>
          <w:iCs w:val="false"/>
          <w:color w:val="333333"/>
          <w:sz w:val="20"/>
          <w:sz w:val="20"/>
          <w:szCs w:val="20"/>
          <w:rtl w:val="true"/>
        </w:rPr>
        <w:t>،الباب الأوّل من أبواب إحیاء الموات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الشرائع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،و فی مفتاح الکرامة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العبارة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طفحت بذلک عباراتهم بلا خلاف من أحد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العلّامة فی التذکرة،السیّد العاملی فی مفتاح الکرامة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صاحب الجواهر فی الجواهر </w:t>
      </w:r>
      <w:r>
        <w:rPr>
          <w:rFonts w:eastAsia="IRNazanin" w:cs="IRNazanin"/>
          <w:b w:val="false"/>
          <w:bCs w:val="false"/>
          <w:i w:val="false"/>
          <w:iCs w:val="false"/>
          <w:color w:val="333333"/>
          <w:sz w:val="20"/>
          <w:szCs w:val="20"/>
        </w:rPr>
        <w:t>38:19</w:t>
      </w:r>
      <w:r>
        <w:rPr>
          <w:rFonts w:ascii="IRNazanin" w:hAnsi="IRNazanin" w:eastAsia="IRNazanin"/>
          <w:b w:val="false"/>
          <w:b w:val="false"/>
          <w:bCs w:val="false"/>
          <w:i w:val="false"/>
          <w:i w:val="false"/>
          <w:iCs w:val="false"/>
          <w:color w:val="333333"/>
          <w:sz w:val="20"/>
          <w:sz w:val="20"/>
          <w:szCs w:val="20"/>
          <w:rtl w:val="true"/>
        </w:rPr>
        <w:t xml:space="preserve">،و انظر التذکرة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مفتاح الکرامة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،فی تفسیر الآیة الاُولی من سورة الأنفال،و عنه الوسائل </w:t>
      </w:r>
      <w:r>
        <w:rPr>
          <w:rFonts w:eastAsia="IRNazanin" w:cs="IRNazanin"/>
          <w:b w:val="false"/>
          <w:bCs w:val="false"/>
          <w:i w:val="false"/>
          <w:iCs w:val="false"/>
          <w:color w:val="333333"/>
          <w:sz w:val="20"/>
          <w:szCs w:val="20"/>
        </w:rPr>
        <w:t>6:371</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الأنفال،الحدیث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عنه الوسائل </w:t>
      </w:r>
      <w:r>
        <w:rPr>
          <w:rFonts w:eastAsia="IRNazanin" w:cs="IRNazanin"/>
          <w:b w:val="false"/>
          <w:bCs w:val="false"/>
          <w:i w:val="false"/>
          <w:iCs w:val="false"/>
          <w:color w:val="333333"/>
          <w:sz w:val="20"/>
          <w:szCs w:val="20"/>
        </w:rPr>
        <w:t>6:372</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الأنفال،الحدیث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6:365</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الأنفال،الحدیث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3:480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Pr>
        <w:t>17:112</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إحیاء الموات،الحدیث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12:396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،فنسب الأوّل إلی المحقّق و الشیخ و جماعة، و الثانی إلی العلّامة فی بعض فتاویه،و مال إلیه فی التذکرة و قوّاه هو نفسه، و انظر الجواهر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الکفّار،و لکن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تأنیث الضمیر باعتبار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ینتقل،و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ینقل ظ</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،کتاب الزکاة،المسألة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،و المنتهی </w:t>
      </w:r>
      <w:r>
        <w:rPr>
          <w:rFonts w:eastAsia="IRNazanin" w:cs="IRNazanin"/>
          <w:b w:val="false"/>
          <w:bCs w:val="false"/>
          <w:i w:val="false"/>
          <w:iCs w:val="false"/>
          <w:color w:val="333333"/>
          <w:sz w:val="20"/>
          <w:szCs w:val="20"/>
        </w:rPr>
        <w:t>2:934</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21:157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أکثر النسخ و الاستبصار،و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یشتری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التهذیب 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11:118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العدوّ،الحدیث الأوّل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العبارة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ما غلبوا علیه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احتوی علیه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أخرج منها ما أخرج،بدأ فأخرج منه العشر من الجمیع ممّا سقت السماء أو سقی سیحاً،و نصف العشر ممّا سقی بالدوالی و النواضح</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الوسائل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فیؤخذ ما بقی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یؤخذ بعد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12:274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12:275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فی المصادر الحدیثیة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12:275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12:274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12:273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البیع،و </w:t>
      </w:r>
      <w:r>
        <w:rPr>
          <w:rFonts w:eastAsia="IRNazanin" w:cs="IRNazanin"/>
          <w:b w:val="false"/>
          <w:bCs w:val="false"/>
          <w:i w:val="false"/>
          <w:iCs w:val="false"/>
          <w:color w:val="333333"/>
          <w:sz w:val="20"/>
          <w:szCs w:val="20"/>
        </w:rPr>
        <w:t>17:330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الضمیر یرجع إلی جمیع الأخبار المتقدّمة کما هو ظاهر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یجوز التصرّف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بحجرنا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إلیه المحقّق الثانی فی رسالة قاطعة اللجاج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،و انظر الدروس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 السیّد العاملی فی مفتاح الکرامة </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،و انظر 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الحلّی فی السرائر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،و العلّامة فی التذکرة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،و راجع تفصیل الأقوال فی مفتاح الکرامة </w:t>
      </w:r>
      <w:r>
        <w:rPr>
          <w:rFonts w:eastAsia="IRNazanin" w:cs="IRNazanin"/>
          <w:b w:val="false"/>
          <w:bCs w:val="false"/>
          <w:i w:val="false"/>
          <w:iCs w:val="false"/>
          <w:color w:val="333333"/>
          <w:sz w:val="20"/>
          <w:szCs w:val="20"/>
        </w:rPr>
        <w:t>4:240</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22:349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فی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المصدر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صحّتهما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صحّته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؛لرجوع الضمیر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التملّک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؛للسبب المتقدّم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4:146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11:118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العدوّ،الحدیث الأوّل،و تقدّمت فی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نقله عن المبسوط فی 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علیه خصوصاً ما فی الوسائل </w:t>
      </w:r>
      <w:r>
        <w:rPr>
          <w:rFonts w:eastAsia="IRNazanin" w:cs="IRNazanin"/>
          <w:b w:val="false"/>
          <w:bCs w:val="false"/>
          <w:i w:val="false"/>
          <w:iCs w:val="false"/>
          <w:color w:val="333333"/>
          <w:sz w:val="20"/>
          <w:szCs w:val="20"/>
        </w:rPr>
        <w:t>6:382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12:157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المحقّق الکرکی عن کثیر ممّن عاصره،فی قاطعة اللجاج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،و الشهید الثانی فی المسالک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الأصحاب، و انظر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،التنبیه السادس عشر،و راجع تفصیل ذلک فی المکاسب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4:245</w:t>
      </w:r>
      <w:r>
        <w:rPr>
          <w:rFonts w:ascii="IRNazanin" w:hAnsi="IRNazanin" w:eastAsia="IRNazanin"/>
          <w:b w:val="false"/>
          <w:b w:val="false"/>
          <w:bCs w:val="false"/>
          <w:i w:val="false"/>
          <w:i w:val="false"/>
          <w:iCs w:val="false"/>
          <w:color w:val="333333"/>
          <w:sz w:val="20"/>
          <w:sz w:val="20"/>
          <w:szCs w:val="20"/>
          <w:rtl w:val="true"/>
        </w:rPr>
        <w:t>، و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22:194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17:326</w:t>
      </w:r>
      <w:r>
        <w:rPr>
          <w:rFonts w:ascii="IRNazanin" w:hAnsi="IRNazanin" w:eastAsia="IRNazanin"/>
          <w:b w:val="false"/>
          <w:b w:val="false"/>
          <w:bCs w:val="false"/>
          <w:i w:val="false"/>
          <w:i w:val="false"/>
          <w:iCs w:val="false"/>
          <w:color w:val="333333"/>
          <w:sz w:val="20"/>
          <w:sz w:val="20"/>
          <w:szCs w:val="20"/>
          <w:rtl w:val="true"/>
        </w:rPr>
        <w:t>،الباب الأوّل من أبواب إحیاء الموات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17:326</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إحیاء الموات،الحدیث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الدروس و جامع المقاصد السیّد العاملی فی مفتاح الکرامة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،لکن لم نعثر علیه فیهما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الدروس و جامع المقاصد السیّد العاملی فی مفتاح الکرامة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،لکن لم نعثر علیه فیهما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الأردبیلی فی مجمع الفائدة </w:t>
      </w:r>
      <w:r>
        <w:rPr>
          <w:rFonts w:eastAsia="IRNazanin" w:cs="IRNazanin"/>
          <w:b w:val="false"/>
          <w:bCs w:val="false"/>
          <w:i w:val="false"/>
          <w:iCs w:val="false"/>
          <w:color w:val="333333"/>
          <w:sz w:val="20"/>
          <w:szCs w:val="20"/>
        </w:rPr>
        <w:t>9:145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لکنّها استدرکت فی أکثر النسخ</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یسبق</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3:480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عنه المستدرک </w:t>
      </w:r>
      <w:r>
        <w:rPr>
          <w:rFonts w:eastAsia="IRNazanin" w:cs="IRNazanin"/>
          <w:b w:val="false"/>
          <w:bCs w:val="false"/>
          <w:i w:val="false"/>
          <w:iCs w:val="false"/>
          <w:color w:val="333333"/>
          <w:sz w:val="20"/>
          <w:szCs w:val="20"/>
        </w:rPr>
        <w:t>17:112</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إحیاء الموات،الحدیث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المنقولة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یشترط فی الملک التمامیة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الشهیدان فی اللمعة و شرحها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،و المحقّق السبزواری فی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،و المحدّث البحرانی فی الحدائق </w:t>
      </w:r>
      <w:r>
        <w:rPr>
          <w:rFonts w:eastAsia="IRNazanin" w:cs="IRNazanin"/>
          <w:b w:val="false"/>
          <w:bCs w:val="false"/>
          <w:i w:val="false"/>
          <w:iCs w:val="false"/>
          <w:color w:val="333333"/>
          <w:sz w:val="20"/>
          <w:szCs w:val="20"/>
        </w:rPr>
        <w:t>18:438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لمرجعه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مرجعه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صُحّحت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العموم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الحقّ المتعلّق بالعبد الجانی،و قد أُضیف الحقّ إلی من علیه الحقّ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فیه،و الأولی الجمع بینهما کما فی المصدر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فی سائر النسخ،و لم یثبتها المامقانی فی شرحه غایة الآمال،انظر غایة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أکثر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3:153</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5:399</w:t>
      </w:r>
      <w:r>
        <w:rPr>
          <w:rFonts w:ascii="IRNazanin" w:hAnsi="IRNazanin" w:eastAsia="IRNazanin"/>
          <w:b w:val="false"/>
          <w:b w:val="false"/>
          <w:bCs w:val="false"/>
          <w:i w:val="false"/>
          <w:i w:val="false"/>
          <w:iCs w:val="false"/>
          <w:color w:val="333333"/>
          <w:sz w:val="20"/>
          <w:sz w:val="20"/>
          <w:szCs w:val="20"/>
          <w:rtl w:val="true"/>
        </w:rPr>
        <w:t xml:space="preserve">،و المستند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13:295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الوقوف،الحدیث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الموجود فی الکافی 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اشتریت أرضاً إلی جنب ضیعتی بألفی درهم،فلمّا وفّیت المال خبّرت أنّ الأرض</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الکافی و الوسائل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13:303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الوقوف و الصدقات،الحدیث الأوّل، و انظر الکافی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و التهذیب 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أسکن هذه الصدقة خالاته ما عشن و عاش عقبهن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وردت فی الاستبصار،و لفظه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قد أسکن صدقته هذه فلاناً و عقبه،فإذا انقرضوا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شهد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بالنظر إلی تتمّة فی الحدیث علی بعض النسخ</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13:304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و الصدقات،الحدیث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انظر الکافی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4:248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5588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9:131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أکثر النسخ،و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البطن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البطن البائع</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22:358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13:292</w:t>
      </w:r>
      <w:r>
        <w:rPr>
          <w:rFonts w:ascii="IRNazanin" w:hAnsi="IRNazanin" w:eastAsia="IRNazanin"/>
          <w:b w:val="false"/>
          <w:b w:val="false"/>
          <w:bCs w:val="false"/>
          <w:i w:val="false"/>
          <w:i w:val="false"/>
          <w:iCs w:val="false"/>
          <w:color w:val="333333"/>
          <w:sz w:val="20"/>
          <w:sz w:val="20"/>
          <w:szCs w:val="20"/>
          <w:rtl w:val="true"/>
        </w:rPr>
        <w:t>،الباب الأوّل من أبواب أحکام الوقوف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تقدیم و تأخیر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الآتی فی الصفحة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 أکثر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6:287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و عن الإسکافی بهذه العبارة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لموقوف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الوقوف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استظهر مصحّح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تکون تصحیفاً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المامقانی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هذا الکلام هو أنّه یذکر عبارته فیما یأتی،و لکن لم یذکرها،و الظاهر أنّه بدا له حیث وصل إلی محلّ ذکرها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الشهیدی قدّس سرّه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یذکرها المصنّف فیما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الأولی تقدیم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المنقطع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المحقّق التستری عنهم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،و انظر المختلف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،و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،و التنقیح الرائع </w:t>
      </w:r>
      <w:r>
        <w:rPr>
          <w:rFonts w:eastAsia="IRNazanin" w:cs="IRNazanin"/>
          <w:b w:val="false"/>
          <w:bCs w:val="false"/>
          <w:i w:val="false"/>
          <w:iCs w:val="false"/>
          <w:color w:val="333333"/>
          <w:sz w:val="20"/>
          <w:szCs w:val="20"/>
        </w:rPr>
        <w:t>2:329</w:t>
      </w:r>
      <w:r>
        <w:rPr>
          <w:rFonts w:ascii="IRNazanin" w:hAnsi="IRNazanin" w:eastAsia="IRNazanin"/>
          <w:b w:val="false"/>
          <w:b w:val="false"/>
          <w:bCs w:val="false"/>
          <w:i w:val="false"/>
          <w:i w:val="false"/>
          <w:iCs w:val="false"/>
          <w:color w:val="333333"/>
          <w:sz w:val="20"/>
          <w:sz w:val="20"/>
          <w:szCs w:val="20"/>
          <w:rtl w:val="true"/>
        </w:rPr>
        <w:t xml:space="preserve">،و المهذّب البارع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،و انظر 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الفاضل فی التنقیح </w:t>
      </w:r>
      <w:r>
        <w:rPr>
          <w:rFonts w:eastAsia="IRNazanin" w:cs="IRNazanin"/>
          <w:b w:val="false"/>
          <w:bCs w:val="false"/>
          <w:i w:val="false"/>
          <w:iCs w:val="false"/>
          <w:color w:val="333333"/>
          <w:sz w:val="20"/>
          <w:szCs w:val="20"/>
        </w:rPr>
        <w:t>2:329</w:t>
      </w:r>
      <w:r>
        <w:rPr>
          <w:rFonts w:ascii="IRNazanin" w:hAnsi="IRNazanin" w:eastAsia="IRNazanin"/>
          <w:b w:val="false"/>
          <w:b w:val="false"/>
          <w:bCs w:val="false"/>
          <w:i w:val="false"/>
          <w:i w:val="false"/>
          <w:iCs w:val="false"/>
          <w:color w:val="333333"/>
          <w:sz w:val="20"/>
          <w:sz w:val="20"/>
          <w:szCs w:val="20"/>
          <w:rtl w:val="true"/>
        </w:rPr>
        <w:t xml:space="preserve">،و ابن فهد الحلّی فی المهذّب البارع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فی الصفحة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5575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یقولون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بهما الرجوع إلی الواقف و جواز بیع الموقوف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،و لم نعثر علیه فی المهذّب و الجواهر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 الوقف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عنه فی الصفحة السابقة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العبارة فی سائر النسخ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إنّ المحکی عنه بقاء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یقول خ 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جواز بیع الوقف حینئذٍ مع عدم مزاحمة حقّ الموقوف علیه ممّا لا إشکال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کتب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،و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3:300</w:t>
      </w:r>
      <w:r>
        <w:rPr>
          <w:rFonts w:ascii="IRNazanin" w:hAnsi="IRNazanin" w:eastAsia="IRNazanin"/>
          <w:b w:val="false"/>
          <w:b w:val="false"/>
          <w:bCs w:val="false"/>
          <w:i w:val="false"/>
          <w:i w:val="false"/>
          <w:iCs w:val="false"/>
          <w:color w:val="333333"/>
          <w:sz w:val="20"/>
          <w:sz w:val="20"/>
          <w:szCs w:val="20"/>
          <w:rtl w:val="true"/>
        </w:rPr>
        <w:t>، و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،و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،و غیرهم و راجع تفصیله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،و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،و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 أکثر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تجویز</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تغییر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موضعها 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فقد الضرورة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 آنفاً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منفعة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منفعته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المصدر،و الظاهر أنّها زائدة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فی المبسوط علی الاحتجاج بالأخبار،و الظاهر أنّه سهو من قلمه الشریف،و منشأ السهو قول صاحب الجواهر بعد نقل العبارة المتقدّمة من المبسوط،و نقل عبارة 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احتجّ علی ذلک بالأخبار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احتجّ الشیخ فی الخلاف علی ذلک بالأخبار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22:362</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الوقف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الموقوف علیه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،و انظر السرائر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بقائه علی خلافٍ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یصحّ بیع الوقف إلّا أن یقع بین الموقوف علیهم خلف یخشی به الخراب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الموقوف علیه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یخشی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یجوز بیع الوقف</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لتبعّض</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العبارة فی غایة المراد،و لعلّ المؤلف قدّس سرّه أخذها من الجواهر </w:t>
      </w:r>
      <w:r>
        <w:rPr>
          <w:rFonts w:eastAsia="IRNazanin" w:cs="IRNazanin"/>
          <w:b w:val="false"/>
          <w:bCs w:val="false"/>
          <w:i w:val="false"/>
          <w:iCs w:val="false"/>
          <w:color w:val="333333"/>
          <w:sz w:val="20"/>
          <w:szCs w:val="20"/>
        </w:rPr>
        <w:t>22:364</w:t>
      </w:r>
      <w:r>
        <w:rPr>
          <w:rFonts w:ascii="IRNazanin" w:hAnsi="IRNazanin" w:eastAsia="IRNazanin"/>
          <w:b w:val="false"/>
          <w:b w:val="false"/>
          <w:bCs w:val="false"/>
          <w:i w:val="false"/>
          <w:i w:val="false"/>
          <w:iCs w:val="false"/>
          <w:color w:val="333333"/>
          <w:sz w:val="20"/>
          <w:sz w:val="20"/>
          <w:szCs w:val="20"/>
          <w:rtl w:val="true"/>
        </w:rPr>
        <w:t>،راجع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الخلاف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4:256</w:t>
      </w:r>
      <w:r>
        <w:rPr>
          <w:rFonts w:ascii="IRNazanin" w:hAnsi="IRNazanin" w:eastAsia="IRNazanin"/>
          <w:b w:val="false"/>
          <w:b w:val="false"/>
          <w:bCs w:val="false"/>
          <w:i w:val="false"/>
          <w:i w:val="false"/>
          <w:iCs w:val="false"/>
          <w:color w:val="333333"/>
          <w:sz w:val="20"/>
          <w:sz w:val="20"/>
          <w:szCs w:val="20"/>
          <w:rtl w:val="true"/>
        </w:rPr>
        <w:t>،و راجع الحاشیة علی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النافع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یوجد لدینا،نعم حکاه عنه السیّد العاملی فی مفتاح الکرامة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کحصیر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جذعه إذا انکسر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13:305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الوقوف،الحدیث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لحق الموقوف علیهم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،و الروایة وردت فی الوسائل </w:t>
      </w:r>
      <w:r>
        <w:rPr>
          <w:rFonts w:eastAsia="IRNazanin" w:cs="IRNazanin"/>
          <w:b w:val="false"/>
          <w:bCs w:val="false"/>
          <w:i w:val="false"/>
          <w:iCs w:val="false"/>
          <w:color w:val="333333"/>
          <w:sz w:val="20"/>
          <w:szCs w:val="20"/>
        </w:rPr>
        <w:t>13:306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الوقوف،الحدیث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13:305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الوقوف،الحدیث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الشرائع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،و تقدّمت العبارة عنهما فی الصفحة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الدروس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،و 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،و تقدّمت فی الصفحة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النافع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یوجد لدینا،و لم نعثر علی الحاکی أیضاً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قوّاه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الآتی فی الصفحة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المرتهن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المتقدّم فی الصفحة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القواعد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،و الشهید فی الدروس </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 xml:space="preserve">،و الفاضل المقداد فی التنقیح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،و الشهید الثانی فی المسالک </w:t>
      </w:r>
      <w:r>
        <w:rPr>
          <w:rFonts w:eastAsia="IRNazanin" w:cs="IRNazanin"/>
          <w:b w:val="false"/>
          <w:bCs w:val="false"/>
          <w:i w:val="false"/>
          <w:iCs w:val="false"/>
          <w:color w:val="333333"/>
          <w:sz w:val="20"/>
          <w:szCs w:val="20"/>
        </w:rPr>
        <w:t>5:377</w:t>
      </w:r>
      <w:r>
        <w:rPr>
          <w:rFonts w:ascii="IRNazanin" w:hAnsi="IRNazanin" w:eastAsia="IRNazanin"/>
          <w:b w:val="false"/>
          <w:b w:val="false"/>
          <w:bCs w:val="false"/>
          <w:i w:val="false"/>
          <w:i w:val="false"/>
          <w:iCs w:val="false"/>
          <w:color w:val="333333"/>
          <w:sz w:val="20"/>
          <w:sz w:val="20"/>
          <w:szCs w:val="20"/>
          <w:rtl w:val="true"/>
        </w:rPr>
        <w:t>،و السیّد الطباطبائی فی الریاض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الملکیة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اعترف به السید العاملی فی مفتاح الکرامة </w:t>
      </w:r>
      <w:r>
        <w:rPr>
          <w:rFonts w:eastAsia="IRNazanin" w:cs="IRNazanin"/>
          <w:b w:val="false"/>
          <w:bCs w:val="false"/>
          <w:i w:val="false"/>
          <w:iCs w:val="false"/>
          <w:color w:val="333333"/>
          <w:sz w:val="20"/>
          <w:szCs w:val="20"/>
        </w:rPr>
        <w:t>9:100</w:t>
      </w:r>
      <w:r>
        <w:rPr>
          <w:rFonts w:ascii="IRNazanin" w:hAnsi="IRNazanin" w:eastAsia="IRNazanin"/>
          <w:b w:val="false"/>
          <w:b w:val="false"/>
          <w:bCs w:val="false"/>
          <w:i w:val="false"/>
          <w:i w:val="false"/>
          <w:iCs w:val="false"/>
          <w:color w:val="333333"/>
          <w:sz w:val="20"/>
          <w:sz w:val="20"/>
          <w:szCs w:val="20"/>
          <w:rtl w:val="true"/>
        </w:rPr>
        <w:t>،و السیّد المجاهد فی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28:107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استدرکت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عن عبد الملک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التکفین،الحدیث الأوّل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الکلینی قدّس سرّه علی ما فی الوسائل </w:t>
      </w:r>
      <w:r>
        <w:rPr>
          <w:rFonts w:eastAsia="IRNazanin" w:cs="IRNazanin"/>
          <w:b w:val="false"/>
          <w:bCs w:val="false"/>
          <w:i w:val="false"/>
          <w:iCs w:val="false"/>
          <w:color w:val="333333"/>
          <w:sz w:val="20"/>
          <w:szCs w:val="20"/>
        </w:rPr>
        <w:t>9:359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الطواف،ذیل الحدیث الأوّل،و لم نقف علیه فی الکافی المطبوع</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حصیر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بصیغة الجمع</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xml:space="preserve">،و الروضة البهیّة </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9:116</w:t>
      </w:r>
      <w:r>
        <w:rPr>
          <w:rFonts w:ascii="IRNazanin" w:hAnsi="IRNazanin" w:eastAsia="IRNazanin"/>
          <w:b w:val="false"/>
          <w:b w:val="false"/>
          <w:bCs w:val="false"/>
          <w:i w:val="false"/>
          <w:i w:val="false"/>
          <w:iCs w:val="false"/>
          <w:color w:val="333333"/>
          <w:sz w:val="20"/>
          <w:sz w:val="20"/>
          <w:szCs w:val="20"/>
          <w:rtl w:val="true"/>
        </w:rPr>
        <w:t>،و حکی ذلک عنهم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یجیء فی الصفحة الآتیة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یلتزم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 تأنیث الضمیر،و هکذا حال الضمائر الآتیة الراجعة إلی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أجزاؤه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فمع المصلحة فی صرف عینه یجب صرف عینه فیه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إجرائها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یتعیّن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،و حکاه عنه و عن الروضة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ألحقها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نحو ذلک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هو الأصحّ</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13:303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الوقوف،الحدیث الأوّل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13:295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کون عدم جواز البیع من أحکام الوقف،و تقدّم فی الصفحة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یضعف</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تعطّله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لتعلّق حقّ</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وجه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کلام العلّامة فی الصفحة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کلامهما فی الصفحة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8:169</w:t>
      </w:r>
      <w:r>
        <w:rPr>
          <w:rFonts w:ascii="IRNazanin" w:hAnsi="IRNazanin" w:eastAsia="IRNazanin"/>
          <w:b w:val="false"/>
          <w:b w:val="false"/>
          <w:bCs w:val="false"/>
          <w:i w:val="false"/>
          <w:i w:val="false"/>
          <w:iCs w:val="false"/>
          <w:color w:val="333333"/>
          <w:sz w:val="20"/>
          <w:sz w:val="20"/>
          <w:szCs w:val="20"/>
          <w:rtl w:val="true"/>
        </w:rPr>
        <w:t xml:space="preserve">،و راجع مفتاح الکرامة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،و یأتی فی الصفحة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عبارة المفید و السیّد المتقدّمتین فی الصفحة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النقل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البطن البائع</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المعاوضیّة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صحّحت فی أکثرها بما أثبتناه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المناسب ما أثبتناه کما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حکمه حکمه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8:169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6:289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الثانی فی جامع المقاصد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،و الشهید الثانی فی المسالک </w:t>
      </w:r>
      <w:r>
        <w:rPr>
          <w:rFonts w:eastAsia="IRNazanin" w:cs="IRNazanin"/>
          <w:b w:val="false"/>
          <w:bCs w:val="false"/>
          <w:i w:val="false"/>
          <w:iCs w:val="false"/>
          <w:color w:val="333333"/>
          <w:sz w:val="20"/>
          <w:szCs w:val="20"/>
        </w:rPr>
        <w:t>3:170</w:t>
      </w:r>
      <w:r>
        <w:rPr>
          <w:rFonts w:ascii="IRNazanin" w:hAnsi="IRNazanin" w:eastAsia="IRNazanin"/>
          <w:b w:val="false"/>
          <w:b w:val="false"/>
          <w:bCs w:val="false"/>
          <w:i w:val="false"/>
          <w:i w:val="false"/>
          <w:iCs w:val="false"/>
          <w:color w:val="333333"/>
          <w:sz w:val="20"/>
          <w:sz w:val="20"/>
          <w:szCs w:val="20"/>
          <w:rtl w:val="true"/>
        </w:rPr>
        <w:t xml:space="preserve">،و الروضة البهیّة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أنّها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الواقف</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تعذّر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،مع تفاوت و اختلاف فی الألفاظ</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بمبدلها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یؤخذ</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منفعته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قسمتها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ساوی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،ثمّ إنّ المؤلّف لم یبیّن الوجه الثانی الّذی هو عِدل 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عدم الدلیل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لوضوحه،و یشیر إلیه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إلّا أن یحمل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13:303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الوقوف و الصدقات،الحدیث الأوّل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البیع</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الشرائع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،و العلّامة فی القواعد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،و التحریر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،و الشهید فی الدروس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راجع تفصیل ذلک فی مفتاح الکرامة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6:316</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 xml:space="preserve">،کتاب الوقف،المسألة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السرائر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الموقوفة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الجواهر،و تقدّم کلامه فی الصفحة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مصحّفة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بفقدان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الجواهر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الجواهر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،لکنّها استدرکت فی بعض النسخ</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تمّ ما أفاده صاحب الجواهر قدّس سرّه،انظر الجواهر </w:t>
      </w:r>
      <w:r>
        <w:rPr>
          <w:rFonts w:eastAsia="IRNazanin" w:cs="IRNazanin"/>
          <w:b w:val="false"/>
          <w:bCs w:val="false"/>
          <w:i w:val="false"/>
          <w:iCs w:val="false"/>
          <w:color w:val="333333"/>
          <w:sz w:val="20"/>
          <w:szCs w:val="20"/>
        </w:rPr>
        <w:t>22:358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حاجة إلیها کما لا یخفی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یرد علی ما تقدّم فی الصفحة السابقة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ذکر أنّه قد یقال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الصفحة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یؤیّد ذلک فی الجملة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،کتاب الوقف،المسألة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،و التحریر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 و عن قبلهم جمیعاً المحقّق التستری فی المقابس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یمکن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،ذیل الصورة الخامسة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یجیء فی الصورة الرابعة الآتیة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 الشهید فی الدروس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انظر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،و راجع الصفحة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13:303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الوقوف و الصدقات،الحدیث الأوّل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حیّان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قرابة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تلک الغلّة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وقفها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المصادر الحدیثیة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ثلاثمائة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13:306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الوقوف و الصدقات،الحدیث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الوقف</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الوقوف و الصدقات،الحدیث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الجعفری،و الصواب ما أثبتناه،و المراد به جعفر بن حنان الراوی للخبر السابق</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ستأتی فی الصفحة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عبارة النزهة فی الصفحة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خصوص</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6:289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فی التنقیح الرائع </w:t>
      </w:r>
      <w:r>
        <w:rPr>
          <w:rFonts w:eastAsia="IRNazanin" w:cs="IRNazanin"/>
          <w:b w:val="false"/>
          <w:bCs w:val="false"/>
          <w:i w:val="false"/>
          <w:iCs w:val="false"/>
          <w:color w:val="333333"/>
          <w:sz w:val="20"/>
          <w:szCs w:val="20"/>
        </w:rPr>
        <w:t>2:329</w:t>
      </w:r>
      <w:r>
        <w:rPr>
          <w:rFonts w:ascii="IRNazanin" w:hAnsi="IRNazanin" w:eastAsia="IRNazanin"/>
          <w:b w:val="false"/>
          <w:b w:val="false"/>
          <w:bCs w:val="false"/>
          <w:i w:val="false"/>
          <w:i w:val="false"/>
          <w:iCs w:val="false"/>
          <w:color w:val="333333"/>
          <w:sz w:val="20"/>
          <w:sz w:val="20"/>
          <w:szCs w:val="20"/>
          <w:rtl w:val="true"/>
        </w:rPr>
        <w:t xml:space="preserve">،و ابن فهد فی المهذّب البارع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،و الصیمری فی غایة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،و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 تأنیث الضمیر،لرجوعه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روایة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هکذا الکلام فی الضمیرین الآتیین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عباراتهم فی الصفحة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،و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،و تقدّمت عبارتهما فی الصفحة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روایة جعفر بن حنان،المتقدّمة فی 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 تثنیة الضمیر،کما استظهره مصحّح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 الإسکافی فی الصفحة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عن القاضی فی الصفحة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عن الحلبی و الصدوق فی الصفحة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 تثنیة الضمیر،کما استظهره مصحّح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کلامه فی الصفحة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المنع،و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للتأبید إلی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 جامع المقاصد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حبسها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العبارة فی جامع المقاصد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اشتراط الشراء بثمنه ما یکون وقفاً یقتضیه فلا یکون وقفاً و لا حبساً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یمکن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فیقضی</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أکثر النسخ و الکافی و هو 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لفظاً و معنًی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شروی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مجمع البحرین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شراء</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للحدیث تتمّة بمقدار أربعة أسطر لم ترد فی النسخ</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المصدر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حدث بحسن أو حسین حدث</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الوسائل،و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أمره اللّٰه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أمرته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13:312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الوقوف و الصدقات،الحدیث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المحقّق المامقانی قدّس سرّه بعد أن أثبت ما أثبتناه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فی بعض النسخ،و 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الأوّل 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سهو من قلم الناسخ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الناهیة عن بیع الوقف،المتقدّمة فی الصفحة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تعطل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لشخص الواقف</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به المحقّق التستری فی المقابس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،و انظر التنقیح الرائع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أورده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غایة المرام،و حکاه عنهم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تعطّلت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المقابس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أثبتناه من مصحّحتی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المختلف</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المختلف و التذکرة،و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 مراعاته لتخلّص المعتذر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 ذلک مؤیّداً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13:303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الوقوف و الصدقات،الحدیث الأوّل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13:295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الوقوف و الصدقات،الحدیث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 الحدیث</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علیه ما فی الوسائل </w:t>
      </w:r>
      <w:r>
        <w:rPr>
          <w:rFonts w:eastAsia="IRNazanin" w:cs="IRNazanin"/>
          <w:b w:val="false"/>
          <w:bCs w:val="false"/>
          <w:i w:val="false"/>
          <w:iCs w:val="false"/>
          <w:color w:val="333333"/>
          <w:sz w:val="20"/>
          <w:szCs w:val="20"/>
        </w:rPr>
        <w:t>13:304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الوقوف و الصدقات،الحدیث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یسألک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تقویمه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الکافی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أرفق</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فکتب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الظاهر أنّه لا وجه لها؛فإنّ الحدیث مذکور بتمامه،انظر الوسائل </w:t>
      </w:r>
      <w:r>
        <w:rPr>
          <w:rFonts w:eastAsia="IRNazanin" w:cs="IRNazanin"/>
          <w:b w:val="false"/>
          <w:bCs w:val="false"/>
          <w:i w:val="false"/>
          <w:iCs w:val="false"/>
          <w:color w:val="333333"/>
          <w:sz w:val="20"/>
          <w:szCs w:val="20"/>
        </w:rPr>
        <w:t>13:305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الوقوف و الصدقات،الحدیث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انظر الکافی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المخوف</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صحّحت فی بعضها بما أثبتناه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جوّزنا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صحّحت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18:442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w:t>
      </w:r>
      <w:r>
        <w:rPr>
          <w:rFonts w:eastAsia="IRNazanin" w:cs="IRNazanin"/>
          <w:b w:val="false"/>
          <w:bCs w:val="false"/>
          <w:i w:val="false"/>
          <w:iCs w:val="false"/>
          <w:color w:val="333333"/>
          <w:sz w:val="20"/>
          <w:szCs w:val="20"/>
        </w:rPr>
        <w:t>14:400</w:t>
      </w:r>
      <w:r>
        <w:rPr>
          <w:rFonts w:ascii="IRNazanin" w:hAnsi="IRNazanin" w:eastAsia="IRNazanin"/>
          <w:b w:val="false"/>
          <w:b w:val="false"/>
          <w:bCs w:val="false"/>
          <w:i w:val="false"/>
          <w:i w:val="false"/>
          <w:iCs w:val="false"/>
          <w:color w:val="333333"/>
          <w:sz w:val="20"/>
          <w:sz w:val="20"/>
          <w:szCs w:val="20"/>
          <w:rtl w:val="true"/>
        </w:rPr>
        <w:t xml:space="preserve">،باب الوقوف و الصدقات،ذیل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مرآة العقول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الوصایا،ذیل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بمنع</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2:409</w:t>
      </w:r>
      <w:r>
        <w:rPr>
          <w:rFonts w:ascii="IRNazanin" w:hAnsi="IRNazanin" w:eastAsia="IRNazanin"/>
          <w:b w:val="false"/>
          <w:b w:val="false"/>
          <w:bCs w:val="false"/>
          <w:i w:val="false"/>
          <w:i w:val="false"/>
          <w:iCs w:val="false"/>
          <w:color w:val="333333"/>
          <w:sz w:val="20"/>
          <w:sz w:val="20"/>
          <w:szCs w:val="20"/>
          <w:rtl w:val="true"/>
        </w:rPr>
        <w:t>،و 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حکی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،و الشرائع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المحقّق السبزواری فی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،و المحدّث الکاشانی فی المفاتیح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،و السیّد الطباطبائی فی الریاض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،و انظر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5595</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9:141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،و عنها الوسائل </w:t>
      </w:r>
      <w:r>
        <w:rPr>
          <w:rFonts w:eastAsia="IRNazanin" w:cs="IRNazanin"/>
          <w:b w:val="false"/>
          <w:bCs w:val="false"/>
          <w:i w:val="false"/>
          <w:iCs w:val="false"/>
          <w:color w:val="333333"/>
          <w:sz w:val="20"/>
          <w:szCs w:val="20"/>
        </w:rPr>
        <w:t>13:267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الإجارة،الحدیث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،و المختلف </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9:125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،و حکاه عنه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التنقیح الرائع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المتقدّم فی الصفحة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الصورة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8:169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14:309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بالرضاع،الحدیث الأوّل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یصحّ</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،و المختلف </w:t>
      </w:r>
      <w:r>
        <w:rPr>
          <w:rFonts w:eastAsia="IRNazanin" w:cs="IRNazanin"/>
          <w:b w:val="false"/>
          <w:bCs w:val="false"/>
          <w:i w:val="false"/>
          <w:iCs w:val="false"/>
          <w:color w:val="333333"/>
          <w:sz w:val="20"/>
          <w:szCs w:val="20"/>
        </w:rPr>
        <w:t>5:426</w:t>
      </w:r>
      <w:r>
        <w:rPr>
          <w:rFonts w:ascii="IRNazanin" w:hAnsi="IRNazanin" w:eastAsia="IRNazanin"/>
          <w:b w:val="false"/>
          <w:b w:val="false"/>
          <w:bCs w:val="false"/>
          <w:i w:val="false"/>
          <w:i w:val="false"/>
          <w:iCs w:val="false"/>
          <w:color w:val="333333"/>
          <w:sz w:val="20"/>
          <w:sz w:val="20"/>
          <w:szCs w:val="20"/>
          <w:rtl w:val="true"/>
        </w:rPr>
        <w:t xml:space="preserve">،و الإیضاح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25:139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الروضة البهیّة </w:t>
      </w:r>
      <w:r>
        <w:rPr>
          <w:rFonts w:eastAsia="IRNazanin" w:cs="IRNazanin"/>
          <w:b w:val="false"/>
          <w:bCs w:val="false"/>
          <w:i w:val="false"/>
          <w:iCs w:val="false"/>
          <w:color w:val="333333"/>
          <w:sz w:val="20"/>
          <w:szCs w:val="20"/>
        </w:rPr>
        <w:t>3:466</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ستأتی کلماتهم فی المستثنیات فی الصفحة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التنبیه السادس</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6:185</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الشهیدان فی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،و الروضة البهیّة </w:t>
      </w:r>
      <w:r>
        <w:rPr>
          <w:rFonts w:eastAsia="IRNazanin" w:cs="IRNazanin"/>
          <w:b w:val="false"/>
          <w:bCs w:val="false"/>
          <w:i w:val="false"/>
          <w:iCs w:val="false"/>
          <w:color w:val="333333"/>
          <w:sz w:val="20"/>
          <w:szCs w:val="20"/>
        </w:rPr>
        <w:t>6:369</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22:374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ستأتی فی الصفحات التالیة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یجیء فی الصفحة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للحرمة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،و حکی عنهم جمیعاً المحقّق التستری فی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الکرامة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غایة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ولدها مجازاً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حملاً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یتزوّج الجاریة تلد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یزوّج الجاریة یلد منه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16:105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الاستیلاد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الفقیه،و فی الکافی و التهذیب 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أمیر المؤمنین علیه السلام قال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المصادر الحدیثیة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قیمتها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المکاتبة،الحدیث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انظر الکافی </w:t>
      </w:r>
      <w:r>
        <w:rPr>
          <w:rFonts w:eastAsia="IRNazanin" w:cs="IRNazanin"/>
          <w:b w:val="false"/>
          <w:bCs w:val="false"/>
          <w:i w:val="false"/>
          <w:iCs w:val="false"/>
          <w:color w:val="333333"/>
          <w:sz w:val="20"/>
          <w:szCs w:val="20"/>
        </w:rPr>
        <w:t>6:188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3563</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15:421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7:528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الشرائع </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tl w:val="true"/>
        </w:rPr>
        <w:t xml:space="preserve">،و صاحب المدارک فی نهایة المرام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xml:space="preserve">، و السیّد العاملی فی مفتاح الکرامة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،و غیرهم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ما أثبتناه من المصدر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6:186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،و راجع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الفاضل فی کشف اللثام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،و المحقّق التستری فی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التحریر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التخطیط</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ذلک الی الجامع،الفاضل الأصفهانی فی کشف اللثام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،و راجع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،و حکاه عنه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الشرائع </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tl w:val="true"/>
        </w:rPr>
        <w:t xml:space="preserve">،و الروضة البهیّة </w:t>
      </w:r>
      <w:r>
        <w:rPr>
          <w:rFonts w:eastAsia="IRNazanin" w:cs="IRNazanin"/>
          <w:b w:val="false"/>
          <w:bCs w:val="false"/>
          <w:i w:val="false"/>
          <w:iCs w:val="false"/>
          <w:color w:val="333333"/>
          <w:sz w:val="20"/>
          <w:szCs w:val="20"/>
        </w:rPr>
        <w:t>6:370</w:t>
      </w:r>
      <w:r>
        <w:rPr>
          <w:rFonts w:ascii="IRNazanin" w:hAnsi="IRNazanin" w:eastAsia="IRNazanin"/>
          <w:b w:val="false"/>
          <w:b w:val="false"/>
          <w:bCs w:val="false"/>
          <w:i w:val="false"/>
          <w:i w:val="false"/>
          <w:iCs w:val="false"/>
          <w:color w:val="333333"/>
          <w:sz w:val="20"/>
          <w:sz w:val="20"/>
          <w:szCs w:val="20"/>
          <w:rtl w:val="true"/>
        </w:rPr>
        <w:t xml:space="preserve">،و نهایة المرام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xml:space="preserve">، و الحدائق </w:t>
      </w:r>
      <w:r>
        <w:rPr>
          <w:rFonts w:eastAsia="IRNazanin" w:cs="IRNazanin"/>
          <w:b w:val="false"/>
          <w:bCs w:val="false"/>
          <w:i w:val="false"/>
          <w:iCs w:val="false"/>
          <w:color w:val="333333"/>
          <w:sz w:val="20"/>
          <w:szCs w:val="20"/>
        </w:rPr>
        <w:t>18:448</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السیّد الطباطبائی فی الریاض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،و قد حکاه عن جملة من الأصحاب</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6:186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،و حکاه عنهما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الصفحة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ستأتی فی الصفحة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باستیلاد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لذا کلّ من جوّز البیع الیٰ الخاص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 آنفاً،و أشار مصحّح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هذا فی هامش النسخة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مشطوب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،و راجع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،المسألة التاسعة من کتاب التدبیر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تعلّق حقّ سابق علی الاستیلاد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کالسیّد العاملی فی نهایة المرام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،و المحقّق السبزواری فی 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،و السیّد الطباطبائی فی الریاض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،و حکاه عنهم السیّد العاملی فی مفتاح الکرامة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فی الصفحة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الجواهر فی الجواهر </w:t>
      </w:r>
      <w:r>
        <w:rPr>
          <w:rFonts w:eastAsia="IRNazanin" w:cs="IRNazanin"/>
          <w:b w:val="false"/>
          <w:bCs w:val="false"/>
          <w:i w:val="false"/>
          <w:iCs w:val="false"/>
          <w:color w:val="333333"/>
          <w:sz w:val="20"/>
          <w:szCs w:val="20"/>
        </w:rPr>
        <w:t>22:376</w:t>
      </w:r>
      <w:r>
        <w:rPr>
          <w:rFonts w:ascii="IRNazanin" w:hAnsi="IRNazanin" w:eastAsia="IRNazanin"/>
          <w:b w:val="false"/>
          <w:b w:val="false"/>
          <w:bCs w:val="false"/>
          <w:i w:val="false"/>
          <w:i w:val="false"/>
          <w:iCs w:val="false"/>
          <w:color w:val="333333"/>
          <w:sz w:val="20"/>
          <w:sz w:val="20"/>
          <w:szCs w:val="20"/>
          <w:rtl w:val="true"/>
        </w:rPr>
        <w:t>،و نقله فی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،عن الإیضاح،انظر إیضاح الفوائد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الکافی،و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فتباع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،وفاقاً للفقیه و الوسائل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6:193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8:238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الحیوان،الحدیث الأوّل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السیّد المجاهد فی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الشرائع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،و التحریر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،و 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،و حکاه عنهما السیّد العاملی فی مفتاح الکرامة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بیعها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بوجوب</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متقیّدة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الدین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الثانی فی المسالک </w:t>
      </w:r>
      <w:r>
        <w:rPr>
          <w:rFonts w:eastAsia="IRNazanin" w:cs="IRNazanin"/>
          <w:b w:val="false"/>
          <w:bCs w:val="false"/>
          <w:i w:val="false"/>
          <w:iCs w:val="false"/>
          <w:color w:val="333333"/>
          <w:sz w:val="20"/>
          <w:szCs w:val="20"/>
        </w:rPr>
        <w:t>3:170</w:t>
      </w:r>
      <w:r>
        <w:rPr>
          <w:rFonts w:ascii="IRNazanin" w:hAnsi="IRNazanin" w:eastAsia="IRNazanin"/>
          <w:b w:val="false"/>
          <w:b w:val="false"/>
          <w:bCs w:val="false"/>
          <w:i w:val="false"/>
          <w:i w:val="false"/>
          <w:iCs w:val="false"/>
          <w:color w:val="333333"/>
          <w:sz w:val="20"/>
          <w:sz w:val="20"/>
          <w:szCs w:val="20"/>
          <w:rtl w:val="true"/>
        </w:rPr>
        <w:t xml:space="preserve">،و الروضة البهیّة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xml:space="preserve">،و المحدّث البحرانی فی الحدائق </w:t>
      </w:r>
      <w:r>
        <w:rPr>
          <w:rFonts w:eastAsia="IRNazanin" w:cs="IRNazanin"/>
          <w:b w:val="false"/>
          <w:bCs w:val="false"/>
          <w:i w:val="false"/>
          <w:iCs w:val="false"/>
          <w:color w:val="333333"/>
          <w:sz w:val="20"/>
          <w:szCs w:val="20"/>
        </w:rPr>
        <w:t>18:448</w:t>
      </w:r>
      <w:r>
        <w:rPr>
          <w:rFonts w:ascii="IRNazanin" w:hAnsi="IRNazanin" w:eastAsia="IRNazanin"/>
          <w:b w:val="false"/>
          <w:b w:val="false"/>
          <w:bCs w:val="false"/>
          <w:i w:val="false"/>
          <w:i w:val="false"/>
          <w:iCs w:val="false"/>
          <w:color w:val="333333"/>
          <w:sz w:val="20"/>
          <w:sz w:val="20"/>
          <w:szCs w:val="20"/>
          <w:rtl w:val="true"/>
        </w:rPr>
        <w:t>،و السیّد المجاهد فی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22:375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،و حکاه عنه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فیجوز فی الثانی دون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المحقّق المامقانی قدّس سرّه بعد أن أثبت ما أثبتناه 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فیجوز فی الثانی دون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جواز بیعها یناسب الثانی دون الأوّل،إلّا أن یتکلّف بإرجاع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ترک البیع،و هو مع کونه تکلّفاً فی العبارة غیر وافٍ بالمقصود؛لأنّ المقصود جواز البیع بعد أن لم یکن جائزاً،لا أنّه کان واجباً فیجوز ترکه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غایة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انعتقت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الصفحة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16:106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الاستیلاد،الحدیث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،و حکاه عنه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،ذیل قول المحقّق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بیع أُمّ الولد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،و حکاه عنه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انتصر له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علیها ما فی الوسائل </w:t>
      </w:r>
      <w:r>
        <w:rPr>
          <w:rFonts w:eastAsia="IRNazanin" w:cs="IRNazanin"/>
          <w:b w:val="false"/>
          <w:bCs w:val="false"/>
          <w:i w:val="false"/>
          <w:iCs w:val="false"/>
          <w:color w:val="333333"/>
          <w:sz w:val="20"/>
          <w:szCs w:val="20"/>
        </w:rPr>
        <w:t>16:105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الاستیلاد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 الوجوه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 الوجوه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یلزمه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أوّل المسألة فی الصفحة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لحق</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روایتی عمر بن یزید المتقدّمتین فی الصفحة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بتعلّق</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الجواهر فی الجواهر </w:t>
      </w:r>
      <w:r>
        <w:rPr>
          <w:rFonts w:eastAsia="IRNazanin" w:cs="IRNazanin"/>
          <w:b w:val="false"/>
          <w:bCs w:val="false"/>
          <w:i w:val="false"/>
          <w:iCs w:val="false"/>
          <w:color w:val="333333"/>
          <w:sz w:val="20"/>
          <w:szCs w:val="20"/>
        </w:rPr>
        <w:t>25:320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إلیه و تخریجه فی الصفحة السابقة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 تنعتق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لا تخلو من إغلاق،قال الشهیدی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بحیث یملکه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العبارة إشارة إلی الموصول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فیبقی</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حصّتها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فلمخالفته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فمخالف</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روایتی عمر بن یزید المتقدمتین فی الصفحة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 ممّا یدل علی أنّها لا تباع فی غیر ثمنها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المورد الثانی من موارد القسم الأوّل من أقسام المواضع المستثناة من قاعدة المنع عن بیع أُمّ الولد،و تقدّم أوّلها فی الصفحة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 الشیخ و غیره فی الصفحة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استدرکت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قاله الشهید الثانی فی المسالک،راجع الصفحة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یستسعی</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المورد الثالث من القسم الأوّل،و قد تقدّم أوّلها فی الصفحة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الجواهر فی الجواهر </w:t>
      </w:r>
      <w:r>
        <w:rPr>
          <w:rFonts w:eastAsia="IRNazanin" w:cs="IRNazanin"/>
          <w:b w:val="false"/>
          <w:bCs w:val="false"/>
          <w:i w:val="false"/>
          <w:iCs w:val="false"/>
          <w:color w:val="333333"/>
          <w:sz w:val="20"/>
          <w:szCs w:val="20"/>
        </w:rPr>
        <w:t>22:379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رقبتها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وردت العبارة فی النسخ،و لا یخفی ما فیها من الاختلال إن کان المراد بها بیان محصّل البحث،قال المحقّق الإیروانی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لا محلّ لها،فإنّ المذکور بعدها جواب عن التمسّک بصحیحة عمر بن یزید علی المنع عن بیع المشتری،و لم یتقدّم لهذا الجواب ذکرٌ لیکون هذا حاصله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،و راجع 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الشرائع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و عن السرائر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،و انظر الخلاف </w:t>
      </w:r>
      <w:r>
        <w:rPr>
          <w:rFonts w:eastAsia="IRNazanin" w:cs="IRNazanin"/>
          <w:b w:val="false"/>
          <w:bCs w:val="false"/>
          <w:i w:val="false"/>
          <w:iCs w:val="false"/>
          <w:color w:val="333333"/>
          <w:sz w:val="20"/>
          <w:szCs w:val="20"/>
        </w:rPr>
        <w:t>6:419</w:t>
      </w:r>
      <w:r>
        <w:rPr>
          <w:rFonts w:ascii="IRNazanin" w:hAnsi="IRNazanin" w:eastAsia="IRNazanin"/>
          <w:b w:val="false"/>
          <w:b w:val="false"/>
          <w:bCs w:val="false"/>
          <w:i w:val="false"/>
          <w:i w:val="false"/>
          <w:iCs w:val="false"/>
          <w:color w:val="333333"/>
          <w:sz w:val="20"/>
          <w:sz w:val="20"/>
          <w:szCs w:val="20"/>
          <w:rtl w:val="true"/>
        </w:rPr>
        <w:t xml:space="preserve">،کتاب الجنایات،المسألة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،کتاب الدیات،المسألة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6:187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جنایتها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الفقیه،و فی سائر النسخ 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3468</w:t>
      </w:r>
      <w:r>
        <w:rPr>
          <w:rFonts w:ascii="IRNazanin" w:hAnsi="IRNazanin" w:eastAsia="IRNazanin"/>
          <w:b w:val="false"/>
          <w:b w:val="false"/>
          <w:bCs w:val="false"/>
          <w:i w:val="false"/>
          <w:i w:val="false"/>
          <w:iCs w:val="false"/>
          <w:color w:val="333333"/>
          <w:sz w:val="20"/>
          <w:sz w:val="20"/>
          <w:szCs w:val="20"/>
          <w:rtl w:val="true"/>
        </w:rPr>
        <w:t xml:space="preserve">،و انظر الوسائل </w:t>
      </w:r>
      <w:r>
        <w:rPr>
          <w:rFonts w:eastAsia="IRNazanin" w:cs="IRNazanin"/>
          <w:b w:val="false"/>
          <w:bCs w:val="false"/>
          <w:i w:val="false"/>
          <w:iCs w:val="false"/>
          <w:color w:val="333333"/>
          <w:sz w:val="20"/>
          <w:szCs w:val="20"/>
        </w:rPr>
        <w:t>16:78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التدبیر،الحدیث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ورد فی الوسائل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 فی المبسوط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بعیداً من الصواب</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المتقدّمتین آنفاً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المورد الرابع من موارد القسم الأوّل التی تقدّم أوّلها فی الصفحة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بعینه،نعم عدّ فی کنز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صور الجواز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تجنی جنایة تستغرق قیمتها،و الظاهر أنّ المؤلف قدّس سرّه أخذ ذلک من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10:200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19:159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تقدیم و تأخیر فی بعض الألفاظ</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10:200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5367</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19:159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و تقدیم و تأخیر فی بعض الألفاظ</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10:200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19:159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النفس،الحدیث الأوّل،و فیهما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سیّدها خطأً</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10:200</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4:276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المورد الخامس من موارد القسم الأوّل المتقدّم أوّلها فی الصفحة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المعوّض بعد إعطاء العوض</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المورد السادس من موارد القسم الأوّل،المتقدّم أوّلها فی الصفحة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النسخ،إلّا أنّ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العبارة کما تری، و لذا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فکانت فیما أسرها غیر مولاها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الشهیدی قدّس سرّه بعد أن أثبت ما أثبتناه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الأولی تبدیل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تبدیل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یثبت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تنقض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هو المناسب للسیاق،لکن عبارة المقابس التی هی الأصل لکلام المؤلف قدّس سرّه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یردّ الإمام قیمة ذلک للمقاتلة لئلّا ینقص القسمة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المورد السابع من القسم الأوّل و قد تقدّم أوّله فی الصفحة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المورد الثامن من القسم الأوّل و قد تقدّم أوّله فی الصفحة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المواضع المستثناة من قاعدة المنع عن بیع أُمّ الولد،راجع المقسم فی الصفحة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الآیة الشریفة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یَجْعَلَ اللّٰهُ لِلکافِرینَ عَلی المُؤْمِنینَ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17:376</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موانع الإرث،الحدیث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التعلیل بیان لجریان الاستصحاب،لا لعدم الوجه فی جریانه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الثانی من القسم الثانی</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کسبها</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فباع</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کسبه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شطب علیها،و لم یثبتها المامقانی فی شرحه غایة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تحمیلها خ ل</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الثالث من القسم الثانی</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،و انظر 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کنز العرفان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،و المهذّب البارع </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،و غایة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،و راجع الروضة البهیّة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الرابع من القسم الثانی</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للعتق</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الشهید فی 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،و السیوری فی کنز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ابن سعید فی نزهة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المواضع المستثناة من قاعدة المنع عن بیع أُمّ الولد،راجع المقسم فی الصفحة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شطب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3:230</w:t>
      </w:r>
      <w:r>
        <w:rPr>
          <w:rFonts w:ascii="IRNazanin" w:hAnsi="IRNazanin" w:eastAsia="IRNazanin"/>
          <w:b w:val="false"/>
          <w:b w:val="false"/>
          <w:bCs w:val="false"/>
          <w:i w:val="false"/>
          <w:i w:val="false"/>
          <w:iCs w:val="false"/>
          <w:color w:val="333333"/>
          <w:sz w:val="20"/>
          <w:sz w:val="20"/>
          <w:szCs w:val="20"/>
          <w:rtl w:val="true"/>
        </w:rPr>
        <w:t xml:space="preserve">،کتاب الرهن،المسألة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6:185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5:440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3:170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10:527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الخلاف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 معسراً بیعت به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الثانی فی المسالک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،عن بعض حواشیه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الثانی من موارد القسم الثالث</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،و حکاه عنهم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الثالث من موارد القسم الثالث</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تلزم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بالفداء</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الرابع من القسم الثالث</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،و حکاه عنه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3:465</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الانتقال،حُذف المضاف بقرینة المقام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الخامس من موارد القسم الثالث</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السادس من موارد القسم الثالث</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أعلاه عن المدارک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السابع من موارد القسم الثالث</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قسم آخر من أقسام المواضع المستثناة من قاعدة المنع عن بیع أُمّ الولد،راجع المقسم فی الصفحة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حقّ العبارة بملاحظة المقسم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ما یکون الجواز لعدم تحقّق السبب المانع عن النقل مثل ما کان إبقاؤها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استظهر ذلک 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،کتاب الرهن،ذیل المسألة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حکاه عنه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،و حکاه عنه المحقّق التستری فی المقابس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5:421</w:t>
      </w:r>
      <w:r>
        <w:rPr>
          <w:rFonts w:ascii="IRNazanin" w:hAnsi="IRNazanin" w:eastAsia="IRNazanin"/>
          <w:b w:val="false"/>
          <w:b w:val="false"/>
          <w:bCs w:val="false"/>
          <w:i w:val="false"/>
          <w:i w:val="false"/>
          <w:iCs w:val="false"/>
          <w:color w:val="333333"/>
          <w:sz w:val="20"/>
          <w:sz w:val="20"/>
          <w:szCs w:val="20"/>
          <w:rtl w:val="true"/>
        </w:rPr>
        <w:t xml:space="preserve">،و رواه فی مستدرک الوسائل </w:t>
      </w:r>
      <w:r>
        <w:rPr>
          <w:rFonts w:eastAsia="IRNazanin" w:cs="IRNazanin"/>
          <w:b w:val="false"/>
          <w:bCs w:val="false"/>
          <w:i w:val="false"/>
          <w:iCs w:val="false"/>
          <w:color w:val="333333"/>
          <w:sz w:val="20"/>
          <w:szCs w:val="20"/>
        </w:rPr>
        <w:t>13:426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درر اللآلی</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التستری فی المقابس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الذی یقتضیه کلام الشیخ فی الخلاف و ابن إدریس کما ذکر،و کذا کلام ابن زهرة،إلی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أبو الصلاح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الدیلمی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المفید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الإجازة فی 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أذن المرتهن له فی التصرّف 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الشرائع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،و الحلّی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،و العلّامة فی القواعد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التحریر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 من کتبه،و الشهیدان فی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،و راجع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الحلّی فی السرائر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النبوی المرسل المتقدم عن المختلف آنفاً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إلی مواضع کلامهم آنفاً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14:523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فیرتفع</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یلحقه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أبطل بیع الفضولی لزم الإبطال هنا</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عوالی اللآلی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Pr>
        <w:t>13:230</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عقد البیع،الحدیث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النافع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یوجد لدینا،و انظر الصفحة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التستری فی مقابس الأنوار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وفاقاً للمصدر،و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العبرة بالنهی عن العقد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استوائهما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،و الدیلمی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،و العلّامة فی الإرشاد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،و غیرهم،و راجع الوسائل </w:t>
      </w:r>
      <w:r>
        <w:rPr>
          <w:rFonts w:eastAsia="IRNazanin" w:cs="IRNazanin"/>
          <w:b w:val="false"/>
          <w:bCs w:val="false"/>
          <w:i w:val="false"/>
          <w:iCs w:val="false"/>
          <w:color w:val="333333"/>
          <w:sz w:val="20"/>
          <w:szCs w:val="20"/>
        </w:rPr>
        <w:t>13:123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و غیرهما من الأبواب</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الروایات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الأمر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انحصار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الظاهر بمقتضی التأمّل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المراد بالملک المسوّغ للبیع هو ملک الأصل مع التصرّف فیه،و لذلک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تتبّع الأدلّة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14:523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زیادة استدرکها المصحّح من المصدر،و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تقدّم الکلام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بالجملة،فالقول بتأثیر الإجازة علی نحو ما بنی علیه جماعة من المتأخّرین،إبطال القواعد المعلومة من الشرع و الأحکام المقرّرة فیه ضرورة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استقلالاً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المکاسب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بملک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صحیحة محمد بن قیس المرویة فی الوسائل </w:t>
      </w:r>
      <w:r>
        <w:rPr>
          <w:rFonts w:eastAsia="IRNazanin" w:cs="IRNazanin"/>
          <w:b w:val="false"/>
          <w:bCs w:val="false"/>
          <w:i w:val="false"/>
          <w:iCs w:val="false"/>
          <w:color w:val="333333"/>
          <w:sz w:val="20"/>
          <w:szCs w:val="20"/>
        </w:rPr>
        <w:t>14:591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الإماء،الحدیث الأوّل،و </w:t>
      </w:r>
      <w:r>
        <w:rPr>
          <w:rFonts w:eastAsia="IRNazanin" w:cs="IRNazanin"/>
          <w:b w:val="false"/>
          <w:bCs w:val="false"/>
          <w:i w:val="false"/>
          <w:iCs w:val="false"/>
          <w:color w:val="333333"/>
          <w:sz w:val="20"/>
          <w:szCs w:val="20"/>
        </w:rPr>
        <w:t>17:527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الأزواج،الحدیث الأوّل،و غیرهما من الأخبار المشار إلیها فی مبحث الإجازة،راجع مبحث بیع الفضولی فی الجزء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،و الشرائع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،و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،و انظر مفتاح الکرامة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لدینا،و حکی عنه السیّد العاملی فی مفتاح الکرامة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،و لم نعثر فی کلام الشهید الثانی علیٰ ما یدلّ علیه،نعم قال بلزوم العتق من طرف الراهن بفکّ الرهن فی الروضة البهیّة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افتکّ الرهن ففی لزوم العقود نظر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الثالثة من بحث الفضولی المتقدّم فی الجزء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14:525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السیّد الطباطبائی فی الریاض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،و المحقّق القمی فی جامع الشتات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،و غنائم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،و تقدّم فی الصفحة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المکاسب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3:200</w:t>
      </w:r>
      <w:r>
        <w:rPr>
          <w:rFonts w:ascii="IRNazanin" w:hAnsi="IRNazanin" w:eastAsia="IRNazanin"/>
          <w:b w:val="false"/>
          <w:b w:val="false"/>
          <w:bCs w:val="false"/>
          <w:i w:val="false"/>
          <w:i w:val="false"/>
          <w:iCs w:val="false"/>
          <w:color w:val="333333"/>
          <w:sz w:val="20"/>
          <w:sz w:val="20"/>
          <w:szCs w:val="20"/>
          <w:rtl w:val="true"/>
        </w:rPr>
        <w:t>،و 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الشهید الثانی فی المسالک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غیر الشیخ</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یجیء فی الصفحة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کتب فوقه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کبیع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هو الأنسب</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استدرکت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سلطنة متعلّقة به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فجنی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مجنی علیه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،کتاب البیوع،المسألة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الشیخ</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7:443</w:t>
      </w:r>
      <w:r>
        <w:rPr>
          <w:rFonts w:ascii="IRNazanin" w:hAnsi="IRNazanin" w:eastAsia="IRNazanin"/>
          <w:b w:val="false"/>
          <w:b w:val="false"/>
          <w:bCs w:val="false"/>
          <w:i w:val="false"/>
          <w:i w:val="false"/>
          <w:iCs w:val="false"/>
          <w:color w:val="333333"/>
          <w:sz w:val="20"/>
          <w:sz w:val="20"/>
          <w:szCs w:val="20"/>
          <w:rtl w:val="true"/>
        </w:rPr>
        <w:t xml:space="preserve">،و راجع الخلاف </w:t>
      </w:r>
      <w:r>
        <w:rPr>
          <w:rFonts w:eastAsia="IRNazanin" w:cs="IRNazanin"/>
          <w:b w:val="false"/>
          <w:bCs w:val="false"/>
          <w:i w:val="false"/>
          <w:iCs w:val="false"/>
          <w:color w:val="333333"/>
          <w:sz w:val="20"/>
          <w:szCs w:val="20"/>
        </w:rPr>
        <w:t>4:546</w:t>
      </w:r>
      <w:r>
        <w:rPr>
          <w:rFonts w:ascii="IRNazanin" w:hAnsi="IRNazanin" w:eastAsia="IRNazanin"/>
          <w:b w:val="false"/>
          <w:b w:val="false"/>
          <w:bCs w:val="false"/>
          <w:i w:val="false"/>
          <w:i w:val="false"/>
          <w:iCs w:val="false"/>
          <w:color w:val="333333"/>
          <w:sz w:val="20"/>
          <w:sz w:val="20"/>
          <w:szCs w:val="20"/>
          <w:rtl w:val="true"/>
        </w:rPr>
        <w:t xml:space="preserve">،کتاب الظهار،المسألة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الرهن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المولی</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ظهور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یفد به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،و حکی ذلک عنه المحقّق التستری فی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مفهوم من کلامه فی الرهن،و راجع الخلاف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xml:space="preserve">،کتاب الرهن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أفداه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الغیر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الصفحة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المحقّق التستری فی المقابس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التحریر،و راجع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12:330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،و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الصحاح </w:t>
      </w:r>
      <w:r>
        <w:rPr>
          <w:rFonts w:eastAsia="IRNazanin" w:cs="IRNazanin"/>
          <w:b w:val="false"/>
          <w:bCs w:val="false"/>
          <w:i w:val="false"/>
          <w:iCs w:val="false"/>
          <w:color w:val="333333"/>
          <w:sz w:val="20"/>
          <w:szCs w:val="20"/>
        </w:rPr>
        <w:t>2:768</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البحرین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کتب الأُصول و الفروع،نعم نقله صاحب الجواهر فی الجواهر </w:t>
      </w:r>
      <w:r>
        <w:rPr>
          <w:rFonts w:eastAsia="IRNazanin" w:cs="IRNazanin"/>
          <w:b w:val="false"/>
          <w:bCs w:val="false"/>
          <w:i w:val="false"/>
          <w:iCs w:val="false"/>
          <w:color w:val="333333"/>
          <w:sz w:val="20"/>
          <w:szCs w:val="20"/>
        </w:rPr>
        <w:t>22:387</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ابن أبی المکارم الفقهی عن أمیر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الغرر عمل ما لا یؤمن معه الضرر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أغرّه بالشیء،أی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خدعه به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اغترّه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أتاه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بالباطل</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الأثیر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مجمل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فارس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فیه علی التصریح به،نعم فیه ما یفید ذلک،انظر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حکاه عنه و عمّا تقدّم صاحب الجواهر،انظر الجواهر </w:t>
      </w:r>
      <w:r>
        <w:rPr>
          <w:rFonts w:eastAsia="IRNazanin" w:cs="IRNazanin"/>
          <w:b w:val="false"/>
          <w:bCs w:val="false"/>
          <w:i w:val="false"/>
          <w:iCs w:val="false"/>
          <w:color w:val="333333"/>
          <w:sz w:val="20"/>
          <w:szCs w:val="20"/>
        </w:rPr>
        <w:t>22:386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فسّر بأنّه بیع السمک فی الماء و الطیر فی الهواء</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کیفاً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الجواهر فی الجواهر </w:t>
      </w:r>
      <w:r>
        <w:rPr>
          <w:rFonts w:eastAsia="IRNazanin" w:cs="IRNazanin"/>
          <w:b w:val="false"/>
          <w:bCs w:val="false"/>
          <w:i w:val="false"/>
          <w:iCs w:val="false"/>
          <w:color w:val="333333"/>
          <w:sz w:val="20"/>
          <w:szCs w:val="20"/>
        </w:rPr>
        <w:t>22:388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یشتری إلی المشتری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لانضمام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استدرکت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المصدر،و استدرکت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،و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المجهول المعلوم الحصول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الموجود فی المصدر 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شرعاً هو جهل الحصول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المجهول،فمعلوم الحصول مجهول الصفة،و بینهما عموم و خصوص من وجه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بالوصف</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مردّداً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لغیر ضمیمة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الضمیمة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الضمیمة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الشخصی</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ذکره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 به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خطراً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5:267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،و یدلّ علیه ما فی الوسائل </w:t>
      </w:r>
      <w:r>
        <w:rPr>
          <w:rFonts w:eastAsia="IRNazanin" w:cs="IRNazanin"/>
          <w:b w:val="false"/>
          <w:bCs w:val="false"/>
          <w:i w:val="false"/>
          <w:iCs w:val="false"/>
          <w:color w:val="333333"/>
          <w:sz w:val="20"/>
          <w:szCs w:val="20"/>
        </w:rPr>
        <w:t>12:266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استدرکت فی أکثر النسخ</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اقتضاها السیاق</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الممتنع</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المعوّض</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استظهره صاحب الجواهر فی الجواهر </w:t>
      </w:r>
      <w:r>
        <w:rPr>
          <w:rFonts w:eastAsia="IRNazanin" w:cs="IRNazanin"/>
          <w:b w:val="false"/>
          <w:bCs w:val="false"/>
          <w:i w:val="false"/>
          <w:iCs w:val="false"/>
          <w:color w:val="333333"/>
          <w:sz w:val="20"/>
          <w:szCs w:val="20"/>
        </w:rPr>
        <w:t>22:385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أنّها استدرکت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یجیء فی الصفحة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فیما 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النقل</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یعتبر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الصفحة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کاشف الغطاء فی شرحه علی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التحریر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،و المختلف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السیّد بحر العلوم الطباطبائی فی المصابیح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لکن لم نعثر علی المحکی عنه،انظر کشف الرموز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 و الروضة البهیّة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ظاهره السیّد الطباطبائی فی الریاض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،و راجع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استدلالاتهم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الجواز</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،و الروضة البهیة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الأردبیلی فی مجمع الفائدة </w:t>
      </w:r>
      <w:r>
        <w:rPr>
          <w:rFonts w:eastAsia="IRNazanin" w:cs="IRNazanin"/>
          <w:b w:val="false"/>
          <w:bCs w:val="false"/>
          <w:i w:val="false"/>
          <w:iCs w:val="false"/>
          <w:color w:val="333333"/>
          <w:sz w:val="20"/>
          <w:szCs w:val="20"/>
        </w:rPr>
        <w:t>8:174</w:t>
      </w:r>
      <w:r>
        <w:rPr>
          <w:rFonts w:ascii="IRNazanin" w:hAnsi="IRNazanin" w:eastAsia="IRNazanin"/>
          <w:b w:val="false"/>
          <w:b w:val="false"/>
          <w:bCs w:val="false"/>
          <w:i w:val="false"/>
          <w:i w:val="false"/>
          <w:iCs w:val="false"/>
          <w:color w:val="333333"/>
          <w:sz w:val="20"/>
          <w:sz w:val="20"/>
          <w:szCs w:val="20"/>
          <w:rtl w:val="true"/>
        </w:rPr>
        <w:t>،و السبزواری فی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الکاشانی فی مفاتیح الشرائع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یقدر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صدر المسألة،الصفحة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الصیمری فی غایة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،و السیّد بحر العلوم فی المصابیح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،و السیّد العاملی فی مفتاح الکرامة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لأجل حاجة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،هذا و لم یذکر الوجه الثانی</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منه،استدراکاً</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قیّده صاحب الجواهر قدّس سرّه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الوکیل،إلّا أنّها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الموکل</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انتهی کلام صاحب الجواهر فی الجواهر </w:t>
      </w:r>
      <w:r>
        <w:rPr>
          <w:rFonts w:eastAsia="IRNazanin" w:cs="IRNazanin"/>
          <w:b w:val="false"/>
          <w:bCs w:val="false"/>
          <w:i w:val="false"/>
          <w:iCs w:val="false"/>
          <w:color w:val="333333"/>
          <w:sz w:val="20"/>
          <w:szCs w:val="20"/>
        </w:rPr>
        <w:t>22:392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،کتاب البیوع،المسألة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اشتراطه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بالجواز من الشهید الثانی کما سیأتی فی الصفحة الآتیة،و اختاره السیّد العاملی فی مفتاح الکرامة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لجهالة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8:221</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7:562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الکرامة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الإجارة،و الریاض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المزارعة،و مفتاح الکرامة </w:t>
      </w:r>
      <w:r>
        <w:rPr>
          <w:rFonts w:eastAsia="IRNazanin" w:cs="IRNazanin"/>
          <w:b w:val="false"/>
          <w:bCs w:val="false"/>
          <w:i w:val="false"/>
          <w:iCs w:val="false"/>
          <w:color w:val="333333"/>
          <w:sz w:val="20"/>
          <w:szCs w:val="20"/>
        </w:rPr>
        <w:t>7:349</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المساقاة،و الجواهر </w:t>
      </w:r>
      <w:r>
        <w:rPr>
          <w:rFonts w:eastAsia="IRNazanin" w:cs="IRNazanin"/>
          <w:b w:val="false"/>
          <w:bCs w:val="false"/>
          <w:i w:val="false"/>
          <w:iCs w:val="false"/>
          <w:color w:val="333333"/>
          <w:sz w:val="20"/>
          <w:szCs w:val="20"/>
        </w:rPr>
        <w:t>35:194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الجعالة،و غیرها من الکتب الفقهیّة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التذکرة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26:142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کاشف الغطاء فی شرحه علی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فی الدروس </w:t>
      </w:r>
      <w:r>
        <w:rPr>
          <w:rFonts w:eastAsia="IRNazanin" w:cs="IRNazanin"/>
          <w:b w:val="false"/>
          <w:bCs w:val="false"/>
          <w:i w:val="false"/>
          <w:iCs w:val="false"/>
          <w:color w:val="333333"/>
          <w:sz w:val="20"/>
          <w:szCs w:val="20"/>
        </w:rPr>
        <w:t>3:200</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،و الروضة البهیّة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،و فیه بعد الحکم بالصحّة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یحتمل قویّاً بطلان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المحدّث الکاشانی فی المفاتیح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،و السیّد الطباطبائی فی الریاض </w:t>
      </w:r>
      <w:r>
        <w:rPr>
          <w:rFonts w:eastAsia="IRNazanin" w:cs="IRNazanin"/>
          <w:b w:val="false"/>
          <w:bCs w:val="false"/>
          <w:i w:val="false"/>
          <w:iCs w:val="false"/>
          <w:color w:val="333333"/>
          <w:sz w:val="20"/>
          <w:szCs w:val="20"/>
        </w:rPr>
        <w:t>3:519</w:t>
      </w:r>
      <w:r>
        <w:rPr>
          <w:rFonts w:ascii="IRNazanin" w:hAnsi="IRNazanin" w:eastAsia="IRNazanin"/>
          <w:b w:val="false"/>
          <w:b w:val="false"/>
          <w:bCs w:val="false"/>
          <w:i w:val="false"/>
          <w:i w:val="false"/>
          <w:iCs w:val="false"/>
          <w:color w:val="333333"/>
          <w:sz w:val="20"/>
          <w:sz w:val="20"/>
          <w:szCs w:val="20"/>
          <w:rtl w:val="true"/>
        </w:rPr>
        <w:t xml:space="preserve">،و المحقّق النراقی فی المستند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،و غیرهم،و راجع تفصیله فی مفتاح الکرامة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بمَنع</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یفرض</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فی الصفحة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استدرکت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للبیع</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،لکنّها صحّحت فی أکثر النسخ بما أثبتناه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علیه فی الخلاف بإجماع الفرقة،راجع الخلاف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،کتاب البیوع،المسألة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12:262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شروطه،الحدیث الأوّل</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درهماً</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12:263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مثمناً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بذل إلی جزء مبیع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کتب علیها فی 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الشهیدی قدّس سرّه بعد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التخصیص،و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للنهی عن الغرر السلیم عن المخصِّص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مشطوب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تظهر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صحّة بیعها إلی من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أضاف إلی کفی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فرض وجودها فی الأصل فالصواب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تعذّر تسلیمه کفی</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للثمن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لحصول</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صاحب الجواهر فی الجواهر </w:t>
      </w:r>
      <w:r>
        <w:rPr>
          <w:rFonts w:eastAsia="IRNazanin" w:cs="IRNazanin"/>
          <w:b w:val="false"/>
          <w:bCs w:val="false"/>
          <w:i w:val="false"/>
          <w:iCs w:val="false"/>
          <w:color w:val="333333"/>
          <w:sz w:val="20"/>
          <w:szCs w:val="20"/>
        </w:rPr>
        <w:t>22:398</w:t>
      </w:r>
      <w:r>
        <w:rPr>
          <w:rFonts w:ascii="IRNazanin" w:hAnsi="IRNazanin" w:eastAsia="IRNazanin"/>
          <w:b w:val="false"/>
          <w:b w:val="false"/>
          <w:bCs w:val="false"/>
          <w:i w:val="false"/>
          <w:i w:val="false"/>
          <w:iCs w:val="false"/>
          <w:color w:val="333333"/>
          <w:sz w:val="20"/>
          <w:sz w:val="20"/>
          <w:szCs w:val="20"/>
          <w:rtl w:val="true"/>
        </w:rPr>
        <w:t>،و لم نعثر علیه فی کشف الرموز،بل وجدناه فی التنقیح الرائع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حکاه عنه السیّد العاملی فی مفتاح الکرامة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یوهمه إلی ما ذکرنا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الموجب للرجوع إلی مقابل التالف لا مقابله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الموجب للرجوع بما یقابله التالف ممّا لا یقابله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شطب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إذا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المحدّث البحرانی فی الحدائق </w:t>
      </w:r>
      <w:r>
        <w:rPr>
          <w:rFonts w:eastAsia="IRNazanin" w:cs="IRNazanin"/>
          <w:b w:val="false"/>
          <w:bCs w:val="false"/>
          <w:i w:val="false"/>
          <w:iCs w:val="false"/>
          <w:color w:val="333333"/>
          <w:sz w:val="20"/>
          <w:szCs w:val="20"/>
        </w:rPr>
        <w:t>18:438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السیّد العاملی فی مفتاح الکرامة </w:t>
      </w:r>
      <w:r>
        <w:rPr>
          <w:rFonts w:eastAsia="IRNazanin" w:cs="IRNazanin"/>
          <w:b w:val="false"/>
          <w:bCs w:val="false"/>
          <w:i w:val="false"/>
          <w:iCs w:val="false"/>
          <w:color w:val="333333"/>
          <w:sz w:val="20"/>
          <w:szCs w:val="20"/>
        </w:rPr>
        <w:t>4:278</w:t>
      </w:r>
      <w:r>
        <w:rPr>
          <w:rFonts w:ascii="IRNazanin" w:hAnsi="IRNazanin" w:eastAsia="IRNazanin"/>
          <w:b w:val="false"/>
          <w:b w:val="false"/>
          <w:bCs w:val="false"/>
          <w:i w:val="false"/>
          <w:i w:val="false"/>
          <w:iCs w:val="false"/>
          <w:color w:val="333333"/>
          <w:sz w:val="20"/>
          <w:sz w:val="20"/>
          <w:szCs w:val="20"/>
          <w:rtl w:val="true"/>
        </w:rPr>
        <w:t xml:space="preserve">،و راجع الروضة البهیّة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،و أمّا حاشیة سلطان العلماء علی الفقیه فلا توجد لدینا،نعم نقل المحدّث البحرانی فی الحدائق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العبارة بعینها عن الحاشیة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الصفحة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12:399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الوسائل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الألف دراهم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الألف الدراهم، و 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بعثت إلیه بألف فقلت له هذا حکمی</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الوسائل 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تقبلها</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الکافی و الوسائل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یقبضها</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الکافی و الوسائل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بعثتها</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فی الکافی 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5:209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12:271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شروطه،الحدیث الأوّل</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لمنافاة ظاهرها إلی بالفساد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القیمة العادلة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تعیّن</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الحاکی،و راجع الحدائق </w:t>
      </w:r>
      <w:r>
        <w:rPr>
          <w:rFonts w:eastAsia="IRNazanin" w:cs="IRNazanin"/>
          <w:b w:val="false"/>
          <w:bCs w:val="false"/>
          <w:i w:val="false"/>
          <w:iCs w:val="false"/>
          <w:color w:val="333333"/>
          <w:sz w:val="20"/>
          <w:szCs w:val="20"/>
        </w:rPr>
        <w:t>18:461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المختلف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،کتاب البیوع،المسألة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الوسائل</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12:254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یصلح مجازفة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الفقیه </w:t>
      </w:r>
      <w:r>
        <w:rPr>
          <w:rFonts w:eastAsia="IRNazanin" w:cs="IRNazanin"/>
          <w:b w:val="false"/>
          <w:bCs w:val="false"/>
          <w:i w:val="false"/>
          <w:iCs w:val="false"/>
          <w:color w:val="333333"/>
          <w:sz w:val="20"/>
          <w:szCs w:val="20"/>
        </w:rPr>
        <w:t>3:226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3838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المحقّق الأردبیلی فی مجمع الفائدة </w:t>
      </w:r>
      <w:r>
        <w:rPr>
          <w:rFonts w:eastAsia="IRNazanin" w:cs="IRNazanin"/>
          <w:b w:val="false"/>
          <w:bCs w:val="false"/>
          <w:i w:val="false"/>
          <w:iCs w:val="false"/>
          <w:color w:val="333333"/>
          <w:sz w:val="20"/>
          <w:szCs w:val="20"/>
        </w:rPr>
        <w:t>8:177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یبعد</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یکال أو</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یصلح شراؤه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باقی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12:257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12:256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12:257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رجل من أصحابنا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12:256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12:259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شروطه،الحدیث الأوّل</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،و راجع مفتاح الکرامة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المتساوی</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 أنّه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مساو للآخر فی المقدار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کتب علیها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لدینا،و حکاه عنه السیّد العاملی فی مفتاح الکرامة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یمکن إجراء ذلک وقت البیع فی دخول و عدم اعتبار الوزن فی بیعه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العبارة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بخلاف الدرهم و الدینار الخالصین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وردت الضمائر العائدة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هذه الفقرة فی أکثر النسخ بصیغة المفرد المؤنّث،و لعلّ ذلک نظراً إلی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الَّذِینَ یَکْنِزُونَ الذَّهَبَ وَ الْفِضَّةَ وَ لاٰ یُنْفِقُونَهٰا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بدّلت أغلبها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جمیعها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صیغة التثنیة،و قد أثبتنا ما فی أکثر النسخ لظننا أنّ ذلک جری علی قلم المؤلف قدّس سرّه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استدرکت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أغلبهم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أغلب</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الحجّاج</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المصادر الحدیثیة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التهذیب و الوسائل أیضاً،لکن فی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الوضاحیّة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الطریحی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الوضح من الدرهم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الوضاحیة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مجمع البحرین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7:110</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3830</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12:473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ستأتی فی الصفحة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المتضمّنة لتجویز</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الفائدة </w:t>
      </w:r>
      <w:r>
        <w:rPr>
          <w:rFonts w:eastAsia="IRNazanin" w:cs="IRNazanin"/>
          <w:b w:val="false"/>
          <w:bCs w:val="false"/>
          <w:i w:val="false"/>
          <w:iCs w:val="false"/>
          <w:color w:val="333333"/>
          <w:sz w:val="20"/>
          <w:szCs w:val="20"/>
        </w:rPr>
        <w:t>8:178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ستأتی فی الصفحة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السلم و صحّته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السلم صح</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لا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الکیل</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الحلّی فی السرائر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،و راجع تفصیل ذلک فی مفتاح الکرامة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بالسلف</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السلف،الحدیث الأوّل</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فی باب إسلاف السمن بالزیت،انظر الاستبصار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الکافی،و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فأتزنهما</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5:194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12:255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شروطه،الحدیث الأوّل</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استظهرها مصحّح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سیجیء فی الصفحة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المقدر</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هی الصورة الثانیة،و تقدّمت أُولاها فی الصفحة السابقة</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الکیل</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12:254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منضبط</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بعینه من التعذّر کقصعة حاضرة أو ملی الید قدره تخمیناً،فإنّ</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الوسائل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العبارة فی سائر النسخ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یستطیع یکال بمکیال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اختلافات اخری لم نتعرّض لذکرها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12:259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3:266</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حسناً</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العبارة بعینها،نعم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xml:space="preserve">، و الشرائع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یدلّ علیه،و راجع مفتاح الکرامة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العوضین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المتعاقدین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العوضین ظ</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الشرائع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علیه،نعم حکموا بالجواز مع التعذّر أو التعسّر،راجع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 السرائر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السیّد العاملی فی مفتاح الکرامة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کلام السیّد العاملی قدّس سرّه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8:177</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18:471</w:t>
      </w:r>
      <w:r>
        <w:rPr>
          <w:rFonts w:ascii="IRNazanin" w:hAnsi="IRNazanin" w:eastAsia="IRNazanin"/>
          <w:b w:val="false"/>
          <w:b w:val="false"/>
          <w:bCs w:val="false"/>
          <w:i w:val="false"/>
          <w:i w:val="false"/>
          <w:iCs w:val="false"/>
          <w:color w:val="333333"/>
          <w:sz w:val="20"/>
          <w:sz w:val="20"/>
          <w:szCs w:val="20"/>
          <w:rtl w:val="true"/>
        </w:rPr>
        <w:t xml:space="preserve">،و حکی ذلک عنهما السیّد العاملی فی مفتاح الکرامة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وفاقا لما فی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الحجاز</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وفاقاً لما فی المصدر،و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تعرف 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نعرف عادة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السیّد الطباطبائی فی الریاض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،و یظهر من المحقّق فی الشرائع و الشهید فی الدروس،کما سیأتی عنهما</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وزن أو کیل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المصدر،اقتضاها السیاق</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لدینا حاشیة الشهید علی القواعد،و نقل العبارة عنها السیّد العاملی فی مفتاح الکرامة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هذا،و 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 استدرکت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القطعة من الحدید،و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نحوه</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ادّعاه الفاضل المقداد فی التنقیح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صحیحة الحلبی،المتقدّمة فی الصفحة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یعلم کون ما تعارف،و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فی المتن</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بحکم</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الاستناد</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الکرامة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22:426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للغیر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 فیه شیءٌ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 علیه السلام</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بلفظه،نعم یدلّ علیه ما فی الوسائل </w:t>
      </w:r>
      <w:r>
        <w:rPr>
          <w:rFonts w:eastAsia="IRNazanin" w:cs="IRNazanin"/>
          <w:b w:val="false"/>
          <w:bCs w:val="false"/>
          <w:i w:val="false"/>
          <w:iCs w:val="false"/>
          <w:color w:val="333333"/>
          <w:sz w:val="20"/>
          <w:szCs w:val="20"/>
        </w:rPr>
        <w:t>12:254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بلفظه أیضاً،نعم یدلّ علیه ما فی الوسائل </w:t>
      </w:r>
      <w:r>
        <w:rPr>
          <w:rFonts w:eastAsia="IRNazanin" w:cs="IRNazanin"/>
          <w:b w:val="false"/>
          <w:bCs w:val="false"/>
          <w:i w:val="false"/>
          <w:iCs w:val="false"/>
          <w:color w:val="333333"/>
          <w:sz w:val="20"/>
          <w:szCs w:val="20"/>
        </w:rPr>
        <w:t>12:438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8:177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18:471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لو 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 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علیها 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 فی نسخةٍ کذا</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صحیحة الحلبی المتقدّمة فی الصفحة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الآتیة فی الصفحة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علیهما،و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عبارة جامع المقاصد فی الصفحة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،و 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،و قوّاه فخر المحقّقین فی الإیضاح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مالیة</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المکیل</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فی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خضروات</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حرصاً</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الملاقیح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فی البطون و هی الأجنّة،و المضامین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فی أصلاب الفحول کما ورد فی الخبر،راجع الوسائل </w:t>
      </w:r>
      <w:r>
        <w:rPr>
          <w:rFonts w:eastAsia="IRNazanin" w:cs="IRNazanin"/>
          <w:b w:val="false"/>
          <w:bCs w:val="false"/>
          <w:i w:val="false"/>
          <w:iCs w:val="false"/>
          <w:color w:val="333333"/>
          <w:sz w:val="20"/>
          <w:szCs w:val="20"/>
        </w:rPr>
        <w:t>12:262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معنی هذه الثلاث و حکمها فی الحدیث،راجع الوسائل </w:t>
      </w:r>
      <w:r>
        <w:rPr>
          <w:rFonts w:eastAsia="IRNazanin" w:cs="IRNazanin"/>
          <w:b w:val="false"/>
          <w:bCs w:val="false"/>
          <w:i w:val="false"/>
          <w:iCs w:val="false"/>
          <w:color w:val="333333"/>
          <w:sz w:val="20"/>
          <w:szCs w:val="20"/>
        </w:rPr>
        <w:t>12:266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به جعل المبیع الوارد علیه البیع الشیء المقیّد بتعلّق أحد هذه الأُمور الثلاثة به بعد الإنشاء،بأن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أُلامسه بعد ذلک أو أنبذه أو أطرحه إلیک أو القی الحصاة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المبیع علی هذا مجهول عند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التفسیر الآخر فهو إنشاء البیع بنفس اللمس و النبذ و إلقاء الحصاة کإنشائه بالمعاطاة،و لا جهالة فیه علی هذا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المکاسب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،الباب الأوّل من أبواب بیع الثمار</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المامقانی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هذه العبارة قد وقع فیها التشویش من النسّاخ و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عن علی بن إبراهیم عن أبیه عن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غایة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الخاصّة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الحدیث،و لیس للحدیث تتمّة،انظر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کاشف الغطاء قدّس سرّه</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الاعتبار</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الأقرب</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xml:space="preserve">،و تقدّم فی الصفحة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الاعتبار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أکثر النسخ،و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 فیه بالصحّة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 فیه الصحّة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ما نقله عن جامع المقاصد من الاحتمال و ردّه إنّما هو فی مورد تبیّن الخلاف بالزیادة لا بالنقیصة،فراجع جامع المقاصد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فأُوقع</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الکرباس</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الذرع</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یردد</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الکلمة لا تقرأ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مقدار</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فیردّد</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للفرق</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صاحب الجواهر فی الجواهر </w:t>
      </w:r>
      <w:r>
        <w:rPr>
          <w:rFonts w:eastAsia="IRNazanin" w:cs="IRNazanin"/>
          <w:b w:val="false"/>
          <w:bCs w:val="false"/>
          <w:i w:val="false"/>
          <w:iCs w:val="false"/>
          <w:color w:val="333333"/>
          <w:sz w:val="20"/>
          <w:szCs w:val="20"/>
        </w:rPr>
        <w:t>22:420</w:t>
      </w:r>
      <w:r>
        <w:rPr>
          <w:rFonts w:ascii="IRNazanin" w:hAnsi="IRNazanin" w:eastAsia="IRNazanin"/>
          <w:b w:val="false"/>
          <w:b w:val="false"/>
          <w:bCs w:val="false"/>
          <w:i w:val="false"/>
          <w:i w:val="false"/>
          <w:iCs w:val="false"/>
          <w:color w:val="333333"/>
          <w:sz w:val="20"/>
          <w:sz w:val="20"/>
          <w:szCs w:val="20"/>
          <w:rtl w:val="true"/>
        </w:rPr>
        <w:t xml:space="preserve">،و راجع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 المتن أکثر عباراتهم</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4:150</w:t>
      </w:r>
      <w:r>
        <w:rPr>
          <w:rFonts w:ascii="IRNazanin" w:hAnsi="IRNazanin" w:eastAsia="IRNazanin"/>
          <w:b w:val="false"/>
          <w:b w:val="false"/>
          <w:bCs w:val="false"/>
          <w:i w:val="false"/>
          <w:i w:val="false"/>
          <w:iCs w:val="false"/>
          <w:color w:val="333333"/>
          <w:sz w:val="20"/>
          <w:sz w:val="20"/>
          <w:szCs w:val="20"/>
          <w:rtl w:val="true"/>
        </w:rPr>
        <w:t>،و سیجیء فی کلام الحلّی و الشیخ</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التذکرة</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کلام الشیخ الآتی فی الصفحة التالیة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استدلّ به المحقّق النراقی فی المستند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xml:space="preserve">،و راجع الروایة فی الوسائل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خیار الحیوان</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نقس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،بصیغة المتکلّم کما فی المصدر</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غیرهما علیهما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3:217</w:t>
      </w:r>
      <w:r>
        <w:rPr>
          <w:rFonts w:ascii="IRNazanin" w:hAnsi="IRNazanin" w:eastAsia="IRNazanin"/>
          <w:b w:val="false"/>
          <w:b w:val="false"/>
          <w:bCs w:val="false"/>
          <w:i w:val="false"/>
          <w:i w:val="false"/>
          <w:iCs w:val="false"/>
          <w:color w:val="333333"/>
          <w:sz w:val="20"/>
          <w:sz w:val="20"/>
          <w:szCs w:val="20"/>
          <w:rtl w:val="true"/>
        </w:rPr>
        <w:t xml:space="preserve">،کتاب السلم، المسألة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البیوع</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 فی الصفحة التالیة</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صرّح بذلک العلّامة فی القواعد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2:480</w:t>
      </w:r>
      <w:r>
        <w:rPr>
          <w:rFonts w:ascii="IRNazanin" w:hAnsi="IRNazanin" w:eastAsia="IRNazanin"/>
          <w:b w:val="false"/>
          <w:b w:val="false"/>
          <w:bCs w:val="false"/>
          <w:i w:val="false"/>
          <w:i w:val="false"/>
          <w:iCs w:val="false"/>
          <w:color w:val="333333"/>
          <w:sz w:val="20"/>
          <w:sz w:val="20"/>
          <w:szCs w:val="20"/>
          <w:rtl w:val="true"/>
        </w:rPr>
        <w:t xml:space="preserve">،و الشهید فی الدروس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المحدّث البحرانی فی الحدائق </w:t>
      </w:r>
      <w:r>
        <w:rPr>
          <w:rFonts w:eastAsia="IRNazanin" w:cs="IRNazanin"/>
          <w:b w:val="false"/>
          <w:bCs w:val="false"/>
          <w:i w:val="false"/>
          <w:iCs w:val="false"/>
          <w:color w:val="333333"/>
          <w:sz w:val="20"/>
          <w:szCs w:val="20"/>
        </w:rPr>
        <w:t>18:480</w:t>
      </w:r>
      <w:r>
        <w:rPr>
          <w:rFonts w:ascii="IRNazanin" w:hAnsi="IRNazanin" w:eastAsia="IRNazanin"/>
          <w:b w:val="false"/>
          <w:b w:val="false"/>
          <w:bCs w:val="false"/>
          <w:i w:val="false"/>
          <w:i w:val="false"/>
          <w:iCs w:val="false"/>
          <w:color w:val="333333"/>
          <w:sz w:val="20"/>
          <w:sz w:val="20"/>
          <w:szCs w:val="20"/>
          <w:rtl w:val="true"/>
        </w:rPr>
        <w:t>،و لم نعثر علی غیره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تصحیف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غیر تعیین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المصدر</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التثنیة بطریق التوزیع،یعنی عموم من وجه و خصوص من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،ذیل قول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قصدا معیّناً</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أثبته المامقانی قدّس سرّه فی غایة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تضرّ بالظواهر</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متعیّن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غیر تعیین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غیر متعیّن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الظاهر سقوط کلمةٍ هنا،مثل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أشار إلیه مصحّح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،کتاب البیوع،المسألة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و شرحها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کالسیّد الطباطبائی فی الریاض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،و المحقّق النراقی فی المستند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،و راجع مفتاح الکرامة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ترجیح</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الجواهر فی الجواهر </w:t>
      </w:r>
      <w:r>
        <w:rPr>
          <w:rFonts w:eastAsia="IRNazanin" w:cs="IRNazanin"/>
          <w:b w:val="false"/>
          <w:bCs w:val="false"/>
          <w:i w:val="false"/>
          <w:iCs w:val="false"/>
          <w:color w:val="333333"/>
          <w:sz w:val="20"/>
          <w:szCs w:val="20"/>
        </w:rPr>
        <w:t>23:222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متیقّن</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فیکفی فیه حینئذٍ</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ستأتی فی الصفحة الآتیة</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فخر المحقّقین فی الإیضاح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،و راجع المبسوط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،فصل فی بیع الصبرة و أحکامها</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xml:space="preserve">،و الروضة البهیّة </w:t>
      </w:r>
      <w:r>
        <w:rPr>
          <w:rFonts w:eastAsia="IRNazanin" w:cs="IRNazanin"/>
          <w:b w:val="false"/>
          <w:bCs w:val="false"/>
          <w:i w:val="false"/>
          <w:iCs w:val="false"/>
          <w:color w:val="333333"/>
          <w:sz w:val="20"/>
          <w:szCs w:val="20"/>
        </w:rPr>
        <w:t>3:268</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 xml:space="preserve">،و حکاه عنهما و عمّن بعدهما السیّد العاملی فی مفتاح الکرامة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السبزواری فی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،و الشیخ الکبیر کاشف الغطاء فی شرحه علی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،و السیّد العاملی فی مفتاح الکرامة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متن الحدیث طبقاً لما ورد فی أکثر النسخ،و لم نتعرّض لبعض الاختلافات الموجودة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 بأنّها تصحیحات أُجریت علی أساس التطبیق مع المصدر</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12:272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قاله فی جامع الشتات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 المشتری</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 أو بعضاً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ضرّه</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للجزء حینئذٍ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للجزء</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الشرائع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3:239</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4:168</w:t>
      </w:r>
      <w:r>
        <w:rPr>
          <w:rFonts w:ascii="IRNazanin" w:hAnsi="IRNazanin" w:eastAsia="IRNazanin"/>
          <w:b w:val="false"/>
          <w:b w:val="false"/>
          <w:bCs w:val="false"/>
          <w:i w:val="false"/>
          <w:i w:val="false"/>
          <w:iCs w:val="false"/>
          <w:color w:val="333333"/>
          <w:sz w:val="20"/>
          <w:sz w:val="20"/>
          <w:szCs w:val="20"/>
          <w:rtl w:val="true"/>
        </w:rPr>
        <w:t xml:space="preserve">،و راجع مفتاح الکرامة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بینهما صاحب الجواهر فی الجواهر </w:t>
      </w:r>
      <w:r>
        <w:rPr>
          <w:rFonts w:eastAsia="IRNazanin" w:cs="IRNazanin"/>
          <w:b w:val="false"/>
          <w:bCs w:val="false"/>
          <w:i w:val="false"/>
          <w:iCs w:val="false"/>
          <w:color w:val="333333"/>
          <w:sz w:val="20"/>
          <w:szCs w:val="20"/>
        </w:rPr>
        <w:t>23:223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 متعلّق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قاله الشهیدی فی 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المبیع،کما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استدرکت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التلف</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قبض حقّهما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قبضه</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تعیین</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لمالک</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الدروس </w:t>
      </w:r>
      <w:r>
        <w:rPr>
          <w:rFonts w:eastAsia="IRNazanin" w:cs="IRNazanin"/>
          <w:b w:val="false"/>
          <w:bCs w:val="false"/>
          <w:i w:val="false"/>
          <w:iCs w:val="false"/>
          <w:color w:val="333333"/>
          <w:sz w:val="20"/>
          <w:szCs w:val="20"/>
        </w:rPr>
        <w:t>3:239</w:t>
      </w:r>
      <w:r>
        <w:rPr>
          <w:rFonts w:ascii="IRNazanin" w:hAnsi="IRNazanin" w:eastAsia="IRNazanin"/>
          <w:b w:val="false"/>
          <w:b w:val="false"/>
          <w:bCs w:val="false"/>
          <w:i w:val="false"/>
          <w:i w:val="false"/>
          <w:iCs w:val="false"/>
          <w:color w:val="333333"/>
          <w:sz w:val="20"/>
          <w:sz w:val="20"/>
          <w:szCs w:val="20"/>
          <w:rtl w:val="true"/>
        </w:rPr>
        <w:t xml:space="preserve">،و الروضة البهیّة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هذا،و یمکن</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موضوعاً لحکم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مصداقاً لهذا العنوان و عنوان الصاع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أنّه سهو من قلمه الشریف، و حقّ العبارة أن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مصداقاً لهذا العنوان و لعنوان الصاع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لا یخفی</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کلام الشهید الثانی قدّس سرّه،راجع الروضة البهیّة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tl w:val="true"/>
        </w:rPr>
        <w:t>،و لا توجد عندنا حواشی الشهید</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العلّامة فی التذکرة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،و حکاه عنه السیّد العاملی فی مفتاح الکرامة </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علما اشتمالها علی ذلک</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tl w:val="true"/>
        </w:rPr>
        <w:t xml:space="preserve">،و راجع الدروس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،و 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 العبارة منقولة من اللمعة و شرحها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بحصّة</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کلام الشهید،و التعلیل من المؤلف قدّس سرّه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المبسوط و الخلاف</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خلافه السیّد العاملی فی مفتاح الکرامة </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tl w:val="true"/>
        </w:rPr>
        <w:t xml:space="preserve">،کما حکی الصحّة عن ظاهر الدروس و اللمعة فی نفس ذلک الموضع،فراجع،و انظر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،و إیضاح الفوائد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الضرر</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القائل صاحب الجواهر فی الجواهر </w:t>
      </w:r>
      <w:r>
        <w:rPr>
          <w:rFonts w:eastAsia="IRNazanin" w:cs="IRNazanin"/>
          <w:b w:val="false"/>
          <w:bCs w:val="false"/>
          <w:i w:val="false"/>
          <w:iCs w:val="false"/>
          <w:color w:val="333333"/>
          <w:sz w:val="20"/>
          <w:szCs w:val="20"/>
        </w:rPr>
        <w:t>22:423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الموجود</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الشرائع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،و العلّامة فی التذکرة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،و الشهید فی الدروس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،و نسبه المحقّق السبزواری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المشهور</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،کتاب البیع،المسألة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،و حکاه عنهما السیّد العاملی فی مفتاح الکرامة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السیاق رجوع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صاحب الکفایة،و لیس الأمر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العبارات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الرابع إلی و فیه 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مفتاح الکرامة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مفتاح الکرامة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الضمائر الراجعة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مذکّرة،و صحّحت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4:280</w:t>
      </w:r>
      <w:r>
        <w:rPr>
          <w:rFonts w:ascii="IRNazanin" w:hAnsi="IRNazanin" w:eastAsia="IRNazanin"/>
          <w:b w:val="false"/>
          <w:b w:val="false"/>
          <w:bCs w:val="false"/>
          <w:i w:val="false"/>
          <w:i w:val="false"/>
          <w:iCs w:val="false"/>
          <w:color w:val="333333"/>
          <w:sz w:val="20"/>
          <w:sz w:val="20"/>
          <w:szCs w:val="20"/>
          <w:rtl w:val="true"/>
        </w:rPr>
        <w:t>،عن الأنماطی من الشافعیّة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التغییر،و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فی المتن</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تغیّرت</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ببیّنة</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برؤیة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یضعّف الأوّل</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قوّاه صاحب الجواهر فی الجواهر </w:t>
      </w:r>
      <w:r>
        <w:rPr>
          <w:rFonts w:eastAsia="IRNazanin" w:cs="IRNazanin"/>
          <w:b w:val="false"/>
          <w:bCs w:val="false"/>
          <w:i w:val="false"/>
          <w:iCs w:val="false"/>
          <w:color w:val="333333"/>
          <w:sz w:val="20"/>
          <w:szCs w:val="20"/>
        </w:rPr>
        <w:t>22:431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عدمه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کونها متّصفة</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بکونها متّصفة</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ملتزم</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حقّق ذلک فی مبحث الأصل المثبت،فی التنبیه السادس من تنبیهات الاستصحاب</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تکون الأوصاف الملحوظة حین المشاهدة مأخوذة فی نفس المعقود علیه</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المامقانی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ینطبق علی الشیء الموجود 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وقوع العقد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مضروب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مشطوب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المصنّف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هذه الفقرة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تقرّر ذلک فی مبحث الأصل المثبت</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وارد علی أصالة اللزوم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الشکّ فی تقیید</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الخاصّ</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الخارجة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یطابق،و زیدت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أکثر النسخ تصحیحاً،قال المامقانی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سقطت من قلم الناسخین،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بما التزم،هذا و لم نعثر علیه فی التذکرة،و لعلّه ینظر إلی ما تقدّم عن التذکرة فی الصفحة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6:255</w:t>
      </w:r>
      <w:r>
        <w:rPr>
          <w:rFonts w:ascii="IRNazanin" w:hAnsi="IRNazanin" w:eastAsia="IRNazanin"/>
          <w:b w:val="false"/>
          <w:b w:val="false"/>
          <w:bCs w:val="false"/>
          <w:i w:val="false"/>
          <w:i w:val="false"/>
          <w:iCs w:val="false"/>
          <w:color w:val="333333"/>
          <w:sz w:val="20"/>
          <w:sz w:val="20"/>
          <w:szCs w:val="20"/>
          <w:rtl w:val="true"/>
        </w:rPr>
        <w:t>،و فیه بعد نقل القولین من الجواز و اللزوم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الوجه،الأوّل،لنا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عدم اللزوم</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اختلفا فی التغیّر قدّم قول المشتری مع یمینه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نسبه فی 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إطلاق العبارة</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الأوّل فی الصفحة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حقّه</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قیمة</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عمّن علم</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ینزّه</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25:267</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تقدیم</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تأخیره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تحقق</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الشرائع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،و العلّامة فی القواعد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،و الشهید فی الدروس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xml:space="preserve">،و انظر مفتاح الکرامة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مراتب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بینهما و صحّحت العبارة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یختلف بها قیمة مراتب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مراتب الصحیح</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المحقّقین فی إیضاح الفوائد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،و الشهیدان فی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غیرهم،راجع مفتاح الکرامة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12:279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شروطه،الحدیث الأوّل</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بغیر اختبارٍ</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کلام المفید قدّس سرّه،راجع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،و لم نعثر علی ما بعده فیها، نعم نقله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الشیخان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السیّد العاملی فی مفتاح الکرامة بعد نقل ما فی 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عبارة النهایة حرفاً بحرف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المتبایعان فیه بالخیار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تراضیا بذلک لم یکن به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مفتاح الکرامة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5:260</w:t>
      </w:r>
      <w:r>
        <w:rPr>
          <w:rFonts w:ascii="IRNazanin" w:hAnsi="IRNazanin" w:eastAsia="IRNazanin"/>
          <w:b w:val="false"/>
          <w:b w:val="false"/>
          <w:bCs w:val="false"/>
          <w:i w:val="false"/>
          <w:i w:val="false"/>
          <w:iCs w:val="false"/>
          <w:color w:val="333333"/>
          <w:sz w:val="20"/>
          <w:sz w:val="20"/>
          <w:szCs w:val="20"/>
          <w:rtl w:val="true"/>
        </w:rPr>
        <w:t>،و لم نعثر علیه فیما بأیدینا من کتب القاضی</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المختلف </w:t>
      </w:r>
      <w:r>
        <w:rPr>
          <w:rFonts w:eastAsia="IRNazanin" w:cs="IRNazanin"/>
          <w:b w:val="false"/>
          <w:bCs w:val="false"/>
          <w:i w:val="false"/>
          <w:iCs w:val="false"/>
          <w:color w:val="333333"/>
          <w:sz w:val="20"/>
          <w:szCs w:val="20"/>
        </w:rPr>
        <w:t>5:260</w:t>
      </w:r>
      <w:r>
        <w:rPr>
          <w:rFonts w:ascii="IRNazanin" w:hAnsi="IRNazanin" w:eastAsia="IRNazanin"/>
          <w:b w:val="false"/>
          <w:b w:val="false"/>
          <w:bCs w:val="false"/>
          <w:i w:val="false"/>
          <w:i w:val="false"/>
          <w:iCs w:val="false"/>
          <w:color w:val="333333"/>
          <w:sz w:val="20"/>
          <w:sz w:val="20"/>
          <w:szCs w:val="20"/>
          <w:rtl w:val="true"/>
        </w:rPr>
        <w:t>،و انظر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،و 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،و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لخیار المتبایعین</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المختلف </w:t>
      </w:r>
      <w:r>
        <w:rPr>
          <w:rFonts w:eastAsia="IRNazanin" w:cs="IRNazanin"/>
          <w:b w:val="false"/>
          <w:bCs w:val="false"/>
          <w:i w:val="false"/>
          <w:iCs w:val="false"/>
          <w:color w:val="333333"/>
          <w:sz w:val="20"/>
          <w:szCs w:val="20"/>
        </w:rPr>
        <w:t>5:262</w:t>
      </w:r>
      <w:r>
        <w:rPr>
          <w:rFonts w:ascii="IRNazanin" w:hAnsi="IRNazanin" w:eastAsia="IRNazanin"/>
          <w:b w:val="false"/>
          <w:b w:val="false"/>
          <w:bCs w:val="false"/>
          <w:i w:val="false"/>
          <w:i w:val="false"/>
          <w:iCs w:val="false"/>
          <w:color w:val="333333"/>
          <w:sz w:val="20"/>
          <w:sz w:val="20"/>
          <w:szCs w:val="20"/>
          <w:rtl w:val="true"/>
        </w:rPr>
        <w:t>،و انظر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،و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أیضاً فی المختلف </w:t>
      </w:r>
      <w:r>
        <w:rPr>
          <w:rFonts w:eastAsia="IRNazanin" w:cs="IRNazanin"/>
          <w:b w:val="false"/>
          <w:bCs w:val="false"/>
          <w:i w:val="false"/>
          <w:iCs w:val="false"/>
          <w:color w:val="333333"/>
          <w:sz w:val="20"/>
          <w:szCs w:val="20"/>
        </w:rPr>
        <w:t>5:263</w:t>
      </w:r>
      <w:r>
        <w:rPr>
          <w:rFonts w:ascii="IRNazanin" w:hAnsi="IRNazanin" w:eastAsia="IRNazanin"/>
          <w:b w:val="false"/>
          <w:b w:val="false"/>
          <w:bCs w:val="false"/>
          <w:i w:val="false"/>
          <w:i w:val="false"/>
          <w:iCs w:val="false"/>
          <w:color w:val="333333"/>
          <w:sz w:val="20"/>
          <w:sz w:val="20"/>
          <w:szCs w:val="20"/>
          <w:rtl w:val="true"/>
        </w:rPr>
        <w:t>،و انظر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،و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فیما بأیدینا من کتب القاضی و حکاه العلّامة أیضاً فی المختلف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أخلاه</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المصدر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صار إلی هذا الإبهام عبارة الشیخین</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محیت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بیعه</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یخصّص</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کالمشاهد</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أکثر النسخ،و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للمحکی</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الکلام خ</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الاعتماد</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وفاقاً لکلّ من قال بعدم اعتبار الاختبار أو الوصف فی ما لا یفسده الاختبار</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ذکرهم فی الصفحات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تعیّن</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،تصحیحاً</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التذکرة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،استدراکاً</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عنهم،و سیأتی نسبة المؤلف قدّس سرّه ذلک إلی من صرّح برجوع المشتری بتمام الثمن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الثانی فی الروضة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 xml:space="preserve">،و السیّد الطباطبائی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،و السیّد المجاهد فی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،و کاشف الغطاء فی شرحه علی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 خ</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فیفسخ</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 الأرش هنا تمام الثمن</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ملکیّة</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للثمن</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،و 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ما أثبتناه من المصدر</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اعترض علیه السیّد العاملی فی مفتاح الکرامة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کاشف الغطاء فی شرحه علی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،و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مصحّحتی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فیسقط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لیسقط</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یتحقّق</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ملخّصه</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أکثر النسخ،و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مواقع للنظر</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الشرائع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،و العلّامة فی القواعد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،و انظر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اختاره</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بذلک الشیخان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 راجع للتفصیل مفتاح الکرامة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السیّد العاملی فی مفتاح الکرامة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الأتباع</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اشتراط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الشهیدی قدّس سرّه فی 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عنهم فی الصفحة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اشتراط</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2:510</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،و الشهید فی الدروس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و الصیمری فی غایة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w:t>
      </w:r>
      <w:r>
        <w:rPr>
          <w:rFonts w:eastAsia="IRNazanin" w:cs="IRNazanin"/>
          <w:b w:val="false"/>
          <w:bCs w:val="false"/>
          <w:i w:val="false"/>
          <w:iCs w:val="false"/>
          <w:color w:val="333333"/>
          <w:sz w:val="20"/>
          <w:szCs w:val="20"/>
        </w:rPr>
        <w:t>4:303</w:t>
      </w:r>
      <w:r>
        <w:rPr>
          <w:rFonts w:ascii="IRNazanin" w:hAnsi="IRNazanin" w:eastAsia="IRNazanin"/>
          <w:b w:val="false"/>
          <w:b w:val="false"/>
          <w:bCs w:val="false"/>
          <w:i w:val="false"/>
          <w:i w:val="false"/>
          <w:iCs w:val="false"/>
          <w:color w:val="333333"/>
          <w:sz w:val="20"/>
          <w:sz w:val="20"/>
          <w:szCs w:val="20"/>
          <w:rtl w:val="true"/>
        </w:rPr>
        <w:t xml:space="preserve">،و انظر مفتاح الکرامة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الطریحی فی مجمع البحرین </w:t>
      </w:r>
      <w:r>
        <w:rPr>
          <w:rFonts w:eastAsia="IRNazanin" w:cs="IRNazanin"/>
          <w:b w:val="false"/>
          <w:bCs w:val="false"/>
          <w:i w:val="false"/>
          <w:iCs w:val="false"/>
          <w:color w:val="333333"/>
          <w:sz w:val="20"/>
          <w:szCs w:val="20"/>
        </w:rPr>
        <w:t>4:433</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النهایة؛لابن الأثیر </w:t>
      </w:r>
      <w:r>
        <w:rPr>
          <w:rFonts w:eastAsia="IRNazanin" w:cs="IRNazanin"/>
          <w:b w:val="false"/>
          <w:bCs w:val="false"/>
          <w:i w:val="false"/>
          <w:iCs w:val="false"/>
          <w:color w:val="333333"/>
          <w:sz w:val="20"/>
          <w:szCs w:val="20"/>
        </w:rPr>
        <w:t>3:405</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3:314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ادّعاه العلّامة فی التذکرة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،و الشهید فی 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السیّد العاملی فی المدارک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،و انظر الجواهر </w:t>
      </w:r>
      <w:r>
        <w:rPr>
          <w:rFonts w:eastAsia="IRNazanin" w:cs="IRNazanin"/>
          <w:b w:val="false"/>
          <w:bCs w:val="false"/>
          <w:i w:val="false"/>
          <w:iCs w:val="false"/>
          <w:color w:val="333333"/>
          <w:sz w:val="20"/>
          <w:szCs w:val="20"/>
        </w:rPr>
        <w:t>22:447</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الصفحة السابقة</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یعلم</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ذکره الشهید الثانی فی المسالک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،و نسبه إلی جماعة</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بسبب</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نعنی</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18:487</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مخطوط،و لا یوجد لدینا</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4:110</w:t>
      </w:r>
      <w:r>
        <w:rPr>
          <w:rFonts w:ascii="IRNazanin" w:hAnsi="IRNazanin" w:eastAsia="IRNazanin"/>
          <w:b w:val="false"/>
          <w:b w:val="false"/>
          <w:bCs w:val="false"/>
          <w:i w:val="false"/>
          <w:i w:val="false"/>
          <w:iCs w:val="false"/>
          <w:color w:val="333333"/>
          <w:sz w:val="20"/>
          <w:sz w:val="20"/>
          <w:szCs w:val="20"/>
          <w:rtl w:val="true"/>
        </w:rPr>
        <w:t xml:space="preserve">،و الروضة البهیّة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المختلف </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المختلف </w:t>
      </w:r>
      <w:r>
        <w:rPr>
          <w:rFonts w:eastAsia="IRNazanin" w:cs="IRNazanin"/>
          <w:b w:val="false"/>
          <w:bCs w:val="false"/>
          <w:i w:val="false"/>
          <w:iCs w:val="false"/>
          <w:color w:val="333333"/>
          <w:sz w:val="20"/>
          <w:szCs w:val="20"/>
        </w:rPr>
        <w:t>5:247</w:t>
      </w:r>
      <w:r>
        <w:rPr>
          <w:rFonts w:ascii="IRNazanin" w:hAnsi="IRNazanin" w:eastAsia="IRNazanin"/>
          <w:b w:val="false"/>
          <w:b w:val="false"/>
          <w:bCs w:val="false"/>
          <w:i w:val="false"/>
          <w:i w:val="false"/>
          <w:iCs w:val="false"/>
          <w:color w:val="333333"/>
          <w:sz w:val="20"/>
          <w:sz w:val="20"/>
          <w:szCs w:val="20"/>
          <w:rtl w:val="true"/>
        </w:rPr>
        <w:t>،و لم نعثر علیه فیما بأیدینا من کتبه</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xml:space="preserve">،کتاب البیوع،المسألة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الهدایة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،و أُنظر غایة المراد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لدینا،نعم حکاه عنه السیّد العاملی فی مفتاح الکرامة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فی التهذیب 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شیء من السمک فیباع</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12:263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12:264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تصید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یصید</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12:264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الفقیه 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 منه</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السکُرُّجة بضمّ السین و الکاف و تشدید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إناء صغیر یؤکل فیه الشیء القلیل من الأدم،و هی فارسیة،راجع النهایة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 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اشتری</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الاسکرجة</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الاسکرجة</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12:259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3:224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ینقطع</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12:259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شروطه،الحدیث الأوّل</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12:261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شروطه،الحدیث الأوّل</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نشتریه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نشتریه و نتقبّل</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و الوسائل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12:264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الاُسکرجة</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18:490</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 xml:space="preserve">،کتاب البیوع،المسألة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بالجواز</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الثانی فی جامع المقاصد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،و المحقّق الأردبیلی فی مجمع الفائدة </w:t>
      </w:r>
      <w:r>
        <w:rPr>
          <w:rFonts w:eastAsia="IRNazanin" w:cs="IRNazanin"/>
          <w:b w:val="false"/>
          <w:bCs w:val="false"/>
          <w:i w:val="false"/>
          <w:iCs w:val="false"/>
          <w:color w:val="333333"/>
          <w:sz w:val="20"/>
          <w:szCs w:val="20"/>
        </w:rPr>
        <w:t>8:188</w:t>
      </w:r>
      <w:r>
        <w:rPr>
          <w:rFonts w:ascii="IRNazanin" w:hAnsi="IRNazanin" w:eastAsia="IRNazanin"/>
          <w:b w:val="false"/>
          <w:b w:val="false"/>
          <w:bCs w:val="false"/>
          <w:i w:val="false"/>
          <w:i w:val="false"/>
          <w:iCs w:val="false"/>
          <w:color w:val="333333"/>
          <w:sz w:val="20"/>
          <w:sz w:val="20"/>
          <w:szCs w:val="20"/>
          <w:rtl w:val="true"/>
        </w:rPr>
        <w:t xml:space="preserve">،و السیّد العاملی فی مفتاح الکرامة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الصفحة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المبسوط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،و المهذّب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و الدروس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عنهم فی الصفحة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کما لا یصحّ</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ماله الذی ملّکه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ملّکه</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إبقاء ملکه</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یشترط</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المشتری</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قاله فی الموضع الذی عنون الفرع السابق،تحت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استدرکت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و شرحها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فی المبسوط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بالمهملة،و أثبتها المامقانی أیضاً کذلک،ثمّ قال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أراد بالباع ساحة الدار،و إن لم أجده مصرّحاً به فی ما حضرنی من کتب اللغة،و الذی وجدته فی شرح القاموس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الباع قدر مدّ الیدین، و الباعة بالتاء ساحة الدار،فلعلّه رحمه اللّٰه اطّلع علی ما لم أطّلع علیه،أو أنّه وقع التحریف من قلم الناسخ،و 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بالغین المعجمة و هو أنسب بالغرض المسوق له الکلام،قال فی 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الکرم،لفظة أعجمیة استعملها الناس بالألف و اللام،انتهی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 السابقة</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5:218</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المال تابع</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قصبة</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الجواهر</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22:445</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تؤمی</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الجهالة</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یستلزم</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الإیضاح،نعم حکاه عنه السیّد العاملی فی مفتاح الکرامة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نهایة الإحکام </w:t>
      </w:r>
      <w:r>
        <w:rPr>
          <w:rFonts w:eastAsia="IRNazanin" w:cs="IRNazanin"/>
          <w:b w:val="false"/>
          <w:bCs w:val="false"/>
          <w:i w:val="false"/>
          <w:iCs w:val="false"/>
          <w:color w:val="333333"/>
          <w:sz w:val="20"/>
          <w:szCs w:val="20"/>
        </w:rPr>
        <w:t>3:536</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،و راجع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اللمعة و شرحها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زیادته</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،و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 نسبه فی مجمع الفائدة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ظاهر الشرائع</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ذلک من صاحب الجواهر،راجع الجواهر </w:t>
      </w:r>
      <w:r>
        <w:rPr>
          <w:rFonts w:eastAsia="IRNazanin" w:cs="IRNazanin"/>
          <w:b w:val="false"/>
          <w:bCs w:val="false"/>
          <w:i w:val="false"/>
          <w:iCs w:val="false"/>
          <w:color w:val="333333"/>
          <w:sz w:val="20"/>
          <w:szCs w:val="20"/>
        </w:rPr>
        <w:t>22:449</w:t>
      </w:r>
      <w:r>
        <w:rPr>
          <w:rFonts w:ascii="IRNazanin" w:hAnsi="IRNazanin" w:eastAsia="IRNazanin"/>
          <w:b w:val="false"/>
          <w:b w:val="false"/>
          <w:bCs w:val="false"/>
          <w:i w:val="false"/>
          <w:i w:val="false"/>
          <w:iCs w:val="false"/>
          <w:color w:val="333333"/>
          <w:sz w:val="20"/>
          <w:sz w:val="20"/>
          <w:szCs w:val="20"/>
          <w:rtl w:val="true"/>
        </w:rPr>
        <w:t>،و سیأتی نقله فی الصفحة الآتیة عن کاشف الغطاء قدّس سرّه</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کاشف الغطاء فی شرحه علی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صاحب الجواهر حیث جعل المناط الغرر،انظر 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الاستثناء</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یتقدّم ذلک من المحقّق،بل من العلّامة وحده فی الصفحة السابقة،و لعلّه یستفاد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فی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الشرائع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4:115</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رطلاً</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فالظاهر</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w:t>
      </w:r>
      <w:r>
        <w:rPr>
          <w:rFonts w:eastAsia="IRNazanin" w:cs="IRNazanin"/>
          <w:b w:val="false"/>
          <w:bCs w:val="false"/>
          <w:i w:val="false"/>
          <w:iCs w:val="false"/>
          <w:color w:val="333333"/>
          <w:sz w:val="20"/>
          <w:szCs w:val="20"/>
        </w:rPr>
        <w:t>18:493</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متساهل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المصدر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یدفع،و هو المناسب للسیاق</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18:494</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12:273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الجواهر فی الجواهر </w:t>
      </w:r>
      <w:r>
        <w:rPr>
          <w:rFonts w:eastAsia="IRNazanin" w:cs="IRNazanin"/>
          <w:b w:val="false"/>
          <w:bCs w:val="false"/>
          <w:i w:val="false"/>
          <w:iCs w:val="false"/>
          <w:color w:val="333333"/>
          <w:sz w:val="20"/>
          <w:szCs w:val="20"/>
        </w:rPr>
        <w:t>22:448</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المنهیّ</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فقط،و الظاهر أنّ الصواب فی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إلّا عن</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12:272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شروطه،الحدیث الأوّل</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12:273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النقیصة</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12:403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بها موثّقة حنان المتقدّمة فی الصفحة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علیکم</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بمنزلة قولک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أن تزیدنی علی کلّ عشرة رطلاً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أثبتناه،قال المامقانی قدّس سرّه بعد إثبات ما أثبتناه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صحّح المصنّف رحمه اللّٰه هذه العبارة بخطّه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علمنا</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ظ</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معهما،و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إلیهما،و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المحقق الثانی رحمهم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،و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،و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،و اللمعة و شرحها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3:284</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المصنوعة</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المظروف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الظروف</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للمحافظة</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البیع</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الانضمام</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وزنها</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المبیع</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12:254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شروطه،و غیره من الأبواب</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المجهول</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یبیعه و ما فی ظرفه</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السیّد العاملی فی مفتاح الکرامة </w:t>
      </w:r>
      <w:r>
        <w:rPr>
          <w:rFonts w:eastAsia="IRNazanin" w:cs="IRNazanin"/>
          <w:b w:val="false"/>
          <w:bCs w:val="false"/>
          <w:i w:val="false"/>
          <w:iCs w:val="false"/>
          <w:color w:val="333333"/>
          <w:sz w:val="20"/>
          <w:szCs w:val="20"/>
        </w:rPr>
        <w:t>4:754</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23:234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الرطل المظروف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الظرف و المظروف</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 إیضاح النافع،نعم حکاه عنه السیّد العاملی فی مفتاح الکرامة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نفقةٍ،و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نسخة من المصدر</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12:283</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آداب التجارة،الحدیث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12:283</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آداب التجارة،الحدیث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الإنصاف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یتعارض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یبتنی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یبتنی به</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،باب سؤال العالم،الحدیث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شعور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أنّها صحّحت فی بعض النسخ بما فی المتن</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12:282</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آداب التجارة،الحدیث الأوّل، و الصفحة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إرادة التصرّف فی مالٍ کان سابقاً للغیر</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12:282</w:t>
      </w:r>
      <w:r>
        <w:rPr>
          <w:rFonts w:ascii="IRNazanin" w:hAnsi="IRNazanin" w:eastAsia="IRNazanin"/>
          <w:b w:val="false"/>
          <w:b w:val="false"/>
          <w:bCs w:val="false"/>
          <w:i w:val="false"/>
          <w:i w:val="false"/>
          <w:iCs w:val="false"/>
          <w:color w:val="333333"/>
          <w:sz w:val="20"/>
          <w:sz w:val="20"/>
          <w:szCs w:val="20"/>
          <w:rtl w:val="true"/>
        </w:rPr>
        <w:t>،الباب الأوّل من أبواب آداب التجارة،الحدیث الأوّل</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حکایة هذا التوجیه بعینه فی کلام الفقهاء،نعم یظهر ممّا قاله المحقّق الأردبیلی فی مجمع الفائدة </w:t>
      </w:r>
      <w:r>
        <w:rPr>
          <w:rFonts w:eastAsia="IRNazanin" w:cs="IRNazanin"/>
          <w:b w:val="false"/>
          <w:bCs w:val="false"/>
          <w:i w:val="false"/>
          <w:iCs w:val="false"/>
          <w:color w:val="333333"/>
          <w:sz w:val="20"/>
          <w:szCs w:val="20"/>
        </w:rPr>
        <w:t>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22:451</w:t>
      </w:r>
      <w:r>
        <w:rPr>
          <w:rFonts w:ascii="IRNazanin" w:hAnsi="IRNazanin" w:eastAsia="IRNazanin"/>
          <w:b w:val="false"/>
          <w:b w:val="false"/>
          <w:bCs w:val="false"/>
          <w:i w:val="false"/>
          <w:i w:val="false"/>
          <w:iCs w:val="false"/>
          <w:color w:val="333333"/>
          <w:sz w:val="20"/>
          <w:sz w:val="20"/>
          <w:szCs w:val="20"/>
          <w:rtl w:val="true"/>
        </w:rPr>
        <w:t xml:space="preserve">، و راجع مفتاح الکرامة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قد یجب کما فی إیضاح النافع</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صاحب الحدائق فی الحدائق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3568</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التجارة،الحدیث الأوّل</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المستقلّ بتحصیله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المستقل تحصیله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فیتوکّل علیها،و الصواب ما أثبتناه من المصدر</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الحدائق و منیة المرید و الکافی،و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ارتفاع مکانی</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 بعض النسخ،و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فلا یستحی</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،و راجع الکافی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الحدائق و الکافی بعد القسم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یؤثر عبد هواه علی هوای إلّا شتّتّ علیه أمره،و لبّست علیه دنیاه و شغلت قلبه بها،و لم اوته منها إلّا ما قدّرت له، و عزّتی و جلالی و عظمتی و نوری و علوّی و ارتفاع مکانی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المصدر،و لکن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المامقانی بعد أن أثبتها بالزای و العین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من الحدائق و فی الوسائل المصحّحة علی خطّ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بالراء المهملة و العین المعجمة،و معنی الکلمة حینئذٍ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ذلیلة منقادة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الظاهر أنّه لا وجه لها،لأنّ الحدیث مذکور بتمامه،راجع الکافی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ذکره</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لغیره</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نقله ابن أبی الحدید فی مقدّمة شرحه لنهج البلاغة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،و عنه البحار </w:t>
      </w:r>
      <w:r>
        <w:rPr>
          <w:rFonts w:eastAsia="IRNazanin" w:cs="IRNazanin"/>
          <w:b w:val="false"/>
          <w:bCs w:val="false"/>
          <w:i w:val="false"/>
          <w:iCs w:val="false"/>
          <w:color w:val="333333"/>
          <w:sz w:val="20"/>
          <w:szCs w:val="20"/>
        </w:rPr>
        <w:t>41:144</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المعینین</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الصفحة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المستحبّ</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لم نعثر فی الکافی إلّا علیٰ هذه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یکره تلقّی الرکبان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أیضاً العلّامة فی المختلف،و لکن لم نعثر علیه فی ما بأیدینا من کتبه قدّس سرّه</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2:1005</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السیّد الطباطبائی فی الریاض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،و انظر الدروس </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tl w:val="true"/>
        </w:rPr>
        <w:t xml:space="preserve">،و لکن کلامه صریح فی الحرمة کما قاله السیّد العاملی فی مفتاح الکرامة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حواشیه الثلاثة</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الشیخ العلّامة فی المختلف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،و السیّد العاملی فی مفتاح الکرامة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،و أمّا عن ابن زهرة فلم نعثر علی الحکایة عنه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حکی السیّد العاملی عنه فی مفتاح الکرامة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،کتاب البیوع،المسألة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،و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نهی عن تلقّی الرکبان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حکاه السیّد العاملی عنه</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الکراهة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الإیضاح عندنا،و حکاه عنه السیّد العاملی فی مفتاح الکرامة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النسخ،و استدرکت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12:326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التجارة،الحدیث الأوّل</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یتلقّ</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بیع</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صدره فی الوسائل </w:t>
      </w:r>
      <w:r>
        <w:rPr>
          <w:rFonts w:eastAsia="IRNazanin" w:cs="IRNazanin"/>
          <w:b w:val="false"/>
          <w:bCs w:val="false"/>
          <w:i w:val="false"/>
          <w:iCs w:val="false"/>
          <w:color w:val="333333"/>
          <w:sz w:val="20"/>
          <w:szCs w:val="20"/>
        </w:rPr>
        <w:t>12:326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ذیله فی الصفحة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الأبواب،الحدیث الأوّل</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12:326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 کتابه،نعم حکاه عنه العلّامة فی المختلف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،و الشهید فی الدروس </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المحدّث البحرانی فی الحدائق </w:t>
      </w:r>
      <w:r>
        <w:rPr>
          <w:rFonts w:eastAsia="IRNazanin" w:cs="IRNazanin"/>
          <w:b w:val="false"/>
          <w:bCs w:val="false"/>
          <w:i w:val="false"/>
          <w:iCs w:val="false"/>
          <w:color w:val="333333"/>
          <w:sz w:val="20"/>
          <w:szCs w:val="20"/>
        </w:rPr>
        <w:t>18:58</w:t>
      </w:r>
      <w:r>
        <w:rPr>
          <w:rFonts w:ascii="IRNazanin" w:hAnsi="IRNazanin" w:eastAsia="IRNazanin"/>
          <w:b w:val="false"/>
          <w:b w:val="false"/>
          <w:bCs w:val="false"/>
          <w:i w:val="false"/>
          <w:i w:val="false"/>
          <w:iCs w:val="false"/>
          <w:color w:val="333333"/>
          <w:sz w:val="20"/>
          <w:sz w:val="20"/>
          <w:szCs w:val="20"/>
          <w:rtl w:val="true"/>
        </w:rPr>
        <w:t xml:space="preserve">،و راجع المنتهی </w:t>
      </w:r>
      <w:r>
        <w:rPr>
          <w:rFonts w:eastAsia="IRNazanin" w:cs="IRNazanin"/>
          <w:b w:val="false"/>
          <w:bCs w:val="false"/>
          <w:i w:val="false"/>
          <w:iCs w:val="false"/>
          <w:color w:val="333333"/>
          <w:sz w:val="20"/>
          <w:szCs w:val="20"/>
        </w:rPr>
        <w:t>2:1005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فالبیع صحیح فی قول عامّة العلماء</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لموافقته</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فی المنتهی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علمائنا کما سیأتی عنه،و قال فی الحدائق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أنّه لا خلاف بین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لسائر التعابیر مفتاح الکرامة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3990</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12:327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،و هی روایة منهال القصّاب</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2:1006</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الوصول</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هذا التعبیر بعینه،نعم قال فی المسالک بعد أن ذکر قید جهل الرکب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یشعر به التعلیل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مثله فی الجواهر،و قال فی الحدائق بعد أن ذکر القید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إلیه یشیر التعلیل فی روایة عروة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Pr>
        <w:t>3:189</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22:473</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عروة المتقدّم فی الصفحة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5:348</w:t>
      </w:r>
      <w:r>
        <w:rPr>
          <w:rFonts w:ascii="IRNazanin" w:hAnsi="IRNazanin" w:eastAsia="IRNazanin"/>
          <w:b w:val="false"/>
          <w:b w:val="false"/>
          <w:bCs w:val="false"/>
          <w:i w:val="false"/>
          <w:i w:val="false"/>
          <w:iCs w:val="false"/>
          <w:color w:val="333333"/>
          <w:sz w:val="20"/>
          <w:sz w:val="20"/>
          <w:szCs w:val="20"/>
          <w:rtl w:val="true"/>
        </w:rPr>
        <w:t>،باب النهی عن تلقّی السلع</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متلقّی</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الجواهر </w:t>
      </w:r>
      <w:r>
        <w:rPr>
          <w:rFonts w:eastAsia="IRNazanin" w:cs="IRNazanin"/>
          <w:b w:val="false"/>
          <w:bCs w:val="false"/>
          <w:i w:val="false"/>
          <w:iCs w:val="false"/>
          <w:color w:val="333333"/>
          <w:sz w:val="20"/>
          <w:szCs w:val="20"/>
        </w:rPr>
        <w:t>22:474</w:t>
      </w:r>
      <w:r>
        <w:rPr>
          <w:rFonts w:ascii="IRNazanin" w:hAnsi="IRNazanin" w:eastAsia="IRNazanin"/>
          <w:b w:val="false"/>
          <w:b w:val="false"/>
          <w:bCs w:val="false"/>
          <w:i w:val="false"/>
          <w:i w:val="false"/>
          <w:iCs w:val="false"/>
          <w:color w:val="333333"/>
          <w:sz w:val="20"/>
          <w:sz w:val="20"/>
          <w:szCs w:val="20"/>
          <w:rtl w:val="true"/>
        </w:rPr>
        <w:t xml:space="preserve">،عن ظاهر المحکی عنه،و راجع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لم یکن غبن کإطلاق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یحرم</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2:1004</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12:337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12:338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 فی 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النجشُ أن تُواطِئَ رجلاً إذا أراد بیعاً أن تمدحه،أو أن یُرید الإنسان أن یبیع بیاعه فتساومه فیها بثمنٍ کثیرٍ لینظر إلیک ناظرٌ فیقع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الجوهری فی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تزاید فی المبیع لیقع غیرک و لیس من حاجتک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3:1021</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الفیّومی فی 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نجش الرجل نجشاً من باب قتل إذا زاد فی سِلعةٍ أکثر من ثمنها و لیس قصده أن یشتریها،بل لِیَغُرَّ غیره فیوقعه فیه،و کذلک فی النکاح و غیره،و الإسم النَّجَشُ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نجش</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أیضاً صحیح من باب الإفعال،و الضمیر المستتر یرجع إلی الدافع</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زیادة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لذا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أیضاً صحیح کما تقدّم فی الهامش السابق</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فرض صحّة ما أثبتناه من سائر النسخ، فالضمیر راجع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مقدار المدفوع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راجع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 فی أوّل المسألة</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18:237</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المقنعة،و الصواب ظاهراً ما أثبتناه،راجع 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4:110</w:t>
      </w:r>
      <w:r>
        <w:rPr>
          <w:rFonts w:ascii="IRNazanin" w:hAnsi="IRNazanin" w:eastAsia="IRNazanin"/>
          <w:b w:val="false"/>
          <w:b w:val="false"/>
          <w:bCs w:val="false"/>
          <w:i w:val="false"/>
          <w:i w:val="false"/>
          <w:iCs w:val="false"/>
          <w:color w:val="333333"/>
          <w:sz w:val="20"/>
          <w:sz w:val="20"/>
          <w:szCs w:val="20"/>
          <w:rtl w:val="true"/>
        </w:rPr>
        <w:t xml:space="preserve">،و راجع 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4:110</w:t>
      </w:r>
      <w:r>
        <w:rPr>
          <w:rFonts w:ascii="IRNazanin" w:hAnsi="IRNazanin" w:eastAsia="IRNazanin"/>
          <w:b w:val="false"/>
          <w:b w:val="false"/>
          <w:bCs w:val="false"/>
          <w:i w:val="false"/>
          <w:i w:val="false"/>
          <w:iCs w:val="false"/>
          <w:color w:val="333333"/>
          <w:sz w:val="20"/>
          <w:sz w:val="20"/>
          <w:szCs w:val="20"/>
          <w:rtl w:val="true"/>
        </w:rPr>
        <w:t xml:space="preserve">،و راجع التنقیح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المأمور الدافع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مصحّحة</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12:206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الکتب المنقولة عنها أقوال الفقهاء فی الصفحة السابقة</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الفرض</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3:555</w:t>
      </w:r>
      <w:r>
        <w:rPr>
          <w:rFonts w:ascii="IRNazanin" w:hAnsi="IRNazanin" w:eastAsia="IRNazanin"/>
          <w:b w:val="false"/>
          <w:b w:val="false"/>
          <w:bCs w:val="false"/>
          <w:i w:val="false"/>
          <w:i w:val="false"/>
          <w:iCs w:val="false"/>
          <w:color w:val="333333"/>
          <w:sz w:val="20"/>
          <w:sz w:val="20"/>
          <w:szCs w:val="20"/>
          <w:rtl w:val="true"/>
        </w:rPr>
        <w:t xml:space="preserve">،الحدیث الأوّل،و الوسائل </w:t>
      </w:r>
      <w:r>
        <w:rPr>
          <w:rFonts w:eastAsia="IRNazanin" w:cs="IRNazanin"/>
          <w:b w:val="false"/>
          <w:bCs w:val="false"/>
          <w:i w:val="false"/>
          <w:iCs w:val="false"/>
          <w:color w:val="333333"/>
          <w:sz w:val="20"/>
          <w:szCs w:val="20"/>
        </w:rPr>
        <w:t>12:206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به،الحدیث الأوّل</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6:200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6:200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 ابن الحجّاج المتقدّمة فی الصفحة السابقة</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أثبتناه</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داعیة</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2:635</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النهایة،و انظر النهایة لابن الأثیر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حکر</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حکر</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ذلک عنها السیّد العاملی فی مفتاح الکرامة </w:t>
      </w:r>
      <w:r>
        <w:rPr>
          <w:rFonts w:eastAsia="IRNazanin" w:cs="IRNazanin"/>
          <w:b w:val="false"/>
          <w:bCs w:val="false"/>
          <w:i w:val="false"/>
          <w:iCs w:val="false"/>
          <w:color w:val="333333"/>
          <w:sz w:val="20"/>
          <w:szCs w:val="20"/>
        </w:rPr>
        <w:t>4:107</w:t>
      </w:r>
      <w:r>
        <w:rPr>
          <w:rFonts w:ascii="IRNazanin" w:hAnsi="IRNazanin" w:eastAsia="IRNazanin"/>
          <w:b w:val="false"/>
          <w:b w:val="false"/>
          <w:bCs w:val="false"/>
          <w:i w:val="false"/>
          <w:i w:val="false"/>
          <w:iCs w:val="false"/>
          <w:color w:val="333333"/>
          <w:sz w:val="20"/>
          <w:sz w:val="20"/>
          <w:szCs w:val="20"/>
          <w:rtl w:val="true"/>
        </w:rPr>
        <w:t>،راجع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لدینا،و نقله عنه السیّد العاملی فی مفتاح الکرامة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للکفایة</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المصادر الحدیثیّة،و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12:316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التجارة،الحدیث الأوّل</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5:165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7:160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،و عنهما فی الوسائل </w:t>
      </w:r>
      <w:r>
        <w:rPr>
          <w:rFonts w:eastAsia="IRNazanin" w:cs="IRNazanin"/>
          <w:b w:val="false"/>
          <w:bCs w:val="false"/>
          <w:i w:val="false"/>
          <w:iCs w:val="false"/>
          <w:color w:val="333333"/>
          <w:sz w:val="20"/>
          <w:szCs w:val="20"/>
        </w:rPr>
        <w:t>12:315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ذیله</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بموازین</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نهج البلاغة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واسعاً</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 عنه فی الوسائل </w:t>
      </w:r>
      <w:r>
        <w:rPr>
          <w:rFonts w:eastAsia="IRNazanin" w:cs="IRNazanin"/>
          <w:b w:val="false"/>
          <w:bCs w:val="false"/>
          <w:i w:val="false"/>
          <w:iCs w:val="false"/>
          <w:color w:val="333333"/>
          <w:sz w:val="20"/>
          <w:szCs w:val="20"/>
        </w:rPr>
        <w:t>12:315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12:313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عنه فی الوسائل </w:t>
      </w:r>
      <w:r>
        <w:rPr>
          <w:rFonts w:eastAsia="IRNazanin" w:cs="IRNazanin"/>
          <w:b w:val="false"/>
          <w:bCs w:val="false"/>
          <w:i w:val="false"/>
          <w:iCs w:val="false"/>
          <w:color w:val="333333"/>
          <w:sz w:val="20"/>
          <w:szCs w:val="20"/>
        </w:rPr>
        <w:t>12:314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18:103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موضع ذکر هذا المطلب بالخصوص،لکن قال قدّس سرّه فی أوّل کتاب الصلاة عند ما تعرّض لروایة داود بن فرقد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الروایة و إن کانت مرسلة إلّا أنّ سندها إلی الحسن بن فضّال صحیح،و بنو فضّال ممّن أُمرنا بالأخذ بکتبهم و روایاتهم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کتاب الصلاة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ادّعاه الکشّی فی موارد عدیدة من رجاله،انظر 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12:313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3954</w:t>
      </w:r>
      <w:r>
        <w:rPr>
          <w:rFonts w:ascii="IRNazanin" w:hAnsi="IRNazanin" w:eastAsia="IRNazanin"/>
          <w:b w:val="false"/>
          <w:b w:val="false"/>
          <w:bCs w:val="false"/>
          <w:i w:val="false"/>
          <w:i w:val="false"/>
          <w:iCs w:val="false"/>
          <w:color w:val="333333"/>
          <w:sz w:val="20"/>
          <w:sz w:val="20"/>
          <w:szCs w:val="20"/>
          <w:rtl w:val="true"/>
        </w:rPr>
        <w:t xml:space="preserve">،و عنه فی الوسائل </w:t>
      </w:r>
      <w:r>
        <w:rPr>
          <w:rFonts w:eastAsia="IRNazanin" w:cs="IRNazanin"/>
          <w:b w:val="false"/>
          <w:bCs w:val="false"/>
          <w:i w:val="false"/>
          <w:iCs w:val="false"/>
          <w:color w:val="333333"/>
          <w:sz w:val="20"/>
          <w:szCs w:val="20"/>
        </w:rPr>
        <w:t>12:313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،الصحیحة المحکیّة عن الکافی و التهذیب</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الزیت</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أشیاء</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12:314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کشف الرموز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 xml:space="preserve">،و الروضة البهیّة </w:t>
      </w:r>
      <w:r>
        <w:rPr>
          <w:rFonts w:eastAsia="IRNazanin" w:cs="IRNazanin"/>
          <w:b w:val="false"/>
          <w:bCs w:val="false"/>
          <w:i w:val="false"/>
          <w:iCs w:val="false"/>
          <w:color w:val="333333"/>
          <w:sz w:val="20"/>
          <w:szCs w:val="20"/>
        </w:rPr>
        <w:t>3:299</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النافع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یوجد لدینا،نعم حکاه عنه السیّد العاملی فی مفتاح الکرامة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التعلیل فی صحیحة الحلبی المتقدّمة فی الصفحة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المصادر الحدیثیة،و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فملعون</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12:312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التجارة،الحدیث الأوّل</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کتب القاضی،نعم حکاه عنه العلّامة فی المختلف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و السیّد العاملی فی مفتاح الکرامة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،و حکاه السیّد العاملی عنها و عن غیرها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،و مجمع الفائدة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تصحیحاً،و وردت هذه الکلمة فی متن غایة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بعضاً منه</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فی صحیحة الحلبی المتقدّمة فی الصفحة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زوّار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استخراج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التنقیح الرائع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الصفحة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السیّد العاملی فی مفتاح الکرامة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المیسیّة،لا توجد لدینا،و لکن نقله عنه و عن الشهید الثانی،السیّد العاملی فی مفتاح الکرامة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فرض صحّة هذه النسخ فالصواب فی الکلمة التی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التجارة،الحدیث الأوّل</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فی الکافی و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مکابدته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مکائده</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وفاقاً للتهذیب،و فی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یحل من العبد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یخل من العبد</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الحدیثیّة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بحذقه</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بحمقه</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أنّها مصحّفة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الکافی و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فاتق اللّٰه،خ ل</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6:322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التجارة،الحدیث الأوّل</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استدراکاً</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دعوة</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إلی آخر العبارة 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تمّ بفضله و عونه المجلّد الأوّل من هذه النسخة الشریفة،و یتلوه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فی الخیارات،و هو مع أنّه قد جمع الأهمّ من القواعد و شمل الأنفع و الأصحّ من المسائل و الأُصول و الشوارد،و أودع فیه من الثمرة کلّ لباب،و من النکت ما لا یوجد منتظماً فی کتاب،قد تضمّن من التحقیق کلّ شاردٍ،و من التدقیق کلّ وارد،و اندرج فیه من النوادر ما حلی وضعها،و حسن طرزها، یشهد به من مارس الصناعة،و یشاهده من تتبّع أقاویل الجماعة و کتب العلماء الأجلّة،بل هو مع أنّه کثیراً مقتصر علی مخزون الخاطر و مقترح القریحة، مشتمل علی تفصیل مجمل،و بسط موجز،و تقریر أسئلة،و تحریر أجوبة،و منع اعتراضات،و دفع معارضات،و کشف شبهات،و تحقیق حقّ،و إبطال 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ففیه فوائد باهرة و شواهد علی صدق المدّعی ظاهرة،یکاد من قوّة الحدس یستشفق الواقع من وراء حجابه و یستشهد المستور من وراء ستره و نقابه،فهو حینئذٍ قد بلغ الغایة القصوی و الدرجة العلیا،فللّه درّة دام ظلّه حیث أحسن و أجاد،نفعنا اللّٰه بوجوده و إفادته،و سائر المحصّلین،بمحمدٍ و آله الأمجاد،و الحمد للّٰه علی فضل الإتمام،و الصلاة و السلام علی النبیّ و آله أئمّة الأنام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image" Target="media/image2.jpeg"/><Relationship Id="rId378" Type="http://schemas.openxmlformats.org/officeDocument/2006/relationships/image" Target="media/image2.jpeg"/><Relationship Id="rId379" Type="http://schemas.openxmlformats.org/officeDocument/2006/relationships/footer" Target="footer372.xml"/><Relationship Id="rId380" Type="http://schemas.openxmlformats.org/officeDocument/2006/relationships/footnotes" Target="footnotes.xml"/><Relationship Id="rId381" Type="http://schemas.openxmlformats.org/officeDocument/2006/relationships/numbering" Target="numbering.xml"/><Relationship Id="rId382" Type="http://schemas.openxmlformats.org/officeDocument/2006/relationships/fontTable" Target="fontTable.xml"/><Relationship Id="rId383" Type="http://schemas.openxmlformats.org/officeDocument/2006/relationships/settings" Target="settings.xml"/><Relationship Id="rId3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379</Pages>
  <Words>45004</Words>
  <Characters>199762</Characters>
  <CharactersWithSpaces>243171</CharactersWithSpaces>
  <Paragraphs>1596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2026-08-26T02:16:56Z</dcterms:created>
  <dc:creator>ghaemiyeh.com</dc:creator>
  <dc:description/>
  <dc:language>en-US</dc:language>
  <cp:lastModifiedBy/>
  <dcterms:modified xsi:type="dcterms:W3CDTF">2026-08-26T05:47:45Z</dcterms:modified>
  <cp:revision>1</cp:revision>
  <dc:subject/>
  <dc:title>المکاسب جلد 4</dc:title>
</cp:coreProperties>
</file>

<file path=docProps/custom.xml><?xml version="1.0" encoding="utf-8"?>
<Properties xmlns="http://schemas.openxmlformats.org/officeDocument/2006/custom-properties" xmlns:vt="http://schemas.openxmlformats.org/officeDocument/2006/docPropsVTypes"/>
</file>