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الزکاة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6278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36280_2314609296">
            <w:r>
              <w:rPr>
                <w:webHidden/>
                <w:rStyle w:val="IndexLink"/>
                <w:rtl w:val="true"/>
              </w:rPr>
              <w:t xml:space="preserve">شرح </w:t>
            </w:r>
            <w:r>
              <w:rPr>
                <w:rStyle w:val="IndexLink"/>
                <w:rtl w:val="true"/>
              </w:rPr>
              <w:t>[</w:t>
            </w:r>
            <w:r>
              <w:rPr>
                <w:rStyle w:val="IndexLink"/>
                <w:rtl w:val="true"/>
              </w:rPr>
              <w:t>كتاب الزكاة من</w:t>
            </w:r>
            <w:r>
              <w:rPr>
                <w:rStyle w:val="IndexLink"/>
                <w:rtl w:val="true"/>
              </w:rPr>
              <w:t xml:space="preserve">] </w:t>
            </w:r>
            <w:r>
              <w:rPr>
                <w:rStyle w:val="IndexLink"/>
                <w:rtl w:val="true"/>
              </w:rPr>
              <w:t>إرشاد الأذهان</w:t>
            </w:r>
            <w:r>
              <w:rPr>
                <w:rStyle w:val="IndexLink"/>
                <w:rtl w:val="true"/>
              </w:rPr>
              <w:tab/>
            </w:r>
            <w:r>
              <w:rPr>
                <w:rStyle w:val="IndexLink"/>
              </w:rPr>
              <w:t>5</w:t>
            </w:r>
          </w:hyperlink>
        </w:p>
        <w:p>
          <w:pPr>
            <w:pStyle w:val="Contents3"/>
            <w:tabs>
              <w:tab w:val="clear" w:pos="8459"/>
              <w:tab w:val="right" w:pos="9026" w:leader="dot"/>
            </w:tabs>
            <w:rPr/>
          </w:pPr>
          <w:hyperlink w:anchor="__RefHeading___Toc2136282_2314609296">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2136284_2314609296">
            <w:r>
              <w:rPr>
                <w:webHidden/>
                <w:rStyle w:val="IndexLink"/>
                <w:rtl w:val="true"/>
              </w:rPr>
              <w:t>[</w:t>
            </w:r>
            <w:r>
              <w:rPr>
                <w:rStyle w:val="IndexLink"/>
                <w:rtl w:val="true"/>
              </w:rPr>
              <w:t>الأوّل</w:t>
            </w:r>
            <w:r>
              <w:rPr>
                <w:rStyle w:val="IndexLink"/>
                <w:rtl w:val="true"/>
              </w:rPr>
              <w:t xml:space="preserve">: </w:t>
            </w:r>
            <w:r>
              <w:rPr>
                <w:rStyle w:val="IndexLink"/>
                <w:rtl w:val="true"/>
              </w:rPr>
              <w:t>في زكاة المال</w:t>
            </w:r>
            <w:r>
              <w:rPr>
                <w:rStyle w:val="IndexLink"/>
                <w:rtl w:val="true"/>
              </w:rPr>
              <w:t>]</w:t>
              <w:tab/>
            </w:r>
            <w:r>
              <w:rPr>
                <w:rStyle w:val="IndexLink"/>
              </w:rPr>
              <w:t>10</w:t>
            </w:r>
          </w:hyperlink>
        </w:p>
        <w:p>
          <w:pPr>
            <w:pStyle w:val="Contents4"/>
            <w:tabs>
              <w:tab w:val="clear" w:pos="8176"/>
              <w:tab w:val="right" w:pos="9026" w:leader="dot"/>
            </w:tabs>
            <w:rPr/>
          </w:pPr>
          <w:hyperlink w:anchor="__RefHeading___Toc2136286_2314609296">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2136288_2314609296">
            <w:r>
              <w:rPr>
                <w:webHidden/>
                <w:rStyle w:val="IndexLink"/>
                <w:rtl w:val="true"/>
              </w:rPr>
              <w:t>[</w:t>
            </w:r>
            <w:r>
              <w:rPr>
                <w:rStyle w:val="IndexLink"/>
                <w:rtl w:val="true"/>
              </w:rPr>
              <w:t>المقصد الأوّل</w:t>
            </w:r>
            <w:r>
              <w:rPr>
                <w:rStyle w:val="IndexLink"/>
                <w:rtl w:val="true"/>
              </w:rPr>
              <w:t xml:space="preserve">: </w:t>
            </w:r>
            <w:r>
              <w:rPr>
                <w:rStyle w:val="IndexLink"/>
                <w:rtl w:val="true"/>
              </w:rPr>
              <w:t>في شرائط الوجوب و وقته</w:t>
            </w:r>
            <w:r>
              <w:rPr>
                <w:rStyle w:val="IndexLink"/>
                <w:rtl w:val="true"/>
              </w:rPr>
              <w:t>]</w:t>
              <w:tab/>
            </w:r>
            <w:r>
              <w:rPr>
                <w:rStyle w:val="IndexLink"/>
              </w:rPr>
              <w:t>11</w:t>
            </w:r>
          </w:hyperlink>
        </w:p>
        <w:p>
          <w:pPr>
            <w:pStyle w:val="Contents2"/>
            <w:tabs>
              <w:tab w:val="clear" w:pos="8743"/>
              <w:tab w:val="right" w:pos="9026" w:leader="dot"/>
            </w:tabs>
            <w:rPr/>
          </w:pPr>
          <w:hyperlink w:anchor="__RefHeading___Toc2136290_2314609296">
            <w:r>
              <w:rPr>
                <w:webHidden/>
                <w:rStyle w:val="IndexLink"/>
                <w:rtl w:val="true"/>
              </w:rPr>
              <w:t>مسائل مستقلة</w:t>
            </w:r>
            <w:r>
              <w:rPr>
                <w:rStyle w:val="IndexLink"/>
                <w:rtl w:val="true"/>
              </w:rPr>
              <w:tab/>
            </w:r>
            <w:r>
              <w:rPr>
                <w:rStyle w:val="IndexLink"/>
              </w:rPr>
              <w:t>81</w:t>
            </w:r>
          </w:hyperlink>
        </w:p>
        <w:p>
          <w:pPr>
            <w:pStyle w:val="Contents3"/>
            <w:tabs>
              <w:tab w:val="clear" w:pos="8459"/>
              <w:tab w:val="right" w:pos="9026" w:leader="dot"/>
            </w:tabs>
            <w:rPr/>
          </w:pPr>
          <w:hyperlink w:anchor="__RefHeading___Toc2136292_2314609296">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2136294_2314609296">
            <w:r>
              <w:rPr>
                <w:webHidden/>
                <w:rStyle w:val="IndexLink"/>
                <w:rtl w:val="true"/>
              </w:rPr>
              <w:t>المقصد الأول في زكاة المال</w:t>
            </w:r>
            <w:r>
              <w:rPr>
                <w:rStyle w:val="IndexLink"/>
                <w:rtl w:val="true"/>
              </w:rPr>
              <w:tab/>
            </w:r>
            <w:r>
              <w:rPr>
                <w:rStyle w:val="IndexLink"/>
              </w:rPr>
              <w:t>82</w:t>
            </w:r>
          </w:hyperlink>
        </w:p>
        <w:p>
          <w:pPr>
            <w:pStyle w:val="Contents4"/>
            <w:tabs>
              <w:tab w:val="clear" w:pos="8176"/>
              <w:tab w:val="right" w:pos="9026" w:leader="dot"/>
            </w:tabs>
            <w:rPr/>
          </w:pPr>
          <w:hyperlink w:anchor="__RefHeading___Toc2136296_2314609296">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2136298_2314609296">
            <w:r>
              <w:rPr>
                <w:webHidden/>
                <w:rStyle w:val="IndexLink"/>
                <w:rtl w:val="true"/>
              </w:rPr>
              <w:t xml:space="preserve">مسألة </w:t>
            </w:r>
            <w:r>
              <w:rPr>
                <w:rStyle w:val="IndexLink"/>
                <w:rtl w:val="true"/>
              </w:rPr>
              <w:t>[</w:t>
            </w:r>
            <w:r>
              <w:rPr>
                <w:rStyle w:val="IndexLink"/>
              </w:rPr>
              <w:t>1</w:t>
            </w:r>
            <w:r>
              <w:rPr>
                <w:rStyle w:val="IndexLink"/>
                <w:rtl w:val="true"/>
              </w:rPr>
              <w:t>]</w:t>
              <w:tab/>
            </w:r>
            <w:r>
              <w:rPr>
                <w:rStyle w:val="IndexLink"/>
              </w:rPr>
              <w:t>83</w:t>
            </w:r>
          </w:hyperlink>
        </w:p>
        <w:p>
          <w:pPr>
            <w:pStyle w:val="Contents4"/>
            <w:tabs>
              <w:tab w:val="clear" w:pos="8176"/>
              <w:tab w:val="right" w:pos="9026" w:leader="dot"/>
            </w:tabs>
            <w:rPr/>
          </w:pPr>
          <w:hyperlink w:anchor="__RefHeading___Toc2136300_2314609296">
            <w:r>
              <w:rPr>
                <w:webHidden/>
                <w:rStyle w:val="IndexLink"/>
                <w:rtl w:val="true"/>
              </w:rPr>
              <w:t xml:space="preserve">مسألة </w:t>
            </w:r>
            <w:r>
              <w:rPr>
                <w:rStyle w:val="IndexLink"/>
                <w:rtl w:val="true"/>
              </w:rPr>
              <w:t>[</w:t>
            </w:r>
            <w:r>
              <w:rPr>
                <w:rStyle w:val="IndexLink"/>
              </w:rPr>
              <w:t>2</w:t>
            </w:r>
            <w:r>
              <w:rPr>
                <w:rStyle w:val="IndexLink"/>
                <w:rtl w:val="true"/>
              </w:rPr>
              <w:t>]</w:t>
              <w:tab/>
            </w:r>
            <w:r>
              <w:rPr>
                <w:rStyle w:val="IndexLink"/>
              </w:rPr>
              <w:t>86</w:t>
            </w:r>
          </w:hyperlink>
        </w:p>
        <w:p>
          <w:pPr>
            <w:pStyle w:val="Contents4"/>
            <w:tabs>
              <w:tab w:val="clear" w:pos="8176"/>
              <w:tab w:val="right" w:pos="9026" w:leader="dot"/>
            </w:tabs>
            <w:rPr/>
          </w:pPr>
          <w:hyperlink w:anchor="__RefHeading___Toc2136302_2314609296">
            <w:r>
              <w:rPr>
                <w:webHidden/>
                <w:rStyle w:val="IndexLink"/>
                <w:rtl w:val="true"/>
              </w:rPr>
              <w:t xml:space="preserve">مسألة </w:t>
            </w:r>
            <w:r>
              <w:rPr>
                <w:rStyle w:val="IndexLink"/>
                <w:rtl w:val="true"/>
              </w:rPr>
              <w:t>[</w:t>
            </w:r>
            <w:r>
              <w:rPr>
                <w:rStyle w:val="IndexLink"/>
              </w:rPr>
              <w:t>3</w:t>
            </w:r>
            <w:r>
              <w:rPr>
                <w:rStyle w:val="IndexLink"/>
                <w:rtl w:val="true"/>
              </w:rPr>
              <w:t>]</w:t>
              <w:tab/>
            </w:r>
            <w:r>
              <w:rPr>
                <w:rStyle w:val="IndexLink"/>
              </w:rPr>
              <w:t>89</w:t>
            </w:r>
          </w:hyperlink>
        </w:p>
        <w:p>
          <w:pPr>
            <w:pStyle w:val="Contents4"/>
            <w:tabs>
              <w:tab w:val="clear" w:pos="8176"/>
              <w:tab w:val="right" w:pos="9026" w:leader="dot"/>
            </w:tabs>
            <w:rPr/>
          </w:pPr>
          <w:hyperlink w:anchor="__RefHeading___Toc2136304_2314609296">
            <w:r>
              <w:rPr>
                <w:webHidden/>
                <w:rStyle w:val="IndexLink"/>
                <w:rtl w:val="true"/>
              </w:rPr>
              <w:t xml:space="preserve">مسألة </w:t>
            </w:r>
            <w:r>
              <w:rPr>
                <w:rStyle w:val="IndexLink"/>
                <w:rtl w:val="true"/>
              </w:rPr>
              <w:t>[</w:t>
            </w:r>
            <w:r>
              <w:rPr>
                <w:rStyle w:val="IndexLink"/>
              </w:rPr>
              <w:t>4</w:t>
            </w:r>
            <w:r>
              <w:rPr>
                <w:rStyle w:val="IndexLink"/>
                <w:rtl w:val="true"/>
              </w:rPr>
              <w:t>]</w:t>
              <w:tab/>
            </w:r>
            <w:r>
              <w:rPr>
                <w:rStyle w:val="IndexLink"/>
              </w:rPr>
              <w:t>92</w:t>
            </w:r>
          </w:hyperlink>
        </w:p>
        <w:p>
          <w:pPr>
            <w:pStyle w:val="Contents4"/>
            <w:tabs>
              <w:tab w:val="clear" w:pos="8176"/>
              <w:tab w:val="right" w:pos="9026" w:leader="dot"/>
            </w:tabs>
            <w:rPr/>
          </w:pPr>
          <w:hyperlink w:anchor="__RefHeading___Toc2136306_2314609296">
            <w:r>
              <w:rPr>
                <w:webHidden/>
                <w:rStyle w:val="IndexLink"/>
                <w:rtl w:val="true"/>
              </w:rPr>
              <w:t xml:space="preserve">مسألة </w:t>
            </w:r>
            <w:r>
              <w:rPr>
                <w:rStyle w:val="IndexLink"/>
                <w:rtl w:val="true"/>
              </w:rPr>
              <w:t>[</w:t>
            </w:r>
            <w:r>
              <w:rPr>
                <w:rStyle w:val="IndexLink"/>
              </w:rPr>
              <w:t>5</w:t>
            </w:r>
            <w:r>
              <w:rPr>
                <w:rStyle w:val="IndexLink"/>
                <w:rtl w:val="true"/>
              </w:rPr>
              <w:t>]</w:t>
              <w:tab/>
            </w:r>
            <w:r>
              <w:rPr>
                <w:rStyle w:val="IndexLink"/>
              </w:rPr>
              <w:t>95</w:t>
            </w:r>
          </w:hyperlink>
        </w:p>
        <w:p>
          <w:pPr>
            <w:pStyle w:val="Contents4"/>
            <w:tabs>
              <w:tab w:val="clear" w:pos="8176"/>
              <w:tab w:val="right" w:pos="9026" w:leader="dot"/>
            </w:tabs>
            <w:rPr/>
          </w:pPr>
          <w:hyperlink w:anchor="__RefHeading___Toc2136308_2314609296">
            <w:r>
              <w:rPr>
                <w:webHidden/>
                <w:rStyle w:val="IndexLink"/>
                <w:rtl w:val="true"/>
              </w:rPr>
              <w:t xml:space="preserve">مسألة </w:t>
            </w:r>
            <w:r>
              <w:rPr>
                <w:rStyle w:val="IndexLink"/>
                <w:rtl w:val="true"/>
              </w:rPr>
              <w:t>[</w:t>
            </w:r>
            <w:r>
              <w:rPr>
                <w:rStyle w:val="IndexLink"/>
              </w:rPr>
              <w:t>6</w:t>
            </w:r>
            <w:r>
              <w:rPr>
                <w:rStyle w:val="IndexLink"/>
                <w:rtl w:val="true"/>
              </w:rPr>
              <w:t>]</w:t>
              <w:tab/>
            </w:r>
            <w:r>
              <w:rPr>
                <w:rStyle w:val="IndexLink"/>
              </w:rPr>
              <w:t>98</w:t>
            </w:r>
          </w:hyperlink>
        </w:p>
        <w:p>
          <w:pPr>
            <w:pStyle w:val="Contents4"/>
            <w:tabs>
              <w:tab w:val="clear" w:pos="8176"/>
              <w:tab w:val="right" w:pos="9026" w:leader="dot"/>
            </w:tabs>
            <w:rPr/>
          </w:pPr>
          <w:hyperlink w:anchor="__RefHeading___Toc2136310_2314609296">
            <w:r>
              <w:rPr>
                <w:webHidden/>
                <w:rStyle w:val="IndexLink"/>
                <w:rtl w:val="true"/>
              </w:rPr>
              <w:t xml:space="preserve">مسألة </w:t>
            </w:r>
            <w:r>
              <w:rPr>
                <w:rStyle w:val="IndexLink"/>
                <w:rtl w:val="true"/>
              </w:rPr>
              <w:t>[</w:t>
            </w:r>
            <w:r>
              <w:rPr>
                <w:rStyle w:val="IndexLink"/>
              </w:rPr>
              <w:t>7</w:t>
            </w:r>
            <w:r>
              <w:rPr>
                <w:rStyle w:val="IndexLink"/>
                <w:rtl w:val="true"/>
              </w:rPr>
              <w:t>]</w:t>
              <w:tab/>
            </w:r>
            <w:r>
              <w:rPr>
                <w:rStyle w:val="IndexLink"/>
              </w:rPr>
              <w:t>114</w:t>
            </w:r>
          </w:hyperlink>
        </w:p>
        <w:p>
          <w:pPr>
            <w:pStyle w:val="Contents4"/>
            <w:tabs>
              <w:tab w:val="clear" w:pos="8176"/>
              <w:tab w:val="right" w:pos="9026" w:leader="dot"/>
            </w:tabs>
            <w:rPr/>
          </w:pPr>
          <w:hyperlink w:anchor="__RefHeading___Toc2136312_2314609296">
            <w:r>
              <w:rPr>
                <w:webHidden/>
                <w:rStyle w:val="IndexLink"/>
                <w:rtl w:val="true"/>
              </w:rPr>
              <w:t xml:space="preserve">مسألة </w:t>
            </w:r>
            <w:r>
              <w:rPr>
                <w:rStyle w:val="IndexLink"/>
                <w:rtl w:val="true"/>
              </w:rPr>
              <w:t>[</w:t>
            </w:r>
            <w:r>
              <w:rPr>
                <w:rStyle w:val="IndexLink"/>
              </w:rPr>
              <w:t>8</w:t>
            </w:r>
            <w:r>
              <w:rPr>
                <w:rStyle w:val="IndexLink"/>
                <w:rtl w:val="true"/>
              </w:rPr>
              <w:t>]</w:t>
              <w:tab/>
            </w:r>
            <w:r>
              <w:rPr>
                <w:rStyle w:val="IndexLink"/>
              </w:rPr>
              <w:t>117</w:t>
            </w:r>
          </w:hyperlink>
        </w:p>
        <w:p>
          <w:pPr>
            <w:pStyle w:val="Contents4"/>
            <w:tabs>
              <w:tab w:val="clear" w:pos="8176"/>
              <w:tab w:val="right" w:pos="9026" w:leader="dot"/>
            </w:tabs>
            <w:rPr/>
          </w:pPr>
          <w:hyperlink w:anchor="__RefHeading___Toc2136314_2314609296">
            <w:r>
              <w:rPr>
                <w:webHidden/>
                <w:rStyle w:val="IndexLink"/>
                <w:rtl w:val="true"/>
              </w:rPr>
              <w:t xml:space="preserve">مسألة </w:t>
            </w:r>
            <w:r>
              <w:rPr>
                <w:rStyle w:val="IndexLink"/>
                <w:rtl w:val="true"/>
              </w:rPr>
              <w:t>[</w:t>
            </w:r>
            <w:r>
              <w:rPr>
                <w:rStyle w:val="IndexLink"/>
              </w:rPr>
              <w:t>9</w:t>
            </w:r>
            <w:r>
              <w:rPr>
                <w:rStyle w:val="IndexLink"/>
                <w:rtl w:val="true"/>
              </w:rPr>
              <w:t>]</w:t>
              <w:tab/>
            </w:r>
            <w:r>
              <w:rPr>
                <w:rStyle w:val="IndexLink"/>
              </w:rPr>
              <w:t>126</w:t>
            </w:r>
          </w:hyperlink>
        </w:p>
        <w:p>
          <w:pPr>
            <w:pStyle w:val="Contents4"/>
            <w:tabs>
              <w:tab w:val="clear" w:pos="8176"/>
              <w:tab w:val="right" w:pos="9026" w:leader="dot"/>
            </w:tabs>
            <w:rPr/>
          </w:pPr>
          <w:hyperlink w:anchor="__RefHeading___Toc2136316_2314609296">
            <w:r>
              <w:rPr>
                <w:webHidden/>
                <w:rStyle w:val="IndexLink"/>
                <w:rtl w:val="true"/>
              </w:rPr>
              <w:t xml:space="preserve">مسألة </w:t>
            </w:r>
            <w:r>
              <w:rPr>
                <w:rStyle w:val="IndexLink"/>
                <w:rtl w:val="true"/>
              </w:rPr>
              <w:t>[</w:t>
            </w:r>
            <w:r>
              <w:rPr>
                <w:rStyle w:val="IndexLink"/>
              </w:rPr>
              <w:t>10</w:t>
            </w:r>
            <w:r>
              <w:rPr>
                <w:rStyle w:val="IndexLink"/>
                <w:rtl w:val="true"/>
              </w:rPr>
              <w:t>]</w:t>
              <w:tab/>
            </w:r>
            <w:r>
              <w:rPr>
                <w:rStyle w:val="IndexLink"/>
              </w:rPr>
              <w:t>130</w:t>
            </w:r>
          </w:hyperlink>
        </w:p>
        <w:p>
          <w:pPr>
            <w:pStyle w:val="Contents4"/>
            <w:tabs>
              <w:tab w:val="clear" w:pos="8176"/>
              <w:tab w:val="right" w:pos="9026" w:leader="dot"/>
            </w:tabs>
            <w:rPr/>
          </w:pPr>
          <w:hyperlink w:anchor="__RefHeading___Toc2136318_2314609296">
            <w:r>
              <w:rPr>
                <w:webHidden/>
                <w:rStyle w:val="IndexLink"/>
                <w:rtl w:val="true"/>
              </w:rPr>
              <w:t xml:space="preserve">مسألة </w:t>
            </w:r>
            <w:r>
              <w:rPr>
                <w:rStyle w:val="IndexLink"/>
                <w:rtl w:val="true"/>
              </w:rPr>
              <w:t>[</w:t>
            </w:r>
            <w:r>
              <w:rPr>
                <w:rStyle w:val="IndexLink"/>
              </w:rPr>
              <w:t>11</w:t>
            </w:r>
            <w:r>
              <w:rPr>
                <w:rStyle w:val="IndexLink"/>
                <w:rtl w:val="true"/>
              </w:rPr>
              <w:t>]</w:t>
              <w:tab/>
            </w:r>
            <w:r>
              <w:rPr>
                <w:rStyle w:val="IndexLink"/>
              </w:rPr>
              <w:t>133</w:t>
            </w:r>
          </w:hyperlink>
        </w:p>
        <w:p>
          <w:pPr>
            <w:pStyle w:val="Contents4"/>
            <w:tabs>
              <w:tab w:val="clear" w:pos="8176"/>
              <w:tab w:val="right" w:pos="9026" w:leader="dot"/>
            </w:tabs>
            <w:rPr/>
          </w:pPr>
          <w:hyperlink w:anchor="__RefHeading___Toc2136320_2314609296">
            <w:r>
              <w:rPr>
                <w:webHidden/>
                <w:rStyle w:val="IndexLink"/>
                <w:rtl w:val="true"/>
              </w:rPr>
              <w:t xml:space="preserve">مسألة </w:t>
            </w:r>
            <w:r>
              <w:rPr>
                <w:rStyle w:val="IndexLink"/>
                <w:rtl w:val="true"/>
              </w:rPr>
              <w:t>[</w:t>
            </w:r>
            <w:r>
              <w:rPr>
                <w:rStyle w:val="IndexLink"/>
              </w:rPr>
              <w:t>12</w:t>
            </w:r>
            <w:r>
              <w:rPr>
                <w:rStyle w:val="IndexLink"/>
                <w:rtl w:val="true"/>
              </w:rPr>
              <w:t>]</w:t>
              <w:tab/>
            </w:r>
            <w:r>
              <w:rPr>
                <w:rStyle w:val="IndexLink"/>
              </w:rPr>
              <w:t>146</w:t>
            </w:r>
          </w:hyperlink>
        </w:p>
        <w:p>
          <w:pPr>
            <w:pStyle w:val="Contents4"/>
            <w:tabs>
              <w:tab w:val="clear" w:pos="8176"/>
              <w:tab w:val="right" w:pos="9026" w:leader="dot"/>
            </w:tabs>
            <w:rPr/>
          </w:pPr>
          <w:hyperlink w:anchor="__RefHeading___Toc2136322_2314609296">
            <w:r>
              <w:rPr>
                <w:webHidden/>
                <w:rStyle w:val="IndexLink"/>
                <w:rtl w:val="true"/>
              </w:rPr>
              <w:t xml:space="preserve">مسألة </w:t>
            </w:r>
            <w:r>
              <w:rPr>
                <w:rStyle w:val="IndexLink"/>
                <w:rtl w:val="true"/>
              </w:rPr>
              <w:t>[</w:t>
            </w:r>
            <w:r>
              <w:rPr>
                <w:rStyle w:val="IndexLink"/>
              </w:rPr>
              <w:t>13</w:t>
            </w:r>
            <w:r>
              <w:rPr>
                <w:rStyle w:val="IndexLink"/>
                <w:rtl w:val="true"/>
              </w:rPr>
              <w:t>]</w:t>
              <w:tab/>
            </w:r>
            <w:r>
              <w:rPr>
                <w:rStyle w:val="IndexLink"/>
              </w:rPr>
              <w:t>147</w:t>
            </w:r>
          </w:hyperlink>
        </w:p>
        <w:p>
          <w:pPr>
            <w:pStyle w:val="Contents4"/>
            <w:tabs>
              <w:tab w:val="clear" w:pos="8176"/>
              <w:tab w:val="right" w:pos="9026" w:leader="dot"/>
            </w:tabs>
            <w:rPr/>
          </w:pPr>
          <w:hyperlink w:anchor="__RefHeading___Toc2136324_2314609296">
            <w:r>
              <w:rPr>
                <w:webHidden/>
                <w:rStyle w:val="IndexLink"/>
                <w:rtl w:val="true"/>
              </w:rPr>
              <w:t xml:space="preserve">مسألة </w:t>
            </w:r>
            <w:r>
              <w:rPr>
                <w:rStyle w:val="IndexLink"/>
                <w:rtl w:val="true"/>
              </w:rPr>
              <w:t>[</w:t>
            </w:r>
            <w:r>
              <w:rPr>
                <w:rStyle w:val="IndexLink"/>
              </w:rPr>
              <w:t>14</w:t>
            </w:r>
            <w:r>
              <w:rPr>
                <w:rStyle w:val="IndexLink"/>
                <w:rtl w:val="true"/>
              </w:rPr>
              <w:t>]</w:t>
              <w:tab/>
            </w:r>
            <w:r>
              <w:rPr>
                <w:rStyle w:val="IndexLink"/>
              </w:rPr>
              <w:t>150</w:t>
            </w:r>
          </w:hyperlink>
        </w:p>
        <w:p>
          <w:pPr>
            <w:pStyle w:val="Contents4"/>
            <w:tabs>
              <w:tab w:val="clear" w:pos="8176"/>
              <w:tab w:val="right" w:pos="9026" w:leader="dot"/>
            </w:tabs>
            <w:rPr/>
          </w:pPr>
          <w:hyperlink w:anchor="__RefHeading___Toc2136326_2314609296">
            <w:r>
              <w:rPr>
                <w:webHidden/>
                <w:rStyle w:val="IndexLink"/>
                <w:rtl w:val="true"/>
              </w:rPr>
              <w:t xml:space="preserve">مسألة </w:t>
            </w:r>
            <w:r>
              <w:rPr>
                <w:rStyle w:val="IndexLink"/>
                <w:rtl w:val="true"/>
              </w:rPr>
              <w:t>[</w:t>
            </w:r>
            <w:r>
              <w:rPr>
                <w:rStyle w:val="IndexLink"/>
              </w:rPr>
              <w:t>15</w:t>
            </w:r>
            <w:r>
              <w:rPr>
                <w:rStyle w:val="IndexLink"/>
                <w:rtl w:val="true"/>
              </w:rPr>
              <w:t>]</w:t>
              <w:tab/>
            </w:r>
            <w:r>
              <w:rPr>
                <w:rStyle w:val="IndexLink"/>
              </w:rPr>
              <w:t>156</w:t>
            </w:r>
          </w:hyperlink>
        </w:p>
        <w:p>
          <w:pPr>
            <w:pStyle w:val="Contents4"/>
            <w:tabs>
              <w:tab w:val="clear" w:pos="8176"/>
              <w:tab w:val="right" w:pos="9026" w:leader="dot"/>
            </w:tabs>
            <w:rPr/>
          </w:pPr>
          <w:hyperlink w:anchor="__RefHeading___Toc2136328_2314609296">
            <w:r>
              <w:rPr>
                <w:webHidden/>
                <w:rStyle w:val="IndexLink"/>
                <w:rtl w:val="true"/>
              </w:rPr>
              <w:t xml:space="preserve">مسألة </w:t>
            </w:r>
            <w:r>
              <w:rPr>
                <w:rStyle w:val="IndexLink"/>
                <w:rtl w:val="true"/>
              </w:rPr>
              <w:t>[</w:t>
            </w:r>
            <w:r>
              <w:rPr>
                <w:rStyle w:val="IndexLink"/>
              </w:rPr>
              <w:t>16</w:t>
            </w:r>
            <w:r>
              <w:rPr>
                <w:rStyle w:val="IndexLink"/>
                <w:rtl w:val="true"/>
              </w:rPr>
              <w:t>]</w:t>
              <w:tab/>
            </w:r>
            <w:r>
              <w:rPr>
                <w:rStyle w:val="IndexLink"/>
              </w:rPr>
              <w:t>169</w:t>
            </w:r>
          </w:hyperlink>
        </w:p>
        <w:p>
          <w:pPr>
            <w:pStyle w:val="Contents4"/>
            <w:tabs>
              <w:tab w:val="clear" w:pos="8176"/>
              <w:tab w:val="right" w:pos="9026" w:leader="dot"/>
            </w:tabs>
            <w:rPr/>
          </w:pPr>
          <w:hyperlink w:anchor="__RefHeading___Toc2136330_2314609296">
            <w:r>
              <w:rPr>
                <w:webHidden/>
                <w:rStyle w:val="IndexLink"/>
                <w:rtl w:val="true"/>
              </w:rPr>
              <w:t xml:space="preserve">مسألة </w:t>
            </w:r>
            <w:r>
              <w:rPr>
                <w:rStyle w:val="IndexLink"/>
                <w:rtl w:val="true"/>
              </w:rPr>
              <w:t>[</w:t>
            </w:r>
            <w:r>
              <w:rPr>
                <w:rStyle w:val="IndexLink"/>
              </w:rPr>
              <w:t>17</w:t>
            </w:r>
            <w:r>
              <w:rPr>
                <w:rStyle w:val="IndexLink"/>
                <w:rtl w:val="true"/>
              </w:rPr>
              <w:t>]</w:t>
              <w:tab/>
            </w:r>
            <w:r>
              <w:rPr>
                <w:rStyle w:val="IndexLink"/>
              </w:rPr>
              <w:t>177</w:t>
            </w:r>
          </w:hyperlink>
        </w:p>
        <w:p>
          <w:pPr>
            <w:pStyle w:val="Contents4"/>
            <w:tabs>
              <w:tab w:val="clear" w:pos="8176"/>
              <w:tab w:val="right" w:pos="9026" w:leader="dot"/>
            </w:tabs>
            <w:rPr/>
          </w:pPr>
          <w:hyperlink w:anchor="__RefHeading___Toc2136332_2314609296">
            <w:r>
              <w:rPr>
                <w:webHidden/>
                <w:rStyle w:val="IndexLink"/>
                <w:rtl w:val="true"/>
              </w:rPr>
              <w:t xml:space="preserve">مسألة </w:t>
            </w:r>
            <w:r>
              <w:rPr>
                <w:rStyle w:val="IndexLink"/>
                <w:rtl w:val="true"/>
              </w:rPr>
              <w:t>[</w:t>
            </w:r>
            <w:r>
              <w:rPr>
                <w:rStyle w:val="IndexLink"/>
              </w:rPr>
              <w:t>18</w:t>
            </w:r>
            <w:r>
              <w:rPr>
                <w:rStyle w:val="IndexLink"/>
                <w:rtl w:val="true"/>
              </w:rPr>
              <w:t>]</w:t>
              <w:tab/>
            </w:r>
            <w:r>
              <w:rPr>
                <w:rStyle w:val="IndexLink"/>
              </w:rPr>
              <w:t>179</w:t>
            </w:r>
          </w:hyperlink>
        </w:p>
        <w:p>
          <w:pPr>
            <w:pStyle w:val="Contents4"/>
            <w:tabs>
              <w:tab w:val="clear" w:pos="8176"/>
              <w:tab w:val="right" w:pos="9026" w:leader="dot"/>
            </w:tabs>
            <w:rPr/>
          </w:pPr>
          <w:hyperlink w:anchor="__RefHeading___Toc2136334_2314609296">
            <w:r>
              <w:rPr>
                <w:webHidden/>
                <w:rStyle w:val="IndexLink"/>
                <w:rtl w:val="true"/>
              </w:rPr>
              <w:t xml:space="preserve">مسألة </w:t>
            </w:r>
            <w:r>
              <w:rPr>
                <w:rStyle w:val="IndexLink"/>
                <w:rtl w:val="true"/>
              </w:rPr>
              <w:t>[</w:t>
            </w:r>
            <w:r>
              <w:rPr>
                <w:rStyle w:val="IndexLink"/>
              </w:rPr>
              <w:t>19</w:t>
            </w:r>
            <w:r>
              <w:rPr>
                <w:rStyle w:val="IndexLink"/>
                <w:rtl w:val="true"/>
              </w:rPr>
              <w:t>]</w:t>
              <w:tab/>
            </w:r>
            <w:r>
              <w:rPr>
                <w:rStyle w:val="IndexLink"/>
              </w:rPr>
              <w:t>187</w:t>
            </w:r>
          </w:hyperlink>
        </w:p>
        <w:p>
          <w:pPr>
            <w:pStyle w:val="Contents4"/>
            <w:tabs>
              <w:tab w:val="clear" w:pos="8176"/>
              <w:tab w:val="right" w:pos="9026" w:leader="dot"/>
            </w:tabs>
            <w:rPr/>
          </w:pPr>
          <w:hyperlink w:anchor="__RefHeading___Toc2136336_2314609296">
            <w:r>
              <w:rPr>
                <w:webHidden/>
                <w:rStyle w:val="IndexLink"/>
                <w:rtl w:val="true"/>
              </w:rPr>
              <w:t xml:space="preserve">مسألة </w:t>
            </w:r>
            <w:r>
              <w:rPr>
                <w:rStyle w:val="IndexLink"/>
                <w:rtl w:val="true"/>
              </w:rPr>
              <w:t>[</w:t>
            </w:r>
            <w:r>
              <w:rPr>
                <w:rStyle w:val="IndexLink"/>
              </w:rPr>
              <w:t>20</w:t>
            </w:r>
            <w:r>
              <w:rPr>
                <w:rStyle w:val="IndexLink"/>
                <w:rtl w:val="true"/>
              </w:rPr>
              <w:t>]</w:t>
              <w:tab/>
            </w:r>
            <w:r>
              <w:rPr>
                <w:rStyle w:val="IndexLink"/>
              </w:rPr>
              <w:t>196</w:t>
            </w:r>
          </w:hyperlink>
        </w:p>
        <w:p>
          <w:pPr>
            <w:pStyle w:val="Contents4"/>
            <w:tabs>
              <w:tab w:val="clear" w:pos="8176"/>
              <w:tab w:val="right" w:pos="9026" w:leader="dot"/>
            </w:tabs>
            <w:rPr/>
          </w:pPr>
          <w:hyperlink w:anchor="__RefHeading___Toc2136338_2314609296">
            <w:r>
              <w:rPr>
                <w:webHidden/>
                <w:rStyle w:val="IndexLink"/>
                <w:rtl w:val="true"/>
              </w:rPr>
              <w:t xml:space="preserve">مسألة </w:t>
            </w:r>
            <w:r>
              <w:rPr>
                <w:rStyle w:val="IndexLink"/>
                <w:rtl w:val="true"/>
              </w:rPr>
              <w:t>[</w:t>
            </w:r>
            <w:r>
              <w:rPr>
                <w:rStyle w:val="IndexLink"/>
              </w:rPr>
              <w:t>21</w:t>
            </w:r>
            <w:r>
              <w:rPr>
                <w:rStyle w:val="IndexLink"/>
                <w:rtl w:val="true"/>
              </w:rPr>
              <w:t>]</w:t>
              <w:tab/>
            </w:r>
            <w:r>
              <w:rPr>
                <w:rStyle w:val="IndexLink"/>
              </w:rPr>
              <w:t>200</w:t>
            </w:r>
          </w:hyperlink>
        </w:p>
        <w:p>
          <w:pPr>
            <w:pStyle w:val="Contents4"/>
            <w:tabs>
              <w:tab w:val="clear" w:pos="8176"/>
              <w:tab w:val="right" w:pos="9026" w:leader="dot"/>
            </w:tabs>
            <w:rPr/>
          </w:pPr>
          <w:hyperlink w:anchor="__RefHeading___Toc2136340_2314609296">
            <w:r>
              <w:rPr>
                <w:webHidden/>
                <w:rStyle w:val="IndexLink"/>
                <w:rtl w:val="true"/>
              </w:rPr>
              <w:t xml:space="preserve">مسألة </w:t>
            </w:r>
            <w:r>
              <w:rPr>
                <w:rStyle w:val="IndexLink"/>
                <w:rtl w:val="true"/>
              </w:rPr>
              <w:t>[</w:t>
            </w:r>
            <w:r>
              <w:rPr>
                <w:rStyle w:val="IndexLink"/>
              </w:rPr>
              <w:t>22</w:t>
            </w:r>
            <w:r>
              <w:rPr>
                <w:rStyle w:val="IndexLink"/>
                <w:rtl w:val="true"/>
              </w:rPr>
              <w:t>]</w:t>
              <w:tab/>
            </w:r>
            <w:r>
              <w:rPr>
                <w:rStyle w:val="IndexLink"/>
              </w:rPr>
              <w:t>212</w:t>
            </w:r>
          </w:hyperlink>
        </w:p>
        <w:p>
          <w:pPr>
            <w:pStyle w:val="Contents4"/>
            <w:tabs>
              <w:tab w:val="clear" w:pos="8176"/>
              <w:tab w:val="right" w:pos="9026" w:leader="dot"/>
            </w:tabs>
            <w:rPr/>
          </w:pPr>
          <w:hyperlink w:anchor="__RefHeading___Toc2136342_2314609296">
            <w:r>
              <w:rPr>
                <w:webHidden/>
                <w:rStyle w:val="IndexLink"/>
                <w:rtl w:val="true"/>
              </w:rPr>
              <w:t xml:space="preserve">مسألة </w:t>
            </w:r>
            <w:r>
              <w:rPr>
                <w:rStyle w:val="IndexLink"/>
                <w:rtl w:val="true"/>
              </w:rPr>
              <w:t>[</w:t>
            </w:r>
            <w:r>
              <w:rPr>
                <w:rStyle w:val="IndexLink"/>
              </w:rPr>
              <w:t>23</w:t>
            </w:r>
            <w:r>
              <w:rPr>
                <w:rStyle w:val="IndexLink"/>
                <w:rtl w:val="true"/>
              </w:rPr>
              <w:t>]</w:t>
              <w:tab/>
            </w:r>
            <w:r>
              <w:rPr>
                <w:rStyle w:val="IndexLink"/>
              </w:rPr>
              <w:t>214</w:t>
            </w:r>
          </w:hyperlink>
        </w:p>
        <w:p>
          <w:pPr>
            <w:pStyle w:val="Contents4"/>
            <w:tabs>
              <w:tab w:val="clear" w:pos="8176"/>
              <w:tab w:val="right" w:pos="9026" w:leader="dot"/>
            </w:tabs>
            <w:rPr/>
          </w:pPr>
          <w:hyperlink w:anchor="__RefHeading___Toc2136344_2314609296">
            <w:r>
              <w:rPr>
                <w:webHidden/>
                <w:rStyle w:val="IndexLink"/>
                <w:rtl w:val="true"/>
              </w:rPr>
              <w:t xml:space="preserve">مسألة </w:t>
            </w:r>
            <w:r>
              <w:rPr>
                <w:rStyle w:val="IndexLink"/>
                <w:rtl w:val="true"/>
              </w:rPr>
              <w:t>[</w:t>
            </w:r>
            <w:r>
              <w:rPr>
                <w:rStyle w:val="IndexLink"/>
              </w:rPr>
              <w:t>24</w:t>
            </w:r>
            <w:r>
              <w:rPr>
                <w:rStyle w:val="IndexLink"/>
                <w:rtl w:val="true"/>
              </w:rPr>
              <w:t>]</w:t>
              <w:tab/>
            </w:r>
            <w:r>
              <w:rPr>
                <w:rStyle w:val="IndexLink"/>
              </w:rPr>
              <w:t>218</w:t>
            </w:r>
          </w:hyperlink>
        </w:p>
        <w:p>
          <w:pPr>
            <w:pStyle w:val="Contents4"/>
            <w:tabs>
              <w:tab w:val="clear" w:pos="8176"/>
              <w:tab w:val="right" w:pos="9026" w:leader="dot"/>
            </w:tabs>
            <w:rPr/>
          </w:pPr>
          <w:hyperlink w:anchor="__RefHeading___Toc2136346_2314609296">
            <w:r>
              <w:rPr>
                <w:webHidden/>
                <w:rStyle w:val="IndexLink"/>
                <w:rtl w:val="true"/>
              </w:rPr>
              <w:t xml:space="preserve">مسألة </w:t>
            </w:r>
            <w:r>
              <w:rPr>
                <w:rStyle w:val="IndexLink"/>
                <w:rtl w:val="true"/>
              </w:rPr>
              <w:t>[</w:t>
            </w:r>
            <w:r>
              <w:rPr>
                <w:rStyle w:val="IndexLink"/>
              </w:rPr>
              <w:t>25</w:t>
            </w:r>
            <w:r>
              <w:rPr>
                <w:rStyle w:val="IndexLink"/>
                <w:rtl w:val="true"/>
              </w:rPr>
              <w:t>]</w:t>
              <w:tab/>
            </w:r>
            <w:r>
              <w:rPr>
                <w:rStyle w:val="IndexLink"/>
              </w:rPr>
              <w:t>224</w:t>
            </w:r>
          </w:hyperlink>
        </w:p>
        <w:p>
          <w:pPr>
            <w:pStyle w:val="Contents4"/>
            <w:tabs>
              <w:tab w:val="clear" w:pos="8176"/>
              <w:tab w:val="right" w:pos="9026" w:leader="dot"/>
            </w:tabs>
            <w:rPr/>
          </w:pPr>
          <w:hyperlink w:anchor="__RefHeading___Toc2136348_2314609296">
            <w:r>
              <w:rPr>
                <w:webHidden/>
                <w:rStyle w:val="IndexLink"/>
                <w:rtl w:val="true"/>
              </w:rPr>
              <w:t xml:space="preserve">مسألة </w:t>
            </w:r>
            <w:r>
              <w:rPr>
                <w:rStyle w:val="IndexLink"/>
                <w:rtl w:val="true"/>
              </w:rPr>
              <w:t>[</w:t>
            </w:r>
            <w:r>
              <w:rPr>
                <w:rStyle w:val="IndexLink"/>
              </w:rPr>
              <w:t>26</w:t>
            </w:r>
            <w:r>
              <w:rPr>
                <w:rStyle w:val="IndexLink"/>
                <w:rtl w:val="true"/>
              </w:rPr>
              <w:t>]</w:t>
              <w:tab/>
            </w:r>
            <w:r>
              <w:rPr>
                <w:rStyle w:val="IndexLink"/>
              </w:rPr>
              <w:t>229</w:t>
            </w:r>
          </w:hyperlink>
        </w:p>
        <w:p>
          <w:pPr>
            <w:pStyle w:val="Contents4"/>
            <w:tabs>
              <w:tab w:val="clear" w:pos="8176"/>
              <w:tab w:val="right" w:pos="9026" w:leader="dot"/>
            </w:tabs>
            <w:rPr/>
          </w:pPr>
          <w:hyperlink w:anchor="__RefHeading___Toc2136350_2314609296">
            <w:r>
              <w:rPr>
                <w:webHidden/>
                <w:rStyle w:val="IndexLink"/>
                <w:rtl w:val="true"/>
              </w:rPr>
              <w:t xml:space="preserve">مسألة </w:t>
            </w:r>
            <w:r>
              <w:rPr>
                <w:rStyle w:val="IndexLink"/>
                <w:rtl w:val="true"/>
              </w:rPr>
              <w:t>[</w:t>
            </w:r>
            <w:r>
              <w:rPr>
                <w:rStyle w:val="IndexLink"/>
              </w:rPr>
              <w:t>27</w:t>
            </w:r>
            <w:r>
              <w:rPr>
                <w:rStyle w:val="IndexLink"/>
                <w:rtl w:val="true"/>
              </w:rPr>
              <w:t>]</w:t>
              <w:tab/>
            </w:r>
            <w:r>
              <w:rPr>
                <w:rStyle w:val="IndexLink"/>
              </w:rPr>
              <w:t>238</w:t>
            </w:r>
          </w:hyperlink>
        </w:p>
        <w:p>
          <w:pPr>
            <w:pStyle w:val="Contents4"/>
            <w:tabs>
              <w:tab w:val="clear" w:pos="8176"/>
              <w:tab w:val="right" w:pos="9026" w:leader="dot"/>
            </w:tabs>
            <w:rPr/>
          </w:pPr>
          <w:hyperlink w:anchor="__RefHeading___Toc2136352_2314609296">
            <w:r>
              <w:rPr>
                <w:webHidden/>
                <w:rStyle w:val="IndexLink"/>
                <w:rtl w:val="true"/>
              </w:rPr>
              <w:t xml:space="preserve">مسألة </w:t>
            </w:r>
            <w:r>
              <w:rPr>
                <w:rStyle w:val="IndexLink"/>
                <w:rtl w:val="true"/>
              </w:rPr>
              <w:t>[</w:t>
            </w:r>
            <w:r>
              <w:rPr>
                <w:rStyle w:val="IndexLink"/>
              </w:rPr>
              <w:t>28</w:t>
            </w:r>
            <w:r>
              <w:rPr>
                <w:rStyle w:val="IndexLink"/>
                <w:rtl w:val="true"/>
              </w:rPr>
              <w:t>]</w:t>
              <w:tab/>
            </w:r>
            <w:r>
              <w:rPr>
                <w:rStyle w:val="IndexLink"/>
              </w:rPr>
              <w:t>242</w:t>
            </w:r>
          </w:hyperlink>
        </w:p>
        <w:p>
          <w:pPr>
            <w:pStyle w:val="Contents4"/>
            <w:tabs>
              <w:tab w:val="clear" w:pos="8176"/>
              <w:tab w:val="right" w:pos="9026" w:leader="dot"/>
            </w:tabs>
            <w:rPr/>
          </w:pPr>
          <w:hyperlink w:anchor="__RefHeading___Toc2136354_2314609296">
            <w:r>
              <w:rPr>
                <w:webHidden/>
                <w:rStyle w:val="IndexLink"/>
                <w:rtl w:val="true"/>
              </w:rPr>
              <w:t xml:space="preserve">مسألة </w:t>
            </w:r>
            <w:r>
              <w:rPr>
                <w:rStyle w:val="IndexLink"/>
                <w:rtl w:val="true"/>
              </w:rPr>
              <w:t>[</w:t>
            </w:r>
            <w:r>
              <w:rPr>
                <w:rStyle w:val="IndexLink"/>
              </w:rPr>
              <w:t>29</w:t>
            </w:r>
            <w:r>
              <w:rPr>
                <w:rStyle w:val="IndexLink"/>
                <w:rtl w:val="true"/>
              </w:rPr>
              <w:t>]</w:t>
              <w:tab/>
            </w:r>
            <w:r>
              <w:rPr>
                <w:rStyle w:val="IndexLink"/>
              </w:rPr>
              <w:t>253</w:t>
            </w:r>
          </w:hyperlink>
        </w:p>
        <w:p>
          <w:pPr>
            <w:pStyle w:val="Contents4"/>
            <w:tabs>
              <w:tab w:val="clear" w:pos="8176"/>
              <w:tab w:val="right" w:pos="9026" w:leader="dot"/>
            </w:tabs>
            <w:rPr/>
          </w:pPr>
          <w:hyperlink w:anchor="__RefHeading___Toc2136356_2314609296">
            <w:r>
              <w:rPr>
                <w:webHidden/>
                <w:rStyle w:val="IndexLink"/>
                <w:rtl w:val="true"/>
              </w:rPr>
              <w:t xml:space="preserve">مسألة </w:t>
            </w:r>
            <w:r>
              <w:rPr>
                <w:rStyle w:val="IndexLink"/>
                <w:rtl w:val="true"/>
              </w:rPr>
              <w:t>[</w:t>
            </w:r>
            <w:r>
              <w:rPr>
                <w:rStyle w:val="IndexLink"/>
              </w:rPr>
              <w:t>30</w:t>
            </w:r>
            <w:r>
              <w:rPr>
                <w:rStyle w:val="IndexLink"/>
                <w:rtl w:val="true"/>
              </w:rPr>
              <w:t>]</w:t>
              <w:tab/>
            </w:r>
            <w:r>
              <w:rPr>
                <w:rStyle w:val="IndexLink"/>
              </w:rPr>
              <w:t>259</w:t>
            </w:r>
          </w:hyperlink>
        </w:p>
        <w:p>
          <w:pPr>
            <w:pStyle w:val="Contents4"/>
            <w:tabs>
              <w:tab w:val="clear" w:pos="8176"/>
              <w:tab w:val="right" w:pos="9026" w:leader="dot"/>
            </w:tabs>
            <w:rPr/>
          </w:pPr>
          <w:hyperlink w:anchor="__RefHeading___Toc2136358_2314609296">
            <w:r>
              <w:rPr>
                <w:webHidden/>
                <w:rStyle w:val="IndexLink"/>
                <w:rtl w:val="true"/>
              </w:rPr>
              <w:t xml:space="preserve">مسألة </w:t>
            </w:r>
            <w:r>
              <w:rPr>
                <w:rStyle w:val="IndexLink"/>
                <w:rtl w:val="true"/>
              </w:rPr>
              <w:t>[</w:t>
            </w:r>
            <w:r>
              <w:rPr>
                <w:rStyle w:val="IndexLink"/>
              </w:rPr>
              <w:t>31</w:t>
            </w:r>
            <w:r>
              <w:rPr>
                <w:rStyle w:val="IndexLink"/>
                <w:rtl w:val="true"/>
              </w:rPr>
              <w:t>]</w:t>
              <w:tab/>
            </w:r>
            <w:r>
              <w:rPr>
                <w:rStyle w:val="IndexLink"/>
              </w:rPr>
              <w:t>263</w:t>
            </w:r>
          </w:hyperlink>
        </w:p>
        <w:p>
          <w:pPr>
            <w:pStyle w:val="Contents4"/>
            <w:tabs>
              <w:tab w:val="clear" w:pos="8176"/>
              <w:tab w:val="right" w:pos="9026" w:leader="dot"/>
            </w:tabs>
            <w:rPr/>
          </w:pPr>
          <w:hyperlink w:anchor="__RefHeading___Toc2136360_2314609296">
            <w:r>
              <w:rPr>
                <w:webHidden/>
                <w:rStyle w:val="IndexLink"/>
                <w:rtl w:val="true"/>
              </w:rPr>
              <w:t xml:space="preserve">مسألة </w:t>
            </w:r>
            <w:r>
              <w:rPr>
                <w:rStyle w:val="IndexLink"/>
                <w:rtl w:val="true"/>
              </w:rPr>
              <w:t>[</w:t>
            </w:r>
            <w:r>
              <w:rPr>
                <w:rStyle w:val="IndexLink"/>
              </w:rPr>
              <w:t>32</w:t>
            </w:r>
            <w:r>
              <w:rPr>
                <w:rStyle w:val="IndexLink"/>
                <w:rtl w:val="true"/>
              </w:rPr>
              <w:t>]</w:t>
              <w:tab/>
            </w:r>
            <w:r>
              <w:rPr>
                <w:rStyle w:val="IndexLink"/>
              </w:rPr>
              <w:t>266</w:t>
            </w:r>
          </w:hyperlink>
        </w:p>
        <w:p>
          <w:pPr>
            <w:pStyle w:val="Contents4"/>
            <w:tabs>
              <w:tab w:val="clear" w:pos="8176"/>
              <w:tab w:val="right" w:pos="9026" w:leader="dot"/>
            </w:tabs>
            <w:rPr/>
          </w:pPr>
          <w:hyperlink w:anchor="__RefHeading___Toc2136362_2314609296">
            <w:r>
              <w:rPr>
                <w:webHidden/>
                <w:rStyle w:val="IndexLink"/>
                <w:rtl w:val="true"/>
              </w:rPr>
              <w:t xml:space="preserve">مسألة </w:t>
            </w:r>
            <w:r>
              <w:rPr>
                <w:rStyle w:val="IndexLink"/>
                <w:rtl w:val="true"/>
              </w:rPr>
              <w:t>[</w:t>
            </w:r>
            <w:r>
              <w:rPr>
                <w:rStyle w:val="IndexLink"/>
              </w:rPr>
              <w:t>33</w:t>
            </w:r>
            <w:r>
              <w:rPr>
                <w:rStyle w:val="IndexLink"/>
                <w:rtl w:val="true"/>
              </w:rPr>
              <w:t>]</w:t>
              <w:tab/>
            </w:r>
            <w:r>
              <w:rPr>
                <w:rStyle w:val="IndexLink"/>
              </w:rPr>
              <w:t>278</w:t>
            </w:r>
          </w:hyperlink>
        </w:p>
        <w:p>
          <w:pPr>
            <w:pStyle w:val="Contents4"/>
            <w:tabs>
              <w:tab w:val="clear" w:pos="8176"/>
              <w:tab w:val="right" w:pos="9026" w:leader="dot"/>
            </w:tabs>
            <w:rPr/>
          </w:pPr>
          <w:hyperlink w:anchor="__RefHeading___Toc2136364_2314609296">
            <w:r>
              <w:rPr>
                <w:webHidden/>
                <w:rStyle w:val="IndexLink"/>
                <w:rtl w:val="true"/>
              </w:rPr>
              <w:t xml:space="preserve">مسألة </w:t>
            </w:r>
            <w:r>
              <w:rPr>
                <w:rStyle w:val="IndexLink"/>
                <w:rtl w:val="true"/>
              </w:rPr>
              <w:t>[</w:t>
            </w:r>
            <w:r>
              <w:rPr>
                <w:rStyle w:val="IndexLink"/>
              </w:rPr>
              <w:t>34</w:t>
            </w:r>
            <w:r>
              <w:rPr>
                <w:rStyle w:val="IndexLink"/>
                <w:rtl w:val="true"/>
              </w:rPr>
              <w:t>]</w:t>
              <w:tab/>
            </w:r>
            <w:r>
              <w:rPr>
                <w:rStyle w:val="IndexLink"/>
              </w:rPr>
              <w:t>288</w:t>
            </w:r>
          </w:hyperlink>
        </w:p>
        <w:p>
          <w:pPr>
            <w:pStyle w:val="Contents4"/>
            <w:tabs>
              <w:tab w:val="clear" w:pos="8176"/>
              <w:tab w:val="right" w:pos="9026" w:leader="dot"/>
            </w:tabs>
            <w:rPr/>
          </w:pPr>
          <w:hyperlink w:anchor="__RefHeading___Toc2136366_2314609296">
            <w:r>
              <w:rPr>
                <w:webHidden/>
                <w:rStyle w:val="IndexLink"/>
                <w:rtl w:val="true"/>
              </w:rPr>
              <w:t xml:space="preserve">مسألة </w:t>
            </w:r>
            <w:r>
              <w:rPr>
                <w:rStyle w:val="IndexLink"/>
                <w:rtl w:val="true"/>
              </w:rPr>
              <w:t>[</w:t>
            </w:r>
            <w:r>
              <w:rPr>
                <w:rStyle w:val="IndexLink"/>
              </w:rPr>
              <w:t>36</w:t>
            </w:r>
            <w:r>
              <w:rPr>
                <w:rStyle w:val="IndexLink"/>
                <w:rtl w:val="true"/>
              </w:rPr>
              <w:t>]</w:t>
              <w:tab/>
            </w:r>
            <w:r>
              <w:rPr>
                <w:rStyle w:val="IndexLink"/>
              </w:rPr>
              <w:t>304</w:t>
            </w:r>
          </w:hyperlink>
        </w:p>
        <w:p>
          <w:pPr>
            <w:pStyle w:val="Contents4"/>
            <w:tabs>
              <w:tab w:val="clear" w:pos="8176"/>
              <w:tab w:val="right" w:pos="9026" w:leader="dot"/>
            </w:tabs>
            <w:rPr/>
          </w:pPr>
          <w:hyperlink w:anchor="__RefHeading___Toc2136368_2314609296">
            <w:r>
              <w:rPr>
                <w:webHidden/>
                <w:rStyle w:val="IndexLink"/>
                <w:rtl w:val="true"/>
              </w:rPr>
              <w:t xml:space="preserve">مسألة </w:t>
            </w:r>
            <w:r>
              <w:rPr>
                <w:rStyle w:val="IndexLink"/>
                <w:rtl w:val="true"/>
              </w:rPr>
              <w:t>[</w:t>
            </w:r>
            <w:r>
              <w:rPr>
                <w:rStyle w:val="IndexLink"/>
              </w:rPr>
              <w:t>37</w:t>
            </w:r>
            <w:r>
              <w:rPr>
                <w:rStyle w:val="IndexLink"/>
                <w:rtl w:val="true"/>
              </w:rPr>
              <w:t>]</w:t>
              <w:tab/>
            </w:r>
            <w:r>
              <w:rPr>
                <w:rStyle w:val="IndexLink"/>
              </w:rPr>
              <w:t>310</w:t>
            </w:r>
          </w:hyperlink>
        </w:p>
        <w:p>
          <w:pPr>
            <w:pStyle w:val="Contents4"/>
            <w:tabs>
              <w:tab w:val="clear" w:pos="8176"/>
              <w:tab w:val="right" w:pos="9026" w:leader="dot"/>
            </w:tabs>
            <w:rPr/>
          </w:pPr>
          <w:hyperlink w:anchor="__RefHeading___Toc2136370_2314609296">
            <w:r>
              <w:rPr>
                <w:webHidden/>
                <w:rStyle w:val="IndexLink"/>
                <w:rtl w:val="true"/>
              </w:rPr>
              <w:t xml:space="preserve">مسألة </w:t>
            </w:r>
            <w:r>
              <w:rPr>
                <w:rStyle w:val="IndexLink"/>
                <w:rtl w:val="true"/>
              </w:rPr>
              <w:t>[</w:t>
            </w:r>
            <w:r>
              <w:rPr>
                <w:rStyle w:val="IndexLink"/>
              </w:rPr>
              <w:t>38</w:t>
            </w:r>
            <w:r>
              <w:rPr>
                <w:rStyle w:val="IndexLink"/>
                <w:rtl w:val="true"/>
              </w:rPr>
              <w:t>]</w:t>
              <w:tab/>
            </w:r>
            <w:r>
              <w:rPr>
                <w:rStyle w:val="IndexLink"/>
              </w:rPr>
              <w:t>318</w:t>
            </w:r>
          </w:hyperlink>
        </w:p>
        <w:p>
          <w:pPr>
            <w:pStyle w:val="Contents4"/>
            <w:tabs>
              <w:tab w:val="clear" w:pos="8176"/>
              <w:tab w:val="right" w:pos="9026" w:leader="dot"/>
            </w:tabs>
            <w:rPr/>
          </w:pPr>
          <w:hyperlink w:anchor="__RefHeading___Toc2136372_2314609296">
            <w:r>
              <w:rPr>
                <w:webHidden/>
                <w:rStyle w:val="IndexLink"/>
                <w:rtl w:val="true"/>
              </w:rPr>
              <w:t xml:space="preserve">مسألة </w:t>
            </w:r>
            <w:r>
              <w:rPr>
                <w:rStyle w:val="IndexLink"/>
                <w:rtl w:val="true"/>
              </w:rPr>
              <w:t>[</w:t>
            </w:r>
            <w:r>
              <w:rPr>
                <w:rStyle w:val="IndexLink"/>
              </w:rPr>
              <w:t>39</w:t>
            </w:r>
            <w:r>
              <w:rPr>
                <w:rStyle w:val="IndexLink"/>
                <w:rtl w:val="true"/>
              </w:rPr>
              <w:t>]</w:t>
              <w:tab/>
            </w:r>
            <w:r>
              <w:rPr>
                <w:rStyle w:val="IndexLink"/>
              </w:rPr>
              <w:t>326</w:t>
            </w:r>
          </w:hyperlink>
        </w:p>
        <w:p>
          <w:pPr>
            <w:pStyle w:val="Contents4"/>
            <w:tabs>
              <w:tab w:val="clear" w:pos="8176"/>
              <w:tab w:val="right" w:pos="9026" w:leader="dot"/>
            </w:tabs>
            <w:rPr/>
          </w:pPr>
          <w:hyperlink w:anchor="__RefHeading___Toc2136374_2314609296">
            <w:r>
              <w:rPr>
                <w:webHidden/>
                <w:rStyle w:val="IndexLink"/>
                <w:rtl w:val="true"/>
              </w:rPr>
              <w:t xml:space="preserve">مسألة </w:t>
            </w:r>
            <w:r>
              <w:rPr>
                <w:rStyle w:val="IndexLink"/>
                <w:rtl w:val="true"/>
              </w:rPr>
              <w:t>[</w:t>
            </w:r>
            <w:r>
              <w:rPr>
                <w:rStyle w:val="IndexLink"/>
              </w:rPr>
              <w:t>40</w:t>
            </w:r>
            <w:r>
              <w:rPr>
                <w:rStyle w:val="IndexLink"/>
                <w:rtl w:val="true"/>
              </w:rPr>
              <w:t>]</w:t>
              <w:tab/>
            </w:r>
            <w:r>
              <w:rPr>
                <w:rStyle w:val="IndexLink"/>
              </w:rPr>
              <w:t>335</w:t>
            </w:r>
          </w:hyperlink>
        </w:p>
        <w:p>
          <w:pPr>
            <w:pStyle w:val="Contents4"/>
            <w:tabs>
              <w:tab w:val="clear" w:pos="8176"/>
              <w:tab w:val="right" w:pos="9026" w:leader="dot"/>
            </w:tabs>
            <w:rPr/>
          </w:pPr>
          <w:hyperlink w:anchor="__RefHeading___Toc2136376_2314609296">
            <w:r>
              <w:rPr>
                <w:webHidden/>
                <w:rStyle w:val="IndexLink"/>
                <w:rtl w:val="true"/>
              </w:rPr>
              <w:t xml:space="preserve">مسألة </w:t>
            </w:r>
            <w:r>
              <w:rPr>
                <w:rStyle w:val="IndexLink"/>
                <w:rtl w:val="true"/>
              </w:rPr>
              <w:t>[</w:t>
            </w:r>
            <w:r>
              <w:rPr>
                <w:rStyle w:val="IndexLink"/>
              </w:rPr>
              <w:t>41</w:t>
            </w:r>
            <w:r>
              <w:rPr>
                <w:rStyle w:val="IndexLink"/>
                <w:rtl w:val="true"/>
              </w:rPr>
              <w:t>]</w:t>
              <w:tab/>
            </w:r>
            <w:r>
              <w:rPr>
                <w:rStyle w:val="IndexLink"/>
              </w:rPr>
              <w:t>345</w:t>
            </w:r>
          </w:hyperlink>
        </w:p>
        <w:p>
          <w:pPr>
            <w:pStyle w:val="Contents4"/>
            <w:tabs>
              <w:tab w:val="clear" w:pos="8176"/>
              <w:tab w:val="right" w:pos="9026" w:leader="dot"/>
            </w:tabs>
            <w:rPr/>
          </w:pPr>
          <w:hyperlink w:anchor="__RefHeading___Toc2136378_2314609296">
            <w:r>
              <w:rPr>
                <w:webHidden/>
                <w:rStyle w:val="IndexLink"/>
                <w:rtl w:val="true"/>
              </w:rPr>
              <w:t xml:space="preserve">مسألة </w:t>
            </w:r>
            <w:r>
              <w:rPr>
                <w:rStyle w:val="IndexLink"/>
                <w:rtl w:val="true"/>
              </w:rPr>
              <w:t>[</w:t>
            </w:r>
            <w:r>
              <w:rPr>
                <w:rStyle w:val="IndexLink"/>
              </w:rPr>
              <w:t>42</w:t>
            </w:r>
            <w:r>
              <w:rPr>
                <w:rStyle w:val="IndexLink"/>
                <w:rtl w:val="true"/>
              </w:rPr>
              <w:t>]</w:t>
              <w:tab/>
            </w:r>
            <w:r>
              <w:rPr>
                <w:rStyle w:val="IndexLink"/>
              </w:rPr>
              <w:t>356</w:t>
            </w:r>
          </w:hyperlink>
        </w:p>
        <w:p>
          <w:pPr>
            <w:pStyle w:val="Contents4"/>
            <w:tabs>
              <w:tab w:val="clear" w:pos="8176"/>
              <w:tab w:val="right" w:pos="9026" w:leader="dot"/>
            </w:tabs>
            <w:rPr/>
          </w:pPr>
          <w:hyperlink w:anchor="__RefHeading___Toc2136380_2314609296">
            <w:r>
              <w:rPr>
                <w:webHidden/>
                <w:rStyle w:val="IndexLink"/>
                <w:rtl w:val="true"/>
              </w:rPr>
              <w:t xml:space="preserve">مسألة </w:t>
            </w:r>
            <w:r>
              <w:rPr>
                <w:rStyle w:val="IndexLink"/>
                <w:rtl w:val="true"/>
              </w:rPr>
              <w:t>[</w:t>
            </w:r>
            <w:r>
              <w:rPr>
                <w:rStyle w:val="IndexLink"/>
              </w:rPr>
              <w:t>43</w:t>
            </w:r>
            <w:r>
              <w:rPr>
                <w:rStyle w:val="IndexLink"/>
                <w:rtl w:val="true"/>
              </w:rPr>
              <w:t>]</w:t>
              <w:tab/>
            </w:r>
            <w:r>
              <w:rPr>
                <w:rStyle w:val="IndexLink"/>
              </w:rPr>
              <w:t>362</w:t>
            </w:r>
          </w:hyperlink>
        </w:p>
        <w:p>
          <w:pPr>
            <w:pStyle w:val="Contents4"/>
            <w:tabs>
              <w:tab w:val="clear" w:pos="8176"/>
              <w:tab w:val="right" w:pos="9026" w:leader="dot"/>
            </w:tabs>
            <w:rPr/>
          </w:pPr>
          <w:hyperlink w:anchor="__RefHeading___Toc2136382_2314609296">
            <w:r>
              <w:rPr>
                <w:webHidden/>
                <w:rStyle w:val="IndexLink"/>
                <w:rtl w:val="true"/>
              </w:rPr>
              <w:t xml:space="preserve">مسألة </w:t>
            </w:r>
            <w:r>
              <w:rPr>
                <w:rStyle w:val="IndexLink"/>
                <w:rtl w:val="true"/>
              </w:rPr>
              <w:t>[</w:t>
            </w:r>
            <w:r>
              <w:rPr>
                <w:rStyle w:val="IndexLink"/>
              </w:rPr>
              <w:t>44</w:t>
            </w:r>
            <w:r>
              <w:rPr>
                <w:rStyle w:val="IndexLink"/>
                <w:rtl w:val="true"/>
              </w:rPr>
              <w:t>]</w:t>
              <w:tab/>
            </w:r>
            <w:r>
              <w:rPr>
                <w:rStyle w:val="IndexLink"/>
              </w:rPr>
              <w:t>371</w:t>
            </w:r>
          </w:hyperlink>
        </w:p>
        <w:p>
          <w:pPr>
            <w:pStyle w:val="Contents4"/>
            <w:tabs>
              <w:tab w:val="clear" w:pos="8176"/>
              <w:tab w:val="right" w:pos="9026" w:leader="dot"/>
            </w:tabs>
            <w:rPr/>
          </w:pPr>
          <w:hyperlink w:anchor="__RefHeading___Toc2136384_2314609296">
            <w:r>
              <w:rPr>
                <w:webHidden/>
                <w:rStyle w:val="IndexLink"/>
                <w:rtl w:val="true"/>
              </w:rPr>
              <w:t xml:space="preserve">مسألة </w:t>
            </w:r>
            <w:r>
              <w:rPr>
                <w:rStyle w:val="IndexLink"/>
                <w:rtl w:val="true"/>
              </w:rPr>
              <w:t>[</w:t>
            </w:r>
            <w:r>
              <w:rPr>
                <w:rStyle w:val="IndexLink"/>
              </w:rPr>
              <w:t>45</w:t>
            </w:r>
            <w:r>
              <w:rPr>
                <w:rStyle w:val="IndexLink"/>
                <w:rtl w:val="true"/>
              </w:rPr>
              <w:t>]</w:t>
              <w:tab/>
            </w:r>
            <w:r>
              <w:rPr>
                <w:rStyle w:val="IndexLink"/>
              </w:rPr>
              <w:t>376</w:t>
            </w:r>
          </w:hyperlink>
        </w:p>
        <w:p>
          <w:pPr>
            <w:pStyle w:val="Contents4"/>
            <w:tabs>
              <w:tab w:val="clear" w:pos="8176"/>
              <w:tab w:val="right" w:pos="9026" w:leader="dot"/>
            </w:tabs>
            <w:rPr/>
          </w:pPr>
          <w:hyperlink w:anchor="__RefHeading___Toc2136386_2314609296">
            <w:r>
              <w:rPr>
                <w:webHidden/>
                <w:rStyle w:val="IndexLink"/>
                <w:rtl w:val="true"/>
              </w:rPr>
              <w:t xml:space="preserve">مسألة </w:t>
            </w:r>
            <w:r>
              <w:rPr>
                <w:rStyle w:val="IndexLink"/>
                <w:rtl w:val="true"/>
              </w:rPr>
              <w:t>[</w:t>
            </w:r>
            <w:r>
              <w:rPr>
                <w:rStyle w:val="IndexLink"/>
              </w:rPr>
              <w:t>46</w:t>
            </w:r>
            <w:r>
              <w:rPr>
                <w:rStyle w:val="IndexLink"/>
                <w:rtl w:val="true"/>
              </w:rPr>
              <w:t>]</w:t>
              <w:tab/>
            </w:r>
            <w:r>
              <w:rPr>
                <w:rStyle w:val="IndexLink"/>
              </w:rPr>
              <w:t>382</w:t>
            </w:r>
          </w:hyperlink>
        </w:p>
        <w:p>
          <w:pPr>
            <w:pStyle w:val="Contents4"/>
            <w:tabs>
              <w:tab w:val="clear" w:pos="8176"/>
              <w:tab w:val="right" w:pos="9026" w:leader="dot"/>
            </w:tabs>
            <w:rPr/>
          </w:pPr>
          <w:hyperlink w:anchor="__RefHeading___Toc2136388_2314609296">
            <w:r>
              <w:rPr>
                <w:webHidden/>
                <w:rStyle w:val="IndexLink"/>
                <w:rtl w:val="true"/>
              </w:rPr>
              <w:t xml:space="preserve">مسألة </w:t>
            </w:r>
            <w:r>
              <w:rPr>
                <w:rStyle w:val="IndexLink"/>
                <w:rtl w:val="true"/>
              </w:rPr>
              <w:t>[</w:t>
            </w:r>
            <w:r>
              <w:rPr>
                <w:rStyle w:val="IndexLink"/>
              </w:rPr>
              <w:t>47</w:t>
            </w:r>
            <w:r>
              <w:rPr>
                <w:rStyle w:val="IndexLink"/>
                <w:rtl w:val="true"/>
              </w:rPr>
              <w:t>]</w:t>
              <w:tab/>
            </w:r>
            <w:r>
              <w:rPr>
                <w:rStyle w:val="IndexLink"/>
              </w:rPr>
              <w:t>388</w:t>
            </w:r>
          </w:hyperlink>
        </w:p>
        <w:p>
          <w:pPr>
            <w:pStyle w:val="Contents4"/>
            <w:tabs>
              <w:tab w:val="clear" w:pos="8176"/>
              <w:tab w:val="right" w:pos="9026" w:leader="dot"/>
            </w:tabs>
            <w:rPr/>
          </w:pPr>
          <w:hyperlink w:anchor="__RefHeading___Toc2136390_2314609296">
            <w:r>
              <w:rPr>
                <w:webHidden/>
                <w:rStyle w:val="IndexLink"/>
                <w:rtl w:val="true"/>
              </w:rPr>
              <w:t xml:space="preserve">مسألة </w:t>
            </w:r>
            <w:r>
              <w:rPr>
                <w:rStyle w:val="IndexLink"/>
                <w:rtl w:val="true"/>
              </w:rPr>
              <w:t>[</w:t>
            </w:r>
            <w:r>
              <w:rPr>
                <w:rStyle w:val="IndexLink"/>
              </w:rPr>
              <w:t>48</w:t>
            </w:r>
            <w:r>
              <w:rPr>
                <w:rStyle w:val="IndexLink"/>
                <w:rtl w:val="true"/>
              </w:rPr>
              <w:t>]</w:t>
              <w:tab/>
            </w:r>
            <w:r>
              <w:rPr>
                <w:rStyle w:val="IndexLink"/>
              </w:rPr>
              <w:t>390</w:t>
            </w:r>
          </w:hyperlink>
        </w:p>
        <w:p>
          <w:pPr>
            <w:pStyle w:val="Contents3"/>
            <w:tabs>
              <w:tab w:val="clear" w:pos="8459"/>
              <w:tab w:val="right" w:pos="9026" w:leader="dot"/>
            </w:tabs>
            <w:rPr/>
          </w:pPr>
          <w:hyperlink w:anchor="__RefHeading___Toc2136392_2314609296">
            <w:r>
              <w:rPr>
                <w:webHidden/>
                <w:rStyle w:val="IndexLink"/>
                <w:rtl w:val="true"/>
              </w:rPr>
              <w:t>المقصد الثّاني في زكاة الفطرة</w:t>
            </w:r>
            <w:r>
              <w:rPr>
                <w:rStyle w:val="IndexLink"/>
                <w:rtl w:val="true"/>
              </w:rPr>
              <w:tab/>
            </w:r>
            <w:r>
              <w:rPr>
                <w:rStyle w:val="IndexLink"/>
              </w:rPr>
              <w:t>397</w:t>
            </w:r>
          </w:hyperlink>
        </w:p>
        <w:p>
          <w:pPr>
            <w:pStyle w:val="Contents4"/>
            <w:tabs>
              <w:tab w:val="clear" w:pos="8176"/>
              <w:tab w:val="right" w:pos="9026" w:leader="dot"/>
            </w:tabs>
            <w:rPr/>
          </w:pPr>
          <w:hyperlink w:anchor="__RefHeading___Toc2136394_2314609296">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2136396_2314609296">
            <w:r>
              <w:rPr>
                <w:webHidden/>
                <w:rStyle w:val="IndexLink"/>
                <w:rtl w:val="true"/>
              </w:rPr>
              <w:t xml:space="preserve">مسألة </w:t>
            </w:r>
            <w:r>
              <w:rPr>
                <w:rStyle w:val="IndexLink"/>
                <w:rtl w:val="true"/>
              </w:rPr>
              <w:t>[</w:t>
            </w:r>
            <w:r>
              <w:rPr>
                <w:rStyle w:val="IndexLink"/>
              </w:rPr>
              <w:t>1</w:t>
            </w:r>
            <w:r>
              <w:rPr>
                <w:rStyle w:val="IndexLink"/>
                <w:rtl w:val="true"/>
              </w:rPr>
              <w:t>]</w:t>
              <w:tab/>
            </w:r>
            <w:r>
              <w:rPr>
                <w:rStyle w:val="IndexLink"/>
              </w:rPr>
              <w:t>407</w:t>
            </w:r>
          </w:hyperlink>
        </w:p>
        <w:p>
          <w:pPr>
            <w:pStyle w:val="Contents4"/>
            <w:tabs>
              <w:tab w:val="clear" w:pos="8176"/>
              <w:tab w:val="right" w:pos="9026" w:leader="dot"/>
            </w:tabs>
            <w:rPr/>
          </w:pPr>
          <w:hyperlink w:anchor="__RefHeading___Toc2136398_2314609296">
            <w:r>
              <w:rPr>
                <w:webHidden/>
                <w:rStyle w:val="IndexLink"/>
                <w:rtl w:val="true"/>
              </w:rPr>
              <w:t xml:space="preserve">مسألة </w:t>
            </w:r>
            <w:r>
              <w:rPr>
                <w:rStyle w:val="IndexLink"/>
                <w:rtl w:val="true"/>
              </w:rPr>
              <w:t>[</w:t>
            </w:r>
            <w:r>
              <w:rPr>
                <w:rStyle w:val="IndexLink"/>
              </w:rPr>
              <w:t>2</w:t>
            </w:r>
            <w:r>
              <w:rPr>
                <w:rStyle w:val="IndexLink"/>
                <w:rtl w:val="true"/>
              </w:rPr>
              <w:t>]</w:t>
              <w:tab/>
            </w:r>
            <w:r>
              <w:rPr>
                <w:rStyle w:val="IndexLink"/>
              </w:rPr>
              <w:t>410</w:t>
            </w:r>
          </w:hyperlink>
        </w:p>
        <w:p>
          <w:pPr>
            <w:pStyle w:val="Contents4"/>
            <w:tabs>
              <w:tab w:val="clear" w:pos="8176"/>
              <w:tab w:val="right" w:pos="9026" w:leader="dot"/>
            </w:tabs>
            <w:rPr/>
          </w:pPr>
          <w:hyperlink w:anchor="__RefHeading___Toc2136400_2314609296">
            <w:r>
              <w:rPr>
                <w:webHidden/>
                <w:rStyle w:val="IndexLink"/>
                <w:rtl w:val="true"/>
              </w:rPr>
              <w:t xml:space="preserve">مسألة </w:t>
            </w:r>
            <w:r>
              <w:rPr>
                <w:rStyle w:val="IndexLink"/>
                <w:rtl w:val="true"/>
              </w:rPr>
              <w:t>[</w:t>
            </w:r>
            <w:r>
              <w:rPr>
                <w:rStyle w:val="IndexLink"/>
              </w:rPr>
              <w:t>3</w:t>
            </w:r>
            <w:r>
              <w:rPr>
                <w:rStyle w:val="IndexLink"/>
                <w:rtl w:val="true"/>
              </w:rPr>
              <w:t>]</w:t>
              <w:tab/>
            </w:r>
            <w:r>
              <w:rPr>
                <w:rStyle w:val="IndexLink"/>
              </w:rPr>
              <w:t>413</w:t>
            </w:r>
          </w:hyperlink>
        </w:p>
        <w:p>
          <w:pPr>
            <w:pStyle w:val="Contents4"/>
            <w:tabs>
              <w:tab w:val="clear" w:pos="8176"/>
              <w:tab w:val="right" w:pos="9026" w:leader="dot"/>
            </w:tabs>
            <w:rPr/>
          </w:pPr>
          <w:hyperlink w:anchor="__RefHeading___Toc2136402_2314609296">
            <w:r>
              <w:rPr>
                <w:webHidden/>
                <w:rStyle w:val="IndexLink"/>
                <w:rtl w:val="true"/>
              </w:rPr>
              <w:t xml:space="preserve">مسألة </w:t>
            </w:r>
            <w:r>
              <w:rPr>
                <w:rStyle w:val="IndexLink"/>
                <w:rtl w:val="true"/>
              </w:rPr>
              <w:t>[</w:t>
            </w:r>
            <w:r>
              <w:rPr>
                <w:rStyle w:val="IndexLink"/>
              </w:rPr>
              <w:t>4</w:t>
            </w:r>
            <w:r>
              <w:rPr>
                <w:rStyle w:val="IndexLink"/>
                <w:rtl w:val="true"/>
              </w:rPr>
              <w:t>]</w:t>
              <w:tab/>
            </w:r>
            <w:r>
              <w:rPr>
                <w:rStyle w:val="IndexLink"/>
              </w:rPr>
              <w:t>415</w:t>
            </w:r>
          </w:hyperlink>
        </w:p>
        <w:p>
          <w:pPr>
            <w:pStyle w:val="Contents4"/>
            <w:tabs>
              <w:tab w:val="clear" w:pos="8176"/>
              <w:tab w:val="right" w:pos="9026" w:leader="dot"/>
            </w:tabs>
            <w:rPr/>
          </w:pPr>
          <w:hyperlink w:anchor="__RefHeading___Toc2136404_2314609296">
            <w:r>
              <w:rPr>
                <w:webHidden/>
                <w:rStyle w:val="IndexLink"/>
                <w:rtl w:val="true"/>
              </w:rPr>
              <w:t xml:space="preserve">مسألة </w:t>
            </w:r>
            <w:r>
              <w:rPr>
                <w:rStyle w:val="IndexLink"/>
                <w:rtl w:val="true"/>
              </w:rPr>
              <w:t>[</w:t>
            </w:r>
            <w:r>
              <w:rPr>
                <w:rStyle w:val="IndexLink"/>
              </w:rPr>
              <w:t>5</w:t>
            </w:r>
            <w:r>
              <w:rPr>
                <w:rStyle w:val="IndexLink"/>
                <w:rtl w:val="true"/>
              </w:rPr>
              <w:t>]</w:t>
              <w:tab/>
            </w:r>
            <w:r>
              <w:rPr>
                <w:rStyle w:val="IndexLink"/>
              </w:rPr>
              <w:t>421</w:t>
            </w:r>
          </w:hyperlink>
        </w:p>
        <w:p>
          <w:pPr>
            <w:pStyle w:val="Contents4"/>
            <w:tabs>
              <w:tab w:val="clear" w:pos="8176"/>
              <w:tab w:val="right" w:pos="9026" w:leader="dot"/>
            </w:tabs>
            <w:rPr/>
          </w:pPr>
          <w:hyperlink w:anchor="__RefHeading___Toc2136406_2314609296">
            <w:r>
              <w:rPr>
                <w:webHidden/>
                <w:rStyle w:val="IndexLink"/>
                <w:rtl w:val="true"/>
              </w:rPr>
              <w:t xml:space="preserve">مسألة </w:t>
            </w:r>
            <w:r>
              <w:rPr>
                <w:rStyle w:val="IndexLink"/>
                <w:rtl w:val="true"/>
              </w:rPr>
              <w:t>[</w:t>
            </w:r>
            <w:r>
              <w:rPr>
                <w:rStyle w:val="IndexLink"/>
              </w:rPr>
              <w:t>6</w:t>
            </w:r>
            <w:r>
              <w:rPr>
                <w:rStyle w:val="IndexLink"/>
                <w:rtl w:val="true"/>
              </w:rPr>
              <w:t>]</w:t>
              <w:tab/>
            </w:r>
            <w:r>
              <w:rPr>
                <w:rStyle w:val="IndexLink"/>
              </w:rPr>
              <w:t>423</w:t>
            </w:r>
          </w:hyperlink>
        </w:p>
        <w:p>
          <w:pPr>
            <w:pStyle w:val="Contents4"/>
            <w:tabs>
              <w:tab w:val="clear" w:pos="8176"/>
              <w:tab w:val="right" w:pos="9026" w:leader="dot"/>
            </w:tabs>
            <w:rPr/>
          </w:pPr>
          <w:hyperlink w:anchor="__RefHeading___Toc2136408_2314609296">
            <w:r>
              <w:rPr>
                <w:webHidden/>
                <w:rStyle w:val="IndexLink"/>
                <w:rtl w:val="true"/>
              </w:rPr>
              <w:t xml:space="preserve">مسألة </w:t>
            </w:r>
            <w:r>
              <w:rPr>
                <w:rStyle w:val="IndexLink"/>
                <w:rtl w:val="true"/>
              </w:rPr>
              <w:t>[</w:t>
            </w:r>
            <w:r>
              <w:rPr>
                <w:rStyle w:val="IndexLink"/>
              </w:rPr>
              <w:t>7</w:t>
            </w:r>
            <w:r>
              <w:rPr>
                <w:rStyle w:val="IndexLink"/>
                <w:rtl w:val="true"/>
              </w:rPr>
              <w:t>]</w:t>
              <w:tab/>
            </w:r>
            <w:r>
              <w:rPr>
                <w:rStyle w:val="IndexLink"/>
              </w:rPr>
              <w:t>424</w:t>
            </w:r>
          </w:hyperlink>
        </w:p>
        <w:p>
          <w:pPr>
            <w:pStyle w:val="Contents4"/>
            <w:tabs>
              <w:tab w:val="clear" w:pos="8176"/>
              <w:tab w:val="right" w:pos="9026" w:leader="dot"/>
            </w:tabs>
            <w:rPr/>
          </w:pPr>
          <w:hyperlink w:anchor="__RefHeading___Toc2136410_2314609296">
            <w:r>
              <w:rPr>
                <w:webHidden/>
                <w:rStyle w:val="IndexLink"/>
                <w:rtl w:val="true"/>
              </w:rPr>
              <w:t xml:space="preserve">مسألة </w:t>
            </w:r>
            <w:r>
              <w:rPr>
                <w:rStyle w:val="IndexLink"/>
                <w:rtl w:val="true"/>
              </w:rPr>
              <w:t>[</w:t>
            </w:r>
            <w:r>
              <w:rPr>
                <w:rStyle w:val="IndexLink"/>
              </w:rPr>
              <w:t>8</w:t>
            </w:r>
            <w:r>
              <w:rPr>
                <w:rStyle w:val="IndexLink"/>
                <w:rtl w:val="true"/>
              </w:rPr>
              <w:t>]</w:t>
              <w:tab/>
            </w:r>
            <w:r>
              <w:rPr>
                <w:rStyle w:val="IndexLink"/>
              </w:rPr>
              <w:t>429</w:t>
            </w:r>
          </w:hyperlink>
        </w:p>
        <w:p>
          <w:pPr>
            <w:pStyle w:val="Contents4"/>
            <w:tabs>
              <w:tab w:val="clear" w:pos="8176"/>
              <w:tab w:val="right" w:pos="9026" w:leader="dot"/>
            </w:tabs>
            <w:rPr/>
          </w:pPr>
          <w:hyperlink w:anchor="__RefHeading___Toc2136412_2314609296">
            <w:r>
              <w:rPr>
                <w:webHidden/>
                <w:rStyle w:val="IndexLink"/>
                <w:rtl w:val="true"/>
              </w:rPr>
              <w:t xml:space="preserve">مسألة </w:t>
            </w:r>
            <w:r>
              <w:rPr>
                <w:rStyle w:val="IndexLink"/>
                <w:rtl w:val="true"/>
              </w:rPr>
              <w:t>[</w:t>
            </w:r>
            <w:r>
              <w:rPr>
                <w:rStyle w:val="IndexLink"/>
              </w:rPr>
              <w:t>9</w:t>
            </w:r>
            <w:r>
              <w:rPr>
                <w:rStyle w:val="IndexLink"/>
                <w:rtl w:val="true"/>
              </w:rPr>
              <w:t>]</w:t>
              <w:tab/>
            </w:r>
            <w:r>
              <w:rPr>
                <w:rStyle w:val="IndexLink"/>
              </w:rPr>
              <w:t>434</w:t>
            </w:r>
          </w:hyperlink>
        </w:p>
        <w:p>
          <w:pPr>
            <w:pStyle w:val="Contents4"/>
            <w:tabs>
              <w:tab w:val="clear" w:pos="8176"/>
              <w:tab w:val="right" w:pos="9026" w:leader="dot"/>
            </w:tabs>
            <w:rPr/>
          </w:pPr>
          <w:hyperlink w:anchor="__RefHeading___Toc2136414_2314609296">
            <w:r>
              <w:rPr>
                <w:webHidden/>
                <w:rStyle w:val="IndexLink"/>
                <w:rtl w:val="true"/>
              </w:rPr>
              <w:t xml:space="preserve">مسألة </w:t>
            </w:r>
            <w:r>
              <w:rPr>
                <w:rStyle w:val="IndexLink"/>
                <w:rtl w:val="true"/>
              </w:rPr>
              <w:t>[</w:t>
            </w:r>
            <w:r>
              <w:rPr>
                <w:rStyle w:val="IndexLink"/>
              </w:rPr>
              <w:t>11</w:t>
            </w:r>
            <w:r>
              <w:rPr>
                <w:rStyle w:val="IndexLink"/>
                <w:rtl w:val="true"/>
              </w:rPr>
              <w:t>]</w:t>
              <w:tab/>
            </w:r>
            <w:r>
              <w:rPr>
                <w:rStyle w:val="IndexLink"/>
              </w:rPr>
              <w:t>446</w:t>
            </w:r>
          </w:hyperlink>
        </w:p>
        <w:p>
          <w:pPr>
            <w:pStyle w:val="Contents4"/>
            <w:tabs>
              <w:tab w:val="clear" w:pos="8176"/>
              <w:tab w:val="right" w:pos="9026" w:leader="dot"/>
            </w:tabs>
            <w:rPr/>
          </w:pPr>
          <w:hyperlink w:anchor="__RefHeading___Toc2136416_2314609296">
            <w:r>
              <w:rPr>
                <w:webHidden/>
                <w:rStyle w:val="IndexLink"/>
                <w:rtl w:val="true"/>
              </w:rPr>
              <w:t xml:space="preserve">مسألة </w:t>
            </w:r>
            <w:r>
              <w:rPr>
                <w:rStyle w:val="IndexLink"/>
                <w:rtl w:val="true"/>
              </w:rPr>
              <w:t>[</w:t>
            </w:r>
            <w:r>
              <w:rPr>
                <w:rStyle w:val="IndexLink"/>
              </w:rPr>
              <w:t>12</w:t>
            </w:r>
            <w:r>
              <w:rPr>
                <w:rStyle w:val="IndexLink"/>
                <w:rtl w:val="true"/>
              </w:rPr>
              <w:t>]</w:t>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22_766069"/>
      <w:bookmarkStart w:id="1" w:name="pg19722_766069"/>
      <w:bookmarkEnd w:id="1"/>
    </w:p>
    <w:p>
      <w:pPr>
        <w:pStyle w:val="Heading2"/>
        <w:numPr>
          <w:ilvl w:val="1"/>
          <w:numId w:val="1"/>
        </w:numPr>
        <w:rPr/>
      </w:pPr>
      <w:bookmarkStart w:id="2" w:name="pg19722_766069"/>
      <w:bookmarkStart w:id="3" w:name="__RefHeading___Toc2136278_2314609296"/>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مرتضي‌بن‌محمدامين،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كتاب‌الزكاه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مرتضي الانصاري ؛ اعداد لجنه تحقيق تراث الشيخ‌الاعظم ؛ الموتمر‌العالمي بمناسبه‌الذكري‌المئويه‌الثافيه لميلاد الشيخ‌الانصاري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مجمع‌الفكر‌الاسلامي،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تراث‌الشيخ‌الاعظم؛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9645662648</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لاتيني شده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Kitab al - zakat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الموتمر‌العالمي بمناسبه‌الذكري‌المئويه‌الثافيه لميلاد‌الشيخ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ام‌القري للتحقيق للنشر، مكتبه‌الفقيه،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جهاني بزرگداشت دويستمين سالگرد تولد شيخ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آثار شيخ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جهاني بزرگداشت دويستمين سالگرد تولد شيخ انصاري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۱۰۲۹۳۲۳</w:t>
      </w:r>
    </w:p>
    <w:p>
      <w:pPr>
        <w:pStyle w:val="Heading2"/>
        <w:numPr>
          <w:ilvl w:val="1"/>
          <w:numId w:val="1"/>
        </w:numPr>
        <w:rPr/>
      </w:pPr>
      <w:bookmarkStart w:id="5" w:name="__RefHeading___Toc2136280_2314609296"/>
      <w:bookmarkStart w:id="6" w:name="_Toc2"/>
      <w:bookmarkEnd w:id="5"/>
      <w:r>
        <w:rPr>
          <w:rtl w:val="true"/>
        </w:rPr>
        <w:t xml:space="preserve">شرح </w:t>
      </w:r>
      <w:r>
        <w:rPr>
          <w:rtl w:val="true"/>
        </w:rPr>
        <w:t>[</w:t>
      </w:r>
      <w:r>
        <w:rPr>
          <w:rtl w:val="true"/>
        </w:rPr>
        <w:t>كتاب الزكاة من</w:t>
      </w:r>
      <w:r>
        <w:rPr>
          <w:rtl w:val="true"/>
        </w:rPr>
        <w:t xml:space="preserve">] </w:t>
      </w:r>
      <w:r>
        <w:rPr>
          <w:rtl w:val="true"/>
        </w:rPr>
        <w:t>إرشاد الأذهان</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136282_2314609296"/>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 و 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في اللّغة بمعنى النموّ، و الطهارة، و الصلاح </w:t>
      </w:r>
      <w:r>
        <w:rPr>
          <w:rStyle w:val="FootnoteAnchor"/>
          <w:rtl w:val="true"/>
        </w:rPr>
        <w:footnoteReference w:id="2"/>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الأوّل قوله تعالى ذٰلِكُمْ أَزْكىٰ لَكُمْ وَ أَطْهَرُ </w:t>
      </w:r>
      <w:r>
        <w:rPr>
          <w:rStyle w:val="FootnoteAnchor"/>
          <w:rtl w:val="true"/>
        </w:rPr>
        <w:footnoteReference w:id="3"/>
      </w:r>
      <w:r>
        <w:rPr>
          <w:rFonts w:ascii="Amiri" w:hAnsi="Amiri" w:eastAsia="Amiri" w:cs="Amiri"/>
          <w:color w:val="111111"/>
          <w:sz w:val="28"/>
          <w:sz w:val="28"/>
          <w:szCs w:val="28"/>
          <w:rtl w:val="true"/>
          <w:lang w:bidi="ar-SA"/>
        </w:rPr>
        <w:t xml:space="preserve">و قوله تعالى تُطَهِّرُهُمْ وَ تُزَكِّيهِمْ بِهٰا </w:t>
      </w:r>
      <w:r>
        <w:rPr>
          <w:rStyle w:val="FootnoteAnchor"/>
          <w:rtl w:val="true"/>
        </w:rPr>
        <w:footnoteReference w:id="4"/>
      </w:r>
      <w:r>
        <w:rPr>
          <w:rFonts w:ascii="Amiri" w:hAnsi="Amiri" w:eastAsia="Amiri" w:cs="Amiri"/>
          <w:color w:val="111111"/>
          <w:sz w:val="28"/>
          <w:sz w:val="28"/>
          <w:szCs w:val="28"/>
          <w:rtl w:val="true"/>
          <w:lang w:bidi="ar-SA"/>
        </w:rPr>
        <w:t xml:space="preserve">بناء على ترجيح التأسيس على التأكيد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 فكثير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r>
        <w:rPr>
          <w:rStyle w:val="FootnoteAnchor"/>
          <w:rtl w:val="true"/>
        </w:rPr>
        <w:footnoteReference w:id="7"/>
      </w:r>
      <w:r>
        <w:rPr>
          <w:rFonts w:ascii="Amiri" w:hAnsi="Amiri" w:eastAsia="Amiri" w:cs="Amiri"/>
          <w:color w:val="111111"/>
          <w:sz w:val="28"/>
          <w:sz w:val="28"/>
          <w:szCs w:val="28"/>
          <w:rtl w:val="true"/>
          <w:lang w:bidi="ar-SA"/>
        </w:rPr>
        <w:t xml:space="preserve">الثالث قوله تعالى خَيْراً مِنْهُ زَكٰاةً وَ أَقْرَبَ رُحْماً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الشرع، أو عند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مخصوص يطلب إخراجه من المال بشروط مخصوصة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إخراج ذلك القدر </w:t>
      </w:r>
      <w:r>
        <w:rPr>
          <w:rStyle w:val="FootnoteAnchor"/>
          <w:rtl w:val="true"/>
        </w:rPr>
        <w:footnoteReference w:id="10"/>
      </w:r>
      <w:r>
        <w:rPr>
          <w:rFonts w:ascii="IRNazanin" w:hAnsi="IRNazanin" w:eastAsia="IRNazanin"/>
          <w:color w:val="111111"/>
          <w:sz w:val="28"/>
          <w:sz w:val="28"/>
          <w:szCs w:val="28"/>
          <w:rtl w:val="true"/>
          <w:lang w:bidi="fa-IR"/>
        </w:rPr>
        <w:t>، و عن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w:t>
      </w:r>
    </w:p>
    <w:p>
      <w:pPr>
        <w:pStyle w:val="BookText"/>
        <w:rPr/>
      </w:pPr>
      <w:r>
        <w:rPr>
          <w:rFonts w:ascii="Amiri" w:hAnsi="Amiri" w:eastAsia="Amiri" w:cs="Amiri"/>
          <w:color w:val="111111"/>
          <w:sz w:val="28"/>
          <w:sz w:val="28"/>
          <w:szCs w:val="28"/>
          <w:rtl w:val="true"/>
          <w:lang w:bidi="ar-SA"/>
        </w:rPr>
        <w:t>الألفاظ المشتركة بين العين و المعنى، كلفظ الذكاة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امه</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 استشهد له بقوله تعالى وَ الَّذِينَ هُمْ لِلزَّكٰاةِ فٰاعِلُونَ </w:t>
      </w:r>
      <w:r>
        <w:rPr>
          <w:rStyle w:val="FootnoteAnchor"/>
          <w:rtl w:val="true"/>
        </w:rPr>
        <w:footnoteReference w:id="12"/>
      </w:r>
      <w:r>
        <w:rPr>
          <w:rStyle w:val="FootnoteAnchor"/>
          <w:rtl w:val="true"/>
        </w:rPr>
        <w:footnoteReference w:id="13"/>
      </w:r>
      <w:r>
        <w:rPr>
          <w:rFonts w:ascii="Amiri" w:hAnsi="Amiri" w:eastAsia="Amiri" w:cs="Amiri"/>
          <w:color w:val="111111"/>
          <w:sz w:val="28"/>
          <w:sz w:val="28"/>
          <w:szCs w:val="28"/>
          <w:rtl w:val="true"/>
          <w:lang w:bidi="ar-SA"/>
        </w:rPr>
        <w:t xml:space="preserve">و في التنظير بلفظ ذكاة نظر، فإنّ الظاهر انّ لفظ الذكاة لم يستعمل في العين أصلا، و في الاستشهاد منع </w:t>
      </w:r>
      <w:r>
        <w:rPr>
          <w:rStyle w:val="FootnoteAnchor"/>
          <w:rtl w:val="true"/>
        </w:rPr>
        <w:footnoteReference w:id="14"/>
      </w:r>
      <w:r>
        <w:rPr>
          <w:rFonts w:ascii="Amiri" w:hAnsi="Amiri" w:eastAsia="Amiri" w:cs="Amiri"/>
          <w:color w:val="111111"/>
          <w:sz w:val="28"/>
          <w:sz w:val="28"/>
          <w:szCs w:val="28"/>
          <w:rtl w:val="true"/>
          <w:lang w:bidi="ar-SA"/>
        </w:rPr>
        <w:t>كون الزكاة ها بمعنى 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التنظير بلفظ الصدقة و الاستشهاد بقوله تعالى وَ أَوْصٰانِي بِالصَّلٰاةِ وَ الزَّكٰاةِ </w:t>
      </w:r>
      <w:r>
        <w:rPr>
          <w:rStyle w:val="FootnoteAnchor"/>
          <w:rtl w:val="true"/>
        </w:rPr>
        <w:footnoteReference w:id="15"/>
      </w:r>
      <w:r>
        <w:rPr>
          <w:rFonts w:ascii="Amiri" w:hAnsi="Amiri" w:eastAsia="Amiri" w:cs="Amiri"/>
          <w:color w:val="111111"/>
          <w:sz w:val="28"/>
          <w:sz w:val="28"/>
          <w:szCs w:val="28"/>
          <w:rtl w:val="true"/>
          <w:lang w:bidi="ar-SA"/>
        </w:rPr>
        <w:t>إن لم يحمل على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المعنى الشرعي مناسب للمعاني اللغويّة الثلاثة، لأنّ الزكاة ينمي المال و ينمو ثوابه، و يطهّره عن الخبث الحاصل من وجود الشبهة فيه، و من الرذالة الحاصلة فيه عند المنع، و صاحبه عن إثم المنع و رذيلة الشحّ، و يصلح المال و العمل و النفس، كلّ ذلك مستفاد من الأخبار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المذهب قد استقر على عدم وجوب حقّ في المال سوى الزكاة الماليّة و الفطرة، و ربما يحكى عن ظاهر كلام الصدوق رحمه اللّٰه ما يستفاد من 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حقّ يفرضه الرجل على نفسه في كلّ يوم أو أسبوع أو شهر على قدر وسعه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نظر في تلك الأخبار بعين الاعتبار</w:t>
      </w:r>
    </w:p>
    <w:p>
      <w:pPr>
        <w:pStyle w:val="BookText"/>
        <w:rPr/>
      </w:pPr>
      <w:r>
        <w:rPr>
          <w:rFonts w:ascii="Amiri" w:hAnsi="Amiri" w:eastAsia="Amiri" w:cs="Amiri"/>
          <w:color w:val="111111"/>
          <w:sz w:val="28"/>
          <w:sz w:val="28"/>
          <w:szCs w:val="28"/>
          <w:rtl w:val="true"/>
          <w:lang w:bidi="ar-SA"/>
        </w:rPr>
        <w:t xml:space="preserve">يقطع </w:t>
      </w:r>
      <w:r>
        <w:rPr>
          <w:rStyle w:val="FootnoteAnchor"/>
          <w:rtl w:val="true"/>
        </w:rPr>
        <w:footnoteReference w:id="18"/>
      </w:r>
      <w:r>
        <w:rPr>
          <w:rFonts w:ascii="Amiri" w:hAnsi="Amiri" w:eastAsia="Amiri" w:cs="Amiri"/>
          <w:color w:val="111111"/>
          <w:sz w:val="28"/>
          <w:sz w:val="28"/>
          <w:szCs w:val="28"/>
          <w:rtl w:val="true"/>
          <w:lang w:bidi="ar-SA"/>
        </w:rPr>
        <w:t>بسياقها مساق الاستحباب، بل لا يبعد ذلك أيضا في كلام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حكي عن الشيخ في الخلاف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حقّ الحصاد مدّعيا عليه الإجماع و الأخبار، و نفى عنه البعد المرتضى رحمه اللّٰه </w:t>
      </w:r>
      <w:r>
        <w:rPr>
          <w:rStyle w:val="FootnoteAnchor"/>
          <w:rtl w:val="true"/>
        </w:rPr>
        <w:footnoteReference w:id="20"/>
      </w:r>
      <w:r>
        <w:rPr>
          <w:rFonts w:ascii="Amiri" w:hAnsi="Amiri" w:eastAsia="Amiri" w:cs="Amiri"/>
          <w:color w:val="111111"/>
          <w:sz w:val="28"/>
          <w:sz w:val="28"/>
          <w:szCs w:val="28"/>
          <w:rtl w:val="true"/>
          <w:lang w:bidi="ar-SA"/>
        </w:rPr>
        <w:t xml:space="preserve">للآية </w:t>
      </w:r>
      <w:r>
        <w:rPr>
          <w:rStyle w:val="FootnoteAnchor"/>
          <w:rtl w:val="true"/>
        </w:rPr>
        <w:footnoteReference w:id="21"/>
      </w:r>
      <w:r>
        <w:rPr>
          <w:rFonts w:ascii="Amiri" w:hAnsi="Amiri" w:eastAsia="Amiri" w:cs="Amiri"/>
          <w:color w:val="111111"/>
          <w:sz w:val="28"/>
          <w:sz w:val="28"/>
          <w:szCs w:val="28"/>
          <w:rtl w:val="true"/>
          <w:lang w:bidi="ar-SA"/>
        </w:rPr>
        <w:t xml:space="preserve">و الأخبار الكثيرة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الأقوى استحباب ذلك أيضا كما سيجي‌ء في زكاة الغلّات ان شاء اللّٰه تعالى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تحقيق مطالب هذا الباب يتوقّف على النظر في أمور ثلاثة </w:t>
      </w:r>
      <w:r>
        <w:rPr>
          <w:rStyle w:val="FootnoteAnchor"/>
          <w:rtl w:val="true"/>
        </w:rPr>
        <w:footnoteReference w:id="24"/>
      </w:r>
      <w:bookmarkStart w:id="9" w:name="pg19722_766075"/>
    </w:p>
    <w:p>
      <w:pPr>
        <w:pStyle w:val="Heading3"/>
        <w:numPr>
          <w:ilvl w:val="2"/>
          <w:numId w:val="1"/>
        </w:numPr>
        <w:rPr/>
      </w:pPr>
      <w:bookmarkStart w:id="10" w:name="__RefHeading___Toc2136284_2314609296"/>
      <w:bookmarkStart w:id="11" w:name="_Toc4"/>
      <w:bookmarkEnd w:id="9"/>
      <w:bookmarkEnd w:id="10"/>
      <w:r>
        <w:rPr>
          <w:rtl w:val="true"/>
        </w:rPr>
        <w:t>[</w:t>
      </w:r>
      <w:r>
        <w:rPr>
          <w:rtl w:val="true"/>
        </w:rPr>
        <w:t>الأوّل</w:t>
      </w:r>
      <w:r>
        <w:rPr>
          <w:rtl w:val="true"/>
        </w:rPr>
        <w:t xml:space="preserve">: </w:t>
      </w:r>
      <w:r>
        <w:rPr>
          <w:rtl w:val="true"/>
        </w:rPr>
        <w:t>في زكاة المال</w:t>
      </w:r>
      <w:r>
        <w:rPr>
          <w:rtl w:val="true"/>
        </w:rPr>
        <w:t>]</w:t>
      </w:r>
      <w:bookmarkEnd w:id="11"/>
    </w:p>
    <w:p>
      <w:pPr>
        <w:pStyle w:val="Heading4"/>
        <w:numPr>
          <w:ilvl w:val="3"/>
          <w:numId w:val="1"/>
        </w:numPr>
        <w:rPr/>
      </w:pPr>
      <w:bookmarkStart w:id="12" w:name="__RefHeading___Toc2136286_2314609296"/>
      <w:bookmarkStart w:id="13" w:name="_Toc5"/>
      <w:bookmarkEnd w:id="12"/>
      <w:r>
        <w:rPr>
          <w:rtl w:val="true"/>
        </w:rPr>
        <w:t>اشارة</w:t>
      </w:r>
      <w:bookmarkEnd w:id="1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المال</w:t>
      </w:r>
      <w:bookmarkStart w:id="14" w:name="pg19722_766077"/>
    </w:p>
    <w:p>
      <w:pPr>
        <w:pStyle w:val="BookText"/>
        <w:rPr/>
      </w:pPr>
      <w:bookmarkEnd w:id="14"/>
      <w:r>
        <w:rPr>
          <w:rFonts w:ascii="Amiri" w:hAnsi="Amiri" w:eastAsia="Amiri" w:cs="Amiri"/>
          <w:color w:val="111111"/>
          <w:sz w:val="28"/>
          <w:sz w:val="28"/>
          <w:szCs w:val="28"/>
          <w:rtl w:val="true"/>
          <w:lang w:bidi="ar-SA"/>
        </w:rPr>
        <w:t>و فيه مقاصد</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2136288_2314609296"/>
      <w:bookmarkStart w:id="16" w:name="_Toc6"/>
      <w:bookmarkEnd w:id="15"/>
      <w:r>
        <w:rPr>
          <w:rtl w:val="true"/>
        </w:rPr>
        <w:t>[</w:t>
      </w:r>
      <w:r>
        <w:rPr>
          <w:rtl w:val="true"/>
        </w:rPr>
        <w:t>المقصد الأوّل</w:t>
      </w:r>
      <w:r>
        <w:rPr>
          <w:rtl w:val="true"/>
        </w:rPr>
        <w:t xml:space="preserve">: </w:t>
      </w:r>
      <w:r>
        <w:rPr>
          <w:rtl w:val="true"/>
        </w:rPr>
        <w:t>في شرائط الوجوب و وقته</w:t>
      </w:r>
      <w:r>
        <w:rPr>
          <w:rtl w:val="true"/>
        </w:rPr>
        <w:t>]</w:t>
      </w:r>
      <w:bookmarkEnd w:id="16"/>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الوجوب و وقته و إنّما تجب على العاقل البالغ الحر المالك للنصاب المتمكّن من التصرف، فلا زكاة على الطفل في نقديه إجماعا إلّا ما يظهر من ظاهر إطلاق ابن حمزة </w:t>
      </w:r>
      <w:r>
        <w:rPr>
          <w:rStyle w:val="FootnoteAnchor"/>
          <w:rtl w:val="true"/>
        </w:rPr>
        <w:footnoteReference w:id="25"/>
      </w:r>
      <w:r>
        <w:rPr>
          <w:rFonts w:ascii="Amiri" w:hAnsi="Amiri" w:eastAsia="Amiri" w:cs="Amiri"/>
          <w:color w:val="111111"/>
          <w:sz w:val="28"/>
          <w:sz w:val="28"/>
          <w:szCs w:val="28"/>
          <w:rtl w:val="true"/>
          <w:lang w:bidi="ar-SA"/>
        </w:rPr>
        <w:t xml:space="preserve">، و هو محمول أو شاذّ، لاستفاضة حكاية الإجماع، و رواية الأخبار على خلافه </w:t>
      </w:r>
      <w:r>
        <w:rPr>
          <w:rStyle w:val="FootnoteAnchor"/>
          <w:rtl w:val="true"/>
        </w:rPr>
        <w:footnoteReference w:id="26"/>
      </w:r>
      <w:r>
        <w:rPr>
          <w:rFonts w:ascii="Amiri" w:hAnsi="Amiri" w:eastAsia="Amiri" w:cs="Amiri"/>
          <w:color w:val="111111"/>
          <w:sz w:val="28"/>
          <w:sz w:val="28"/>
          <w:szCs w:val="28"/>
          <w:rtl w:val="true"/>
          <w:lang w:bidi="ar-SA"/>
        </w:rPr>
        <w:t>، مع كفاية الأصل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تكليف منفيّ عن الصبي،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حينئذ </w:t>
      </w:r>
      <w:r>
        <w:rPr>
          <w:rStyle w:val="FootnoteAnchor"/>
          <w:rtl w:val="true"/>
        </w:rPr>
        <w:footnoteReference w:id="27"/>
      </w:r>
      <w:r>
        <w:rPr>
          <w:rFonts w:ascii="Amiri" w:hAnsi="Amiri" w:eastAsia="Amiri" w:cs="Amiri"/>
          <w:color w:val="111111"/>
          <w:sz w:val="28"/>
          <w:sz w:val="28"/>
          <w:szCs w:val="28"/>
          <w:rtl w:val="true"/>
          <w:lang w:bidi="ar-SA"/>
        </w:rPr>
        <w:t>للولي كالاستحباب إذا اتجر بماله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أخبار المسألة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هو عدم تعلق الزكاة بهذا العنوان، فلا يجري في الحول ما دام كونه مال اليتيم 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الغائب صدقة، و لا على الدين صدقة حتى يقع في يديك</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و غير ذلك من العنوانات التي نفى الشارع الزكاة عنها، فلا يكفي بلوغه في آخر حول التملّك 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في حكم المتأخرين باستئناف الحول عند البلوغ </w:t>
      </w:r>
      <w:r>
        <w:rPr>
          <w:rStyle w:val="FootnoteAnchor"/>
          <w:rtl w:val="true"/>
        </w:rPr>
        <w:footnoteReference w:id="30"/>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يستدلّ للمشهور بما دلّ على اعتبار حول الحول على المال في يد المالك </w:t>
      </w:r>
      <w:r>
        <w:rPr>
          <w:rStyle w:val="FootnoteAnchor"/>
          <w:rtl w:val="true"/>
        </w:rPr>
        <w:footnoteReference w:id="31"/>
      </w:r>
      <w:r>
        <w:rPr>
          <w:rFonts w:ascii="Amiri" w:hAnsi="Amiri" w:eastAsia="Amiri" w:cs="Amiri"/>
          <w:color w:val="111111"/>
          <w:sz w:val="28"/>
          <w:sz w:val="28"/>
          <w:szCs w:val="28"/>
          <w:rtl w:val="true"/>
          <w:lang w:bidi="ar-SA"/>
        </w:rPr>
        <w:t>، و الصغير ليس له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فإنّ تلك الأدلّة تدلّ على اعتبار التمكن من التصرف في مقابل الغائب و المفقود و المغصوب، و لا ريب أنّ تمكن الولي كتمكن الوكيل، و لذا تجب الزكاة على السفيه إجماعا، و تستحب الزكاة في غلات الطفل و مال تجارته بل و مواشيه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اعتبار الشروط كلا في الزكاة المستحبة كالواجبة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Style w:val="FootnoteAnchor"/>
          <w:rtl w:val="true"/>
        </w:rPr>
        <w:footnoteReference w:id="32"/>
      </w:r>
      <w:r>
        <w:rPr>
          <w:rFonts w:ascii="Amiri" w:hAnsi="Amiri" w:eastAsia="Amiri" w:cs="Amiri"/>
          <w:color w:val="111111"/>
          <w:sz w:val="28"/>
          <w:sz w:val="28"/>
          <w:szCs w:val="28"/>
          <w:rtl w:val="true"/>
          <w:lang w:bidi="ar-SA"/>
        </w:rPr>
        <w:t>من الصغر و الجنون مانع مستقل غير العجز عن التصرف كما لا يخفى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 في الضعف، التمسك برواية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مال اليتيم زكاة، و لا عليه صلاة، و ليس على جميع غلاته من نخل أو زرع أو غلة زكاة، و إن بلغ </w:t>
      </w:r>
      <w:r>
        <w:rPr>
          <w:rStyle w:val="FootnoteAnchor"/>
          <w:rtl w:val="true"/>
        </w:rPr>
        <w:footnoteReference w:id="33"/>
      </w:r>
      <w:r>
        <w:rPr>
          <w:rFonts w:ascii="Amiri" w:hAnsi="Amiri" w:eastAsia="Amiri" w:cs="Amiri"/>
          <w:color w:val="111111"/>
          <w:sz w:val="28"/>
          <w:sz w:val="28"/>
          <w:szCs w:val="28"/>
          <w:rtl w:val="true"/>
          <w:lang w:bidi="ar-SA"/>
        </w:rPr>
        <w:t>فليس عليه لما مضى زكاة، و لا عليه لما يستقبل زكاة حتى يدرك، فإذا أدرك</w:t>
      </w:r>
    </w:p>
    <w:p>
      <w:pPr>
        <w:pStyle w:val="BookText"/>
        <w:rPr/>
      </w:pPr>
      <w:r>
        <w:rPr>
          <w:rFonts w:ascii="Amiri" w:hAnsi="Amiri" w:eastAsia="Amiri" w:cs="Amiri"/>
          <w:color w:val="111111"/>
          <w:sz w:val="28"/>
          <w:sz w:val="28"/>
          <w:szCs w:val="28"/>
          <w:rtl w:val="true"/>
          <w:lang w:bidi="ar-SA"/>
        </w:rPr>
        <w:t xml:space="preserve">كان عليه زكاة </w:t>
      </w:r>
      <w:r>
        <w:rPr>
          <w:rStyle w:val="FootnoteAnchor"/>
          <w:rtl w:val="true"/>
        </w:rPr>
        <w:footnoteReference w:id="34"/>
      </w:r>
      <w:r>
        <w:rPr>
          <w:rFonts w:ascii="Amiri" w:hAnsi="Amiri" w:eastAsia="Amiri" w:cs="Amiri"/>
          <w:color w:val="111111"/>
          <w:sz w:val="28"/>
          <w:sz w:val="28"/>
          <w:szCs w:val="28"/>
          <w:rtl w:val="true"/>
          <w:lang w:bidi="ar-SA"/>
        </w:rPr>
        <w:t xml:space="preserve">، ثمّ كان عليه مثل ما على غيره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بناء على أنّ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الأحوال المتعددة، و الحول الواحد إلّا أياما </w:t>
      </w:r>
      <w:r>
        <w:rPr>
          <w:rStyle w:val="FootnoteAnchor"/>
          <w:rtl w:val="true"/>
        </w:rPr>
        <w:footnoteReference w:id="36"/>
      </w:r>
      <w:r>
        <w:rPr>
          <w:rFonts w:ascii="Amiri" w:hAnsi="Amiri" w:eastAsia="Amiri" w:cs="Amiri"/>
          <w:color w:val="111111"/>
          <w:sz w:val="28"/>
          <w:sz w:val="28"/>
          <w:szCs w:val="28"/>
          <w:rtl w:val="true"/>
          <w:lang w:bidi="ar-SA"/>
        </w:rPr>
        <w:t>، إذ الظاهر أنّ المراد بالموصول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المستقبل في استحباب الزكاة لو لا الصغر، لا مطلق الزمان الماضي، و لذا يقبح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لليوم الماضي، أو للشهر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الذي هو السبب في إيجاب الزكاة لو لا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تجب أيضا على المجنون مطلقا لا في نقديه، و لا في غيرهما على رأي سيجي‌ء تقويته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العبارة كغيرها، بل المحكي عن جميع الأصحاب من المفيد إلى زمان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للمطبق و ذي الأدوار منه، و صرّح المصنف في التذكرة و غيرها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يستأنف الحول </w:t>
      </w:r>
      <w:r>
        <w:rPr>
          <w:rStyle w:val="FootnoteAnchor"/>
          <w:rtl w:val="true"/>
        </w:rPr>
        <w:footnoteReference w:id="37"/>
      </w:r>
      <w:r>
        <w:rPr>
          <w:rFonts w:ascii="Amiri" w:hAnsi="Amiri" w:eastAsia="Amiri" w:cs="Amiri"/>
          <w:color w:val="111111"/>
          <w:sz w:val="28"/>
          <w:sz w:val="28"/>
          <w:szCs w:val="28"/>
          <w:rtl w:val="true"/>
          <w:lang w:bidi="ar-SA"/>
        </w:rPr>
        <w:t xml:space="preserve">حين الإفاقة </w:t>
      </w:r>
      <w:r>
        <w:rPr>
          <w:rStyle w:val="FootnoteAnchor"/>
          <w:rtl w:val="true"/>
        </w:rPr>
        <w:footnoteReference w:id="38"/>
      </w:r>
      <w:r>
        <w:rPr>
          <w:rFonts w:ascii="Amiri" w:hAnsi="Amiri" w:eastAsia="Amiri" w:cs="Amiri"/>
          <w:color w:val="111111"/>
          <w:sz w:val="28"/>
          <w:sz w:val="28"/>
          <w:szCs w:val="28"/>
          <w:rtl w:val="true"/>
          <w:lang w:bidi="ar-SA"/>
        </w:rPr>
        <w:t>، و لعلّه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المستفاد من النصوص الآتية و الفتاوى النافية للزكاة في مال المجنون أنّ هذا العنوان لا تتعلق به الزكاة، كمال الغائب، و الدين، و المفقود، و غيرها ممّا لا تتعلق به الزكاة بمعنى عدم ملاحظة شروط الزكاة فيه، فلا يجري في الحول ما دام كذلك، مع أنّ ظاهر كلام الأصحاب من اشتراط وجود الشرائط طول </w:t>
      </w:r>
      <w:r>
        <w:rPr>
          <w:rStyle w:val="FootnoteAnchor"/>
          <w:rtl w:val="true"/>
        </w:rPr>
        <w:footnoteReference w:id="39"/>
      </w:r>
      <w:r>
        <w:rPr>
          <w:rFonts w:ascii="Amiri" w:hAnsi="Amiri" w:eastAsia="Amiri" w:cs="Amiri"/>
          <w:color w:val="111111"/>
          <w:sz w:val="28"/>
          <w:sz w:val="28"/>
          <w:szCs w:val="28"/>
          <w:rtl w:val="true"/>
          <w:lang w:bidi="ar-SA"/>
        </w:rPr>
        <w:t>الحول كالصريح في ذلك، و بذلك يندفع نظير ما يقال في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مانع من توجّه الخطاب إليه بعد الإفاقة و البلوغ، نعم يتوجه هذا في المغمى عليه، حيث انّه لم يرد دليل على عدم تعلّق الزكاة بمال المغمى عليه حتّى يلحق</w:t>
      </w:r>
    </w:p>
    <w:p>
      <w:pPr>
        <w:pStyle w:val="BookText"/>
        <w:rPr/>
      </w:pPr>
      <w:r>
        <w:rPr>
          <w:rFonts w:ascii="Amiri" w:hAnsi="Amiri" w:eastAsia="Amiri" w:cs="Amiri"/>
          <w:color w:val="111111"/>
          <w:sz w:val="28"/>
          <w:sz w:val="28"/>
          <w:szCs w:val="28"/>
          <w:rtl w:val="true"/>
          <w:lang w:bidi="ar-SA"/>
        </w:rPr>
        <w:t xml:space="preserve">بالمجنون كما عن المصنف قدس سره في التذكرة و غيرها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يستدلّ بأنّه غير متمكن من التّصرف، و فيه نظر، فالحكم بالسقوط فيه مشكل، و لذا اختار عدمه في المدارك </w:t>
      </w:r>
      <w:r>
        <w:rPr>
          <w:rStyle w:val="FootnoteAnchor"/>
          <w:rtl w:val="true"/>
        </w:rPr>
        <w:footnoteReference w:id="41"/>
      </w:r>
      <w:r>
        <w:rPr>
          <w:rFonts w:ascii="Amiri" w:hAnsi="Amiri" w:eastAsia="Amiri" w:cs="Amiri"/>
          <w:color w:val="111111"/>
          <w:sz w:val="28"/>
          <w:sz w:val="28"/>
          <w:szCs w:val="28"/>
          <w:rtl w:val="true"/>
          <w:lang w:bidi="ar-SA"/>
        </w:rPr>
        <w:t xml:space="preserve">و الكفاية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النائم و الساهي و شبههما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منعهما ابتداء و استدامة و إن خرجا عن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لمن اتجر بمالهما أي الصبيّ و المجنون بولاية لهما إخراجها عند اجتماع شروط زكاة </w:t>
      </w:r>
      <w:r>
        <w:rPr>
          <w:rStyle w:val="FootnoteAnchor"/>
          <w:rtl w:val="true"/>
        </w:rPr>
        <w:footnoteReference w:id="43"/>
      </w:r>
      <w:r>
        <w:rPr>
          <w:rFonts w:ascii="Amiri" w:hAnsi="Amiri" w:eastAsia="Amiri" w:cs="Amiri"/>
          <w:color w:val="111111"/>
          <w:sz w:val="28"/>
          <w:sz w:val="28"/>
          <w:szCs w:val="28"/>
          <w:rtl w:val="true"/>
          <w:lang w:bidi="ar-SA"/>
        </w:rPr>
        <w:t>التجارة، بلا خلاف أجده في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المعتبر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44"/>
      </w:r>
      <w:r>
        <w:rPr>
          <w:rFonts w:ascii="Amiri" w:hAnsi="Amiri" w:eastAsia="Amiri" w:cs="Amiri"/>
          <w:color w:val="111111"/>
          <w:sz w:val="28"/>
          <w:sz w:val="28"/>
          <w:szCs w:val="28"/>
          <w:rtl w:val="true"/>
          <w:lang w:bidi="ar-SA"/>
        </w:rPr>
        <w:t xml:space="preserve">، لأخبار كثيرة ظاهرها كعبارة المقنعة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إلّا أنّ الكلّ محمول على الاستحباب، بقرينة الأخبار الصريحة في نفي الوجوب، مضافا إلى ما سيجي‌ء من استحباب زكاة التجارة على البالغين، وفاقا لما صرّح به المفيد رحمه اللّٰه </w:t>
      </w:r>
      <w:r>
        <w:rPr>
          <w:rStyle w:val="FootnoteAnchor"/>
          <w:rtl w:val="true"/>
        </w:rPr>
        <w:footnoteReference w:id="46"/>
      </w:r>
      <w:r>
        <w:rPr>
          <w:rFonts w:ascii="Amiri" w:hAnsi="Amiri" w:eastAsia="Amiri" w:cs="Amiri"/>
          <w:color w:val="111111"/>
          <w:sz w:val="28"/>
          <w:sz w:val="28"/>
          <w:szCs w:val="28"/>
          <w:rtl w:val="true"/>
          <w:lang w:bidi="ar-SA"/>
        </w:rPr>
        <w:t>و هو دليل على إرادته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المؤكد، كما حمله عليه الشيخ في التهذيب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تلك الأخبار على التقيّة لا ينافي إرادة الاستحباب، لأنّ التقيّة تتأدّى بظهور الكلام في الوجوب الذي هو مذهب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 التجارة</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إرادة الاستحباب بقرينة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يظهر ضعف ما حكي عن الحلّي </w:t>
      </w:r>
      <w:r>
        <w:rPr>
          <w:rStyle w:val="FootnoteAnchor"/>
          <w:rtl w:val="true"/>
        </w:rPr>
        <w:footnoteReference w:id="49"/>
      </w:r>
      <w:r>
        <w:rPr>
          <w:rFonts w:ascii="Amiri" w:hAnsi="Amiri" w:eastAsia="Amiri" w:cs="Amiri"/>
          <w:color w:val="111111"/>
          <w:sz w:val="28"/>
          <w:sz w:val="28"/>
          <w:szCs w:val="28"/>
          <w:rtl w:val="true"/>
          <w:lang w:bidi="ar-SA"/>
        </w:rPr>
        <w:t xml:space="preserve">، و المدارك </w:t>
      </w:r>
      <w:r>
        <w:rPr>
          <w:rStyle w:val="FootnoteAnchor"/>
          <w:rtl w:val="true"/>
        </w:rPr>
        <w:footnoteReference w:id="50"/>
      </w:r>
      <w:r>
        <w:rPr>
          <w:rFonts w:ascii="IRNazanin" w:hAnsi="IRNazanin" w:eastAsia="IRNazanin"/>
          <w:color w:val="111111"/>
          <w:sz w:val="28"/>
          <w:sz w:val="28"/>
          <w:szCs w:val="28"/>
          <w:rtl w:val="true"/>
          <w:lang w:bidi="fa-IR"/>
        </w:rPr>
        <w:t>من عدم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بالطفل هو المولود إلى أن يبلغ، فلا يصدق على الجنين، مضافا إلى دعوى الإجماع في الإيضاح </w:t>
      </w:r>
      <w:r>
        <w:rPr>
          <w:rStyle w:val="FootnoteAnchor"/>
          <w:rtl w:val="true"/>
        </w:rPr>
        <w:footnoteReference w:id="51"/>
      </w:r>
      <w:r>
        <w:rPr>
          <w:rFonts w:ascii="Amiri" w:hAnsi="Amiri" w:eastAsia="Amiri" w:cs="Amiri"/>
          <w:color w:val="111111"/>
          <w:sz w:val="28"/>
          <w:sz w:val="28"/>
          <w:szCs w:val="28"/>
          <w:rtl w:val="true"/>
          <w:lang w:bidi="ar-SA"/>
        </w:rPr>
        <w:t>على عدم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للحمل قبل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الخسارة الحاصلة من التجارة على اليتيم، للأصل و قاعدة عدم ضمان المأذون و المحسن، و رواية الحسن بن محبوب، عن خالد بن جرير، عن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موثّق، لكن له كتاب يرويه </w:t>
      </w:r>
      <w:r>
        <w:rPr>
          <w:rStyle w:val="FootnoteAnchor"/>
          <w:rtl w:val="true"/>
        </w:rPr>
        <w:footnoteReference w:id="52"/>
      </w: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في يده مال لأخ له يتيم، و هو وصيّه، أ يصلح له أن يعمل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يعمل به كما يعمل بمال غيره و الربح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عليه ضمان؟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 ناظرا له</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خلافا للمحكي عن جماعة </w:t>
      </w:r>
      <w:r>
        <w:rPr>
          <w:rStyle w:val="FootnoteAnchor"/>
          <w:rtl w:val="true"/>
        </w:rPr>
        <w:footnoteReference w:id="54"/>
      </w:r>
      <w:r>
        <w:rPr>
          <w:rFonts w:ascii="Amiri" w:hAnsi="Amiri" w:eastAsia="Amiri" w:cs="Amiri"/>
          <w:color w:val="111111"/>
          <w:sz w:val="28"/>
          <w:sz w:val="28"/>
          <w:szCs w:val="28"/>
          <w:rtl w:val="true"/>
          <w:lang w:bidi="ar-SA"/>
        </w:rPr>
        <w:t xml:space="preserve">من تضمين الولي؛ لإطلاق بعض الأخبار </w:t>
      </w:r>
      <w:r>
        <w:rPr>
          <w:rStyle w:val="FootnoteAnchor"/>
          <w:rtl w:val="true"/>
        </w:rPr>
        <w:footnoteReference w:id="55"/>
      </w:r>
      <w:r>
        <w:rPr>
          <w:rFonts w:ascii="Amiri" w:hAnsi="Amiri" w:eastAsia="Amiri" w:cs="Amiri"/>
          <w:color w:val="111111"/>
          <w:sz w:val="28"/>
          <w:sz w:val="28"/>
          <w:szCs w:val="28"/>
          <w:rtl w:val="true"/>
          <w:lang w:bidi="ar-SA"/>
        </w:rPr>
        <w:t>المقيّد بصورة عدم الولاية، أو تقصير الولي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الرواية و غيرها، جواز أخذ الولي 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للمحكي عن الحلّي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المجنون فالمشهور أيضا الاستحباب في مال تجارته، بل عن المعتبر </w:t>
      </w:r>
      <w:r>
        <w:rPr>
          <w:rStyle w:val="FootnoteAnchor"/>
          <w:rtl w:val="true"/>
        </w:rPr>
        <w:footnoteReference w:id="58"/>
      </w:r>
      <w:r>
        <w:rPr>
          <w:rFonts w:ascii="IRNazanin" w:hAnsi="IRNazanin" w:eastAsia="IRNazanin"/>
          <w:color w:val="111111"/>
          <w:sz w:val="28"/>
          <w:sz w:val="28"/>
          <w:szCs w:val="28"/>
          <w:rtl w:val="true"/>
          <w:lang w:bidi="fa-IR"/>
        </w:rPr>
        <w:t xml:space="preserve">، و المنتهى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علماءنا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صحيحة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من أهلنا مختلطة، لها مال، عليها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عمل به </w:t>
      </w:r>
      <w:r>
        <w:rPr>
          <w:rStyle w:val="FootnoteAnchor"/>
          <w:rtl w:val="true"/>
        </w:rPr>
        <w:footnoteReference w:id="60"/>
      </w:r>
      <w:r>
        <w:rPr>
          <w:rFonts w:ascii="Amiri" w:hAnsi="Amiri" w:eastAsia="Amiri" w:cs="Amiri"/>
          <w:color w:val="111111"/>
          <w:sz w:val="28"/>
          <w:sz w:val="28"/>
          <w:szCs w:val="28"/>
          <w:rtl w:val="true"/>
          <w:lang w:bidi="ar-SA"/>
        </w:rPr>
        <w:t>فعليها زكاة، و إن لم يعمل به فلا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مثلها خبر موسى بن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امرأة مصابة، و لها في يد أخيها مال؟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أخوها يتّجر به فعليه زكاة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في كون الربح للمجنون و الخسران عليه، كما تقدم في الصبي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اتّجر بمال الطفل أو المجنون متّجر لنفسه بأن نقل المال إلى نفسه بناقل كالقرض و نحوه فإن كان وليّا مليّا، فالربح له </w:t>
      </w:r>
      <w:r>
        <w:rPr>
          <w:rStyle w:val="FootnoteAnchor"/>
          <w:rtl w:val="true"/>
        </w:rPr>
        <w:footnoteReference w:id="64"/>
      </w:r>
      <w:r>
        <w:rPr>
          <w:rFonts w:ascii="Amiri" w:hAnsi="Amiri" w:eastAsia="Amiri" w:cs="Amiri"/>
          <w:color w:val="111111"/>
          <w:sz w:val="28"/>
          <w:sz w:val="28"/>
          <w:szCs w:val="28"/>
          <w:rtl w:val="true"/>
          <w:lang w:bidi="ar-SA"/>
        </w:rPr>
        <w:t>لأنّه نماء ملكه، كما أنّ الخسران و الزكاة المستحبة عليه بلا خلاف في ذلك كما ذكره غير واحد، و لا إشكال بعد فرض جواز نقل مال الطفل إلى الوليّ المليّ بالاقتراض و نحوه، و المعروف جوازه و إن لم يكن فيه مصلحة لليتيم؛ للأخبار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ولّى مال يتيم، أ يستقرض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يستقرض من مال أيتام كانوا في حجره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رواية أخرى حاكية لاستقراضه عليه السلام </w:t>
      </w:r>
      <w:r>
        <w:rPr>
          <w:rStyle w:val="FootnoteAnchor"/>
          <w:rtl w:val="true"/>
        </w:rPr>
        <w:footnoteReference w:id="66"/>
      </w:r>
      <w:r>
        <w:rPr>
          <w:rFonts w:ascii="Amiri" w:hAnsi="Amiri" w:eastAsia="Amiri" w:cs="Amiri"/>
          <w:color w:val="111111"/>
          <w:sz w:val="28"/>
          <w:sz w:val="28"/>
          <w:szCs w:val="28"/>
          <w:rtl w:val="true"/>
          <w:lang w:bidi="ar-SA"/>
        </w:rPr>
        <w:t>ظاهرة في إرادة بيان الجواز الذي هو محل حاجة السائل دون مجرد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منصور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مال اليتيم يعمل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عندك مال و ضمنته فلك الربح و أنت ضامن للمال، و ان كان لا مال لك و عملت به فالربح للغلام و أنت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للمال</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 الكافي، عن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في يده مال لأيتام فيحتاج إليه فيمدّ يده فيأخذه و ينوي أن يردّه؟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أن يأكل إلا القصد، و لا يسرف، فان كان من نيته أن لا يردّه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بالمنزل الذي قال اللّٰه عزّ و جل إِنَّ الَّذِينَ يَأْكُلُونَ أَمْوٰالَ الْيَتٰامىٰ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خالف في ذلك الحلّي،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يجوز للوليّ التصرّف في مال الطفل إلّا بما يكون فيه صلاح المال، و يعود نفعه إلى الطفل دون المتصرف فيه، و هذا الذي تقتضيه أصول المذهب</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و يظهر ذلك من المحكيّ عن المبسوط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يلي أمر الصغير و المجنون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w:t>
      </w:r>
    </w:p>
    <w:p>
      <w:pPr>
        <w:pStyle w:val="BookText"/>
        <w:rPr/>
      </w:pPr>
      <w:r>
        <w:rPr>
          <w:rFonts w:ascii="Amiri" w:hAnsi="Amiri" w:eastAsia="Amiri" w:cs="Amiri"/>
          <w:color w:val="111111"/>
          <w:sz w:val="28"/>
          <w:sz w:val="28"/>
          <w:szCs w:val="28"/>
          <w:rtl w:val="true"/>
          <w:lang w:bidi="ar-SA"/>
        </w:rPr>
        <w:t xml:space="preserve">و الجد و وصيّ الأب و الجد و الامام عليه السلام </w:t>
      </w:r>
      <w:r>
        <w:rPr>
          <w:rStyle w:val="FootnoteAnchor"/>
          <w:rtl w:val="true"/>
        </w:rPr>
        <w:footnoteReference w:id="70"/>
      </w:r>
      <w:r>
        <w:rPr>
          <w:rFonts w:ascii="Amiri" w:hAnsi="Amiri" w:eastAsia="Amiri" w:cs="Amiri"/>
          <w:color w:val="111111"/>
          <w:sz w:val="28"/>
          <w:sz w:val="28"/>
          <w:szCs w:val="28"/>
          <w:rtl w:val="true"/>
          <w:lang w:bidi="ar-SA"/>
        </w:rPr>
        <w:t>و من يأمره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هؤلاء الخمسة لا يصحّ تصرّفهم إلّا على وجه الاحتياط و الحظّ </w:t>
      </w:r>
      <w:r>
        <w:rPr>
          <w:rStyle w:val="FootnoteAnchor"/>
          <w:rtl w:val="true"/>
        </w:rPr>
        <w:footnoteReference w:id="71"/>
      </w:r>
      <w:r>
        <w:rPr>
          <w:rFonts w:ascii="Amiri" w:hAnsi="Amiri" w:eastAsia="Amiri" w:cs="Amiri"/>
          <w:color w:val="111111"/>
          <w:sz w:val="28"/>
          <w:sz w:val="28"/>
          <w:szCs w:val="28"/>
          <w:rtl w:val="true"/>
          <w:lang w:bidi="ar-SA"/>
        </w:rPr>
        <w:t xml:space="preserve">للصغير؛ لأنّهم إنّما نصبوا لذلك، فإذا تصرّف فيه على وجه لا حظّ فيه كان باطلا، لأنّه خلاف ما نصب له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 المال إلى الذمم معرض للتلف بالإعسار أو الإنكار أو الموت أو غير ذلك مما يغلب على الاحتمالات القائمة في صورة بقاء العين، و لذا يظهر من المسالك </w:t>
      </w:r>
      <w:r>
        <w:rPr>
          <w:rStyle w:val="FootnoteAnchor"/>
          <w:rtl w:val="true"/>
        </w:rPr>
        <w:footnoteReference w:id="73"/>
      </w:r>
      <w:r>
        <w:rPr>
          <w:rFonts w:ascii="Amiri" w:hAnsi="Amiri" w:eastAsia="Amiri" w:cs="Amiri"/>
          <w:color w:val="111111"/>
          <w:sz w:val="28"/>
          <w:sz w:val="28"/>
          <w:szCs w:val="28"/>
          <w:rtl w:val="true"/>
          <w:lang w:bidi="ar-SA"/>
        </w:rPr>
        <w:t>في باب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جواز اقتراض الولي مال الطفل، ثم حكى عن التذكرة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جواز الاقتراض بالمصلحة مضافا إلى الولاية و الملاءة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فالقول بالمنع، و إلحاق اقتراض الولي لنفسه بإقراضه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اتفقوا ظاهرا على أنه لا يجوز إلّا مع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إلّا أنّ العمل بتلك الأخبار المجوّزة المنجبرة بما حكي لعلّه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يدّعى الجواز، بناء على أنّ أصل جعل المال في ذمّة الوليّ المليّ مصلحة، فيجوز</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ظاهر؛ و لذا منعوا من جواز إقراض الولي إيّاه لغيره و إن كان غنيا </w:t>
      </w:r>
      <w:r>
        <w:rPr>
          <w:rStyle w:val="FootnoteAnchor"/>
          <w:rtl w:val="true"/>
        </w:rPr>
        <w:footnoteReference w:id="75"/>
      </w:r>
      <w:r>
        <w:rPr>
          <w:rFonts w:ascii="IRNazanin" w:hAnsi="IRNazanin" w:eastAsia="IRNazanin"/>
          <w:color w:val="111111"/>
          <w:sz w:val="28"/>
          <w:sz w:val="28"/>
          <w:szCs w:val="28"/>
          <w:rtl w:val="true"/>
          <w:lang w:bidi="fa-IR"/>
        </w:rPr>
        <w:t xml:space="preserve">إلّا مع خوف التلف و نحوه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المراد بالملاءة ما تضمّنته رواية أسباط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هلك فوصّى إلى أخ أكبر منّي، و أدخلني معه في الوصية، و ترك ابنا له صغيرا و كان له مال، أ فيضرب به أخي فما كان له من فضل سلّمه لليتيم و ضمن له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لأخيك مال يحيط بمال اليتيم إن تلف فلا بأس به، و إن لم يكن له مال فلا يعرض لمال اليتيم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لأسباط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لأخيك مال يحيط بمال اليتيم إن تلف أو أصابه شي‌ء غرمه له، و إلّا فلا يتعرّض لمال اليتيم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دلالة على أنّ الغرض من اعتبار المال المحيط هو تعجيل الغرامة له عند التلف، و إلّا فأصل الغرامة تجب على المتصرّف المعسر أيضا عند الإيسار، و حينئذ فيمكن القول بالاكتفاء في الملاءة بمجرد الاطمئنان بتحقّق الغرامة عند التلف و لو بسبب كونه وجيها يقرضه الناس، أو يرهنون له عند من يقرضه، أو يطمئن بحصول الهدايا أو الزكوات أو الأخماس له و نحو ذلك، و لعلّ إليه يرجع ما عن المبسوط </w:t>
      </w:r>
      <w:r>
        <w:rPr>
          <w:rStyle w:val="FootnoteAnchor"/>
          <w:rtl w:val="true"/>
        </w:rPr>
        <w:footnoteReference w:id="79"/>
      </w:r>
      <w:r>
        <w:rPr>
          <w:rFonts w:ascii="Amiri" w:hAnsi="Amiri" w:eastAsia="Amiri" w:cs="Amiri"/>
          <w:color w:val="111111"/>
          <w:sz w:val="28"/>
          <w:sz w:val="28"/>
          <w:szCs w:val="28"/>
          <w:rtl w:val="true"/>
          <w:lang w:bidi="ar-SA"/>
        </w:rPr>
        <w:t xml:space="preserve">و النهاية </w:t>
      </w:r>
      <w:r>
        <w:rPr>
          <w:rStyle w:val="FootnoteAnchor"/>
          <w:rtl w:val="true"/>
        </w:rPr>
        <w:footnoteReference w:id="80"/>
      </w:r>
      <w:r>
        <w:rPr>
          <w:rFonts w:ascii="Amiri" w:hAnsi="Amiri" w:eastAsia="Amiri" w:cs="Amiri"/>
          <w:color w:val="111111"/>
          <w:sz w:val="28"/>
          <w:sz w:val="28"/>
          <w:szCs w:val="28"/>
          <w:rtl w:val="true"/>
          <w:lang w:bidi="ar-SA"/>
        </w:rPr>
        <w:t>من أنّ المراد بالملاءة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متمكنا في الحال من ضمانه، و لكن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أن يكون له مال بقدر مال الطفل، </w:t>
      </w:r>
      <w:r>
        <w:rPr>
          <w:rStyle w:val="FootnoteAnchor"/>
          <w:rtl w:val="true"/>
        </w:rPr>
        <w:footnoteReference w:id="81"/>
      </w:r>
      <w:r>
        <w:rPr>
          <w:rFonts w:ascii="Amiri" w:hAnsi="Amiri" w:eastAsia="Amiri" w:cs="Amiri"/>
          <w:color w:val="111111"/>
          <w:sz w:val="28"/>
          <w:sz w:val="28"/>
          <w:szCs w:val="28"/>
          <w:rtl w:val="true"/>
          <w:lang w:bidi="ar-SA"/>
        </w:rPr>
        <w:t xml:space="preserve">و زاد في المسالك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فاضلا عن المستثنيات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بقابلية المال لوجوب الغرامة منه، ليخرج مع المستثنيات الممنوع من التصرّف منه شرعا أو عقلا أيضا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فقد المتّجر من شرطي الولاية و الملاءة أحدهما فإن كان الأوّل كان ضامنا، لحرمة التصرف في مال الغير بغير الولاية الشرعية المفروض</w:t>
      </w:r>
    </w:p>
    <w:p>
      <w:pPr>
        <w:pStyle w:val="BookText"/>
        <w:rPr/>
      </w:pPr>
      <w:r>
        <w:rPr>
          <w:rFonts w:ascii="Amiri" w:hAnsi="Amiri" w:eastAsia="Amiri" w:cs="Amiri"/>
          <w:color w:val="111111"/>
          <w:sz w:val="28"/>
          <w:sz w:val="28"/>
          <w:szCs w:val="28"/>
          <w:rtl w:val="true"/>
          <w:lang w:bidi="ar-SA"/>
        </w:rPr>
        <w:t>فقدها في المقام، فيلزمه الضمان؛ لأدلّة ضمان اليد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في التصرف مصلحة و تعذّر استئذان الولي، ففي الكفاية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مع الاضطرار إلى التصرف المذكور فمما لا ريب فيه؛ لأنّه وليّ حينئذ؛ لعموم ما دلّ على جواز التصرف مع المصلحة من الكتاب و السنة، خرج صورة التمكّن من الرجوع إلى الولي لأدلّة ولايته، بل الظاهر أنّ هذا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الجواز مع عدم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مراد الكفاية ظاهرا، و وافقه في المناهل </w:t>
      </w:r>
      <w:r>
        <w:rPr>
          <w:rStyle w:val="FootnoteAnchor"/>
          <w:rtl w:val="true"/>
        </w:rPr>
        <w:footnoteReference w:id="84"/>
      </w:r>
      <w:r>
        <w:rPr>
          <w:rFonts w:ascii="Amiri" w:hAnsi="Amiri" w:eastAsia="Amiri" w:cs="Amiri"/>
          <w:color w:val="111111"/>
          <w:sz w:val="28"/>
          <w:sz w:val="28"/>
          <w:szCs w:val="28"/>
          <w:rtl w:val="true"/>
          <w:lang w:bidi="ar-SA"/>
        </w:rPr>
        <w:t xml:space="preserve">حاكيا له عن جدّه رحمه اللّٰه في شرح المفاتيح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عموم الكتاب و السنة المستفيضة في عموم جواز التصرف مع المصلحة، و من أنّ ظاهر الأصحاب انحصار التصرف في الولي كما اعترف به في شرح المفاتيح، 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تقدّم من رواية أبي الربيع </w:t>
      </w:r>
      <w:r>
        <w:rPr>
          <w:rStyle w:val="FootnoteAnchor"/>
          <w:rtl w:val="true"/>
        </w:rPr>
        <w:footnoteReference w:id="86"/>
      </w:r>
      <w:r>
        <w:rPr>
          <w:rFonts w:ascii="Amiri" w:hAnsi="Amiri" w:eastAsia="Amiri" w:cs="Amiri"/>
          <w:color w:val="111111"/>
          <w:sz w:val="28"/>
          <w:sz w:val="28"/>
          <w:szCs w:val="28"/>
          <w:rtl w:val="true"/>
          <w:lang w:bidi="ar-SA"/>
        </w:rPr>
        <w:t>المتقدمة الدالّة بمفهومها على الضمان إذا لم يكن المتّجر ناظرا لليتيم، إلّا أن يحمل النظارة فيها على النظر في المصلحة و المداقّة فيها، في مقابل المسامحة 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مورد الرواية كون العامل وصيّا فلا معنى للتفصيل بين الوصيّ و غيره، اللّٰهم إلّا أن يرجع إلى التفصيل بين كونه وصيّا على الطفل و غيره، أو يكون الشرط مسوقا لبيان علّة الحكم،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فرض كون العامل ناظرا لليتيم فلا ضمان عليه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حكم الربح و زكاة التجارة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إمّا أن يكون قد</w:t>
      </w:r>
    </w:p>
    <w:p>
      <w:pPr>
        <w:pStyle w:val="BookText"/>
        <w:rPr/>
      </w:pPr>
      <w:r>
        <w:rPr>
          <w:rFonts w:ascii="Amiri" w:hAnsi="Amiri" w:eastAsia="Amiri" w:cs="Amiri"/>
          <w:color w:val="111111"/>
          <w:sz w:val="28"/>
          <w:sz w:val="28"/>
          <w:szCs w:val="28"/>
          <w:rtl w:val="true"/>
          <w:lang w:bidi="ar-SA"/>
        </w:rPr>
        <w:t xml:space="preserve">اشترى بعين مال الطفل، أو بالذمة </w:t>
      </w:r>
      <w:r>
        <w:rPr>
          <w:rStyle w:val="FootnoteAnchor"/>
          <w:rtl w:val="true"/>
        </w:rPr>
        <w:footnoteReference w:id="87"/>
      </w:r>
      <w:r>
        <w:rPr>
          <w:rFonts w:ascii="Amiri" w:hAnsi="Amiri" w:eastAsia="Amiri" w:cs="Amiri"/>
          <w:color w:val="111111"/>
          <w:sz w:val="28"/>
          <w:sz w:val="28"/>
          <w:szCs w:val="28"/>
          <w:rtl w:val="true"/>
          <w:lang w:bidi="ar-SA"/>
        </w:rPr>
        <w:t>و دفع مال الطفل عوضا عمّا في ذمته، فإن اشترى بالعين و أجاز وليّ الطفل فالربح له، و يخرج العامل عن الضمان سواء كان الشراء لنفسه أو للطفل، إذ لا فرق في قابليّة صرف العقد إلى المالك بين قصد العاقد نفسه أو المالك، كما صرّح به جماعة في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يجز الولي فمقتضى قاعدة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المعاملة إلّا إذا فرض المصلحة في البيع و جوّزنا التصرّف مع المصلحة، و تعذّر استئذان الولي، فإنّ العقد حينئذ يقع لازما لا يقدح فيه ردّ الولي بعد الاطّلاع، إلّا أن يكون تيسّر استيجاز الولي كتيسّر استئذانه، فيقع العقد معه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فإجراء أحكام الفضولي متّجه، إلّا أنّ ظاهر كثير من الروايات إطلاق الحكم بكون الربح لليتيم و الخسران على العامل كما هو ظاهر المصنّف و غيره، ففي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عن الفقيه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ليس على مال اليتيم زكاة إلّا أن يتّجر به، فإن اتّجر به ففيه الزكاة و الربح لليتيم و على المتاجر ضمان المال</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سعد السمان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 إلّا أن يتجر به فإن اتّجر به فالربح لليتيم، و إن وضع فعلى الذي يتّجر به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الحكم فيها بثبوت الزكاة في مال اليتيم مع التجارة قرينة على وقوع الشراء له، و الحكم بالضمان قرينة على عدم ولاية التاجر، فدلّ بإطلاقه على ثبوت الربح لليتيم بمجرّد تجارة غير الولي، و تقييدهما </w:t>
      </w:r>
      <w:r>
        <w:rPr>
          <w:rStyle w:val="FootnoteAnchor"/>
          <w:rtl w:val="true"/>
        </w:rPr>
        <w:footnoteReference w:id="90"/>
      </w:r>
      <w:r>
        <w:rPr>
          <w:rFonts w:ascii="IRNazanin" w:hAnsi="IRNazanin" w:eastAsia="IRNazanin"/>
          <w:color w:val="111111"/>
          <w:sz w:val="28"/>
          <w:sz w:val="28"/>
          <w:szCs w:val="28"/>
          <w:rtl w:val="true"/>
          <w:lang w:bidi="fa-IR"/>
        </w:rPr>
        <w:t xml:space="preserve">بما إذا أجاز </w:t>
      </w:r>
      <w:r>
        <w:rPr>
          <w:rStyle w:val="FootnoteAnchor"/>
          <w:rtl w:val="true"/>
        </w:rPr>
        <w:footnoteReference w:id="91"/>
      </w:r>
      <w:r>
        <w:rPr>
          <w:rFonts w:ascii="Amiri" w:hAnsi="Amiri" w:eastAsia="Amiri" w:cs="Amiri"/>
          <w:color w:val="111111"/>
          <w:sz w:val="28"/>
          <w:sz w:val="28"/>
          <w:szCs w:val="28"/>
          <w:rtl w:val="true"/>
          <w:lang w:bidi="ar-SA"/>
        </w:rPr>
        <w:t>الولي</w:t>
      </w:r>
    </w:p>
    <w:p>
      <w:pPr>
        <w:pStyle w:val="BookText"/>
        <w:rPr/>
      </w:pPr>
      <w:r>
        <w:rPr>
          <w:rFonts w:ascii="Amiri" w:hAnsi="Amiri" w:eastAsia="Amiri" w:cs="Amiri"/>
          <w:color w:val="111111"/>
          <w:sz w:val="28"/>
          <w:sz w:val="28"/>
          <w:szCs w:val="28"/>
          <w:rtl w:val="true"/>
          <w:lang w:bidi="ar-SA"/>
        </w:rPr>
        <w:t>بعيد، و تطبيق مسألتي الربح و الخسران على قاعدة الفضولي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اختصاص الروايتين بصورة وقوع الشراء للطفل لا يقدح، مع عدم القول بالفصل و اتّحاد طريق المسألتين بعد فرض صحّة العقد في نفسه، سواء قصد المالك أو قصد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عدم ابتنائه على مسألة الفضولي حكم الحلّي في محكي السرائر </w:t>
      </w:r>
      <w:r>
        <w:rPr>
          <w:rStyle w:val="FootnoteAnchor"/>
          <w:rtl w:val="true"/>
        </w:rPr>
        <w:footnoteReference w:id="92"/>
      </w:r>
      <w:r>
        <w:rPr>
          <w:rFonts w:ascii="Amiri" w:hAnsi="Amiri" w:eastAsia="Amiri" w:cs="Amiri"/>
          <w:color w:val="111111"/>
          <w:sz w:val="28"/>
          <w:sz w:val="28"/>
          <w:szCs w:val="28"/>
          <w:rtl w:val="true"/>
          <w:lang w:bidi="ar-SA"/>
        </w:rPr>
        <w:t xml:space="preserve">و فخر الإسلام في حاشية الإرشاد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w:t>
      </w:r>
      <w:r>
        <w:rPr>
          <w:rStyle w:val="FootnoteAnchor"/>
          <w:rtl w:val="true"/>
        </w:rPr>
        <w:footnoteReference w:id="94"/>
      </w:r>
      <w:r>
        <w:rPr>
          <w:rFonts w:ascii="Amiri" w:hAnsi="Amiri" w:eastAsia="Amiri" w:cs="Amiri"/>
          <w:color w:val="111111"/>
          <w:sz w:val="28"/>
          <w:sz w:val="28"/>
          <w:szCs w:val="28"/>
          <w:rtl w:val="true"/>
          <w:lang w:bidi="ar-SA"/>
        </w:rPr>
        <w:t xml:space="preserve">الربح هنا لليتيم مع حكمهما ببطلان معاملة الفضولي </w:t>
      </w:r>
      <w:r>
        <w:rPr>
          <w:rStyle w:val="FootnoteAnchor"/>
          <w:rtl w:val="true"/>
        </w:rPr>
        <w:footnoteReference w:id="95"/>
      </w:r>
      <w:r>
        <w:rPr>
          <w:rFonts w:ascii="Amiri" w:hAnsi="Amiri" w:eastAsia="Amiri" w:cs="Amiri"/>
          <w:color w:val="111111"/>
          <w:sz w:val="28"/>
          <w:sz w:val="28"/>
          <w:szCs w:val="28"/>
          <w:rtl w:val="true"/>
          <w:lang w:bidi="ar-SA"/>
        </w:rPr>
        <w:t xml:space="preserve">تبعا للشيخ في المبسوط </w:t>
      </w:r>
      <w:r>
        <w:rPr>
          <w:rStyle w:val="FootnoteAnchor"/>
          <w:rtl w:val="true"/>
        </w:rPr>
        <w:footnoteReference w:id="96"/>
      </w:r>
      <w:r>
        <w:rPr>
          <w:rFonts w:ascii="Amiri" w:hAnsi="Amiri" w:eastAsia="Amiri" w:cs="Amiri"/>
          <w:color w:val="111111"/>
          <w:sz w:val="28"/>
          <w:sz w:val="28"/>
          <w:szCs w:val="28"/>
          <w:rtl w:val="true"/>
          <w:lang w:bidi="ar-SA"/>
        </w:rPr>
        <w:t xml:space="preserve">، و ابن زهرة </w:t>
      </w:r>
      <w:r>
        <w:rPr>
          <w:rStyle w:val="FootnoteAnchor"/>
          <w:rtl w:val="true"/>
        </w:rPr>
        <w:footnoteReference w:id="97"/>
      </w:r>
      <w:r>
        <w:rPr>
          <w:rFonts w:ascii="Amiri" w:hAnsi="Amiri" w:eastAsia="Amiri" w:cs="Amiri"/>
          <w:color w:val="111111"/>
          <w:sz w:val="28"/>
          <w:sz w:val="28"/>
          <w:szCs w:val="28"/>
          <w:rtl w:val="true"/>
          <w:lang w:bidi="ar-SA"/>
        </w:rPr>
        <w:t xml:space="preserve">، و ظاهر الحلبي </w:t>
      </w:r>
      <w:r>
        <w:rPr>
          <w:rStyle w:val="FootnoteAnchor"/>
          <w:rtl w:val="true"/>
        </w:rPr>
        <w:footnoteReference w:id="98"/>
      </w:r>
      <w:r>
        <w:rPr>
          <w:rFonts w:ascii="Amiri" w:hAnsi="Amiri" w:eastAsia="Amiri" w:cs="Amiri"/>
          <w:color w:val="111111"/>
          <w:sz w:val="28"/>
          <w:sz w:val="28"/>
          <w:szCs w:val="28"/>
          <w:rtl w:val="true"/>
          <w:lang w:bidi="ar-SA"/>
        </w:rPr>
        <w:t xml:space="preserve">، بل و القول الآخر للشيخ في الخلاف في كتاب النكاح </w:t>
      </w:r>
      <w:r>
        <w:rPr>
          <w:rStyle w:val="FootnoteAnchor"/>
          <w:rtl w:val="true"/>
        </w:rPr>
        <w:footnoteReference w:id="99"/>
      </w:r>
      <w:r>
        <w:rPr>
          <w:rFonts w:ascii="Amiri" w:hAnsi="Amiri" w:eastAsia="Amiri" w:cs="Amiri"/>
          <w:color w:val="111111"/>
          <w:sz w:val="28"/>
          <w:sz w:val="28"/>
          <w:szCs w:val="28"/>
          <w:rtl w:val="true"/>
          <w:lang w:bidi="ar-SA"/>
        </w:rPr>
        <w:t>حيث إنّ ظاهره هناك بطلان الشراء الفضولي، و إن صحّح البيع الفضولي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القول بالتوقّف على الإجازة، فهل يجب على الولي الإجازة مع ظهور الربح؟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عرفا تفويت للمنفعة فهو في قوّة فسخ العقد الخياريّ الذي فيه المصلحة، بل هذا أولى مما حكي عن المصنّف قدّس سره في نكاح التذكرة </w:t>
      </w:r>
      <w:r>
        <w:rPr>
          <w:rStyle w:val="FootnoteAnchor"/>
          <w:rtl w:val="true"/>
        </w:rPr>
        <w:footnoteReference w:id="100"/>
      </w:r>
      <w:r>
        <w:rPr>
          <w:rFonts w:ascii="Amiri" w:hAnsi="Amiri" w:eastAsia="Amiri" w:cs="Amiri"/>
          <w:color w:val="111111"/>
          <w:sz w:val="28"/>
          <w:sz w:val="28"/>
          <w:szCs w:val="28"/>
          <w:rtl w:val="true"/>
          <w:lang w:bidi="ar-SA"/>
        </w:rPr>
        <w:t xml:space="preserve">من وجوب بيع متاع الطفل إذا طلب بزيادة و شراء الرخيص له، و هو الموافق لبعض نسخ القواعد على ما عن جامع المقاصد في باب الحجر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عدم الدليل على وجوب فعل الأصلح للطفل، و 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في الذمّة و دفع مال اليتيم عمّا في الذمّة، فمقتضى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صحّة المعاملة لنفسه </w:t>
      </w:r>
      <w:r>
        <w:rPr>
          <w:rStyle w:val="FootnoteAnchor"/>
          <w:rtl w:val="true"/>
        </w:rPr>
        <w:footnoteReference w:id="102"/>
      </w:r>
      <w:r>
        <w:rPr>
          <w:rFonts w:ascii="Amiri" w:hAnsi="Amiri" w:eastAsia="Amiri" w:cs="Amiri"/>
          <w:color w:val="111111"/>
          <w:sz w:val="28"/>
          <w:sz w:val="28"/>
          <w:szCs w:val="28"/>
          <w:rtl w:val="true"/>
          <w:lang w:bidi="ar-SA"/>
        </w:rPr>
        <w:t>سواء قصد عند المعاملة دفع مال اليتيم عمّا في الذمة، أو اتّفق ذلك بعد المعاملة، و حينئذ فالربح له و الزكاة المستحبة عليه، و عليه ضمان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الأخبار </w:t>
      </w:r>
      <w:r>
        <w:rPr>
          <w:rStyle w:val="FootnoteAnchor"/>
          <w:rtl w:val="true"/>
        </w:rPr>
        <w:footnoteReference w:id="103"/>
      </w:r>
      <w:r>
        <w:rPr>
          <w:rFonts w:ascii="Amiri" w:hAnsi="Amiri" w:eastAsia="Amiri" w:cs="Amiri"/>
          <w:color w:val="111111"/>
          <w:sz w:val="28"/>
          <w:sz w:val="28"/>
          <w:szCs w:val="28"/>
          <w:rtl w:val="true"/>
          <w:lang w:bidi="ar-SA"/>
        </w:rPr>
        <w:t>الحاكمة بثبوت الربح لليتيم، و الخسارة على العامل، يشمل هذه الصورة، فإن الاتّجار بمال اليتيم و إن كان حقيقة في الاتّجار بالعين إلّا أنّه عرفا يصدق على الاتّجار بما في الذمّة مع قصد دفع مال اليتيم عوضا، فترى العرف يطلقون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يتّجر بما في يده أو بمال فلان، مع أنّه لا يقع منه إلّا الاتّجار بما في الذمّة إذا عزم على دفع المال عنه، بل قلّما يتّفق معاملة بالعين، بل لو وقعت في السلعتين يخصّونها باسم المعاوضة دون البيع، و من هنا استجود سيد مشايخنا </w:t>
      </w:r>
      <w:r>
        <w:rPr>
          <w:rStyle w:val="FootnoteAnchor"/>
          <w:rtl w:val="true"/>
        </w:rPr>
        <w:footnoteReference w:id="104"/>
      </w:r>
      <w:r>
        <w:rPr>
          <w:rFonts w:ascii="Amiri" w:hAnsi="Amiri" w:eastAsia="Amiri" w:cs="Amiri"/>
          <w:color w:val="111111"/>
          <w:sz w:val="28"/>
          <w:sz w:val="28"/>
          <w:szCs w:val="28"/>
          <w:rtl w:val="true"/>
          <w:lang w:bidi="ar-SA"/>
        </w:rPr>
        <w:t xml:space="preserve">إلحاق هذه الصورة الشراء بالعين بعد ما حكى عن جدّه قدس سره في شرح المفاتيح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شمولها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الخروج عن القاعدة بها أولى من العكس، بل العكس أولى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أراد التكافؤ بين الأخبار و القاعدة من جهة النسبة، فلا يخفى أنّ النسبة و إن كانت بالعموم من وجه إلّا أنّ تقييد هذه الأخبار بالشراء بالعين</w:t>
      </w:r>
    </w:p>
    <w:p>
      <w:pPr>
        <w:pStyle w:val="BookText"/>
        <w:rPr/>
      </w:pPr>
      <w:r>
        <w:rPr>
          <w:rFonts w:ascii="Amiri" w:hAnsi="Amiri" w:eastAsia="Amiri" w:cs="Amiri"/>
          <w:color w:val="111111"/>
          <w:sz w:val="28"/>
          <w:sz w:val="28"/>
          <w:szCs w:val="28"/>
          <w:rtl w:val="true"/>
          <w:lang w:bidi="ar-SA"/>
        </w:rPr>
        <w:t>تقييد بالفرد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نهوض هذه الأخبار لتخصيص مثل هذه القاعدة الثابتة بالأدلّة القطعية، ممنوعة بإمكان رفع اليد عنها بالأخبار الكثيرة المعتضدة بإطلاق فتاوى جماعة كالمصنّف و المحقّق </w:t>
      </w:r>
      <w:r>
        <w:rPr>
          <w:rStyle w:val="FootnoteAnchor"/>
          <w:rtl w:val="true"/>
        </w:rPr>
        <w:footnoteReference w:id="106"/>
      </w:r>
      <w:r>
        <w:rPr>
          <w:rFonts w:ascii="Amiri" w:hAnsi="Amiri" w:eastAsia="Amiri" w:cs="Amiri"/>
          <w:color w:val="111111"/>
          <w:sz w:val="28"/>
          <w:sz w:val="28"/>
          <w:szCs w:val="28"/>
          <w:rtl w:val="true"/>
          <w:lang w:bidi="ar-SA"/>
        </w:rPr>
        <w:t>و نحوهما، كما خرجنا بها عن قاعدة الفضولي في الصورتين السابقتين،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العامل إذا قصد ابتداء دفع مال الغير فكأنه أوقع العقد عليه ابتداء، فعدم قصد دفع الكلّي </w:t>
      </w:r>
      <w:r>
        <w:rPr>
          <w:rStyle w:val="FootnoteAnchor"/>
          <w:rtl w:val="true"/>
        </w:rPr>
        <w:footnoteReference w:id="107"/>
      </w:r>
      <w:r>
        <w:rPr>
          <w:rFonts w:ascii="Amiri" w:hAnsi="Amiri" w:eastAsia="Amiri" w:cs="Amiri"/>
          <w:color w:val="111111"/>
          <w:sz w:val="28"/>
          <w:sz w:val="28"/>
          <w:szCs w:val="28"/>
          <w:rtl w:val="true"/>
          <w:lang w:bidi="ar-SA"/>
        </w:rPr>
        <w:t>إلّا في ضمن هذا الفرد بمنزلة المعاوضة على هذا الفرد، و من هنا قد يستقرب اطّراد هذا الحكم في غير مال الصغير و تعديته إلى كلّ مال قصد عند العقد دفعه عمّا في الذمة بدون رضى مالكه، و يدلّ عليه مضافا إلى أخبار مال اليتيم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الكليني بسند فيه إرسال، عن 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الزكاة تجب عليّ في موضع لا يمكنني أن أؤدّيها؟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اعزلها، فإن اتّجرت بها فأنت لها ضامن، و لها الربح، و إن نويت في حال ما عزلتها من غير أن تشغلها </w:t>
      </w:r>
      <w:r>
        <w:rPr>
          <w:rStyle w:val="FootnoteAnchor"/>
          <w:rtl w:val="true"/>
        </w:rPr>
        <w:footnoteReference w:id="108"/>
      </w:r>
      <w:r>
        <w:rPr>
          <w:rFonts w:ascii="Amiri" w:hAnsi="Amiri" w:eastAsia="Amiri" w:cs="Amiri"/>
          <w:color w:val="111111"/>
          <w:sz w:val="28"/>
          <w:sz w:val="28"/>
          <w:szCs w:val="28"/>
          <w:rtl w:val="true"/>
          <w:lang w:bidi="ar-SA"/>
        </w:rPr>
        <w:t>في تجارة فليس عليك، فإن لم تعزلها فاتّجرت بها في جملة مالك فلها تقسيطها من الربح و لا وضيعة عليها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مسمع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استودعت رجلا مالا فجحدنيه، و حلف لي عليه، ثم إنّه جاءني بعده بسنين بالمال الذي كنت استودعته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فخذه، و هذه أربعة آلاف درهم ربحتها في مالك، فهي لك مع مالك، اجعلني في حلّ، فأخذت المال منه و أبيت أن آخذ الربح منه، و أوقفت المال الذي كنت استودعته و أتيت حتى أستطلع رأيك،</w:t>
      </w:r>
    </w:p>
    <w:p>
      <w:pPr>
        <w:pStyle w:val="BookText"/>
        <w:rPr/>
      </w:pP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نصف الربح، و أعطه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رجل تائب و اللّٰه يحب التّوابين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الودعي إذا اتّجر بالوديعة من دون إذن المالك كان ضامنا، و الرّبح للمالك</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و حكاه عن الشيخين و سلّار و القاضي و أبي الصلاح و غيرهم، هذا و مع ذلك كلّه فلا مناص عن حمل كلامهم كالرّوايات على صورة الشّراء بالعين، كما صرّح به في المختلف، قال في مسألة تجارة الغاصب في الاستدلال لمن قال بكون الرّبح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اشترى في الذمّة ملك المشتري المبيع، و كان الثمن في ذمّته بلا خلاف </w:t>
      </w:r>
      <w:r>
        <w:rPr>
          <w:rStyle w:val="FootnoteAnchor"/>
          <w:rtl w:val="true"/>
        </w:rPr>
        <w:footnoteReference w:id="112"/>
      </w:r>
      <w:r>
        <w:rPr>
          <w:rFonts w:ascii="Amiri" w:hAnsi="Amiri" w:eastAsia="Amiri" w:cs="Amiri"/>
          <w:color w:val="111111"/>
          <w:sz w:val="28"/>
          <w:sz w:val="28"/>
          <w:szCs w:val="28"/>
          <w:rtl w:val="true"/>
          <w:lang w:bidi="ar-SA"/>
        </w:rPr>
        <w:t>انتهى، و لكن محلّ كلماتهم ما إذا اتّفق دفع مال الغير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ما إذا قصد دفع مال الغير عوضا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الروايات على صورة قصد دفع مال الغير عوضا، و المسألة في غاية الإشكال، إلّا أنّ ثبوت الرّبح للعامل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التاجر وليا غير مليّ فلا خلاف و لا إشكال في جواز شرائه للطفل مطلقا، و قد تقدّم ذلك في كلام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الشراء لنفسه فإن كان بعين مال الطفل فالظاهر وقوع الشراء للطفل، فالربح له و الخسارة على العامل، لفحوى ما تقدّم من أنّ تجارة غير الولي كذلك، من غير احتياج إلى إجازة، و إنّ مسألة التجارة بمال الطفل خارجة عن مسألة الفضولي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عدم إخراجها عن قاعدة الفضولي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الشراء للطفل مع تحقّق المصلحة، و لا يقدح في ذلك نيّة الشراء لنفسه، لأنّ الشراء وقع بعين مال الطفل، و لو أثّر ذلك لأثّر في مطلق عقد الفضولي إذا قصد العقد لنفسه و لم تنفع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احتياجه إلى إجازة مستأنفة من الولي العامل، و لا من الولي الذي هو بعده في المرتبة، فهو نظير الوكيل إذا أوقع العقد على مال الموكّل لنفسه، فإنّ وقوع العقد ممّن له الإجازة كاف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فيما إذا تعلّق غرض آخر لنقل المال إلى العامل بالخصوص، فإنّ خصوصية المالك و إن لم تكن ركنا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يفترق البيع عن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يبعد مدخليتها إذا لاحظها المتبائعان أو أحدهما، إلّا أنّ الذي يسهّل الأمر ما عرفت من خروج هذه المعاملة عن مسألة الفضولي، و أنّ مجرد وقوع العقد بمال اليتيم مع عدم الإذن شرعا يوجب كون الربح لليتيم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الأخبار المتقدّمة </w:t>
      </w:r>
      <w:r>
        <w:rPr>
          <w:rStyle w:val="FootnoteAnchor"/>
          <w:rtl w:val="true"/>
        </w:rPr>
        <w:footnoteReference w:id="113"/>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الصيقل </w:t>
      </w:r>
      <w:r>
        <w:rPr>
          <w:rStyle w:val="FootnoteAnchor"/>
          <w:rtl w:val="true"/>
        </w:rPr>
        <w:footnoteReference w:id="114"/>
      </w:r>
      <w:r>
        <w:rPr>
          <w:rFonts w:ascii="Amiri" w:hAnsi="Amiri" w:eastAsia="Amiri" w:cs="Amiri"/>
          <w:color w:val="111111"/>
          <w:sz w:val="28"/>
          <w:sz w:val="28"/>
          <w:szCs w:val="28"/>
          <w:rtl w:val="true"/>
          <w:lang w:bidi="ar-SA"/>
        </w:rPr>
        <w:t xml:space="preserve">الدالّ على كون الربح لليتيم إذا لم يكن للعامل مال، فإنّ المراد منها بقرينة نفي الضمان عن العامل مع إطلاقه الملاءة </w:t>
      </w:r>
      <w:r>
        <w:rPr>
          <w:rStyle w:val="FootnoteAnchor"/>
          <w:rtl w:val="true"/>
        </w:rPr>
        <w:footnoteReference w:id="115"/>
      </w:r>
      <w:r>
        <w:rPr>
          <w:rFonts w:ascii="Amiri" w:hAnsi="Amiri" w:eastAsia="Amiri" w:cs="Amiri"/>
          <w:color w:val="111111"/>
          <w:sz w:val="28"/>
          <w:sz w:val="28"/>
          <w:szCs w:val="28"/>
          <w:rtl w:val="true"/>
          <w:lang w:bidi="ar-SA"/>
        </w:rPr>
        <w:t>منطوقا في خبر الصيقل، و مفهوما في غيره،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العامل وليا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الحكم بعدم التوقّف على الإجازة مطلقا في عقد الوليّ و الوكيل إذا أوقعاه لأنفسهما، مع ملاحظة المتعاقدين بخصوصيتهما لا يخلو من إشكال؛ لأنّ العقد الواقع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نقل المال إلى نفس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بنفسه في إفادة نقل الملك إلى المالك، لأنّه غير مدلوله، غاية الأمر أنّه قابل لأن يسلب عنه الخصوصية الملحوظة فيه، من كون المنتقل اليه هو العاقد، لكن السلب لا يتحقّق فعلا إلّا بما يصرفه إلى المالك، و لو كان مجرد كون العين ملكا له كافيا في صرف البيع </w:t>
      </w:r>
      <w:r>
        <w:rPr>
          <w:rStyle w:val="FootnoteAnchor"/>
          <w:rtl w:val="true"/>
        </w:rPr>
        <w:footnoteReference w:id="116"/>
      </w:r>
      <w:r>
        <w:rPr>
          <w:rFonts w:ascii="Amiri" w:hAnsi="Amiri" w:eastAsia="Amiri" w:cs="Amiri"/>
          <w:color w:val="111111"/>
          <w:sz w:val="28"/>
          <w:sz w:val="28"/>
          <w:szCs w:val="28"/>
          <w:rtl w:val="true"/>
          <w:lang w:bidi="ar-SA"/>
        </w:rPr>
        <w:t>إليه لم يحتج إلى الإجازة، فلما علمنا أنّ المال لا ينتقل إلى الغير</w:t>
      </w:r>
    </w:p>
    <w:p>
      <w:pPr>
        <w:pStyle w:val="BookText"/>
        <w:rPr/>
      </w:pPr>
      <w:r>
        <w:rPr>
          <w:rFonts w:ascii="Amiri" w:hAnsi="Amiri" w:eastAsia="Amiri" w:cs="Amiri"/>
          <w:color w:val="111111"/>
          <w:sz w:val="28"/>
          <w:sz w:val="28"/>
          <w:szCs w:val="28"/>
          <w:rtl w:val="true"/>
          <w:lang w:bidi="ar-SA"/>
        </w:rPr>
        <w:t xml:space="preserve">الّا برضاه أو برضى وليّه بالانتقال إليه، لعدم كون العقد مملّكا قهريا، و المفروض إن الولي لم يرض بالانتقال إليه و إنّما رضي بالانتقال إلى نفسه، و يمتنع اجتماع الرضاءين، فلم يتحقّق في هذه المعاملة رضى بالانتقال إلى الطفل من أحد، فلا يلزم العقد إلّا بعد رضي الولي، و هذا العقد أحوج إلى الإجازة ممّا لو باع ملك غيره ثمّ ملكه، و ممّا لو باع ملك غيره ثمّ تبيّن أنّه ملكه، و قد صرح المحقّق في المعتبر باحتياج الأوّل إلى إجازة مستأنفة في فروع مسألة تعلّق الزكاة بالعين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اندفاع ما ربما يتوهّم من أنّ إجازة الولي إذا أثّرت في إلغاء قصد العاقد العقد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فوقوع العقد من الولي أولى بإلغاء قصد الولي العقد لنفسه، لأنّه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الإجازة إنّما ترفع قصد الخصوصية من حيث كونه رضى بمضمون العقد المعرّى من ملاحظة خصوصية المنتقل إليه، فما لم يحصل هذا الرضى لا يحصل إلى المتّجر أو من هو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الشراء لنفسه بالعين مع ضمانه بأحد الوجوه الناقلة فلا إشكال في تملّك الربح، حيث يجوز له الضمان، و حيث لم نجوزه فحكمه كالصورة السابقة، كما أنه لو اشترى حينئذ بما في الذمّة و دفعه عوضا فحكمه كما تقدّم في غير الولي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فالشأن في جواز الضمان للولي الغير المليّ، و قد عرفت كلام الحلّي </w:t>
      </w:r>
      <w:r>
        <w:rPr>
          <w:rStyle w:val="FootnoteAnchor"/>
          <w:rtl w:val="true"/>
        </w:rPr>
        <w:footnoteReference w:id="118"/>
      </w:r>
      <w:r>
        <w:rPr>
          <w:rFonts w:ascii="Amiri" w:hAnsi="Amiri" w:eastAsia="Amiri" w:cs="Amiri"/>
          <w:color w:val="111111"/>
          <w:sz w:val="28"/>
          <w:sz w:val="28"/>
          <w:szCs w:val="28"/>
          <w:rtl w:val="true"/>
          <w:lang w:bidi="ar-SA"/>
        </w:rPr>
        <w:t xml:space="preserve">و الشيخ </w:t>
      </w:r>
      <w:r>
        <w:rPr>
          <w:rStyle w:val="FootnoteAnchor"/>
          <w:rtl w:val="true"/>
        </w:rPr>
        <w:footnoteReference w:id="119"/>
      </w:r>
      <w:r>
        <w:rPr>
          <w:rFonts w:ascii="Amiri" w:hAnsi="Amiri" w:eastAsia="Amiri" w:cs="Amiri"/>
          <w:color w:val="111111"/>
          <w:sz w:val="28"/>
          <w:sz w:val="28"/>
          <w:szCs w:val="28"/>
          <w:rtl w:val="true"/>
          <w:lang w:bidi="ar-SA"/>
        </w:rPr>
        <w:t>في المنع عن التصرّف إلّا بما فيه غبطة و مصلحة و أنّ غير ذلك باطل، بل في شرح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المتقدّمين عمّموا الحكم باعتبار المصلحة من غير</w:t>
      </w:r>
    </w:p>
    <w:p>
      <w:pPr>
        <w:pStyle w:val="BookText"/>
        <w:rPr/>
      </w:pPr>
      <w:r>
        <w:rPr>
          <w:rFonts w:ascii="IRNazanin" w:hAnsi="IRNazanin" w:eastAsia="IRNazanin"/>
          <w:color w:val="111111"/>
          <w:sz w:val="28"/>
          <w:sz w:val="28"/>
          <w:szCs w:val="28"/>
          <w:rtl w:val="true"/>
          <w:lang w:bidi="fa-IR"/>
        </w:rPr>
        <w:t xml:space="preserve">استثناء </w:t>
      </w:r>
      <w:r>
        <w:rPr>
          <w:rStyle w:val="FootnoteAnchor"/>
          <w:rtl w:val="true"/>
        </w:rPr>
        <w:footnoteReference w:id="120"/>
      </w:r>
      <w:r>
        <w:rPr>
          <w:rFonts w:ascii="Amiri" w:hAnsi="Amiri" w:eastAsia="Amiri" w:cs="Amiri"/>
          <w:color w:val="111111"/>
          <w:sz w:val="28"/>
          <w:sz w:val="28"/>
          <w:szCs w:val="28"/>
          <w:rtl w:val="true"/>
          <w:lang w:bidi="ar-SA"/>
        </w:rPr>
        <w:t>، و لا ريب أنّ نقل الولي المعسر مال الطفل إلى ذمّته خلاف المصلحة، بل هو قريب من إتلافه، بل قد يكون إتلافا عرفا و بمنزلة الأخذ مجّانا، و قد دلّت الأخبار المستفيضة التي تقدّم بعضها على اعتبار الملاءة فيمن يقترض مال اليتيم، لكن موردها مختصّ بغير الأب و الجدّ، و لذا حكي عن المتأخّرين كافّة، بل عن الأصحاب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Style w:val="FootnoteAnchor"/>
          <w:rtl w:val="true"/>
        </w:rPr>
        <w:footnoteReference w:id="121"/>
      </w:r>
      <w:r>
        <w:rPr>
          <w:rFonts w:ascii="Amiri" w:hAnsi="Amiri" w:eastAsia="Amiri" w:cs="Amiri"/>
          <w:color w:val="111111"/>
          <w:sz w:val="28"/>
          <w:sz w:val="28"/>
          <w:szCs w:val="28"/>
          <w:rtl w:val="true"/>
          <w:lang w:bidi="ar-SA"/>
        </w:rPr>
        <w:t xml:space="preserve">، و عن مجمع الفائدة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الأب و الجد من ذلك، فجوّزوا لهما الاقتراض مع الإعسار، و لعلّه لما ورد في حق الوالد بالنسبة إلى ولده ما ورد حتى قال صلّى اللّٰه عليه و آله و سلم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الوالد يأخذ من مال ولده ما شاء</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و في رواية 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مال الولد للوالد</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 خصوص ما ورد من أخبار تقويم جارية الولد على نفسه </w:t>
      </w:r>
      <w:r>
        <w:rPr>
          <w:rStyle w:val="FootnoteAnchor"/>
          <w:rtl w:val="true"/>
        </w:rPr>
        <w:footnoteReference w:id="126"/>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هذه الأخبار غير مراد إجماعا، فيحمل على جواز أخذ مقدار النفقة من مال ولده، صغيرا كان أو كبيرا، إذا لم ينفق الكبير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النبوي، فيوهن التمسك به ما رواه الشيخ عن الحسين 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مال ولده؟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قوته بغير سرف إذا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رسول اللّٰه صلّى اللّٰه عليه و آله و سلم للرّجل الذي أتاه فقدّم أباه،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بأبيه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قد ظلمني ميراثي من أمّي،</w:t>
      </w:r>
    </w:p>
    <w:p>
      <w:pPr>
        <w:pStyle w:val="BookText"/>
        <w:rPr/>
      </w:pPr>
      <w:r>
        <w:rPr>
          <w:rFonts w:ascii="Amiri" w:hAnsi="Amiri" w:eastAsia="Amiri" w:cs="Amiri"/>
          <w:color w:val="111111"/>
          <w:sz w:val="28"/>
          <w:sz w:val="28"/>
          <w:szCs w:val="28"/>
          <w:rtl w:val="true"/>
          <w:lang w:bidi="ar-SA"/>
        </w:rPr>
        <w:t>فأخبره الأب أنّه قد أنفقه عليه و على نفسه،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و لم يكن عند الرجل شي‌ء أو كان رسول اللّٰه صلّى اللّٰه عليه و آله و سلم يحبس الأب للابن؟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يشهد أيضا لما ذكرنا من الجمع، و من الإشكال في اطراحه </w:t>
      </w:r>
      <w:r>
        <w:rPr>
          <w:rStyle w:val="FootnoteAnchor"/>
          <w:rtl w:val="true"/>
        </w:rPr>
        <w:footnoteReference w:id="128"/>
      </w:r>
      <w:r>
        <w:rPr>
          <w:rFonts w:ascii="IRNazanin" w:hAnsi="IRNazanin" w:eastAsia="IRNazanin"/>
          <w:color w:val="111111"/>
          <w:sz w:val="28"/>
          <w:sz w:val="28"/>
          <w:szCs w:val="28"/>
          <w:rtl w:val="true"/>
          <w:lang w:bidi="fa-IR"/>
        </w:rPr>
        <w:t xml:space="preserve">مال الولد </w:t>
      </w:r>
      <w:r>
        <w:rPr>
          <w:rStyle w:val="FootnoteAnchor"/>
          <w:rtl w:val="true"/>
        </w:rPr>
        <w:footnoteReference w:id="129"/>
      </w:r>
      <w:r>
        <w:rPr>
          <w:rFonts w:ascii="Amiri" w:hAnsi="Amiri" w:eastAsia="Amiri" w:cs="Amiri"/>
          <w:color w:val="111111"/>
          <w:sz w:val="28"/>
          <w:sz w:val="28"/>
          <w:szCs w:val="28"/>
          <w:rtl w:val="true"/>
          <w:lang w:bidi="ar-SA"/>
        </w:rPr>
        <w:t>مع الإعسار الذي هو بمنزلة الإتلاف و الأخذ مجّانا، مصحّحة أبي حمزة الثمالي،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نحبّ </w:t>
      </w:r>
      <w:r>
        <w:rPr>
          <w:rStyle w:val="FootnoteAnchor"/>
          <w:rtl w:val="true"/>
        </w:rPr>
        <w:footnoteReference w:id="130"/>
      </w:r>
      <w:r>
        <w:rPr>
          <w:rFonts w:ascii="Amiri" w:hAnsi="Amiri" w:eastAsia="Amiri" w:cs="Amiri"/>
          <w:color w:val="111111"/>
          <w:sz w:val="28"/>
          <w:sz w:val="28"/>
          <w:szCs w:val="28"/>
          <w:rtl w:val="true"/>
          <w:lang w:bidi="ar-SA"/>
        </w:rPr>
        <w:t>أن يأخذ من مال ابنه إلّا ما احتاج إليه ممّا لا بد منه، إنّ 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التعليل بالآية </w:t>
      </w:r>
      <w:r>
        <w:rPr>
          <w:rStyle w:val="FootnoteAnchor"/>
          <w:rtl w:val="true"/>
        </w:rPr>
        <w:footnoteReference w:id="132"/>
      </w:r>
      <w:r>
        <w:rPr>
          <w:rFonts w:ascii="Amiri" w:hAnsi="Amiri" w:eastAsia="Amiri" w:cs="Amiri"/>
          <w:color w:val="111111"/>
          <w:sz w:val="28"/>
          <w:sz w:val="28"/>
          <w:szCs w:val="28"/>
          <w:rtl w:val="true"/>
          <w:lang w:bidi="ar-SA"/>
        </w:rPr>
        <w:t>يدلّ على عدم جواز الإفساد في ماله، و أيّ فساد أشدّ من أخذه قرضا مع الإعسار سيّما إذا لم يرّج اليسار؟</w:t>
      </w:r>
    </w:p>
    <w:p>
      <w:pPr>
        <w:pStyle w:val="BookText"/>
        <w:rPr/>
      </w:pPr>
      <w:r>
        <w:rPr>
          <w:rFonts w:ascii="Amiri" w:hAnsi="Amiri" w:eastAsia="Amiri" w:cs="Amiri"/>
          <w:color w:val="111111"/>
          <w:sz w:val="28"/>
          <w:sz w:val="28"/>
          <w:szCs w:val="28"/>
          <w:rtl w:val="true"/>
          <w:lang w:bidi="ar-SA"/>
        </w:rPr>
        <w:t xml:space="preserve">و أمّا أخبار تقويم الجارية، فنقول بمقتضاها و لا نتعدّى عنه، كما اعترف به الحلّي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إطلاقها وارد في مقام بيان حكم أصل جواز التقويم، إمّا لدفع توهّم المنع، أو لدفع توهّم جواز التصرّف في الجارية بغير تقويم، على حدّ غيرها من الأموال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سلم ما ذكروه في الأب فلا يخفى عدم الدليل على الحكم في الجدّ، بل مقتضى عموم الآية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 حقيقة كما ترى، و مثله</w:t>
      </w:r>
    </w:p>
    <w:p>
      <w:pPr>
        <w:pStyle w:val="BookText"/>
        <w:rPr/>
      </w:pPr>
      <w:r>
        <w:rPr>
          <w:rFonts w:ascii="Amiri" w:hAnsi="Amiri" w:eastAsia="Amiri" w:cs="Amiri"/>
          <w:color w:val="111111"/>
          <w:sz w:val="28"/>
          <w:sz w:val="28"/>
          <w:szCs w:val="28"/>
          <w:rtl w:val="true"/>
          <w:lang w:bidi="ar-SA"/>
        </w:rPr>
        <w:t>دعوى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التجارة في مال المجنون حكم الصبيّ في جميع ما تقدّم و كذا اختار المصنف قدّس سره في صورة فساد </w:t>
      </w:r>
      <w:r>
        <w:rPr>
          <w:rStyle w:val="FootnoteAnchor"/>
          <w:rtl w:val="true"/>
        </w:rPr>
        <w:footnoteReference w:id="136"/>
      </w:r>
      <w:r>
        <w:rPr>
          <w:rFonts w:ascii="Amiri" w:hAnsi="Amiri" w:eastAsia="Amiri" w:cs="Amiri"/>
          <w:color w:val="111111"/>
          <w:sz w:val="28"/>
          <w:sz w:val="28"/>
          <w:szCs w:val="28"/>
          <w:rtl w:val="true"/>
          <w:lang w:bidi="ar-SA"/>
        </w:rPr>
        <w:t>ضمان الولي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الربح لهما و استظهر سيد مشايخنا </w:t>
      </w:r>
      <w:r>
        <w:rPr>
          <w:rStyle w:val="FootnoteAnchor"/>
          <w:rtl w:val="true"/>
        </w:rPr>
        <w:footnoteReference w:id="137"/>
      </w:r>
      <w:r>
        <w:rPr>
          <w:rFonts w:ascii="Amiri" w:hAnsi="Amiri" w:eastAsia="Amiri" w:cs="Amiri"/>
          <w:color w:val="111111"/>
          <w:sz w:val="28"/>
          <w:sz w:val="28"/>
          <w:szCs w:val="28"/>
          <w:rtl w:val="true"/>
          <w:lang w:bidi="ar-SA"/>
        </w:rPr>
        <w:t>الاتفاق على ذلك، لكن في جريان ما خالف الأصول من الأحكام المتقدّمة بالنسبة إليه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الزّكاة إذا اتّجر لنفسه بمال الطفل و المجنون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عمومات زكاة التجارة </w:t>
      </w:r>
      <w:r>
        <w:rPr>
          <w:rStyle w:val="FootnoteAnchor"/>
          <w:rtl w:val="true"/>
        </w:rPr>
        <w:footnoteReference w:id="138"/>
      </w:r>
      <w:r>
        <w:rPr>
          <w:rFonts w:ascii="Amiri" w:hAnsi="Amiri" w:eastAsia="Amiri" w:cs="Amiri"/>
          <w:color w:val="111111"/>
          <w:sz w:val="28"/>
          <w:sz w:val="28"/>
          <w:szCs w:val="28"/>
          <w:rtl w:val="true"/>
          <w:lang w:bidi="ar-SA"/>
        </w:rPr>
        <w:t xml:space="preserve">ثبوتها على الولي حيث اتّجر لنفسه، و وقعت التجارة له، بأن كان في الذمة، أو كان بالعين و قلنا بجواز ضمان الأب و الجد له من غير ملاءة، و كذا ثبوت زكاة التجارة في مال الطفل إذا اتّجر له غير الولي، كما دلّ عليه صحيحة بكير و زرارة المتقدّمة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اتّجر التّاجر لنفسه، و حكم بوقوعها عن الطفل إمّا تعبّدا كما ذكرنا، أو مع كون العامل وليّا، أو مع إجازة الولي، فالأقوى أنّه لا زكاة، أمّا على الطفل فلأنّ ظاهر أخبار استحباب الزكاة في مال التجارة للطفل، ما إذا اتّجر له، لا ما إذا وقعت التجارة له بالإجازة، أو بحكم الشرع، و أمّا على التاجر، فلعدم سلامة الربح له، لرواية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عنده مال اليتيم فيتّجر به أ يضمنه؟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لا أجمع عليه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و الزكاة</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41"/>
      </w:r>
      <w:r>
        <w:rPr>
          <w:rFonts w:ascii="Amiri" w:hAnsi="Amiri" w:eastAsia="Amiri" w:cs="Amiri"/>
          <w:color w:val="111111"/>
          <w:sz w:val="28"/>
          <w:sz w:val="28"/>
          <w:szCs w:val="28"/>
          <w:rtl w:val="true"/>
          <w:lang w:bidi="ar-SA"/>
        </w:rPr>
        <w:t xml:space="preserve">و عن الشهيدين، و المحقّق الثاني في كلّ موضع يقع الشراء للطفل </w:t>
      </w:r>
      <w:r>
        <w:rPr>
          <w:rStyle w:val="FootnoteAnchor"/>
          <w:rtl w:val="true"/>
        </w:rPr>
        <w:footnoteReference w:id="142"/>
      </w:r>
      <w:r>
        <w:rPr>
          <w:rFonts w:ascii="Amiri" w:hAnsi="Amiri" w:eastAsia="Amiri" w:cs="Amiri"/>
          <w:color w:val="111111"/>
          <w:sz w:val="28"/>
          <w:sz w:val="28"/>
          <w:szCs w:val="28"/>
          <w:rtl w:val="true"/>
          <w:lang w:bidi="ar-SA"/>
        </w:rPr>
        <w:t>، و هو مشكل، لظهور الأخبار في غير ذلك، و لا فرق في الإشكال بين جعل الإجازة كاشفة أو 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تستحبّ الزكاة في غلّات الطفل، و لا تجب، وفاقا للمصنف </w:t>
      </w:r>
      <w:r>
        <w:rPr>
          <w:rStyle w:val="FootnoteAnchor"/>
          <w:rtl w:val="true"/>
        </w:rPr>
        <w:footnoteReference w:id="143"/>
      </w:r>
      <w:r>
        <w:rPr>
          <w:rFonts w:ascii="IRNazanin" w:hAnsi="IRNazanin" w:eastAsia="IRNazanin"/>
          <w:color w:val="111111"/>
          <w:sz w:val="28"/>
          <w:sz w:val="28"/>
          <w:szCs w:val="28"/>
          <w:rtl w:val="true"/>
          <w:lang w:bidi="fa-IR"/>
        </w:rPr>
        <w:t xml:space="preserve">قدس سره، و المحقّق </w:t>
      </w:r>
      <w:r>
        <w:rPr>
          <w:rStyle w:val="FootnoteAnchor"/>
          <w:rtl w:val="true"/>
        </w:rPr>
        <w:footnoteReference w:id="144"/>
      </w:r>
      <w:r>
        <w:rPr>
          <w:rFonts w:ascii="Amiri" w:hAnsi="Amiri" w:eastAsia="Amiri" w:cs="Amiri"/>
          <w:color w:val="111111"/>
          <w:sz w:val="28"/>
          <w:sz w:val="28"/>
          <w:szCs w:val="28"/>
          <w:rtl w:val="true"/>
          <w:lang w:bidi="ar-SA"/>
        </w:rPr>
        <w:t xml:space="preserve">، و الشهيدين </w:t>
      </w:r>
      <w:r>
        <w:rPr>
          <w:rStyle w:val="FootnoteAnchor"/>
          <w:rtl w:val="true"/>
        </w:rPr>
        <w:footnoteReference w:id="145"/>
      </w:r>
      <w:r>
        <w:rPr>
          <w:rFonts w:ascii="Amiri" w:hAnsi="Amiri" w:eastAsia="Amiri" w:cs="Amiri"/>
          <w:color w:val="111111"/>
          <w:sz w:val="28"/>
          <w:sz w:val="28"/>
          <w:szCs w:val="28"/>
          <w:rtl w:val="true"/>
          <w:lang w:bidi="ar-SA"/>
        </w:rPr>
        <w:t xml:space="preserve">، و المحقق الثاني </w:t>
      </w:r>
      <w:r>
        <w:rPr>
          <w:rStyle w:val="FootnoteAnchor"/>
          <w:rtl w:val="true"/>
        </w:rPr>
        <w:footnoteReference w:id="146"/>
      </w:r>
      <w:r>
        <w:rPr>
          <w:rFonts w:ascii="Amiri" w:hAnsi="Amiri" w:eastAsia="Amiri" w:cs="Amiri"/>
          <w:color w:val="111111"/>
          <w:sz w:val="28"/>
          <w:sz w:val="28"/>
          <w:szCs w:val="28"/>
          <w:rtl w:val="true"/>
          <w:lang w:bidi="ar-SA"/>
        </w:rPr>
        <w:t xml:space="preserve">، و حكي عن القديمين </w:t>
      </w:r>
      <w:r>
        <w:rPr>
          <w:rStyle w:val="FootnoteAnchor"/>
          <w:rtl w:val="true"/>
        </w:rPr>
        <w:footnoteReference w:id="147"/>
      </w:r>
      <w:r>
        <w:rPr>
          <w:rFonts w:ascii="Amiri" w:hAnsi="Amiri" w:eastAsia="Amiri" w:cs="Amiri"/>
          <w:color w:val="111111"/>
          <w:sz w:val="28"/>
          <w:sz w:val="28"/>
          <w:szCs w:val="28"/>
          <w:rtl w:val="true"/>
          <w:lang w:bidi="ar-SA"/>
        </w:rPr>
        <w:t xml:space="preserve">، و السيد </w:t>
      </w:r>
      <w:r>
        <w:rPr>
          <w:rStyle w:val="FootnoteAnchor"/>
          <w:rtl w:val="true"/>
        </w:rPr>
        <w:footnoteReference w:id="148"/>
      </w:r>
      <w:r>
        <w:rPr>
          <w:rFonts w:ascii="Amiri" w:hAnsi="Amiri" w:eastAsia="Amiri" w:cs="Amiri"/>
          <w:color w:val="111111"/>
          <w:sz w:val="28"/>
          <w:sz w:val="28"/>
          <w:szCs w:val="28"/>
          <w:rtl w:val="true"/>
          <w:lang w:bidi="ar-SA"/>
        </w:rPr>
        <w:t xml:space="preserve">، و سلّار </w:t>
      </w:r>
      <w:r>
        <w:rPr>
          <w:rStyle w:val="FootnoteAnchor"/>
          <w:rtl w:val="true"/>
        </w:rPr>
        <w:footnoteReference w:id="149"/>
      </w:r>
      <w:r>
        <w:rPr>
          <w:rFonts w:ascii="Amiri" w:hAnsi="Amiri" w:eastAsia="Amiri" w:cs="Amiri"/>
          <w:color w:val="111111"/>
          <w:sz w:val="28"/>
          <w:sz w:val="28"/>
          <w:szCs w:val="28"/>
          <w:rtl w:val="true"/>
          <w:lang w:bidi="ar-SA"/>
        </w:rPr>
        <w:t>، و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 عن أكثر الأصحاب </w:t>
      </w:r>
      <w:r>
        <w:rPr>
          <w:rStyle w:val="FootnoteAnchor"/>
          <w:rtl w:val="true"/>
        </w:rPr>
        <w:footnoteReference w:id="150"/>
      </w:r>
      <w:r>
        <w:rPr>
          <w:rFonts w:ascii="Amiri" w:hAnsi="Amiri" w:eastAsia="Amiri" w:cs="Amiri"/>
          <w:color w:val="111111"/>
          <w:sz w:val="28"/>
          <w:sz w:val="28"/>
          <w:szCs w:val="28"/>
          <w:rtl w:val="true"/>
          <w:lang w:bidi="ar-SA"/>
        </w:rPr>
        <w:t>، و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حكايته عن المتأخّرين كافّة </w:t>
      </w:r>
      <w:r>
        <w:rPr>
          <w:rStyle w:val="FootnoteAnchor"/>
          <w:rtl w:val="true"/>
        </w:rPr>
        <w:footnoteReference w:id="151"/>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تلخيص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أصحابنا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كشف الحق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الإمامية ذهبت إلى أنّ الزكاة لا يجب على الطفل و المجنون، للأصل و عموم ما تقدّم من الأخبار النافية للزكاة في مال اليتيم،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 خصوص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p>
    <w:p>
      <w:pPr>
        <w:pStyle w:val="BookText"/>
        <w:rPr/>
      </w:pPr>
      <w:r>
        <w:rPr>
          <w:rFonts w:ascii="Amiri" w:hAnsi="Amiri" w:eastAsia="Amiri" w:cs="Amiri"/>
          <w:color w:val="111111"/>
          <w:sz w:val="28"/>
          <w:sz w:val="28"/>
          <w:szCs w:val="28"/>
          <w:rtl w:val="true"/>
          <w:lang w:bidi="ar-SA"/>
        </w:rPr>
        <w:t>أبي بصير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جميع غلاته من نخيل أو زرع أو غلة، زكاة</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الشيخين </w:t>
      </w:r>
      <w:r>
        <w:rPr>
          <w:rStyle w:val="FootnoteAnchor"/>
          <w:rtl w:val="true"/>
        </w:rPr>
        <w:footnoteReference w:id="156"/>
      </w:r>
      <w:r>
        <w:rPr>
          <w:rFonts w:ascii="Amiri" w:hAnsi="Amiri" w:eastAsia="Amiri" w:cs="Amiri"/>
          <w:color w:val="111111"/>
          <w:sz w:val="28"/>
          <w:sz w:val="28"/>
          <w:szCs w:val="28"/>
          <w:rtl w:val="true"/>
          <w:lang w:bidi="ar-SA"/>
        </w:rPr>
        <w:t>، و أتباعهما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الناصرية أنّه ذهب أكثر أصحابنا إلى أنّ الإمام يأخذ الصدقة من زرع الطفل و ضرعه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لعموم أدلّة الزكاة في الغلات، و خصوص صحيحة ابن مسلم، عن أبي جعفر و أبي عبد اللّٰه عليهما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مال اليتيم في الدين </w:t>
      </w:r>
      <w:r>
        <w:rPr>
          <w:rStyle w:val="FootnoteAnchor"/>
          <w:rtl w:val="true"/>
        </w:rPr>
        <w:footnoteReference w:id="158"/>
      </w:r>
      <w:r>
        <w:rPr>
          <w:rFonts w:ascii="Amiri" w:hAnsi="Amiri" w:eastAsia="Amiri" w:cs="Amiri"/>
          <w:color w:val="111111"/>
          <w:sz w:val="28"/>
          <w:sz w:val="28"/>
          <w:szCs w:val="28"/>
          <w:rtl w:val="true"/>
          <w:lang w:bidi="ar-SA"/>
        </w:rPr>
        <w:t>و المال الصامت شي‌ء، فأمّا الغلّات فعليها الصدقة واجبة</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فإنّ الوجوب إمّا بمعناه المصطلح عندنا، و إمّا بمعنى الثبوت و الاستقرار، فيثبت اللّزوم على التقديرين، سيّما بمعونة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بوجوب تخصيص العمومات بما دلّ على نفي الزكاة عن اليتيم، و بحمل الصحيحة على الاستحباب المؤكّد، جمعا بينها و بين رواية أبي بصير </w:t>
      </w:r>
      <w:r>
        <w:rPr>
          <w:rStyle w:val="FootnoteAnchor"/>
          <w:rtl w:val="true"/>
        </w:rPr>
        <w:footnoteReference w:id="160"/>
      </w:r>
      <w:r>
        <w:rPr>
          <w:rFonts w:ascii="Amiri" w:hAnsi="Amiri" w:eastAsia="Amiri" w:cs="Amiri"/>
          <w:color w:val="111111"/>
          <w:sz w:val="28"/>
          <w:sz w:val="28"/>
          <w:szCs w:val="28"/>
          <w:rtl w:val="true"/>
          <w:lang w:bidi="ar-SA"/>
        </w:rPr>
        <w:t xml:space="preserve">المعتضدة، أو </w:t>
      </w:r>
      <w:r>
        <w:rPr>
          <w:rStyle w:val="FootnoteAnchor"/>
          <w:rtl w:val="true"/>
        </w:rPr>
        <w:footnoteReference w:id="161"/>
      </w:r>
      <w:r>
        <w:rPr>
          <w:rFonts w:ascii="Amiri" w:hAnsi="Amiri" w:eastAsia="Amiri" w:cs="Amiri"/>
          <w:color w:val="111111"/>
          <w:sz w:val="28"/>
          <w:sz w:val="28"/>
          <w:szCs w:val="28"/>
          <w:rtl w:val="true"/>
          <w:lang w:bidi="ar-SA"/>
        </w:rPr>
        <w:t>المنجبرة بالشهرة العظيمة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حكاه في الناصريات عن أكثر أصحابنا، فهو لا يدلّ على الوجوب كما لا يخفى؛ لأنّ أخذ الزكاة المستحبّة من مال الطفل فيه مصلحة له و للفقراء، هذا مضافا إلى موافقة مضمون الصحيحة لمذهب فقهاء الجمهور كافّة كما عن المنتهى </w:t>
      </w:r>
      <w:r>
        <w:rPr>
          <w:rStyle w:val="FootnoteAnchor"/>
          <w:rtl w:val="true"/>
        </w:rPr>
        <w:footnoteReference w:id="162"/>
      </w:r>
      <w:r>
        <w:rPr>
          <w:rFonts w:ascii="Amiri" w:hAnsi="Amiri" w:eastAsia="Amiri" w:cs="Amiri"/>
          <w:color w:val="111111"/>
          <w:sz w:val="28"/>
          <w:sz w:val="28"/>
          <w:szCs w:val="28"/>
          <w:rtl w:val="true"/>
          <w:lang w:bidi="ar-SA"/>
        </w:rPr>
        <w:t xml:space="preserve">و إن حكي عن التذكرة </w:t>
      </w:r>
      <w:r>
        <w:rPr>
          <w:rStyle w:val="FootnoteAnchor"/>
          <w:rtl w:val="true"/>
        </w:rPr>
        <w:footnoteReference w:id="163"/>
      </w:r>
      <w:r>
        <w:rPr>
          <w:rFonts w:ascii="Amiri" w:hAnsi="Amiri" w:eastAsia="Amiri" w:cs="Amiri"/>
          <w:color w:val="111111"/>
          <w:sz w:val="28"/>
          <w:sz w:val="28"/>
          <w:szCs w:val="28"/>
          <w:rtl w:val="true"/>
          <w:lang w:bidi="ar-SA"/>
        </w:rPr>
        <w:t>حكاية القول بعدم الوجوب عن</w:t>
      </w:r>
    </w:p>
    <w:p>
      <w:pPr>
        <w:pStyle w:val="BookText"/>
        <w:rPr/>
      </w:pPr>
      <w:r>
        <w:rPr>
          <w:rFonts w:ascii="Amiri" w:hAnsi="Amiri" w:eastAsia="Amiri" w:cs="Amiri"/>
          <w:color w:val="111111"/>
          <w:sz w:val="28"/>
          <w:sz w:val="28"/>
          <w:szCs w:val="28"/>
          <w:rtl w:val="true"/>
          <w:lang w:bidi="ar-SA"/>
        </w:rPr>
        <w:t>أبي حنيفة و جماعة، إلّا أنّ الظاهر أنّ المشهور بينهم، و ما إليه ميل سلاطينهم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المعروف بين الأصحاب هو ثبوت الرجحان كما عرفت من عبارة الناصريات </w:t>
      </w:r>
      <w:r>
        <w:rPr>
          <w:rStyle w:val="FootnoteAnchor"/>
          <w:rtl w:val="true"/>
        </w:rPr>
        <w:footnoteReference w:id="164"/>
      </w:r>
      <w:r>
        <w:rPr>
          <w:rFonts w:ascii="Amiri" w:hAnsi="Amiri" w:eastAsia="Amiri" w:cs="Amiri"/>
          <w:color w:val="111111"/>
          <w:sz w:val="28"/>
          <w:sz w:val="28"/>
          <w:szCs w:val="28"/>
          <w:rtl w:val="true"/>
          <w:lang w:bidi="ar-SA"/>
        </w:rPr>
        <w:t xml:space="preserve">، و استظهر سيّد مشايخنا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عليه بعد أن حكى عن الأردبيلي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بالإتّفاق على الاستحباب، و صرّح بعدم الخلاف في الرياض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النافع </w:t>
      </w:r>
      <w:r>
        <w:rPr>
          <w:rStyle w:val="FootnoteAnchor"/>
          <w:rtl w:val="true"/>
        </w:rPr>
        <w:footnoteReference w:id="168"/>
      </w:r>
      <w:r>
        <w:rPr>
          <w:rFonts w:ascii="Amiri" w:hAnsi="Amiri" w:eastAsia="Amiri" w:cs="Amiri"/>
          <w:color w:val="111111"/>
          <w:sz w:val="28"/>
          <w:sz w:val="28"/>
          <w:szCs w:val="28"/>
          <w:rtl w:val="true"/>
          <w:lang w:bidi="ar-SA"/>
        </w:rPr>
        <w:t xml:space="preserve">حيث جعل الوجوب أحوط، و عن المدارك </w:t>
      </w:r>
      <w:r>
        <w:rPr>
          <w:rStyle w:val="FootnoteAnchor"/>
          <w:rtl w:val="true"/>
        </w:rPr>
        <w:footnoteReference w:id="169"/>
      </w:r>
      <w:r>
        <w:rPr>
          <w:rFonts w:ascii="Amiri" w:hAnsi="Amiri" w:eastAsia="Amiri" w:cs="Amiri"/>
          <w:color w:val="111111"/>
          <w:sz w:val="28"/>
          <w:sz w:val="28"/>
          <w:szCs w:val="28"/>
          <w:rtl w:val="true"/>
          <w:lang w:bidi="ar-SA"/>
        </w:rPr>
        <w:t xml:space="preserve">، و الكفاية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عامّة المتأخرين و جمهورهم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الصحيحة السابقة بالحمل السّابق </w:t>
      </w:r>
      <w:r>
        <w:rPr>
          <w:rStyle w:val="FootnoteAnchor"/>
          <w:rtl w:val="true"/>
        </w:rPr>
        <w:footnoteReference w:id="171"/>
      </w:r>
      <w:r>
        <w:rPr>
          <w:rFonts w:ascii="Amiri" w:hAnsi="Amiri" w:eastAsia="Amiri" w:cs="Amiri"/>
          <w:color w:val="111111"/>
          <w:sz w:val="28"/>
          <w:sz w:val="28"/>
          <w:szCs w:val="28"/>
          <w:rtl w:val="true"/>
          <w:lang w:bidi="ar-SA"/>
        </w:rPr>
        <w:t>، و لا ينافيه الحمل على التقية لما عرفت غير مرّة من أنّ التقية تتأدّى بما ظاهره موافق للعامّة، و إن أريد خلافه بقرينة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ذلك فمن الغريب ما عن العلّامة الطباطبائي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إنكار الاستحباب مدّعيا بأنّه لم يصرّح أحد بالندب قبل الفاضلين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يلحق بغلّات اليتيم مواشيه؟ ظاهر المحكي عن الوسيلة،</w:t>
      </w:r>
    </w:p>
    <w:p>
      <w:pPr>
        <w:pStyle w:val="BookText"/>
        <w:rPr/>
      </w:pPr>
      <w:r>
        <w:rPr>
          <w:rFonts w:ascii="Amiri" w:hAnsi="Amiri" w:eastAsia="Amiri" w:cs="Amiri"/>
          <w:color w:val="111111"/>
          <w:sz w:val="28"/>
          <w:sz w:val="28"/>
          <w:szCs w:val="28"/>
          <w:rtl w:val="true"/>
          <w:lang w:bidi="ar-SA"/>
        </w:rPr>
        <w:t xml:space="preserve">نعم، حيث ادّعى الإجماع المركّب </w:t>
      </w:r>
      <w:r>
        <w:rPr>
          <w:rStyle w:val="FootnoteAnchor"/>
          <w:rtl w:val="true"/>
        </w:rPr>
        <w:footnoteReference w:id="174"/>
      </w:r>
      <w:r>
        <w:rPr>
          <w:rFonts w:ascii="Amiri" w:hAnsi="Amiri" w:eastAsia="Amiri" w:cs="Amiri"/>
          <w:color w:val="111111"/>
          <w:sz w:val="28"/>
          <w:sz w:val="28"/>
          <w:szCs w:val="28"/>
          <w:rtl w:val="true"/>
          <w:lang w:bidi="ar-SA"/>
        </w:rPr>
        <w:t xml:space="preserve">، إلّا أنّ الحكم بالاستحباب بمجرّد هذا مشكل و إن كان إجماعا منقولا معتضدا بما تقدّم عن الناصريات </w:t>
      </w:r>
      <w:r>
        <w:rPr>
          <w:rStyle w:val="FootnoteAnchor"/>
          <w:rtl w:val="true"/>
        </w:rPr>
        <w:footnoteReference w:id="175"/>
      </w:r>
      <w:r>
        <w:rPr>
          <w:rFonts w:ascii="Amiri" w:hAnsi="Amiri" w:eastAsia="Amiri" w:cs="Amiri"/>
          <w:color w:val="111111"/>
          <w:sz w:val="28"/>
          <w:sz w:val="28"/>
          <w:szCs w:val="28"/>
          <w:rtl w:val="true"/>
          <w:lang w:bidi="ar-SA"/>
        </w:rPr>
        <w:t>، 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جماعة من الموجبين و المستحبين عدم الفرق بين الغلّات و المواشي </w:t>
      </w:r>
      <w:r>
        <w:rPr>
          <w:rStyle w:val="FootnoteAnchor"/>
          <w:rtl w:val="true"/>
        </w:rPr>
        <w:footnoteReference w:id="176"/>
      </w:r>
      <w:r>
        <w:rPr>
          <w:rFonts w:ascii="Amiri" w:hAnsi="Amiri" w:eastAsia="Amiri" w:cs="Amiri"/>
          <w:color w:val="111111"/>
          <w:sz w:val="28"/>
          <w:sz w:val="28"/>
          <w:szCs w:val="28"/>
          <w:rtl w:val="true"/>
          <w:lang w:bidi="ar-SA"/>
        </w:rPr>
        <w:t xml:space="preserve">، إلّا أنّ في الاكتفاء بمثل ذلك في التهجّم على مال اليتيم إشكالا، و لذا مال جماعة من المتأخّرين إلى العدم و هو الأحوط، و أشكل من ذلك الحكم باستحباب الزكاة في غلّات المجنون فضلا عن مواشيه، و إن ادعى في الرياض </w:t>
      </w:r>
      <w:r>
        <w:rPr>
          <w:rStyle w:val="FootnoteAnchor"/>
          <w:rtl w:val="true"/>
        </w:rPr>
        <w:footnoteReference w:id="177"/>
      </w:r>
      <w:r>
        <w:rPr>
          <w:rFonts w:ascii="IRNazanin" w:hAnsi="IRNazanin" w:eastAsia="IRNazanin"/>
          <w:color w:val="111111"/>
          <w:sz w:val="28"/>
          <w:sz w:val="28"/>
          <w:szCs w:val="28"/>
          <w:rtl w:val="true"/>
          <w:lang w:bidi="fa-IR"/>
        </w:rPr>
        <w:t xml:space="preserve">أنّ ظاهر من عدا المحقّق، و بعض من تأخّر عنه </w:t>
      </w:r>
      <w:r>
        <w:rPr>
          <w:rStyle w:val="FootnoteAnchor"/>
          <w:rtl w:val="true"/>
        </w:rPr>
        <w:footnoteReference w:id="178"/>
      </w:r>
      <w:r>
        <w:rPr>
          <w:rFonts w:ascii="Amiri" w:hAnsi="Amiri" w:eastAsia="Amiri" w:cs="Amiri"/>
          <w:color w:val="111111"/>
          <w:sz w:val="28"/>
          <w:sz w:val="28"/>
          <w:szCs w:val="28"/>
          <w:rtl w:val="true"/>
          <w:lang w:bidi="ar-SA"/>
        </w:rPr>
        <w:t>عدم الفرق بين الطفل 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زكاة على المملوك و إن قلنا بكونه مالكا مطلقا، أو في الجملة على الخلاف المذكور في محلّه، أمّا على القول بعدم الملك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بعض العبائر المحكية الإجماع عليه </w:t>
      </w:r>
      <w:r>
        <w:rPr>
          <w:rStyle w:val="FootnoteAnchor"/>
          <w:rtl w:val="true"/>
        </w:rPr>
        <w:footnoteReference w:id="179"/>
      </w:r>
      <w:r>
        <w:rPr>
          <w:rFonts w:ascii="Amiri" w:hAnsi="Amiri" w:eastAsia="Amiri" w:cs="Amiri"/>
          <w:color w:val="111111"/>
          <w:sz w:val="28"/>
          <w:sz w:val="28"/>
          <w:szCs w:val="28"/>
          <w:rtl w:val="true"/>
          <w:lang w:bidi="ar-SA"/>
        </w:rPr>
        <w:t xml:space="preserve">، فعدم الزكاة عليه واضح، بل يخرج عن قيد اعتبار ملكية النصاب كما فعله في الغنية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القول بالملك، فلحسنة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مال المملوك شي‌ء و لو كان له ألف ألف، و لو احتاج </w:t>
      </w:r>
      <w:r>
        <w:rPr>
          <w:rStyle w:val="FootnoteAnchor"/>
          <w:rtl w:val="true"/>
        </w:rPr>
        <w:footnoteReference w:id="181"/>
      </w:r>
      <w:r>
        <w:rPr>
          <w:rFonts w:ascii="Amiri" w:hAnsi="Amiri" w:eastAsia="Amiri" w:cs="Amiri"/>
          <w:color w:val="111111"/>
          <w:sz w:val="28"/>
          <w:sz w:val="28"/>
          <w:szCs w:val="28"/>
          <w:rtl w:val="true"/>
          <w:lang w:bidi="ar-SA"/>
        </w:rPr>
        <w:t>لم يعط من الزكاة</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و نحوها رواية أخرى لابن سنان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العجيب ما حكي عن المنتهى </w:t>
      </w:r>
      <w:r>
        <w:rPr>
          <w:rStyle w:val="FootnoteAnchor"/>
          <w:rtl w:val="true"/>
        </w:rPr>
        <w:footnoteReference w:id="184"/>
      </w:r>
      <w:r>
        <w:rPr>
          <w:rFonts w:ascii="Amiri" w:hAnsi="Amiri" w:eastAsia="Amiri" w:cs="Amiri"/>
          <w:color w:val="111111"/>
          <w:sz w:val="28"/>
          <w:sz w:val="28"/>
          <w:szCs w:val="28"/>
          <w:rtl w:val="true"/>
          <w:lang w:bidi="ar-SA"/>
        </w:rPr>
        <w:t xml:space="preserve">كإيضاح النافع، </w:t>
      </w:r>
      <w:r>
        <w:rPr>
          <w:rStyle w:val="FootnoteAnchor"/>
          <w:rtl w:val="true"/>
        </w:rPr>
        <w:footnoteReference w:id="185"/>
      </w:r>
      <w:r>
        <w:rPr>
          <w:rFonts w:ascii="IRNazanin" w:hAnsi="IRNazanin" w:eastAsia="IRNazanin"/>
          <w:color w:val="111111"/>
          <w:sz w:val="28"/>
          <w:sz w:val="28"/>
          <w:szCs w:val="28"/>
          <w:rtl w:val="true"/>
          <w:lang w:bidi="fa-IR"/>
        </w:rPr>
        <w:t xml:space="preserve">تبعا للمعتبر </w:t>
      </w:r>
      <w:r>
        <w:rPr>
          <w:rStyle w:val="FootnoteAnchor"/>
          <w:rtl w:val="true"/>
        </w:rPr>
        <w:footnoteReference w:id="186"/>
      </w:r>
      <w:r>
        <w:rPr>
          <w:rFonts w:ascii="IRNazanin" w:hAnsi="IRNazanin" w:eastAsia="IRNazanin"/>
          <w:color w:val="111111"/>
          <w:sz w:val="28"/>
          <w:sz w:val="28"/>
          <w:szCs w:val="28"/>
          <w:rtl w:val="true"/>
          <w:lang w:bidi="fa-IR"/>
        </w:rPr>
        <w:t xml:space="preserve">، و المبسوط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الزكاة عليه على القول بالملك، مع أنّ ظاهر المحكي عنه في المنتهى </w:t>
      </w:r>
      <w:r>
        <w:rPr>
          <w:rStyle w:val="FootnoteAnchor"/>
          <w:rtl w:val="true"/>
        </w:rPr>
        <w:footnoteReference w:id="188"/>
      </w:r>
      <w:r>
        <w:rPr>
          <w:rFonts w:ascii="Amiri" w:hAnsi="Amiri" w:eastAsia="Amiri" w:cs="Amiri"/>
          <w:color w:val="111111"/>
          <w:sz w:val="28"/>
          <w:sz w:val="28"/>
          <w:szCs w:val="28"/>
          <w:rtl w:val="true"/>
          <w:lang w:bidi="ar-SA"/>
        </w:rPr>
        <w:t xml:space="preserve">و التذكرة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أصحابنا، بل غير شاذ من العامة على عدم الزكاة عليه، لكن الظاهر أنّه قدّس سره فهم من الأصحاب استنادهم في ذلك إلى عدم الملك، و حينئذ فيمكن أن يوجّه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الروايتين بنفي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الملكية، للأدلّة الدالّة على عدم مالكية العبد، فيكون إضافة المال إليه في الروايتين </w:t>
      </w:r>
      <w:r>
        <w:rPr>
          <w:rStyle w:val="FootnoteAnchor"/>
          <w:rtl w:val="true"/>
        </w:rPr>
        <w:footnoteReference w:id="190"/>
      </w:r>
      <w:r>
        <w:rPr>
          <w:rFonts w:ascii="Amiri" w:hAnsi="Amiri" w:eastAsia="Amiri" w:cs="Amiri"/>
          <w:color w:val="111111"/>
          <w:sz w:val="28"/>
          <w:sz w:val="28"/>
          <w:szCs w:val="28"/>
          <w:rtl w:val="true"/>
          <w:lang w:bidi="ar-SA"/>
        </w:rPr>
        <w:t>بمجرد الملابسة لا التمليك، كما يفصح عنه رواية ثالثة لابن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في يده مال، أ عليه زكاة؟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لانّه لم يصل إلى سيده، و ليس هو للملوك</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يستدلّ على فرض الملكية بعدم </w:t>
      </w:r>
      <w:r>
        <w:rPr>
          <w:rStyle w:val="FootnoteAnchor"/>
          <w:rtl w:val="true"/>
        </w:rPr>
        <w:footnoteReference w:id="192"/>
      </w:r>
      <w:r>
        <w:rPr>
          <w:rFonts w:ascii="Amiri" w:hAnsi="Amiri" w:eastAsia="Amiri" w:cs="Amiri"/>
          <w:color w:val="111111"/>
          <w:sz w:val="28"/>
          <w:sz w:val="28"/>
          <w:szCs w:val="28"/>
          <w:rtl w:val="true"/>
          <w:lang w:bidi="ar-SA"/>
        </w:rPr>
        <w:t xml:space="preserve">تمكنه من التصرف للحجر عليه، و بنقص </w:t>
      </w:r>
      <w:r>
        <w:rPr>
          <w:rStyle w:val="FootnoteAnchor"/>
          <w:rtl w:val="true"/>
        </w:rPr>
        <w:footnoteReference w:id="193"/>
      </w:r>
      <w:r>
        <w:rPr>
          <w:rFonts w:ascii="Amiri" w:hAnsi="Amiri" w:eastAsia="Amiri" w:cs="Amiri"/>
          <w:color w:val="111111"/>
          <w:sz w:val="28"/>
          <w:sz w:val="28"/>
          <w:szCs w:val="28"/>
          <w:rtl w:val="true"/>
          <w:lang w:bidi="ar-SA"/>
        </w:rPr>
        <w:t xml:space="preserve">ملكه؛ لأنّ للمولى انتزاعه منه متى شاء إجماعا كما في المختلف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 عن غيره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عدم التمكّن من التصرّف؛ إذ له التصرّف كيف شاء على تقدير الملكية، كما نصّ عليه في المعتبر </w:t>
      </w:r>
      <w:r>
        <w:rPr>
          <w:rStyle w:val="FootnoteAnchor"/>
          <w:rtl w:val="true"/>
        </w:rPr>
        <w:footnoteReference w:id="196"/>
      </w:r>
      <w:r>
        <w:rPr>
          <w:rFonts w:ascii="Amiri" w:hAnsi="Amiri" w:eastAsia="Amiri" w:cs="Amiri"/>
          <w:color w:val="111111"/>
          <w:sz w:val="28"/>
          <w:sz w:val="28"/>
          <w:szCs w:val="28"/>
          <w:rtl w:val="true"/>
          <w:lang w:bidi="ar-SA"/>
        </w:rPr>
        <w:t>على ما حكي عنه، لكن هذا إنّما يستقيم لو وجد القول بالملكيّة على هذا الوجه، للإجماع على الحجر عليه و لو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الجواب بمنع الحجر إذا صرفه مولاه فيه، و فوّض أمر المال إليه، كما يشعر به رواية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المملوك زكاة إلا بإذن مواليه</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و منع كون الحجر مانعا على الإطلاق كما في السفيه،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هذا التزلزل مانعا من وجوب الزكاة كالبيع </w:t>
      </w:r>
      <w:r>
        <w:rPr>
          <w:rStyle w:val="FootnoteAnchor"/>
          <w:rtl w:val="true"/>
        </w:rPr>
        <w:footnoteReference w:id="198"/>
      </w:r>
      <w:r>
        <w:rPr>
          <w:rFonts w:ascii="Amiri" w:hAnsi="Amiri" w:eastAsia="Amiri" w:cs="Amiri"/>
          <w:color w:val="111111"/>
          <w:sz w:val="28"/>
          <w:sz w:val="28"/>
          <w:szCs w:val="28"/>
          <w:rtl w:val="true"/>
          <w:lang w:bidi="ar-SA"/>
        </w:rPr>
        <w:t>في زمن خيار البائع، بل المنتقل بالعقود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ما تقدم من النص الظاهر في كون المملوكية </w:t>
      </w:r>
      <w:r>
        <w:rPr>
          <w:rStyle w:val="FootnoteAnchor"/>
          <w:rtl w:val="true"/>
        </w:rPr>
        <w:footnoteReference w:id="199"/>
      </w:r>
      <w:r>
        <w:rPr>
          <w:rFonts w:ascii="Amiri" w:hAnsi="Amiri" w:eastAsia="Amiri" w:cs="Amiri"/>
          <w:color w:val="111111"/>
          <w:sz w:val="28"/>
          <w:sz w:val="28"/>
          <w:szCs w:val="28"/>
          <w:rtl w:val="true"/>
          <w:lang w:bidi="ar-SA"/>
        </w:rPr>
        <w:t xml:space="preserve">بنفسها مانعة عن وجوب الزكاة، كما أنّها مانعة عن أخذها، فمرجع الروايات إلى أنّه لا عبرة بغنى المملوك و لا بفقره، و هذا هو الظاهر من كلام أكثر الأصحاب حيث لم يقنعوا عن اعتبار الحرّية باعتبار الملكية </w:t>
      </w:r>
      <w:r>
        <w:rPr>
          <w:rStyle w:val="FootnoteAnchor"/>
          <w:rtl w:val="true"/>
        </w:rPr>
        <w:footnoteReference w:id="200"/>
      </w:r>
      <w:r>
        <w:rPr>
          <w:rFonts w:ascii="Amiri" w:hAnsi="Amiri" w:eastAsia="Amiri" w:cs="Amiri"/>
          <w:color w:val="111111"/>
          <w:sz w:val="28"/>
          <w:sz w:val="28"/>
          <w:szCs w:val="28"/>
          <w:rtl w:val="true"/>
          <w:lang w:bidi="ar-SA"/>
        </w:rPr>
        <w:t>، أو اعتبار التمكّن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علي بن جعفر، فهي مطروحة أو مؤوّلة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تجب زكاة ما في يده على المولى مطلقا، أو ليس عليه كذلك، أو تبنى</w:t>
      </w:r>
    </w:p>
    <w:p>
      <w:pPr>
        <w:pStyle w:val="BookText"/>
        <w:rPr/>
      </w:pPr>
      <w:r>
        <w:rPr>
          <w:rFonts w:ascii="Amiri" w:hAnsi="Amiri" w:eastAsia="Amiri" w:cs="Amiri"/>
          <w:color w:val="111111"/>
          <w:sz w:val="28"/>
          <w:sz w:val="28"/>
          <w:szCs w:val="28"/>
          <w:rtl w:val="true"/>
          <w:lang w:bidi="ar-SA"/>
        </w:rPr>
        <w:t xml:space="preserve">على القول بالملكية </w:t>
      </w:r>
      <w:r>
        <w:rPr>
          <w:rStyle w:val="FootnoteAnchor"/>
          <w:rtl w:val="true"/>
        </w:rPr>
        <w:footnoteReference w:id="201"/>
      </w:r>
      <w:r>
        <w:rPr>
          <w:rFonts w:ascii="Amiri" w:hAnsi="Amiri" w:eastAsia="Amiri" w:cs="Amiri"/>
          <w:color w:val="111111"/>
          <w:sz w:val="28"/>
          <w:sz w:val="28"/>
          <w:szCs w:val="28"/>
          <w:rtl w:val="true"/>
          <w:lang w:bidi="ar-SA"/>
        </w:rPr>
        <w:t xml:space="preserve">؟ ظاهر المحكيّ عن القواعد </w:t>
      </w:r>
      <w:r>
        <w:rPr>
          <w:rStyle w:val="FootnoteAnchor"/>
          <w:rtl w:val="true"/>
        </w:rPr>
        <w:footnoteReference w:id="202"/>
      </w:r>
      <w:r>
        <w:rPr>
          <w:rFonts w:ascii="Amiri" w:hAnsi="Amiri" w:eastAsia="Amiri" w:cs="Amiri"/>
          <w:color w:val="111111"/>
          <w:sz w:val="28"/>
          <w:sz w:val="28"/>
          <w:szCs w:val="28"/>
          <w:rtl w:val="true"/>
          <w:lang w:bidi="ar-SA"/>
        </w:rPr>
        <w:t xml:space="preserve">و التحرير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مال مملوك لأحدهما فلا يسقط زكاته عنهما معا، و لأنّه مال مستجمع لشرائط الزكاة، فإذا لم تجب على العبد </w:t>
      </w:r>
      <w:r>
        <w:rPr>
          <w:rStyle w:val="FootnoteAnchor"/>
          <w:rtl w:val="true"/>
        </w:rPr>
        <w:footnoteReference w:id="204"/>
      </w:r>
      <w:r>
        <w:rPr>
          <w:rFonts w:ascii="Amiri" w:hAnsi="Amiri" w:eastAsia="Amiri" w:cs="Amiri"/>
          <w:color w:val="111111"/>
          <w:sz w:val="28"/>
          <w:sz w:val="28"/>
          <w:szCs w:val="28"/>
          <w:rtl w:val="true"/>
          <w:lang w:bidi="ar-SA"/>
        </w:rPr>
        <w:t xml:space="preserve">وجبت على السيّد، و لأنّ المولى لما كان له انتزاعه من يده متى شاء كان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الوكيل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الرواية الثالثة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اشتمالها على التعليل لعدم وصول المال إليه، فإن كان في مورد يثبت عدم الوصول حقيقة كما إذا كان غائبا أو مثل ذلك من مسقطات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أخص من المدّعى</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أنه بمجرد كونه في يد العبد غير واصل إلى سيّده،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 العبد أضعف من يد الوكيل الذي بمنزلة يد الموكل، و حمل ذلك على إعراض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دفعها الى العبد ليخصّ به و ينتفع به أو ينفقه </w:t>
      </w:r>
      <w:r>
        <w:rPr>
          <w:rStyle w:val="FootnoteAnchor"/>
          <w:rtl w:val="true"/>
        </w:rPr>
        <w:footnoteReference w:id="208"/>
      </w:r>
      <w:r>
        <w:rPr>
          <w:rFonts w:ascii="IRNazanin" w:hAnsi="IRNazanin" w:eastAsia="IRNazanin"/>
          <w:color w:val="111111"/>
          <w:sz w:val="28"/>
          <w:sz w:val="28"/>
          <w:szCs w:val="28"/>
          <w:rtl w:val="true"/>
          <w:lang w:bidi="fa-IR"/>
        </w:rPr>
        <w:t xml:space="preserve">على نفسه، فهو </w:t>
      </w:r>
      <w:r>
        <w:rPr>
          <w:rStyle w:val="FootnoteAnchor"/>
          <w:rtl w:val="true"/>
        </w:rPr>
        <w:footnoteReference w:id="209"/>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الشخص، و سيجي‌ء عدم وجوب الزكاة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لا يصار إليه في مقام تخصيص الأدلّة القطعيّة الموجبة للزكاة على المال المستجمع للشرائط، و لذا نسب في المنتهى </w:t>
      </w:r>
      <w:r>
        <w:rPr>
          <w:rStyle w:val="FootnoteAnchor"/>
          <w:rtl w:val="true"/>
        </w:rPr>
        <w:footnoteReference w:id="210"/>
      </w:r>
      <w:r>
        <w:rPr>
          <w:rFonts w:ascii="Amiri" w:hAnsi="Amiri" w:eastAsia="Amiri" w:cs="Amiri"/>
          <w:color w:val="111111"/>
          <w:sz w:val="28"/>
          <w:sz w:val="28"/>
          <w:szCs w:val="28"/>
          <w:rtl w:val="true"/>
          <w:lang w:bidi="ar-SA"/>
        </w:rPr>
        <w:t>وجوب الزكاة على المولى إلى أصحابنا مشعرا</w:t>
      </w:r>
    </w:p>
    <w:p>
      <w:pPr>
        <w:pStyle w:val="BookText"/>
        <w:rPr/>
      </w:pPr>
      <w:r>
        <w:rPr>
          <w:rFonts w:ascii="IRNazanin" w:hAnsi="IRNazanin" w:eastAsia="IRNazanin"/>
          <w:color w:val="111111"/>
          <w:sz w:val="28"/>
          <w:sz w:val="28"/>
          <w:szCs w:val="28"/>
          <w:rtl w:val="true"/>
          <w:lang w:bidi="fa-IR"/>
        </w:rPr>
        <w:t>بدعوى الإجماع، فالأقوى هو 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فرق فيما ذكر بين القنّ، و المدبّر، و أمّ الولد، و المكاتب المشروط عوده رقّا إن لم يؤدّ مال الكتابة و المطلق الذي لم يؤدّ شيئا بلا خلاف ظاهر في الجميع، حتّى المكاتب بقسميه، و عن التذكرة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إلى علمائنا، بل عن المنتهى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العلماء كافّة عدا أبي حنيفة، و أبي ثور، مضافا إلى ما ورد في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الحجر عن التصرف فيما بيده بالاكتساب </w:t>
      </w:r>
      <w:r>
        <w:rPr>
          <w:rStyle w:val="FootnoteAnchor"/>
          <w:rtl w:val="true"/>
        </w:rPr>
        <w:footnoteReference w:id="213"/>
      </w:r>
      <w:r>
        <w:rPr>
          <w:rFonts w:ascii="Amiri" w:hAnsi="Amiri" w:eastAsia="Amiri" w:cs="Amiri"/>
          <w:color w:val="111111"/>
          <w:sz w:val="28"/>
          <w:sz w:val="28"/>
          <w:szCs w:val="28"/>
          <w:rtl w:val="true"/>
          <w:lang w:bidi="ar-SA"/>
        </w:rPr>
        <w:t>حتّى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يصلح له أن يحدث في ماله إلّا الأكلة من الطعام</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و يرتفع الإشكال رأسا لو قلنا بعدم ملكيته كغيره من الأقسام كما عن المصنّف في النهاية </w:t>
      </w:r>
      <w:r>
        <w:rPr>
          <w:rStyle w:val="FootnoteAnchor"/>
          <w:rtl w:val="true"/>
        </w:rPr>
        <w:footnoteReference w:id="215"/>
      </w:r>
      <w:r>
        <w:rPr>
          <w:rFonts w:ascii="Amiri" w:hAnsi="Amiri" w:eastAsia="Amiri" w:cs="Amiri"/>
          <w:color w:val="111111"/>
          <w:sz w:val="28"/>
          <w:sz w:val="28"/>
          <w:szCs w:val="28"/>
          <w:rtl w:val="true"/>
          <w:lang w:bidi="ar-SA"/>
        </w:rPr>
        <w:t xml:space="preserve">، و المحقّق في المعتبر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ذكرنا كلّه ينجبر ضعف رواية البختري </w:t>
      </w:r>
      <w:r>
        <w:rPr>
          <w:rStyle w:val="FootnoteAnchor"/>
          <w:rtl w:val="true"/>
        </w:rPr>
        <w:footnoteReference w:id="217"/>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المكاتب زكاة</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 و نحوه النبويّ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الاستدلال بروايتي عبد اللّٰه بن سنان المتقدّمتين </w:t>
      </w:r>
      <w:r>
        <w:rPr>
          <w:rStyle w:val="FootnoteAnchor"/>
          <w:rtl w:val="true"/>
        </w:rPr>
        <w:footnoteReference w:id="220"/>
      </w:r>
      <w:r>
        <w:rPr>
          <w:rFonts w:ascii="Amiri" w:hAnsi="Amiri" w:eastAsia="Amiri" w:cs="Amiri"/>
          <w:color w:val="111111"/>
          <w:sz w:val="28"/>
          <w:sz w:val="28"/>
          <w:szCs w:val="28"/>
          <w:rtl w:val="true"/>
          <w:lang w:bidi="ar-SA"/>
        </w:rPr>
        <w:t>، فغير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لاشتمالهما على منع المملوك من الزكاة، مع أنّ المكاتب يعطى من</w:t>
      </w:r>
    </w:p>
    <w:p>
      <w:pPr>
        <w:pStyle w:val="BookText"/>
        <w:rPr/>
      </w:pPr>
      <w:r>
        <w:rPr>
          <w:rFonts w:ascii="Amiri" w:hAnsi="Amiri" w:eastAsia="Amiri" w:cs="Amiri"/>
          <w:color w:val="111111"/>
          <w:sz w:val="28"/>
          <w:sz w:val="28"/>
          <w:szCs w:val="28"/>
          <w:rtl w:val="true"/>
          <w:lang w:bidi="ar-SA"/>
        </w:rPr>
        <w:t>الزكاة، فموردهما لا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لا يجب على المكاتب كذلك لا يجب على مولاه و إن قلنا بملكيته؛ لأنّ المولى ممنوع من أخذه منه إلّا على وجه استيفاء مال الكتابة ما لم يعجز، سواء جعلنا العجز كاشفا أو ناقلا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المكاتب المشروط لا زكاة على ماله و لا على سيّده، لأنّه ليس ملكا لأحدهما ملكا صحيحا، لأنّ العبد لا يملكه عندنا و المولى لا يملكه إلّا بعد عجزه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نفي ملك المولى </w:t>
      </w:r>
      <w:r>
        <w:rPr>
          <w:rStyle w:val="FootnoteAnchor"/>
          <w:rtl w:val="true"/>
        </w:rPr>
        <w:footnoteReference w:id="222"/>
      </w:r>
      <w:r>
        <w:rPr>
          <w:rFonts w:ascii="Amiri" w:hAnsi="Amiri" w:eastAsia="Amiri" w:cs="Amiri"/>
          <w:color w:val="111111"/>
          <w:sz w:val="28"/>
          <w:sz w:val="28"/>
          <w:szCs w:val="28"/>
          <w:rtl w:val="true"/>
          <w:lang w:bidi="ar-SA"/>
        </w:rPr>
        <w:t>، و نفي استقلال العبد بقرينة ما عنه في باب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كسبه ماله </w:t>
      </w:r>
      <w:r>
        <w:rPr>
          <w:rStyle w:val="FootnoteAnchor"/>
          <w:rtl w:val="true"/>
        </w:rPr>
        <w:footnoteReference w:id="223"/>
      </w:r>
      <w:r>
        <w:rPr>
          <w:rFonts w:ascii="Amiri" w:hAnsi="Amiri" w:eastAsia="Amiri" w:cs="Amiri"/>
          <w:color w:val="111111"/>
          <w:sz w:val="28"/>
          <w:sz w:val="28"/>
          <w:szCs w:val="28"/>
          <w:rtl w:val="true"/>
          <w:lang w:bidi="ar-SA"/>
        </w:rPr>
        <w:t xml:space="preserve">و ظاهر ما تقدّم عن المصنف، و المحقّق قدّس سرهما عكس ذلك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تقدير فالحكم واضح، و الرجوع إلى العمومات لمالكية المكاتب و ضعف رواية البختري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تحرّر من المكاتب المطلق شي‌ء و لو جزء يسير وجبت الزكاة في نصيبه إن بلغ نصابا بلا خلاف ظاهر، و عن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محلّ اتّفاق </w:t>
      </w:r>
      <w:r>
        <w:rPr>
          <w:rStyle w:val="FootnoteAnchor"/>
          <w:rtl w:val="true"/>
        </w:rPr>
        <w:footnoteReference w:id="225"/>
      </w:r>
      <w:r>
        <w:rPr>
          <w:rFonts w:ascii="Amiri" w:hAnsi="Amiri" w:eastAsia="Amiri" w:cs="Amiri"/>
          <w:color w:val="111111"/>
          <w:sz w:val="28"/>
          <w:sz w:val="28"/>
          <w:szCs w:val="28"/>
          <w:rtl w:val="true"/>
          <w:lang w:bidi="ar-SA"/>
        </w:rPr>
        <w:t>و في شرح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به الأصحاب و إنّ وجهه واضح </w:t>
      </w:r>
      <w:r>
        <w:rPr>
          <w:rStyle w:val="FootnoteAnchor"/>
          <w:rtl w:val="true"/>
        </w:rPr>
        <w:footnoteReference w:id="226"/>
      </w:r>
      <w:r>
        <w:rPr>
          <w:rFonts w:ascii="Amiri" w:hAnsi="Amiri" w:eastAsia="Amiri" w:cs="Amiri"/>
          <w:color w:val="111111"/>
          <w:sz w:val="28"/>
          <w:sz w:val="28"/>
          <w:szCs w:val="28"/>
          <w:rtl w:val="true"/>
          <w:lang w:bidi="ar-SA"/>
        </w:rPr>
        <w:t>و هو كذلك، لأنّ نصيبه مال جامع لشرائط الزكاة، و أدلّة نفي الزكاة عن مال المملوك لا تشمله، و لذا لا يجري على هذا النصيب شي‌ء من أحكام مال المملوك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روايتي ابن سنان المتقدّمتين </w:t>
      </w:r>
      <w:r>
        <w:rPr>
          <w:rStyle w:val="FootnoteAnchor"/>
          <w:rtl w:val="true"/>
        </w:rPr>
        <w:footnoteReference w:id="227"/>
      </w:r>
      <w:r>
        <w:rPr>
          <w:rFonts w:ascii="Amiri" w:hAnsi="Amiri" w:eastAsia="Amiri" w:cs="Amiri"/>
          <w:color w:val="111111"/>
          <w:sz w:val="28"/>
          <w:sz w:val="28"/>
          <w:szCs w:val="28"/>
          <w:rtl w:val="true"/>
          <w:lang w:bidi="ar-SA"/>
        </w:rPr>
        <w:t>عدم جواز إعطاء المملوك من</w:t>
      </w:r>
    </w:p>
    <w:p>
      <w:pPr>
        <w:pStyle w:val="BookText"/>
        <w:rPr/>
      </w:pPr>
      <w:r>
        <w:rPr>
          <w:rFonts w:ascii="Amiri" w:hAnsi="Amiri" w:eastAsia="Amiri" w:cs="Amiri"/>
          <w:color w:val="111111"/>
          <w:sz w:val="28"/>
          <w:sz w:val="28"/>
          <w:szCs w:val="28"/>
          <w:rtl w:val="true"/>
          <w:lang w:bidi="ar-SA"/>
        </w:rPr>
        <w:t>الزكاة، و ظاهرهما عدم قابليته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على صورة عدم الإذن، و يحكم بجوازه مع إذن المولى في الأخذ فيصير ملكا للمولى، فيعتبر فيه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سبيل اللّٰه لا بقصد الملك لم يملكه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العبد مشتركا بين مستحقّين فإن أذنا له ملكا </w:t>
      </w:r>
      <w:r>
        <w:rPr>
          <w:rStyle w:val="FootnoteAnchor"/>
          <w:rtl w:val="true"/>
        </w:rPr>
        <w:footnoteReference w:id="228"/>
      </w:r>
      <w:r>
        <w:rPr>
          <w:rFonts w:ascii="IRNazanin" w:hAnsi="IRNazanin" w:eastAsia="IRNazanin"/>
          <w:color w:val="111111"/>
          <w:sz w:val="28"/>
          <w:sz w:val="28"/>
          <w:szCs w:val="28"/>
          <w:rtl w:val="true"/>
          <w:lang w:bidi="fa-IR"/>
        </w:rPr>
        <w:t xml:space="preserve">القرض </w:t>
      </w:r>
      <w:r>
        <w:rPr>
          <w:rStyle w:val="FootnoteAnchor"/>
          <w:rtl w:val="true"/>
        </w:rPr>
        <w:footnoteReference w:id="229"/>
      </w:r>
      <w:r>
        <w:rPr>
          <w:rFonts w:ascii="Amiri" w:hAnsi="Amiri" w:eastAsia="Amiri" w:cs="Amiri"/>
          <w:color w:val="111111"/>
          <w:sz w:val="28"/>
          <w:sz w:val="28"/>
          <w:szCs w:val="28"/>
          <w:rtl w:val="true"/>
          <w:lang w:bidi="ar-SA"/>
        </w:rPr>
        <w:t>بنسبة الملك، و إن كان وكيلا عنهما ملكاه بالسوية، و لو كان أحدهما مستحقّا ملك مقدار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ذلك مبني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مال الزكاة من تمامية الملك في جميع الحول فيما يعتبر فيه الحول، و قبل تعلّق الوجوب فيما لا يعتبر فيه، و يتحقّق عدمهما بأمور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230"/>
      </w:r>
      <w:r>
        <w:rPr>
          <w:rFonts w:ascii="Amiri" w:hAnsi="Amiri" w:eastAsia="Amiri" w:cs="Amiri"/>
          <w:color w:val="111111"/>
          <w:sz w:val="28"/>
          <w:sz w:val="28"/>
          <w:szCs w:val="28"/>
          <w:rtl w:val="true"/>
          <w:lang w:bidi="ar-SA"/>
        </w:rPr>
        <w:t xml:space="preserve">عدم قرار الملك بمعنى تزلزله من حيث الحدوث، لتوقّفه على شرط لم يقع، أو لم يعلم وقوعه، و أمّا المتزلزل من حيث البقاء فلا يقدح كما سيجي‌ء، فلا يجري </w:t>
      </w:r>
      <w:r>
        <w:rPr>
          <w:rStyle w:val="FootnoteAnchor"/>
          <w:rtl w:val="true"/>
        </w:rPr>
        <w:footnoteReference w:id="231"/>
      </w:r>
      <w:r>
        <w:rPr>
          <w:rFonts w:ascii="Amiri" w:hAnsi="Amiri" w:eastAsia="Amiri" w:cs="Amiri"/>
          <w:color w:val="111111"/>
          <w:sz w:val="28"/>
          <w:sz w:val="28"/>
          <w:szCs w:val="28"/>
          <w:rtl w:val="true"/>
          <w:lang w:bidi="ar-SA"/>
        </w:rPr>
        <w:t xml:space="preserve">الموهوب في الحول إلّا بعد القبض سواء قلنا بكون القبض ناقلا أو كاشفا، كما صرّح به في المسالك </w:t>
      </w:r>
      <w:r>
        <w:rPr>
          <w:rStyle w:val="FootnoteAnchor"/>
          <w:rtl w:val="true"/>
        </w:rPr>
        <w:footnoteReference w:id="232"/>
      </w:r>
      <w:r>
        <w:rPr>
          <w:rFonts w:ascii="Amiri" w:hAnsi="Amiri" w:eastAsia="Amiri" w:cs="Amiri"/>
          <w:color w:val="111111"/>
          <w:sz w:val="28"/>
          <w:sz w:val="28"/>
          <w:szCs w:val="28"/>
          <w:rtl w:val="true"/>
          <w:lang w:bidi="ar-SA"/>
        </w:rPr>
        <w:t xml:space="preserve">، و إن أورد عليه في المدارك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القول بكشف القبض غير مذكور في باب الهبة، و إنّ هذا الخلاف غير واقع، إلّا أنّ الذي يحكى عن بعض هو أنّ مراد القائلين باعتبار القبض في اللّزوم هو الكشف لا اللّزوم المصطلح، ضرورة أنّ الهبة لا تصير بالقبض من العقود اللّازمة، إذ بعد القبض يجوز الرجوع في الهبة اتّفاقا إلّا في المواضع المخصوصة، و انّه </w:t>
      </w:r>
      <w:r>
        <w:rPr>
          <w:rStyle w:val="FootnoteAnchor"/>
          <w:rtl w:val="true"/>
        </w:rPr>
        <w:footnoteReference w:id="234"/>
      </w:r>
      <w:r>
        <w:rPr>
          <w:rFonts w:ascii="Amiri" w:hAnsi="Amiri" w:eastAsia="Amiri" w:cs="Amiri"/>
          <w:color w:val="111111"/>
          <w:sz w:val="28"/>
          <w:sz w:val="28"/>
          <w:szCs w:val="28"/>
          <w:rtl w:val="true"/>
          <w:lang w:bidi="ar-SA"/>
        </w:rPr>
        <w:t>لم يجعل</w:t>
      </w:r>
    </w:p>
    <w:p>
      <w:pPr>
        <w:pStyle w:val="BookText"/>
        <w:rPr/>
      </w:pPr>
      <w:r>
        <w:rPr>
          <w:rFonts w:ascii="Amiri" w:hAnsi="Amiri" w:eastAsia="Amiri" w:cs="Amiri"/>
          <w:color w:val="111111"/>
          <w:sz w:val="28"/>
          <w:sz w:val="28"/>
          <w:szCs w:val="28"/>
          <w:rtl w:val="true"/>
          <w:lang w:bidi="ar-SA"/>
        </w:rPr>
        <w:t>أحد القبض من الملزمات، و أنّه قد صرح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مرادهم من كون القبض شرطا في اللزوم ليس المعنى المعروف،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يوجب ملكية </w:t>
      </w:r>
      <w:r>
        <w:rPr>
          <w:rStyle w:val="FootnoteAnchor"/>
          <w:rtl w:val="true"/>
        </w:rPr>
        <w:footnoteReference w:id="235"/>
      </w:r>
      <w:r>
        <w:rPr>
          <w:rFonts w:ascii="Amiri" w:hAnsi="Amiri" w:eastAsia="Amiri" w:cs="Amiri"/>
          <w:color w:val="111111"/>
          <w:sz w:val="28"/>
          <w:sz w:val="28"/>
          <w:szCs w:val="28"/>
          <w:rtl w:val="true"/>
          <w:lang w:bidi="ar-SA"/>
        </w:rPr>
        <w:t>مراعاة بتحقّق القبض، فإنّ تحقّق أتمّ من حين العقد</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فيما ذكره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أصل المسألة، كما لا إشكال في جريانه في الحول بعد القبض و إن كان متزلزلا من حيث البقاء لاحتمال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رجع الواهب قبل الحول </w:t>
      </w:r>
      <w:r>
        <w:rPr>
          <w:rStyle w:val="FootnoteAnchor"/>
          <w:rtl w:val="true"/>
        </w:rPr>
        <w:footnoteReference w:id="237"/>
      </w:r>
      <w:r>
        <w:rPr>
          <w:rFonts w:ascii="Amiri" w:hAnsi="Amiri" w:eastAsia="Amiri" w:cs="Amiri"/>
          <w:color w:val="111111"/>
          <w:sz w:val="28"/>
          <w:sz w:val="28"/>
          <w:szCs w:val="28"/>
          <w:rtl w:val="true"/>
          <w:lang w:bidi="ar-SA"/>
        </w:rPr>
        <w:t>سقطت الزكاة بلا إشكال، و لو رجع بعد الحول، فإن كان بعد إمكان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حقّ الفقراء، و إن كان قبله ففي التذكرة </w:t>
      </w:r>
      <w:r>
        <w:rPr>
          <w:rStyle w:val="FootnoteAnchor"/>
          <w:rtl w:val="true"/>
        </w:rPr>
        <w:footnoteReference w:id="238"/>
      </w:r>
      <w:r>
        <w:rPr>
          <w:rFonts w:ascii="Amiri" w:hAnsi="Amiri" w:eastAsia="Amiri" w:cs="Amiri"/>
          <w:color w:val="111111"/>
          <w:sz w:val="28"/>
          <w:sz w:val="28"/>
          <w:szCs w:val="28"/>
          <w:rtl w:val="true"/>
          <w:lang w:bidi="ar-SA"/>
        </w:rPr>
        <w:t xml:space="preserve">و كشف الالتباس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يستشكل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التمكن من الأداء معتبر في الضمان دون الوجوب، فالزكاة تتعلّق بمجرّد اجتماع الشرائط، و إن لم يكلف المالك منجزا بالإخراج للعجز، فيكون رجوع الواهب على مال تعلّق به حقّ الفقراء، فيقدّم، سيّما على القول بتعلّق الشركة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يجري النصاب الموصى به في الحول إذا كان حوليّا إلّا بعد القبول و بعد الوفاة لأنه قبل ذلك إمّا غير مملوك للموصى له، أو غير متمكّن من التصرّف فيه، و لو لعدم العلم بملكيته بناء على أحد وجهي الكشف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الغنيمة إلا بعد القسمة، أمّا على القول بتوقّف الملك عليها كما عن المشهور فواضح، و أمّا على القول بحصول التملّك بالحيازة، فلعدم التمكّن من التصرّف قبل قسمة الإمام، و لعدم استقرار الملك، لأنّ للإمام أن يقسّم بينهم بتحكّم، فيعطي كلّ واحد من أيّ الأصناف </w:t>
      </w:r>
      <w:r>
        <w:rPr>
          <w:rStyle w:val="FootnoteAnchor"/>
          <w:rtl w:val="true"/>
        </w:rPr>
        <w:footnoteReference w:id="241"/>
      </w:r>
      <w:r>
        <w:rPr>
          <w:rFonts w:ascii="Amiri" w:hAnsi="Amiri" w:eastAsia="Amiri" w:cs="Amiri"/>
          <w:color w:val="111111"/>
          <w:sz w:val="28"/>
          <w:sz w:val="28"/>
          <w:szCs w:val="28"/>
          <w:rtl w:val="true"/>
          <w:lang w:bidi="ar-SA"/>
        </w:rPr>
        <w:t>شاء، فلم يتمّ ملكه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عن المنتهى</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لكن المحكيّ عن ظاهر كلام الشيخ في الخلاف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ذلك، و إنّ لكلّ غانم نصيبا من كلّ صنف من الغنيمة، فليس للإمام منعها، مع أنّ منع الإمام لعلّة </w:t>
      </w:r>
      <w:r>
        <w:rPr>
          <w:rStyle w:val="FootnoteAnchor"/>
          <w:rtl w:val="true"/>
        </w:rPr>
        <w:footnoteReference w:id="244"/>
      </w:r>
      <w:r>
        <w:rPr>
          <w:rFonts w:ascii="Amiri" w:hAnsi="Amiri" w:eastAsia="Amiri" w:cs="Amiri"/>
          <w:color w:val="111111"/>
          <w:sz w:val="28"/>
          <w:sz w:val="28"/>
          <w:szCs w:val="28"/>
          <w:rtl w:val="true"/>
          <w:lang w:bidi="ar-SA"/>
        </w:rPr>
        <w:t>بمنزلة المزيل للملك الحاصل بمجرد الحيازة، فهو غير مانع كالخيار، مع أنّه مختص بصورة تعدّد أصناف الغنيمة، و أمّا مع اتحاد جنسها فالغانمون كالورثة يملك كلّ منهم نصيبا معيّنا منها، و اعتبار التمكّن من التصرّف لا يوجب إلّا اعتبار التمكّن من القسمة قسطا لبعض الغانمين، فإن قبضه فلا إشكال، و إلّا فإن كان غائبا فلا يجري إلّا بعد وصوله إليه، أو إلى وكيله إلّا إذا قبض عنه الإمام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حاضرا، فالظاهر أنّه موقوف على قبض الغانم أيضا إلّا إذا قلنا بالتملّك بالحيازة، و كفاية عزل الإمام في تعيين الملك </w:t>
      </w:r>
      <w:r>
        <w:rPr>
          <w:rStyle w:val="FootnoteAnchor"/>
          <w:rtl w:val="true"/>
        </w:rPr>
        <w:footnoteReference w:id="245"/>
      </w:r>
      <w:r>
        <w:rPr>
          <w:rFonts w:ascii="Amiri" w:hAnsi="Amiri" w:eastAsia="Amiri" w:cs="Amiri"/>
          <w:color w:val="111111"/>
          <w:sz w:val="28"/>
          <w:sz w:val="28"/>
          <w:szCs w:val="28"/>
          <w:rtl w:val="true"/>
          <w:lang w:bidi="ar-SA"/>
        </w:rPr>
        <w:t>، و رفع الحجر عن التصرف، لكنّه مشكل لعموم ما دلّ على عدم جريان الحول إلّا على ما وقع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محلّه من كتاب الجهاد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يجري القرض أيضا إلّا بعد القبض </w:t>
      </w:r>
      <w:r>
        <w:rPr>
          <w:rStyle w:val="FootnoteAnchor"/>
          <w:rtl w:val="true"/>
        </w:rPr>
        <w:footnoteReference w:id="246"/>
      </w:r>
      <w:r>
        <w:rPr>
          <w:rFonts w:ascii="Amiri" w:hAnsi="Amiri" w:eastAsia="Amiri" w:cs="Amiri"/>
          <w:color w:val="111111"/>
          <w:sz w:val="28"/>
          <w:sz w:val="28"/>
          <w:szCs w:val="28"/>
          <w:rtl w:val="true"/>
          <w:lang w:bidi="ar-SA"/>
        </w:rPr>
        <w:t>بناء على ما عن الأكثر</w:t>
      </w:r>
    </w:p>
    <w:p>
      <w:pPr>
        <w:pStyle w:val="BookText"/>
        <w:rPr/>
      </w:pPr>
      <w:r>
        <w:rPr>
          <w:rFonts w:ascii="Amiri" w:hAnsi="Amiri" w:eastAsia="Amiri" w:cs="Amiri"/>
          <w:color w:val="111111"/>
          <w:sz w:val="28"/>
          <w:sz w:val="28"/>
          <w:szCs w:val="28"/>
          <w:rtl w:val="true"/>
          <w:lang w:bidi="ar-SA"/>
        </w:rPr>
        <w:t xml:space="preserve">من أنّه وقت حصول الملك </w:t>
      </w:r>
      <w:r>
        <w:rPr>
          <w:rStyle w:val="FootnoteAnchor"/>
          <w:rtl w:val="true"/>
        </w:rPr>
        <w:footnoteReference w:id="247"/>
      </w:r>
      <w:r>
        <w:rPr>
          <w:rFonts w:ascii="Amiri" w:hAnsi="Amiri" w:eastAsia="Amiri" w:cs="Amiri"/>
          <w:color w:val="111111"/>
          <w:sz w:val="28"/>
          <w:sz w:val="28"/>
          <w:szCs w:val="28"/>
          <w:rtl w:val="true"/>
          <w:lang w:bidi="ar-SA"/>
        </w:rPr>
        <w:t xml:space="preserve">، و على قول الشيخ </w:t>
      </w:r>
      <w:r>
        <w:rPr>
          <w:rStyle w:val="FootnoteAnchor"/>
          <w:rtl w:val="true"/>
        </w:rPr>
        <w:footnoteReference w:id="248"/>
      </w:r>
      <w:r>
        <w:rPr>
          <w:rFonts w:ascii="Amiri" w:hAnsi="Amiri" w:eastAsia="Amiri" w:cs="Amiri"/>
          <w:color w:val="111111"/>
          <w:sz w:val="28"/>
          <w:sz w:val="28"/>
          <w:szCs w:val="28"/>
          <w:rtl w:val="true"/>
          <w:lang w:bidi="ar-SA"/>
        </w:rPr>
        <w:t>فيجري من حين التصرف و هو ضعيف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سيجي‌ء في باب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حسنة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زكاة القرض على المقترض إن كان موضوعا عنده حولا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و ظاهرها وجوب الزكاة مع عدم التصرف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المبيع ذو الخيار فإنّما يجري في الحول من حين البيع و لا يتوقّف على انقضاء زمان الخيار بناء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توقف الملك على انقضاء زمان الخيار، و يشكل ذلك في خيار البائع لو قلنا بمنعه للمشتري من التصرّفات المنافية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مجرّد بيان عدم توقّف جريان المبيع </w:t>
      </w:r>
      <w:r>
        <w:rPr>
          <w:rStyle w:val="FootnoteAnchor"/>
          <w:rtl w:val="true"/>
        </w:rPr>
        <w:footnoteReference w:id="250"/>
      </w:r>
      <w:r>
        <w:rPr>
          <w:rFonts w:ascii="Amiri" w:hAnsi="Amiri" w:eastAsia="Amiri" w:cs="Amiri"/>
          <w:color w:val="111111"/>
          <w:sz w:val="28"/>
          <w:sz w:val="28"/>
          <w:szCs w:val="28"/>
          <w:rtl w:val="true"/>
          <w:lang w:bidi="ar-SA"/>
        </w:rPr>
        <w:t>في الحول من حيث الملكية حين العقد، و إن كان له مانع آخر في مدّة الخيار من حيث عدم تمامية الملك، و هو محمل بعيد في نفسه، مضافا إلى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حكي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الزكاة بعد الحول، و إن كان الخيار باقيا، فيسقط البائع من الثمن بنسبة ما أخرجه المشتري من الزكاة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البعد حمل هذا الكلام على تجويز </w:t>
      </w:r>
      <w:r>
        <w:rPr>
          <w:rStyle w:val="FootnoteAnchor"/>
          <w:rtl w:val="true"/>
        </w:rPr>
        <w:footnoteReference w:id="252"/>
      </w:r>
      <w:r>
        <w:rPr>
          <w:rFonts w:ascii="Amiri" w:hAnsi="Amiri" w:eastAsia="Amiri" w:cs="Amiri"/>
          <w:color w:val="111111"/>
          <w:sz w:val="28"/>
          <w:sz w:val="28"/>
          <w:szCs w:val="28"/>
          <w:rtl w:val="true"/>
          <w:lang w:bidi="ar-SA"/>
        </w:rPr>
        <w:t>تصرّف المشتري في زمان خيار البائع، فيرجع البائع بعد الفسخ إلى قيمة المبيع، أو يبطل ما وقع من التصرف كالشفيع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أطلق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الجريان في الحول من حين العقد مع حكمه بعدم جواز التصرف </w:t>
      </w:r>
      <w:r>
        <w:rPr>
          <w:rStyle w:val="FootnoteAnchor"/>
          <w:rtl w:val="true"/>
        </w:rPr>
        <w:footnoteReference w:id="253"/>
      </w:r>
      <w:r>
        <w:rPr>
          <w:rFonts w:ascii="Amiri" w:hAnsi="Amiri" w:eastAsia="Amiri" w:cs="Amiri"/>
          <w:color w:val="111111"/>
          <w:sz w:val="28"/>
          <w:sz w:val="28"/>
          <w:szCs w:val="28"/>
          <w:rtl w:val="true"/>
          <w:lang w:bidi="ar-SA"/>
        </w:rPr>
        <w:t>المنافي لخيار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قدّس سره في البيان عدّ خيار البائع من الأمور الّتي ظنّ أنّها مانعة عن الزكاة، و ليست مانعة </w:t>
      </w:r>
      <w:r>
        <w:rPr>
          <w:rStyle w:val="FootnoteAnchor"/>
          <w:rtl w:val="true"/>
        </w:rPr>
        <w:footnoteReference w:id="254"/>
      </w:r>
      <w:r>
        <w:rPr>
          <w:rFonts w:ascii="Amiri" w:hAnsi="Amiri" w:eastAsia="Amiri" w:cs="Amiri"/>
          <w:color w:val="111111"/>
          <w:sz w:val="28"/>
          <w:sz w:val="28"/>
          <w:szCs w:val="28"/>
          <w:rtl w:val="true"/>
          <w:lang w:bidi="ar-SA"/>
        </w:rPr>
        <w:t xml:space="preserve">مع تردّده في الدروس في جواز تصرف المشتري بما ينافي خيار البائع </w:t>
      </w:r>
      <w:r>
        <w:rPr>
          <w:rStyle w:val="FootnoteAnchor"/>
          <w:rtl w:val="true"/>
        </w:rPr>
        <w:footnoteReference w:id="255"/>
      </w:r>
      <w:r>
        <w:rPr>
          <w:rFonts w:ascii="Amiri" w:hAnsi="Amiri" w:eastAsia="Amiri" w:cs="Amiri"/>
          <w:color w:val="111111"/>
          <w:sz w:val="28"/>
          <w:sz w:val="28"/>
          <w:szCs w:val="28"/>
          <w:rtl w:val="true"/>
          <w:lang w:bidi="ar-SA"/>
        </w:rPr>
        <w:t xml:space="preserve">، فيحتمل أنّ المنع من التصرف المنافي </w:t>
      </w:r>
      <w:r>
        <w:rPr>
          <w:rStyle w:val="FootnoteAnchor"/>
          <w:rtl w:val="true"/>
        </w:rPr>
        <w:footnoteReference w:id="256"/>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أو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وجوب الزكاة عندهم، لأنّه يصدق على المبيع أنّه مال حال عليه الحول في يد مالكه، بخلاف مال الرهن، فإنّ الراهن لا يستقلّ في التصرّف فيه و ان لم يكن ناقلا فتأمّل، فانّ في الفرق بين منذور الصدقة </w:t>
      </w:r>
      <w:r>
        <w:rPr>
          <w:rStyle w:val="FootnoteAnchor"/>
          <w:rtl w:val="true"/>
        </w:rPr>
        <w:footnoteReference w:id="257"/>
      </w:r>
      <w:r>
        <w:rPr>
          <w:rFonts w:ascii="Amiri" w:hAnsi="Amiri" w:eastAsia="Amiri" w:cs="Amiri"/>
          <w:color w:val="111111"/>
          <w:sz w:val="28"/>
          <w:sz w:val="28"/>
          <w:szCs w:val="28"/>
          <w:rtl w:val="true"/>
          <w:lang w:bidi="ar-SA"/>
        </w:rPr>
        <w:t>بعينه نذرا مشروطا بما يحتمل الحصول فضلا عمّا يقطع بحصوله، و بين المبيع في أيام الخيار و الحكم بمانعية النذر دون الخيار إشكالا، بل تحكّما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زكاة في المغصوب بلا خلاف في الجملة، لعموم ما دلّ على اعتبار حولان الحول على المال مع وقوعه في يد المالك، و كونه عند ربّه، و فحوى سقوطها عن مال الغائب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مقتضى </w:t>
      </w:r>
      <w:r>
        <w:rPr>
          <w:rStyle w:val="FootnoteAnchor"/>
          <w:rtl w:val="true"/>
        </w:rPr>
        <w:footnoteReference w:id="258"/>
      </w:r>
      <w:r>
        <w:rPr>
          <w:rFonts w:ascii="Amiri" w:hAnsi="Amiri" w:eastAsia="Amiri" w:cs="Amiri"/>
          <w:color w:val="111111"/>
          <w:sz w:val="28"/>
          <w:sz w:val="28"/>
          <w:szCs w:val="28"/>
          <w:rtl w:val="true"/>
          <w:lang w:bidi="ar-SA"/>
        </w:rPr>
        <w:t>إطلاق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ما لو تمكّن من إخراج مقدار الزكاة من المغصوب باستئذان الغاصب أو مع عدم اطّلاعه و بين غيره، بل يعمّ الحكم لما إذا أذن الغاصب المالك في التصرف في المغصوب مع بقاء يد العدوان عليه، و 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يوهم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بأنّه لو كلّف بالزكاة مع عدم التمكّن من التصرف لكان مكلّفا بإخراجها من غير ذلك المال، و 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الاستدلال لا يفي بأصل المطلب فضلا عن عمومه، ضرورة أنّه يقتضي اعتبار التمكن وقت الإخراج لا في تمام الحول، مع إمكان المناقشة في الملازمة </w:t>
      </w:r>
      <w:r>
        <w:rPr>
          <w:rStyle w:val="FootnoteAnchor"/>
          <w:rtl w:val="true"/>
        </w:rPr>
        <w:footnoteReference w:id="259"/>
      </w:r>
      <w:r>
        <w:rPr>
          <w:rFonts w:ascii="Amiri" w:hAnsi="Amiri" w:eastAsia="Amiri" w:cs="Amiri"/>
          <w:color w:val="111111"/>
          <w:sz w:val="28"/>
          <w:sz w:val="28"/>
          <w:szCs w:val="28"/>
          <w:rtl w:val="true"/>
          <w:lang w:bidi="ar-SA"/>
        </w:rPr>
        <w:t xml:space="preserve">بمنع التنافي بين ثبوت الزكاة في العين، و عدم وجوب الإخراج منها و لا من غيرها لما </w:t>
      </w:r>
      <w:r>
        <w:rPr>
          <w:rStyle w:val="FootnoteAnchor"/>
          <w:rtl w:val="true"/>
        </w:rPr>
        <w:footnoteReference w:id="260"/>
      </w:r>
      <w:r>
        <w:rPr>
          <w:rFonts w:ascii="Amiri" w:hAnsi="Amiri" w:eastAsia="Amiri" w:cs="Amiri"/>
          <w:color w:val="111111"/>
          <w:sz w:val="28"/>
          <w:sz w:val="28"/>
          <w:szCs w:val="28"/>
          <w:rtl w:val="true"/>
          <w:lang w:bidi="ar-SA"/>
        </w:rPr>
        <w:t xml:space="preserve">سيجي‌ء من أنّ التمكّن من الأداء شرط الضمان لا الوجوب، بل المناقشة في بطلان التكليف بالإخراج من غير النصاب، كيف و قد حكي عن الشيخ في أحد أقواله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الزكاة في المال المرهون، و تكلّف </w:t>
      </w:r>
      <w:r>
        <w:rPr>
          <w:rStyle w:val="FootnoteAnchor"/>
          <w:rtl w:val="true"/>
        </w:rPr>
        <w:footnoteReference w:id="262"/>
      </w:r>
      <w:r>
        <w:rPr>
          <w:rFonts w:ascii="Amiri" w:hAnsi="Amiri" w:eastAsia="Amiri" w:cs="Amiri"/>
          <w:color w:val="111111"/>
          <w:sz w:val="28"/>
          <w:sz w:val="28"/>
          <w:szCs w:val="28"/>
          <w:rtl w:val="true"/>
          <w:lang w:bidi="ar-SA"/>
        </w:rPr>
        <w:t xml:space="preserve">المالك بالإخراج من غيره لو كان له مال غيره، و حكي ذلك عن الجامع </w:t>
      </w:r>
      <w:r>
        <w:rPr>
          <w:rStyle w:val="FootnoteAnchor"/>
          <w:rtl w:val="true"/>
        </w:rPr>
        <w:footnoteReference w:id="263"/>
      </w:r>
      <w:r>
        <w:rPr>
          <w:rFonts w:ascii="Amiri" w:hAnsi="Amiri" w:eastAsia="Amiri" w:cs="Amiri"/>
          <w:color w:val="111111"/>
          <w:sz w:val="28"/>
          <w:sz w:val="28"/>
          <w:szCs w:val="28"/>
          <w:rtl w:val="true"/>
          <w:lang w:bidi="ar-SA"/>
        </w:rPr>
        <w:t xml:space="preserve">أيضا و إن ضعّفه في المعتبر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فالعمدة هو إطلاق النص و 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قيّده بما إذا لم يتمكّن تخليصه و لو ببعضه، و لو بالاستعانة بظالم، و إلّا وجبت فيما زاد على الفداء، و لعلّه لتحقّق الشرط الذي هو التمكّن من التصرّف، و لموثّقة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ماله عنه غائب، لا يقدر على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عليه حتى يخرج، فإذا خرج زكّاه لعام واحد، و إن كان يدعه متعمّدا و هو يقدر على أخذه فعليه الزكاة لكلّ ما مرّ من السنين</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الرواية بصدرها على تفريع نفي الزكاة على عدم القدرة على أخذ المال الغائب، و بذيلها على ثبوت الزكاة مع ثبوت القدرة، و حينئذ فتحمل الروايات الظاهرة في اعتبار الحضور الفعلي و اليد الحالية على مجرد القدرة على الأخذ و التصرف، و لو بواسطة أمر مقدور، في مقابل ما لم يقع تحت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ورود بعض تلك الأخبار </w:t>
      </w:r>
      <w:r>
        <w:rPr>
          <w:rStyle w:val="FootnoteAnchor"/>
          <w:rtl w:val="true"/>
        </w:rPr>
        <w:footnoteReference w:id="266"/>
      </w:r>
      <w:r>
        <w:rPr>
          <w:rFonts w:ascii="Amiri" w:hAnsi="Amiri" w:eastAsia="Amiri" w:cs="Amiri"/>
          <w:color w:val="111111"/>
          <w:sz w:val="28"/>
          <w:sz w:val="28"/>
          <w:szCs w:val="28"/>
          <w:rtl w:val="true"/>
          <w:lang w:bidi="ar-SA"/>
        </w:rPr>
        <w:t>في مقام نفي الزكاة عن المال الذي لم يملك في تمام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قوّى الشيخ في الخلاف وجوب الزكاة في المال المرهون مستدلا بأنّ الراهن قادر على التصرف فيها بأن يفكّ رهنها، و المال الغائب إذا كان متمكّنا منه، يلزمه زكاته بلا خلاف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كلامه صريح، إلّا أنّ هذا ليس بأولى من إبقاء تلك على ظاهرها من اعتبار الوقوع في اليد بالفعل سيّما مثل قوله عليه السلام في صحيحة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الدين صدقة، و لا على المال الغائب حتى يقع في يدك</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الظاهر بل الصريح في اليد الفعلية فيحمل الموثّقة </w:t>
      </w:r>
      <w:r>
        <w:rPr>
          <w:rStyle w:val="FootnoteAnchor"/>
          <w:rtl w:val="true"/>
        </w:rPr>
        <w:footnoteReference w:id="269"/>
      </w:r>
      <w:r>
        <w:rPr>
          <w:rFonts w:ascii="Amiri" w:hAnsi="Amiri" w:eastAsia="Amiri" w:cs="Amiri"/>
          <w:color w:val="111111"/>
          <w:sz w:val="28"/>
          <w:sz w:val="28"/>
          <w:szCs w:val="28"/>
          <w:rtl w:val="true"/>
          <w:lang w:bidi="ar-SA"/>
        </w:rPr>
        <w:t>المشتملة على القدرة على الأخذ، على القدرة الحاصلة على الوجه المتعارف، مثل الوكيل في القبض و نحوه، لا إيجاد أسباب التّمكّن كتخليص المغصوب ببعضه و نحو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التمكّن من أخذه خفية لا يبعد عدّه من التّمكن، فيكون العبرة بالتمكّن و التسلّط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لا القدرة على ذلك، و يؤيّد هذا الحمل انّ تقييد المال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نفي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يقدر على التسلّط</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عليه و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ببذل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المانع تقييد بالفرد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الغائب عنوان مستقلّ في نفسه لا يلحق به المغصوب، لعدم تنقيح المناط، سقط التمسّك بالأخبار من الطرفين، لأنّ مورد الكلّ </w:t>
      </w:r>
      <w:r>
        <w:rPr>
          <w:rStyle w:val="FootnoteAnchor"/>
          <w:rtl w:val="true"/>
        </w:rPr>
        <w:footnoteReference w:id="271"/>
      </w:r>
      <w:r>
        <w:rPr>
          <w:rFonts w:ascii="Amiri" w:hAnsi="Amiri" w:eastAsia="Amiri" w:cs="Amiri"/>
          <w:color w:val="111111"/>
          <w:sz w:val="28"/>
          <w:sz w:val="28"/>
          <w:szCs w:val="28"/>
          <w:rtl w:val="true"/>
          <w:lang w:bidi="ar-SA"/>
        </w:rPr>
        <w:t>في المال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الكلّ 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عن الأخذ، و لذا استدلّ بتلك الأخبار لاشتراط التمكّن بلا فرط في شرح الروضة </w:t>
      </w:r>
      <w:r>
        <w:rPr>
          <w:rStyle w:val="FootnoteAnchor"/>
          <w:rtl w:val="true"/>
        </w:rPr>
        <w:footnoteReference w:id="272"/>
      </w:r>
      <w:r>
        <w:rPr>
          <w:rFonts w:ascii="Amiri" w:hAnsi="Amiri" w:eastAsia="Amiri" w:cs="Amiri"/>
          <w:color w:val="111111"/>
          <w:sz w:val="28"/>
          <w:sz w:val="28"/>
          <w:szCs w:val="28"/>
          <w:rtl w:val="true"/>
          <w:lang w:bidi="ar-SA"/>
        </w:rPr>
        <w:t xml:space="preserve">، فاستدلّ له بما ورد من وجوب الزكاة في الدّين إذا قدر صاحبه عليه، و تركه متعمّدا </w:t>
      </w:r>
      <w:r>
        <w:rPr>
          <w:rStyle w:val="FootnoteAnchor"/>
          <w:rtl w:val="true"/>
        </w:rPr>
        <w:footnoteReference w:id="273"/>
      </w:r>
      <w:r>
        <w:rPr>
          <w:rFonts w:ascii="IRNazanin" w:hAnsi="IRNazanin" w:eastAsia="IRNazanin"/>
          <w:color w:val="111111"/>
          <w:sz w:val="28"/>
          <w:sz w:val="28"/>
          <w:szCs w:val="28"/>
          <w:rtl w:val="true"/>
          <w:lang w:bidi="fa-IR"/>
        </w:rPr>
        <w:t xml:space="preserve">مع عدم عمله قدّس سره بمضمونها، من </w:t>
      </w:r>
      <w:r>
        <w:rPr>
          <w:rStyle w:val="FootnoteAnchor"/>
          <w:rtl w:val="true"/>
        </w:rPr>
        <w:footnoteReference w:id="274"/>
      </w:r>
      <w:r>
        <w:rPr>
          <w:rFonts w:ascii="Amiri" w:hAnsi="Amiri" w:eastAsia="Amiri" w:cs="Amiri"/>
          <w:color w:val="111111"/>
          <w:sz w:val="28"/>
          <w:sz w:val="28"/>
          <w:szCs w:val="28"/>
          <w:rtl w:val="true"/>
          <w:lang w:bidi="ar-SA"/>
        </w:rPr>
        <w:t>ثبوت الزكاة في الدين المقدور على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 معنى القدرة على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التمكّن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معقد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العرف، لأنّه المحكّم في مثله، و الظاهر صدق القدرة على الأخذ بمجرّد القدرة على الأسباب و لو كانت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التمكّن فهو و إن كان في صدقه على التمكّن من أسباب التمكّن خفاء، بل منع </w:t>
      </w:r>
      <w:r>
        <w:rPr>
          <w:rStyle w:val="FootnoteAnchor"/>
          <w:rtl w:val="true"/>
        </w:rPr>
        <w:footnoteReference w:id="275"/>
      </w:r>
      <w:r>
        <w:rPr>
          <w:rFonts w:ascii="Amiri" w:hAnsi="Amiri" w:eastAsia="Amiri" w:cs="Amiri"/>
          <w:color w:val="111111"/>
          <w:sz w:val="28"/>
          <w:sz w:val="28"/>
          <w:szCs w:val="28"/>
          <w:rtl w:val="true"/>
          <w:lang w:bidi="ar-SA"/>
        </w:rPr>
        <w:t xml:space="preserve">إلّا أنّ الذي يظهر من ملاحظة فتاواهم، بل معاقد </w:t>
      </w:r>
      <w:r>
        <w:rPr>
          <w:rStyle w:val="FootnoteAnchor"/>
          <w:rtl w:val="true"/>
        </w:rPr>
        <w:footnoteReference w:id="276"/>
      </w:r>
      <w:r>
        <w:rPr>
          <w:rFonts w:ascii="Amiri" w:hAnsi="Amiri" w:eastAsia="Amiri" w:cs="Amiri"/>
          <w:color w:val="111111"/>
          <w:sz w:val="28"/>
          <w:sz w:val="28"/>
          <w:szCs w:val="28"/>
          <w:rtl w:val="true"/>
          <w:lang w:bidi="ar-SA"/>
        </w:rPr>
        <w:t>إجماعاتهم هو ما يعمّ هذا المعنى، و لا أقلّ من أن يحصل الشك في مراد الكلّ أو البعض، فيجب الرجوع حينئذ إلى القدر المتيقّن من تخصيص العمومات الموجبة للزكاة، و خصوص ما أوجبها بمجرد القدرة على الأخذ</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المتيقّن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التمكّن بالمعنى الأعم المساوي للقدرة التي نيط بها </w:t>
      </w:r>
      <w:r>
        <w:rPr>
          <w:rStyle w:val="FootnoteAnchor"/>
          <w:rtl w:val="true"/>
        </w:rPr>
        <w:footnoteReference w:id="277"/>
      </w:r>
      <w:r>
        <w:rPr>
          <w:rFonts w:ascii="Amiri" w:hAnsi="Amiri" w:eastAsia="Amiri" w:cs="Amiri"/>
          <w:color w:val="111111"/>
          <w:sz w:val="28"/>
          <w:sz w:val="28"/>
          <w:szCs w:val="28"/>
          <w:rtl w:val="true"/>
          <w:lang w:bidi="ar-SA"/>
        </w:rPr>
        <w:t>الحكم فيما عرفت من الموثّقة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سيجي‌ء في المرهون ما يدلّ على أنّ مراد أكثرهم من التمكّن هو المعنى الأعم، مضافا إلى أنّ أدلّتهم على اعتبار التمكّن من الروايات و غيرها لا يدلّ على اعتبار أزيد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المجحود إذا لم يتمكّن من استنقاذه، قال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أمكن الاستنقاذ وجبت، و لو صانعه ببعضه وجب في المقبوض و في إجراء إمكان المصانعة مجرى التمكّن نظر، و كذا الاستعانة </w:t>
      </w:r>
      <w:r>
        <w:rPr>
          <w:rStyle w:val="FootnoteAnchor"/>
          <w:rtl w:val="true"/>
        </w:rPr>
        <w:footnoteReference w:id="278"/>
      </w:r>
      <w:r>
        <w:rPr>
          <w:rFonts w:ascii="Amiri" w:hAnsi="Amiri" w:eastAsia="Amiri" w:cs="Amiri"/>
          <w:color w:val="111111"/>
          <w:sz w:val="28"/>
          <w:sz w:val="28"/>
          <w:szCs w:val="28"/>
          <w:rtl w:val="true"/>
          <w:lang w:bidi="ar-SA"/>
        </w:rPr>
        <w:t xml:space="preserve">بظالم، أمّا الاستعانة بالعادل فتمكّن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هو أن تخليص المغصوب بالمال بمنزلة ابتياع ما يجب فيه الزكاة، و كما أنّ تحصيل الملكية لا يجب كذلك تحصيل التمكّن الذي هو شرط وجوب الزكاة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يعلم ما في هذا، و في استشكال المحقّق الثاني في كفاية التمكّن من استنقاذ المجحود بالبيّنة </w:t>
      </w:r>
      <w:r>
        <w:rPr>
          <w:rStyle w:val="FootnoteAnchor"/>
          <w:rtl w:val="true"/>
        </w:rPr>
        <w:footnoteReference w:id="281"/>
      </w:r>
      <w:r>
        <w:rPr>
          <w:rFonts w:ascii="Amiri" w:hAnsi="Amiri" w:eastAsia="Amiri" w:cs="Amiri"/>
          <w:color w:val="111111"/>
          <w:sz w:val="28"/>
          <w:sz w:val="28"/>
          <w:szCs w:val="28"/>
          <w:rtl w:val="true"/>
          <w:lang w:bidi="ar-SA"/>
        </w:rPr>
        <w:t>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دليل على اعتبار أزيد من القدرة على الأخذ و التمكّن من التصرف و لو بواسطة الأسباب، إلّا أنّ في انصراف إطلاقها إلى ما احتاج إلى صرف بعضه أو صرف مال غيره تأمّلا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الفداء كثيرا مساويا للمفدّى أو أزيد فالإشكال أوضح، بل منع الزكاة أقوى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ففيما ذكره الشهيد من الفرق بين الظالم و العادل </w:t>
      </w:r>
      <w:r>
        <w:rPr>
          <w:rStyle w:val="FootnoteAnchor"/>
          <w:rtl w:val="true"/>
        </w:rPr>
        <w:footnoteReference w:id="282"/>
      </w:r>
      <w:r>
        <w:rPr>
          <w:rFonts w:ascii="Amiri" w:hAnsi="Amiri" w:eastAsia="Amiri" w:cs="Amiri"/>
          <w:color w:val="111111"/>
          <w:sz w:val="28"/>
          <w:sz w:val="28"/>
          <w:szCs w:val="28"/>
          <w:rtl w:val="true"/>
          <w:lang w:bidi="ar-SA"/>
        </w:rPr>
        <w:t>نظر، و إن أمكن توجيهه بأنّ العادل حيث أنّه من الأسباب التي شرعها اللّٰه لردّ المظالم، و أوجب عليه ذلك، فهو بمنزلة الوكيل الأمين من طرف المالك بل الوليّ من طرف</w:t>
      </w:r>
    </w:p>
    <w:p>
      <w:pPr>
        <w:pStyle w:val="BookText"/>
        <w:rPr/>
      </w:pPr>
      <w:r>
        <w:rPr>
          <w:rFonts w:ascii="Amiri" w:hAnsi="Amiri" w:eastAsia="Amiri" w:cs="Amiri"/>
          <w:color w:val="111111"/>
          <w:sz w:val="28"/>
          <w:sz w:val="28"/>
          <w:szCs w:val="28"/>
          <w:rtl w:val="true"/>
          <w:lang w:bidi="ar-SA"/>
        </w:rPr>
        <w:t>الغاصب و المالك، فقدرته بمنزلة قدرة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الظالم الذي ليس التوسل به إلّا من حيث الاضطرار فهو من قبيل التسبيب إلى التمكّن بخلاف الأوّل</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يظهر الكلام في المال الغائب عن المالك و أنّه لا زكاة فيه إجماعا نصّا و فتوى، إلّا أن يقدر على أخذه فيجب، و إن لم يكن بالفعل في يده أو يد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إطلاق المتن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فعليّة اليد، لكن لا يبعد إرادة ما ذكرنا من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عبارات الأصحاب ناطقة بوجوب الزكاة في المال الغائب إذا كان صاحبه متمكّنا </w:t>
      </w:r>
      <w:r>
        <w:rPr>
          <w:rStyle w:val="FootnoteAnchor"/>
          <w:rtl w:val="true"/>
        </w:rPr>
        <w:footnoteReference w:id="284"/>
      </w:r>
      <w:r>
        <w:rPr>
          <w:rFonts w:ascii="Amiri" w:hAnsi="Amiri" w:eastAsia="Amiri" w:cs="Amiri"/>
          <w:color w:val="111111"/>
          <w:sz w:val="28"/>
          <w:sz w:val="28"/>
          <w:szCs w:val="28"/>
          <w:rtl w:val="true"/>
          <w:lang w:bidi="ar-SA"/>
        </w:rPr>
        <w:t xml:space="preserve">و هو المعتمد، لما تقدّم من الموثّقة </w:t>
      </w:r>
      <w:r>
        <w:rPr>
          <w:rStyle w:val="FootnoteAnchor"/>
          <w:rtl w:val="true"/>
        </w:rPr>
        <w:footnoteReference w:id="285"/>
      </w:r>
      <w:r>
        <w:rPr>
          <w:rFonts w:ascii="Amiri" w:hAnsi="Amiri" w:eastAsia="Amiri" w:cs="Amiri"/>
          <w:color w:val="111111"/>
          <w:sz w:val="28"/>
          <w:sz w:val="28"/>
          <w:szCs w:val="28"/>
          <w:rtl w:val="true"/>
          <w:lang w:bidi="ar-SA"/>
        </w:rPr>
        <w:t xml:space="preserve">المخصصة لعموم أدلّة النفي عن مال الغائب حتّى يقع في يده، بحمل الوقوع في اليد على كونه تحت القدرة، و إن كان هذا الحمل بعيدا في صحيحة ابن سنان المتقدّمة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مضيّ زمان يمكن فيه قبضه أو قبض وكيله و لا بأس به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ألحق جماعة من المتأخّرين منهم المصنّف قدّس سره بالمالك وكيله فأوجبوا الزكاة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المالك إذا كان في يد وكيله، و ظاهرهم ذلك و إن لم يقدر المالك على التصرف فيه و أخذه، و المحكي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المالك فقط </w:t>
      </w:r>
      <w:r>
        <w:rPr>
          <w:rStyle w:val="FootnoteAnchor"/>
          <w:rtl w:val="true"/>
        </w:rPr>
        <w:footnoteReference w:id="288"/>
      </w:r>
      <w:r>
        <w:rPr>
          <w:rFonts w:ascii="Amiri" w:hAnsi="Amiri" w:eastAsia="Amiri" w:cs="Amiri"/>
          <w:color w:val="111111"/>
          <w:sz w:val="28"/>
          <w:sz w:val="28"/>
          <w:szCs w:val="28"/>
          <w:rtl w:val="true"/>
          <w:lang w:bidi="ar-SA"/>
        </w:rPr>
        <w:t>، و لعلّه الأوفق بإطلاق الأخبار، و أدلّة اشتراط التمكّن من</w:t>
      </w:r>
    </w:p>
    <w:p>
      <w:pPr>
        <w:pStyle w:val="BookText"/>
        <w:rPr/>
      </w:pPr>
      <w:r>
        <w:rPr>
          <w:rFonts w:ascii="Amiri" w:hAnsi="Amiri" w:eastAsia="Amiri" w:cs="Amiri"/>
          <w:color w:val="111111"/>
          <w:sz w:val="28"/>
          <w:sz w:val="28"/>
          <w:szCs w:val="28"/>
          <w:rtl w:val="true"/>
          <w:lang w:bidi="ar-SA"/>
        </w:rPr>
        <w:t xml:space="preserve">التصرّف، إلّا أن يدّعى صدق المتمكّن </w:t>
      </w:r>
      <w:r>
        <w:rPr>
          <w:rStyle w:val="FootnoteAnchor"/>
          <w:rtl w:val="true"/>
        </w:rPr>
        <w:footnoteReference w:id="289"/>
      </w:r>
      <w:r>
        <w:rPr>
          <w:rFonts w:ascii="Amiri" w:hAnsi="Amiri" w:eastAsia="Amiri" w:cs="Amiri"/>
          <w:color w:val="111111"/>
          <w:sz w:val="28"/>
          <w:sz w:val="28"/>
          <w:szCs w:val="28"/>
          <w:rtl w:val="true"/>
          <w:lang w:bidi="ar-SA"/>
        </w:rPr>
        <w:t>على المالك عرفا بتمكّن وكيله، و في اطّراد هذه الدعوى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عدم الفرق في التمكّن بين أن يتمكّن بنفسه أو بوكيله فلا إشكال في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غاب الرجل عن ماله فإن كان في يد وكيله فكما سبق، و إن كان موضوعا في بيته فالظاهر أيضا وجوب الزكاة لصدق كونه متمكنا منه عرفا، بل كونه عند ربّه و في يده و إن كان عاجزا عن بعض التصرّفات فيه أو كلّها لبعض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انقطع عن ماله بالكلية بحيث لا يصدق عليه ما ذكر اتّجه سقوط الزكاة؛ قال في المنتهى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أسر في بلاد الشرك و له مال في بلاد الإسلام لم يجب عليه زكاة، محتجّا بأنّه غائب عن ماله، و الغيبة تتحقّق من الطرفين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عن القاضي في جواهر الفقه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حبس عن ماله من غير إثبات اليد عليه وجبت زكاته لنفوذ تصرّفه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سائمة لا راعي لها و لا حافظ احتمل السقوط؛ لاشتراطهم في الغائب كونه في يد الوكيل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الأدلّة هو اعتبار عدم قصور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حدوث تمام التمكّن فيه كالإرث الذي لم يصل إلى الوارث، و إمّا لحدوث مانع فيه، إمّا لتعلّق حقّ شرعي به، أو يد عرفي، أو غيبة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w:t>
      </w:r>
    </w:p>
    <w:p>
      <w:pPr>
        <w:pStyle w:val="BookText"/>
        <w:rPr/>
      </w:pPr>
      <w:r>
        <w:rPr>
          <w:rFonts w:ascii="Amiri" w:hAnsi="Amiri" w:eastAsia="Amiri" w:cs="Amiri"/>
          <w:color w:val="111111"/>
          <w:sz w:val="28"/>
          <w:sz w:val="28"/>
          <w:szCs w:val="28"/>
          <w:rtl w:val="true"/>
          <w:lang w:bidi="ar-SA"/>
        </w:rPr>
        <w:t>قصور المالك عن التصرف فيه لمرض، أو حبس،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يخرج عن التمكن لعروض شي‌ء من قبله كإغماء أو جنون أو نذر أو عهد أو نحوها من الموانع الشرعية الاختيارية المانعة عن التصرّف في وجه قويّ، أمّا ما تعلّق بالمخلوق كأن يشترط عليه في عقد لازم أن لا يتصرّف فيه حيث يصحّ، فالظاهر الحكم بانقطاع الحول و استئنافه بعد ارتفاع الموانع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نظر فيما ذكروه بعض المعاصرين </w:t>
      </w:r>
      <w:r>
        <w:rPr>
          <w:rStyle w:val="FootnoteAnchor"/>
          <w:rtl w:val="true"/>
        </w:rPr>
        <w:footnoteReference w:id="295"/>
      </w:r>
      <w:r>
        <w:rPr>
          <w:rFonts w:ascii="Amiri" w:hAnsi="Amiri" w:eastAsia="Amiri" w:cs="Amiri"/>
          <w:color w:val="111111"/>
          <w:sz w:val="28"/>
          <w:sz w:val="28"/>
          <w:szCs w:val="28"/>
          <w:rtl w:val="true"/>
          <w:lang w:bidi="ar-SA"/>
        </w:rPr>
        <w:t>، و الإنصاف أنّ المسألة لا تخلو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بنفي الزكاة في جميع ما ورد النصّ بنفي الزكاة عنه، كالإرث الغير الواصل إلى صاحبه و المال المفقود و نحوهما، و يرجع في غير الموارد </w:t>
      </w:r>
      <w:r>
        <w:rPr>
          <w:rStyle w:val="FootnoteAnchor"/>
          <w:rtl w:val="true"/>
        </w:rPr>
        <w:footnoteReference w:id="296"/>
      </w:r>
      <w:r>
        <w:rPr>
          <w:rFonts w:ascii="Amiri" w:hAnsi="Amiri" w:eastAsia="Amiri" w:cs="Amiri"/>
          <w:color w:val="111111"/>
          <w:sz w:val="28"/>
          <w:sz w:val="28"/>
          <w:szCs w:val="28"/>
          <w:rtl w:val="true"/>
          <w:lang w:bidi="ar-SA"/>
        </w:rPr>
        <w:t>إلى صدق التمكّن من التصرف المصرح باعتباره في الفتاوى، فإن صدق فلا إشكال في وجوب الزكاة؛ للإجماع على عدم اشتراط أزيد منه في تمامية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يتحقّق صدق التمكّن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لاشتباه مراد المجمعين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تحقّقت القدرة على الأخذ، المصرح باعتبارها في الموثّقة المتقدّمة </w:t>
      </w:r>
      <w:r>
        <w:rPr>
          <w:rStyle w:val="FootnoteAnchor"/>
          <w:rtl w:val="true"/>
        </w:rPr>
        <w:footnoteReference w:id="297"/>
      </w:r>
      <w:r>
        <w:rPr>
          <w:rFonts w:ascii="Amiri" w:hAnsi="Amiri" w:eastAsia="Amiri" w:cs="Amiri"/>
          <w:color w:val="111111"/>
          <w:sz w:val="28"/>
          <w:sz w:val="28"/>
          <w:szCs w:val="28"/>
          <w:rtl w:val="true"/>
          <w:lang w:bidi="ar-SA"/>
        </w:rPr>
        <w:t>فيحكم بوجوب الزكاة أيضا، كما يحكم بنفيه لو علم تحقّق عدمها، و إن اشتبه التحقّق فالواجب الرجوع إلى عمومات الوجوب، لعدم العلم بتخصيصها بأزيد من القدر المتيقن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الأصل، لسراية إجمال عنوان المخصّص إلى</w:t>
      </w:r>
    </w:p>
    <w:p>
      <w:pPr>
        <w:pStyle w:val="BookText"/>
        <w:rPr/>
      </w:pPr>
      <w:r>
        <w:rPr>
          <w:rFonts w:ascii="Amiri" w:hAnsi="Amiri" w:eastAsia="Amiri" w:cs="Amiri"/>
          <w:color w:val="111111"/>
          <w:sz w:val="28"/>
          <w:sz w:val="28"/>
          <w:szCs w:val="28"/>
          <w:rtl w:val="true"/>
          <w:lang w:bidi="ar-SA"/>
        </w:rPr>
        <w:t>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التمكّن من التصرّف معتبر في جميع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فيه الحول من الأجناس الزكوية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الغلّات فظاهر اتّحاد سياقه مع سائر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في زمان تعلّق الوجوب </w:t>
      </w:r>
      <w:r>
        <w:rPr>
          <w:rStyle w:val="FootnoteAnchor"/>
          <w:rtl w:val="true"/>
        </w:rPr>
        <w:footnoteReference w:id="298"/>
      </w:r>
      <w:r>
        <w:rPr>
          <w:rFonts w:ascii="Amiri" w:hAnsi="Amiri" w:eastAsia="Amiri" w:cs="Amiri"/>
          <w:color w:val="111111"/>
          <w:sz w:val="28"/>
          <w:sz w:val="28"/>
          <w:szCs w:val="28"/>
          <w:rtl w:val="true"/>
          <w:lang w:bidi="ar-SA"/>
        </w:rPr>
        <w:t xml:space="preserve">، و ربما مال جماعة من المتأخرين إلى كفاية تحقّقه بعد ذلك </w:t>
      </w:r>
      <w:r>
        <w:rPr>
          <w:rStyle w:val="FootnoteAnchor"/>
          <w:rtl w:val="true"/>
        </w:rPr>
        <w:footnoteReference w:id="299"/>
      </w:r>
      <w:r>
        <w:rPr>
          <w:rFonts w:ascii="Amiri" w:hAnsi="Amiri" w:eastAsia="Amiri" w:cs="Amiri"/>
          <w:color w:val="111111"/>
          <w:sz w:val="28"/>
          <w:sz w:val="28"/>
          <w:szCs w:val="28"/>
          <w:rtl w:val="true"/>
          <w:lang w:bidi="ar-SA"/>
        </w:rPr>
        <w:t>لإطلاق الأدلّة، و اختصاص أدلّة اعتبار التمكّن بما يعتبر فيه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إلّا أنّ المسألة لا تخلو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زكاة في عين الوقف بلا خلاف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الكفاية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التصرّف فيه إلّا بالاستنماء، بل لعدم الملكيّة في الوقف العام، و تعلّق حقّ البطون اللاحقة في الخاص، لكن المحكيّ عن وقف التذكرة بعد نقل الخلاف في انتقال ملكيّة الوقف إلى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يظهر فائدة الملك في وجوب الزكاة في الغنم الموقوفة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فلو نتجت الأنعام الموقوفة و ملك الموقوف عليه منه نصابا، و حال عليه الحول وجبت الزكاة بلا إشكال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إشكال في نفي الزكاة عن الحيوان الضالّ و المال المفقود بالنص و الإجماع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حكي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مدّة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الاسم، فلو حصل لحظة أو يوما لم ينقطع </w:t>
      </w:r>
      <w:r>
        <w:rPr>
          <w:rStyle w:val="FootnoteAnchor"/>
          <w:rtl w:val="true"/>
        </w:rPr>
        <w:footnoteReference w:id="302"/>
      </w:r>
      <w:r>
        <w:rPr>
          <w:rFonts w:ascii="Amiri" w:hAnsi="Amiri" w:eastAsia="Amiri" w:cs="Amiri"/>
          <w:color w:val="111111"/>
          <w:sz w:val="28"/>
          <w:sz w:val="28"/>
          <w:szCs w:val="28"/>
          <w:rtl w:val="true"/>
          <w:lang w:bidi="ar-SA"/>
        </w:rPr>
        <w:t>، و في اليوم، بل اللحظة إذا حصل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الضلال و الخروج عن الملك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إطلاق ما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ضلّت واحدة من النصاب قبل الحول و عادت، لم تسقط الزكاة، و إن لم تعد سقطت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الإشكال </w:t>
      </w:r>
      <w:r>
        <w:rPr>
          <w:rStyle w:val="FootnoteAnchor"/>
          <w:rtl w:val="true"/>
        </w:rPr>
        <w:footnoteReference w:id="304"/>
      </w:r>
      <w:r>
        <w:rPr>
          <w:rFonts w:ascii="Amiri" w:hAnsi="Amiri" w:eastAsia="Amiri" w:cs="Amiri"/>
          <w:color w:val="111111"/>
          <w:sz w:val="28"/>
          <w:sz w:val="28"/>
          <w:szCs w:val="28"/>
          <w:rtl w:val="true"/>
          <w:lang w:bidi="ar-SA"/>
        </w:rPr>
        <w:t>في تخلّل مدّة الفقد و الضلال بين أيام الحول، فلو تقدّمت عليها لم يحسب من الحول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فإن عاد بعد سنين استحب زكاة سنة بلا خلاف كما عن جماعة </w:t>
      </w:r>
      <w:r>
        <w:rPr>
          <w:rStyle w:val="FootnoteAnchor"/>
          <w:rtl w:val="true"/>
        </w:rPr>
        <w:footnoteReference w:id="305"/>
      </w:r>
      <w:r>
        <w:rPr>
          <w:rFonts w:ascii="Amiri" w:hAnsi="Amiri" w:eastAsia="Amiri" w:cs="Amiri"/>
          <w:color w:val="111111"/>
          <w:sz w:val="28"/>
          <w:sz w:val="28"/>
          <w:szCs w:val="28"/>
          <w:rtl w:val="true"/>
          <w:lang w:bidi="ar-SA"/>
        </w:rPr>
        <w:t xml:space="preserve">للنّصوص </w:t>
      </w:r>
      <w:r>
        <w:rPr>
          <w:rStyle w:val="FootnoteAnchor"/>
          <w:rtl w:val="true"/>
        </w:rPr>
        <w:footnoteReference w:id="306"/>
      </w:r>
      <w:r>
        <w:rPr>
          <w:rFonts w:ascii="Amiri" w:hAnsi="Amiri" w:eastAsia="Amiri" w:cs="Amiri"/>
          <w:color w:val="111111"/>
          <w:sz w:val="28"/>
          <w:sz w:val="28"/>
          <w:szCs w:val="28"/>
          <w:rtl w:val="true"/>
          <w:lang w:bidi="ar-SA"/>
        </w:rPr>
        <w:t xml:space="preserve">، بل ربما حكي </w:t>
      </w:r>
      <w:r>
        <w:rPr>
          <w:rStyle w:val="FootnoteAnchor"/>
          <w:rtl w:val="true"/>
        </w:rPr>
        <w:footnoteReference w:id="307"/>
      </w:r>
      <w:r>
        <w:rPr>
          <w:rFonts w:ascii="Amiri" w:hAnsi="Amiri" w:eastAsia="Amiri" w:cs="Amiri"/>
          <w:color w:val="111111"/>
          <w:sz w:val="28"/>
          <w:sz w:val="28"/>
          <w:szCs w:val="28"/>
          <w:rtl w:val="true"/>
          <w:lang w:bidi="ar-SA"/>
        </w:rPr>
        <w:t xml:space="preserve">عن ظاهر جماعة الاستحباب مع خلال </w:t>
      </w:r>
      <w:r>
        <w:rPr>
          <w:rStyle w:val="FootnoteAnchor"/>
          <w:rtl w:val="true"/>
        </w:rPr>
        <w:footnoteReference w:id="308"/>
      </w:r>
      <w:r>
        <w:rPr>
          <w:rFonts w:ascii="Amiri" w:hAnsi="Amiri" w:eastAsia="Amiri" w:cs="Amiri"/>
          <w:color w:val="111111"/>
          <w:sz w:val="28"/>
          <w:sz w:val="28"/>
          <w:szCs w:val="28"/>
          <w:rtl w:val="true"/>
          <w:lang w:bidi="ar-SA"/>
        </w:rPr>
        <w:t>سنة واحدة، 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عاد المغصوب و الضال إلى ربّه استحب أن يزكّيه لسنة واحدة، ذهب إليه علماؤنا </w:t>
      </w:r>
      <w:r>
        <w:rPr>
          <w:rStyle w:val="FootnoteAnchor"/>
          <w:rtl w:val="true"/>
        </w:rPr>
        <w:footnoteReference w:id="309"/>
      </w:r>
      <w:r>
        <w:rPr>
          <w:rFonts w:ascii="Amiri" w:hAnsi="Amiri" w:eastAsia="Amiri" w:cs="Amiri"/>
          <w:color w:val="111111"/>
          <w:sz w:val="28"/>
          <w:sz w:val="28"/>
          <w:szCs w:val="28"/>
          <w:rtl w:val="true"/>
          <w:lang w:bidi="ar-SA"/>
        </w:rPr>
        <w:t xml:space="preserve">و عن ظاهر النهاية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بالإخراج الظاهر في الوجوب، و عن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 عن نادر من المتأخّرين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تجب الزكاة في الدين حتى يقبضه و يصير عينا و إن كان تأخّره </w:t>
      </w:r>
      <w:r>
        <w:rPr>
          <w:rStyle w:val="FootnoteAnchor"/>
          <w:rtl w:val="true"/>
        </w:rPr>
        <w:footnoteReference w:id="312"/>
      </w:r>
      <w:r>
        <w:rPr>
          <w:rFonts w:ascii="Amiri" w:hAnsi="Amiri" w:eastAsia="Amiri" w:cs="Amiri"/>
          <w:color w:val="111111"/>
          <w:sz w:val="28"/>
          <w:sz w:val="28"/>
          <w:szCs w:val="28"/>
          <w:rtl w:val="true"/>
          <w:lang w:bidi="ar-SA"/>
        </w:rPr>
        <w:t xml:space="preserve">من جهة مالكه على المشهور بين المتأخّرين، بل قيل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إجماعهم لعموم</w:t>
      </w:r>
    </w:p>
    <w:p>
      <w:pPr>
        <w:pStyle w:val="BookText"/>
        <w:rPr/>
      </w:pPr>
      <w:r>
        <w:rPr>
          <w:rFonts w:ascii="Amiri" w:hAnsi="Amiri" w:eastAsia="Amiri" w:cs="Amiri"/>
          <w:color w:val="111111"/>
          <w:sz w:val="28"/>
          <w:sz w:val="28"/>
          <w:szCs w:val="28"/>
          <w:rtl w:val="true"/>
          <w:lang w:bidi="ar-SA"/>
        </w:rPr>
        <w:t>نافياتها عن الدّين، و اختصاص موجباتها بالعين، و خصوص رواية الحميري، عن علي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أخاه عليه السلام عن الدين يكون على القوم المياسير إذا شاء قبضه صاحبه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يقبضه صاحبه و يحول عليه الحول</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جماعة من القدماء </w:t>
      </w:r>
      <w:r>
        <w:rPr>
          <w:rStyle w:val="FootnoteAnchor"/>
          <w:rtl w:val="true"/>
        </w:rPr>
        <w:footnoteReference w:id="315"/>
      </w:r>
      <w:r>
        <w:rPr>
          <w:rFonts w:ascii="Amiri" w:hAnsi="Amiri" w:eastAsia="Amiri" w:cs="Amiri"/>
          <w:color w:val="111111"/>
          <w:sz w:val="28"/>
          <w:sz w:val="28"/>
          <w:szCs w:val="28"/>
          <w:rtl w:val="true"/>
          <w:lang w:bidi="ar-SA"/>
        </w:rPr>
        <w:t xml:space="preserve">، فأوجبوها في الدين مع كون التأخير من جهة المدين، لظواهر أخبار كثيرة </w:t>
      </w:r>
      <w:r>
        <w:rPr>
          <w:rStyle w:val="FootnoteAnchor"/>
          <w:rtl w:val="true"/>
        </w:rPr>
        <w:footnoteReference w:id="316"/>
      </w:r>
      <w:r>
        <w:rPr>
          <w:rFonts w:ascii="Amiri" w:hAnsi="Amiri" w:eastAsia="Amiri" w:cs="Amiri"/>
          <w:color w:val="111111"/>
          <w:sz w:val="28"/>
          <w:sz w:val="28"/>
          <w:szCs w:val="28"/>
          <w:rtl w:val="true"/>
          <w:lang w:bidi="ar-SA"/>
        </w:rPr>
        <w:t>محمولة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القرض إن تركه المقترض </w:t>
      </w:r>
      <w:r>
        <w:rPr>
          <w:rStyle w:val="FootnoteAnchor"/>
          <w:rtl w:val="true"/>
        </w:rPr>
        <w:footnoteReference w:id="317"/>
      </w:r>
      <w:r>
        <w:rPr>
          <w:rFonts w:ascii="Amiri" w:hAnsi="Amiri" w:eastAsia="Amiri" w:cs="Amiri"/>
          <w:color w:val="111111"/>
          <w:sz w:val="28"/>
          <w:sz w:val="28"/>
          <w:szCs w:val="28"/>
          <w:rtl w:val="true"/>
          <w:lang w:bidi="ar-SA"/>
        </w:rPr>
        <w:t xml:space="preserve">بحاله حولا فالزكاة عليه بلا خلاف ظاهر؛ كما عن محكيّ الخلاف و السرائر </w:t>
      </w:r>
      <w:r>
        <w:rPr>
          <w:rStyle w:val="FootnoteAnchor"/>
          <w:rtl w:val="true"/>
        </w:rPr>
        <w:footnoteReference w:id="318"/>
      </w:r>
      <w:r>
        <w:rPr>
          <w:rFonts w:ascii="Amiri" w:hAnsi="Amiri" w:eastAsia="Amiri" w:cs="Amiri"/>
          <w:color w:val="111111"/>
          <w:sz w:val="28"/>
          <w:sz w:val="28"/>
          <w:szCs w:val="28"/>
          <w:rtl w:val="true"/>
          <w:lang w:bidi="ar-SA"/>
        </w:rPr>
        <w:t>، و عن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الأصحاب </w:t>
      </w:r>
      <w:r>
        <w:rPr>
          <w:rStyle w:val="FootnoteAnchor"/>
          <w:rtl w:val="true"/>
        </w:rPr>
        <w:footnoteReference w:id="319"/>
      </w:r>
      <w:r>
        <w:rPr>
          <w:rFonts w:ascii="Amiri" w:hAnsi="Amiri" w:eastAsia="Amiri" w:cs="Amiri"/>
          <w:color w:val="111111"/>
          <w:sz w:val="28"/>
          <w:sz w:val="28"/>
          <w:szCs w:val="28"/>
          <w:rtl w:val="true"/>
          <w:lang w:bidi="ar-SA"/>
        </w:rPr>
        <w:t>و وجهه واضح بناء على عدم توقّف تملّك القرض على التصرف،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يتركه بحاله سقطت عنه، لعدم حلول الحول عليه، و عن المقرض</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اشترط المقترض الزكاة على المقرض فالظاهر صحّة الشرط وفاقا للمصنف قدّس سره في باب القرض من المختلف </w:t>
      </w:r>
      <w:r>
        <w:rPr>
          <w:rStyle w:val="FootnoteAnchor"/>
          <w:rtl w:val="true"/>
        </w:rPr>
        <w:footnoteReference w:id="320"/>
      </w:r>
      <w:r>
        <w:rPr>
          <w:rFonts w:ascii="Amiri" w:hAnsi="Amiri" w:eastAsia="Amiri" w:cs="Amiri"/>
          <w:color w:val="111111"/>
          <w:sz w:val="28"/>
          <w:sz w:val="28"/>
          <w:szCs w:val="28"/>
          <w:rtl w:val="true"/>
          <w:lang w:bidi="ar-SA"/>
        </w:rPr>
        <w:t xml:space="preserve">، بعد أن حكاه عن الشيخ و القاضي و معه </w:t>
      </w:r>
      <w:r>
        <w:rPr>
          <w:rStyle w:val="FootnoteAnchor"/>
          <w:rtl w:val="true"/>
        </w:rPr>
        <w:footnoteReference w:id="321"/>
      </w:r>
      <w:r>
        <w:rPr>
          <w:rFonts w:ascii="Amiri" w:hAnsi="Amiri" w:eastAsia="Amiri" w:cs="Amiri"/>
          <w:color w:val="111111"/>
          <w:sz w:val="28"/>
          <w:sz w:val="28"/>
          <w:szCs w:val="28"/>
          <w:rtl w:val="true"/>
          <w:lang w:bidi="ar-SA"/>
        </w:rPr>
        <w:t xml:space="preserve">جماعة من المتأخّرين منهم الشهيد في المسالك </w:t>
      </w:r>
      <w:r>
        <w:rPr>
          <w:rStyle w:val="FootnoteAnchor"/>
          <w:rtl w:val="true"/>
        </w:rPr>
        <w:footnoteReference w:id="322"/>
      </w:r>
      <w:r>
        <w:rPr>
          <w:rFonts w:ascii="Amiri" w:hAnsi="Amiri" w:eastAsia="Amiri" w:cs="Amiri"/>
          <w:color w:val="111111"/>
          <w:sz w:val="28"/>
          <w:sz w:val="28"/>
          <w:szCs w:val="28"/>
          <w:rtl w:val="true"/>
          <w:lang w:bidi="ar-SA"/>
        </w:rPr>
        <w:t>لأنّ التبرع بأداء الزكاة عن الغير سائغ فاشتراطه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فالظاهر عدم الخلاف فيها </w:t>
      </w:r>
      <w:r>
        <w:rPr>
          <w:rStyle w:val="FootnoteAnchor"/>
          <w:rtl w:val="true"/>
        </w:rPr>
        <w:footnoteReference w:id="323"/>
      </w:r>
      <w:r>
        <w:rPr>
          <w:rFonts w:ascii="Amiri" w:hAnsi="Amiri" w:eastAsia="Amiri" w:cs="Amiri"/>
          <w:color w:val="111111"/>
          <w:sz w:val="28"/>
          <w:sz w:val="28"/>
          <w:szCs w:val="28"/>
          <w:rtl w:val="true"/>
          <w:lang w:bidi="ar-SA"/>
        </w:rPr>
        <w:t xml:space="preserve">، كما استظهره سيد مشايخنا في المناهل </w:t>
      </w:r>
      <w:r>
        <w:rPr>
          <w:rStyle w:val="FootnoteAnchor"/>
          <w:rtl w:val="true"/>
        </w:rPr>
        <w:footnoteReference w:id="324"/>
      </w:r>
      <w:r>
        <w:rPr>
          <w:rFonts w:ascii="Amiri" w:hAnsi="Amiri" w:eastAsia="Amiri" w:cs="Amiri"/>
          <w:color w:val="111111"/>
          <w:sz w:val="28"/>
          <w:sz w:val="28"/>
          <w:szCs w:val="28"/>
          <w:rtl w:val="true"/>
          <w:lang w:bidi="ar-SA"/>
        </w:rPr>
        <w:t xml:space="preserve">حاكيا له عن الرياض </w:t>
      </w:r>
      <w:r>
        <w:rPr>
          <w:rStyle w:val="FootnoteAnchor"/>
          <w:rtl w:val="true"/>
        </w:rPr>
        <w:footnoteReference w:id="325"/>
      </w:r>
      <w:r>
        <w:rPr>
          <w:rFonts w:ascii="Amiri" w:hAnsi="Amiri" w:eastAsia="Amiri" w:cs="Amiri"/>
          <w:color w:val="111111"/>
          <w:sz w:val="28"/>
          <w:sz w:val="28"/>
          <w:szCs w:val="28"/>
          <w:rtl w:val="true"/>
          <w:lang w:bidi="ar-SA"/>
        </w:rPr>
        <w:t>، و لأنّ المانع إن كان هو كون تكليف الزكاة مما يجب فيه المباشرة فبطلانه واضح، لجواز التوكيل في الإخراج اتّفاقا، و إن كان المانع كونه مالا متعلّقا بذمّة المالك أو بعين ماله،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تبرّع الإنسان بأداء ما في ذمّة غيره و ضمانه، لا يجوز له ضمانه بالبدل من الأعيان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عموم المنزلة فيما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الزكاة دين</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و خصوص صحيحة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استقرض مالا و حال عليه الحول و هو عنده؟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أقرضه يؤدّي فلا زكاة عليه، و إن كان لا يؤدّي أدّى المستقرض</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الكبرى فلعموم أدلّة الشروط، و ليس هذا مخالفا للكتاب و السنّة من وجه، عدا ما عن جماعة من أنّه اشتراط للعبادة على غير من وجبت عليه </w:t>
      </w:r>
      <w:r>
        <w:rPr>
          <w:rStyle w:val="FootnoteAnchor"/>
          <w:rtl w:val="true"/>
        </w:rPr>
        <w:footnoteReference w:id="329"/>
      </w:r>
      <w:r>
        <w:rPr>
          <w:rFonts w:ascii="Amiri" w:hAnsi="Amiri" w:eastAsia="Amiri" w:cs="Amiri"/>
          <w:color w:val="111111"/>
          <w:sz w:val="28"/>
          <w:sz w:val="28"/>
          <w:szCs w:val="28"/>
          <w:rtl w:val="true"/>
          <w:lang w:bidi="ar-SA"/>
        </w:rPr>
        <w:t>و 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إطلاق النص و الفتوى أنّ زكاة القرض على المقترض، يدلّ على اختصاص وجوبها عليه و عدم وجوبها على أحد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اشتراط أداء العبادة عمّن وجبت عليه لا بأس به، و ليس هو إلّا كالاستئجار على فعلها عنه، أو كاشتراط الوليّ </w:t>
      </w:r>
      <w:r>
        <w:rPr>
          <w:rStyle w:val="FootnoteAnchor"/>
          <w:rtl w:val="true"/>
        </w:rPr>
        <w:footnoteReference w:id="331"/>
      </w:r>
      <w:r>
        <w:rPr>
          <w:rFonts w:ascii="Amiri" w:hAnsi="Amiri" w:eastAsia="Amiri" w:cs="Amiri"/>
          <w:color w:val="111111"/>
          <w:sz w:val="28"/>
          <w:sz w:val="28"/>
          <w:szCs w:val="28"/>
          <w:rtl w:val="true"/>
          <w:lang w:bidi="ar-SA"/>
        </w:rPr>
        <w:t>في ضمن عقد لازم قضاء عبادة 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النصوص و الفتاوى في مقام بيان الوجوب الأصليّ الذاتي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الوليّ قضاء ما فات عن </w:t>
      </w:r>
      <w:r>
        <w:rPr>
          <w:rStyle w:val="FootnoteAnchor"/>
          <w:rtl w:val="true"/>
        </w:rPr>
        <w:footnoteReference w:id="332"/>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ينافي وجوبها على الغير تحمّلا بإجارة أو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لا نقول ببراءة ذمّة المالك بمجرد الاشتراط، بل ذمّة المقترض مشغولة ما دام لم يؤدّ المقرض، و لا منافاة بين وجوبها على المقرض بمقتضى الشرط، و عدم سقوطها عن المقترض، كما لو نذر أن يؤدّي دين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فالزكاة على المقترض ثابت مطلقا حتى </w:t>
      </w:r>
      <w:r>
        <w:rPr>
          <w:rStyle w:val="FootnoteAnchor"/>
          <w:rtl w:val="true"/>
        </w:rPr>
        <w:footnoteReference w:id="333"/>
      </w:r>
      <w:r>
        <w:rPr>
          <w:rFonts w:ascii="Amiri" w:hAnsi="Amiri" w:eastAsia="Amiri" w:cs="Amiri"/>
          <w:color w:val="111111"/>
          <w:sz w:val="28"/>
          <w:sz w:val="28"/>
          <w:szCs w:val="28"/>
          <w:rtl w:val="true"/>
          <w:lang w:bidi="ar-SA"/>
        </w:rPr>
        <w:t>بعد الاشتراط، و لا يسقط إلّا بفعل الغير كما هو ظاهر صحيحة ابن حازم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Style w:val="FootnoteAnchor"/>
          <w:rtl w:val="true"/>
        </w:rPr>
        <w:footnoteReference w:id="334"/>
      </w:r>
      <w:r>
        <w:rPr>
          <w:rFonts w:ascii="Amiri" w:hAnsi="Amiri" w:eastAsia="Amiri" w:cs="Amiri"/>
          <w:color w:val="111111"/>
          <w:sz w:val="28"/>
          <w:sz w:val="28"/>
          <w:szCs w:val="28"/>
          <w:rtl w:val="true"/>
          <w:lang w:bidi="ar-SA"/>
        </w:rPr>
        <w:t>لا وجه لمخالفة اشتراط أداء الشخص لزكاة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للكتاب، بعد تسليم كون الأداء عن الغير غير مخالف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الأداء بعد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منافاته للوجوب على المالك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المخالفة، إمّا لأنّ مقتضى الكتاب و السنّة تعلّق الوجوب الأصلي الابتدائي بالمالك، و المفروض أنّه لم ينقل منه </w:t>
      </w:r>
      <w:r>
        <w:rPr>
          <w:rStyle w:val="FootnoteAnchor"/>
          <w:rtl w:val="true"/>
        </w:rPr>
        <w:footnoteReference w:id="336"/>
      </w:r>
      <w:r>
        <w:rPr>
          <w:rFonts w:ascii="Amiri" w:hAnsi="Amiri" w:eastAsia="Amiri" w:cs="Amiri"/>
          <w:color w:val="111111"/>
          <w:sz w:val="28"/>
          <w:sz w:val="28"/>
          <w:szCs w:val="28"/>
          <w:rtl w:val="true"/>
          <w:lang w:bidi="ar-SA"/>
        </w:rPr>
        <w:t>إلى غيره، و إمّا لأنّ العبرة في المخالفة و الموافقة للكتاب و السنّة بما قبل الاشتراط،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 عدم تعلّق الزكاة ابتداء بالمديون، و ثبوتها ابتداء على المقرض اتّجه فساد الشرط، بل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إفساد الشرط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مخالفة هذا الشرط للكتاب و السنّة كما لا يخفى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حمل كلام من أطلق صحّة الاشتراط على هذا التفصيل و إن</w:t>
      </w:r>
    </w:p>
    <w:p>
      <w:pPr>
        <w:pStyle w:val="BookText"/>
        <w:rPr/>
      </w:pPr>
      <w:r>
        <w:rPr>
          <w:rFonts w:ascii="Amiri" w:hAnsi="Amiri" w:eastAsia="Amiri" w:cs="Amiri"/>
          <w:color w:val="111111"/>
          <w:sz w:val="28"/>
          <w:sz w:val="28"/>
          <w:szCs w:val="28"/>
          <w:rtl w:val="true"/>
          <w:lang w:bidi="ar-SA"/>
        </w:rPr>
        <w:t xml:space="preserve">جعل بعضهم التفصيل ثالث الأقوال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انّ المصنّف قدّس سره لم يذكر عدم وجوب الزكاة في المرهون، و لا منذور الصدقة، و لعلّه اكتفى بذكر قاعدة اعتبار تمامية الملك، المفقودة فيهما في الجملة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المرهون فعند عدم التمكن من فكّه مطلق </w:t>
      </w:r>
      <w:r>
        <w:rPr>
          <w:rStyle w:val="FootnoteAnchor"/>
          <w:rtl w:val="true"/>
        </w:rPr>
        <w:footnoteReference w:id="338"/>
      </w:r>
      <w:r>
        <w:rPr>
          <w:rFonts w:ascii="Amiri" w:hAnsi="Amiri" w:eastAsia="Amiri" w:cs="Amiri"/>
          <w:color w:val="111111"/>
          <w:sz w:val="28"/>
          <w:sz w:val="28"/>
          <w:szCs w:val="28"/>
          <w:rtl w:val="true"/>
          <w:lang w:bidi="ar-SA"/>
        </w:rPr>
        <w:t xml:space="preserve">، بل مطلقا، كما حكي عن صريح جامع المقاصد </w:t>
      </w:r>
      <w:r>
        <w:rPr>
          <w:rStyle w:val="FootnoteAnchor"/>
          <w:rtl w:val="true"/>
        </w:rPr>
        <w:footnoteReference w:id="339"/>
      </w:r>
      <w:r>
        <w:rPr>
          <w:rFonts w:ascii="Amiri" w:hAnsi="Amiri" w:eastAsia="Amiri" w:cs="Amiri"/>
          <w:color w:val="111111"/>
          <w:sz w:val="28"/>
          <w:sz w:val="28"/>
          <w:szCs w:val="28"/>
          <w:rtl w:val="true"/>
          <w:lang w:bidi="ar-SA"/>
        </w:rPr>
        <w:t xml:space="preserve">، و ظاهر إطلاق آخرين </w:t>
      </w:r>
      <w:r>
        <w:rPr>
          <w:rStyle w:val="FootnoteAnchor"/>
          <w:rtl w:val="true"/>
        </w:rPr>
        <w:footnoteReference w:id="340"/>
      </w:r>
      <w:r>
        <w:rPr>
          <w:rFonts w:ascii="Amiri" w:hAnsi="Amiri" w:eastAsia="Amiri" w:cs="Amiri"/>
          <w:color w:val="111111"/>
          <w:sz w:val="28"/>
          <w:sz w:val="28"/>
          <w:szCs w:val="28"/>
          <w:rtl w:val="true"/>
          <w:lang w:bidi="ar-SA"/>
        </w:rPr>
        <w:t xml:space="preserve">، لأنّ المالك غير متمكّن من التصرّف فيه، و التمكّن من الفك تمكّن من التمكن، كما سبق نظيره في التمكّن من استنقاذ المغصوب </w:t>
      </w:r>
      <w:r>
        <w:rPr>
          <w:rStyle w:val="FootnoteAnchor"/>
          <w:rtl w:val="true"/>
        </w:rPr>
        <w:footnoteReference w:id="341"/>
      </w:r>
      <w:r>
        <w:rPr>
          <w:rFonts w:ascii="Amiri" w:hAnsi="Amiri" w:eastAsia="Amiri" w:cs="Amiri"/>
          <w:color w:val="111111"/>
          <w:sz w:val="28"/>
          <w:sz w:val="28"/>
          <w:szCs w:val="28"/>
          <w:rtl w:val="true"/>
          <w:lang w:bidi="ar-SA"/>
        </w:rPr>
        <w:t>، و هو ضعيف بما تقدّم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الشرط إمّا القدرة على الأخذ الواردة في النص </w:t>
      </w:r>
      <w:r>
        <w:rPr>
          <w:rStyle w:val="FootnoteAnchor"/>
          <w:rtl w:val="true"/>
        </w:rPr>
        <w:footnoteReference w:id="342"/>
      </w:r>
      <w:r>
        <w:rPr>
          <w:rFonts w:ascii="Amiri" w:hAnsi="Amiri" w:eastAsia="Amiri" w:cs="Amiri"/>
          <w:color w:val="111111"/>
          <w:sz w:val="28"/>
          <w:sz w:val="28"/>
          <w:szCs w:val="28"/>
          <w:rtl w:val="true"/>
          <w:lang w:bidi="ar-SA"/>
        </w:rPr>
        <w:t xml:space="preserve">، و إمّا صدق التمكّن من التصرف الوارد في الفتاوى و معاقد الإجماعات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عموم الأوّل لما هو بواسطة الأسباب، و كذا الثاني، سيّما بملاحظة ذهاب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الفتاوى و نقلة الإجماع على اعتبار 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الزكاة مع التمكّن من الفك، فإنّ الشيخ و المحقّق في المعتبر </w:t>
      </w:r>
      <w:r>
        <w:rPr>
          <w:rStyle w:val="FootnoteAnchor"/>
          <w:rtl w:val="true"/>
        </w:rPr>
        <w:footnoteReference w:id="344"/>
      </w:r>
      <w:r>
        <w:rPr>
          <w:rFonts w:ascii="Amiri" w:hAnsi="Amiri" w:eastAsia="Amiri" w:cs="Amiri"/>
          <w:color w:val="111111"/>
          <w:sz w:val="28"/>
          <w:sz w:val="28"/>
          <w:szCs w:val="28"/>
          <w:rtl w:val="true"/>
          <w:lang w:bidi="ar-SA"/>
        </w:rPr>
        <w:t>و المصنّف قدّس اللّٰه أسرارهم مع دعواهم الاتفاق على اعتبار التمكّن، قد اختاروا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w:t>
      </w:r>
      <w:r>
        <w:rPr>
          <w:rStyle w:val="FootnoteAnchor"/>
          <w:rtl w:val="true"/>
        </w:rPr>
        <w:footnoteReference w:id="345"/>
      </w:r>
      <w:r>
        <w:rPr>
          <w:rFonts w:ascii="Amiri" w:hAnsi="Amiri" w:eastAsia="Amiri" w:cs="Amiri"/>
          <w:color w:val="111111"/>
          <w:sz w:val="28"/>
          <w:sz w:val="28"/>
          <w:szCs w:val="28"/>
          <w:rtl w:val="true"/>
          <w:lang w:bidi="ar-SA"/>
        </w:rPr>
        <w:t xml:space="preserve">و المعتبر و التلخيص </w:t>
      </w:r>
      <w:r>
        <w:rPr>
          <w:rStyle w:val="FootnoteAnchor"/>
          <w:rtl w:val="true"/>
        </w:rPr>
        <w:footnoteReference w:id="346"/>
      </w:r>
      <w:r>
        <w:rPr>
          <w:rFonts w:ascii="Amiri" w:hAnsi="Amiri" w:eastAsia="Amiri" w:cs="Amiri"/>
          <w:color w:val="111111"/>
          <w:sz w:val="28"/>
          <w:sz w:val="28"/>
          <w:szCs w:val="28"/>
          <w:rtl w:val="true"/>
          <w:lang w:bidi="ar-SA"/>
        </w:rPr>
        <w:t xml:space="preserve">و النهاية </w:t>
      </w:r>
      <w:r>
        <w:rPr>
          <w:rStyle w:val="FootnoteAnchor"/>
          <w:rtl w:val="true"/>
        </w:rPr>
        <w:footnoteReference w:id="347"/>
      </w:r>
      <w:r>
        <w:rPr>
          <w:rFonts w:ascii="IRNazanin" w:hAnsi="IRNazanin" w:eastAsia="IRNazanin"/>
          <w:color w:val="111111"/>
          <w:sz w:val="28"/>
          <w:sz w:val="28"/>
          <w:szCs w:val="28"/>
          <w:rtl w:val="true"/>
          <w:lang w:bidi="fa-IR"/>
        </w:rPr>
        <w:t>على ما</w:t>
      </w:r>
    </w:p>
    <w:p>
      <w:pPr>
        <w:pStyle w:val="BookText"/>
        <w:rPr/>
      </w:pPr>
      <w:r>
        <w:rPr>
          <w:rFonts w:ascii="Amiri" w:hAnsi="Amiri" w:eastAsia="Amiri" w:cs="Amiri"/>
          <w:color w:val="111111"/>
          <w:sz w:val="28"/>
          <w:sz w:val="28"/>
          <w:szCs w:val="28"/>
          <w:rtl w:val="true"/>
          <w:lang w:bidi="ar-SA"/>
        </w:rPr>
        <w:t>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مع التمكّن من الفك، و ليس مستندهم إلّا تحقّق التمكّن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أبعد ما بين ما ذكر من القول بإطلاق نفي الزكاة، و بين القول بإطلاق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الأقوال الثلاثة محكيّة </w:t>
      </w:r>
      <w:r>
        <w:rPr>
          <w:rStyle w:val="FootnoteAnchor"/>
          <w:rtl w:val="true"/>
        </w:rPr>
        <w:footnoteReference w:id="348"/>
      </w:r>
      <w:r>
        <w:rPr>
          <w:rFonts w:ascii="Amiri" w:hAnsi="Amiri" w:eastAsia="Amiri" w:cs="Amiri"/>
          <w:color w:val="111111"/>
          <w:sz w:val="28"/>
          <w:sz w:val="28"/>
          <w:szCs w:val="28"/>
          <w:rtl w:val="true"/>
          <w:lang w:bidi="ar-SA"/>
        </w:rPr>
        <w:t xml:space="preserve">عن الشيخ، و لكن تفرد قدّس سرّه بالأخير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يظهر عدم وجوب الزكاة في مال المفلّس بعد الحجر، دون السفيه لقدرته على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w:t>
      </w:r>
      <w:r>
        <w:rPr>
          <w:rStyle w:val="FootnoteAnchor"/>
          <w:rtl w:val="true"/>
        </w:rPr>
        <w:footnoteReference w:id="350"/>
      </w:r>
      <w:r>
        <w:rPr>
          <w:rFonts w:ascii="Amiri" w:hAnsi="Amiri" w:eastAsia="Amiri" w:cs="Amiri"/>
          <w:color w:val="111111"/>
          <w:sz w:val="28"/>
          <w:sz w:val="28"/>
          <w:szCs w:val="28"/>
          <w:rtl w:val="true"/>
          <w:lang w:bidi="ar-SA"/>
        </w:rPr>
        <w:t xml:space="preserve">الشهيد في محكي حواشي القواعد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الحجر له 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استظهر بعض مشايخنا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الوجوب عليه، و نحوه الحجر بالارتداد عن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التمكّن من فك الرهن بين أن يكون ببيعه، أو بفكه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البيان </w:t>
      </w:r>
      <w:r>
        <w:rPr>
          <w:rStyle w:val="FootnoteAnchor"/>
          <w:rtl w:val="true"/>
        </w:rPr>
        <w:footnoteReference w:id="353"/>
      </w:r>
      <w:r>
        <w:rPr>
          <w:rFonts w:ascii="Amiri" w:hAnsi="Amiri" w:eastAsia="Amiri" w:cs="Amiri"/>
          <w:color w:val="111111"/>
          <w:sz w:val="28"/>
          <w:sz w:val="28"/>
          <w:szCs w:val="28"/>
          <w:rtl w:val="true"/>
          <w:lang w:bidi="ar-SA"/>
        </w:rPr>
        <w:t xml:space="preserve">، و الروضة </w:t>
      </w:r>
      <w:r>
        <w:rPr>
          <w:rStyle w:val="FootnoteAnchor"/>
          <w:rtl w:val="true"/>
        </w:rPr>
        <w:footnoteReference w:id="354"/>
      </w:r>
      <w:r>
        <w:rPr>
          <w:rFonts w:ascii="IRNazanin" w:hAnsi="IRNazanin" w:eastAsia="IRNazanin"/>
          <w:color w:val="111111"/>
          <w:sz w:val="28"/>
          <w:sz w:val="28"/>
          <w:szCs w:val="28"/>
          <w:rtl w:val="true"/>
          <w:lang w:bidi="fa-IR"/>
        </w:rPr>
        <w:t xml:space="preserve">، و شرحها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 التمكّن من البيع ليس تمكّنا من التصرّف في المرهون، فهو نظير التمكّن من بيع المغصوب، و لا مورثا له حتى يكون كاستنقاذ المغصوب، فلا يبعد عدم الوجوب معه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تعلّق الزكاة بالمرهون فمقتضى القاعدة تقديم حقّ الفقراء، لتعلّقه بالعين و خروجه </w:t>
      </w:r>
      <w:r>
        <w:rPr>
          <w:rStyle w:val="FootnoteAnchor"/>
          <w:rtl w:val="true"/>
        </w:rPr>
        <w:footnoteReference w:id="356"/>
      </w:r>
      <w:r>
        <w:rPr>
          <w:rFonts w:ascii="Amiri" w:hAnsi="Amiri" w:eastAsia="Amiri" w:cs="Amiri"/>
          <w:color w:val="111111"/>
          <w:sz w:val="28"/>
          <w:sz w:val="28"/>
          <w:szCs w:val="28"/>
          <w:rtl w:val="true"/>
          <w:lang w:bidi="ar-SA"/>
        </w:rPr>
        <w:t>عن ملك المالك، و تعلّق حقّ المرتهن بالذّمة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عن المبسوط </w:t>
      </w:r>
      <w:r>
        <w:rPr>
          <w:rStyle w:val="FootnoteAnchor"/>
          <w:rtl w:val="true"/>
        </w:rPr>
        <w:footnoteReference w:id="357"/>
      </w:r>
      <w:r>
        <w:rPr>
          <w:rFonts w:ascii="IRNazanin" w:hAnsi="IRNazanin" w:eastAsia="IRNazanin"/>
          <w:color w:val="111111"/>
          <w:sz w:val="28"/>
          <w:sz w:val="28"/>
          <w:szCs w:val="28"/>
          <w:rtl w:val="true"/>
          <w:lang w:bidi="fa-IR"/>
        </w:rPr>
        <w:t xml:space="preserve">، و الجامع </w:t>
      </w:r>
      <w:r>
        <w:rPr>
          <w:rStyle w:val="FootnoteAnchor"/>
          <w:rtl w:val="true"/>
        </w:rPr>
        <w:footnoteReference w:id="358"/>
      </w:r>
      <w:r>
        <w:rPr>
          <w:rFonts w:ascii="Amiri" w:hAnsi="Amiri" w:eastAsia="Amiri" w:cs="Amiri"/>
          <w:color w:val="111111"/>
          <w:sz w:val="28"/>
          <w:sz w:val="28"/>
          <w:szCs w:val="28"/>
          <w:rtl w:val="true"/>
          <w:lang w:bidi="ar-SA"/>
        </w:rPr>
        <w:t xml:space="preserve">من أنّه يكلّف بإخراجها من غيره، لا يظهر له وجه إلّا الجمع بين الحقّين، و هو حسن على </w:t>
      </w:r>
      <w:r>
        <w:rPr>
          <w:rStyle w:val="FootnoteAnchor"/>
          <w:rtl w:val="true"/>
        </w:rPr>
        <w:footnoteReference w:id="359"/>
      </w:r>
      <w:r>
        <w:rPr>
          <w:rFonts w:ascii="Amiri" w:hAnsi="Amiri" w:eastAsia="Amiri" w:cs="Amiri"/>
          <w:color w:val="111111"/>
          <w:sz w:val="28"/>
          <w:sz w:val="28"/>
          <w:szCs w:val="28"/>
          <w:rtl w:val="true"/>
          <w:lang w:bidi="ar-SA"/>
        </w:rPr>
        <w:t>عدم القول بتعلّق الشركة، و حينئذ فيشكل اعترافهما بتقديم حقّ الفقراء مع الإعسار إلّا أن يكون كتعلّق أرش الجناية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النصاب المنذور التصدّق به فهو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النّذر إمّا أن يتعلّق بجميعه، و إمّا أن يتعلّق ببعضه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فإمّا أن يتعلّق النذر بتصدّقه، أو بكونه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التقادير، فإمّا أن يكون النذر منجّزا أو معلّقا على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التقادير إمّا أن يكون المنذور موقّتا بما قبل الحول، أو بما بعده، و إمّا أن يكون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المعلّق عليه إمّا أن يعلم بحصوله قبل الحول، أو بعده، أو يعلم عدمه، أو يشك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الأقسام كلّها فيما إذا كان النذر قبل تمام الحول، فإن كان بعده فلا شبهة في تقديم تعلّق </w:t>
      </w:r>
      <w:r>
        <w:rPr>
          <w:rStyle w:val="FootnoteAnchor"/>
          <w:rtl w:val="true"/>
        </w:rPr>
        <w:footnoteReference w:id="360"/>
      </w:r>
      <w:r>
        <w:rPr>
          <w:rFonts w:ascii="Amiri" w:hAnsi="Amiri" w:eastAsia="Amiri" w:cs="Amiri"/>
          <w:color w:val="111111"/>
          <w:sz w:val="28"/>
          <w:sz w:val="28"/>
          <w:szCs w:val="28"/>
          <w:rtl w:val="true"/>
          <w:lang w:bidi="ar-SA"/>
        </w:rPr>
        <w:t>الزكاة على تعلّق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تعلّق النذر بالقدر الخارج عن المقدار الواجب في الزكاة لزمه الأمران، و إن تعلق النذر بالجميع وجب إخراج الزكاة أوّلا ثم التصدّق بالباقي بناء على أنّ ما لا يدرك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كلّه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وجوب ضمان الزكاة من غير النصاب، و التصدّق بالجميع لإمكان</w:t>
      </w:r>
    </w:p>
    <w:p>
      <w:pPr>
        <w:pStyle w:val="BookText"/>
        <w:rPr/>
      </w:pPr>
      <w:r>
        <w:rPr>
          <w:rFonts w:ascii="Amiri" w:hAnsi="Amiri" w:eastAsia="Amiri" w:cs="Amiri"/>
          <w:color w:val="111111"/>
          <w:sz w:val="28"/>
          <w:sz w:val="28"/>
          <w:szCs w:val="28"/>
          <w:rtl w:val="true"/>
          <w:lang w:bidi="ar-SA"/>
        </w:rPr>
        <w:t>الإيفاء بالنذر، و يحتمل في الصورتين كفاية التصدّق المنذور عن الزكاة لو لم ينصرف إطلاقه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الأقسام المتقدّمة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النذر إن كان منجزا مطلقا سقطت الزكاة، أمّا في صورة تعلّق النذر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فلخروج المنذور عن الملكية فيما قطع به الأصحاب على ما في المدارك </w:t>
      </w:r>
      <w:r>
        <w:rPr>
          <w:rStyle w:val="FootnoteAnchor"/>
          <w:rtl w:val="true"/>
        </w:rPr>
        <w:footnoteReference w:id="362"/>
      </w:r>
      <w:r>
        <w:rPr>
          <w:rFonts w:ascii="Amiri" w:hAnsi="Amiri" w:eastAsia="Amiri" w:cs="Amiri"/>
          <w:color w:val="111111"/>
          <w:sz w:val="28"/>
          <w:sz w:val="28"/>
          <w:szCs w:val="28"/>
          <w:rtl w:val="true"/>
          <w:lang w:bidi="ar-SA"/>
        </w:rPr>
        <w:t>، و هو مبنيّ إمّا على صحّة نذر الغايات مطلقا، و الحكم بحصولها بمجرّد النذر كما صرّح به بعضهم فيما لو نذر كون المال ملكا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على صحّة خصوص </w:t>
      </w:r>
      <w:r>
        <w:rPr>
          <w:rStyle w:val="FootnoteAnchor"/>
          <w:rtl w:val="true"/>
        </w:rPr>
        <w:footnoteReference w:id="363"/>
      </w:r>
      <w:r>
        <w:rPr>
          <w:rFonts w:ascii="Amiri" w:hAnsi="Amiri" w:eastAsia="Amiri" w:cs="Amiri"/>
          <w:color w:val="111111"/>
          <w:sz w:val="28"/>
          <w:sz w:val="28"/>
          <w:szCs w:val="28"/>
          <w:rtl w:val="true"/>
          <w:lang w:bidi="ar-SA"/>
        </w:rPr>
        <w:t xml:space="preserve">الصدقة كنذر كون الحيوان هديا أو أضحية ممّا يمكن أن يلتزم بعدم احتياجها إلى الصيغة، و قد حكي عن بعضهم الإجماع على خروج الحيوان عن الملكية إذا نذر كونه هديا، و عن بعضهم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نذر كونه أضحية، بل حكي عن المنتهى </w:t>
      </w:r>
      <w:r>
        <w:rPr>
          <w:rStyle w:val="FootnoteAnchor"/>
          <w:rtl w:val="true"/>
        </w:rPr>
        <w:footnoteReference w:id="365"/>
      </w:r>
      <w:r>
        <w:rPr>
          <w:rFonts w:ascii="Amiri" w:hAnsi="Amiri" w:eastAsia="Amiri" w:cs="Amiri"/>
          <w:color w:val="111111"/>
          <w:sz w:val="28"/>
          <w:sz w:val="28"/>
          <w:szCs w:val="28"/>
          <w:rtl w:val="true"/>
          <w:lang w:bidi="ar-SA"/>
        </w:rPr>
        <w:t xml:space="preserve">و التذكرة </w:t>
      </w:r>
      <w:r>
        <w:rPr>
          <w:rStyle w:val="FootnoteAnchor"/>
          <w:rtl w:val="true"/>
        </w:rPr>
        <w:footnoteReference w:id="366"/>
      </w:r>
      <w:r>
        <w:rPr>
          <w:rFonts w:ascii="Amiri" w:hAnsi="Amiri" w:eastAsia="Amiri" w:cs="Amiri"/>
          <w:color w:val="111111"/>
          <w:sz w:val="28"/>
          <w:sz w:val="28"/>
          <w:szCs w:val="28"/>
          <w:rtl w:val="true"/>
          <w:lang w:bidi="ar-SA"/>
        </w:rPr>
        <w:t>الاتّفاق على الخروج عن الملك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أهدى كذا؛ مع أنّه نذر للفعل لا الغاية و إن كان الكل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أنّ الغايات التي تثبت بالقواعد توقّفها على أسبابها إذا وقعت في حيّز النذر أفاد النذر وجوب إيجاد تلك الأسباب، لأنّ الوفاء بالنذر موقوف على ذلك، و لا يفيد تحقّق الغاية من دون السبب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يقال هنا ببطلان النذر من حيث أنّ ظاهر النذر تحقّق الغاية بنفسها من غير توسّط سبب، و هو غير مقدور شرعا، لأنّ ظاهر أدلّة الوفاء</w:t>
      </w:r>
    </w:p>
    <w:p>
      <w:pPr>
        <w:pStyle w:val="BookText"/>
        <w:rPr/>
      </w:pPr>
      <w:r>
        <w:rPr>
          <w:rFonts w:ascii="Amiri" w:hAnsi="Amiri" w:eastAsia="Amiri" w:cs="Amiri"/>
          <w:color w:val="111111"/>
          <w:sz w:val="28"/>
          <w:sz w:val="28"/>
          <w:szCs w:val="28"/>
          <w:rtl w:val="true"/>
          <w:lang w:bidi="ar-SA"/>
        </w:rPr>
        <w:t>بالنذر الاختصاص بما إذا كان متعلّقه فعلا اختياريا ليتصوّر فيه البرّ و الحنث، فلا بد من الحكم ببطلان نذر الغاية لو أريد نفسها من دون تأويل بإرادة السبب من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ضعيف لما عرفت من إمكان الوفاء بإيجاد أسبابها، لا لأنّ الأمر بالوفاء راجع إلى إيجاد السبب، بل لتوقّفه عليه، و بالجملة فالمسألة من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يمكن أن يستدلّ لصحّة هذا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المستلزمة لوقوع مضمونه من غير حاجة إلى توسّط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عمومات وجوب الوفاء بالنذر من غير تخصيص بكون متعلقه فعلا اختياريا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جعلته للّٰه فف به</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تأمل بل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له أيضا بعموم أدلّة الشروط حيث أنّ النذر شرط لغة، و ليس هنا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نذر التصدق بالنّصاب كلا أو بعضا فلصيرورته ممنوعا من التصرّف فيه بغير النذر </w:t>
      </w:r>
      <w:r>
        <w:rPr>
          <w:rStyle w:val="FootnoteAnchor"/>
          <w:rtl w:val="true"/>
        </w:rPr>
        <w:footnoteReference w:id="368"/>
      </w:r>
      <w:r>
        <w:rPr>
          <w:rFonts w:ascii="Amiri" w:hAnsi="Amiri" w:eastAsia="Amiri" w:cs="Amiri"/>
          <w:color w:val="111111"/>
          <w:sz w:val="28"/>
          <w:sz w:val="28"/>
          <w:szCs w:val="28"/>
          <w:rtl w:val="true"/>
          <w:lang w:bidi="ar-SA"/>
        </w:rPr>
        <w:t>، و إن لم يخرج عن ملكه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قيل بالخروج في هذه الصورة أيضا إذا قصد بالتصدّق </w:t>
      </w:r>
      <w:r>
        <w:rPr>
          <w:rStyle w:val="FootnoteAnchor"/>
          <w:rtl w:val="true"/>
        </w:rPr>
        <w:footnoteReference w:id="369"/>
      </w:r>
      <w:r>
        <w:rPr>
          <w:rFonts w:ascii="Amiri" w:hAnsi="Amiri" w:eastAsia="Amiri" w:cs="Amiri"/>
          <w:color w:val="111111"/>
          <w:sz w:val="28"/>
          <w:sz w:val="28"/>
          <w:szCs w:val="28"/>
          <w:rtl w:val="true"/>
          <w:lang w:bidi="ar-SA"/>
        </w:rPr>
        <w:t xml:space="preserve">معناه العرفي، و هو الإعطاء و الصرف </w:t>
      </w:r>
      <w:r>
        <w:rPr>
          <w:rStyle w:val="FootnoteAnchor"/>
          <w:rtl w:val="true"/>
        </w:rPr>
        <w:footnoteReference w:id="370"/>
      </w:r>
      <w:r>
        <w:rPr>
          <w:rFonts w:ascii="Amiri" w:hAnsi="Amiri" w:eastAsia="Amiri" w:cs="Amiri"/>
          <w:color w:val="111111"/>
          <w:sz w:val="28"/>
          <w:sz w:val="28"/>
          <w:szCs w:val="28"/>
          <w:rtl w:val="true"/>
          <w:lang w:bidi="ar-SA"/>
        </w:rPr>
        <w:t>بقصد القربة، لا جعلها صدقة المتوقف على إيجاد ما به يجعل صدقة من الأسباب المعهودة في الشرع، مستدلا بأنّه يصير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كالزكاة يجب صرفها إلى مستحقّها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 هذا التفصيل أنّ النذر إن تعلّق بالتّصدّق بمعنى التمليك على قصد القربة، فلا بد من عدم حصوله بالنذر، ليتحقّق طلبه بعد النذر، و إن تعلّق بالتّصدّق بمعنى الدّفع إلى المستحق فيكون مأمورا بالدّفع، و إطلاق الأمر بالدفع من المالك الحقيقي يدلّ على خروج ما أمر بدفعه عن ملكية النّاذر، و عدم تقرير الشّارع له على الملكية، و استحقاق المدفوع إليه له، و لذا استفيد خروج الزكاة و الخمس عن ملك المالك إلى ملك الفقراء من الأمر بدفع بعض النصاب إليهم، و إلّا فلم يرد في أدلّة تشريع الزكاة حكم وضعي في تملّك الفقراء لحصّتهم من النصاب، و 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شرّك بين الأغنياء و الفقراء في أموالهم</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للفقراء في أموال الأغنياء ما يكفيهم</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فليس إلّا مأخوذا عن الحكم التكليفي الصادر في أوّل التشريع، لا أنه ملّك الفقراء أوّلا، ثم أمر الأغنياء بدفع ملكهم إليهم على حدّ التكليف بأداء الأمانة، بل الظاهر العكس و استفادة التملّك </w:t>
      </w:r>
      <w:r>
        <w:rPr>
          <w:rStyle w:val="FootnoteAnchor"/>
          <w:rtl w:val="true"/>
        </w:rPr>
        <w:footnoteReference w:id="373"/>
      </w:r>
      <w:r>
        <w:rPr>
          <w:rFonts w:ascii="IRNazanin" w:hAnsi="IRNazanin" w:eastAsia="IRNazanin"/>
          <w:color w:val="111111"/>
          <w:sz w:val="28"/>
          <w:sz w:val="28"/>
          <w:szCs w:val="28"/>
          <w:rtl w:val="true"/>
          <w:lang w:bidi="fa-IR"/>
        </w:rPr>
        <w:t>من الأمر بالدفع</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المفصّل على ما ذكر زيادة على جعله كالزكاة بما رواه الكليني في آخر الكافي، في باب النذور، عن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نذر أن يتصدّق بجميع ما يملك إن عافاه اللّٰه تعالى، فلما عوفي خرج عن داره و ما يملكه ليبيعها و يتصدّق بثمنها، فلما سأل الإمام عليه السلام، أمره بأن يقوّم جميع ذلك على نفسه </w:t>
      </w:r>
      <w:r>
        <w:rPr>
          <w:rStyle w:val="FootnoteAnchor"/>
          <w:rtl w:val="true"/>
        </w:rPr>
        <w:footnoteReference w:id="374"/>
      </w:r>
      <w:r>
        <w:rPr>
          <w:rFonts w:ascii="Amiri" w:hAnsi="Amiri" w:eastAsia="Amiri" w:cs="Amiri"/>
          <w:color w:val="111111"/>
          <w:sz w:val="28"/>
          <w:sz w:val="28"/>
          <w:szCs w:val="28"/>
          <w:rtl w:val="true"/>
          <w:lang w:bidi="ar-SA"/>
        </w:rPr>
        <w:t xml:space="preserve">و يتصدّق بقيمتها تدريجيا حتّى يؤدي ما عليه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الصدقة تجعل للّٰه مثوبة، هل له أن يرجع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جعلتها للّٰه فهي للمساكين و ابن السبيل فليس له أن يرجع فيها</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دلالة للروايتين على مدّعاه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الخثعمي فلأنّ الخروج عمّا ملكه و إرادة بيعها إنما هو لأجل إرادة الوفاء بالنذر بالدفع إلى الفقراء على وجه القربة الذي هو المراد من التصدّق، و هو المملك للفقير، لا لخروجها عن ملكه بمجرّد النذر، و أمره </w:t>
      </w:r>
      <w:r>
        <w:rPr>
          <w:rStyle w:val="FootnoteAnchor"/>
          <w:rtl w:val="true"/>
        </w:rPr>
        <w:footnoteReference w:id="377"/>
      </w:r>
      <w:r>
        <w:rPr>
          <w:rFonts w:ascii="Amiri" w:hAnsi="Amiri" w:eastAsia="Amiri" w:cs="Amiri"/>
          <w:color w:val="111111"/>
          <w:sz w:val="28"/>
          <w:sz w:val="28"/>
          <w:szCs w:val="28"/>
          <w:rtl w:val="true"/>
          <w:lang w:bidi="ar-SA"/>
        </w:rPr>
        <w:t xml:space="preserve">بتقويمها على نفسه لا يدلّ على الخروج أيضا، لكونه من جانب الإمام عليه السلام الذي هو وليّ الفقراء، و إلّا فهو مخالف للقاعدة المقتضية لوجوب التصدّق بالعين </w:t>
      </w:r>
      <w:r>
        <w:rPr>
          <w:rStyle w:val="FootnoteAnchor"/>
          <w:rtl w:val="true"/>
        </w:rPr>
        <w:footnoteReference w:id="378"/>
      </w:r>
      <w:r>
        <w:rPr>
          <w:rFonts w:ascii="Amiri" w:hAnsi="Amiri" w:eastAsia="Amiri" w:cs="Amiri"/>
          <w:color w:val="111111"/>
          <w:sz w:val="28"/>
          <w:sz w:val="28"/>
          <w:szCs w:val="28"/>
          <w:rtl w:val="true"/>
          <w:lang w:bidi="ar-SA"/>
        </w:rPr>
        <w:t>و عدم جواز التقويم و التصدق بالقيمة تدريجا المنافي لمصلحة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ليس لها دلالة على الخروج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علي بن جعفر فلأنّ الظاهر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بقرينة السؤال عن الرّجوع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عن ملكه بالوقف أو بغيره، و لا ينافيه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الوقف </w:t>
      </w:r>
      <w:r>
        <w:rPr>
          <w:rStyle w:val="FootnoteAnchor"/>
          <w:rtl w:val="true"/>
        </w:rPr>
        <w:footnoteReference w:id="379"/>
      </w:r>
      <w:r>
        <w:rPr>
          <w:rFonts w:ascii="Amiri" w:hAnsi="Amiri" w:eastAsia="Amiri" w:cs="Amiri"/>
          <w:color w:val="111111"/>
          <w:sz w:val="28"/>
          <w:sz w:val="28"/>
          <w:szCs w:val="28"/>
          <w:rtl w:val="true"/>
          <w:lang w:bidi="ar-SA"/>
        </w:rPr>
        <w:t>لا ينتقل عنه إلى الموقوف، لأنّ المراد بيان الاختصاص في مقابلة عدم دخل المالك فيها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ذكرنا من قضية الأمر بالدفع فهو مسلّم إذا أمر بالدفع ابتداء كما في الزكاة و الخمس، فإنّ الإنصاف ظهور ذلك في استحقاق المدفوع إليه، بل مالكيته </w:t>
      </w:r>
      <w:r>
        <w:rPr>
          <w:rStyle w:val="FootnoteAnchor"/>
          <w:rtl w:val="true"/>
        </w:rPr>
        <w:footnoteReference w:id="380"/>
      </w:r>
      <w:r>
        <w:rPr>
          <w:rFonts w:ascii="Amiri" w:hAnsi="Amiri" w:eastAsia="Amiri" w:cs="Amiri"/>
          <w:color w:val="111111"/>
          <w:sz w:val="28"/>
          <w:sz w:val="28"/>
          <w:szCs w:val="28"/>
          <w:rtl w:val="true"/>
          <w:lang w:bidi="ar-SA"/>
        </w:rPr>
        <w:t>له، و أمّا إذا أمر بالدفع من جهة التزام المأمور بدفعه و إلزامه على</w:t>
      </w:r>
    </w:p>
    <w:p>
      <w:pPr>
        <w:pStyle w:val="BookText"/>
        <w:rPr/>
      </w:pPr>
      <w:r>
        <w:rPr>
          <w:rFonts w:ascii="Amiri" w:hAnsi="Amiri" w:eastAsia="Amiri" w:cs="Amiri"/>
          <w:color w:val="111111"/>
          <w:sz w:val="28"/>
          <w:sz w:val="28"/>
          <w:szCs w:val="28"/>
          <w:rtl w:val="true"/>
          <w:lang w:bidi="ar-SA"/>
        </w:rPr>
        <w:t>نفسه، و المفروض أنّه لم يلتزم إلّا بالتصدّق بمعنى إحداث ملكيّة الفقير له و نقله إليه بقصد القربة، حيث إنّها في ملك الناذر قبل النذر فيجب عليه بمقتضى لزوم الوفاء بما التزم على نفسه أن يدفعه إلى الفقير على وجه التمليك، و لازم وجوب الدفع على هذا الوجه هو بقاؤه في ملكه بعد النذر ليتحقّق طلب الدفع على الوجه المذكور، إذا الحاصل لا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نذر الصدقة </w:t>
      </w:r>
      <w:r>
        <w:rPr>
          <w:rStyle w:val="FootnoteAnchor"/>
          <w:rtl w:val="true"/>
        </w:rPr>
        <w:footnoteReference w:id="381"/>
      </w:r>
      <w:r>
        <w:rPr>
          <w:rFonts w:ascii="Amiri" w:hAnsi="Amiri" w:eastAsia="Amiri" w:cs="Amiri"/>
          <w:color w:val="111111"/>
          <w:sz w:val="28"/>
          <w:sz w:val="28"/>
          <w:szCs w:val="28"/>
          <w:rtl w:val="true"/>
          <w:lang w:bidi="ar-SA"/>
        </w:rPr>
        <w:t>إنّما يفيد وجوب التمليك لا حصول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منع الناذر من التصرف فيه بما ينافي النذر، و وقوع تصرّف المنافي باطلا، لا لاقتضاء النهي للفساد، و لذا لا نقول به لو نذر ترك البيع، بل لعموم الأمر بالوفاء بالنذر الشامل لما بعد التصرف المنافي فيلزم بطلانه، مثلا إذا باع المال المنذور فمقتضى عموم الأمر بالوفاء بالنذر وجوب التصدّق بما باعه النّاذر، و لا يتحقّق ذلك إلّا ببطلان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وجوب الوفاء مشروط ببقاء محلّه؛ و هو بقاء العين في ملك الناذر، فإذا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صحّة البيع لأجل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محلّ للوفاء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إطلاق وجوب الوفاء بالنذر المتقدّم على البيع، أو عمومه الشامل لما بعد البيع كاشف عن عدم فوات محلّه بمجرّد البيع، فتأمّل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شئت توضيح ذلك فقس حال إثبات بطلان العقود الناقلة بأدلّة الوفاء بالنذر على إثبات لزوم العقود، و بطلان العقود الناقلة الحاصلة من البائع مثلا، بأدلّة الوفاء بالعقود، و كما أنّ وجوب الوفاء بما أنشأه البائع و حرمة نقيضه على الإطلاق يدلّ على بطلان النقض و ما يوقعه من النواقل بعد القبض </w:t>
      </w:r>
      <w:r>
        <w:rPr>
          <w:rStyle w:val="FootnoteAnchor"/>
          <w:rtl w:val="true"/>
        </w:rPr>
        <w:footnoteReference w:id="382"/>
      </w:r>
      <w:r>
        <w:rPr>
          <w:rFonts w:ascii="Amiri" w:hAnsi="Amiri" w:eastAsia="Amiri" w:cs="Amiri"/>
          <w:color w:val="111111"/>
          <w:sz w:val="28"/>
          <w:sz w:val="28"/>
          <w:szCs w:val="28"/>
          <w:rtl w:val="true"/>
          <w:lang w:bidi="ar-SA"/>
        </w:rPr>
        <w:t xml:space="preserve">، و الّا فمجرد الأمر التكليفي بالوفاء و حرمة النقض </w:t>
      </w:r>
      <w:r>
        <w:rPr>
          <w:rStyle w:val="FootnoteAnchor"/>
          <w:rtl w:val="true"/>
        </w:rPr>
        <w:footnoteReference w:id="383"/>
      </w:r>
      <w:r>
        <w:rPr>
          <w:rFonts w:ascii="Amiri" w:hAnsi="Amiri" w:eastAsia="Amiri" w:cs="Amiri"/>
          <w:color w:val="111111"/>
          <w:sz w:val="28"/>
          <w:sz w:val="28"/>
          <w:szCs w:val="28"/>
          <w:rtl w:val="true"/>
          <w:lang w:bidi="ar-SA"/>
        </w:rPr>
        <w:t xml:space="preserve">غايته ترتّب </w:t>
      </w:r>
      <w:r>
        <w:rPr>
          <w:rStyle w:val="FootnoteAnchor"/>
          <w:rtl w:val="true"/>
        </w:rPr>
        <w:footnoteReference w:id="384"/>
      </w:r>
      <w:r>
        <w:rPr>
          <w:rFonts w:ascii="Amiri" w:hAnsi="Amiri" w:eastAsia="Amiri" w:cs="Amiri"/>
          <w:color w:val="111111"/>
          <w:sz w:val="28"/>
          <w:sz w:val="28"/>
          <w:szCs w:val="28"/>
          <w:rtl w:val="true"/>
          <w:lang w:bidi="ar-SA"/>
        </w:rPr>
        <w:t>الإثم على إيقاع</w:t>
      </w:r>
    </w:p>
    <w:p>
      <w:pPr>
        <w:pStyle w:val="BookText"/>
        <w:rPr/>
      </w:pPr>
      <w:r>
        <w:rPr>
          <w:rFonts w:ascii="Amiri" w:hAnsi="Amiri" w:eastAsia="Amiri" w:cs="Amiri"/>
          <w:color w:val="111111"/>
          <w:sz w:val="28"/>
          <w:sz w:val="28"/>
          <w:szCs w:val="28"/>
          <w:rtl w:val="true"/>
          <w:lang w:bidi="ar-SA"/>
        </w:rPr>
        <w:t>المنافي لا بطلانه، فكذلك فيما نحن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اتفاقهم ظاهرا على أنّ هذا المال المنذور لا يورث بموت الناذر، فعدم قابليته للتمليكات الاختيارية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منجزا أو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لأنّه إلزام فيشمله أدلّة لزوم الشرط، و قد ثبت في محلّه بطلان ما ينافي الشروط من التصرفات،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فالمنع عن التصرف متّفق عليه في المال المنذور و ان اختلف في صحّة التصرف المذكور و عدمها، و لا فرق في ذلك بين تعلّق النذر بكلّ النصاب أو ببعضه بلا خلاف نظفر به، و لا تردّد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شرح الروضة</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مع أنّ في صورة تعلّقه بالكل يستحيل التكليف بالزكاة إذ لا يجتمع في مال واحد حقّان يحطّ </w:t>
      </w:r>
      <w:r>
        <w:rPr>
          <w:rStyle w:val="FootnoteAnchor"/>
          <w:rtl w:val="true"/>
        </w:rPr>
        <w:footnoteReference w:id="386"/>
      </w:r>
      <w:r>
        <w:rPr>
          <w:rFonts w:ascii="IRNazanin" w:hAnsi="IRNazanin" w:eastAsia="IRNazanin"/>
          <w:color w:val="111111"/>
          <w:sz w:val="28"/>
          <w:sz w:val="28"/>
          <w:szCs w:val="28"/>
          <w:rtl w:val="true"/>
          <w:lang w:bidi="fa-IR"/>
        </w:rPr>
        <w:t>أحدهما بالآخر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النّذر منجزا موقتا، كأن ينذر التصدّق به في وقت معيّن، فإن كان الوقت قبل تمام الحول فلا إشكال في سقوط الزكاة سواء و في بالنذر في وقته أو لم يف، و سواء قلنا بوجوب القضاء مع فوات الوقت أم لا؛ لرجوع المؤقّت بعد حضور وقته إلى المطلق، و قد عرفت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الروضة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وجوب الزكاة هنا لو لم يف بالنذر في وقته و لم يوجب القضاء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التكليف بالتصدّق يوجب انقطاع الحول من غير توقّف على الوفاء، إلّا أنّ الظاهر ابتناء ما ذكره على أنّ عدم التمكن من التصرف، إنما</w:t>
      </w:r>
    </w:p>
    <w:p>
      <w:pPr>
        <w:pStyle w:val="BookText"/>
        <w:rPr/>
      </w:pPr>
      <w:r>
        <w:rPr>
          <w:rFonts w:ascii="Amiri" w:hAnsi="Amiri" w:eastAsia="Amiri" w:cs="Amiri"/>
          <w:color w:val="111111"/>
          <w:sz w:val="28"/>
          <w:sz w:val="28"/>
          <w:szCs w:val="28"/>
          <w:rtl w:val="true"/>
          <w:lang w:bidi="ar-SA"/>
        </w:rPr>
        <w:t>يقدح لو منع من التكليف بإخراج الزكاة،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الوقت بعد الحول أو نفس الحول بنى على أنّ الوجوب في النذر الموقّت يتنجّز عند الصيغة أو عند حضور الوقت؟ و الظاهر الأوّل، فينقطع الحول بتنجّز التكليف و إن لم يحضر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حولان الحول سبب لوجوب الزكاة، فيرجع النذر إلى إيجاب التصرّف في مال الفقراء، و هو غير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الحولان سببا مع تحقّق التكليف قبله بالتصدّق الذي هو راجح قابل للنذر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 بتنجّز التكليف بحضور وقت المنذور، فإن كان بعد الحول وجب التصدّق بما بقي بعد الزكاة، و إن كان نفس الحول اجتمع في المال الزكاة و التصدّق، فإن وسعهما وجب الجميع، و الّا فيمكن القول بوجوب إخراج الزكاة بالقيمة، و صرف المال في النذر، و يحتمل بطلان النذر في قدر الزكاة، و يحتمل صحّته فيه أيضا </w:t>
      </w:r>
      <w:r>
        <w:rPr>
          <w:rStyle w:val="FootnoteAnchor"/>
          <w:rtl w:val="true"/>
        </w:rPr>
        <w:footnoteReference w:id="388"/>
      </w:r>
      <w:r>
        <w:rPr>
          <w:rFonts w:ascii="Amiri" w:hAnsi="Amiri" w:eastAsia="Amiri" w:cs="Amiri"/>
          <w:color w:val="111111"/>
          <w:sz w:val="28"/>
          <w:sz w:val="28"/>
          <w:szCs w:val="28"/>
          <w:rtl w:val="true"/>
          <w:lang w:bidi="ar-SA"/>
        </w:rPr>
        <w:t>و صرفه إلى الذمّة، و يحتمل القرعة أو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لا يخلو عن قوّة إلّا أن يعلم من النذر جواز العدول إلى القيمة، فلا يبعد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النذر معلقا على شرط مع كونه مطلقا غير موقّت، فإن كان زمان الشرط مقدّما على الحول و علم بحصوله، فيمنع من التصرف من حين الصيغة، بناء على أنّه زمان الوجوب و إن لم يكن زمان الواجب، و حينئذ فينقطع الحول و إن تبيّن بعد ذلك خطؤه، لعدم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بالوجوب من حين تحقّق الشرط انتظر زمانه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النذر المشروط </w:t>
      </w:r>
      <w:r>
        <w:rPr>
          <w:rStyle w:val="FootnoteAnchor"/>
          <w:rtl w:val="true"/>
        </w:rPr>
        <w:footnoteReference w:id="389"/>
      </w:r>
      <w:r>
        <w:rPr>
          <w:rFonts w:ascii="Amiri" w:hAnsi="Amiri" w:eastAsia="Amiri" w:cs="Amiri"/>
          <w:color w:val="111111"/>
          <w:sz w:val="28"/>
          <w:sz w:val="28"/>
          <w:szCs w:val="28"/>
          <w:rtl w:val="true"/>
          <w:lang w:bidi="ar-SA"/>
        </w:rPr>
        <w:t>متعلّقا بالغايات، كنذر كونه صدقة إن وجد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نذر الغايات، و كفاية النذر في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 عن التصرف</w:t>
      </w:r>
    </w:p>
    <w:p>
      <w:pPr>
        <w:pStyle w:val="BookText"/>
        <w:rPr/>
      </w:pPr>
      <w:r>
        <w:rPr>
          <w:rFonts w:ascii="Amiri" w:hAnsi="Amiri" w:eastAsia="Amiri" w:cs="Amiri"/>
          <w:color w:val="111111"/>
          <w:sz w:val="28"/>
          <w:sz w:val="28"/>
          <w:szCs w:val="28"/>
          <w:rtl w:val="true"/>
          <w:lang w:bidi="ar-SA"/>
        </w:rPr>
        <w:t>ثابت من حين النذر، لأنّ كونه صدقة عند وقوع ذلك الأمر المعلوم وقوعه، ينافي صحّة التصرّفات المنافية كالبيع و نحوه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من الشهيد الثاني في الروضة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التصرف في النذر المعلّق على الوفاة كبيع المنذور حريته بعد الوفاة مع الحنث إذا لم يكن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حكى عدم الصحة في المسألة المذكورة </w:t>
      </w:r>
      <w:r>
        <w:rPr>
          <w:rStyle w:val="FootnoteAnchor"/>
          <w:rtl w:val="true"/>
        </w:rPr>
        <w:footnoteReference w:id="391"/>
      </w:r>
      <w:r>
        <w:rPr>
          <w:rFonts w:ascii="Amiri" w:hAnsi="Amiri" w:eastAsia="Amiri" w:cs="Amiri"/>
          <w:color w:val="111111"/>
          <w:sz w:val="28"/>
          <w:sz w:val="28"/>
          <w:szCs w:val="28"/>
          <w:rtl w:val="true"/>
          <w:lang w:bidi="ar-SA"/>
        </w:rPr>
        <w:t xml:space="preserve">، بل عن السيد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علم عدمه فكالعدم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احتملهما بني المنع عن التصرف من حين الصيغة و عدمه على ما سيجي‌ء من مسألة النذر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زمان الشرط بعد الحول و علم بتحقّقه بني على ما تقدّم من تحقّق الوجوب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علم عدمه فكالعدم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احتملهما بني عليه و على جواز فعل منافي النذر إذا كان مشروطا بشرط مترقّب، فإن قلنا بالجواز </w:t>
      </w:r>
      <w:r>
        <w:rPr>
          <w:rStyle w:val="FootnoteAnchor"/>
          <w:rtl w:val="true"/>
        </w:rPr>
        <w:footnoteReference w:id="393"/>
      </w:r>
      <w:r>
        <w:rPr>
          <w:rFonts w:ascii="Amiri" w:hAnsi="Amiri" w:eastAsia="Amiri" w:cs="Amiri"/>
          <w:color w:val="111111"/>
          <w:sz w:val="28"/>
          <w:sz w:val="28"/>
          <w:szCs w:val="28"/>
          <w:rtl w:val="true"/>
          <w:lang w:bidi="ar-SA"/>
        </w:rPr>
        <w:t>لم يمنع النذر من وجوب الزكاة و إلّا منع، و الأقوى المنع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نذر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ينذر كونه صدقة، فلما تقدّم من أنّ مقتضى صحّة النذر كونها صدقة عند الشرط، و هو ينافي إخراجها في الزكاة، و دعوى أصالة عدم تحقّق الشرط و المشروط لا تنفع </w:t>
      </w:r>
      <w:r>
        <w:rPr>
          <w:rStyle w:val="FootnoteAnchor"/>
          <w:rtl w:val="true"/>
        </w:rPr>
        <w:footnoteReference w:id="394"/>
      </w:r>
      <w:r>
        <w:rPr>
          <w:rFonts w:ascii="Amiri" w:hAnsi="Amiri" w:eastAsia="Amiri" w:cs="Amiri"/>
          <w:color w:val="111111"/>
          <w:sz w:val="28"/>
          <w:sz w:val="28"/>
          <w:szCs w:val="28"/>
          <w:rtl w:val="true"/>
          <w:lang w:bidi="ar-SA"/>
        </w:rPr>
        <w:t>، لأنّ المنافي هو</w:t>
      </w:r>
    </w:p>
    <w:p>
      <w:pPr>
        <w:pStyle w:val="BookText"/>
        <w:rPr/>
      </w:pPr>
      <w:r>
        <w:rPr>
          <w:rFonts w:ascii="Amiri" w:hAnsi="Amiri" w:eastAsia="Amiri" w:cs="Amiri"/>
          <w:color w:val="111111"/>
          <w:sz w:val="28"/>
          <w:sz w:val="28"/>
          <w:szCs w:val="28"/>
          <w:rtl w:val="true"/>
          <w:lang w:bidi="ar-SA"/>
        </w:rPr>
        <w:t>كونه صدقة عند الشرط، و هذا أمر منجّز مقطوع به، لا مطلق كونه صدقة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تعلّق على شرط محتمل مخالف للأصل، و هذا نظير ما يقال من أنّه لا يجوز لمن باع ماله من الفضولي أن يتصرف فيه، بناء على أصالة عدم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فهم من النذر كونه مشروطا بتحقّق الشرط في حال كون المنذور باقيا على ملكه، فلا إشكال في جواز التصرفات المخرجة عن الملك، لأنه إنّما نذر الفعل إذا تحقّق الشرط و اتّفق بقاؤه في ملكه، فبقاؤه شرط اختياري لحصول الغاية المنذورة، و لا يجب تحصيل الشرط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كان نفس الشرط من الأمور الاختياريّة، كأن ينذر كون النصاب صدقة إذا فعل كذا، 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جواز التصرّف فيه، و إن لم يبعد أنّ يحرم عليه بعد ذلك فعل ذلك الشرط الموجب للحنث، فضابط جواز التصرّف في نذر الغاية المشروط ما ثبت توقّفه على ما يرجع إلى اختيار الناذر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نذر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ينذر التصدّق عند تحقّق شرط محتمل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الشرط راجعا إلى اختيار المكلّف لدخول الدار، و وطء الجارية، أو فهم من النذر وجوب التصدّق عند الشرط لو اتّفق كونه مالكا له، فقد عرفت جوازه في الصورة الأولى المستلزم لجوازه هنا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كذلك، فإن قلنا بأنّ الوجوب في النذر المشروط كالوجوب الأصلي المشروط لا يحصل إلّا بعد حصول الشرط، فلا يبعد الجواز أيضا لأنّ المانع هو الوجوب، و لم يتحقّق قبل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بتنجز الوجوب بالصيغة، فإن كان زمان الواجب بعد الشرط فلا يجوز التصرّف، و إن فصّلنا في الشروط بين ما خالف الأصل و بين ما وافقه كان حكم الأوّل الجواز و حكم الثاني المنع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 من الشروط إنّما هي شروط الوجوب، بمعنى أنّ بانتفائها</w:t>
      </w:r>
    </w:p>
    <w:p>
      <w:pPr>
        <w:pStyle w:val="BookText"/>
        <w:rPr/>
      </w:pPr>
      <w:r>
        <w:rPr>
          <w:rFonts w:ascii="Amiri" w:hAnsi="Amiri" w:eastAsia="Amiri" w:cs="Amiri"/>
          <w:color w:val="111111"/>
          <w:sz w:val="28"/>
          <w:sz w:val="28"/>
          <w:szCs w:val="28"/>
          <w:rtl w:val="true"/>
          <w:lang w:bidi="ar-SA"/>
        </w:rPr>
        <w:t>ينتفي الوجوب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شرط الضمان الحاصل بعد الوجوب بمعنى وجوب البدل لو تلف فهو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إمكان الأداء، فلو تلفت بعد الوجوب و إمكان الأداء و إن لم يفرط في التلف على ما يقتضيه إطلاق النصّ و الفتوى و الاتفاق المحكي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المسلم، لا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ضمان المسلم فعن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علماءنا أجمع </w:t>
      </w:r>
      <w:r>
        <w:rPr>
          <w:rStyle w:val="FootnoteAnchor"/>
          <w:rtl w:val="true"/>
        </w:rPr>
        <w:footnoteReference w:id="395"/>
      </w:r>
      <w:r>
        <w:rPr>
          <w:rFonts w:ascii="Amiri" w:hAnsi="Amiri" w:eastAsia="Amiri" w:cs="Amiri"/>
          <w:color w:val="111111"/>
          <w:sz w:val="28"/>
          <w:sz w:val="28"/>
          <w:szCs w:val="28"/>
          <w:rtl w:val="true"/>
          <w:lang w:bidi="ar-SA"/>
        </w:rPr>
        <w:t>، لأنّ الإهمال مع التمكّن تفريط يوجب الضمان عند التلف مطلقا، و حسنة ابن مسلم بابن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زكاة ماله لتقسّم، فضاعت، هل عليه ضمانها حتّى تقسّم؟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لها موضعا فلم يدفعها إليه فهو لها ضامن حتى يدفعها، و إن لم يجد لها من يدفعها إليه فبعث بها إلى أهلها، فليس عليه ضمان، لأنّها قد خرجت عن يده، و كذا الوصي الذي يوصى إليه يكون ضامنا لما دفع إليه إذا وجد ربّه الذي أمر بدفعه إليه، و إن لم يجد فليس عليه ضمان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حسنة زرارة بابن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بعث إليه أخ له زكاة ليقسّمها فضاعت؟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 لا على المؤدّي ضمان،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يجد لها أهلا ففسدت و تغيّرت أ يضمنها؟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إن عرف لها أهلا فعطبت أو فسدت فهو لها ضامن حتّى يخرجها</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ضمان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فرط في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فلاشتراط الإسلام في الضمان على ما ذكره المصنّف، و الشهيدان قدّس سرهم </w:t>
      </w:r>
      <w:r>
        <w:rPr>
          <w:rStyle w:val="FootnoteAnchor"/>
          <w:rtl w:val="true"/>
        </w:rPr>
        <w:footnoteReference w:id="398"/>
      </w:r>
      <w:r>
        <w:rPr>
          <w:rFonts w:ascii="Amiri" w:hAnsi="Amiri" w:eastAsia="Amiri" w:cs="Amiri"/>
          <w:color w:val="111111"/>
          <w:sz w:val="28"/>
          <w:sz w:val="28"/>
          <w:szCs w:val="28"/>
          <w:rtl w:val="true"/>
          <w:lang w:bidi="ar-SA"/>
        </w:rPr>
        <w:t>و الوجه فيه غير واضح، و ربما يتخيّل أن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تمكّن الكافر من الأداء لعدم صحّته منه حال الكفر،</w:t>
      </w:r>
    </w:p>
    <w:p>
      <w:pPr>
        <w:pStyle w:val="BookText"/>
        <w:rPr/>
      </w:pPr>
      <w:r>
        <w:rPr>
          <w:rFonts w:ascii="IRNazanin" w:hAnsi="IRNazanin" w:eastAsia="IRNazanin"/>
          <w:color w:val="111111"/>
          <w:sz w:val="28"/>
          <w:sz w:val="28"/>
          <w:szCs w:val="28"/>
          <w:rtl w:val="true"/>
          <w:lang w:bidi="fa-IR"/>
        </w:rPr>
        <w:t xml:space="preserve">و سقوطه عنه حال الإسلام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الجماعة، بل صريح المصنّف </w:t>
      </w:r>
      <w:r>
        <w:rPr>
          <w:rStyle w:val="FootnoteAnchor"/>
          <w:rtl w:val="true"/>
        </w:rPr>
        <w:footnoteReference w:id="400"/>
      </w:r>
      <w:r>
        <w:rPr>
          <w:rFonts w:ascii="Amiri" w:hAnsi="Amiri" w:eastAsia="Amiri" w:cs="Amiri"/>
          <w:color w:val="111111"/>
          <w:sz w:val="28"/>
          <w:sz w:val="28"/>
          <w:szCs w:val="28"/>
          <w:rtl w:val="true"/>
          <w:lang w:bidi="ar-SA"/>
        </w:rPr>
        <w:t xml:space="preserve">و الشهيد في البيان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 الإسلام شرطا مستقلا، بل صرّح المحقّق الأردبيلي </w:t>
      </w:r>
      <w:r>
        <w:rPr>
          <w:rStyle w:val="FootnoteAnchor"/>
          <w:rtl w:val="true"/>
        </w:rPr>
        <w:footnoteReference w:id="402"/>
      </w:r>
      <w:r>
        <w:rPr>
          <w:rFonts w:ascii="Amiri" w:hAnsi="Amiri" w:eastAsia="Amiri" w:cs="Amiri"/>
          <w:color w:val="111111"/>
          <w:sz w:val="28"/>
          <w:sz w:val="28"/>
          <w:szCs w:val="28"/>
          <w:rtl w:val="true"/>
          <w:lang w:bidi="ar-SA"/>
        </w:rPr>
        <w:t>بأنّهم اشترطوا في الضمان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عدم تمكّن الكافر من الأداء، و إلّا لم يكن </w:t>
      </w:r>
      <w:r>
        <w:rPr>
          <w:rStyle w:val="FootnoteAnchor"/>
          <w:rtl w:val="true"/>
        </w:rPr>
        <w:footnoteReference w:id="403"/>
      </w:r>
      <w:r>
        <w:rPr>
          <w:rFonts w:ascii="Amiri" w:hAnsi="Amiri" w:eastAsia="Amiri" w:cs="Amiri"/>
          <w:color w:val="111111"/>
          <w:sz w:val="28"/>
          <w:sz w:val="28"/>
          <w:szCs w:val="28"/>
          <w:rtl w:val="true"/>
          <w:lang w:bidi="ar-SA"/>
        </w:rPr>
        <w:t>مكلّفا به، و لم 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التكليف لا يستلزم التمكّن في الحال، بل يكفي فيه تمكّنه من عدم الكفر سابقا حتّى لا يتعذر عليه الفعل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فاسدة، لأنّ التكليف لا بد فيه من التمكّن الحالي كما لا يخفى، و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قبح التكليف حال الامتناع، مع أنّه لو كان الامتناع الاختياري كافيا في صحّة التكليف المشروط بالتمكّن؛ كفى في الضمان المشروط به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تصحيح تكليف الكافر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تصحيح تكليفه بقضاء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القمي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التلف يوجب الانتقال إلى الذّمة، و لا مؤاخذة على أهل الذمة بمعاملاتهم و مدايناتهم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لأنّه لا ينبغي الإشكال في أنّهم لو أتلفوا عينا لمسلم يجب مؤاخذتهم بمثله أو قيمته، فالإشكال في الفرق بين العين الزكوي التالف و بين مال آخر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الكافر ما دام كافرا لا يجبر على أداء العبادات، لكن مع بقاء العين يكون مالا للمسلمين بيد الذمي يؤخذ منه و إن لم يمتثل بالدفع، و أما القيمة فلا تصير مالا للمسلمين إلّا إذا نوى أداء الزكاة به، و المفروض أنّه لا ينوي و لا يجبر على أمثال هذا التكليف، كما يجبر </w:t>
      </w:r>
      <w:r>
        <w:rPr>
          <w:rStyle w:val="FootnoteAnchor"/>
          <w:rtl w:val="true"/>
        </w:rPr>
        <w:footnoteReference w:id="405"/>
      </w:r>
      <w:r>
        <w:rPr>
          <w:rFonts w:ascii="Amiri" w:hAnsi="Amiri" w:eastAsia="Amiri" w:cs="Amiri"/>
          <w:color w:val="111111"/>
          <w:sz w:val="28"/>
          <w:sz w:val="28"/>
          <w:szCs w:val="28"/>
          <w:rtl w:val="true"/>
          <w:lang w:bidi="ar-SA"/>
        </w:rPr>
        <w:t>الممتنع من المسلمين حتّى لا يحتاج هذا الفعل إلى النية كسائر الواجبات التي يجبر بها المسلم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إجبار الكافر على أداء ما في ذمّته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اعتبار النيّة في الممتنع فيما يمتنع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الممتنع إذا أجبر على ما امتنع عنه يسقط النية فيه، فإن أجبر على عبادة كالمسلم المجبور على الصلاة و الزكاة سقطت النية المعتبرة فيهما المتوقّف عليها آثارهما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أجبر على ما هو من قبيل المعاملات كأداء الدين سقط النية فيه أيضا كالكافر و المسلم المجبورين على أداء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بعد تلفها بتفريط المكلّف تصير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الوفاء ما دام حيّا، و من ماله بعد الموت، لا في سقوط النية فيها، بل تصير كالكفارة التي لا يؤاخذ بها الكافر حال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يبقى الكلام في دليل ما ذكروه من اشتراط الإسلام في الضمان، و ليس بواضح كما اعترف به غير واحد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ثمرة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في عدم جواز أخذ الساعي لبدل التالف، و إلّا فبالإسلام تسقط مع بقاء العين و تلفها، 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المنجبر بعدم ظهور الخلاف، و لولاه لأشكل الحكم بالسقوط مطلقا، و لذا مال إلى عدم السقوط جماعة من متأخري المتأخّرين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تلفت من المسلم قبل الإمكان فلا ضمان؛ </w:t>
      </w:r>
      <w:r>
        <w:rPr>
          <w:rStyle w:val="FootnoteAnchor"/>
          <w:rtl w:val="true"/>
        </w:rPr>
        <w:footnoteReference w:id="410"/>
      </w:r>
      <w:r>
        <w:rPr>
          <w:rFonts w:ascii="IRNazanin" w:hAnsi="IRNazanin" w:eastAsia="IRNazanin"/>
          <w:color w:val="111111"/>
          <w:sz w:val="28"/>
          <w:sz w:val="28"/>
          <w:szCs w:val="28"/>
          <w:rtl w:val="true"/>
          <w:lang w:bidi="fa-IR"/>
        </w:rPr>
        <w:t>للأصل و الإجماع نصا 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معنى الوجوب قبل إمكان الأداء هو الاستقرار في المال و التعلّق به، لا وجوب التسليم كما صرّح به في المعتبر </w:t>
      </w:r>
      <w:r>
        <w:rPr>
          <w:rStyle w:val="FootnoteAnchor"/>
          <w:rtl w:val="true"/>
        </w:rPr>
        <w:footnoteReference w:id="411"/>
      </w:r>
      <w:r>
        <w:rPr>
          <w:rFonts w:ascii="Amiri" w:hAnsi="Amiri" w:eastAsia="Amiri" w:cs="Amiri"/>
          <w:color w:val="111111"/>
          <w:sz w:val="28"/>
          <w:sz w:val="28"/>
          <w:szCs w:val="28"/>
          <w:rtl w:val="true"/>
          <w:lang w:bidi="ar-SA"/>
        </w:rPr>
        <w:t>أو وجوب التسليم بمعنى تحقّق التكليف المنجّز بالتسليم المقيّد بحال الإمكان، لا التكليف المشروط بالتمكّن حتّى يكون منفيّا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يجمع بين ملكي شخصين و إن امتزجا إجماعا </w:t>
      </w:r>
      <w:r>
        <w:rPr>
          <w:rStyle w:val="FootnoteAnchor"/>
          <w:rtl w:val="true"/>
        </w:rPr>
        <w:footnoteReference w:id="412"/>
      </w:r>
      <w:r>
        <w:rPr>
          <w:rFonts w:ascii="Amiri" w:hAnsi="Amiri" w:eastAsia="Amiri" w:cs="Amiri"/>
          <w:color w:val="111111"/>
          <w:sz w:val="28"/>
          <w:sz w:val="28"/>
          <w:szCs w:val="28"/>
          <w:rtl w:val="true"/>
          <w:lang w:bidi="ar-SA"/>
        </w:rPr>
        <w:t xml:space="preserve">لأنّ خطابات الزكاة مختصّة بكلّ واحدة </w:t>
      </w:r>
      <w:r>
        <w:rPr>
          <w:rStyle w:val="FootnoteAnchor"/>
          <w:rtl w:val="true"/>
        </w:rPr>
        <w:footnoteReference w:id="413"/>
      </w:r>
      <w:r>
        <w:rPr>
          <w:rFonts w:ascii="Amiri" w:hAnsi="Amiri" w:eastAsia="Amiri" w:cs="Amiri"/>
          <w:color w:val="111111"/>
          <w:sz w:val="28"/>
          <w:sz w:val="28"/>
          <w:szCs w:val="28"/>
          <w:rtl w:val="true"/>
          <w:lang w:bidi="ar-SA"/>
        </w:rPr>
        <w:t xml:space="preserve">، و كذا </w:t>
      </w:r>
      <w:r>
        <w:rPr>
          <w:rStyle w:val="FootnoteAnchor"/>
          <w:rtl w:val="true"/>
        </w:rPr>
        <w:footnoteReference w:id="414"/>
      </w:r>
      <w:r>
        <w:rPr>
          <w:rFonts w:ascii="Amiri" w:hAnsi="Amiri" w:eastAsia="Amiri" w:cs="Amiri"/>
          <w:color w:val="111111"/>
          <w:sz w:val="28"/>
          <w:sz w:val="28"/>
          <w:szCs w:val="28"/>
          <w:rtl w:val="true"/>
          <w:lang w:bidi="ar-SA"/>
        </w:rPr>
        <w:t>لا يفرّق بين ملكي شخص واحد و إن تباعدا فإنّ العبرة بوحدة المكلّف لا المال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الدين لا يمنع الزكاة بلا خلاف، لإطلاق الأدلة، و خصوص ما رواه الكليني في الحسن بإبراهيم بن هاشم، عن زرارة، عن أبي جعفر عليه السلام، و ضريس،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له مال موضوع</w:t>
      </w:r>
    </w:p>
    <w:p>
      <w:pPr>
        <w:pStyle w:val="BookText"/>
        <w:rPr/>
      </w:pPr>
      <w:r>
        <w:rPr>
          <w:rFonts w:ascii="Amiri" w:hAnsi="Amiri" w:eastAsia="Amiri" w:cs="Amiri"/>
          <w:color w:val="111111"/>
          <w:sz w:val="28"/>
          <w:sz w:val="28"/>
          <w:szCs w:val="28"/>
          <w:rtl w:val="true"/>
          <w:lang w:bidi="ar-SA"/>
        </w:rPr>
        <w:t xml:space="preserve">حتّى يحول عليه الحول، فإنّه يزكّيه، و إن كان عليه من الدين مثله و أكثر منه </w:t>
      </w:r>
      <w:r>
        <w:rPr>
          <w:rStyle w:val="FootnoteAnchor"/>
          <w:rtl w:val="true"/>
        </w:rPr>
        <w:footnoteReference w:id="415"/>
      </w:r>
      <w:r>
        <w:rPr>
          <w:rFonts w:ascii="Amiri" w:hAnsi="Amiri" w:eastAsia="Amiri" w:cs="Amiri"/>
          <w:color w:val="111111"/>
          <w:sz w:val="28"/>
          <w:sz w:val="28"/>
          <w:szCs w:val="28"/>
          <w:rtl w:val="true"/>
          <w:lang w:bidi="ar-SA"/>
        </w:rPr>
        <w:t>، فليزكّ ممّا في يده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وقت وجوبها في الغلات الأربع بدوّ الصلاح </w:t>
      </w:r>
      <w:r>
        <w:rPr>
          <w:rStyle w:val="FootnoteAnchor"/>
          <w:rtl w:val="true"/>
        </w:rPr>
        <w:footnoteReference w:id="417"/>
      </w:r>
      <w:r>
        <w:rPr>
          <w:rFonts w:ascii="Amiri" w:hAnsi="Amiri" w:eastAsia="Amiri" w:cs="Amiri"/>
          <w:color w:val="111111"/>
          <w:sz w:val="28"/>
          <w:sz w:val="28"/>
          <w:szCs w:val="28"/>
          <w:rtl w:val="true"/>
          <w:lang w:bidi="ar-SA"/>
        </w:rPr>
        <w:t>باشتداد الحبّ في الحنطة و الشعير، و احمرار التمر أو اصفراره، و انعقاد الحصرم في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418"/>
      </w:r>
      <w:r>
        <w:rPr>
          <w:rFonts w:ascii="Amiri" w:hAnsi="Amiri" w:eastAsia="Amiri" w:cs="Amiri"/>
          <w:color w:val="111111"/>
          <w:sz w:val="28"/>
          <w:sz w:val="28"/>
          <w:szCs w:val="28"/>
          <w:rtl w:val="true"/>
          <w:lang w:bidi="ar-SA"/>
        </w:rPr>
        <w:t xml:space="preserve">لإطلاق الحنطة و الشعير على الحبين بعد الاشتداد، فيثبت في البسر و الحصرم بما ادعي من عدم القائل بالفرق، بل قيل في البسر بإطلاق التمر عليه حقيقة </w:t>
      </w:r>
      <w:r>
        <w:rPr>
          <w:rStyle w:val="FootnoteAnchor"/>
          <w:rtl w:val="true"/>
        </w:rPr>
        <w:footnoteReference w:id="419"/>
      </w:r>
      <w:r>
        <w:rPr>
          <w:rFonts w:ascii="Amiri" w:hAnsi="Amiri" w:eastAsia="Amiri" w:cs="Amiri"/>
          <w:color w:val="111111"/>
          <w:sz w:val="28"/>
          <w:sz w:val="28"/>
          <w:szCs w:val="28"/>
          <w:rtl w:val="true"/>
          <w:lang w:bidi="ar-SA"/>
        </w:rPr>
        <w:t>مستشهدا بكلام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بل الظاهر من العرف و اللغة خلافه، و أنّ التمر لا يسمّى تمرا إلّا بعد الجفاف، بمعنى الخروج عن الرطبية، بل عن المصباح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إجماع اللغات، و به يوهن ما عن المصنّف قدّس سره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أهل اللّغة على أنّ البسر نوع من التمر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ثبوت 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لأنّ المحكي عن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النخل صدقة حتّى تبلغ خمسة أوساق، و العنب مثل ذلك حتّى يبلغ خمسة أوساق زبيبا</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الظاهر أنّ الزبيب حال مقدّرة و إن كان تقدير الحال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صحيحة سعد بن سعد، عن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على العنب زكاة؛ أو إنّما تجب عليه إذا صيّره زبيبا؟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خرصه أخرج زكاته</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زمان الخرص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في المعتبر </w:t>
      </w:r>
      <w:r>
        <w:rPr>
          <w:rStyle w:val="FootnoteAnchor"/>
          <w:rtl w:val="true"/>
        </w:rPr>
        <w:footnoteReference w:id="42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بلوغ التمر و الزبيب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حرص المرعى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يترك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كناية عن صيرورة العنب زبيبا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المضبوط في كتب الرواية و الفتوى على 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الكناية في غاية البشاعة عند الطبع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الصحيحة الأخرى لسعد، عن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الزكاة في الحنطة و الشعير و التمر و الزبيب متى تجب على صاحبها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صرم و إذا خرص</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إجمالها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اتحاد زمان الصرام و الخرص، مع ظهور اختلاف زمانهما، فلا بدّ من التصرّف في الصرام أو في الخرص لفظا أو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إجمالا في الصحيحة الاولى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أظهر الاحتمالات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قابلية الصرام للأكل، لا لجعلها زبيبا، فيتحد مع زمان الخرص، و يكون من أدلّة المشهور، و هذا أولى من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بالمعنى المتقدّم، فيكون كناية عن الصرام بالكليّة، و إن كان هذا المعنى هنا أقرب منه في الصحيحة</w:t>
      </w:r>
    </w:p>
    <w:p>
      <w:pPr>
        <w:pStyle w:val="BookText"/>
        <w:rPr/>
      </w:pP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ظهر وجه التمسّك في المقام بأدلّة الخرص، فانّ ما ذكروا في فائدته و صفته صريح في القول المشهور،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جواز الخرص في الكرم و النخل على وجه يستفاد منه عدم المخالف في المسألة إلّا من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زمان الخرص حين يبدو صلاح الثّمرة، لأنّه وقت الأمن على الثمرة من الجائحة </w:t>
      </w:r>
      <w:r>
        <w:rPr>
          <w:rStyle w:val="FootnoteAnchor"/>
          <w:rtl w:val="true"/>
        </w:rPr>
        <w:footnoteReference w:id="428"/>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صفة الخرص أنّ يقدّر الثمرة لو صارت تمرا، و العنب لو صار زبيبا، فإن بلغ الأوساق وجب الزكاة ثم خيّرهم بين تركه أمانة في يدهم و بين تضمينهم حقّ الفقراء أو يضمن لهم حقّهم، فإن اختاروا كان لهم التصرّف كيف شاءوا، و إن أبوا جعله أمانة و لم يجز لهم التصرّف بالأكل و البيع و الهبة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الكلام من المحقّق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على سبيل التفريع على 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قوله بعدم وجوب الزكاة في الغلّات الأربع إلّا بعد صدق التمر و الزبيب و الحنطة و الشعير، </w:t>
      </w:r>
      <w:r>
        <w:rPr>
          <w:rStyle w:val="FootnoteAnchor"/>
          <w:rtl w:val="true"/>
        </w:rPr>
        <w:footnoteReference w:id="431"/>
      </w:r>
      <w:r>
        <w:rPr>
          <w:rFonts w:ascii="Amiri" w:hAnsi="Amiri" w:eastAsia="Amiri" w:cs="Amiri"/>
          <w:color w:val="111111"/>
          <w:sz w:val="28"/>
          <w:sz w:val="28"/>
          <w:szCs w:val="28"/>
          <w:rtl w:val="true"/>
          <w:lang w:bidi="ar-SA"/>
        </w:rPr>
        <w:t xml:space="preserve">وفاقا للمحكي عن الإسكافي </w:t>
      </w:r>
      <w:r>
        <w:rPr>
          <w:rStyle w:val="FootnoteAnchor"/>
          <w:rtl w:val="true"/>
        </w:rPr>
        <w:footnoteReference w:id="432"/>
      </w:r>
      <w:r>
        <w:rPr>
          <w:rFonts w:ascii="Amiri" w:hAnsi="Amiri" w:eastAsia="Amiri" w:cs="Amiri"/>
          <w:color w:val="111111"/>
          <w:sz w:val="28"/>
          <w:sz w:val="28"/>
          <w:szCs w:val="28"/>
          <w:rtl w:val="true"/>
          <w:lang w:bidi="ar-SA"/>
        </w:rPr>
        <w:t xml:space="preserve">، و الشيخ في النهاية </w:t>
      </w:r>
      <w:r>
        <w:rPr>
          <w:rStyle w:val="FootnoteAnchor"/>
          <w:rtl w:val="true"/>
        </w:rPr>
        <w:footnoteReference w:id="433"/>
      </w:r>
      <w:r>
        <w:rPr>
          <w:rFonts w:ascii="Amiri" w:hAnsi="Amiri" w:eastAsia="Amiri" w:cs="Amiri"/>
          <w:color w:val="111111"/>
          <w:sz w:val="28"/>
          <w:sz w:val="28"/>
          <w:szCs w:val="28"/>
          <w:rtl w:val="true"/>
          <w:lang w:bidi="ar-SA"/>
        </w:rPr>
        <w:t xml:space="preserve">، و سلّار </w:t>
      </w:r>
      <w:r>
        <w:rPr>
          <w:rStyle w:val="FootnoteAnchor"/>
          <w:rtl w:val="true"/>
        </w:rPr>
        <w:footnoteReference w:id="434"/>
      </w:r>
      <w:r>
        <w:rPr>
          <w:rFonts w:ascii="IRNazanin" w:hAnsi="IRNazanin" w:eastAsia="IRNazanin"/>
          <w:color w:val="111111"/>
          <w:sz w:val="28"/>
          <w:sz w:val="28"/>
          <w:szCs w:val="28"/>
          <w:rtl w:val="true"/>
          <w:lang w:bidi="fa-IR"/>
        </w:rPr>
        <w:t xml:space="preserve">، و والد المصنّف قدّس سرهم </w:t>
      </w:r>
      <w:r>
        <w:rPr>
          <w:rStyle w:val="FootnoteAnchor"/>
          <w:rtl w:val="true"/>
        </w:rPr>
        <w:footnoteReference w:id="435"/>
      </w:r>
      <w:r>
        <w:rPr>
          <w:rFonts w:ascii="Amiri" w:hAnsi="Amiri" w:eastAsia="Amiri" w:cs="Amiri"/>
          <w:color w:val="111111"/>
          <w:sz w:val="28"/>
          <w:sz w:val="28"/>
          <w:szCs w:val="28"/>
          <w:rtl w:val="true"/>
          <w:lang w:bidi="ar-SA"/>
        </w:rPr>
        <w:t xml:space="preserve">و مال إليه بعض من تأخّر، </w:t>
      </w:r>
      <w:r>
        <w:rPr>
          <w:rStyle w:val="FootnoteAnchor"/>
          <w:rtl w:val="true"/>
        </w:rPr>
        <w:footnoteReference w:id="436"/>
      </w:r>
      <w:r>
        <w:rPr>
          <w:rFonts w:ascii="IRNazanin" w:hAnsi="IRNazanin" w:eastAsia="IRNazanin"/>
          <w:color w:val="111111"/>
          <w:sz w:val="28"/>
          <w:sz w:val="28"/>
          <w:szCs w:val="28"/>
          <w:rtl w:val="true"/>
          <w:lang w:bidi="fa-IR"/>
        </w:rPr>
        <w:t xml:space="preserve">بل ربما نسب </w:t>
      </w:r>
      <w:r>
        <w:rPr>
          <w:rStyle w:val="FootnoteAnchor"/>
          <w:rtl w:val="true"/>
        </w:rPr>
        <w:footnoteReference w:id="437"/>
      </w:r>
      <w:r>
        <w:rPr>
          <w:rFonts w:ascii="Amiri" w:hAnsi="Amiri" w:eastAsia="Amiri" w:cs="Amiri"/>
          <w:color w:val="111111"/>
          <w:sz w:val="28"/>
          <w:sz w:val="28"/>
          <w:szCs w:val="28"/>
          <w:rtl w:val="true"/>
          <w:lang w:bidi="ar-SA"/>
        </w:rPr>
        <w:t xml:space="preserve">إلى ظاهر كثير ممّن </w:t>
      </w:r>
      <w:r>
        <w:rPr>
          <w:rStyle w:val="FootnoteAnchor"/>
          <w:rtl w:val="true"/>
        </w:rPr>
        <w:footnoteReference w:id="438"/>
      </w:r>
      <w:r>
        <w:rPr>
          <w:rFonts w:ascii="Amiri" w:hAnsi="Amiri" w:eastAsia="Amiri" w:cs="Amiri"/>
          <w:color w:val="111111"/>
          <w:sz w:val="28"/>
          <w:sz w:val="28"/>
          <w:szCs w:val="28"/>
          <w:rtl w:val="true"/>
          <w:lang w:bidi="ar-SA"/>
        </w:rPr>
        <w:t>تقدّم، حيث أطلقوا القول بوجوب الزكاة في الغلّات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الحنطة و الشعير و التمر و الزبيب، و عدم وجوبها فيما عداها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النسبة بمجرّد هذا الإطلاق نظر، لاشتراك الكل في هذا التعبير المراد به جنس هذه الأربعة في مقابل غيرها من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التمسّك بما دلّ على وجوب الزكاة في مسمّيات الأسماء الأربعة و نفيها عن غيرها، الشامل لما قبل بدوّ الصلاح في هذه الأربعة، فلم يبق لهذا القول ما يركن إليه عدا الأصل المندفع بما تقدّم للمشهور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الغلّات و أمّا في غيرها فوقت الوجوب إذا أهلّ أي دخل الشهر الثاني عشر عند علمائنا </w:t>
      </w:r>
      <w:r>
        <w:rPr>
          <w:rStyle w:val="FootnoteAnchor"/>
          <w:rtl w:val="true"/>
        </w:rPr>
        <w:footnoteReference w:id="440"/>
      </w:r>
      <w:r>
        <w:rPr>
          <w:rFonts w:ascii="Amiri" w:hAnsi="Amiri" w:eastAsia="Amiri" w:cs="Amiri"/>
          <w:color w:val="111111"/>
          <w:sz w:val="28"/>
          <w:sz w:val="28"/>
          <w:szCs w:val="28"/>
          <w:rtl w:val="true"/>
          <w:lang w:bidi="ar-SA"/>
        </w:rPr>
        <w:t>إذ به يتمّ الحول الذي سيجي‌ء أنّه أحد عشر شهرا، لحسنة 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الشهر الثاني عشر فقد حال الحول، و وجبت الزكاة</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و ظاهر النص و الفتوى استقرار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بدوّ صلاحها، خلافا للمحكي </w:t>
      </w:r>
      <w:r>
        <w:rPr>
          <w:rStyle w:val="FootnoteAnchor"/>
          <w:rtl w:val="true"/>
        </w:rPr>
        <w:footnoteReference w:id="442"/>
      </w:r>
      <w:r>
        <w:rPr>
          <w:rFonts w:ascii="Amiri" w:hAnsi="Amiri" w:eastAsia="Amiri" w:cs="Amiri"/>
          <w:color w:val="111111"/>
          <w:sz w:val="28"/>
          <w:sz w:val="28"/>
          <w:szCs w:val="28"/>
          <w:rtl w:val="true"/>
          <w:lang w:bidi="ar-SA"/>
        </w:rPr>
        <w:t xml:space="preserve">عن جماعة منهم الشهيد الثاني في الروضة </w:t>
      </w:r>
      <w:r>
        <w:rPr>
          <w:rStyle w:val="FootnoteAnchor"/>
          <w:rtl w:val="true"/>
        </w:rPr>
        <w:footnoteReference w:id="443"/>
      </w:r>
      <w:r>
        <w:rPr>
          <w:rFonts w:ascii="Amiri" w:hAnsi="Amiri" w:eastAsia="Amiri" w:cs="Amiri"/>
          <w:color w:val="111111"/>
          <w:sz w:val="28"/>
          <w:sz w:val="28"/>
          <w:szCs w:val="28"/>
          <w:rtl w:val="true"/>
          <w:lang w:bidi="ar-SA"/>
        </w:rPr>
        <w:t>، فلا يستقرّ إلّا بإكمال الثاني عشر، جمعا بين إطلاق النص و الفتوى بالوجوب بدخول الثاني عشر، و ما ثبت من الإجماع نصا و فتوى على وجوب مضيّ الحول و السنة و العام التي هي موضوعة لغة و عرفا لاثني عشر شهرا كاملا، فيتحقّق الوجوب بدخول الأخير، و يبقى متزلزلا فإن كمل مع بقاء شرائط المال و المكلّف، و إلّا كشف عن عدمه أوّلا، فيستردّ ما دفعه مع بقاء العين، أو علم القابض بالحال، كما في كلّ دفع متزلزل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طرح لظاهر الأدلّة من الطرفين، فإنّ ظاهر الحسنة المتقدّمة بل صريحها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صدرها المانع من نقل النصاب بعد هلال الثاني عشر، لاشتمالها على مال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الزكاة و تعلّق حقّ الفقراء بل شركتهم بمجرّد دخول الثاني عشر، و كذا ظاهر أدلّة اشتراط الحول </w:t>
      </w:r>
      <w:r>
        <w:rPr>
          <w:rStyle w:val="FootnoteAnchor"/>
          <w:rtl w:val="true"/>
        </w:rPr>
        <w:footnoteReference w:id="444"/>
      </w:r>
      <w:r>
        <w:rPr>
          <w:rFonts w:ascii="Amiri" w:hAnsi="Amiri" w:eastAsia="Amiri" w:cs="Amiri"/>
          <w:color w:val="111111"/>
          <w:sz w:val="28"/>
          <w:sz w:val="28"/>
          <w:szCs w:val="28"/>
          <w:rtl w:val="true"/>
          <w:lang w:bidi="ar-SA"/>
        </w:rPr>
        <w:t>بل صريح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عن الدفع قبله إلّا قرضا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توقّف أصل الوجوب على ذلك، لا 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الوجوب المتزلزل ليس معنى مجازيا للفظ الوجوب، بل هو وجوب مقيّد بصورة تحقّق ما به يستقرّ، فاستعماله فيه على وجه التقييد دون المجاز، و ظاهر أنّه لا يمكن ارتكاب التقييد في الحسنة المتقدّمة،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بما إذا كمل الشهر الأخير، لأجل صراحة الكلام في كفاية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تضمّنها لكون الدخول في الثاني عشر موجبا لحولان الحول الذي جعل مناطا لوجوب الزكاة في أدلّة اعتبار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على تلك الأدلّة، فلا معنى للجمع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الحكم في أحدهما مغايرا للحكم في الآخر</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يشهد لهذا القول رواية إسحاق بن عمّار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السخلة متى تجب فيها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أجذع</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و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 ما دخل في السنة الثانية، و أمّا في الضأن فقد اختلف فيه، إلّا أنّ المحكيّ عن 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أصحابنا و أكثر أهل اللغة إنّه ما مضى عليه سنة </w:t>
      </w:r>
      <w:r>
        <w:rPr>
          <w:rStyle w:val="FootnoteAnchor"/>
          <w:rtl w:val="true"/>
        </w:rPr>
        <w:footnoteReference w:id="448"/>
      </w:r>
      <w:r>
        <w:rPr>
          <w:rFonts w:ascii="Amiri" w:hAnsi="Amiri" w:eastAsia="Amiri" w:cs="Amiri"/>
          <w:color w:val="111111"/>
          <w:sz w:val="28"/>
          <w:sz w:val="28"/>
          <w:szCs w:val="28"/>
          <w:rtl w:val="true"/>
          <w:lang w:bidi="ar-SA"/>
        </w:rPr>
        <w:t>، مع أنّه</w:t>
      </w:r>
    </w:p>
    <w:p>
      <w:pPr>
        <w:pStyle w:val="BookText"/>
        <w:rPr/>
      </w:pPr>
      <w:r>
        <w:rPr>
          <w:rFonts w:ascii="Amiri" w:hAnsi="Amiri" w:eastAsia="Amiri" w:cs="Amiri"/>
          <w:color w:val="111111"/>
          <w:sz w:val="28"/>
          <w:sz w:val="28"/>
          <w:szCs w:val="28"/>
          <w:rtl w:val="true"/>
          <w:lang w:bidi="ar-SA"/>
        </w:rPr>
        <w:t xml:space="preserve">لا يناسب هنا إرادة غيره، لعدم الوجوب فيما دون الأحد عشر إجماعا، فيصير الرواية دالّة على توقف الوجوب على مضيّ اثنا عشر، فتحمل </w:t>
      </w:r>
      <w:r>
        <w:rPr>
          <w:rStyle w:val="FootnoteAnchor"/>
          <w:rtl w:val="true"/>
        </w:rPr>
        <w:footnoteReference w:id="449"/>
      </w:r>
      <w:r>
        <w:rPr>
          <w:rFonts w:ascii="Amiri" w:hAnsi="Amiri" w:eastAsia="Amiri" w:cs="Amiri"/>
          <w:color w:val="111111"/>
          <w:sz w:val="28"/>
          <w:sz w:val="28"/>
          <w:szCs w:val="28"/>
          <w:rtl w:val="true"/>
          <w:lang w:bidi="ar-SA"/>
        </w:rPr>
        <w:t>على استقراره بذلك بدليل الإجماعات المستفيضة على تحقّق أصل الوجوب بمضي أحد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حيث عرفت ظهور الحسنة بل صراحتها في الوجوب المستقر، سيّما بعد الاعتضاد بظاهر الفتاوى و معاقد الإجماعات، بل صريحها حيث أنّهم يستدلّون على كفاية الاستهلال الثاني عشر بأدلّة اعتبار الحول، فيكشف ذلك عن إرادتهم الوجوب المستقرّ، و لذا اعترف في المسالك، بأنّ مقتضى الإجماع و الرواية هو استقرار الوجوب بدخول الشهر </w:t>
      </w:r>
      <w:r>
        <w:rPr>
          <w:rStyle w:val="FootnoteAnchor"/>
          <w:rtl w:val="true"/>
        </w:rPr>
        <w:footnoteReference w:id="450"/>
      </w:r>
      <w:r>
        <w:rPr>
          <w:rFonts w:ascii="Amiri" w:hAnsi="Amiri" w:eastAsia="Amiri" w:cs="Amiri"/>
          <w:color w:val="111111"/>
          <w:sz w:val="28"/>
          <w:sz w:val="28"/>
          <w:szCs w:val="28"/>
          <w:rtl w:val="true"/>
          <w:lang w:bidi="ar-SA"/>
        </w:rPr>
        <w:t>، و ظاهره إرادة الإجماعات المحكية، و إلّا فكيف يعدل عن مقتضى الإجماع المحصّل؟ و يمكن أن يريد به متن الإجماع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فيتعيّن حمل رواية إسحاق على السؤال عن زمان قابلية السخلة لإخراجها في الصدقة، فيصير مفادها اعتبار الجذع في الفريضة، و سيجي‌ء تحقيق معناه إن شاء اللّٰه تعالى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الكلام في سند الحسنة، فإن كان من جهة ابن هاشم فقد عدّ في المسالك روايته صحيحة، في مسألة مبدأ حول السخال </w:t>
      </w:r>
      <w:r>
        <w:rPr>
          <w:rStyle w:val="FootnoteAnchor"/>
          <w:rtl w:val="true"/>
        </w:rPr>
        <w:footnoteReference w:id="451"/>
      </w:r>
      <w:r>
        <w:rPr>
          <w:rFonts w:ascii="Amiri" w:hAnsi="Amiri" w:eastAsia="Amiri" w:cs="Amiri"/>
          <w:color w:val="111111"/>
          <w:sz w:val="28"/>
          <w:sz w:val="28"/>
          <w:szCs w:val="28"/>
          <w:rtl w:val="true"/>
          <w:lang w:bidi="ar-SA"/>
        </w:rPr>
        <w:t>، و إن كان من جهة حريز فلا يخفى أنّه ليس محلّا للكلام و إن ورد فيه بعض الكلام، مع أنّها لا تقصر عن الضعف المنجبر بالشهرة و الإجماعات المنقولة، فلا محيص من التصرّف في</w:t>
      </w:r>
    </w:p>
    <w:p>
      <w:pPr>
        <w:pStyle w:val="BookText"/>
        <w:rPr/>
      </w:pPr>
      <w:r>
        <w:rPr>
          <w:rFonts w:ascii="Amiri" w:hAnsi="Amiri" w:eastAsia="Amiri" w:cs="Amiri"/>
          <w:color w:val="111111"/>
          <w:sz w:val="28"/>
          <w:sz w:val="28"/>
          <w:szCs w:val="28"/>
          <w:rtl w:val="true"/>
          <w:lang w:bidi="ar-SA"/>
        </w:rPr>
        <w:t xml:space="preserve">أدلّة اعتبار الحول و إن كثرت و وردت في مقام البيان، إمّا بحمل الحول فيها على الأحد عشر شهرا بإثبات الحقيقة الشرعية كما يظهر من بعضهم </w:t>
      </w:r>
      <w:r>
        <w:rPr>
          <w:rStyle w:val="FootnoteAnchor"/>
          <w:rtl w:val="true"/>
        </w:rPr>
        <w:footnoteReference w:id="452"/>
      </w:r>
      <w:r>
        <w:rPr>
          <w:rFonts w:ascii="Amiri" w:hAnsi="Amiri" w:eastAsia="Amiri" w:cs="Amiri"/>
          <w:color w:val="111111"/>
          <w:sz w:val="28"/>
          <w:sz w:val="28"/>
          <w:szCs w:val="28"/>
          <w:rtl w:val="true"/>
          <w:lang w:bidi="ar-SA"/>
        </w:rPr>
        <w:t>أو المجاز اللّغوي، و إمّا بالتصرّف في حولان الحول بإرادة الدخول في الشهر الأخير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الحقيقة الشرعية في غاية البعد، مع أنّ الوارد في الأدلّة ليس منحصرا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و ادّعاء الحقيقة في الكلّ كما ترى، مع أنّه مخالف للأصل 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دونه في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التجوّز في الألفاظ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فالأحسن التصرّف في حولان الحول و مضيّه، فإنّه كثيرا ما يستعمل مضي الحول إذا دخل الجزء الأوّل من الشهر الأخير، كما يستعمل مضي الأسبوع و الشهر بدخول اليوم الأخير،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عشرة أيّام أو خمسة أيّام، أو غير ذلك بدخول اليوم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كان مبنيّا على المسامحة إلّا أنّه لا بأس به بعد قيام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أنّا و إن قلنا بتنجّز الوجوب بدخول الشهر الأخير إلّا أنّ الظاهر أنّه بمجموعه محسوب من الحول الأوّل، و لا يستأنف الحول إلّا بعد 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يثبت التلازم بين القول باستقرار الوجوب بما ذكر و القول بعدّ الأخير من الحول الثاني، كما يظهر من غير واحد، </w:t>
      </w:r>
      <w:r>
        <w:rPr>
          <w:rStyle w:val="FootnoteAnchor"/>
          <w:rtl w:val="true"/>
        </w:rPr>
        <w:footnoteReference w:id="455"/>
      </w:r>
      <w:r>
        <w:rPr>
          <w:rFonts w:ascii="Amiri" w:hAnsi="Amiri" w:eastAsia="Amiri" w:cs="Amiri"/>
          <w:color w:val="111111"/>
          <w:sz w:val="28"/>
          <w:sz w:val="28"/>
          <w:szCs w:val="28"/>
          <w:rtl w:val="true"/>
          <w:lang w:bidi="ar-SA"/>
        </w:rPr>
        <w:t xml:space="preserve">و لذا فكّك </w:t>
      </w:r>
      <w:r>
        <w:rPr>
          <w:rStyle w:val="FootnoteAnchor"/>
          <w:rtl w:val="true"/>
        </w:rPr>
        <w:footnoteReference w:id="456"/>
      </w:r>
      <w:r>
        <w:rPr>
          <w:rFonts w:ascii="Amiri" w:hAnsi="Amiri" w:eastAsia="Amiri" w:cs="Amiri"/>
          <w:color w:val="111111"/>
          <w:sz w:val="28"/>
          <w:sz w:val="28"/>
          <w:szCs w:val="28"/>
          <w:rtl w:val="true"/>
          <w:lang w:bidi="ar-SA"/>
        </w:rPr>
        <w:t xml:space="preserve">بينهما جماعة من متأخّري المتأخّرين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جعلنا المراد بالحول في الأخبار الحول الشرعيّ حقيقة أو مجازا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مناص عما اختاره جماعة </w:t>
      </w:r>
      <w:r>
        <w:rPr>
          <w:rStyle w:val="FootnoteAnchor"/>
          <w:rtl w:val="true"/>
        </w:rPr>
        <w:footnoteReference w:id="458"/>
      </w:r>
      <w:r>
        <w:rPr>
          <w:rFonts w:ascii="Amiri" w:hAnsi="Amiri" w:eastAsia="Amiri" w:cs="Amiri"/>
          <w:color w:val="111111"/>
          <w:sz w:val="28"/>
          <w:sz w:val="28"/>
          <w:szCs w:val="28"/>
          <w:rtl w:val="true"/>
          <w:lang w:bidi="ar-SA"/>
        </w:rPr>
        <w:t xml:space="preserve">كالمصنف </w:t>
      </w:r>
      <w:r>
        <w:rPr>
          <w:rStyle w:val="FootnoteAnchor"/>
          <w:rtl w:val="true"/>
        </w:rPr>
        <w:footnoteReference w:id="459"/>
      </w:r>
      <w:r>
        <w:rPr>
          <w:rFonts w:ascii="Amiri" w:hAnsi="Amiri" w:eastAsia="Amiri" w:cs="Amiri"/>
          <w:color w:val="111111"/>
          <w:sz w:val="28"/>
          <w:sz w:val="28"/>
          <w:szCs w:val="28"/>
          <w:rtl w:val="true"/>
          <w:lang w:bidi="ar-SA"/>
        </w:rPr>
        <w:t xml:space="preserve">و ولده في الإيضاح </w:t>
      </w:r>
      <w:r>
        <w:rPr>
          <w:rStyle w:val="FootnoteAnchor"/>
          <w:rtl w:val="true"/>
        </w:rPr>
        <w:footnoteReference w:id="460"/>
      </w:r>
      <w:r>
        <w:rPr>
          <w:rFonts w:ascii="Amiri" w:hAnsi="Amiri" w:eastAsia="Amiri" w:cs="Amiri"/>
          <w:color w:val="111111"/>
          <w:sz w:val="28"/>
          <w:sz w:val="28"/>
          <w:szCs w:val="28"/>
          <w:rtl w:val="true"/>
          <w:lang w:bidi="ar-SA"/>
        </w:rPr>
        <w:t xml:space="preserve">و شارح الروضة </w:t>
      </w:r>
      <w:r>
        <w:rPr>
          <w:rStyle w:val="FootnoteAnchor"/>
          <w:rtl w:val="true"/>
        </w:rPr>
        <w:footnoteReference w:id="461"/>
      </w:r>
      <w:r>
        <w:rPr>
          <w:rFonts w:ascii="IRNazanin" w:hAnsi="IRNazanin" w:eastAsia="IRNazanin"/>
          <w:color w:val="111111"/>
          <w:sz w:val="28"/>
          <w:sz w:val="28"/>
          <w:szCs w:val="28"/>
          <w:rtl w:val="true"/>
          <w:lang w:bidi="fa-IR"/>
        </w:rPr>
        <w:t xml:space="preserve">من </w:t>
      </w:r>
      <w:r>
        <w:rPr>
          <w:rStyle w:val="FootnoteAnchor"/>
          <w:rtl w:val="true"/>
        </w:rPr>
        <w:footnoteReference w:id="462"/>
      </w:r>
      <w:r>
        <w:rPr>
          <w:rFonts w:ascii="Amiri" w:hAnsi="Amiri" w:eastAsia="Amiri" w:cs="Amiri"/>
          <w:color w:val="111111"/>
          <w:sz w:val="28"/>
          <w:sz w:val="28"/>
          <w:szCs w:val="28"/>
          <w:rtl w:val="true"/>
          <w:lang w:bidi="ar-SA"/>
        </w:rPr>
        <w:t xml:space="preserve">عدّ الشهر الأخير من الحول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bookmarkStart w:id="17" w:name="pg19722_766147"/>
    </w:p>
    <w:p>
      <w:pPr>
        <w:pStyle w:val="Heading2"/>
        <w:numPr>
          <w:ilvl w:val="1"/>
          <w:numId w:val="1"/>
        </w:numPr>
        <w:rPr/>
      </w:pPr>
      <w:bookmarkStart w:id="18" w:name="__RefHeading___Toc2136290_2314609296"/>
      <w:bookmarkStart w:id="19" w:name="_Toc7"/>
      <w:bookmarkEnd w:id="17"/>
      <w:bookmarkEnd w:id="18"/>
      <w:r>
        <w:rPr>
          <w:rtl w:val="true"/>
        </w:rPr>
        <w:t>مسائل مستقلة</w:t>
      </w:r>
      <w:bookmarkEnd w:id="1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136292_2314609296"/>
      <w:bookmarkStart w:id="21" w:name="_Toc8"/>
      <w:bookmarkEnd w:id="20"/>
      <w:r>
        <w:rPr>
          <w:rtl w:val="true"/>
        </w:rPr>
        <w:t>اشارة</w:t>
      </w:r>
      <w:bookmarkStart w:id="22" w:name="pg19722_766148"/>
      <w:bookmarkEnd w:id="21"/>
    </w:p>
    <w:p>
      <w:pPr>
        <w:pStyle w:val="Heading3"/>
        <w:numPr>
          <w:ilvl w:val="2"/>
          <w:numId w:val="1"/>
        </w:numPr>
        <w:rPr/>
      </w:pPr>
      <w:bookmarkStart w:id="23" w:name="__RefHeading___Toc2136294_2314609296"/>
      <w:bookmarkStart w:id="24" w:name="_Toc9"/>
      <w:bookmarkEnd w:id="22"/>
      <w:bookmarkEnd w:id="23"/>
      <w:r>
        <w:rPr>
          <w:rtl w:val="true"/>
        </w:rPr>
        <w:t>المقصد الأول في زكاة المال</w:t>
      </w:r>
      <w:bookmarkEnd w:id="2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 w:name="__RefHeading___Toc2136296_2314609296"/>
      <w:bookmarkStart w:id="26" w:name="_Toc10"/>
      <w:bookmarkEnd w:id="25"/>
      <w:r>
        <w:rPr>
          <w:rtl w:val="true"/>
        </w:rPr>
        <w:t>اشارة</w:t>
      </w:r>
      <w:bookmarkStart w:id="27" w:name="pg19722_766149"/>
      <w:bookmarkEnd w:id="26"/>
    </w:p>
    <w:p>
      <w:pPr>
        <w:pStyle w:val="BookText"/>
        <w:rPr/>
      </w:pPr>
      <w:bookmarkEnd w:id="27"/>
      <w:r>
        <w:rPr>
          <w:rFonts w:ascii="Amiri" w:hAnsi="Amiri" w:eastAsia="Amiri" w:cs="Amiri"/>
          <w:color w:val="111111"/>
          <w:sz w:val="28"/>
          <w:sz w:val="28"/>
          <w:szCs w:val="28"/>
          <w:rtl w:val="true"/>
          <w:lang w:bidi="ar-SA"/>
        </w:rPr>
        <w:t>بسم الهّٰا الرحمن الرحيم الحمد للّٰه ربّ العالمين، و الصلاة و السلام على محمّد و آله الطاهرين، و 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المال </w:t>
      </w:r>
      <w:r>
        <w:rPr>
          <w:rStyle w:val="FootnoteAnchor"/>
          <w:rtl w:val="true"/>
        </w:rPr>
        <w:footnoteReference w:id="464"/>
      </w:r>
    </w:p>
    <w:p>
      <w:pPr>
        <w:pStyle w:val="Heading4"/>
        <w:numPr>
          <w:ilvl w:val="3"/>
          <w:numId w:val="1"/>
        </w:numPr>
        <w:rPr/>
      </w:pPr>
      <w:bookmarkStart w:id="28" w:name="__RefHeading___Toc2136298_2314609296"/>
      <w:bookmarkStart w:id="29" w:name="_Toc11"/>
      <w:bookmarkEnd w:id="28"/>
      <w:r>
        <w:rPr>
          <w:rtl w:val="true"/>
        </w:rPr>
        <w:t xml:space="preserve">مسألة </w:t>
      </w:r>
      <w:r>
        <w:rPr>
          <w:rtl w:val="true"/>
        </w:rPr>
        <w:t>[</w:t>
      </w:r>
      <w:r>
        <w:rPr/>
        <w:t>1</w:t>
      </w:r>
      <w:r>
        <w:rPr>
          <w:rtl w:val="true"/>
        </w:rPr>
        <w:t>]</w:t>
      </w:r>
      <w:bookmarkEnd w:id="29"/>
    </w:p>
    <w:p>
      <w:pPr>
        <w:pStyle w:val="BookText"/>
        <w:rPr/>
      </w:pPr>
      <w:r>
        <w:rPr>
          <w:rFonts w:ascii="Amiri" w:hAnsi="Amiri" w:eastAsia="Amiri" w:cs="Amiri"/>
          <w:color w:val="111111"/>
          <w:sz w:val="28"/>
          <w:sz w:val="28"/>
          <w:szCs w:val="28"/>
          <w:rtl w:val="true"/>
          <w:lang w:bidi="ar-SA"/>
        </w:rPr>
        <w:t>لا خلاف و لا إشكال في اعتبار البلوغ في زكاة النقدين، و الفتوى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المختلف عن ابن حمزة إطلاق ثبوت الزكاة في مال اليتيم </w:t>
      </w:r>
      <w:r>
        <w:rPr>
          <w:rStyle w:val="FootnoteAnchor"/>
          <w:rtl w:val="true"/>
        </w:rPr>
        <w:footnoteReference w:id="465"/>
      </w:r>
      <w:r>
        <w:rPr>
          <w:rFonts w:ascii="Amiri" w:hAnsi="Amiri" w:eastAsia="Amiri" w:cs="Amiri"/>
          <w:color w:val="111111"/>
          <w:sz w:val="28"/>
          <w:sz w:val="28"/>
          <w:szCs w:val="28"/>
          <w:rtl w:val="true"/>
          <w:lang w:bidi="ar-SA"/>
        </w:rPr>
        <w:t>، فإن أراد به ما يعمّ النقدين كان شاذا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رفع التكليف عن الصبي، و فيه نظر، لأنّ عدم تكليف الصبي بأدائها لا يستلزم عدم ثبوتها في ماله بحكم أمثال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جعل للفقراء في أموال الأغنياء ما يكفيهم</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مما يدلّ</w:t>
      </w:r>
    </w:p>
    <w:p>
      <w:pPr>
        <w:pStyle w:val="BookText"/>
        <w:rPr/>
      </w:pPr>
      <w:r>
        <w:rPr>
          <w:rFonts w:ascii="Amiri" w:hAnsi="Amiri" w:eastAsia="Amiri" w:cs="Amiri"/>
          <w:color w:val="111111"/>
          <w:sz w:val="28"/>
          <w:sz w:val="28"/>
          <w:szCs w:val="28"/>
          <w:rtl w:val="true"/>
          <w:lang w:bidi="ar-SA"/>
        </w:rPr>
        <w:t>على ثبوت الزكاة في عين مال الأغنياء المستلزم لوجوب إخراجها على من له ولاية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اعتبار البلوغ من ابتداء الحول، فلا يكفي تجدّده في الجزء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بصير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 و لا عليه صلاة، و ليس على جميع غلّاته من نخل أو زرع أو غلّة زكاة، و إن بلغ فليس عليه لما مضى زكاة، و لا عليه لما يستقبل زكاة حتّى يدرك، فإذا أدرك كانت عليه زكاة واحدة، ثمّ كان عليه مثل ما على غيره من الناس</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بناء على أنّ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الأحوال المتعدّدة و الحول الواحد إلّا أيّاما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دلّ على اعتبار حول الحول بشرط كون المال في يده طول الحول و عنده، بناء على ظهورها في اعتبار تمكّنه من التصرف طول </w:t>
      </w:r>
      <w:r>
        <w:rPr>
          <w:rStyle w:val="FootnoteAnchor"/>
          <w:rtl w:val="true"/>
        </w:rPr>
        <w:footnoteReference w:id="468"/>
      </w:r>
      <w:r>
        <w:rPr>
          <w:rFonts w:ascii="Amiri" w:hAnsi="Amiri" w:eastAsia="Amiri" w:cs="Amiri"/>
          <w:color w:val="111111"/>
          <w:sz w:val="28"/>
          <w:sz w:val="28"/>
          <w:szCs w:val="28"/>
          <w:rtl w:val="true"/>
          <w:lang w:bidi="ar-SA"/>
        </w:rPr>
        <w:t>الحول، و الصغير و المجنون في بعض الحول ليسا متمكّنين من التصرف في المال طول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الظاهر من هذه الأخبار اعتبار التمكّن من التصرف في مقابل الدين و المغصوب و الغائب، لا في مقابل قصور المالك عن التصرّف لصغر أو جنون، و لهذا لا يسقط عن السفيه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الصغر مانع آخر لا دخل له بعدم </w:t>
      </w:r>
      <w:r>
        <w:rPr>
          <w:rStyle w:val="FootnoteAnchor"/>
          <w:rtl w:val="true"/>
        </w:rPr>
        <w:footnoteReference w:id="469"/>
      </w:r>
      <w:r>
        <w:rPr>
          <w:rFonts w:ascii="Amiri" w:hAnsi="Amiri" w:eastAsia="Amiri" w:cs="Amiri"/>
          <w:color w:val="111111"/>
          <w:sz w:val="28"/>
          <w:sz w:val="28"/>
          <w:szCs w:val="28"/>
          <w:rtl w:val="true"/>
          <w:lang w:bidi="ar-SA"/>
        </w:rPr>
        <w:t xml:space="preserve">تمكّنه من التصرّف، و عدم التمكن </w:t>
      </w:r>
      <w:r>
        <w:rPr>
          <w:rStyle w:val="FootnoteAnchor"/>
          <w:rtl w:val="true"/>
        </w:rPr>
        <w:footnoteReference w:id="470"/>
      </w:r>
      <w:r>
        <w:rPr>
          <w:rFonts w:ascii="Amiri" w:hAnsi="Amiri" w:eastAsia="Amiri" w:cs="Amiri"/>
          <w:color w:val="111111"/>
          <w:sz w:val="28"/>
          <w:sz w:val="28"/>
          <w:szCs w:val="28"/>
          <w:rtl w:val="true"/>
          <w:lang w:bidi="ar-SA"/>
        </w:rPr>
        <w:t>من التصرّف مانع آخر، و ليس منع الأول من جهته، و لذا عدّ عدم كلّ منهما شرطا مستقلّا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أن مال اليتيم ما دام كذلك ليس محلا للزكاة، و لا تكون الزكاة متعلّقة به حتّى يجري في الحول و يلاحظ فيه الشرائط </w:t>
      </w:r>
      <w:r>
        <w:rPr>
          <w:rStyle w:val="FootnoteAnchor"/>
          <w:rtl w:val="true"/>
        </w:rPr>
        <w:footnoteReference w:id="472"/>
      </w:r>
      <w:r>
        <w:rPr>
          <w:rFonts w:ascii="Amiri" w:hAnsi="Amiri" w:eastAsia="Amiri" w:cs="Amiri"/>
          <w:color w:val="111111"/>
          <w:sz w:val="28"/>
          <w:sz w:val="28"/>
          <w:szCs w:val="28"/>
          <w:rtl w:val="true"/>
          <w:lang w:bidi="ar-SA"/>
        </w:rPr>
        <w:t>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زكاة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الغائب حتّى يقع في يدك</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إذ ليس معناه إلّا أنّه إذا وقع في اليد يتعلّق به الزكاة، بمعنى أنّه يجري في الحول و يلاحظ فيه الشروط، لا أنّه بمجرّد الوقوع في اليد يجب فيه الزكاة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هذه الأخبار نفي كونه متعلّقا للزكاة، لا نفي تنجّز الزكاة فيه، فتدبّر</w:t>
      </w:r>
      <w:r>
        <w:rPr>
          <w:rFonts w:eastAsia="Amiri" w:cs="Amiri" w:ascii="Amiri" w:hAnsi="Amiri"/>
          <w:color w:val="111111"/>
          <w:sz w:val="28"/>
          <w:szCs w:val="28"/>
          <w:rtl w:val="true"/>
          <w:lang w:bidi="ar-SA"/>
        </w:rPr>
        <w:t>.</w:t>
      </w:r>
      <w:bookmarkStart w:id="30" w:name="pg19722_766152"/>
    </w:p>
    <w:p>
      <w:pPr>
        <w:pStyle w:val="Heading4"/>
        <w:numPr>
          <w:ilvl w:val="3"/>
          <w:numId w:val="1"/>
        </w:numPr>
        <w:rPr/>
      </w:pPr>
      <w:bookmarkStart w:id="31" w:name="__RefHeading___Toc2136300_2314609296"/>
      <w:bookmarkStart w:id="32" w:name="_Toc12"/>
      <w:bookmarkEnd w:id="30"/>
      <w:bookmarkEnd w:id="31"/>
      <w:r>
        <w:rPr>
          <w:rtl w:val="true"/>
        </w:rPr>
        <w:t xml:space="preserve">مسألة </w:t>
      </w:r>
      <w:r>
        <w:rPr>
          <w:rtl w:val="true"/>
        </w:rPr>
        <w:t>[</w:t>
      </w:r>
      <w:r>
        <w:rPr/>
        <w:t>2</w:t>
      </w:r>
      <w:r>
        <w:rPr>
          <w:rtl w:val="true"/>
        </w:rPr>
        <w:t>]</w:t>
      </w:r>
      <w:bookmarkEnd w:id="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اتّجر بمال الطفل، فإمّا أن يتّجر له الولي نظرا له، فالمشهور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إخراج زكاة مال التجارة </w:t>
      </w:r>
      <w:r>
        <w:rPr>
          <w:rStyle w:val="FootnoteAnchor"/>
          <w:rtl w:val="true"/>
        </w:rPr>
        <w:footnoteReference w:id="474"/>
      </w:r>
      <w:r>
        <w:rPr>
          <w:rFonts w:ascii="Amiri" w:hAnsi="Amiri" w:eastAsia="Amiri" w:cs="Amiri"/>
          <w:color w:val="111111"/>
          <w:sz w:val="28"/>
          <w:sz w:val="28"/>
          <w:szCs w:val="28"/>
          <w:rtl w:val="true"/>
          <w:lang w:bidi="ar-SA"/>
        </w:rPr>
        <w:t xml:space="preserve">عن الطفل، و عن المفيد وجوبه </w:t>
      </w:r>
      <w:r>
        <w:rPr>
          <w:rStyle w:val="FootnoteAnchor"/>
          <w:rtl w:val="true"/>
        </w:rPr>
        <w:footnoteReference w:id="475"/>
      </w:r>
      <w:r>
        <w:rPr>
          <w:rFonts w:ascii="Amiri" w:hAnsi="Amiri" w:eastAsia="Amiri" w:cs="Amiri"/>
          <w:color w:val="111111"/>
          <w:sz w:val="28"/>
          <w:sz w:val="28"/>
          <w:szCs w:val="28"/>
          <w:rtl w:val="true"/>
          <w:lang w:bidi="ar-SA"/>
        </w:rPr>
        <w:t xml:space="preserve">، كما هو صريح رواية محمّد بن الفضيل </w:t>
      </w:r>
      <w:r>
        <w:rPr>
          <w:rStyle w:val="FootnoteAnchor"/>
          <w:rtl w:val="true"/>
        </w:rPr>
        <w:footnoteReference w:id="476"/>
      </w:r>
      <w:r>
        <w:rPr>
          <w:rFonts w:ascii="Amiri" w:hAnsi="Amiri" w:eastAsia="Amiri" w:cs="Amiri"/>
          <w:color w:val="111111"/>
          <w:sz w:val="28"/>
          <w:sz w:val="28"/>
          <w:szCs w:val="28"/>
          <w:rtl w:val="true"/>
          <w:lang w:bidi="ar-SA"/>
        </w:rPr>
        <w:t>، و ظاهر غيرها من المستفيضة، إلّا أنّه لا قائل ظاهرا به من الأصحاب، فإنّ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كالمترجم لكلام شيخه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كلامه بإرادة الاستحباب </w:t>
      </w:r>
      <w:r>
        <w:rPr>
          <w:rStyle w:val="FootnoteAnchor"/>
          <w:rtl w:val="true"/>
        </w:rPr>
        <w:footnoteReference w:id="477"/>
      </w:r>
      <w:r>
        <w:rPr>
          <w:rFonts w:ascii="Amiri" w:hAnsi="Amiri" w:eastAsia="Amiri" w:cs="Amiri"/>
          <w:color w:val="111111"/>
          <w:sz w:val="28"/>
          <w:sz w:val="28"/>
          <w:szCs w:val="28"/>
          <w:rtl w:val="true"/>
          <w:lang w:bidi="ar-SA"/>
        </w:rPr>
        <w:t xml:space="preserve">، و يحتمل أيضا حمل تلك الأخبار على التقيّة، حيث أنّ المحكي </w:t>
      </w:r>
      <w:r>
        <w:rPr>
          <w:rStyle w:val="FootnoteAnchor"/>
          <w:rtl w:val="true"/>
        </w:rPr>
        <w:footnoteReference w:id="478"/>
      </w:r>
      <w:r>
        <w:rPr>
          <w:rFonts w:ascii="Amiri" w:hAnsi="Amiri" w:eastAsia="Amiri" w:cs="Amiri"/>
          <w:color w:val="111111"/>
          <w:sz w:val="28"/>
          <w:sz w:val="28"/>
          <w:szCs w:val="28"/>
          <w:rtl w:val="true"/>
          <w:lang w:bidi="ar-SA"/>
        </w:rPr>
        <w:t>عن أبي حنيفة و الشافعي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زكاة التجارة إلّا أنّ الظاهر أنّ حمل تلك الأخبار على الاستحباب أولى من حملها على التقيّة؛ لأنّه طرح في الحقيقة، مضافا إلى ما عن المعتبر </w:t>
      </w:r>
      <w:r>
        <w:rPr>
          <w:rStyle w:val="FootnoteAnchor"/>
          <w:rtl w:val="true"/>
        </w:rPr>
        <w:footnoteReference w:id="479"/>
      </w:r>
      <w:r>
        <w:rPr>
          <w:rFonts w:ascii="IRNazanin" w:hAnsi="IRNazanin" w:eastAsia="IRNazanin"/>
          <w:color w:val="111111"/>
          <w:sz w:val="28"/>
          <w:sz w:val="28"/>
          <w:szCs w:val="28"/>
          <w:rtl w:val="true"/>
          <w:lang w:bidi="fa-IR"/>
        </w:rPr>
        <w:t xml:space="preserve">و المنتهى </w:t>
      </w:r>
      <w:r>
        <w:rPr>
          <w:rStyle w:val="FootnoteAnchor"/>
          <w:rtl w:val="true"/>
        </w:rPr>
        <w:footnoteReference w:id="480"/>
      </w:r>
      <w:r>
        <w:rPr>
          <w:rFonts w:ascii="Amiri" w:hAnsi="Amiri" w:eastAsia="Amiri" w:cs="Amiri"/>
          <w:color w:val="111111"/>
          <w:sz w:val="28"/>
          <w:sz w:val="28"/>
          <w:szCs w:val="28"/>
          <w:rtl w:val="true"/>
          <w:lang w:bidi="ar-SA"/>
        </w:rPr>
        <w:t xml:space="preserve">و الغنية </w:t>
      </w:r>
      <w:r>
        <w:rPr>
          <w:rStyle w:val="FootnoteAnchor"/>
          <w:rtl w:val="true"/>
        </w:rPr>
        <w:footnoteReference w:id="481"/>
      </w:r>
      <w:r>
        <w:rPr>
          <w:rFonts w:ascii="Amiri" w:hAnsi="Amiri" w:eastAsia="Amiri" w:cs="Amiri"/>
          <w:color w:val="111111"/>
          <w:sz w:val="28"/>
          <w:sz w:val="28"/>
          <w:szCs w:val="28"/>
          <w:rtl w:val="true"/>
          <w:lang w:bidi="ar-SA"/>
        </w:rPr>
        <w:t xml:space="preserve">و النهاية </w:t>
      </w:r>
      <w:r>
        <w:rPr>
          <w:rStyle w:val="FootnoteAnchor"/>
          <w:rtl w:val="true"/>
        </w:rPr>
        <w:footnoteReference w:id="482"/>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الإجماع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الظاهر عدم الضمان على الولي، خلافا للمحكي عن ظاهر جماعة؛ لإطلاق غير واحد من الأخبار </w:t>
      </w:r>
      <w:r>
        <w:rPr>
          <w:rStyle w:val="FootnoteAnchor"/>
          <w:rtl w:val="true"/>
        </w:rPr>
        <w:footnoteReference w:id="483"/>
      </w:r>
      <w:r>
        <w:rPr>
          <w:rFonts w:ascii="Amiri" w:hAnsi="Amiri" w:eastAsia="Amiri" w:cs="Amiri"/>
          <w:color w:val="111111"/>
          <w:sz w:val="28"/>
          <w:sz w:val="28"/>
          <w:szCs w:val="28"/>
          <w:rtl w:val="true"/>
          <w:lang w:bidi="ar-SA"/>
        </w:rPr>
        <w:t>في ضمان العامل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على صورة التقصير </w:t>
      </w:r>
      <w:r>
        <w:rPr>
          <w:rStyle w:val="FootnoteAnchor"/>
          <w:rtl w:val="true"/>
        </w:rPr>
        <w:footnoteReference w:id="484"/>
      </w:r>
      <w:r>
        <w:rPr>
          <w:rFonts w:ascii="Amiri" w:hAnsi="Amiri" w:eastAsia="Amiri" w:cs="Amiri"/>
          <w:color w:val="111111"/>
          <w:sz w:val="28"/>
          <w:sz w:val="28"/>
          <w:szCs w:val="28"/>
          <w:rtl w:val="true"/>
          <w:lang w:bidi="ar-SA"/>
        </w:rPr>
        <w:t>، أو على غير الولي، لعموم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مٰا عَلَى الْمُحْسِنِينَ مِنْ سَبِيلٍ </w:t>
      </w:r>
      <w:r>
        <w:rPr>
          <w:rStyle w:val="FootnoteAnchor"/>
          <w:rtl w:val="true"/>
        </w:rPr>
        <w:footnoteReference w:id="485"/>
      </w:r>
      <w:r>
        <w:rPr>
          <w:rFonts w:ascii="Amiri" w:hAnsi="Amiri" w:eastAsia="Amiri" w:cs="Amiri"/>
          <w:color w:val="111111"/>
          <w:sz w:val="28"/>
          <w:sz w:val="28"/>
          <w:szCs w:val="28"/>
          <w:rtl w:val="true"/>
          <w:lang w:bidi="ar-SA"/>
        </w:rPr>
        <w:t xml:space="preserve">و لرواية أبي الربيع المصرّحة بعدم الضمان إذا كان العامل ناظرا للصغير، و جواز جعل الربح بينهما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Style w:val="FootnoteAnchor"/>
          <w:rtl w:val="true"/>
        </w:rPr>
        <w:footnoteReference w:id="487"/>
      </w:r>
      <w:r>
        <w:rPr>
          <w:rFonts w:ascii="Amiri" w:hAnsi="Amiri" w:eastAsia="Amiri" w:cs="Amiri"/>
          <w:color w:val="111111"/>
          <w:sz w:val="28"/>
          <w:sz w:val="28"/>
          <w:szCs w:val="28"/>
          <w:rtl w:val="true"/>
          <w:lang w:bidi="ar-SA"/>
        </w:rPr>
        <w:t>يظهر أيضا جواز أخذ الأجرة؛ لصريح الرواية بجواز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اتّجر غير الولي للطفل </w:t>
      </w:r>
      <w:r>
        <w:rPr>
          <w:rStyle w:val="FootnoteAnchor"/>
          <w:rtl w:val="true"/>
        </w:rPr>
        <w:footnoteReference w:id="488"/>
      </w:r>
      <w:r>
        <w:rPr>
          <w:rFonts w:ascii="Amiri" w:hAnsi="Amiri" w:eastAsia="Amiri" w:cs="Amiri"/>
          <w:color w:val="111111"/>
          <w:sz w:val="28"/>
          <w:sz w:val="28"/>
          <w:szCs w:val="28"/>
          <w:rtl w:val="true"/>
          <w:lang w:bidi="ar-SA"/>
        </w:rPr>
        <w:t>فلا إشكال في تحقّق المعصية، فإن أجاز الوليّ كان الربح لليتيم، و عليه ضمان المال، كما في 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يجز الوليّ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كما هو المحكي عن الشهيدين </w:t>
      </w:r>
      <w:r>
        <w:rPr>
          <w:rStyle w:val="FootnoteAnchor"/>
          <w:rtl w:val="true"/>
        </w:rPr>
        <w:footnoteReference w:id="489"/>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مقتضى إطلاقات نصوص الباب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كون الربح لليتيم إلّا أن تحمل على صورة الإجازة، أو على وجوب الإجازة مع ظهور الربح</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يجز الولي الخاصّ وجب على الولي المتأخّر عنه رتبة </w:t>
      </w:r>
      <w:r>
        <w:rPr>
          <w:rStyle w:val="FootnoteAnchor"/>
          <w:rtl w:val="true"/>
        </w:rPr>
        <w:footnoteReference w:id="492"/>
      </w:r>
      <w:r>
        <w:rPr>
          <w:rFonts w:ascii="Amiri" w:hAnsi="Amiri" w:eastAsia="Amiri" w:cs="Amiri"/>
          <w:color w:val="111111"/>
          <w:sz w:val="28"/>
          <w:sz w:val="28"/>
          <w:szCs w:val="28"/>
          <w:rtl w:val="true"/>
          <w:lang w:bidi="ar-SA"/>
        </w:rPr>
        <w:t>حتّى ينتهي إلى الإمام عليه السلام أو الشارع المجيز له، كما يكشف عنه هذه الإخبار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بعد </w:t>
      </w:r>
      <w:r>
        <w:rPr>
          <w:rStyle w:val="FootnoteAnchor"/>
          <w:rtl w:val="true"/>
        </w:rPr>
        <w:footnoteReference w:id="493"/>
      </w:r>
      <w:r>
        <w:rPr>
          <w:rFonts w:ascii="Amiri" w:hAnsi="Amiri" w:eastAsia="Amiri" w:cs="Amiri"/>
          <w:color w:val="111111"/>
          <w:sz w:val="28"/>
          <w:sz w:val="28"/>
          <w:szCs w:val="28"/>
          <w:rtl w:val="true"/>
          <w:lang w:bidi="ar-SA"/>
        </w:rPr>
        <w:t>في كون إجازة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إجازة الولي الثابت ولايته بإذن الشارع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اتّجر الولي به لنفسه فإن اتّجر بما في الذمة ثمّ دفع مال الصغير عوضا عمّا في ذمته، فالظاهر أنّ الربح للولي و عليه زكاة التجارة، سواء ضمن مال الصغير باقتراضه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يجوز له الاقتراض</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فدفعه، أو دفعه عصيانا، و يدلّ على الصورة الأولى ما سيجي‌ء من الأخبار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اتجر بالعين،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يقع للطفل؛ لوروده على عين ماله، و قصد الولي نفسه لغو، و لم يقع القصد من الغير حتى يحتاج إلى إجازة الولي، كما لو اشترى بعين مال زيد شيئا لنفسه و كان وكيلا له، أو أجازه زيد، فالوليّ هنا كالوكيل القاصد نفسه في الشراء بالعين، حيث انّ صحة البيع لا يحتاج إلى إجازة الموكّل في وجه قويّ</w:t>
      </w:r>
      <w:r>
        <w:rPr>
          <w:rFonts w:eastAsia="Amiri" w:cs="Amiri" w:ascii="Amiri" w:hAnsi="Amiri"/>
          <w:color w:val="111111"/>
          <w:sz w:val="28"/>
          <w:szCs w:val="28"/>
          <w:rtl w:val="true"/>
          <w:lang w:bidi="ar-SA"/>
        </w:rPr>
        <w:t>.</w:t>
      </w:r>
      <w:bookmarkStart w:id="33" w:name="pg19722_766155"/>
    </w:p>
    <w:p>
      <w:pPr>
        <w:pStyle w:val="Heading4"/>
        <w:numPr>
          <w:ilvl w:val="3"/>
          <w:numId w:val="1"/>
        </w:numPr>
        <w:rPr/>
      </w:pPr>
      <w:bookmarkStart w:id="34" w:name="__RefHeading___Toc2136302_2314609296"/>
      <w:bookmarkStart w:id="35" w:name="_Toc13"/>
      <w:bookmarkEnd w:id="33"/>
      <w:bookmarkEnd w:id="34"/>
      <w:r>
        <w:rPr>
          <w:rtl w:val="true"/>
        </w:rPr>
        <w:t xml:space="preserve">مسألة </w:t>
      </w:r>
      <w:r>
        <w:rPr>
          <w:rtl w:val="true"/>
        </w:rPr>
        <w:t>[</w:t>
      </w:r>
      <w:r>
        <w:rPr/>
        <w:t>3</w:t>
      </w:r>
      <w:r>
        <w:rPr>
          <w:rtl w:val="true"/>
        </w:rPr>
        <w:t>]</w:t>
      </w:r>
      <w:bookmarkEnd w:id="35"/>
    </w:p>
    <w:p>
      <w:pPr>
        <w:pStyle w:val="BookText"/>
        <w:rPr/>
      </w:pPr>
      <w:r>
        <w:rPr>
          <w:rFonts w:ascii="Amiri" w:hAnsi="Amiri" w:eastAsia="Amiri" w:cs="Amiri"/>
          <w:color w:val="111111"/>
          <w:sz w:val="28"/>
          <w:sz w:val="28"/>
          <w:szCs w:val="28"/>
          <w:rtl w:val="true"/>
          <w:lang w:bidi="ar-SA"/>
        </w:rPr>
        <w:t xml:space="preserve">لا إشكال في جواز اقتراض الوليّ و إقراضه مال الطفل مع المصلحة بلا خلاف فيه </w:t>
      </w:r>
      <w:r>
        <w:rPr>
          <w:rStyle w:val="FootnoteAnchor"/>
          <w:rtl w:val="true"/>
        </w:rPr>
        <w:footnoteReference w:id="496"/>
      </w:r>
      <w:r>
        <w:rPr>
          <w:rFonts w:ascii="Amiri" w:hAnsi="Amiri" w:eastAsia="Amiri" w:cs="Amiri"/>
          <w:color w:val="111111"/>
          <w:sz w:val="28"/>
          <w:sz w:val="28"/>
          <w:szCs w:val="28"/>
          <w:rtl w:val="true"/>
          <w:lang w:bidi="ar-SA"/>
        </w:rPr>
        <w:t>، و لا إشكال أيضا في عدم جواز ذلك مع المفسدة له، إلّا أنّ في خصوص الأب و الجدّ كلاما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الاقتراض مع عدم المصلحة و مفسدة زائدة على ما يحتمل ترتّبه على نفس الاقتراض أم لا؟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بشرط ملاءة المقترض، و هو أن يكون </w:t>
      </w:r>
      <w:r>
        <w:rPr>
          <w:rStyle w:val="FootnoteAnchor"/>
          <w:rtl w:val="true"/>
        </w:rPr>
        <w:footnoteReference w:id="497"/>
      </w:r>
      <w:r>
        <w:rPr>
          <w:rFonts w:ascii="Amiri" w:hAnsi="Amiri" w:eastAsia="Amiri" w:cs="Amiri"/>
          <w:color w:val="111111"/>
          <w:sz w:val="28"/>
          <w:sz w:val="28"/>
          <w:szCs w:val="28"/>
          <w:rtl w:val="true"/>
          <w:lang w:bidi="ar-SA"/>
        </w:rPr>
        <w:t>عنده ما يمكن أن يوفي به مال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أصل الجواز فلصحيحة منصور بن حازم،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ولي مال يتيم أ يستقرض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صلوات اللّٰه عليهما يستقرض من مال أيتام كانوا في حجره فلا بأس بذلك</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نحوها رواية أخرى </w:t>
      </w:r>
      <w:r>
        <w:rPr>
          <w:rStyle w:val="FootnoteAnchor"/>
          <w:rtl w:val="true"/>
        </w:rPr>
        <w:footnoteReference w:id="499"/>
      </w:r>
      <w:r>
        <w:rPr>
          <w:rFonts w:ascii="Amiri" w:hAnsi="Amiri" w:eastAsia="Amiri" w:cs="Amiri"/>
          <w:color w:val="111111"/>
          <w:sz w:val="28"/>
          <w:sz w:val="28"/>
          <w:szCs w:val="28"/>
          <w:rtl w:val="true"/>
          <w:lang w:bidi="ar-SA"/>
        </w:rPr>
        <w:t>حاكية لاستقراضه عليه السلام، ظاهرة في إرادة بيان</w:t>
      </w:r>
    </w:p>
    <w:p>
      <w:pPr>
        <w:pStyle w:val="BookText"/>
        <w:rPr/>
      </w:pPr>
      <w:r>
        <w:rPr>
          <w:rFonts w:ascii="IRNazanin" w:hAnsi="IRNazanin" w:eastAsia="IRNazanin"/>
          <w:color w:val="111111"/>
          <w:sz w:val="28"/>
          <w:sz w:val="28"/>
          <w:szCs w:val="28"/>
          <w:rtl w:val="true"/>
          <w:lang w:bidi="fa-IR"/>
        </w:rPr>
        <w:t xml:space="preserve">الجواز، لا مجرد </w:t>
      </w:r>
      <w:r>
        <w:rPr>
          <w:rStyle w:val="FootnoteAnchor"/>
          <w:rtl w:val="true"/>
        </w:rPr>
        <w:footnoteReference w:id="500"/>
      </w:r>
      <w:r>
        <w:rPr>
          <w:rFonts w:ascii="Amiri" w:hAnsi="Amiri" w:eastAsia="Amiri" w:cs="Amiri"/>
          <w:color w:val="111111"/>
          <w:sz w:val="28"/>
          <w:sz w:val="28"/>
          <w:szCs w:val="28"/>
          <w:rtl w:val="true"/>
          <w:lang w:bidi="ar-SA"/>
        </w:rPr>
        <w:t xml:space="preserve">الحكاية، خلافا للحلّي فمنع من ذلك </w:t>
      </w:r>
      <w:r>
        <w:rPr>
          <w:rStyle w:val="FootnoteAnchor"/>
          <w:rtl w:val="true"/>
        </w:rPr>
        <w:footnoteReference w:id="501"/>
      </w:r>
      <w:r>
        <w:rPr>
          <w:rFonts w:ascii="Amiri" w:hAnsi="Amiri" w:eastAsia="Amiri" w:cs="Amiri"/>
          <w:color w:val="111111"/>
          <w:sz w:val="28"/>
          <w:sz w:val="28"/>
          <w:szCs w:val="28"/>
          <w:rtl w:val="true"/>
          <w:lang w:bidi="ar-SA"/>
        </w:rPr>
        <w:t>، و لعلّه إمّا لاعتبار المصلحة في التصرف في مال الصغير، و إمّا لترتّب المفسدة على نقل مال الصغير إلى الذمم؛ لكونه معرضا للتلف بالإعسار أو الإنكار أو الموت و غير ذلك مما يغلب على الاحتمالات القائمة مع بقاء العين، و هو حسن لو لا النص المعتضد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الملاءة، فالظاهر أنّه مما لا خلاف فيه في غير الأب و الجدّ، و يدلّ عليه 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استثناء الأب و الجدّ من اعتبار هذا الشرط، فنسبه غير واحد </w:t>
      </w:r>
      <w:r>
        <w:rPr>
          <w:rStyle w:val="FootnoteAnchor"/>
          <w:rtl w:val="true"/>
        </w:rPr>
        <w:footnoteReference w:id="502"/>
      </w:r>
      <w:r>
        <w:rPr>
          <w:rFonts w:ascii="Amiri" w:hAnsi="Amiri" w:eastAsia="Amiri" w:cs="Amiri"/>
          <w:color w:val="111111"/>
          <w:sz w:val="28"/>
          <w:sz w:val="28"/>
          <w:szCs w:val="28"/>
          <w:rtl w:val="true"/>
          <w:lang w:bidi="ar-SA"/>
        </w:rPr>
        <w:t xml:space="preserve">إلى المتأخّرين، و في الحدائق إلى الأصحاب من غير خلاف يعرف فيه </w:t>
      </w:r>
      <w:r>
        <w:rPr>
          <w:rStyle w:val="FootnoteAnchor"/>
          <w:rtl w:val="true"/>
        </w:rPr>
        <w:footnoteReference w:id="503"/>
      </w:r>
      <w:r>
        <w:rPr>
          <w:rFonts w:ascii="Amiri" w:hAnsi="Amiri" w:eastAsia="Amiri" w:cs="Amiri"/>
          <w:color w:val="111111"/>
          <w:sz w:val="28"/>
          <w:sz w:val="28"/>
          <w:szCs w:val="28"/>
          <w:rtl w:val="true"/>
          <w:lang w:bidi="ar-SA"/>
        </w:rPr>
        <w:t xml:space="preserve">، و عن مجمع الفائدة كأنّه مما لا خلاف فيه </w:t>
      </w:r>
      <w:r>
        <w:rPr>
          <w:rStyle w:val="FootnoteAnchor"/>
          <w:rtl w:val="true"/>
        </w:rPr>
        <w:footnoteReference w:id="504"/>
      </w:r>
      <w:r>
        <w:rPr>
          <w:rFonts w:ascii="Amiri" w:hAnsi="Amiri" w:eastAsia="Amiri" w:cs="Amiri"/>
          <w:color w:val="111111"/>
          <w:sz w:val="28"/>
          <w:sz w:val="28"/>
          <w:szCs w:val="28"/>
          <w:rtl w:val="true"/>
          <w:lang w:bidi="ar-SA"/>
        </w:rPr>
        <w:t>، نعم في كلام بعض أنّه حكى عن المبسوط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يلي أمر الصغير و المجنون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الجدّ، و وصي الأب أو الجدّ، و الإمام، و من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هؤلاء الخمسة لا يصحّ تصرّفهم إلّا على وجه الاحتياط و الحظّ للصغير المولّى عليه، لأنّهم نصبوا لذلك، فإذا تصرّف على وجه لا حظّ فيه كان باطلا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نصّ على المنع من اقتراض الأب للحجّ المندوب و إن أجازه للحجّ الواجب في مقام آخر </w:t>
      </w:r>
      <w:r>
        <w:rPr>
          <w:rStyle w:val="FootnoteAnchor"/>
          <w:rtl w:val="true"/>
        </w:rPr>
        <w:footnoteReference w:id="506"/>
      </w:r>
      <w:r>
        <w:rPr>
          <w:rFonts w:ascii="Amiri" w:hAnsi="Amiri" w:eastAsia="Amiri" w:cs="Amiri"/>
          <w:color w:val="111111"/>
          <w:sz w:val="28"/>
          <w:sz w:val="28"/>
          <w:szCs w:val="28"/>
          <w:rtl w:val="true"/>
          <w:lang w:bidi="ar-SA"/>
        </w:rPr>
        <w:t>، و لعلّه لرواية سعيد بن يسار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مستند المتأخرين ما دلّ على أنّ الولد و ماله لوالده، مثل ما روي أنّ النبي صلّى اللّٰه عليه و آله و سلم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الوالد يحجّ من مال ولده حجّة الإسلام و ينفق منه، إنّ مال الولد لوالده</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الوالد يأخذ من مال ولده ما شاء</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المطلب منها مشكل، سيّما مع ما ورد في المعتبرة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يأخذ إلّا ما اضطر إليه مما لا بد منه، إنّ 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و أيّ فساد أشدّ من أن يستقرض ماله مع الإعسار، فإنّه عرفا إتلاف 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فالمسألة محلّ اشكال، سيّما في الجدّ المندرج في عموم قوله تعالى وَ لٰا تَقْرَبُوا مٰالَ الْيَتِيمِ إِلّٰا بِالَّتِي هِيَ أَحْسَنُ </w:t>
      </w:r>
      <w:r>
        <w:rPr>
          <w:rStyle w:val="FootnoteAnchor"/>
          <w:rtl w:val="true"/>
        </w:rPr>
        <w:footnoteReference w:id="511"/>
      </w:r>
      <w:r>
        <w:rPr>
          <w:rFonts w:ascii="Amiri" w:hAnsi="Amiri" w:eastAsia="Amiri" w:cs="Amiri"/>
          <w:color w:val="111111"/>
          <w:sz w:val="28"/>
          <w:sz w:val="28"/>
          <w:szCs w:val="28"/>
          <w:rtl w:val="true"/>
          <w:lang w:bidi="ar-SA"/>
        </w:rPr>
        <w:t>، و دعوى صدق الأب عليه فيشمله الأخبار ممنوعة بكلتا مقدّمتيه</w:t>
      </w:r>
      <w:r>
        <w:rPr>
          <w:rFonts w:eastAsia="Amiri" w:cs="Amiri" w:ascii="Amiri" w:hAnsi="Amiri"/>
          <w:color w:val="111111"/>
          <w:sz w:val="28"/>
          <w:szCs w:val="28"/>
          <w:rtl w:val="true"/>
          <w:lang w:bidi="ar-SA"/>
        </w:rPr>
        <w:t>.</w:t>
      </w:r>
      <w:bookmarkStart w:id="36" w:name="pg19722_766158"/>
    </w:p>
    <w:p>
      <w:pPr>
        <w:pStyle w:val="Heading4"/>
        <w:numPr>
          <w:ilvl w:val="3"/>
          <w:numId w:val="1"/>
        </w:numPr>
        <w:rPr/>
      </w:pPr>
      <w:bookmarkStart w:id="37" w:name="__RefHeading___Toc2136304_2314609296"/>
      <w:bookmarkStart w:id="38" w:name="_Toc14"/>
      <w:bookmarkEnd w:id="36"/>
      <w:bookmarkEnd w:id="37"/>
      <w:r>
        <w:rPr>
          <w:rtl w:val="true"/>
        </w:rPr>
        <w:t xml:space="preserve">مسألة </w:t>
      </w:r>
      <w:r>
        <w:rPr>
          <w:rtl w:val="true"/>
        </w:rPr>
        <w:t>[</w:t>
      </w:r>
      <w:r>
        <w:rPr/>
        <w:t>4</w:t>
      </w:r>
      <w:r>
        <w:rPr>
          <w:rtl w:val="true"/>
        </w:rPr>
        <w:t>]</w:t>
      </w:r>
      <w:bookmarkEnd w:id="3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عدم وجوب الزكاة في غلّات الطفل، وفاقا لأكثر أصحابنا كما عن التحرير </w:t>
      </w:r>
      <w:r>
        <w:rPr>
          <w:rStyle w:val="FootnoteAnchor"/>
          <w:rtl w:val="true"/>
        </w:rPr>
        <w:footnoteReference w:id="512"/>
      </w:r>
      <w:r>
        <w:rPr>
          <w:rFonts w:ascii="Amiri" w:hAnsi="Amiri" w:eastAsia="Amiri" w:cs="Amiri"/>
          <w:color w:val="111111"/>
          <w:sz w:val="28"/>
          <w:sz w:val="28"/>
          <w:szCs w:val="28"/>
          <w:rtl w:val="true"/>
          <w:lang w:bidi="ar-SA"/>
        </w:rPr>
        <w:t xml:space="preserve">و لعامّة المتأخرين كما في المدارك </w:t>
      </w:r>
      <w:r>
        <w:rPr>
          <w:rStyle w:val="FootnoteAnchor"/>
          <w:rtl w:val="true"/>
        </w:rPr>
        <w:footnoteReference w:id="513"/>
      </w:r>
      <w:r>
        <w:rPr>
          <w:rFonts w:ascii="Amiri" w:hAnsi="Amiri" w:eastAsia="Amiri" w:cs="Amiri"/>
          <w:color w:val="111111"/>
          <w:sz w:val="28"/>
          <w:sz w:val="28"/>
          <w:szCs w:val="28"/>
          <w:rtl w:val="true"/>
          <w:lang w:bidi="ar-SA"/>
        </w:rPr>
        <w:t>و في كلام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حكي عن تلخيص الخلاف نسبته إلى أصحابنا </w:t>
      </w:r>
      <w:r>
        <w:rPr>
          <w:rStyle w:val="FootnoteAnchor"/>
          <w:rtl w:val="true"/>
        </w:rPr>
        <w:footnoteReference w:id="514"/>
      </w:r>
      <w:r>
        <w:rPr>
          <w:rFonts w:ascii="Amiri" w:hAnsi="Amiri" w:eastAsia="Amiri" w:cs="Amiri"/>
          <w:color w:val="111111"/>
          <w:sz w:val="28"/>
          <w:sz w:val="28"/>
          <w:szCs w:val="28"/>
          <w:rtl w:val="true"/>
          <w:lang w:bidi="ar-SA"/>
        </w:rPr>
        <w:t>، و عن 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الزكاة لا تجب على الطفل و المجنون </w:t>
      </w:r>
      <w:r>
        <w:rPr>
          <w:rStyle w:val="FootnoteAnchor"/>
          <w:rtl w:val="true"/>
        </w:rPr>
        <w:footnoteReference w:id="515"/>
      </w:r>
      <w:r>
        <w:rPr>
          <w:rFonts w:ascii="Amiri" w:hAnsi="Amiri" w:eastAsia="Amiri" w:cs="Amiri"/>
          <w:color w:val="111111"/>
          <w:sz w:val="28"/>
          <w:sz w:val="28"/>
          <w:szCs w:val="28"/>
          <w:rtl w:val="true"/>
          <w:lang w:bidi="ar-SA"/>
        </w:rPr>
        <w:t>للأصل و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بل جميع ما دلّ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مال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منع دعوى انصراف المال إلى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موثّقة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زكاة، و ليس عليه صلاة، و ليس على جميع غلاته من نخل أو زرع أو غلّة زكاة</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الشيخين </w:t>
      </w:r>
      <w:r>
        <w:rPr>
          <w:rStyle w:val="FootnoteAnchor"/>
          <w:rtl w:val="true"/>
        </w:rPr>
        <w:footnoteReference w:id="519"/>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520"/>
      </w:r>
      <w:r>
        <w:rPr>
          <w:rFonts w:ascii="Amiri" w:hAnsi="Amiri" w:eastAsia="Amiri" w:cs="Amiri"/>
          <w:color w:val="111111"/>
          <w:sz w:val="28"/>
          <w:sz w:val="28"/>
          <w:szCs w:val="28"/>
          <w:rtl w:val="true"/>
          <w:lang w:bidi="ar-SA"/>
        </w:rPr>
        <w:t xml:space="preserve">، فاوجبوه فيها، و عن الناصريات نسبته إلى أكثر أصحابنا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الإنصاف أنّ عبارته ليست صريحة؛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أكثر أصحابنا إلى أنّ الإمام عليه السلام يأخذ الصدقة من الزرع و الضرع لليتيم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صريح، بل و لا ظاهر في الوجوب؛ لاحتمال كونه مستحبّا، فأخذ الإمام إحسان بالنسبة إلى الطفل و الفقير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فالمستند صحيحة زرارة و محمّد بن مسلم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نفي الزكاة عن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الغلات فعليها الصدقة واجبة </w:t>
      </w:r>
      <w:r>
        <w:rPr>
          <w:rStyle w:val="FootnoteAnchor"/>
          <w:rtl w:val="true"/>
        </w:rPr>
        <w:footnoteReference w:id="523"/>
      </w:r>
      <w:r>
        <w:rPr>
          <w:rFonts w:ascii="Amiri" w:hAnsi="Amiri" w:eastAsia="Amiri" w:cs="Amiri"/>
          <w:color w:val="111111"/>
          <w:sz w:val="28"/>
          <w:sz w:val="28"/>
          <w:szCs w:val="28"/>
          <w:rtl w:val="true"/>
          <w:lang w:bidi="ar-SA"/>
        </w:rPr>
        <w:t xml:space="preserve">، و حملت على الاستحباب إن لم تحمل على التقية، حيث أنّ القول بالوجوب محكي عن فقهاء الجمهور </w:t>
      </w:r>
      <w:r>
        <w:rPr>
          <w:rStyle w:val="FootnoteAnchor"/>
          <w:rtl w:val="true"/>
        </w:rPr>
        <w:footnoteReference w:id="524"/>
      </w:r>
      <w:r>
        <w:rPr>
          <w:rFonts w:ascii="Amiri" w:hAnsi="Amiri" w:eastAsia="Amiri" w:cs="Amiri"/>
          <w:color w:val="111111"/>
          <w:sz w:val="28"/>
          <w:sz w:val="28"/>
          <w:szCs w:val="28"/>
          <w:rtl w:val="true"/>
          <w:lang w:bidi="ar-SA"/>
        </w:rPr>
        <w:t>، لرواية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الطفل ليس على جميع غلّاته من نخل أو زرع أو غلة زكاة</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 النفي على سلب العموم كما فعله الشيخ </w:t>
      </w:r>
      <w:r>
        <w:rPr>
          <w:rStyle w:val="FootnoteAnchor"/>
          <w:rtl w:val="true"/>
        </w:rPr>
        <w:footnoteReference w:id="526"/>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المواشي، فلا دليل عليه إلّا الإجماع المركّب المحكي عن ابن حمزة </w:t>
      </w:r>
      <w:r>
        <w:rPr>
          <w:rStyle w:val="FootnoteAnchor"/>
          <w:rtl w:val="true"/>
        </w:rPr>
        <w:footnoteReference w:id="527"/>
      </w:r>
      <w:r>
        <w:rPr>
          <w:rFonts w:ascii="Amiri" w:hAnsi="Amiri" w:eastAsia="Amiri" w:cs="Amiri"/>
          <w:color w:val="111111"/>
          <w:sz w:val="28"/>
          <w:sz w:val="28"/>
          <w:szCs w:val="28"/>
          <w:rtl w:val="true"/>
          <w:lang w:bidi="ar-SA"/>
        </w:rPr>
        <w:t>عن الموجبين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بعدم الوجوب غلّات المجنون، و هو أشبه، فإنّ الحكم بالاستحباب فيها مشكل، فضلا عن الوجوب</w:t>
      </w:r>
      <w:r>
        <w:rPr>
          <w:rFonts w:eastAsia="Amiri" w:cs="Amiri" w:ascii="Amiri" w:hAnsi="Amiri"/>
          <w:color w:val="111111"/>
          <w:sz w:val="28"/>
          <w:szCs w:val="28"/>
          <w:rtl w:val="true"/>
          <w:lang w:bidi="ar-SA"/>
        </w:rPr>
        <w:t>.</w:t>
      </w:r>
      <w:bookmarkStart w:id="39" w:name="pg19722_766161"/>
    </w:p>
    <w:p>
      <w:pPr>
        <w:pStyle w:val="Heading4"/>
        <w:numPr>
          <w:ilvl w:val="3"/>
          <w:numId w:val="1"/>
        </w:numPr>
        <w:rPr/>
      </w:pPr>
      <w:bookmarkStart w:id="40" w:name="__RefHeading___Toc2136306_2314609296"/>
      <w:bookmarkStart w:id="41" w:name="_Toc15"/>
      <w:bookmarkEnd w:id="39"/>
      <w:bookmarkEnd w:id="40"/>
      <w:r>
        <w:rPr>
          <w:rtl w:val="true"/>
        </w:rPr>
        <w:t xml:space="preserve">مسألة </w:t>
      </w:r>
      <w:r>
        <w:rPr>
          <w:rtl w:val="true"/>
        </w:rPr>
        <w:t>[</w:t>
      </w:r>
      <w:r>
        <w:rPr/>
        <w:t>5</w:t>
      </w:r>
      <w:r>
        <w:rPr>
          <w:rtl w:val="true"/>
        </w:rPr>
        <w:t>]</w:t>
      </w:r>
      <w:bookmarkEnd w:id="41"/>
    </w:p>
    <w:p>
      <w:pPr>
        <w:pStyle w:val="BookText"/>
        <w:rPr/>
      </w:pPr>
      <w:r>
        <w:rPr>
          <w:rFonts w:ascii="Amiri" w:hAnsi="Amiri" w:eastAsia="Amiri" w:cs="Amiri"/>
          <w:color w:val="111111"/>
          <w:sz w:val="28"/>
          <w:sz w:val="28"/>
          <w:szCs w:val="28"/>
          <w:rtl w:val="true"/>
          <w:lang w:bidi="ar-SA"/>
        </w:rPr>
        <w:t>لا زكاة في مال العبد إن قلنا بتملّكه؛ لانصراف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وضع الزكاة على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العبد المحجور في تصرّفاته إجماعا، فإنّ المستفاد من الأخبار،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المملوك زكاة و لو كان له ألف ألف درهم، و لو احتاج لم يعط من الزكاة شيئا</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أنّه لا عبرة بغناه و فقره، إذ لا يعدّ غناه غنى لأجل الحجر، و لا فقره فقرا؛ لأن مئونته على غيره وَ هُوَ كَلٌّ عَلىٰ مَوْلٰاهُ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تأمّل فيما </w:t>
      </w:r>
      <w:r>
        <w:rPr>
          <w:rStyle w:val="FootnoteAnchor"/>
          <w:rtl w:val="true"/>
        </w:rPr>
        <w:footnoteReference w:id="530"/>
      </w:r>
      <w:r>
        <w:rPr>
          <w:rFonts w:ascii="Amiri" w:hAnsi="Amiri" w:eastAsia="Amiri" w:cs="Amiri"/>
          <w:color w:val="111111"/>
          <w:sz w:val="28"/>
          <w:sz w:val="28"/>
          <w:szCs w:val="28"/>
          <w:rtl w:val="true"/>
          <w:lang w:bidi="ar-SA"/>
        </w:rPr>
        <w:t xml:space="preserve">ورد من وجوب الزكاة على الأغنياء للفقراء </w:t>
      </w:r>
      <w:r>
        <w:rPr>
          <w:rStyle w:val="FootnoteAnchor"/>
          <w:rtl w:val="true"/>
        </w:rPr>
        <w:footnoteReference w:id="531"/>
      </w:r>
      <w:r>
        <w:rPr>
          <w:rFonts w:ascii="Amiri" w:hAnsi="Amiri" w:eastAsia="Amiri" w:cs="Amiri"/>
          <w:color w:val="111111"/>
          <w:sz w:val="28"/>
          <w:sz w:val="28"/>
          <w:szCs w:val="28"/>
          <w:rtl w:val="true"/>
          <w:lang w:bidi="ar-SA"/>
        </w:rPr>
        <w:t>يجد أنّ العبد لا إلى هؤلاء و لا إلى هؤلاء، مع أنّ ظاهر ما دلّ على اعتبار كون المال في يد المالك هو كون المالك مسلّطا عليه، لأنّ المراد من اليد ليس الجارحة المخصوصة، بل هي كناية عن التصرّف و التسلّط، و العبد غير مستقلّ في شي‌ء من التصرّف كتابا و سنّة و إجماعا، بل و عقلا، مع أنّ وجوب الزكاة على المملوك</w:t>
      </w:r>
    </w:p>
    <w:p>
      <w:pPr>
        <w:pStyle w:val="BookText"/>
        <w:rPr/>
      </w:pPr>
      <w:r>
        <w:rPr>
          <w:rFonts w:ascii="Amiri" w:hAnsi="Amiri" w:eastAsia="Amiri" w:cs="Amiri"/>
          <w:color w:val="111111"/>
          <w:sz w:val="28"/>
          <w:sz w:val="28"/>
          <w:szCs w:val="28"/>
          <w:rtl w:val="true"/>
          <w:lang w:bidi="ar-SA"/>
        </w:rPr>
        <w:t xml:space="preserve">تعلّقه بعين ماله، كما هو مقتضى أدلّة الزكاة من ثبوت التشريك </w:t>
      </w:r>
      <w:r>
        <w:rPr>
          <w:rStyle w:val="FootnoteAnchor"/>
          <w:rtl w:val="true"/>
        </w:rPr>
        <w:footnoteReference w:id="532"/>
      </w:r>
      <w:r>
        <w:rPr>
          <w:rFonts w:ascii="Amiri" w:hAnsi="Amiri" w:eastAsia="Amiri" w:cs="Amiri"/>
          <w:color w:val="111111"/>
          <w:sz w:val="28"/>
          <w:sz w:val="28"/>
          <w:szCs w:val="28"/>
          <w:rtl w:val="true"/>
          <w:lang w:bidi="ar-SA"/>
        </w:rPr>
        <w:t>بين الفقراء و الأغنياء، و مقتضى ذلك أنّه ليس لإذن المولى مدخل في ذلك، و هذا موجب لجواز استقلال العبد في الإخراج و إن لم يرض المولى، و هو منفيّ بالأدلة الدالّة على أنّ العبد و ما في يده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ادّعي في المختلف </w:t>
      </w:r>
      <w:r>
        <w:rPr>
          <w:rStyle w:val="FootnoteAnchor"/>
          <w:rtl w:val="true"/>
        </w:rPr>
        <w:footnoteReference w:id="533"/>
      </w:r>
      <w:r>
        <w:rPr>
          <w:rFonts w:ascii="Amiri" w:hAnsi="Amiri" w:eastAsia="Amiri" w:cs="Amiri"/>
          <w:color w:val="111111"/>
          <w:sz w:val="28"/>
          <w:sz w:val="28"/>
          <w:szCs w:val="28"/>
          <w:rtl w:val="true"/>
          <w:lang w:bidi="ar-SA"/>
        </w:rPr>
        <w:t xml:space="preserve">و كشف الغطاء </w:t>
      </w:r>
      <w:r>
        <w:rPr>
          <w:rStyle w:val="FootnoteAnchor"/>
          <w:rtl w:val="true"/>
        </w:rPr>
        <w:footnoteReference w:id="534"/>
      </w:r>
      <w:r>
        <w:rPr>
          <w:rFonts w:ascii="Amiri" w:hAnsi="Amiri" w:eastAsia="Amiri" w:cs="Amiri"/>
          <w:color w:val="111111"/>
          <w:sz w:val="28"/>
          <w:sz w:val="28"/>
          <w:szCs w:val="28"/>
          <w:rtl w:val="true"/>
          <w:lang w:bidi="ar-SA"/>
        </w:rPr>
        <w:t xml:space="preserve">من أنّ للمولى انتزاع ما في يده إجماعا، و ما ورد في الكتاب من أنّ العبد لٰا يَقْدِرُ عَلىٰ شَيْ‌ءٍ </w:t>
      </w:r>
      <w:r>
        <w:rPr>
          <w:rStyle w:val="FootnoteAnchor"/>
          <w:rtl w:val="true"/>
        </w:rPr>
        <w:footnoteReference w:id="5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من الأمر شي‌ء، و قد ورد في المكاتب مع تشبثه بالحرية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يصلح له أن يحدث في ماله إلّا الأكلة من طعام</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المكاتب المشروط لا يجوز له عتق و لا هبة و لا نكاح و لا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 حتى يؤدّي ما عليه</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إرادة التمثيل،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منافاة بين تعلّق الزكاة في العين و الشركة، إلّا أنّ العبد محجور عن تعيين الزكاة و تمييزه </w:t>
      </w:r>
      <w:r>
        <w:rPr>
          <w:rStyle w:val="FootnoteAnchor"/>
          <w:rtl w:val="true"/>
        </w:rPr>
        <w:footnoteReference w:id="538"/>
      </w:r>
      <w:r>
        <w:rPr>
          <w:rFonts w:ascii="Amiri" w:hAnsi="Amiri" w:eastAsia="Amiri" w:cs="Amiri"/>
          <w:color w:val="111111"/>
          <w:sz w:val="28"/>
          <w:sz w:val="28"/>
          <w:szCs w:val="28"/>
          <w:rtl w:val="true"/>
          <w:lang w:bidi="ar-SA"/>
        </w:rPr>
        <w:t xml:space="preserve">، فيكون </w:t>
      </w:r>
      <w:r>
        <w:rPr>
          <w:rStyle w:val="FootnoteAnchor"/>
          <w:rtl w:val="true"/>
        </w:rPr>
        <w:footnoteReference w:id="539"/>
      </w:r>
      <w:r>
        <w:rPr>
          <w:rFonts w:ascii="Amiri" w:hAnsi="Amiri" w:eastAsia="Amiri" w:cs="Amiri"/>
          <w:color w:val="111111"/>
          <w:sz w:val="28"/>
          <w:sz w:val="28"/>
          <w:szCs w:val="28"/>
          <w:rtl w:val="true"/>
          <w:lang w:bidi="ar-SA"/>
        </w:rPr>
        <w:t xml:space="preserve">ذلك إلى المولى إلّا أن يأذن </w:t>
      </w:r>
      <w:r>
        <w:rPr>
          <w:rStyle w:val="FootnoteAnchor"/>
          <w:rtl w:val="true"/>
        </w:rPr>
        <w:footnoteReference w:id="540"/>
      </w:r>
      <w:r>
        <w:rPr>
          <w:rFonts w:ascii="Amiri" w:hAnsi="Amiri" w:eastAsia="Amiri" w:cs="Amiri"/>
          <w:color w:val="111111"/>
          <w:sz w:val="28"/>
          <w:sz w:val="28"/>
          <w:szCs w:val="28"/>
          <w:rtl w:val="true"/>
          <w:lang w:bidi="ar-SA"/>
        </w:rPr>
        <w:t>للعبد في ذلك، و إليه يرجع قوله عليه السلام في رواية 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العبد زكاة إلّا بإذن مواليه</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بصحيحتي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المملوك زكاة و لو كان له ألف ألف درهم، و لو احتاج، لم يعط من الزكاة شيئا</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و تخصيصهما برواية قرب الاسناد غير صحيح، مع ضعف السند، بل و الدلالة، و عدم ظهور قائل به إلّا ما حكاه في الحدائق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bookmarkStart w:id="42" w:name="pg19722_766164"/>
    </w:p>
    <w:p>
      <w:pPr>
        <w:pStyle w:val="Heading4"/>
        <w:numPr>
          <w:ilvl w:val="3"/>
          <w:numId w:val="1"/>
        </w:numPr>
        <w:rPr/>
      </w:pPr>
      <w:bookmarkStart w:id="43" w:name="__RefHeading___Toc2136308_2314609296"/>
      <w:bookmarkStart w:id="44" w:name="_Toc16"/>
      <w:bookmarkEnd w:id="42"/>
      <w:bookmarkEnd w:id="43"/>
      <w:r>
        <w:rPr>
          <w:rtl w:val="true"/>
        </w:rPr>
        <w:t xml:space="preserve">مسألة </w:t>
      </w:r>
      <w:r>
        <w:rPr>
          <w:rtl w:val="true"/>
        </w:rPr>
        <w:t>[</w:t>
      </w:r>
      <w:r>
        <w:rPr/>
        <w:t>6</w:t>
      </w:r>
      <w:r>
        <w:rPr>
          <w:rtl w:val="true"/>
        </w:rPr>
        <w:t>]</w:t>
      </w:r>
      <w:bookmarkEnd w:id="44"/>
    </w:p>
    <w:p>
      <w:pPr>
        <w:pStyle w:val="BookText"/>
        <w:rPr/>
      </w:pPr>
      <w:r>
        <w:rPr>
          <w:rFonts w:ascii="Amiri" w:hAnsi="Amiri" w:eastAsia="Amiri" w:cs="Amiri"/>
          <w:color w:val="111111"/>
          <w:sz w:val="28"/>
          <w:sz w:val="28"/>
          <w:szCs w:val="28"/>
          <w:rtl w:val="true"/>
          <w:lang w:bidi="ar-SA"/>
        </w:rPr>
        <w:t xml:space="preserve">الأشهر أنّ العبد لا يملك شيئا، و عن التذكرة نسبته إلى أكثر علمائنا </w:t>
      </w:r>
      <w:r>
        <w:rPr>
          <w:rStyle w:val="FootnoteAnchor"/>
          <w:rtl w:val="true"/>
        </w:rPr>
        <w:footnoteReference w:id="544"/>
      </w:r>
      <w:r>
        <w:rPr>
          <w:rFonts w:ascii="IRNazanin" w:hAnsi="IRNazanin" w:eastAsia="IRNazanin"/>
          <w:color w:val="111111"/>
          <w:sz w:val="28"/>
          <w:sz w:val="28"/>
          <w:szCs w:val="28"/>
          <w:rtl w:val="true"/>
          <w:lang w:bidi="fa-IR"/>
        </w:rPr>
        <w:t xml:space="preserve">و عن نهج الحقّ </w:t>
      </w:r>
      <w:r>
        <w:rPr>
          <w:rStyle w:val="FootnoteAnchor"/>
          <w:rtl w:val="true"/>
        </w:rPr>
        <w:footnoteReference w:id="545"/>
      </w:r>
      <w:r>
        <w:rPr>
          <w:rFonts w:ascii="Amiri" w:hAnsi="Amiri" w:eastAsia="Amiri" w:cs="Amiri"/>
          <w:color w:val="111111"/>
          <w:sz w:val="28"/>
          <w:sz w:val="28"/>
          <w:szCs w:val="28"/>
          <w:rtl w:val="true"/>
          <w:lang w:bidi="ar-SA"/>
        </w:rPr>
        <w:t>و زكاة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546"/>
      </w:r>
      <w:r>
        <w:rPr>
          <w:rFonts w:ascii="IRNazanin" w:hAnsi="IRNazanin" w:eastAsia="IRNazanin"/>
          <w:color w:val="111111"/>
          <w:sz w:val="28"/>
          <w:sz w:val="28"/>
          <w:szCs w:val="28"/>
          <w:rtl w:val="true"/>
          <w:lang w:bidi="fa-IR"/>
        </w:rPr>
        <w:t xml:space="preserve">، و عن السرائر بلفظ عندنا </w:t>
      </w:r>
      <w:r>
        <w:rPr>
          <w:rStyle w:val="FootnoteAnchor"/>
          <w:rtl w:val="true"/>
        </w:rPr>
        <w:footnoteReference w:id="547"/>
      </w:r>
      <w:r>
        <w:rPr>
          <w:rFonts w:ascii="Amiri" w:hAnsi="Amiri" w:eastAsia="Amiri" w:cs="Amiri"/>
          <w:color w:val="111111"/>
          <w:sz w:val="28"/>
          <w:sz w:val="28"/>
          <w:szCs w:val="28"/>
          <w:rtl w:val="true"/>
          <w:lang w:bidi="ar-SA"/>
        </w:rPr>
        <w:t>و عن شرح القواعد لبعض مشايخنا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غاية الاشتهار بين المتقدّمين و المتأخّرين المدّعى عليه الإجماع، معبّرا عنه بلفظه الصريح عن جماعة، و بما يفيده بظاهره بعبارات مختلفة عن نقلة متعددين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كمذهب الإمامية، و مذهب أصحابنا، و عندنا</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و عن الرياض أنّه الأشهر بين أصحابنا، و أنّه الظاهر من تتبّع كلماتهم حيث لم أجد لهم مخالفا إلّا نادرا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يستدلّ لهم بوجوه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فإنّ الملكية أمر </w:t>
      </w:r>
      <w:r>
        <w:rPr>
          <w:rStyle w:val="FootnoteAnchor"/>
          <w:rtl w:val="true"/>
        </w:rPr>
        <w:footnoteReference w:id="550"/>
      </w:r>
      <w:r>
        <w:rPr>
          <w:rFonts w:ascii="Amiri" w:hAnsi="Amiri" w:eastAsia="Amiri" w:cs="Amiri"/>
          <w:color w:val="111111"/>
          <w:sz w:val="28"/>
          <w:sz w:val="28"/>
          <w:szCs w:val="28"/>
          <w:rtl w:val="true"/>
          <w:lang w:bidi="ar-SA"/>
        </w:rPr>
        <w:t>شرعي موقوف على حكم الشرع</w:t>
      </w:r>
    </w:p>
    <w:p>
      <w:pPr>
        <w:pStyle w:val="BookText"/>
        <w:rPr/>
      </w:pPr>
      <w:r>
        <w:rPr>
          <w:rFonts w:ascii="IRNazanin" w:hAnsi="IRNazanin" w:eastAsia="IRNazanin"/>
          <w:color w:val="111111"/>
          <w:sz w:val="28"/>
          <w:sz w:val="28"/>
          <w:szCs w:val="28"/>
          <w:rtl w:val="true"/>
          <w:lang w:bidi="fa-IR"/>
        </w:rPr>
        <w:t>بثبوته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الخروج عنه لازم بمقتضى عمومات أسباب الملك </w:t>
      </w:r>
      <w:r>
        <w:rPr>
          <w:rStyle w:val="FootnoteAnchor"/>
          <w:rtl w:val="true"/>
        </w:rPr>
        <w:footnoteReference w:id="551"/>
      </w:r>
      <w:r>
        <w:rPr>
          <w:rFonts w:ascii="Amiri" w:hAnsi="Amiri" w:eastAsia="Amiri" w:cs="Amiri"/>
          <w:color w:val="111111"/>
          <w:sz w:val="28"/>
          <w:sz w:val="28"/>
          <w:szCs w:val="28"/>
          <w:rtl w:val="true"/>
          <w:lang w:bidi="ar-SA"/>
        </w:rPr>
        <w:t>الاختيارية و الاضطرارية، إلّا ما خرج كالإرث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 هو قوله تعالى عَبْداً مَمْلُوكاً لٰا يَقْدِرُ عَلىٰ شَيْ‌ءٍ </w:t>
      </w:r>
      <w:r>
        <w:rPr>
          <w:rStyle w:val="FootnoteAnchor"/>
          <w:rtl w:val="true"/>
        </w:rPr>
        <w:footnoteReference w:id="552"/>
      </w:r>
      <w:r>
        <w:rPr>
          <w:rFonts w:ascii="Amiri" w:hAnsi="Amiri" w:eastAsia="Amiri" w:cs="Amiri"/>
          <w:color w:val="111111"/>
          <w:sz w:val="28"/>
          <w:sz w:val="28"/>
          <w:szCs w:val="28"/>
          <w:rtl w:val="true"/>
          <w:lang w:bidi="ar-SA"/>
        </w:rPr>
        <w:t xml:space="preserve">، فإنّ التمسّك بعمومه لا إشكال فيه سيّما بعد تمسّك الإمام عليه السلام به في غير واحد من الروايات الواردة في طلاق المملوك </w:t>
      </w:r>
      <w:r>
        <w:rPr>
          <w:rStyle w:val="FootnoteAnchor"/>
          <w:rtl w:val="true"/>
        </w:rPr>
        <w:footnoteReference w:id="553"/>
      </w:r>
      <w:r>
        <w:rPr>
          <w:rFonts w:ascii="Amiri" w:hAnsi="Amiri" w:eastAsia="Amiri" w:cs="Amiri"/>
          <w:color w:val="111111"/>
          <w:sz w:val="28"/>
          <w:sz w:val="28"/>
          <w:szCs w:val="28"/>
          <w:rtl w:val="true"/>
          <w:lang w:bidi="ar-SA"/>
        </w:rPr>
        <w:t xml:space="preserve">، فيدلّ على نفي القدرة على الملك الناشئ عن الأسباب الاختيارية، فيكون كذلك في الملك الاضطراري، لعدم القول بالفصل بالإجماع، كما عن المصابيح للعلّامة الطباطبائي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أو معنى القدرة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له أن يفعله و له أن يتركه </w:t>
      </w:r>
      <w:r>
        <w:rPr>
          <w:rStyle w:val="FootnoteAnchor"/>
          <w:rtl w:val="true"/>
        </w:rPr>
        <w:footnoteReference w:id="555"/>
      </w:r>
      <w:r>
        <w:rPr>
          <w:rFonts w:ascii="Amiri" w:hAnsi="Amiri" w:eastAsia="Amiri" w:cs="Amiri"/>
          <w:color w:val="111111"/>
          <w:sz w:val="28"/>
          <w:sz w:val="28"/>
          <w:szCs w:val="28"/>
          <w:rtl w:val="true"/>
          <w:lang w:bidi="ar-SA"/>
        </w:rPr>
        <w:t>، و هذا المعنى مفقود في العبد؛ لأنّه محجور عليه إجماعا في أفعاله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أنّ في مصححة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لا يجوز طلاقه و لا نكاحه إلّا بإذن سيّده؛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السيّد كان زوجه، بيد من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السيّد، قال اللّٰه تعالى عَبْداً مَمْلُوكاً لٰا يَقْدِرُ عَلىٰ شَيْ‌ءٍ </w:t>
      </w:r>
      <w:r>
        <w:rPr>
          <w:rStyle w:val="FootnoteAnchor"/>
          <w:rtl w:val="true"/>
        </w:rPr>
        <w:footnoteReference w:id="556"/>
      </w:r>
      <w:r>
        <w:rPr>
          <w:rFonts w:ascii="Amiri" w:hAnsi="Amiri" w:eastAsia="Amiri" w:cs="Amiri"/>
          <w:color w:val="111111"/>
          <w:sz w:val="28"/>
          <w:sz w:val="28"/>
          <w:szCs w:val="28"/>
          <w:rtl w:val="true"/>
          <w:lang w:bidi="ar-SA"/>
        </w:rPr>
        <w:t>أ فشي‌ء الطلاق؟</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هَلْ لَكُمْ مِنْ مٰا مَلَكَتْ أَيْمٰانُكُمْ مِنْ شُرَكٰاءَ فِي مٰا رَزَقْنٰاكُمْ </w:t>
      </w:r>
      <w:r>
        <w:rPr>
          <w:rStyle w:val="FootnoteAnchor"/>
          <w:rtl w:val="true"/>
        </w:rPr>
        <w:footnoteReference w:id="558"/>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الاستفهام إنكاريّ دلّ على نفي الشركة بين الأحرار و مماليكهم في جنس الأموال الّتي رزقهم اللّٰه، لا خصوص الأعيان المختصة بالأحرار، لأنّ هذا ليس رفعة لشأن الأحرار و ضعة لشأن المماليك، و في الاستدلال به أيضا نظر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w:t>
      </w:r>
      <w:r>
        <w:rPr>
          <w:rStyle w:val="FootnoteAnchor"/>
          <w:rtl w:val="true"/>
        </w:rPr>
        <w:footnoteReference w:id="560"/>
      </w:r>
      <w:r>
        <w:rPr>
          <w:rFonts w:ascii="Amiri" w:hAnsi="Amiri" w:eastAsia="Amiri" w:cs="Amiri"/>
          <w:color w:val="111111"/>
          <w:sz w:val="28"/>
          <w:sz w:val="28"/>
          <w:szCs w:val="28"/>
          <w:rtl w:val="true"/>
          <w:lang w:bidi="ar-SA"/>
        </w:rPr>
        <w:t>محمّد بن قيس، عن أبي جعفر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في المملوك ما دام عبدا، فإنه و ماله لأهله، لا يجوز له تحرير و لا كثير عطاء و لا وصيّة إلّا أن يشاء سيّده</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دلالتها على الملك له، لكن مع الحجر عليه، و استقلال أهله على ماله أظهر كما يدلّ عليه إضافة المال إليه، و ثبوت جواز التحرير و الوصية له، فإنّ الظاهر أنّ مع مشيئة السيّد يقع التحرير </w:t>
      </w:r>
      <w:r>
        <w:rPr>
          <w:rStyle w:val="FootnoteAnchor"/>
          <w:rtl w:val="true"/>
        </w:rPr>
        <w:footnoteReference w:id="563"/>
      </w:r>
      <w:r>
        <w:rPr>
          <w:rFonts w:ascii="Amiri" w:hAnsi="Amiri" w:eastAsia="Amiri" w:cs="Amiri"/>
          <w:color w:val="111111"/>
          <w:sz w:val="28"/>
          <w:sz w:val="28"/>
          <w:szCs w:val="28"/>
          <w:rtl w:val="true"/>
          <w:lang w:bidi="ar-SA"/>
        </w:rPr>
        <w:t xml:space="preserve">له، لا أنّه يكون كالوكيل في التحرير </w:t>
      </w:r>
      <w:r>
        <w:rPr>
          <w:rStyle w:val="FootnoteAnchor"/>
          <w:rtl w:val="true"/>
        </w:rPr>
        <w:footnoteReference w:id="564"/>
      </w:r>
      <w:r>
        <w:rPr>
          <w:rFonts w:ascii="Amiri" w:hAnsi="Amiri" w:eastAsia="Amiri" w:cs="Amiri"/>
          <w:color w:val="111111"/>
          <w:sz w:val="28"/>
          <w:sz w:val="28"/>
          <w:szCs w:val="28"/>
          <w:rtl w:val="true"/>
          <w:lang w:bidi="ar-SA"/>
        </w:rPr>
        <w:t xml:space="preserve">عن مولاه، و في الوصية للغير، فما عن المفاتيح </w:t>
      </w:r>
      <w:r>
        <w:rPr>
          <w:rStyle w:val="FootnoteAnchor"/>
          <w:rtl w:val="true"/>
        </w:rPr>
        <w:footnoteReference w:id="565"/>
      </w:r>
      <w:r>
        <w:rPr>
          <w:rFonts w:ascii="Amiri" w:hAnsi="Amiri" w:eastAsia="Amiri" w:cs="Amiri"/>
          <w:color w:val="111111"/>
          <w:sz w:val="28"/>
          <w:sz w:val="28"/>
          <w:szCs w:val="28"/>
          <w:rtl w:val="true"/>
          <w:lang w:bidi="ar-SA"/>
        </w:rPr>
        <w:t xml:space="preserve">من أنّها </w:t>
      </w:r>
      <w:r>
        <w:rPr>
          <w:rStyle w:val="FootnoteAnchor"/>
          <w:rtl w:val="true"/>
        </w:rPr>
        <w:footnoteReference w:id="566"/>
      </w:r>
      <w:r>
        <w:rPr>
          <w:rFonts w:ascii="Amiri" w:hAnsi="Amiri" w:eastAsia="Amiri" w:cs="Amiri"/>
          <w:color w:val="111111"/>
          <w:sz w:val="28"/>
          <w:sz w:val="28"/>
          <w:szCs w:val="28"/>
          <w:rtl w:val="true"/>
          <w:lang w:bidi="ar-SA"/>
        </w:rPr>
        <w:t>صريحة</w:t>
      </w:r>
    </w:p>
    <w:p>
      <w:pPr>
        <w:pStyle w:val="BookText"/>
        <w:rPr/>
      </w:pPr>
      <w:r>
        <w:rPr>
          <w:rFonts w:ascii="Amiri" w:hAnsi="Amiri" w:eastAsia="Amiri" w:cs="Amiri"/>
          <w:color w:val="111111"/>
          <w:sz w:val="28"/>
          <w:sz w:val="28"/>
          <w:szCs w:val="28"/>
          <w:rtl w:val="true"/>
          <w:lang w:bidi="ar-SA"/>
        </w:rPr>
        <w:t>في المطلوب،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صحيحة </w:t>
      </w:r>
      <w:r>
        <w:rPr>
          <w:rStyle w:val="FootnoteAnchor"/>
          <w:rtl w:val="true"/>
        </w:rPr>
        <w:footnoteReference w:id="567"/>
      </w:r>
      <w:r>
        <w:rPr>
          <w:rFonts w:ascii="Amiri" w:hAnsi="Amiri" w:eastAsia="Amiri" w:cs="Amiri"/>
          <w:color w:val="111111"/>
          <w:sz w:val="28"/>
          <w:sz w:val="28"/>
          <w:szCs w:val="28"/>
          <w:rtl w:val="true"/>
          <w:lang w:bidi="ar-SA"/>
        </w:rPr>
        <w:t>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للعبد شي‌ء من الأمر</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الكلام فيه نظير الكلام في الآية الأولى </w:t>
      </w:r>
      <w:r>
        <w:rPr>
          <w:rStyle w:val="FootnoteAnchor"/>
          <w:rtl w:val="true"/>
        </w:rPr>
        <w:footnoteReference w:id="569"/>
      </w:r>
      <w:r>
        <w:rPr>
          <w:rFonts w:ascii="Amiri" w:hAnsi="Amiri" w:eastAsia="Amiri" w:cs="Amiri"/>
          <w:color w:val="111111"/>
          <w:sz w:val="28"/>
          <w:sz w:val="28"/>
          <w:szCs w:val="28"/>
          <w:rtl w:val="true"/>
          <w:lang w:bidi="ar-SA"/>
        </w:rPr>
        <w:t xml:space="preserve">، حيث انّ ظاهرها نفي اختصاص أمره به </w:t>
      </w:r>
      <w:r>
        <w:rPr>
          <w:rStyle w:val="FootnoteAnchor"/>
          <w:rtl w:val="true"/>
        </w:rPr>
        <w:footnoteReference w:id="570"/>
      </w:r>
      <w:r>
        <w:rPr>
          <w:rFonts w:ascii="Amiri" w:hAnsi="Amiri" w:eastAsia="Amiri" w:cs="Amiri"/>
          <w:color w:val="111111"/>
          <w:sz w:val="28"/>
          <w:sz w:val="28"/>
          <w:szCs w:val="28"/>
          <w:rtl w:val="true"/>
          <w:lang w:bidi="ar-SA"/>
        </w:rPr>
        <w:t>، و استقلاله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أنّ العبد إذا بيع فماله للبائع، إلّا أن يشترط عليه المشتري، أو إلّا أن يعلم البائع حين البيع أنّ له مالا فهو حينئذ للمشتري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العبد مالكا لاستمر عليه ملكه بعد البيع </w:t>
      </w:r>
      <w:r>
        <w:rPr>
          <w:rStyle w:val="FootnoteAnchor"/>
          <w:rtl w:val="true"/>
        </w:rPr>
        <w:footnoteReference w:id="572"/>
      </w:r>
      <w:r>
        <w:rPr>
          <w:rFonts w:ascii="Amiri" w:hAnsi="Amiri" w:eastAsia="Amiri" w:cs="Amiri"/>
          <w:color w:val="111111"/>
          <w:sz w:val="28"/>
          <w:sz w:val="28"/>
          <w:szCs w:val="28"/>
          <w:rtl w:val="true"/>
          <w:lang w:bidi="ar-SA"/>
        </w:rPr>
        <w:t>و لم يبق للبائع، بل و لا دخل في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بالملك قد لا ينكر سلطنة المولى عليه و أنّ له أن يتملكه </w:t>
      </w:r>
      <w:r>
        <w:rPr>
          <w:rStyle w:val="FootnoteAnchor"/>
          <w:rtl w:val="true"/>
        </w:rPr>
        <w:footnoteReference w:id="573"/>
      </w:r>
      <w:r>
        <w:rPr>
          <w:rFonts w:ascii="Amiri" w:hAnsi="Amiri" w:eastAsia="Amiri" w:cs="Amiri"/>
          <w:color w:val="111111"/>
          <w:sz w:val="28"/>
          <w:sz w:val="28"/>
          <w:szCs w:val="28"/>
          <w:rtl w:val="true"/>
          <w:lang w:bidi="ar-SA"/>
        </w:rPr>
        <w:t>، و حينئذ فله بيع ماله كما أنّ له بيع نفسه، و له إبقاء المال و بيع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سلطنة الموالي على تملّك ماله أو نقله إلى الغير مما لا ينكر، بل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جواز انتزاع ماله قهرا </w:t>
      </w:r>
      <w:r>
        <w:rPr>
          <w:rStyle w:val="FootnoteAnchor"/>
          <w:rtl w:val="true"/>
        </w:rPr>
        <w:footnoteReference w:id="574"/>
      </w:r>
      <w:r>
        <w:rPr>
          <w:rFonts w:ascii="Amiri" w:hAnsi="Amiri" w:eastAsia="Amiri" w:cs="Amiri"/>
          <w:color w:val="111111"/>
          <w:sz w:val="28"/>
          <w:sz w:val="28"/>
          <w:szCs w:val="28"/>
          <w:rtl w:val="true"/>
          <w:lang w:bidi="ar-SA"/>
        </w:rPr>
        <w:t xml:space="preserve">، و عن شرح القواعد لبعض المشايخ المعاصرين ذلك أيضا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العبد إذا أعتق، فإن علم المولى أنّ له مالا تبعه ماله، و إلّا فللمولى أو ورثته إن مات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نظير ما في سابقه، مع أنّ </w:t>
      </w:r>
      <w:r>
        <w:rPr>
          <w:rStyle w:val="FootnoteAnchor"/>
          <w:rtl w:val="true"/>
        </w:rPr>
        <w:footnoteReference w:id="577"/>
      </w:r>
      <w:r>
        <w:rPr>
          <w:rFonts w:ascii="Amiri" w:hAnsi="Amiri" w:eastAsia="Amiri" w:cs="Amiri"/>
          <w:color w:val="111111"/>
          <w:sz w:val="28"/>
          <w:sz w:val="28"/>
          <w:szCs w:val="28"/>
          <w:rtl w:val="true"/>
          <w:lang w:bidi="ar-SA"/>
        </w:rPr>
        <w:t>في تبعيّة المال له مع علم المولى دليلا على تملّكه، و إلّا لاحتيج إلى نقله إليه بأحد النواقل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لو كان مالكا لكان استحقاق السيّد له بعد موت العبد إرثا، و الحرّ لا يرث العبد بالإجماع و النصوص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تملّكه له لا يستلزم أن يكون على وجه الإرث لا عقلا و لا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يأخذ من أمّ ولده شيئا وهبه لها بغير طيب نفسها، من خدم أو متاع، أ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أم ولده</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الاسترداد لعلّه </w:t>
      </w:r>
      <w:r>
        <w:rPr>
          <w:rStyle w:val="FootnoteAnchor"/>
          <w:rtl w:val="true"/>
        </w:rPr>
        <w:footnoteReference w:id="580"/>
      </w:r>
      <w:r>
        <w:rPr>
          <w:rFonts w:ascii="Amiri" w:hAnsi="Amiri" w:eastAsia="Amiri" w:cs="Amiri"/>
          <w:color w:val="111111"/>
          <w:sz w:val="28"/>
          <w:sz w:val="28"/>
          <w:szCs w:val="28"/>
          <w:rtl w:val="true"/>
          <w:lang w:bidi="ar-SA"/>
        </w:rPr>
        <w:t xml:space="preserve">من جهة عدم لزوم الهبة، مع أنّ في تقريره على الهبة دليلا على جواز تملّكه ما ملّكه مولاه، و غير </w:t>
      </w:r>
      <w:r>
        <w:rPr>
          <w:rStyle w:val="FootnoteAnchor"/>
          <w:rtl w:val="true"/>
        </w:rPr>
        <w:footnoteReference w:id="581"/>
      </w:r>
      <w:r>
        <w:rPr>
          <w:rFonts w:ascii="Amiri" w:hAnsi="Amiri" w:eastAsia="Amiri" w:cs="Amiri"/>
          <w:color w:val="111111"/>
          <w:sz w:val="28"/>
          <w:sz w:val="28"/>
          <w:szCs w:val="28"/>
          <w:rtl w:val="true"/>
          <w:lang w:bidi="ar-SA"/>
        </w:rPr>
        <w:t>ذلك من الأخبار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بعض من </w:t>
      </w:r>
      <w:r>
        <w:rPr>
          <w:rStyle w:val="FootnoteAnchor"/>
          <w:rtl w:val="true"/>
        </w:rPr>
        <w:footnoteReference w:id="582"/>
      </w:r>
      <w:r>
        <w:rPr>
          <w:rFonts w:ascii="Amiri" w:hAnsi="Amiri" w:eastAsia="Amiri" w:cs="Amiri"/>
          <w:color w:val="111111"/>
          <w:sz w:val="28"/>
          <w:sz w:val="28"/>
          <w:szCs w:val="28"/>
          <w:rtl w:val="true"/>
          <w:lang w:bidi="ar-SA"/>
        </w:rPr>
        <w:t xml:space="preserve">أنّ تتبّع المقامات المتفرّقة في الفقه المسلّمة بين الجميع </w:t>
      </w:r>
      <w:r>
        <w:rPr>
          <w:rStyle w:val="FootnoteAnchor"/>
          <w:rtl w:val="true"/>
        </w:rPr>
        <w:footnoteReference w:id="583"/>
      </w:r>
      <w:r>
        <w:rPr>
          <w:rFonts w:ascii="Amiri" w:hAnsi="Amiri" w:eastAsia="Amiri" w:cs="Amiri"/>
          <w:color w:val="111111"/>
          <w:sz w:val="28"/>
          <w:sz w:val="28"/>
          <w:szCs w:val="28"/>
          <w:rtl w:val="true"/>
          <w:lang w:bidi="ar-SA"/>
        </w:rPr>
        <w:t xml:space="preserve">كعدم وجوب الزكاة، بل استحبابها مع استحبابها أو وجوبها في مال الطفل و المجنون في الجملة </w:t>
      </w:r>
      <w:r>
        <w:rPr>
          <w:rStyle w:val="FootnoteAnchor"/>
          <w:rtl w:val="true"/>
        </w:rPr>
        <w:footnoteReference w:id="584"/>
      </w:r>
      <w:r>
        <w:rPr>
          <w:rFonts w:ascii="Amiri" w:hAnsi="Amiri" w:eastAsia="Amiri" w:cs="Amiri"/>
          <w:color w:val="111111"/>
          <w:sz w:val="28"/>
          <w:sz w:val="28"/>
          <w:szCs w:val="28"/>
          <w:rtl w:val="true"/>
          <w:lang w:bidi="ar-SA"/>
        </w:rPr>
        <w:t>، و الخمس، و الحجّ، و الكفّارات، و نفقة القريب، و من في يده من العبيد، و منعه من التصرّفات و إن لم يكن هؤلاء قابلا</w:t>
      </w:r>
    </w:p>
    <w:p>
      <w:pPr>
        <w:pStyle w:val="BookText"/>
        <w:rPr/>
      </w:pPr>
      <w:r>
        <w:rPr>
          <w:rFonts w:ascii="Amiri" w:hAnsi="Amiri" w:eastAsia="Amiri" w:cs="Amiri"/>
          <w:color w:val="111111"/>
          <w:sz w:val="28"/>
          <w:sz w:val="28"/>
          <w:szCs w:val="28"/>
          <w:rtl w:val="true"/>
          <w:lang w:bidi="ar-SA"/>
        </w:rPr>
        <w:t xml:space="preserve">للولاية، و عدم بقاء ما في يده له مع بيعه و إعتاقه، و عدم ضمانه لسلفاته إلّا بعد العتق، و عدم استحقاقه للإرث إلّا بعد عتقه، و انتقال ماله بموته إلى المولى </w:t>
      </w:r>
      <w:r>
        <w:rPr>
          <w:rStyle w:val="FootnoteAnchor"/>
          <w:rtl w:val="true"/>
        </w:rPr>
        <w:footnoteReference w:id="585"/>
      </w:r>
      <w:r>
        <w:rPr>
          <w:rFonts w:ascii="Amiri" w:hAnsi="Amiri" w:eastAsia="Amiri" w:cs="Amiri"/>
          <w:color w:val="111111"/>
          <w:sz w:val="28"/>
          <w:sz w:val="28"/>
          <w:szCs w:val="28"/>
          <w:rtl w:val="true"/>
          <w:lang w:bidi="ar-SA"/>
        </w:rPr>
        <w:t xml:space="preserve">، و عدم جواز الوصيّة له و الوقف عليه، و عدم حرمة التصرف في ماله لضرورة </w:t>
      </w:r>
      <w:r>
        <w:rPr>
          <w:rStyle w:val="FootnoteAnchor"/>
          <w:rtl w:val="true"/>
        </w:rPr>
        <w:footnoteReference w:id="586"/>
      </w:r>
      <w:r>
        <w:rPr>
          <w:rFonts w:ascii="Amiri" w:hAnsi="Amiri" w:eastAsia="Amiri" w:cs="Amiri"/>
          <w:color w:val="111111"/>
          <w:sz w:val="28"/>
          <w:sz w:val="28"/>
          <w:szCs w:val="28"/>
          <w:rtl w:val="true"/>
          <w:lang w:bidi="ar-SA"/>
        </w:rPr>
        <w:t xml:space="preserve">حتّى التملّك مع تسلّط الناس على أموالهم، و عدم حلّ مال مسلم إلّا عن طيب نفسه، و صرف الوصيّة له من المالك إلى عتقه كصرف الوصيّة لأمّ الولد إلى إعتاقها من الثلث ثمّ إعطاء الوصية، إلى غير ذلك مما يورث للفقيه القطع بعدم قابليته للملك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ذلك إمّا من جهة التعبّد الشرعي، أو من جهة الحجر على العبد في تصرفاته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Style w:val="FootnoteAnchor"/>
          <w:rtl w:val="true"/>
        </w:rPr>
        <w:footnoteReference w:id="588"/>
      </w:r>
      <w:r>
        <w:rPr>
          <w:rFonts w:ascii="Amiri" w:hAnsi="Amiri" w:eastAsia="Amiri" w:cs="Amiri"/>
          <w:color w:val="111111"/>
          <w:sz w:val="28"/>
          <w:sz w:val="28"/>
          <w:szCs w:val="28"/>
          <w:rtl w:val="true"/>
          <w:lang w:bidi="ar-SA"/>
        </w:rPr>
        <w:t>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هو أنّ المملوك و المتسلّط عليه من جميع الجهات لا يعقل أن يملك شيئا، كما أنّ له بيع نفسه، و له إبقاء المال و بيع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سلطنة الموالي لأنّ مالكيته لغيره فرع مالكيته لنفسه، و لأنّه لو ملك لزم جواز تملّك كلّ من العبدين صاحبه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لجواز كون المالكية و المملوكية متضايفين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لمانع لا يوجب المنع مع عدمه، و في يد العبد سلطنة مطلقة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الكتاب و السنّة ليس إلّا حجر العبد و استقلال</w:t>
      </w:r>
    </w:p>
    <w:p>
      <w:pPr>
        <w:pStyle w:val="BookText"/>
        <w:rPr/>
      </w:pPr>
      <w:r>
        <w:rPr>
          <w:rFonts w:ascii="IRNazanin" w:hAnsi="IRNazanin" w:eastAsia="IRNazanin"/>
          <w:color w:val="111111"/>
          <w:sz w:val="28"/>
          <w:sz w:val="28"/>
          <w:szCs w:val="28"/>
          <w:rtl w:val="true"/>
          <w:lang w:bidi="fa-IR"/>
        </w:rPr>
        <w:t xml:space="preserve">المولى، و أمّا انتفاء </w:t>
      </w:r>
      <w:r>
        <w:rPr>
          <w:rStyle w:val="FootnoteAnchor"/>
          <w:rtl w:val="true"/>
        </w:rPr>
        <w:footnoteReference w:id="590"/>
      </w:r>
      <w:r>
        <w:rPr>
          <w:rFonts w:ascii="Amiri" w:hAnsi="Amiri" w:eastAsia="Amiri" w:cs="Amiri"/>
          <w:color w:val="111111"/>
          <w:sz w:val="28"/>
          <w:sz w:val="28"/>
          <w:szCs w:val="28"/>
          <w:rtl w:val="true"/>
          <w:lang w:bidi="ar-SA"/>
        </w:rPr>
        <w:t>الملكية فلا، بل ظاهر كثير من الأخبار مما ذكر و لم يذكر ثبوت الملك للمملوك كصحيحتي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مال المملوك زكاة </w:t>
      </w:r>
      <w:r>
        <w:rPr>
          <w:rStyle w:val="FootnoteAnchor"/>
          <w:rtl w:val="true"/>
        </w:rPr>
        <w:footnoteReference w:id="591"/>
      </w:r>
      <w:r>
        <w:rPr>
          <w:rFonts w:ascii="Amiri" w:hAnsi="Amiri" w:eastAsia="Amiri" w:cs="Amiri"/>
          <w:color w:val="111111"/>
          <w:sz w:val="28"/>
          <w:sz w:val="28"/>
          <w:szCs w:val="28"/>
          <w:rtl w:val="true"/>
          <w:lang w:bidi="ar-SA"/>
        </w:rPr>
        <w:t>و لو كان له ألف ألف درهم، و لو احتاج لم يعط من الزكاة شيئا</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ظاهرة سيّما بقرينة المقابلة بالاحتياج في كون المال لنفس المملوك، مع أنّ المال لو كان لمولاه كان في ذلك المال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المنسوب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مسألة زكاة مال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مكاتبة العبد على نفسه و ماله و ولده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للمكاتب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يحدث في ماله</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إلّا الأكلة من الطعام </w:t>
      </w:r>
      <w:r>
        <w:rPr>
          <w:rStyle w:val="FootnoteAnchor"/>
          <w:rtl w:val="true"/>
        </w:rPr>
        <w:footnoteReference w:id="596"/>
      </w:r>
      <w:r>
        <w:rPr>
          <w:rFonts w:ascii="Amiri" w:hAnsi="Amiri" w:eastAsia="Amiri" w:cs="Amiri"/>
          <w:color w:val="111111"/>
          <w:sz w:val="28"/>
          <w:sz w:val="28"/>
          <w:szCs w:val="28"/>
          <w:rtl w:val="true"/>
          <w:lang w:bidi="ar-SA"/>
        </w:rPr>
        <w:t>و هو ظاهر في الملكية مع الحجر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فاضل الضريبة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له أن يعتق و يتصدّق منه </w:t>
      </w:r>
      <w:r>
        <w:rPr>
          <w:rStyle w:val="FootnoteAnchor"/>
          <w:rtl w:val="true"/>
        </w:rPr>
        <w:footnoteReference w:id="597"/>
      </w:r>
      <w:r>
        <w:rPr>
          <w:rFonts w:ascii="Amiri" w:hAnsi="Amiri" w:eastAsia="Amiri" w:cs="Amiri"/>
          <w:color w:val="111111"/>
          <w:sz w:val="28"/>
          <w:sz w:val="28"/>
          <w:szCs w:val="28"/>
          <w:rtl w:val="true"/>
          <w:lang w:bidi="ar-SA"/>
        </w:rPr>
        <w:t xml:space="preserve">و له أجر ذلك </w:t>
      </w:r>
      <w:r>
        <w:rPr>
          <w:rStyle w:val="FootnoteAnchor"/>
          <w:rtl w:val="true"/>
        </w:rPr>
        <w:footnoteReference w:id="598"/>
      </w:r>
      <w:r>
        <w:rPr>
          <w:rFonts w:ascii="Amiri" w:hAnsi="Amiri" w:eastAsia="Amiri" w:cs="Amiri"/>
          <w:color w:val="111111"/>
          <w:sz w:val="28"/>
          <w:sz w:val="28"/>
          <w:szCs w:val="28"/>
          <w:rtl w:val="true"/>
          <w:lang w:bidi="ar-SA"/>
        </w:rPr>
        <w:t>و حمله على العتق و التصدّق من مال المولى باذنه،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منافاته لاختصاصه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 الرواية يدلّ على أنّ المعتق ليس له ولاء المعتق، معلّلا بأنّ العبد لا يرث الحرّ، فلو كان من مال المولى لم يحتج إلى هذا التعليل، بل بقي الولاء للمعتق حينئذ من جهة عدم كونه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هبة العبد لمولاه كما في صحيحة ابن مسلم المتقدّمة، و رواية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وهب لعبده ألف درهم أو أقل أو أكثر،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حلّلني من ضربي إياك، و من كل ما كان مني إليك، و مما أخفتك و أرهبتك، فيحلّله و يجعله في حلّ رغبة فيما أعطاه، ثمّ إنّ المولى بعد أصاب الدراهم التي أعطاه في موضع قد وضعها فيه العبد، فأخذها المولى، إحلال هي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لأنّه افتدى بها نفسه من العبد مخافة العقوبة و القصاص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العبد أن يزكّيها إذا حال عليها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يعمل له بها، و لا يعطى العبد من الزكاة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ينافيه ما تضمّنه الخبر من حرمة الاسترداد؛ لما سبق من جواز الانتزاع إجماعا؛ لأنّ ما أعطاه هنا إنّما كان لأجل استرضائه و تحليله ممّا له عليه من الحقوق الأخروية، فاستردادها موجب لرجوع الحقوق إلى العبد، فالنهي عن أخذ الشي‌ء ليس </w:t>
      </w:r>
      <w:r>
        <w:rPr>
          <w:rStyle w:val="FootnoteAnchor"/>
          <w:rtl w:val="true"/>
        </w:rPr>
        <w:footnoteReference w:id="600"/>
      </w:r>
      <w:r>
        <w:rPr>
          <w:rFonts w:ascii="Amiri" w:hAnsi="Amiri" w:eastAsia="Amiri" w:cs="Amiri"/>
          <w:color w:val="111111"/>
          <w:sz w:val="28"/>
          <w:sz w:val="28"/>
          <w:szCs w:val="28"/>
          <w:rtl w:val="true"/>
          <w:lang w:bidi="ar-SA"/>
        </w:rPr>
        <w:t xml:space="preserve">من جهة عدم تملّك المولى لها </w:t>
      </w:r>
      <w:r>
        <w:rPr>
          <w:rStyle w:val="FootnoteAnchor"/>
          <w:rtl w:val="true"/>
        </w:rPr>
        <w:footnoteReference w:id="601"/>
      </w:r>
      <w:r>
        <w:rPr>
          <w:rFonts w:ascii="Amiri" w:hAnsi="Amiri" w:eastAsia="Amiri" w:cs="Amiri"/>
          <w:color w:val="111111"/>
          <w:sz w:val="28"/>
          <w:sz w:val="28"/>
          <w:szCs w:val="28"/>
          <w:rtl w:val="true"/>
          <w:lang w:bidi="ar-SA"/>
        </w:rPr>
        <w:t>، بل من جهة أنّ مقتضى الافتداء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المبذول إلى ما كان له إذا رجع الباذل في البذل، نظير رجوع المختلعة في البذل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 لا ربا بين السيّد و عبده </w:t>
      </w:r>
      <w:r>
        <w:rPr>
          <w:rStyle w:val="FootnoteAnchor"/>
          <w:rtl w:val="true"/>
        </w:rPr>
        <w:footnoteReference w:id="602"/>
      </w:r>
      <w:r>
        <w:rPr>
          <w:rFonts w:ascii="Amiri" w:hAnsi="Amiri" w:eastAsia="Amiri" w:cs="Amiri"/>
          <w:color w:val="111111"/>
          <w:sz w:val="28"/>
          <w:sz w:val="28"/>
          <w:szCs w:val="28"/>
          <w:rtl w:val="true"/>
          <w:lang w:bidi="ar-SA"/>
        </w:rPr>
        <w:t>، فإنّ معناه تجويز المعاملة الربويّة بينهما، و لا يتحقق إلّا على تقدير مالكية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فالأخبار الدالّة بظاهرها على ثبوت المال للعبد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تسلّط المولى على جميع ما في يد العبد في أنواع التصرّفات، و ليس هذا منافيا للملكيّة العبد بأن يترتب على ما في يده أحكام الملك، من جواز العتق عن نفسه، و جواز الصدقة </w:t>
      </w:r>
      <w:r>
        <w:rPr>
          <w:rStyle w:val="FootnoteAnchor"/>
          <w:rtl w:val="true"/>
        </w:rPr>
        <w:footnoteReference w:id="603"/>
      </w:r>
      <w:r>
        <w:rPr>
          <w:rFonts w:ascii="Amiri" w:hAnsi="Amiri" w:eastAsia="Amiri" w:cs="Amiri"/>
          <w:color w:val="111111"/>
          <w:sz w:val="28"/>
          <w:sz w:val="28"/>
          <w:szCs w:val="28"/>
          <w:rtl w:val="true"/>
          <w:lang w:bidi="ar-SA"/>
        </w:rPr>
        <w:t>لنفسه، و نحو ذلك بعد الإذن من المولى، فيجمع بين الأخبار، و يحكم بأنّ ما في يد العبد ملك حقيقي لنفسه، و في حكم الملك في السلطنة عليه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العكس بأن يحكم بالملك الحقيقي للمولى، و أنّ ما في يده بعد الإذن عموما في التصرّف في حكم الملك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ترجيح الثاني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نعقل من الملك عرفا و شرعا إلّا كون الشي‌ء بحيث يكون للشخص التسلّط على الانتفاع به و ببدله، و هذا المعنى موجود في المولى، و بعد الإذن منه للعبد، و إن كان موجودا في العبد أيضا إلّا أنّ ملاحظة تسبّب </w:t>
      </w:r>
      <w:r>
        <w:rPr>
          <w:rStyle w:val="FootnoteAnchor"/>
          <w:rtl w:val="true"/>
        </w:rPr>
        <w:footnoteReference w:id="604"/>
      </w:r>
      <w:r>
        <w:rPr>
          <w:rFonts w:ascii="Amiri" w:hAnsi="Amiri" w:eastAsia="Amiri" w:cs="Amiri"/>
          <w:color w:val="111111"/>
          <w:sz w:val="28"/>
          <w:sz w:val="28"/>
          <w:szCs w:val="28"/>
          <w:rtl w:val="true"/>
          <w:lang w:bidi="ar-SA"/>
        </w:rPr>
        <w:t xml:space="preserve">ذلك عن رخصة الغير و دورانه مداره يوجب صحة </w:t>
      </w:r>
      <w:r>
        <w:rPr>
          <w:rStyle w:val="FootnoteAnchor"/>
          <w:rtl w:val="true"/>
        </w:rPr>
        <w:footnoteReference w:id="605"/>
      </w:r>
      <w:r>
        <w:rPr>
          <w:rFonts w:ascii="Amiri" w:hAnsi="Amiri" w:eastAsia="Amiri" w:cs="Amiri"/>
          <w:color w:val="111111"/>
          <w:sz w:val="28"/>
          <w:sz w:val="28"/>
          <w:szCs w:val="28"/>
          <w:rtl w:val="true"/>
          <w:lang w:bidi="ar-SA"/>
        </w:rPr>
        <w:t>سلب الملك حقيقة عنه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ما دلّ على تسلّط الناس على أموالهم </w:t>
      </w:r>
      <w:r>
        <w:rPr>
          <w:rStyle w:val="FootnoteAnchor"/>
          <w:rtl w:val="true"/>
        </w:rPr>
        <w:footnoteReference w:id="606"/>
      </w:r>
      <w:r>
        <w:rPr>
          <w:rFonts w:ascii="Amiri" w:hAnsi="Amiri" w:eastAsia="Amiri" w:cs="Amiri"/>
          <w:color w:val="111111"/>
          <w:sz w:val="28"/>
          <w:sz w:val="28"/>
          <w:szCs w:val="28"/>
          <w:rtl w:val="true"/>
          <w:lang w:bidi="ar-SA"/>
        </w:rPr>
        <w:t>، 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عن طيب نفسه</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و الحجر على الصغير و المجنون و السفيه لمصلحة </w:t>
      </w:r>
      <w:r>
        <w:rPr>
          <w:rStyle w:val="FootnoteAnchor"/>
          <w:rtl w:val="true"/>
        </w:rPr>
        <w:footnoteReference w:id="608"/>
      </w:r>
      <w:r>
        <w:rPr>
          <w:rFonts w:ascii="Amiri" w:hAnsi="Amiri" w:eastAsia="Amiri" w:cs="Amiri"/>
          <w:color w:val="111111"/>
          <w:sz w:val="28"/>
          <w:sz w:val="28"/>
          <w:szCs w:val="28"/>
          <w:rtl w:val="true"/>
          <w:lang w:bidi="ar-SA"/>
        </w:rPr>
        <w:t xml:space="preserve">لا لتسلّط الغير عليه، فحجرهم تقوية لتملّكهم </w:t>
      </w:r>
      <w:r>
        <w:rPr>
          <w:rStyle w:val="FootnoteAnchor"/>
          <w:rtl w:val="true"/>
        </w:rPr>
        <w:footnoteReference w:id="609"/>
      </w:r>
      <w:r>
        <w:rPr>
          <w:rFonts w:ascii="IRNazanin" w:hAnsi="IRNazanin" w:eastAsia="IRNazanin"/>
          <w:color w:val="111111"/>
          <w:sz w:val="28"/>
          <w:sz w:val="28"/>
          <w:szCs w:val="28"/>
          <w:rtl w:val="true"/>
          <w:lang w:bidi="fa-IR"/>
        </w:rPr>
        <w:t>بحفظ أموالهم عن</w:t>
      </w:r>
    </w:p>
    <w:p>
      <w:pPr>
        <w:pStyle w:val="BookText"/>
        <w:rPr/>
      </w:pPr>
      <w:r>
        <w:rPr>
          <w:rFonts w:ascii="Amiri" w:hAnsi="Amiri" w:eastAsia="Amiri" w:cs="Amiri"/>
          <w:color w:val="111111"/>
          <w:sz w:val="28"/>
          <w:sz w:val="28"/>
          <w:szCs w:val="28"/>
          <w:rtl w:val="true"/>
          <w:lang w:bidi="ar-SA"/>
        </w:rPr>
        <w:t xml:space="preserve">معارض التلف و موارد الخسارة، فالولي نائب عن هؤلاء في السلطنة، لا أنّه قاهر لهم و رافع لسلطنتهم، و لا </w:t>
      </w:r>
      <w:r>
        <w:rPr>
          <w:rStyle w:val="FootnoteAnchor"/>
          <w:rtl w:val="true"/>
        </w:rPr>
        <w:footnoteReference w:id="610"/>
      </w:r>
      <w:r>
        <w:rPr>
          <w:rFonts w:ascii="Amiri" w:hAnsi="Amiri" w:eastAsia="Amiri" w:cs="Amiri"/>
          <w:color w:val="111111"/>
          <w:sz w:val="28"/>
          <w:sz w:val="28"/>
          <w:szCs w:val="28"/>
          <w:rtl w:val="true"/>
          <w:lang w:bidi="ar-SA"/>
        </w:rPr>
        <w:t>تضعيف و رفع لسلطنتهم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فالعمومات المذكورات تدل </w:t>
      </w:r>
      <w:r>
        <w:rPr>
          <w:rStyle w:val="FootnoteAnchor"/>
          <w:rtl w:val="true"/>
        </w:rPr>
        <w:footnoteReference w:id="611"/>
      </w:r>
      <w:r>
        <w:rPr>
          <w:rFonts w:ascii="Amiri" w:hAnsi="Amiri" w:eastAsia="Amiri" w:cs="Amiri"/>
          <w:color w:val="111111"/>
          <w:sz w:val="28"/>
          <w:sz w:val="28"/>
          <w:szCs w:val="28"/>
          <w:rtl w:val="true"/>
          <w:lang w:bidi="ar-SA"/>
        </w:rPr>
        <w:t>على أنّ ما في يد العبد ليس ملكا له؛ لانتفاء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التسلّط و حرمته للغير </w:t>
      </w:r>
      <w:r>
        <w:rPr>
          <w:rStyle w:val="FootnoteAnchor"/>
          <w:rtl w:val="true"/>
        </w:rPr>
        <w:footnoteReference w:id="612"/>
      </w:r>
      <w:r>
        <w:rPr>
          <w:rFonts w:ascii="Amiri" w:hAnsi="Amiri" w:eastAsia="Amiri" w:cs="Amiri"/>
          <w:color w:val="111111"/>
          <w:sz w:val="28"/>
          <w:sz w:val="28"/>
          <w:szCs w:val="28"/>
          <w:rtl w:val="true"/>
          <w:lang w:bidi="ar-SA"/>
        </w:rPr>
        <w:t>بغير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أدلّة استقلال الولي لا تخصّص هذه العمومات إلّا بعد ثبوت الملكية للعبد من الخارج، و أدلّة ثبوت الملكية له إن كانت ما أطلق فيه المال على ما في يد العبد، فهي معارضة </w:t>
      </w:r>
      <w:r>
        <w:rPr>
          <w:rStyle w:val="FootnoteAnchor"/>
          <w:rtl w:val="true"/>
        </w:rPr>
        <w:footnoteReference w:id="613"/>
      </w:r>
      <w:r>
        <w:rPr>
          <w:rFonts w:ascii="Amiri" w:hAnsi="Amiri" w:eastAsia="Amiri" w:cs="Amiri"/>
          <w:color w:val="111111"/>
          <w:sz w:val="28"/>
          <w:sz w:val="28"/>
          <w:szCs w:val="28"/>
          <w:rtl w:val="true"/>
          <w:lang w:bidi="ar-SA"/>
        </w:rPr>
        <w:t xml:space="preserve">بالأخبار الكثيرة الدالّة على أنّ ما في يده لمولاه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 الإضافة على ملك التصرف بعد الإذن، و حمل الاختصاص على الاستقلال في إقرار يد العبد، و بنفيه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لأدلّة الملكية من جهة عمومات اقتضاء أسباب الملك كالبيع و الصلح </w:t>
      </w:r>
      <w:r>
        <w:rPr>
          <w:rStyle w:val="FootnoteAnchor"/>
          <w:rtl w:val="true"/>
        </w:rPr>
        <w:footnoteReference w:id="616"/>
      </w:r>
      <w:r>
        <w:rPr>
          <w:rFonts w:ascii="Amiri" w:hAnsi="Amiri" w:eastAsia="Amiri" w:cs="Amiri"/>
          <w:color w:val="111111"/>
          <w:sz w:val="28"/>
          <w:sz w:val="28"/>
          <w:szCs w:val="28"/>
          <w:rtl w:val="true"/>
          <w:lang w:bidi="ar-SA"/>
        </w:rPr>
        <w:t>و الحيازة للحرّ و العبد، غاية الأمر عدم سببيتها في حقّه إلّا بعد إذن المولى، فيكون أدلّة تسلّط الناس على أموالهم مخصّصة بأدلّة حجر العبد بواسطة العمومات المقتضية للملك عند حصول أسبابها،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ظاهرها الاستقلال المنفيّ </w:t>
      </w:r>
      <w:r>
        <w:rPr>
          <w:rStyle w:val="FootnoteAnchor"/>
          <w:rtl w:val="true"/>
        </w:rPr>
        <w:footnoteReference w:id="617"/>
      </w:r>
      <w:r>
        <w:rPr>
          <w:rFonts w:ascii="Amiri" w:hAnsi="Amiri" w:eastAsia="Amiri" w:cs="Amiri"/>
          <w:color w:val="111111"/>
          <w:sz w:val="28"/>
          <w:sz w:val="28"/>
          <w:szCs w:val="28"/>
          <w:rtl w:val="true"/>
          <w:lang w:bidi="ar-SA"/>
        </w:rPr>
        <w:t>في حق العبد إجماعا، مثل قوله عليه السلام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ما لم يسبق إليه أحد من المسلمين فهو أولى به</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فإنّ ظاهره</w:t>
      </w:r>
    </w:p>
    <w:p>
      <w:pPr>
        <w:pStyle w:val="BookText"/>
        <w:rPr/>
      </w:pPr>
      <w:r>
        <w:rPr>
          <w:rFonts w:ascii="Amiri" w:hAnsi="Amiri" w:eastAsia="Amiri" w:cs="Amiri"/>
          <w:color w:val="111111"/>
          <w:sz w:val="28"/>
          <w:sz w:val="28"/>
          <w:szCs w:val="28"/>
          <w:rtl w:val="true"/>
          <w:lang w:bidi="ar-SA"/>
        </w:rPr>
        <w:t>التسلّط المنفي في حقّ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يحكم أنّ المملوك لا يملك، إلّا أنّه يجوز له جميع التصرّفات الّتي يملكها الملّاك في أملاكهم، فتحمل أدلّة إضافة الملك الى العبد على المجاز من جهة وجود عمدة خواص المال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الإذن و الإباحة من المولى لا يوجب جواز جميع التصرفات، حتّى المتوقّفة على الملك كالعتق، و الوطء بعد الشراء، و التصدّق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ذلك معلوم من متفرّقات الفتاوى و النصوص مطلقا، و لو في غير العبد، 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تفيد الإباحة دون الملك، مع عدم استثنائهم التصرّفات المحتاجة إلى الملك، و يمكن أن يستفاد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عن طيب نفسه</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لأحد أن يتصرّف في مال غيره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التوقيع </w:t>
      </w:r>
      <w:r>
        <w:rPr>
          <w:rStyle w:val="FootnoteAnchor"/>
          <w:rtl w:val="true"/>
        </w:rPr>
        <w:footnoteReference w:id="620"/>
      </w:r>
      <w:r>
        <w:rPr>
          <w:rFonts w:ascii="IRNazanin" w:hAnsi="IRNazanin" w:eastAsia="IRNazanin"/>
          <w:color w:val="111111"/>
          <w:sz w:val="28"/>
          <w:sz w:val="28"/>
          <w:szCs w:val="28"/>
          <w:rtl w:val="true"/>
          <w:lang w:bidi="fa-IR"/>
        </w:rPr>
        <w:t>، بل و 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Style w:val="FootnoteAnchor"/>
          <w:rtl w:val="true"/>
        </w:rPr>
        <w:footnoteReference w:id="621"/>
      </w:r>
      <w:r>
        <w:rPr>
          <w:rFonts w:ascii="Amiri" w:hAnsi="Amiri" w:eastAsia="Amiri" w:cs="Amiri"/>
          <w:color w:val="111111"/>
          <w:sz w:val="28"/>
          <w:sz w:val="28"/>
          <w:szCs w:val="28"/>
          <w:rtl w:val="true"/>
          <w:lang w:bidi="ar-SA"/>
        </w:rPr>
        <w:t>، بناء على أنّ إباحة جميع التصرّفات معاملة يجوز للمالك إيقاعها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ثابت في خصوص العبد المأذون بحكم ما يظهر من الأخبار من جواز تحريره و تصدّقه، بل الفتاوى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 إن كان مخالفا للقاعدة إلّا أنّ القول بتملّك العبد مع تسلّط </w:t>
      </w:r>
      <w:r>
        <w:rPr>
          <w:rStyle w:val="FootnoteAnchor"/>
          <w:rtl w:val="true"/>
        </w:rPr>
        <w:footnoteReference w:id="622"/>
      </w:r>
      <w:r>
        <w:rPr>
          <w:rFonts w:ascii="Amiri" w:hAnsi="Amiri" w:eastAsia="Amiri" w:cs="Amiri"/>
          <w:color w:val="111111"/>
          <w:sz w:val="28"/>
          <w:sz w:val="28"/>
          <w:szCs w:val="28"/>
          <w:rtl w:val="true"/>
          <w:lang w:bidi="ar-SA"/>
        </w:rPr>
        <w:t>المولى على ملكه، و جواز أخذه منه قهرا أيضا، و جواز إيقاع تصرّفات</w:t>
      </w:r>
    </w:p>
    <w:p>
      <w:pPr>
        <w:pStyle w:val="BookText"/>
        <w:rPr/>
      </w:pPr>
      <w:r>
        <w:rPr>
          <w:rFonts w:ascii="Amiri" w:hAnsi="Amiri" w:eastAsia="Amiri" w:cs="Amiri"/>
          <w:color w:val="111111"/>
          <w:sz w:val="28"/>
          <w:sz w:val="28"/>
          <w:szCs w:val="28"/>
          <w:rtl w:val="true"/>
          <w:lang w:bidi="ar-SA"/>
        </w:rPr>
        <w:t>الملّاك عليه من البيع و العتق، و نحو ذلك أيضا مخالف لقاعدة توقّف هذه التصرفات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من المولى و العبد تصرّفات الملّاك، أمّا المولى فبالإستقلال، و أمّا العبد فبإذن السيد، فعلى أيّ حال يلزم مخالفة القاعدة في أحد الطرفين إذا قلنا بالملك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من الطرفين قابلة للحمل على الملك المجازي، لعلاقة وجود عمدة خواصّ الملك في المولى مستقلا، و في العبد بعد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أدلّة نفي الربا بينهما، و أدلّة نفي الزكاة على مال المملوك مع 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لو كان للمولى يتعلق به الزكاة، تأبى عن ذلك، لكن يمكن حمل إطلاق الأوّل على صورة المعاملة كما بين الحربي و المسلم، أو </w:t>
      </w:r>
      <w:r>
        <w:rPr>
          <w:rStyle w:val="FootnoteAnchor"/>
          <w:rtl w:val="true"/>
        </w:rPr>
        <w:footnoteReference w:id="623"/>
      </w:r>
      <w:r>
        <w:rPr>
          <w:rFonts w:ascii="Amiri" w:hAnsi="Amiri" w:eastAsia="Amiri" w:cs="Amiri"/>
          <w:color w:val="111111"/>
          <w:sz w:val="28"/>
          <w:sz w:val="28"/>
          <w:szCs w:val="28"/>
          <w:rtl w:val="true"/>
          <w:lang w:bidi="ar-SA"/>
        </w:rPr>
        <w:t xml:space="preserve">على خصوص المكاتب الذي يجوز له المعاملة مع السيّد، و حمل الثاني على نفي </w:t>
      </w:r>
      <w:r>
        <w:rPr>
          <w:rStyle w:val="FootnoteAnchor"/>
          <w:rtl w:val="true"/>
        </w:rPr>
        <w:footnoteReference w:id="624"/>
      </w:r>
      <w:r>
        <w:rPr>
          <w:rFonts w:ascii="Amiri" w:hAnsi="Amiri" w:eastAsia="Amiri" w:cs="Amiri"/>
          <w:color w:val="111111"/>
          <w:sz w:val="28"/>
          <w:sz w:val="28"/>
          <w:szCs w:val="28"/>
          <w:rtl w:val="true"/>
          <w:lang w:bidi="ar-SA"/>
        </w:rPr>
        <w:t xml:space="preserve">ثبوت الزكاة في مال المملوك كثبوته في غيره </w:t>
      </w:r>
      <w:r>
        <w:rPr>
          <w:rStyle w:val="FootnoteAnchor"/>
          <w:rtl w:val="true"/>
        </w:rPr>
        <w:footnoteReference w:id="625"/>
      </w:r>
      <w:r>
        <w:rPr>
          <w:rFonts w:ascii="Amiri" w:hAnsi="Amiri" w:eastAsia="Amiri" w:cs="Amiri"/>
          <w:color w:val="111111"/>
          <w:sz w:val="28"/>
          <w:sz w:val="28"/>
          <w:szCs w:val="28"/>
          <w:rtl w:val="true"/>
          <w:lang w:bidi="ar-SA"/>
        </w:rPr>
        <w:t xml:space="preserve">، بأن تعلّق بالعين، و يتخيّر صاحب المال في أدائها من مال آخر، فإن الوجوب بهذا المعنى منفي </w:t>
      </w:r>
      <w:r>
        <w:rPr>
          <w:rStyle w:val="FootnoteAnchor"/>
          <w:rtl w:val="true"/>
        </w:rPr>
        <w:footnoteReference w:id="626"/>
      </w:r>
      <w:r>
        <w:rPr>
          <w:rFonts w:ascii="Amiri" w:hAnsi="Amiri" w:eastAsia="Amiri" w:cs="Amiri"/>
          <w:color w:val="111111"/>
          <w:sz w:val="28"/>
          <w:sz w:val="28"/>
          <w:szCs w:val="28"/>
          <w:rtl w:val="true"/>
          <w:lang w:bidi="ar-SA"/>
        </w:rPr>
        <w:t>عن المملوك، بل المولى يتخيّر بين الإخراج من العين، و بين أن يؤدّي من نفسه، و لا يتعلّق على العبد شي‌ء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القواعد الخارجية فبعض منها ينافي الملكية مثل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 الناس على أموالهم </w:t>
      </w:r>
      <w:r>
        <w:rPr>
          <w:rStyle w:val="FootnoteAnchor"/>
          <w:rtl w:val="true"/>
        </w:rPr>
        <w:footnoteReference w:id="627"/>
      </w:r>
      <w:r>
        <w:rPr>
          <w:rFonts w:ascii="Amiri" w:hAnsi="Amiri" w:eastAsia="Amiri" w:cs="Amiri"/>
          <w:color w:val="111111"/>
          <w:sz w:val="28"/>
          <w:sz w:val="28"/>
          <w:szCs w:val="28"/>
          <w:rtl w:val="true"/>
          <w:lang w:bidi="ar-SA"/>
        </w:rPr>
        <w:t xml:space="preserve">، و حرمة التصرّف فيها بغير طيب النفس </w:t>
      </w:r>
      <w:r>
        <w:rPr>
          <w:rStyle w:val="FootnoteAnchor"/>
          <w:rtl w:val="true"/>
        </w:rPr>
        <w:footnoteReference w:id="628"/>
      </w:r>
      <w:r>
        <w:rPr>
          <w:rFonts w:ascii="Amiri" w:hAnsi="Amiri" w:eastAsia="Amiri" w:cs="Amiri"/>
          <w:color w:val="111111"/>
          <w:sz w:val="28"/>
          <w:sz w:val="28"/>
          <w:szCs w:val="28"/>
          <w:rtl w:val="true"/>
          <w:lang w:bidi="ar-SA"/>
        </w:rPr>
        <w:t>، و مثل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w:t>
      </w:r>
    </w:p>
    <w:p>
      <w:pPr>
        <w:pStyle w:val="BookText"/>
        <w:rPr/>
      </w:pPr>
      <w:r>
        <w:rPr>
          <w:rFonts w:ascii="Amiri" w:hAnsi="Amiri" w:eastAsia="Amiri" w:cs="Amiri"/>
          <w:color w:val="111111"/>
          <w:sz w:val="28"/>
          <w:sz w:val="28"/>
          <w:szCs w:val="28"/>
          <w:rtl w:val="true"/>
          <w:lang w:bidi="ar-SA"/>
        </w:rPr>
        <w:t>لا يخرج عن ملك مالكه إلّا بأحد النواقل الاختيارية أو القهرية مع أنّ مال العبد ملك المولى بعد موته أو بيعه أو إعتاقه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انصراف الاختصاص المستفاد من الإضافة في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الاختصاص الذاتي الابتدائي دون الاختصاص المستعار </w:t>
      </w:r>
      <w:r>
        <w:rPr>
          <w:rStyle w:val="FootnoteAnchor"/>
          <w:rtl w:val="true"/>
        </w:rPr>
        <w:footnoteReference w:id="629"/>
      </w:r>
      <w:r>
        <w:rPr>
          <w:rFonts w:ascii="Amiri" w:hAnsi="Amiri" w:eastAsia="Amiri" w:cs="Amiri"/>
          <w:color w:val="111111"/>
          <w:sz w:val="28"/>
          <w:sz w:val="28"/>
          <w:szCs w:val="28"/>
          <w:rtl w:val="true"/>
          <w:lang w:bidi="ar-SA"/>
        </w:rPr>
        <w:t>المتوقّف على مشيئة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إثبات التسلّط ليس إثبات هذا المعنى حتّى يلزم اللّغوية،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المختصّ ذاتا بالمالك من غير مراعاته وجودا و عدما برضى أحد، لمالكه أن يفعل به ما شاء من التصرّفات، فإنّها ممضاة لهم و عليهم في 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في مقام إمضاء التصرّفات التي يفعلها فيما اختصّ ملكيته بهم اختصاصا تامّا، بمعنى عدم تبعيته لرضى غيرهم، و عدم دورانه معه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إلّا عن طيب نفسه</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فهذه القاعدة لا تنافي الملكية الناقصة للعبد الثابتة بتوسط رضى المولى الدائرة معه وجودا و عدما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القاعدة الثانية فهي غير نافية و لا مثبتة؛ لأنّ الملكية قد ترتفع من غير ناقل كرجوع ملك الواقف إليه بعد انقضاء الموقوف عليهم في منقطع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انتقال الملك من البطن الأوّل بعد انقضائهم إلى البطن الثاني،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ملكية العبد دائرة مدار رضى مولاه بالتملّك، فلا يقبل البقاء بعد موته أو بيعه أو انعتاقه مع عدم شهادة الحال أو المقال بإبقائه على مالكية ذلك المال، و ملكية المولى له من باب رجوع ملكه إليه، لا من باب الانتقال إليه بناقل،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الجميع </w:t>
      </w:r>
      <w:r>
        <w:rPr>
          <w:rStyle w:val="FootnoteAnchor"/>
          <w:rtl w:val="true"/>
        </w:rPr>
        <w:footnoteReference w:id="631"/>
      </w:r>
      <w:r>
        <w:rPr>
          <w:rFonts w:ascii="Amiri" w:hAnsi="Amiri" w:eastAsia="Amiri" w:cs="Amiri"/>
          <w:color w:val="111111"/>
          <w:sz w:val="28"/>
          <w:sz w:val="28"/>
          <w:szCs w:val="28"/>
          <w:rtl w:val="true"/>
          <w:lang w:bidi="ar-SA"/>
        </w:rPr>
        <w:t>مفروض الانتفاء فيكون ميراثا،</w:t>
      </w:r>
    </w:p>
    <w:p>
      <w:pPr>
        <w:pStyle w:val="BookText"/>
        <w:rPr/>
      </w:pPr>
      <w:r>
        <w:rPr>
          <w:rFonts w:ascii="Amiri" w:hAnsi="Amiri" w:eastAsia="Amiri" w:cs="Amiri"/>
          <w:color w:val="111111"/>
          <w:sz w:val="28"/>
          <w:sz w:val="28"/>
          <w:szCs w:val="28"/>
          <w:rtl w:val="true"/>
          <w:lang w:bidi="ar-SA"/>
        </w:rPr>
        <w:t>مع أنّ التوارث منفي بين الحرّ 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فيما ملّكه مولاه واضح،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632"/>
      </w:r>
      <w:r>
        <w:rPr>
          <w:rFonts w:ascii="Amiri" w:hAnsi="Amiri" w:eastAsia="Amiri" w:cs="Amiri"/>
          <w:color w:val="111111"/>
          <w:sz w:val="28"/>
          <w:sz w:val="28"/>
          <w:szCs w:val="28"/>
          <w:rtl w:val="true"/>
          <w:lang w:bidi="ar-SA"/>
        </w:rPr>
        <w:t xml:space="preserve">كان المولى مالكا له و نقل الملك على هذا الوجه، و أنّه ملكه ما دام كونه عبدا له </w:t>
      </w:r>
      <w:r>
        <w:rPr>
          <w:rStyle w:val="FootnoteAnchor"/>
          <w:rtl w:val="true"/>
        </w:rPr>
        <w:footnoteReference w:id="633"/>
      </w:r>
      <w:r>
        <w:rPr>
          <w:rFonts w:ascii="Amiri" w:hAnsi="Amiri" w:eastAsia="Amiri" w:cs="Amiri"/>
          <w:color w:val="111111"/>
          <w:sz w:val="28"/>
          <w:sz w:val="28"/>
          <w:szCs w:val="28"/>
          <w:rtl w:val="true"/>
          <w:lang w:bidi="ar-SA"/>
        </w:rPr>
        <w:t xml:space="preserve">، و ما دام المولى راضيا، فبعد موت العبد أو عتقه أو بيعه </w:t>
      </w:r>
      <w:r>
        <w:rPr>
          <w:rStyle w:val="FootnoteAnchor"/>
          <w:rtl w:val="true"/>
        </w:rPr>
        <w:footnoteReference w:id="634"/>
      </w:r>
      <w:r>
        <w:rPr>
          <w:rFonts w:ascii="Amiri" w:hAnsi="Amiri" w:eastAsia="Amiri" w:cs="Amiri"/>
          <w:color w:val="111111"/>
          <w:sz w:val="28"/>
          <w:sz w:val="28"/>
          <w:szCs w:val="28"/>
          <w:rtl w:val="true"/>
          <w:lang w:bidi="ar-SA"/>
        </w:rPr>
        <w:t>أو رجوع المولى يرتفع سبب الملكية كما ذكرنا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مستمرّة باستمرار موضوعها،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 المالك، و مع ارتفاع أحدهما ترتفع الملكية باستعدادها لا للناقل </w:t>
      </w:r>
      <w:r>
        <w:rPr>
          <w:rStyle w:val="FootnoteAnchor"/>
          <w:rtl w:val="true"/>
        </w:rPr>
        <w:footnoteReference w:id="635"/>
      </w:r>
      <w:r>
        <w:rPr>
          <w:rFonts w:ascii="Amiri" w:hAnsi="Amiri" w:eastAsia="Amiri" w:cs="Amiri"/>
          <w:color w:val="111111"/>
          <w:sz w:val="28"/>
          <w:sz w:val="28"/>
          <w:szCs w:val="28"/>
          <w:rtl w:val="true"/>
          <w:lang w:bidi="ar-SA"/>
        </w:rPr>
        <w:t>و أما فيما لم يملكه المولى بل أذن له في أسباب التملك فيشكل الأمر من حيث انّ الحاصل من تلك الأسباب هي الملكية المطلقة التي لا تنتقل إلى الغير إلّا بالناقل، بل الملك مطلقا و لو كان مثل الوقف المذكور في المال السابق لا ينتقل إلى غير المالك الأوّل إلّا بناقل، فإنّ انتقال المال إلى البطن الثاني بجعل الواقف، و عوده إلى الواقف في المثال الآخر إنّما هو باقتضاء السبب القديم، حيث لم يخرج الملك عن نفسه إلّا على وجه خاصّ يرتفع بارتفاعه، مع أنّه محلّ الخلاف، و قابل للمنع لمخالفته للأصل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يمكن التفصيل بين ما ملّكه مولاه فيملكه، و بين غيره فلا يملكه، إلّا أنّ ملكية ما يملكه إن كان </w:t>
      </w:r>
      <w:r>
        <w:rPr>
          <w:rStyle w:val="FootnoteAnchor"/>
          <w:rtl w:val="true"/>
        </w:rPr>
        <w:footnoteReference w:id="636"/>
      </w:r>
      <w:r>
        <w:rPr>
          <w:rFonts w:ascii="Amiri" w:hAnsi="Amiri" w:eastAsia="Amiri" w:cs="Amiri"/>
          <w:color w:val="111111"/>
          <w:sz w:val="28"/>
          <w:sz w:val="28"/>
          <w:szCs w:val="28"/>
          <w:rtl w:val="true"/>
          <w:lang w:bidi="ar-SA"/>
        </w:rPr>
        <w:t>بعقد من العقود كالهبة مثلا فهي لا تقتضي إلّا الملكية المطلقة، و ليس كالوقف على حسب ما يوقفها أهلها، و المفروض أنّ الملكية المطلقة غير مقصودة و غير واقعة شرعا؛ لأن المفروض عدم</w:t>
      </w:r>
    </w:p>
    <w:p>
      <w:pPr>
        <w:pStyle w:val="BookText"/>
        <w:rPr/>
      </w:pPr>
      <w:r>
        <w:rPr>
          <w:rFonts w:ascii="Amiri" w:hAnsi="Amiri" w:eastAsia="Amiri" w:cs="Amiri"/>
          <w:color w:val="111111"/>
          <w:sz w:val="28"/>
          <w:sz w:val="28"/>
          <w:szCs w:val="28"/>
          <w:rtl w:val="true"/>
          <w:lang w:bidi="ar-SA"/>
        </w:rPr>
        <w:t>القول بها حتى لا تنافي انتقال المال إلى المولى بعد الرجوع أو الموت أو العتق أو البيع، و منع اقتضاء الهبة الملكية المطلقة يكذّبه ما 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خواصّ الهبة عدم جواز الرجوع بعد التصرّف، أو مع قصد القربة،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تطبيق القول بملكيّة العبد على القواعد الكليّة أصعب من تطبيق القول بعدم الملكية على بعض القواعد المنافية له لو سلّم ثبوت ذلك، كما أنّ أمر التصرف في أخبار الطرفين على العكس، فإنّ التصرفات في أدلّة ملكية المولى أسهل من التصرّف في أدلّة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الثمرة بين القولين تظهر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 قريب المولى إذا اشتراه العبد، أو قريب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زوّجه المولى مملوكة </w:t>
      </w:r>
      <w:r>
        <w:rPr>
          <w:rStyle w:val="FootnoteAnchor"/>
          <w:rtl w:val="true"/>
        </w:rPr>
        <w:footnoteReference w:id="637"/>
      </w:r>
      <w:r>
        <w:rPr>
          <w:rFonts w:ascii="Amiri" w:hAnsi="Amiri" w:eastAsia="Amiri" w:cs="Amiri"/>
          <w:color w:val="111111"/>
          <w:sz w:val="28"/>
          <w:sz w:val="28"/>
          <w:szCs w:val="28"/>
          <w:rtl w:val="true"/>
          <w:lang w:bidi="ar-SA"/>
        </w:rPr>
        <w:t>فاشتراها، فهل يبطل النكاح أو لا يبطل؟</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ما اشتراه فحملت منه، فهل تكون أم ولد أم لا؟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معاملته </w:t>
      </w:r>
      <w:r>
        <w:rPr>
          <w:rStyle w:val="FootnoteAnchor"/>
          <w:rtl w:val="true"/>
        </w:rPr>
        <w:footnoteReference w:id="638"/>
      </w:r>
      <w:r>
        <w:rPr>
          <w:rFonts w:ascii="Amiri" w:hAnsi="Amiri" w:eastAsia="Amiri" w:cs="Amiri"/>
          <w:color w:val="111111"/>
          <w:sz w:val="28"/>
          <w:sz w:val="28"/>
          <w:szCs w:val="28"/>
          <w:rtl w:val="true"/>
          <w:lang w:bidi="ar-SA"/>
        </w:rPr>
        <w:t>مع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باتفاق الأقوال على جواز جميع التصرّفات للعبد بعد إذن المولى، حتّى التصرّفات المتوقّفة على الملكية، نحو العتق و التصدّق، و أمّا إذا قلنا بعدم كون ذلك اتفاقيا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المحكي عن المهذّب البارع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فالثمرة أظهر من أن تخفى في التصرفات المالكية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ملكية العبد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إلى الصدوق </w:t>
      </w:r>
      <w:r>
        <w:rPr>
          <w:rStyle w:val="FootnoteAnchor"/>
          <w:rtl w:val="true"/>
        </w:rPr>
        <w:footnoteReference w:id="640"/>
      </w:r>
      <w:r>
        <w:rPr>
          <w:rFonts w:ascii="Amiri" w:hAnsi="Amiri" w:eastAsia="Amiri" w:cs="Amiri"/>
          <w:color w:val="111111"/>
          <w:sz w:val="28"/>
          <w:sz w:val="28"/>
          <w:szCs w:val="28"/>
          <w:rtl w:val="true"/>
          <w:lang w:bidi="ar-SA"/>
        </w:rPr>
        <w:t>و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ملك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الشيخ في النهاية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إباحة التصرّف،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نمنع من الثالث، بل هو إجماع، و الفرق بينه و بين الثاني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التصرّف أقوى من إباحته، فإنّ في الإباحة لو ظهر شاهد حال بالكراهة لم يجز التصرف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ملك التصرّف، له أن يتصدّق منه و يطعم غيره، و ليس له ذلك في الإباحة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bookmarkStart w:id="45" w:name="pg19722_766180"/>
    </w:p>
    <w:p>
      <w:pPr>
        <w:pStyle w:val="Heading4"/>
        <w:numPr>
          <w:ilvl w:val="3"/>
          <w:numId w:val="1"/>
        </w:numPr>
        <w:rPr/>
      </w:pPr>
      <w:bookmarkStart w:id="46" w:name="__RefHeading___Toc2136310_2314609296"/>
      <w:bookmarkStart w:id="47" w:name="_Toc17"/>
      <w:bookmarkEnd w:id="45"/>
      <w:bookmarkEnd w:id="46"/>
      <w:r>
        <w:rPr>
          <w:rtl w:val="true"/>
        </w:rPr>
        <w:t xml:space="preserve">مسألة </w:t>
      </w:r>
      <w:r>
        <w:rPr>
          <w:rtl w:val="true"/>
        </w:rPr>
        <w:t>[</w:t>
      </w:r>
      <w:r>
        <w:rPr/>
        <w:t>7</w:t>
      </w:r>
      <w:r>
        <w:rPr>
          <w:rtl w:val="true"/>
        </w:rPr>
        <w:t>]</w:t>
      </w:r>
      <w:bookmarkEnd w:id="47"/>
    </w:p>
    <w:p>
      <w:pPr>
        <w:pStyle w:val="BookText"/>
        <w:rPr/>
      </w:pPr>
      <w:r>
        <w:rPr>
          <w:rFonts w:ascii="Amiri" w:hAnsi="Amiri" w:eastAsia="Amiri" w:cs="Amiri"/>
          <w:color w:val="111111"/>
          <w:sz w:val="28"/>
          <w:sz w:val="28"/>
          <w:szCs w:val="28"/>
          <w:rtl w:val="true"/>
          <w:lang w:bidi="ar-SA"/>
        </w:rPr>
        <w:t>الملك شرط في وجوب الزكاة إجماعا، و للأخبار المستفيضة، و في غير واحد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الزكاة على صاحب المال</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و يشترط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w:t>
      </w:r>
      <w:r>
        <w:rPr>
          <w:rStyle w:val="FootnoteAnchor"/>
          <w:rtl w:val="true"/>
        </w:rPr>
        <w:footnoteReference w:id="644"/>
      </w:r>
      <w:r>
        <w:rPr>
          <w:rFonts w:ascii="Amiri" w:hAnsi="Amiri" w:eastAsia="Amiri" w:cs="Amiri"/>
          <w:color w:val="111111"/>
          <w:sz w:val="28"/>
          <w:sz w:val="28"/>
          <w:szCs w:val="28"/>
          <w:rtl w:val="true"/>
          <w:lang w:bidi="ar-SA"/>
        </w:rPr>
        <w:t xml:space="preserve">، فلا يكون في الملك المتزلزل، فلا يكون في المبيع </w:t>
      </w:r>
      <w:r>
        <w:rPr>
          <w:rStyle w:val="FootnoteAnchor"/>
          <w:rtl w:val="true"/>
        </w:rPr>
        <w:footnoteReference w:id="645"/>
      </w:r>
      <w:r>
        <w:rPr>
          <w:rFonts w:ascii="Amiri" w:hAnsi="Amiri" w:eastAsia="Amiri" w:cs="Amiri"/>
          <w:color w:val="111111"/>
          <w:sz w:val="28"/>
          <w:sz w:val="28"/>
          <w:szCs w:val="28"/>
          <w:rtl w:val="true"/>
          <w:lang w:bidi="ar-SA"/>
        </w:rPr>
        <w:t>فضولا قبل الإجازة، بل يجري البيع و الحول من حين الإجازة لا العقد و إن قلنا بالكشف، و لا في الموصى به قبل القبول و إن قلنا أيضا بالكشف، و لا في الموهوب قبل القبض و إن قلنا بأنه شرط اللزوم بمعنى تمامية الملك و استقراره، و الحكم بالملكية من حين العقد لا اللزوم بمعنى عدم جواز الرجوع للواهب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جعلنا اللزوم بهذا المعنى لم يحتج إليه، بل حكم </w:t>
      </w:r>
      <w:r>
        <w:rPr>
          <w:rStyle w:val="FootnoteAnchor"/>
          <w:rtl w:val="true"/>
        </w:rPr>
        <w:footnoteReference w:id="646"/>
      </w:r>
      <w:r>
        <w:rPr>
          <w:rFonts w:ascii="Amiri" w:hAnsi="Amiri" w:eastAsia="Amiri" w:cs="Amiri"/>
          <w:color w:val="111111"/>
          <w:sz w:val="28"/>
          <w:sz w:val="28"/>
          <w:szCs w:val="28"/>
          <w:rtl w:val="true"/>
          <w:lang w:bidi="ar-SA"/>
        </w:rPr>
        <w:t xml:space="preserve">بجريان المال في الحول من حين العقد، لكن إرادة اللزوم بهذا المعنى بعيد، بل </w:t>
      </w:r>
      <w:r>
        <w:rPr>
          <w:rStyle w:val="FootnoteAnchor"/>
          <w:rtl w:val="true"/>
        </w:rPr>
        <w:footnoteReference w:id="647"/>
      </w:r>
      <w:r>
        <w:rPr>
          <w:rFonts w:ascii="Amiri" w:hAnsi="Amiri" w:eastAsia="Amiri" w:cs="Amiri"/>
          <w:color w:val="111111"/>
          <w:sz w:val="28"/>
          <w:sz w:val="28"/>
          <w:szCs w:val="28"/>
          <w:rtl w:val="true"/>
          <w:lang w:bidi="ar-SA"/>
        </w:rPr>
        <w:t xml:space="preserve">حكي عن شرح شيخ الفقهاء في عصره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صرّح المحقّقون بأنّ مرادهم من كون القبض</w:t>
      </w:r>
    </w:p>
    <w:p>
      <w:pPr>
        <w:pStyle w:val="BookText"/>
        <w:rPr/>
      </w:pPr>
      <w:r>
        <w:rPr>
          <w:rFonts w:ascii="Amiri" w:hAnsi="Amiri" w:eastAsia="Amiri" w:cs="Amiri"/>
          <w:color w:val="111111"/>
          <w:sz w:val="28"/>
          <w:sz w:val="28"/>
          <w:szCs w:val="28"/>
          <w:rtl w:val="true"/>
          <w:lang w:bidi="ar-SA"/>
        </w:rPr>
        <w:t>شرطا في اللزوم في الهبة ليس المعنى المعروف،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يوجب ملكية مراعاة بتحقّق القبض </w:t>
      </w:r>
      <w:r>
        <w:rPr>
          <w:rStyle w:val="FootnoteAnchor"/>
          <w:rtl w:val="true"/>
        </w:rPr>
        <w:footnoteReference w:id="649"/>
      </w:r>
      <w:r>
        <w:rPr>
          <w:rFonts w:ascii="Amiri" w:hAnsi="Amiri" w:eastAsia="Amiri" w:cs="Amiri"/>
          <w:color w:val="111111"/>
          <w:sz w:val="28"/>
          <w:sz w:val="28"/>
          <w:szCs w:val="28"/>
          <w:rtl w:val="true"/>
          <w:lang w:bidi="ar-SA"/>
        </w:rPr>
        <w:t>فإن تحقّق تمّ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صرّحوا أيضا بأنّ الإجماع واقع </w:t>
      </w:r>
      <w:r>
        <w:rPr>
          <w:rStyle w:val="FootnoteAnchor"/>
          <w:rtl w:val="true"/>
        </w:rPr>
        <w:footnoteReference w:id="650"/>
      </w:r>
      <w:r>
        <w:rPr>
          <w:rFonts w:ascii="Amiri" w:hAnsi="Amiri" w:eastAsia="Amiri" w:cs="Amiri"/>
          <w:color w:val="111111"/>
          <w:sz w:val="28"/>
          <w:sz w:val="28"/>
          <w:szCs w:val="28"/>
          <w:rtl w:val="true"/>
          <w:lang w:bidi="ar-SA"/>
        </w:rPr>
        <w:t xml:space="preserve">على أنّه ما لم يتحقّق القبض لا تتحقّق الثمرة، فجعلوا لمحلّ النزاع ثمرات خاصّة، و لم يجعل أحد الثمرة أنه </w:t>
      </w:r>
      <w:r>
        <w:rPr>
          <w:rStyle w:val="FootnoteAnchor"/>
          <w:rtl w:val="true"/>
        </w:rPr>
        <w:footnoteReference w:id="651"/>
      </w:r>
      <w:r>
        <w:rPr>
          <w:rFonts w:ascii="Amiri" w:hAnsi="Amiri" w:eastAsia="Amiri" w:cs="Amiri"/>
          <w:color w:val="111111"/>
          <w:sz w:val="28"/>
          <w:sz w:val="28"/>
          <w:szCs w:val="28"/>
          <w:rtl w:val="true"/>
          <w:lang w:bidi="ar-SA"/>
        </w:rPr>
        <w:t xml:space="preserve">بمجرّد العقد تتحقّق الملكية التامّة، غاية الأمر أنّه يجوز أن يفسخ و أنّه إلى حين الفسخ كان ملكا تامّا، و أنّ القبض يرفع جواز الفسخ، و أنّ الهبة بعد القبض من العقود اللازمة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يظهر صحّة ما في المسالك في هذا المقام من أنّه لا فرق في عدم جريان الموهوب في الحول قبل القبض بين أن نقول إنّ القبض ناقل أو كاشف عن سبقه بالعقد، لمنع المتّهب عن التصرّف على التقديرين </w:t>
      </w:r>
      <w:r>
        <w:rPr>
          <w:rStyle w:val="FootnoteAnchor"/>
          <w:rtl w:val="true"/>
        </w:rPr>
        <w:footnoteReference w:id="653"/>
      </w:r>
      <w:r>
        <w:rPr>
          <w:rFonts w:ascii="Amiri" w:hAnsi="Amiri" w:eastAsia="Amiri" w:cs="Amiri"/>
          <w:color w:val="111111"/>
          <w:sz w:val="28"/>
          <w:sz w:val="28"/>
          <w:szCs w:val="28"/>
          <w:rtl w:val="true"/>
          <w:lang w:bidi="ar-SA"/>
        </w:rPr>
        <w:t xml:space="preserve">، و لا وجه لاعتراض صاحب المدارك بأنّ القول بالكشف غير محكيّ في الهبة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أيضا يظهر أنّ معنى تمامية الملك التي أخذها المحقّق </w:t>
      </w:r>
      <w:r>
        <w:rPr>
          <w:rStyle w:val="FootnoteAnchor"/>
          <w:rtl w:val="true"/>
        </w:rPr>
        <w:footnoteReference w:id="655"/>
      </w:r>
      <w:r>
        <w:rPr>
          <w:rFonts w:ascii="Amiri" w:hAnsi="Amiri" w:eastAsia="Amiri" w:cs="Amiri"/>
          <w:color w:val="111111"/>
          <w:sz w:val="28"/>
          <w:sz w:val="28"/>
          <w:szCs w:val="28"/>
          <w:rtl w:val="true"/>
          <w:lang w:bidi="ar-SA"/>
        </w:rPr>
        <w:t>و غيره شرطا غير اشتراط أصل الملك هو إخراج الملك المتزلزل في مقابل المستقرّ، لا ما يقابل اللازم بمعنى عدم جواز الرجوع للناقل، حتّى يعترض عليه بأنّ لازمة خروج المبيع في أيّام الخيار، بل الموهوب بعد القبض لتزلزل الملك، بمعنى جواز رجوع الناقل، و ليس بمعنى التمكّن من التصرّف حتّى يقال بأنّه لا يصحّ ممن</w:t>
      </w:r>
    </w:p>
    <w:p>
      <w:pPr>
        <w:pStyle w:val="BookText"/>
        <w:rPr/>
      </w:pPr>
      <w:r>
        <w:rPr>
          <w:rFonts w:ascii="Amiri" w:hAnsi="Amiri" w:eastAsia="Amiri" w:cs="Amiri"/>
          <w:color w:val="111111"/>
          <w:sz w:val="28"/>
          <w:sz w:val="28"/>
          <w:szCs w:val="28"/>
          <w:rtl w:val="true"/>
          <w:lang w:bidi="ar-SA"/>
        </w:rPr>
        <w:t xml:space="preserve">جعل التمكن شرطا آخر كالمحقّق في الشرائع </w:t>
      </w:r>
      <w:r>
        <w:rPr>
          <w:rStyle w:val="FootnoteAnchor"/>
          <w:rtl w:val="true"/>
        </w:rPr>
        <w:footnoteReference w:id="656"/>
      </w:r>
      <w:r>
        <w:rPr>
          <w:rFonts w:ascii="Amiri" w:hAnsi="Amiri" w:eastAsia="Amiri" w:cs="Amiri"/>
          <w:color w:val="111111"/>
          <w:sz w:val="28"/>
          <w:sz w:val="28"/>
          <w:szCs w:val="28"/>
          <w:rtl w:val="true"/>
          <w:lang w:bidi="ar-SA"/>
        </w:rPr>
        <w:t xml:space="preserve">، و ليس بمعنى تمام أسباب الملك حتّى يغني عنه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أنّ التزلزل بالمعنى الذي ذكر يغني عن </w:t>
      </w:r>
      <w:r>
        <w:rPr>
          <w:rStyle w:val="FootnoteAnchor"/>
          <w:rtl w:val="true"/>
        </w:rPr>
        <w:footnoteReference w:id="657"/>
      </w:r>
      <w:r>
        <w:rPr>
          <w:rFonts w:ascii="Amiri" w:hAnsi="Amiri" w:eastAsia="Amiri" w:cs="Amiri"/>
          <w:color w:val="111111"/>
          <w:sz w:val="28"/>
          <w:sz w:val="28"/>
          <w:szCs w:val="28"/>
          <w:rtl w:val="true"/>
          <w:lang w:bidi="ar-SA"/>
        </w:rPr>
        <w:t>قيد التمكّن من التصرّف، مسلّمة، لكن ذكر الخاصّ بعد العام إذا كان القيدان متغايرين من حيث المفهوم غير عزيز في مقام بيان الشرائط، بل في الحدود أيضا، فتدبّر</w:t>
      </w:r>
      <w:r>
        <w:rPr>
          <w:rFonts w:eastAsia="Amiri" w:cs="Amiri" w:ascii="Amiri" w:hAnsi="Amiri"/>
          <w:color w:val="111111"/>
          <w:sz w:val="28"/>
          <w:szCs w:val="28"/>
          <w:rtl w:val="true"/>
          <w:lang w:bidi="ar-SA"/>
        </w:rPr>
        <w:t>.</w:t>
      </w:r>
      <w:bookmarkStart w:id="48" w:name="pg19722_766183"/>
    </w:p>
    <w:p>
      <w:pPr>
        <w:pStyle w:val="Heading4"/>
        <w:numPr>
          <w:ilvl w:val="3"/>
          <w:numId w:val="1"/>
        </w:numPr>
        <w:rPr/>
      </w:pPr>
      <w:bookmarkStart w:id="49" w:name="__RefHeading___Toc2136312_2314609296"/>
      <w:bookmarkStart w:id="50" w:name="_Toc18"/>
      <w:bookmarkEnd w:id="48"/>
      <w:bookmarkEnd w:id="49"/>
      <w:r>
        <w:rPr>
          <w:rtl w:val="true"/>
        </w:rPr>
        <w:t xml:space="preserve">مسألة </w:t>
      </w:r>
      <w:r>
        <w:rPr>
          <w:rtl w:val="true"/>
        </w:rPr>
        <w:t>[</w:t>
      </w:r>
      <w:r>
        <w:rPr/>
        <w:t>8</w:t>
      </w:r>
      <w:r>
        <w:rPr>
          <w:rtl w:val="true"/>
        </w:rPr>
        <w:t>]</w:t>
      </w:r>
      <w:bookmarkEnd w:id="50"/>
    </w:p>
    <w:p>
      <w:pPr>
        <w:pStyle w:val="BookText"/>
        <w:rPr/>
      </w:pPr>
      <w:r>
        <w:rPr>
          <w:rFonts w:ascii="Amiri" w:hAnsi="Amiri" w:eastAsia="Amiri" w:cs="Amiri"/>
          <w:color w:val="111111"/>
          <w:sz w:val="28"/>
          <w:sz w:val="28"/>
          <w:szCs w:val="28"/>
          <w:rtl w:val="true"/>
          <w:lang w:bidi="ar-SA"/>
        </w:rPr>
        <w:t xml:space="preserve">التمكّن من التصرّف شرط في وجوب الزكاة إجماعا محقّقا في الجملة، و مستفيضا، و يظهر من الأخبار، مثل ما دلّ على اعتبار أن يحول الحول على المال و هو في يده أو عنده أو عند ربّه </w:t>
      </w:r>
      <w:r>
        <w:rPr>
          <w:rStyle w:val="FootnoteAnchor"/>
          <w:rtl w:val="true"/>
        </w:rPr>
        <w:footnoteReference w:id="658"/>
      </w:r>
      <w:r>
        <w:rPr>
          <w:rFonts w:ascii="Amiri" w:hAnsi="Amiri" w:eastAsia="Amiri" w:cs="Amiri"/>
          <w:color w:val="111111"/>
          <w:sz w:val="28"/>
          <w:sz w:val="28"/>
          <w:szCs w:val="28"/>
          <w:rtl w:val="true"/>
          <w:lang w:bidi="ar-SA"/>
        </w:rPr>
        <w:t xml:space="preserve">، و ما دلّ على أنّه إذا لم يقدر على أخذ الغائب فليس عليه زكاة </w:t>
      </w:r>
      <w:r>
        <w:rPr>
          <w:rStyle w:val="FootnoteAnchor"/>
          <w:rtl w:val="true"/>
        </w:rPr>
        <w:footnoteReference w:id="659"/>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يستشكل اعتبار هذا الشرط في غير الأفراد الشائعة </w:t>
      </w:r>
      <w:r>
        <w:rPr>
          <w:rStyle w:val="FootnoteAnchor"/>
          <w:rtl w:val="true"/>
        </w:rPr>
        <w:footnoteReference w:id="660"/>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w:t>
      </w:r>
      <w:r>
        <w:rPr>
          <w:rStyle w:val="FootnoteAnchor"/>
          <w:rtl w:val="true"/>
        </w:rPr>
        <w:footnoteReference w:id="661"/>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بأنّه إن أريد التمكّن من جميع </w:t>
      </w:r>
      <w:r>
        <w:rPr>
          <w:rStyle w:val="FootnoteAnchor"/>
          <w:rtl w:val="true"/>
        </w:rPr>
        <w:footnoteReference w:id="662"/>
      </w:r>
      <w:r>
        <w:rPr>
          <w:rFonts w:ascii="Amiri" w:hAnsi="Amiri" w:eastAsia="Amiri" w:cs="Amiri"/>
          <w:color w:val="111111"/>
          <w:sz w:val="28"/>
          <w:sz w:val="28"/>
          <w:szCs w:val="28"/>
          <w:rtl w:val="true"/>
          <w:lang w:bidi="ar-SA"/>
        </w:rPr>
        <w:t xml:space="preserve">التصرفات، فلا ريب بالانتقاض </w:t>
      </w:r>
      <w:r>
        <w:rPr>
          <w:rStyle w:val="FootnoteAnchor"/>
          <w:rtl w:val="true"/>
        </w:rPr>
        <w:footnoteReference w:id="663"/>
      </w:r>
      <w:r>
        <w:rPr>
          <w:rFonts w:ascii="Amiri" w:hAnsi="Amiri" w:eastAsia="Amiri" w:cs="Amiri"/>
          <w:color w:val="111111"/>
          <w:sz w:val="28"/>
          <w:sz w:val="28"/>
          <w:szCs w:val="28"/>
          <w:rtl w:val="true"/>
          <w:lang w:bidi="ar-SA"/>
        </w:rPr>
        <w:t>بما إذا لم يقدر على تصرف خاص لأجل التزام شرعيّ كنذر عدم البيع، أو قهر قاهر كإكراهه على عدم البيع بالخصوص، بل و مثل التصرّف في زمان خيار البائع على القول بأنّه لا يمنع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التمكن من التصرّف في الجملة فأكثر ما مثّلوا به لغير التمكن منه يدخل، فانّ المغصوب يمكن نقله إلى الغاصب، بل إلى غيره في الجملة، و كذا الغائب المرهون، بل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بالتمكّن من التصرّف في معاقد الإجماعات الذي يظهر اعتباره من النصوص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المال بحيث يتمكّن صاحبه عقلا و شرعا من التصرّف فيه على وجه الإقباض و التسليم، و الدفع إلى الغير، بحيث يكون من شأنه بعد حلول الحول أن يكلّف بدفع حصة منه إلى المستحقين، فإنّ قوله عليه السلام في الصحيح إلى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w:t>
      </w:r>
      <w:r>
        <w:rPr>
          <w:rStyle w:val="FootnoteAnchor"/>
          <w:rtl w:val="true"/>
        </w:rPr>
        <w:footnoteReference w:id="664"/>
      </w:r>
      <w:r>
        <w:rPr>
          <w:rFonts w:ascii="IRNazanin" w:hAnsi="IRNazanin" w:eastAsia="IRNazanin"/>
          <w:color w:val="111111"/>
          <w:sz w:val="28"/>
          <w:sz w:val="28"/>
          <w:szCs w:val="28"/>
          <w:rtl w:val="true"/>
          <w:lang w:bidi="fa-IR"/>
        </w:rPr>
        <w:t>الموروث الغائب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يجب عليه الزكاة حتّى يحول عليه في يده، أو و هو عنده</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كان له مال </w:t>
      </w:r>
      <w:r>
        <w:rPr>
          <w:rStyle w:val="FootnoteAnchor"/>
          <w:rtl w:val="true"/>
        </w:rPr>
        <w:footnoteReference w:id="666"/>
      </w:r>
      <w:r>
        <w:rPr>
          <w:rFonts w:ascii="Amiri" w:hAnsi="Amiri" w:eastAsia="Amiri" w:cs="Amiri"/>
          <w:color w:val="111111"/>
          <w:sz w:val="28"/>
          <w:sz w:val="28"/>
          <w:szCs w:val="28"/>
          <w:rtl w:val="true"/>
          <w:lang w:bidi="ar-SA"/>
        </w:rPr>
        <w:t xml:space="preserve">موضوع و حال عليه الحول فإنّه يزكيه </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في حسنة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القرض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موضوعة عنده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المقترض</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و نحو ذلك يدلّ على تعلّق الوجوب إذا حال الحول على المال في يده و عنده، من غير مدخلية شي‌ء آخر </w:t>
      </w:r>
      <w:r>
        <w:rPr>
          <w:rStyle w:val="FootnoteAnchor"/>
          <w:rtl w:val="true"/>
        </w:rPr>
        <w:footnoteReference w:id="669"/>
      </w:r>
      <w:r>
        <w:rPr>
          <w:rFonts w:ascii="Amiri" w:hAnsi="Amiri" w:eastAsia="Amiri" w:cs="Amiri"/>
          <w:color w:val="111111"/>
          <w:sz w:val="28"/>
          <w:sz w:val="28"/>
          <w:szCs w:val="28"/>
          <w:rtl w:val="true"/>
          <w:lang w:bidi="ar-SA"/>
        </w:rPr>
        <w:t>في الوجوب، و لا يكون ذلك إلّا إذا كان المال في تمام الحول بحيث يتمكّن من الإخراج؛ لأنّ هذا التمكّن شرط في آخر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أوّل وقت الوجوب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يكن معتبرا في تمامه لزم توقّف الوجوب، مضافا إلى كونه في يده تمام الحول على شي‌ء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الشارع </w:t>
      </w:r>
      <w:r>
        <w:rPr>
          <w:rStyle w:val="FootnoteAnchor"/>
          <w:rtl w:val="true"/>
        </w:rPr>
        <w:footnoteReference w:id="670"/>
      </w:r>
      <w:r>
        <w:rPr>
          <w:rFonts w:ascii="Amiri" w:hAnsi="Amiri" w:eastAsia="Amiri" w:cs="Amiri"/>
          <w:color w:val="111111"/>
          <w:sz w:val="28"/>
          <w:sz w:val="28"/>
          <w:szCs w:val="28"/>
          <w:rtl w:val="true"/>
          <w:lang w:bidi="ar-SA"/>
        </w:rPr>
        <w:t>جعل مجرّد حلول الحول على المال في يد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في يده تمام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مستقلّة لوجوب الزكاة؛ فإن كان المراد من كونه في يده هو ما ذكرنا من تسلّطه على التصرف في العين بالدفع و الإقباض، ثبت المطلوب، و هو اعتبار كونه كذلك تمام الحول، و إن كان المراد منه ما دون ذلك،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التسلّط في الجملة و لو لم يكن مسلّطا على الدفع و الإقباض، لزم توقف الوجوب بعد حلول الحول على المال في يده على شي‌ء آخر، و هو كون المال بحيث يتمكّن من دفع بعضه إلى المستحق، و يلزم منه عدم استقلال ما فرضناه مستقلّا في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إلى هذا ينظر ما استدلّ به في المعتبر </w:t>
      </w:r>
      <w:r>
        <w:rPr>
          <w:rStyle w:val="FootnoteAnchor"/>
          <w:rtl w:val="true"/>
        </w:rPr>
        <w:footnoteReference w:id="671"/>
      </w:r>
      <w:r>
        <w:rPr>
          <w:rFonts w:ascii="IRNazanin" w:hAnsi="IRNazanin" w:eastAsia="IRNazanin"/>
          <w:color w:val="111111"/>
          <w:sz w:val="28"/>
          <w:sz w:val="28"/>
          <w:szCs w:val="28"/>
          <w:rtl w:val="true"/>
          <w:lang w:bidi="fa-IR"/>
        </w:rPr>
        <w:t xml:space="preserve">و المنتهى </w:t>
      </w:r>
      <w:r>
        <w:rPr>
          <w:rStyle w:val="FootnoteAnchor"/>
          <w:rtl w:val="true"/>
        </w:rPr>
        <w:footnoteReference w:id="672"/>
      </w:r>
      <w:r>
        <w:rPr>
          <w:rFonts w:ascii="Amiri" w:hAnsi="Amiri" w:eastAsia="Amiri" w:cs="Amiri"/>
          <w:color w:val="111111"/>
          <w:sz w:val="28"/>
          <w:sz w:val="28"/>
          <w:szCs w:val="28"/>
          <w:rtl w:val="true"/>
          <w:lang w:bidi="ar-SA"/>
        </w:rPr>
        <w:t xml:space="preserve">لاعتبار هذا الشرط، من أنّ المال الغير المتمكّن من التصرّف فيه، مال تعذر التصرّف فيه، فلا تجب الزكاة فيه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استدلّ به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وجبت الزكاة في هذا المال </w:t>
      </w:r>
      <w:r>
        <w:rPr>
          <w:rStyle w:val="FootnoteAnchor"/>
          <w:rtl w:val="true"/>
        </w:rPr>
        <w:footnoteReference w:id="674"/>
      </w:r>
      <w:r>
        <w:rPr>
          <w:rFonts w:ascii="Amiri" w:hAnsi="Amiri" w:eastAsia="Amiri" w:cs="Amiri"/>
          <w:color w:val="111111"/>
          <w:sz w:val="28"/>
          <w:sz w:val="28"/>
          <w:szCs w:val="28"/>
          <w:rtl w:val="true"/>
          <w:lang w:bidi="ar-SA"/>
        </w:rPr>
        <w:t xml:space="preserve">لوجبت في غيره </w:t>
      </w:r>
      <w:r>
        <w:rPr>
          <w:rStyle w:val="FootnoteAnchor"/>
          <w:rtl w:val="true"/>
        </w:rPr>
        <w:footnoteReference w:id="675"/>
      </w:r>
      <w:r>
        <w:rPr>
          <w:rFonts w:ascii="Amiri" w:hAnsi="Amiri" w:eastAsia="Amiri" w:cs="Amiri"/>
          <w:color w:val="111111"/>
          <w:sz w:val="28"/>
          <w:sz w:val="28"/>
          <w:szCs w:val="28"/>
          <w:rtl w:val="true"/>
          <w:lang w:bidi="ar-SA"/>
        </w:rPr>
        <w:t>، و هو باطل؛ لأنّ الزكاة تتعلّق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يرد عليها </w:t>
      </w:r>
      <w:r>
        <w:rPr>
          <w:rStyle w:val="FootnoteAnchor"/>
          <w:rtl w:val="true"/>
        </w:rPr>
        <w:footnoteReference w:id="676"/>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يقتضي اعتبار التمكّن وقت الوجوب فقط، لا وجوب كونه كذلك تمام الحول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اندفاع 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الأخبار و من استقراء حكم</w:t>
      </w:r>
    </w:p>
    <w:p>
      <w:pPr>
        <w:pStyle w:val="BookText"/>
        <w:rPr/>
      </w:pPr>
      <w:r>
        <w:rPr>
          <w:rFonts w:ascii="Amiri" w:hAnsi="Amiri" w:eastAsia="Amiri" w:cs="Amiri"/>
          <w:color w:val="111111"/>
          <w:sz w:val="28"/>
          <w:sz w:val="28"/>
          <w:szCs w:val="28"/>
          <w:rtl w:val="true"/>
          <w:lang w:bidi="ar-SA"/>
        </w:rPr>
        <w:t>شروط النصاب، بل شروط المزكّى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هذا الشرط طول الحول، و وجه هذه الاستفادة من الأخبار ما عرفت أنّ المستفاد منها وجوب الزكاة فيما كان في اليد طول الحول، فلو كان المراد من كونها في اليد أمر آخر غير التمكن من التصرف فيها بالدفع، لزم عدم الزكاة فيها بمجرّد كونها في اليد طول الحول، بل لا بد من أمر آخر، و هو التمكن من التصرّف وقت الوجوب أيضا، فلا يكون حلول الحول على ما في اليد علّة مستقلّة في وجوب الزكاة،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الأخبار سببية حلول الحول على ما في اليد لوجوب الزكاة، و لا ينافيه توقّف الوجوب على استجماع </w:t>
      </w:r>
      <w:r>
        <w:rPr>
          <w:rStyle w:val="FootnoteAnchor"/>
          <w:rtl w:val="true"/>
        </w:rPr>
        <w:footnoteReference w:id="677"/>
      </w:r>
      <w:r>
        <w:rPr>
          <w:rFonts w:ascii="Amiri" w:hAnsi="Amiri" w:eastAsia="Amiri" w:cs="Amiri"/>
          <w:color w:val="111111"/>
          <w:sz w:val="28"/>
          <w:sz w:val="28"/>
          <w:szCs w:val="28"/>
          <w:rtl w:val="true"/>
          <w:lang w:bidi="ar-SA"/>
        </w:rPr>
        <w:t>شرائط التكليف التي منها التمكّن من دفع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إطلاق وجوب الزكاة إذا حال الحول على النصاب الموضوع عنده أو على ما في يده، هي العلّة التامّة كما صرّحوا به في الجمل الشرطية، نعم لو ثبت توقّف الوجوب على شرط آخر من قدرة </w:t>
      </w:r>
      <w:r>
        <w:rPr>
          <w:rStyle w:val="FootnoteAnchor"/>
          <w:rtl w:val="true"/>
        </w:rPr>
        <w:footnoteReference w:id="678"/>
      </w:r>
      <w:r>
        <w:rPr>
          <w:rFonts w:ascii="Amiri" w:hAnsi="Amiri" w:eastAsia="Amiri" w:cs="Amiri"/>
          <w:color w:val="111111"/>
          <w:sz w:val="28"/>
          <w:sz w:val="28"/>
          <w:szCs w:val="28"/>
          <w:rtl w:val="true"/>
          <w:lang w:bidi="ar-SA"/>
        </w:rPr>
        <w:t xml:space="preserve">المالك </w:t>
      </w:r>
      <w:r>
        <w:rPr>
          <w:rStyle w:val="FootnoteAnchor"/>
          <w:rtl w:val="true"/>
        </w:rPr>
        <w:footnoteReference w:id="679"/>
      </w:r>
      <w:r>
        <w:rPr>
          <w:rFonts w:ascii="Amiri" w:hAnsi="Amiri" w:eastAsia="Amiri" w:cs="Amiri"/>
          <w:color w:val="111111"/>
          <w:sz w:val="28"/>
          <w:sz w:val="28"/>
          <w:szCs w:val="28"/>
          <w:rtl w:val="true"/>
          <w:lang w:bidi="ar-SA"/>
        </w:rPr>
        <w:t xml:space="preserve">على الدفع بحيث لا يمنعه مانع عن إعطاء الزكاة مثل قهر قاهر أو خوف مخوف، و هذا لا ينافي تمامية علية </w:t>
      </w:r>
      <w:r>
        <w:rPr>
          <w:rStyle w:val="FootnoteAnchor"/>
          <w:rtl w:val="true"/>
        </w:rPr>
        <w:footnoteReference w:id="680"/>
      </w:r>
      <w:r>
        <w:rPr>
          <w:rFonts w:ascii="Amiri" w:hAnsi="Amiri" w:eastAsia="Amiri" w:cs="Amiri"/>
          <w:color w:val="111111"/>
          <w:sz w:val="28"/>
          <w:sz w:val="28"/>
          <w:szCs w:val="28"/>
          <w:rtl w:val="true"/>
          <w:lang w:bidi="ar-SA"/>
        </w:rPr>
        <w:t>الوجوب من جهة نفس الملك، فهنا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من جهة الملك، بأن يكون بحيث لا يتمكّن المكلّف من التصرّف فيه كالمغصوب و المحجور و المفقود و المرهون و نحو 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من طرف المالك عن مباشرة الدفع أو عن مطلق الدفع، و لو بالتوكيل، فبمجرّد </w:t>
      </w:r>
      <w:r>
        <w:rPr>
          <w:rStyle w:val="FootnoteAnchor"/>
          <w:rtl w:val="true"/>
        </w:rPr>
        <w:footnoteReference w:id="681"/>
      </w:r>
      <w:r>
        <w:rPr>
          <w:rFonts w:ascii="Amiri" w:hAnsi="Amiri" w:eastAsia="Amiri" w:cs="Amiri"/>
          <w:color w:val="111111"/>
          <w:sz w:val="28"/>
          <w:sz w:val="28"/>
          <w:szCs w:val="28"/>
          <w:rtl w:val="true"/>
          <w:lang w:bidi="ar-SA"/>
        </w:rPr>
        <w:t xml:space="preserve">كون المال في يد المالك طول الحول بحيث لا قصور </w:t>
      </w:r>
      <w:r>
        <w:rPr>
          <w:rStyle w:val="FootnoteAnchor"/>
          <w:rtl w:val="true"/>
        </w:rPr>
        <w:footnoteReference w:id="682"/>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طرف المالك من التصرف فيه بالدفع، يتعلّق الزكاة، فهو سبب مستقل و علّة تامّة لتعلّق الزكاة بالمال، فإن اجتمع شرائط المكلّف وجب الأوّل،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الأخبار المتقدّمة </w:t>
      </w:r>
      <w:r>
        <w:rPr>
          <w:rStyle w:val="FootnoteAnchor"/>
          <w:rtl w:val="true"/>
        </w:rPr>
        <w:footnoteReference w:id="684"/>
      </w:r>
      <w:r>
        <w:rPr>
          <w:rFonts w:ascii="Amiri" w:hAnsi="Amiri" w:eastAsia="Amiri" w:cs="Amiri"/>
          <w:color w:val="111111"/>
          <w:sz w:val="28"/>
          <w:sz w:val="28"/>
          <w:szCs w:val="28"/>
          <w:rtl w:val="true"/>
          <w:lang w:bidi="ar-SA"/>
        </w:rPr>
        <w:t xml:space="preserve">الدالّة على اعتبار كونه في يد المالك طول الحول، بنفسها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في كون المراد من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التسلّط على التصرّف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يتحقّق التسلّط الفعلي </w:t>
      </w:r>
      <w:r>
        <w:rPr>
          <w:rStyle w:val="FootnoteAnchor"/>
          <w:rtl w:val="true"/>
        </w:rPr>
        <w:footnoteReference w:id="686"/>
      </w:r>
      <w:r>
        <w:rPr>
          <w:rFonts w:ascii="Amiri" w:hAnsi="Amiri" w:eastAsia="Amiri" w:cs="Amiri"/>
          <w:color w:val="111111"/>
          <w:sz w:val="28"/>
          <w:sz w:val="28"/>
          <w:szCs w:val="28"/>
          <w:rtl w:val="true"/>
          <w:lang w:bidi="ar-SA"/>
        </w:rPr>
        <w:t>بأن يكون المال حاضرا، و لم يرد عليه ما يمنع المالك عن التصرّف فيه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فالمخرجات عن اليد بالمعنى المذكور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معناها الفقد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المنع الشرعي، و المنع العدواني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يعلم أنّ الخروج عن اليد بأحد الثلاثة فعلا مع التمكّن من إزالة المخرج و إثبات اليد بمنزلة اليد الفعلية و إن كان ظاهر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Style w:val="FootnoteAnchor"/>
          <w:rtl w:val="true"/>
        </w:rPr>
        <w:footnoteReference w:id="687"/>
      </w:r>
      <w:r>
        <w:rPr>
          <w:rFonts w:ascii="Amiri" w:hAnsi="Amiri" w:eastAsia="Amiri" w:cs="Amiri"/>
          <w:color w:val="111111"/>
          <w:sz w:val="28"/>
          <w:sz w:val="28"/>
          <w:szCs w:val="28"/>
          <w:rtl w:val="true"/>
          <w:lang w:bidi="ar-SA"/>
        </w:rPr>
        <w:t>فعلية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على الدين، و لا على المال الغائب عنك حتّى يقع في يدك</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إلّا أنّه لا بد من الخروج عن ظاهرها إمّا بإرادة قوّة التسلّط من إطلاق اليد، و إمّا من جعل التمكّن من إثبات مكان اليد الفعلي للدليل الخارجي، 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زرارة، عن أبي عبد اللّٰه عليه السلام، في رجل ماله عنه غائب و هو لا يقدر على أخذه،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زكاة عليه حتّى يخرج، فإذا خرج زكّاه لعام واحد، فإن كان يدعه متعمّدا و هو يقدر على أخذه فعليه الزكاة لكلّ ما مرّ به من السنين</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مرسلة أخرى لزرارة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يكون للرجل على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غير ممنوع يأخذه متى شاء بلا خصومة و لا مدافعة، فهو كسائر ما في يده من ماله، يزكّيه، و إن كان الذي هو عليه </w:t>
      </w:r>
      <w:r>
        <w:rPr>
          <w:rStyle w:val="FootnoteAnchor"/>
          <w:rtl w:val="true"/>
        </w:rPr>
        <w:footnoteReference w:id="692"/>
      </w:r>
      <w:r>
        <w:rPr>
          <w:rFonts w:ascii="Amiri" w:hAnsi="Amiri" w:eastAsia="Amiri" w:cs="Amiri"/>
          <w:color w:val="111111"/>
          <w:sz w:val="28"/>
          <w:sz w:val="28"/>
          <w:szCs w:val="28"/>
          <w:rtl w:val="true"/>
          <w:lang w:bidi="ar-SA"/>
        </w:rPr>
        <w:t xml:space="preserve">يدافعه، و لا يصل إليه إلّا بخصومة فزكاته على من هو في يده، و كذلك مال الغائب </w:t>
      </w:r>
      <w:r>
        <w:rPr>
          <w:rStyle w:val="FootnoteAnchor"/>
          <w:rtl w:val="true"/>
        </w:rPr>
        <w:footnoteReference w:id="693"/>
      </w:r>
      <w:r>
        <w:rPr>
          <w:rFonts w:ascii="Amiri" w:hAnsi="Amiri" w:eastAsia="Amiri" w:cs="Amiri"/>
          <w:color w:val="111111"/>
          <w:sz w:val="28"/>
          <w:sz w:val="28"/>
          <w:szCs w:val="28"/>
          <w:rtl w:val="true"/>
          <w:lang w:bidi="ar-SA"/>
        </w:rPr>
        <w:t>، و كذلك مهر المرأة على زوجها</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المسألة لا تخلو من إشكال من جهة كثرة ما يدلّ على اعتبار اليد الفعلية، مثل صحيحة ابن سنان المتقدمة </w:t>
      </w:r>
      <w:r>
        <w:rPr>
          <w:rStyle w:val="FootnoteAnchor"/>
          <w:rtl w:val="true"/>
        </w:rPr>
        <w:footnoteReference w:id="69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يحل عليه الحول عند ربّه فلا شي‌ء عليه فيه</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صغار الإبل و البقر و الغنم شي‌ء إلّا ما حال عليه الحول عند الرجل</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يقطين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هاشم</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يحل عندك عليه الحول فليس عليك فيه زكاة</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يدلّ </w:t>
      </w:r>
      <w:r>
        <w:rPr>
          <w:rStyle w:val="FootnoteAnchor"/>
          <w:rtl w:val="true"/>
        </w:rPr>
        <w:footnoteReference w:id="700"/>
      </w:r>
      <w:r>
        <w:rPr>
          <w:rFonts w:ascii="Amiri" w:hAnsi="Amiri" w:eastAsia="Amiri" w:cs="Amiri"/>
          <w:color w:val="111111"/>
          <w:sz w:val="28"/>
          <w:sz w:val="28"/>
          <w:szCs w:val="28"/>
          <w:rtl w:val="true"/>
          <w:lang w:bidi="ar-SA"/>
        </w:rPr>
        <w:t>على اشتراط ثبوت اليد الفعلية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الموثّقة فلا يبعد حملها على الدين و ستعرف </w:t>
      </w:r>
      <w:r>
        <w:rPr>
          <w:rStyle w:val="FootnoteAnchor"/>
          <w:rtl w:val="true"/>
        </w:rPr>
        <w:footnoteReference w:id="701"/>
      </w:r>
      <w:r>
        <w:rPr>
          <w:rFonts w:ascii="Amiri" w:hAnsi="Amiri" w:eastAsia="Amiri" w:cs="Amiri"/>
          <w:color w:val="111111"/>
          <w:sz w:val="28"/>
          <w:sz w:val="28"/>
          <w:szCs w:val="28"/>
          <w:rtl w:val="true"/>
          <w:lang w:bidi="ar-SA"/>
        </w:rPr>
        <w:t>عدم وجوب الزكاة فيه</w:t>
      </w:r>
    </w:p>
    <w:p>
      <w:pPr>
        <w:pStyle w:val="BookText"/>
        <w:rPr/>
      </w:pPr>
      <w:r>
        <w:rPr>
          <w:rFonts w:ascii="IRNazanin" w:hAnsi="IRNazanin" w:eastAsia="IRNazanin"/>
          <w:color w:val="111111"/>
          <w:sz w:val="28"/>
          <w:sz w:val="28"/>
          <w:szCs w:val="28"/>
          <w:rtl w:val="true"/>
          <w:lang w:bidi="fa-IR"/>
        </w:rPr>
        <w:t>إلّا استحبابا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رواية الدعائم فضعيفة الدلالة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المرسلة فالظاهر أنها عين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عمومات نفي الزكاة في المال الغائب بقول مطلق، سيما ما ورد فيمن خلّف لأهله نفقة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شاهدا فعليه الزكاة، و إن كان غائبا فليس عليه</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يتوهّم </w:t>
      </w:r>
      <w:r>
        <w:rPr>
          <w:rStyle w:val="FootnoteAnchor"/>
          <w:rtl w:val="true"/>
        </w:rPr>
        <w:footnoteReference w:id="703"/>
      </w:r>
      <w:r>
        <w:rPr>
          <w:rFonts w:ascii="Amiri" w:hAnsi="Amiri" w:eastAsia="Amiri" w:cs="Amiri"/>
          <w:color w:val="111111"/>
          <w:sz w:val="28"/>
          <w:sz w:val="28"/>
          <w:szCs w:val="28"/>
          <w:rtl w:val="true"/>
          <w:lang w:bidi="ar-SA"/>
        </w:rPr>
        <w:t xml:space="preserve">أنّ العمومات الموجبة لثبوت الزكاة في مطلق المال الذي حال عليه الحول بعد تخصيصها بغير التمكّن من التصرّف، تصير أعمّ من وجه من عمومات نفي الزكاة في مال الغائب، و هو توهّم محض؛ لأنّ العام إذا ورد عليه خاصّان فلا بد أن يخصّص بكليهما، لا أن يخصّص بأحدهما ثمّ تؤخذ النسبة بينه بعد التخصيص و بين الخاص الآخر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فالأخبار النافية عن </w:t>
      </w:r>
      <w:r>
        <w:rPr>
          <w:rStyle w:val="FootnoteAnchor"/>
          <w:rtl w:val="true"/>
        </w:rPr>
        <w:footnoteReference w:id="705"/>
      </w:r>
      <w:r>
        <w:rPr>
          <w:rFonts w:ascii="Amiri" w:hAnsi="Amiri" w:eastAsia="Amiri" w:cs="Amiri"/>
          <w:color w:val="111111"/>
          <w:sz w:val="28"/>
          <w:sz w:val="28"/>
          <w:szCs w:val="28"/>
          <w:rtl w:val="true"/>
          <w:lang w:bidi="ar-SA"/>
        </w:rPr>
        <w:t xml:space="preserve">الزكاة في مال الغائب سليمة عمّا يرد عليها مما عدا الموثّقة المتقدّمة </w:t>
      </w:r>
      <w:r>
        <w:rPr>
          <w:rStyle w:val="FootnoteAnchor"/>
          <w:rtl w:val="true"/>
        </w:rPr>
        <w:footnoteReference w:id="706"/>
      </w:r>
      <w:r>
        <w:rPr>
          <w:rFonts w:ascii="Amiri" w:hAnsi="Amiri" w:eastAsia="Amiri" w:cs="Amiri"/>
          <w:color w:val="111111"/>
          <w:sz w:val="28"/>
          <w:sz w:val="28"/>
          <w:szCs w:val="28"/>
          <w:rtl w:val="true"/>
          <w:lang w:bidi="ar-SA"/>
        </w:rPr>
        <w:t xml:space="preserve">، و قد عرفت ضعفها عن تخصيص العمومات الكثيرة، مع احتمال إرادة الدين منها </w:t>
      </w:r>
      <w:r>
        <w:rPr>
          <w:rStyle w:val="FootnoteAnchor"/>
          <w:rtl w:val="true"/>
        </w:rPr>
        <w:footnoteReference w:id="707"/>
      </w:r>
      <w:r>
        <w:rPr>
          <w:rFonts w:ascii="Amiri" w:hAnsi="Amiri" w:eastAsia="Amiri" w:cs="Amiri"/>
          <w:color w:val="111111"/>
          <w:sz w:val="28"/>
          <w:sz w:val="28"/>
          <w:szCs w:val="28"/>
          <w:rtl w:val="true"/>
          <w:lang w:bidi="ar-SA"/>
        </w:rPr>
        <w:t>سيّما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اختصاصه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القدرة على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تحت اليد بالفعل عرفا، و إن كان غائبا، كما إذا كان في منزل</w:t>
      </w:r>
    </w:p>
    <w:p>
      <w:pPr>
        <w:pStyle w:val="BookText"/>
        <w:rPr/>
      </w:pPr>
      <w:r>
        <w:rPr>
          <w:rFonts w:ascii="IRNazanin" w:hAnsi="IRNazanin" w:eastAsia="IRNazanin"/>
          <w:color w:val="111111"/>
          <w:sz w:val="28"/>
          <w:sz w:val="28"/>
          <w:szCs w:val="28"/>
          <w:rtl w:val="true"/>
          <w:lang w:bidi="fa-IR"/>
        </w:rPr>
        <w:t xml:space="preserve">محفوظ </w:t>
      </w:r>
      <w:r>
        <w:rPr>
          <w:rStyle w:val="FootnoteAnchor"/>
          <w:rtl w:val="true"/>
        </w:rPr>
        <w:footnoteReference w:id="708"/>
      </w:r>
      <w:r>
        <w:rPr>
          <w:rFonts w:ascii="Amiri" w:hAnsi="Amiri" w:eastAsia="Amiri" w:cs="Amiri"/>
          <w:color w:val="111111"/>
          <w:sz w:val="28"/>
          <w:sz w:val="28"/>
          <w:szCs w:val="28"/>
          <w:rtl w:val="true"/>
          <w:lang w:bidi="ar-SA"/>
        </w:rPr>
        <w:t>، أو في يد وكيله، أو نحو ذلك، فلا يشمل ما لو لم يتمكّن فعلا، و كان قادرا على تحصيل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ما ثبت </w:t>
      </w:r>
      <w:r>
        <w:rPr>
          <w:rStyle w:val="FootnoteAnchor"/>
          <w:rtl w:val="true"/>
        </w:rPr>
        <w:footnoteReference w:id="709"/>
      </w:r>
      <w:r>
        <w:rPr>
          <w:rFonts w:ascii="Amiri" w:hAnsi="Amiri" w:eastAsia="Amiri" w:cs="Amiri"/>
          <w:color w:val="111111"/>
          <w:sz w:val="28"/>
          <w:sz w:val="28"/>
          <w:szCs w:val="28"/>
          <w:rtl w:val="true"/>
          <w:lang w:bidi="ar-SA"/>
        </w:rPr>
        <w:t xml:space="preserve">من الأدلّة اعتبار التمكّن من التصرّف في العين، و ما دلّ </w:t>
      </w:r>
      <w:r>
        <w:rPr>
          <w:rStyle w:val="FootnoteAnchor"/>
          <w:rtl w:val="true"/>
        </w:rPr>
        <w:footnoteReference w:id="710"/>
      </w:r>
      <w:r>
        <w:rPr>
          <w:rFonts w:ascii="Amiri" w:hAnsi="Amiri" w:eastAsia="Amiri" w:cs="Amiri"/>
          <w:color w:val="111111"/>
          <w:sz w:val="28"/>
          <w:sz w:val="28"/>
          <w:szCs w:val="28"/>
          <w:rtl w:val="true"/>
          <w:lang w:bidi="ar-SA"/>
        </w:rPr>
        <w:t>على اعتبار الحول في اليد يدلّ على اعتبار الحضور عند المالك في مقابلة قصور يده عنها، و بعضها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المراد من اليد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يد المالك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إثبات دلالتها على اعتبار أزيد من يد التصرّف في العين إشكالا، و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عموم ما دلّ على وجوب الزكاة فيما حال عليه الحول،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ما لو استقرض ألفا، فرهن عليه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قيل بوجوب زكاة الألفين عليه كان قويّا؛ لأنّ الألف القرض لا خلاف بين الطائفة في أنه يلزمه زكاتها، و الألف المرهونة هو قادر على التصرف فيها، بأن يفك رهنها، و المال الغائب إذا كان متمكّنا منه يلزمه زكاته بلا خلاف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هذا الكلام كفاية التمكّن من تحصيل التسلّط الفعلي، و عدم اعتبار حصول التسلّط بالفعل، و إلّا فالرهن ما دام رهنا غير متسلّط عليه، فهو كالمغصوب القادر على استنقاذه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التمكّن من فكّه ببيعه ليس تمكّنا ظاهرا، خلافا للروضة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المحجور، فإن كان لسفه فالظاهر عدم السقوط، و استظهر في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عليه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لردّة عن ملّة </w:t>
      </w:r>
      <w:r>
        <w:rPr>
          <w:rStyle w:val="FootnoteAnchor"/>
          <w:rtl w:val="true"/>
        </w:rPr>
        <w:footnoteReference w:id="715"/>
      </w:r>
      <w:r>
        <w:rPr>
          <w:rFonts w:ascii="Amiri" w:hAnsi="Amiri" w:eastAsia="Amiri" w:cs="Amiri"/>
          <w:color w:val="111111"/>
          <w:sz w:val="28"/>
          <w:sz w:val="28"/>
          <w:szCs w:val="28"/>
          <w:rtl w:val="true"/>
          <w:lang w:bidi="ar-SA"/>
        </w:rPr>
        <w:t xml:space="preserve">فكذلك، كما صرّح به في البيان </w:t>
      </w:r>
      <w:r>
        <w:rPr>
          <w:rStyle w:val="FootnoteAnchor"/>
          <w:rtl w:val="true"/>
        </w:rPr>
        <w:footnoteReference w:id="716"/>
      </w:r>
      <w:r>
        <w:rPr>
          <w:rFonts w:ascii="IRNazanin" w:hAnsi="IRNazanin" w:eastAsia="IRNazanin"/>
          <w:color w:val="111111"/>
          <w:sz w:val="28"/>
          <w:sz w:val="28"/>
          <w:szCs w:val="28"/>
          <w:rtl w:val="true"/>
          <w:lang w:bidi="fa-IR"/>
        </w:rPr>
        <w:t xml:space="preserve">و الدروس </w:t>
      </w:r>
      <w:r>
        <w:rPr>
          <w:rStyle w:val="FootnoteAnchor"/>
          <w:rtl w:val="true"/>
        </w:rPr>
        <w:footnoteReference w:id="717"/>
      </w:r>
      <w:r>
        <w:rPr>
          <w:rFonts w:ascii="Amiri" w:hAnsi="Amiri" w:eastAsia="Amiri" w:cs="Amiri"/>
          <w:color w:val="111111"/>
          <w:sz w:val="28"/>
          <w:sz w:val="28"/>
          <w:szCs w:val="28"/>
          <w:rtl w:val="true"/>
          <w:lang w:bidi="ar-SA"/>
        </w:rPr>
        <w:t>، و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بقدرته على إزالته يعني الإسلام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لتفليس، فصرّح في البيان بمنعه، و حكاه في الدروس عن المبسوط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bookmarkStart w:id="51" w:name="pg19722_766192"/>
    </w:p>
    <w:p>
      <w:pPr>
        <w:pStyle w:val="Heading4"/>
        <w:numPr>
          <w:ilvl w:val="3"/>
          <w:numId w:val="1"/>
        </w:numPr>
        <w:rPr/>
      </w:pPr>
      <w:bookmarkStart w:id="52" w:name="__RefHeading___Toc2136314_2314609296"/>
      <w:bookmarkStart w:id="53" w:name="_Toc19"/>
      <w:bookmarkEnd w:id="51"/>
      <w:bookmarkEnd w:id="52"/>
      <w:r>
        <w:rPr>
          <w:rtl w:val="true"/>
        </w:rPr>
        <w:t xml:space="preserve">مسألة </w:t>
      </w:r>
      <w:r>
        <w:rPr>
          <w:rtl w:val="true"/>
        </w:rPr>
        <w:t>[</w:t>
      </w:r>
      <w:r>
        <w:rPr/>
        <w:t>9</w:t>
      </w:r>
      <w:r>
        <w:rPr>
          <w:rtl w:val="true"/>
        </w:rPr>
        <w:t>]</w:t>
      </w:r>
      <w:bookmarkEnd w:id="5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w:t>
      </w:r>
      <w:r>
        <w:rPr>
          <w:rStyle w:val="FootnoteAnchor"/>
          <w:rtl w:val="true"/>
        </w:rPr>
        <w:footnoteReference w:id="719"/>
      </w:r>
      <w:r>
        <w:rPr>
          <w:rFonts w:ascii="Amiri" w:hAnsi="Amiri" w:eastAsia="Amiri" w:cs="Amiri"/>
          <w:color w:val="111111"/>
          <w:sz w:val="28"/>
          <w:sz w:val="28"/>
          <w:szCs w:val="28"/>
          <w:rtl w:val="true"/>
          <w:lang w:bidi="ar-SA"/>
        </w:rPr>
        <w:t>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زكاة على الدين حتّى يقبضه، وفاقا للمحكي عن القديمين </w:t>
      </w:r>
      <w:r>
        <w:rPr>
          <w:rStyle w:val="FootnoteAnchor"/>
          <w:rtl w:val="true"/>
        </w:rPr>
        <w:footnoteReference w:id="720"/>
      </w:r>
      <w:r>
        <w:rPr>
          <w:rFonts w:ascii="Amiri" w:hAnsi="Amiri" w:eastAsia="Amiri" w:cs="Amiri"/>
          <w:color w:val="111111"/>
          <w:sz w:val="28"/>
          <w:sz w:val="28"/>
          <w:szCs w:val="28"/>
          <w:rtl w:val="true"/>
          <w:lang w:bidi="ar-SA"/>
        </w:rPr>
        <w:t xml:space="preserve">و ابن زهرة </w:t>
      </w:r>
      <w:r>
        <w:rPr>
          <w:rStyle w:val="FootnoteAnchor"/>
          <w:rtl w:val="true"/>
        </w:rPr>
        <w:footnoteReference w:id="721"/>
      </w:r>
      <w:r>
        <w:rPr>
          <w:rFonts w:ascii="Amiri" w:hAnsi="Amiri" w:eastAsia="Amiri" w:cs="Amiri"/>
          <w:color w:val="111111"/>
          <w:sz w:val="28"/>
          <w:sz w:val="28"/>
          <w:szCs w:val="28"/>
          <w:rtl w:val="true"/>
          <w:lang w:bidi="ar-SA"/>
        </w:rPr>
        <w:t xml:space="preserve">، و ابن إدريس </w:t>
      </w:r>
      <w:r>
        <w:rPr>
          <w:rStyle w:val="FootnoteAnchor"/>
          <w:rtl w:val="true"/>
        </w:rPr>
        <w:footnoteReference w:id="722"/>
      </w:r>
      <w:r>
        <w:rPr>
          <w:rFonts w:ascii="Amiri" w:hAnsi="Amiri" w:eastAsia="Amiri" w:cs="Amiri"/>
          <w:color w:val="111111"/>
          <w:sz w:val="28"/>
          <w:sz w:val="28"/>
          <w:szCs w:val="28"/>
          <w:rtl w:val="true"/>
          <w:lang w:bidi="ar-SA"/>
        </w:rPr>
        <w:t xml:space="preserve">، و المحقّق </w:t>
      </w:r>
      <w:r>
        <w:rPr>
          <w:rStyle w:val="FootnoteAnchor"/>
          <w:rtl w:val="true"/>
        </w:rPr>
        <w:footnoteReference w:id="723"/>
      </w:r>
      <w:r>
        <w:rPr>
          <w:rFonts w:ascii="IRNazanin" w:hAnsi="IRNazanin" w:eastAsia="IRNazanin"/>
          <w:color w:val="111111"/>
          <w:sz w:val="28"/>
          <w:sz w:val="28"/>
          <w:szCs w:val="28"/>
          <w:rtl w:val="true"/>
          <w:lang w:bidi="fa-IR"/>
        </w:rPr>
        <w:t xml:space="preserve">، و الفاضل </w:t>
      </w:r>
      <w:r>
        <w:rPr>
          <w:rStyle w:val="FootnoteAnchor"/>
          <w:rtl w:val="true"/>
        </w:rPr>
        <w:footnoteReference w:id="724"/>
      </w:r>
      <w:r>
        <w:rPr>
          <w:rFonts w:ascii="IRNazanin" w:hAnsi="IRNazanin" w:eastAsia="IRNazanin"/>
          <w:color w:val="111111"/>
          <w:sz w:val="28"/>
          <w:sz w:val="28"/>
          <w:szCs w:val="28"/>
          <w:rtl w:val="true"/>
          <w:lang w:bidi="fa-IR"/>
        </w:rPr>
        <w:t xml:space="preserve">و والده </w:t>
      </w:r>
      <w:r>
        <w:rPr>
          <w:rStyle w:val="FootnoteAnchor"/>
          <w:rtl w:val="true"/>
        </w:rPr>
        <w:footnoteReference w:id="725"/>
      </w:r>
      <w:r>
        <w:rPr>
          <w:rFonts w:ascii="IRNazanin" w:hAnsi="IRNazanin" w:eastAsia="IRNazanin"/>
          <w:color w:val="111111"/>
          <w:sz w:val="28"/>
          <w:sz w:val="28"/>
          <w:szCs w:val="28"/>
          <w:rtl w:val="true"/>
          <w:lang w:bidi="fa-IR"/>
        </w:rPr>
        <w:t xml:space="preserve">، و ولده </w:t>
      </w:r>
      <w:r>
        <w:rPr>
          <w:rStyle w:val="FootnoteAnchor"/>
          <w:rtl w:val="true"/>
        </w:rPr>
        <w:footnoteReference w:id="726"/>
      </w:r>
      <w:r>
        <w:rPr>
          <w:rFonts w:ascii="Amiri" w:hAnsi="Amiri" w:eastAsia="Amiri" w:cs="Amiri"/>
          <w:color w:val="111111"/>
          <w:sz w:val="28"/>
          <w:sz w:val="28"/>
          <w:szCs w:val="28"/>
          <w:rtl w:val="true"/>
          <w:lang w:bidi="ar-SA"/>
        </w:rPr>
        <w:t xml:space="preserve">، 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على الدين، و لا على المال الغائب عنك حتى يقع في يدك</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و نحوه من العمومات الدالّة على عدم الزكاة في الدين حتّى يقبضه، و للعمومات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يحل عليه الحول عند ربّه فلا شي‌ء عليه فيه</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الشيخين </w:t>
      </w:r>
      <w:r>
        <w:rPr>
          <w:rStyle w:val="FootnoteAnchor"/>
          <w:rtl w:val="true"/>
        </w:rPr>
        <w:footnoteReference w:id="730"/>
      </w:r>
      <w:r>
        <w:rPr>
          <w:rFonts w:ascii="IRNazanin" w:hAnsi="IRNazanin" w:eastAsia="IRNazanin"/>
          <w:color w:val="111111"/>
          <w:sz w:val="28"/>
          <w:sz w:val="28"/>
          <w:szCs w:val="28"/>
          <w:rtl w:val="true"/>
          <w:lang w:bidi="fa-IR"/>
        </w:rPr>
        <w:t xml:space="preserve">، و المرتضى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في الدين إذا تمكّن صاحبه من أخذه متى شاء؛ لعموم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الغائب إذا قدر صاحبه على أخذه، و خصوص ما ورد في الدين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دين يدعه هو إذا أراد أخذه، فعليه زكاته، و ما لا يقدر على أخذه فليس عليه زكاة</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و إن كانت أخص من الأوّل إلّا أنّ كثرة تلك الأخبار، و موافقتها للأخبار الكثيرة الظاهرة في أنّ الزكاة إنّما وضعت على الأعيان الخارجية من الأموال، و اعتضادها بالشهرة المطلقة، و بمخالفة الجمهور كما يظهر من المعتبر </w:t>
      </w:r>
      <w:r>
        <w:rPr>
          <w:rStyle w:val="FootnoteAnchor"/>
          <w:rtl w:val="true"/>
        </w:rPr>
        <w:footnoteReference w:id="734"/>
      </w:r>
      <w:r>
        <w:rPr>
          <w:rFonts w:ascii="Amiri" w:hAnsi="Amiri" w:eastAsia="Amiri" w:cs="Amiri"/>
          <w:color w:val="111111"/>
          <w:sz w:val="28"/>
          <w:sz w:val="28"/>
          <w:szCs w:val="28"/>
          <w:rtl w:val="true"/>
          <w:lang w:bidi="ar-SA"/>
        </w:rPr>
        <w:t>، يوجب حمل الأخبار الخاصّة على الاستحباب، سيّما مع شهادة رواية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الدين يكون على القوم المياسير إذا شاء قبضه صاحبه،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يقبضه و يحول عليه الحول</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اعتبار التمكّن من التصرف فيما يعتبر فيه الحول لا إشكال فيه، و أمّا ما لا يعتبر الحول فيه كالغلّات فهل يعتبر التمكّن حال تعلّق الوجوب، أو لا، بل يكفي التمكّن من الإخراج و لو كان بعد </w:t>
      </w:r>
      <w:r>
        <w:rPr>
          <w:rStyle w:val="FootnoteAnchor"/>
          <w:rtl w:val="true"/>
        </w:rPr>
        <w:footnoteReference w:id="736"/>
      </w:r>
      <w:r>
        <w:rPr>
          <w:rFonts w:ascii="Amiri" w:hAnsi="Amiri" w:eastAsia="Amiri" w:cs="Amiri"/>
          <w:color w:val="111111"/>
          <w:sz w:val="28"/>
          <w:sz w:val="28"/>
          <w:szCs w:val="28"/>
          <w:rtl w:val="true"/>
          <w:lang w:bidi="ar-SA"/>
        </w:rPr>
        <w:t xml:space="preserve">زمان تعلّق الوجوب؟ ظاهر كلامهم، و المصرّح به في المسالك </w:t>
      </w:r>
      <w:r>
        <w:rPr>
          <w:rStyle w:val="FootnoteAnchor"/>
          <w:rtl w:val="true"/>
        </w:rPr>
        <w:footnoteReference w:id="737"/>
      </w:r>
      <w:r>
        <w:rPr>
          <w:rFonts w:ascii="Amiri" w:hAnsi="Amiri" w:eastAsia="Amiri" w:cs="Amiri"/>
          <w:color w:val="111111"/>
          <w:sz w:val="28"/>
          <w:sz w:val="28"/>
          <w:szCs w:val="28"/>
          <w:rtl w:val="true"/>
          <w:lang w:bidi="ar-SA"/>
        </w:rPr>
        <w:t>هو الأوّل؛ لأنّ ظاهر هذا الشرط كونه شرطا كسائر الشروط، فكما أنّ الملك و تماميته و البلوغ و العقل و الحرّية، كلّها تعتبر في الغلّات في ذلك الوقت، فكذلك التمكّن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يدّعى عدم كونه شرطا في غير الغلّات </w:t>
      </w:r>
      <w:r>
        <w:rPr>
          <w:rStyle w:val="FootnoteAnchor"/>
          <w:rtl w:val="true"/>
        </w:rPr>
        <w:footnoteReference w:id="738"/>
      </w:r>
      <w:r>
        <w:rPr>
          <w:rFonts w:ascii="Amiri" w:hAnsi="Amiri" w:eastAsia="Amiri" w:cs="Amiri"/>
          <w:color w:val="111111"/>
          <w:sz w:val="28"/>
          <w:sz w:val="28"/>
          <w:szCs w:val="28"/>
          <w:rtl w:val="true"/>
          <w:lang w:bidi="ar-SA"/>
        </w:rPr>
        <w:t>، لاختصاص أدلّته بما يعتبر فيه الحول من الأجناس، لكنّه خلاف فتاوى الأصحاب، بل ظاهر ما يستفاد من الأخبار بعد التأمّل فيها، فإنّ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سدير المسئول فيها عن المال الذي فقد بعد حلول الحول، و وجده صاحبه بعد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يزكيه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السنة الأولى قبل الفقدان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غائبا عنه</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يدلّ بمقتضى التعليل على أنّ كلّ مال غائب لا تجب عليه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من الغائب ما </w:t>
      </w:r>
      <w:r>
        <w:rPr>
          <w:rStyle w:val="FootnoteAnchor"/>
          <w:rtl w:val="true"/>
        </w:rPr>
        <w:footnoteReference w:id="740"/>
      </w:r>
      <w:r>
        <w:rPr>
          <w:rFonts w:ascii="Amiri" w:hAnsi="Amiri" w:eastAsia="Amiri" w:cs="Amiri"/>
          <w:color w:val="111111"/>
          <w:sz w:val="28"/>
          <w:sz w:val="28"/>
          <w:szCs w:val="28"/>
          <w:rtl w:val="true"/>
          <w:lang w:bidi="ar-SA"/>
        </w:rPr>
        <w:t xml:space="preserve">يعمّ المفقود، فيدلّ على أنّ الزكاة لا تتعلّق بعين مال </w:t>
      </w:r>
      <w:r>
        <w:rPr>
          <w:rStyle w:val="FootnoteAnchor"/>
          <w:rtl w:val="true"/>
        </w:rPr>
        <w:footnoteReference w:id="741"/>
      </w:r>
      <w:r>
        <w:rPr>
          <w:rFonts w:ascii="Amiri" w:hAnsi="Amiri" w:eastAsia="Amiri" w:cs="Amiri"/>
          <w:color w:val="111111"/>
          <w:sz w:val="28"/>
          <w:sz w:val="28"/>
          <w:szCs w:val="28"/>
          <w:rtl w:val="true"/>
          <w:lang w:bidi="ar-SA"/>
        </w:rPr>
        <w:t xml:space="preserve">المفقود، و لا شكّ في عدم القول بالفصل بينه و بين مطلق غير المتمكّن منه، كالمغصوب و المحجور و نحوهما، فدلّ الخبر على أنّ الزكاة لا تتعلّق بالعين </w:t>
      </w:r>
      <w:r>
        <w:rPr>
          <w:rStyle w:val="FootnoteAnchor"/>
          <w:rtl w:val="true"/>
        </w:rPr>
        <w:footnoteReference w:id="742"/>
      </w:r>
      <w:r>
        <w:rPr>
          <w:rFonts w:ascii="Amiri" w:hAnsi="Amiri" w:eastAsia="Amiri" w:cs="Amiri"/>
          <w:color w:val="111111"/>
          <w:sz w:val="28"/>
          <w:sz w:val="28"/>
          <w:szCs w:val="28"/>
          <w:rtl w:val="true"/>
          <w:lang w:bidi="ar-SA"/>
        </w:rPr>
        <w:t xml:space="preserve">التي لا يتمكّن مالكها من التصرّف فيها، كما إذا فرضنا الزرع حال انعقاد حبّه </w:t>
      </w:r>
      <w:r>
        <w:rPr>
          <w:rStyle w:val="FootnoteAnchor"/>
          <w:rtl w:val="true"/>
        </w:rPr>
        <w:footnoteReference w:id="743"/>
      </w:r>
      <w:r>
        <w:rPr>
          <w:rFonts w:ascii="IRNazanin" w:hAnsi="IRNazanin" w:eastAsia="IRNazanin"/>
          <w:color w:val="111111"/>
          <w:sz w:val="28"/>
          <w:sz w:val="28"/>
          <w:szCs w:val="28"/>
          <w:rtl w:val="true"/>
          <w:lang w:bidi="fa-IR"/>
        </w:rPr>
        <w:t xml:space="preserve">، أو حال </w:t>
      </w:r>
      <w:r>
        <w:rPr>
          <w:rStyle w:val="FootnoteAnchor"/>
          <w:rtl w:val="true"/>
        </w:rPr>
        <w:footnoteReference w:id="744"/>
      </w:r>
      <w:r>
        <w:rPr>
          <w:rFonts w:ascii="Amiri" w:hAnsi="Amiri" w:eastAsia="Amiri" w:cs="Amiri"/>
          <w:color w:val="111111"/>
          <w:sz w:val="28"/>
          <w:sz w:val="28"/>
          <w:szCs w:val="28"/>
          <w:rtl w:val="true"/>
          <w:lang w:bidi="ar-SA"/>
        </w:rPr>
        <w:t>تسميته حنطة أو شعيرا، مغصوبا فالزكاة لا تتعلّق بعينها بمقتضى الرواية المنضمّة إلى عدم القول بالفصل، فإذا لم تتعلّق به حينئذ زكاة فلا تتعلّق به بعد ذلك، لأنّ الزكاة إنما تتعلّق بالغلّات بمجرّد صدق الاسم، أو بمجرّد انعقاد الحبّ في ملك المكلّف، كما يدلّ عليه جميع ما دلّ على بيان وقت الوجوب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دلالة العمومات على وجوب الزكاة في الغلّات، خرج صورة عدم التمكن من الإخراج، فاسدة جدّا، إذ تلك العمومات ليست إلّا ما دلّ على تعلّق</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الزكاة في الأجناس الأربعة، فإذا فرض عدم تعلّقها بها حتّى يتحقّق </w:t>
      </w:r>
      <w:r>
        <w:rPr>
          <w:rStyle w:val="FootnoteAnchor"/>
          <w:rtl w:val="true"/>
        </w:rPr>
        <w:footnoteReference w:id="745"/>
      </w:r>
      <w:r>
        <w:rPr>
          <w:rFonts w:ascii="Amiri" w:hAnsi="Amiri" w:eastAsia="Amiri" w:cs="Amiri"/>
          <w:color w:val="111111"/>
          <w:sz w:val="28"/>
          <w:sz w:val="28"/>
          <w:szCs w:val="28"/>
          <w:rtl w:val="true"/>
          <w:lang w:bidi="ar-SA"/>
        </w:rPr>
        <w:t>عنوان هذه الأجناس في الخارج، فلا مقتضى لثبوتها فيها بعد ذلك، ألا ترى أنّه لو دخلت في ملك المكلّف بعد ذلك، أو حدث شرط لم يكن قبل ذلك، انتفى الزكاة إجماعا، و لا يجوز التمسّك في وجوبها بعموم ما دلّ على وجوبها في هذه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من ذلك أنّ لتعلّق </w:t>
      </w:r>
      <w:r>
        <w:rPr>
          <w:rStyle w:val="FootnoteAnchor"/>
          <w:rtl w:val="true"/>
        </w:rPr>
        <w:footnoteReference w:id="746"/>
      </w:r>
      <w:r>
        <w:rPr>
          <w:rFonts w:ascii="Amiri" w:hAnsi="Amiri" w:eastAsia="Amiri" w:cs="Amiri"/>
          <w:color w:val="111111"/>
          <w:sz w:val="28"/>
          <w:sz w:val="28"/>
          <w:szCs w:val="28"/>
          <w:rtl w:val="true"/>
          <w:lang w:bidi="ar-SA"/>
        </w:rPr>
        <w:t>الزكاة بعين الغلّات وقتا مخصوصا لو لم يتعلّق فيه بها لم يتعلّق بعد ذلك</w:t>
      </w:r>
      <w:r>
        <w:rPr>
          <w:rFonts w:eastAsia="Amiri" w:cs="Amiri" w:ascii="Amiri" w:hAnsi="Amiri"/>
          <w:color w:val="111111"/>
          <w:sz w:val="28"/>
          <w:szCs w:val="28"/>
          <w:rtl w:val="true"/>
          <w:lang w:bidi="ar-SA"/>
        </w:rPr>
        <w:t>.</w:t>
      </w:r>
      <w:bookmarkStart w:id="54" w:name="pg19722_766196"/>
    </w:p>
    <w:p>
      <w:pPr>
        <w:pStyle w:val="Heading4"/>
        <w:numPr>
          <w:ilvl w:val="3"/>
          <w:numId w:val="1"/>
        </w:numPr>
        <w:rPr/>
      </w:pPr>
      <w:bookmarkStart w:id="55" w:name="__RefHeading___Toc2136316_2314609296"/>
      <w:bookmarkStart w:id="56" w:name="_Toc20"/>
      <w:bookmarkEnd w:id="54"/>
      <w:bookmarkEnd w:id="55"/>
      <w:r>
        <w:rPr>
          <w:rtl w:val="true"/>
        </w:rPr>
        <w:t xml:space="preserve">مسألة </w:t>
      </w:r>
      <w:r>
        <w:rPr>
          <w:rtl w:val="true"/>
        </w:rPr>
        <w:t>[</w:t>
      </w:r>
      <w:r>
        <w:rPr/>
        <w:t>10</w:t>
      </w:r>
      <w:r>
        <w:rPr>
          <w:rtl w:val="true"/>
        </w:rPr>
        <w:t>]</w:t>
      </w:r>
      <w:bookmarkEnd w:id="5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بين الأصحاب عدم وجوب الزكاة فيما سوى التسعة الأصناف، و عن الشيخين في الفقيه </w:t>
      </w:r>
      <w:r>
        <w:rPr>
          <w:rStyle w:val="FootnoteAnchor"/>
          <w:rtl w:val="true"/>
        </w:rPr>
        <w:footnoteReference w:id="747"/>
      </w:r>
      <w:r>
        <w:rPr>
          <w:rFonts w:ascii="IRNazanin" w:hAnsi="IRNazanin" w:eastAsia="IRNazanin"/>
          <w:color w:val="111111"/>
          <w:sz w:val="28"/>
          <w:sz w:val="28"/>
          <w:szCs w:val="28"/>
          <w:rtl w:val="true"/>
          <w:lang w:bidi="fa-IR"/>
        </w:rPr>
        <w:t xml:space="preserve">و الخلاف </w:t>
      </w:r>
      <w:r>
        <w:rPr>
          <w:rStyle w:val="FootnoteAnchor"/>
          <w:rtl w:val="true"/>
        </w:rPr>
        <w:footnoteReference w:id="748"/>
      </w:r>
      <w:r>
        <w:rPr>
          <w:rFonts w:ascii="Amiri" w:hAnsi="Amiri" w:eastAsia="Amiri" w:cs="Amiri"/>
          <w:color w:val="111111"/>
          <w:sz w:val="28"/>
          <w:sz w:val="28"/>
          <w:szCs w:val="28"/>
          <w:rtl w:val="true"/>
          <w:lang w:bidi="ar-SA"/>
        </w:rPr>
        <w:t xml:space="preserve">، و السيدين في الناصرية </w:t>
      </w:r>
      <w:r>
        <w:rPr>
          <w:rStyle w:val="FootnoteAnchor"/>
          <w:rtl w:val="true"/>
        </w:rPr>
        <w:footnoteReference w:id="749"/>
      </w:r>
      <w:r>
        <w:rPr>
          <w:rFonts w:ascii="Amiri" w:hAnsi="Amiri" w:eastAsia="Amiri" w:cs="Amiri"/>
          <w:color w:val="111111"/>
          <w:sz w:val="28"/>
          <w:sz w:val="28"/>
          <w:szCs w:val="28"/>
          <w:rtl w:val="true"/>
          <w:lang w:bidi="ar-SA"/>
        </w:rPr>
        <w:t xml:space="preserve">و الغنية </w:t>
      </w:r>
      <w:r>
        <w:rPr>
          <w:rStyle w:val="FootnoteAnchor"/>
          <w:rtl w:val="true"/>
        </w:rPr>
        <w:footnoteReference w:id="750"/>
      </w:r>
      <w:r>
        <w:rPr>
          <w:rFonts w:ascii="Amiri" w:hAnsi="Amiri" w:eastAsia="Amiri" w:cs="Amiri"/>
          <w:color w:val="111111"/>
          <w:sz w:val="28"/>
          <w:sz w:val="28"/>
          <w:szCs w:val="28"/>
          <w:rtl w:val="true"/>
          <w:lang w:bidi="ar-SA"/>
        </w:rPr>
        <w:t xml:space="preserve">عليه الإجماع، و عن المنتهى أنّ عليه علماءنا أجمع </w:t>
      </w:r>
      <w:r>
        <w:rPr>
          <w:rStyle w:val="FootnoteAnchor"/>
          <w:rtl w:val="true"/>
        </w:rPr>
        <w:footnoteReference w:id="751"/>
      </w:r>
      <w:r>
        <w:rPr>
          <w:rFonts w:ascii="IRNazanin" w:hAnsi="IRNazanin" w:eastAsia="IRNazanin"/>
          <w:color w:val="111111"/>
          <w:sz w:val="28"/>
          <w:sz w:val="28"/>
          <w:szCs w:val="28"/>
          <w:rtl w:val="true"/>
          <w:lang w:bidi="fa-IR"/>
        </w:rPr>
        <w:t xml:space="preserve">، و مثله عن المعتبر </w:t>
      </w:r>
      <w:r>
        <w:rPr>
          <w:rStyle w:val="FootnoteAnchor"/>
          <w:rtl w:val="true"/>
        </w:rPr>
        <w:footnoteReference w:id="752"/>
      </w:r>
      <w:r>
        <w:rPr>
          <w:rFonts w:ascii="Amiri" w:hAnsi="Amiri" w:eastAsia="Amiri" w:cs="Amiri"/>
          <w:color w:val="111111"/>
          <w:sz w:val="28"/>
          <w:sz w:val="28"/>
          <w:szCs w:val="28"/>
          <w:rtl w:val="true"/>
          <w:lang w:bidi="ar-SA"/>
        </w:rPr>
        <w:t xml:space="preserve">باستثناء الإسكافي، و الروايات بالعفو عمّا سوى ذلك لا يبعد لحوقها بالتواتر </w:t>
      </w:r>
      <w:r>
        <w:rPr>
          <w:rStyle w:val="FootnoteAnchor"/>
          <w:rtl w:val="true"/>
        </w:rPr>
        <w:footnoteReference w:id="753"/>
      </w:r>
      <w:r>
        <w:rPr>
          <w:rFonts w:ascii="IRNazanin" w:hAnsi="IRNazanin" w:eastAsia="IRNazanin"/>
          <w:color w:val="111111"/>
          <w:sz w:val="28"/>
          <w:sz w:val="28"/>
          <w:szCs w:val="28"/>
          <w:rtl w:val="true"/>
          <w:lang w:bidi="fa-IR"/>
        </w:rPr>
        <w:t xml:space="preserve">، فقد عثرت </w:t>
      </w:r>
      <w:r>
        <w:rPr>
          <w:rStyle w:val="FootnoteAnchor"/>
          <w:rtl w:val="true"/>
        </w:rPr>
        <w:footnoteReference w:id="754"/>
      </w:r>
      <w:r>
        <w:rPr>
          <w:rFonts w:ascii="Amiri" w:hAnsi="Amiri" w:eastAsia="Amiri" w:cs="Amiri"/>
          <w:color w:val="111111"/>
          <w:sz w:val="28"/>
          <w:sz w:val="28"/>
          <w:szCs w:val="28"/>
          <w:rtl w:val="true"/>
          <w:lang w:bidi="ar-SA"/>
        </w:rPr>
        <w:t>منها على اثنتي عشر رواية،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عفى عما سوى ذلك</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كثير من الأخبار وجوبها في الحبوب كلّها مثل مصححة </w:t>
      </w:r>
      <w:r>
        <w:rPr>
          <w:rStyle w:val="FootnoteAnchor"/>
          <w:rtl w:val="true"/>
        </w:rPr>
        <w:footnoteReference w:id="756"/>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كيل بالصاع فبلغ الأوساق فعليه الزكاة</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رسول اللّٰه صلّى اللّٰه عليه و آله و سلم الزكاة في كلّ شي‌ء أنبتت الأرض الّا ما كان من الخضر و البقول، و كل شي‌ء يفسد من يومه</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إسماعيل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التصريح بوجوبها في الأرز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كذلك و عامة خراج العراق منه؟</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يحمل على مطلق الرجحان لتصريح </w:t>
      </w:r>
      <w:r>
        <w:rPr>
          <w:rStyle w:val="FootnoteAnchor"/>
          <w:rtl w:val="true"/>
        </w:rPr>
        <w:footnoteReference w:id="761"/>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بنفيه عما </w:t>
      </w:r>
      <w:r>
        <w:rPr>
          <w:rStyle w:val="FootnoteAnchor"/>
          <w:rtl w:val="true"/>
        </w:rPr>
        <w:footnoteReference w:id="762"/>
      </w:r>
      <w:r>
        <w:rPr>
          <w:rFonts w:ascii="Amiri" w:hAnsi="Amiri" w:eastAsia="Amiri" w:cs="Amiri"/>
          <w:color w:val="111111"/>
          <w:sz w:val="28"/>
          <w:sz w:val="28"/>
          <w:szCs w:val="28"/>
          <w:rtl w:val="true"/>
          <w:lang w:bidi="ar-SA"/>
        </w:rPr>
        <w:t>عدا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أيضا حملها على التقيّة لموافقة كثير من العامّة على ما قيل </w:t>
      </w:r>
      <w:r>
        <w:rPr>
          <w:rStyle w:val="FootnoteAnchor"/>
          <w:rtl w:val="true"/>
        </w:rPr>
        <w:footnoteReference w:id="763"/>
      </w:r>
      <w:r>
        <w:rPr>
          <w:rFonts w:ascii="Amiri" w:hAnsi="Amiri" w:eastAsia="Amiri" w:cs="Amiri"/>
          <w:color w:val="111111"/>
          <w:sz w:val="28"/>
          <w:sz w:val="28"/>
          <w:szCs w:val="28"/>
          <w:rtl w:val="true"/>
          <w:lang w:bidi="ar-SA"/>
        </w:rPr>
        <w:t xml:space="preserve">، و عن الذخيرة نسبته إلى جمهور العامة </w:t>
      </w:r>
      <w:r>
        <w:rPr>
          <w:rStyle w:val="FootnoteAnchor"/>
          <w:rtl w:val="true"/>
        </w:rPr>
        <w:footnoteReference w:id="764"/>
      </w:r>
      <w:r>
        <w:rPr>
          <w:rFonts w:ascii="Amiri" w:hAnsi="Amiri" w:eastAsia="Amiri" w:cs="Amiri"/>
          <w:color w:val="111111"/>
          <w:sz w:val="28"/>
          <w:sz w:val="28"/>
          <w:szCs w:val="28"/>
          <w:rtl w:val="true"/>
          <w:lang w:bidi="ar-SA"/>
        </w:rPr>
        <w:t>، و في بعض الأخبار دلالة على ذلك، و عليه فلا وجه للاستحباب إلا فتوى الجماعة، و ظاهر لفظ العفو في الأخبار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فظهر ضعف ما عن الإسكافي من وجوب الزكاة في كلّ ما يدخل في القفيز </w:t>
      </w:r>
      <w:r>
        <w:rPr>
          <w:rStyle w:val="FootnoteAnchor"/>
          <w:rtl w:val="true"/>
        </w:rPr>
        <w:footnoteReference w:id="765"/>
      </w:r>
      <w:r>
        <w:rPr>
          <w:rFonts w:ascii="Amiri" w:hAnsi="Amiri" w:eastAsia="Amiri" w:cs="Amiri"/>
          <w:color w:val="111111"/>
          <w:sz w:val="28"/>
          <w:sz w:val="28"/>
          <w:szCs w:val="28"/>
          <w:rtl w:val="true"/>
          <w:lang w:bidi="ar-SA"/>
        </w:rPr>
        <w:t xml:space="preserve">و حكي أيضا عن يونس بن عبد الرحمن </w:t>
      </w:r>
      <w:r>
        <w:rPr>
          <w:rStyle w:val="FootnoteAnchor"/>
          <w:rtl w:val="true"/>
        </w:rPr>
        <w:footnoteReference w:id="766"/>
      </w:r>
      <w:r>
        <w:rPr>
          <w:rFonts w:ascii="IRNazanin" w:hAnsi="IRNazanin" w:eastAsia="IRNazanin"/>
          <w:color w:val="111111"/>
          <w:sz w:val="28"/>
          <w:sz w:val="28"/>
          <w:szCs w:val="28"/>
          <w:rtl w:val="true"/>
          <w:lang w:bidi="fa-IR"/>
        </w:rPr>
        <w:t xml:space="preserve">و عن الانتصار </w:t>
      </w:r>
      <w:r>
        <w:rPr>
          <w:rStyle w:val="FootnoteAnchor"/>
          <w:rtl w:val="true"/>
        </w:rPr>
        <w:footnoteReference w:id="767"/>
      </w:r>
      <w:r>
        <w:rPr>
          <w:rFonts w:ascii="Amiri" w:hAnsi="Amiri" w:eastAsia="Amiri" w:cs="Amiri"/>
          <w:color w:val="111111"/>
          <w:sz w:val="28"/>
          <w:sz w:val="28"/>
          <w:szCs w:val="28"/>
          <w:rtl w:val="true"/>
          <w:lang w:bidi="ar-SA"/>
        </w:rPr>
        <w:t>التصريح بشذوذهما و تقدّمهما إجماع الإمامية و تأخّر عنهما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وجوب الزكاة في العلس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السلت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 سكون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الأول نوع من الحنطة، و الثاني نوع من الشعير، و من منع ذلك لغة، أو عرفا، أو انصراف 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ذلك مقابلة السلت للحنطة و الشعير في الروايات، كحسنتي </w:t>
      </w:r>
      <w:r>
        <w:rPr>
          <w:rStyle w:val="FootnoteAnchor"/>
          <w:rtl w:val="true"/>
        </w:rPr>
        <w:footnoteReference w:id="770"/>
      </w:r>
      <w:r>
        <w:rPr>
          <w:rFonts w:ascii="Amiri" w:hAnsi="Amiri" w:eastAsia="Amiri" w:cs="Amiri"/>
          <w:color w:val="111111"/>
          <w:sz w:val="28"/>
          <w:sz w:val="28"/>
          <w:szCs w:val="28"/>
          <w:rtl w:val="true"/>
          <w:lang w:bidi="ar-SA"/>
        </w:rPr>
        <w:t xml:space="preserve">زرارة و محمّد بن مسلم بابن هاشم، و رواية أبي مريم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bookmarkStart w:id="57" w:name="pg19722_766199"/>
    </w:p>
    <w:p>
      <w:pPr>
        <w:pStyle w:val="Heading4"/>
        <w:numPr>
          <w:ilvl w:val="3"/>
          <w:numId w:val="1"/>
        </w:numPr>
        <w:rPr/>
      </w:pPr>
      <w:bookmarkStart w:id="58" w:name="__RefHeading___Toc2136318_2314609296"/>
      <w:bookmarkStart w:id="59" w:name="_Toc21"/>
      <w:bookmarkEnd w:id="57"/>
      <w:bookmarkEnd w:id="58"/>
      <w:r>
        <w:rPr>
          <w:rtl w:val="true"/>
        </w:rPr>
        <w:t xml:space="preserve">مسألة </w:t>
      </w:r>
      <w:r>
        <w:rPr>
          <w:rtl w:val="true"/>
        </w:rPr>
        <w:t>[</w:t>
      </w:r>
      <w:r>
        <w:rPr/>
        <w:t>11</w:t>
      </w:r>
      <w:r>
        <w:rPr>
          <w:rtl w:val="true"/>
        </w:rPr>
        <w:t>]</w:t>
      </w:r>
      <w:bookmarkEnd w:id="59"/>
    </w:p>
    <w:p>
      <w:pPr>
        <w:pStyle w:val="BookText"/>
        <w:rPr/>
      </w:pPr>
      <w:r>
        <w:rPr>
          <w:rFonts w:ascii="Amiri" w:hAnsi="Amiri" w:eastAsia="Amiri" w:cs="Amiri"/>
          <w:color w:val="111111"/>
          <w:sz w:val="28"/>
          <w:sz w:val="28"/>
          <w:szCs w:val="28"/>
          <w:rtl w:val="true"/>
          <w:lang w:bidi="ar-SA"/>
        </w:rPr>
        <w:t>إذا زاد الإبل على مائة و عشرين فهل يتخيّر بين عدّه بالخمسين و الأربعين مطلقا، فله أن يعدّ المائة و الواحدة و العشرين بخمسين، فيكون فيه حقتان، و أن يعد المائة و الخمسين بأربعين فيكون فيه ثلاث بنات لبون، أم لا يتخير إلّا إذا أمكن العدّ بكلّ من العددين كالمائتين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ففي المثال الأول يتعيّن العدّ بالأربعين، و في الثاني بالخمسين، و في المائة و الثلاثين بكليهما، فيعطي حقة و ابنتي لبون؟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الفاضلين </w:t>
      </w:r>
      <w:r>
        <w:rPr>
          <w:rStyle w:val="FootnoteAnchor"/>
          <w:rtl w:val="true"/>
        </w:rPr>
        <w:footnoteReference w:id="772"/>
      </w:r>
      <w:r>
        <w:rPr>
          <w:rFonts w:ascii="Amiri" w:hAnsi="Amiri" w:eastAsia="Amiri" w:cs="Amiri"/>
          <w:color w:val="111111"/>
          <w:sz w:val="28"/>
          <w:sz w:val="28"/>
          <w:szCs w:val="28"/>
          <w:rtl w:val="true"/>
          <w:lang w:bidi="ar-SA"/>
        </w:rPr>
        <w:t xml:space="preserve">و الشهيدين </w:t>
      </w:r>
      <w:r>
        <w:rPr>
          <w:rStyle w:val="FootnoteAnchor"/>
          <w:rtl w:val="true"/>
        </w:rPr>
        <w:footnoteReference w:id="773"/>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774"/>
      </w:r>
      <w:r>
        <w:rPr>
          <w:rFonts w:ascii="Amiri" w:hAnsi="Amiri" w:eastAsia="Amiri" w:cs="Amiri"/>
          <w:color w:val="111111"/>
          <w:sz w:val="28"/>
          <w:sz w:val="28"/>
          <w:szCs w:val="28"/>
          <w:rtl w:val="true"/>
          <w:lang w:bidi="ar-SA"/>
        </w:rPr>
        <w:t>، بل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بل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المائة و واحدة و العشرين ثلاث بنات لبون، عند علمائنا </w:t>
      </w:r>
      <w:r>
        <w:rPr>
          <w:rStyle w:val="FootnoteAnchor"/>
          <w:rtl w:val="true"/>
        </w:rPr>
        <w:footnoteReference w:id="776"/>
      </w:r>
      <w:r>
        <w:rPr>
          <w:rFonts w:ascii="Amiri" w:hAnsi="Amiri" w:eastAsia="Amiri" w:cs="Amiri"/>
          <w:color w:val="111111"/>
          <w:sz w:val="28"/>
          <w:sz w:val="28"/>
          <w:szCs w:val="28"/>
          <w:rtl w:val="true"/>
          <w:lang w:bidi="ar-SA"/>
        </w:rPr>
        <w:t xml:space="preserve">و كذا ظاهر المحكيّ عن الناصريّات </w:t>
      </w:r>
      <w:r>
        <w:rPr>
          <w:rStyle w:val="FootnoteAnchor"/>
          <w:rtl w:val="true"/>
        </w:rPr>
        <w:footnoteReference w:id="777"/>
      </w:r>
      <w:r>
        <w:rPr>
          <w:rFonts w:ascii="Amiri" w:hAnsi="Amiri" w:eastAsia="Amiri" w:cs="Amiri"/>
          <w:color w:val="111111"/>
          <w:sz w:val="28"/>
          <w:sz w:val="28"/>
          <w:szCs w:val="28"/>
          <w:rtl w:val="true"/>
          <w:lang w:bidi="ar-SA"/>
        </w:rPr>
        <w:t xml:space="preserve">سيّما بملاحظة ما ذكر في الانتصار </w:t>
      </w:r>
      <w:r>
        <w:rPr>
          <w:rStyle w:val="FootnoteAnchor"/>
          <w:rtl w:val="true"/>
        </w:rPr>
        <w:footnoteReference w:id="778"/>
      </w:r>
      <w:r>
        <w:rPr>
          <w:rFonts w:ascii="Amiri" w:hAnsi="Amiri" w:eastAsia="Amiri" w:cs="Amiri"/>
          <w:color w:val="111111"/>
          <w:sz w:val="28"/>
          <w:sz w:val="28"/>
          <w:szCs w:val="28"/>
          <w:rtl w:val="true"/>
          <w:lang w:bidi="ar-SA"/>
        </w:rPr>
        <w:t xml:space="preserve">بل هو ظاهر عبارة المعتبر </w:t>
      </w:r>
      <w:r>
        <w:rPr>
          <w:rStyle w:val="FootnoteAnchor"/>
          <w:rtl w:val="true"/>
        </w:rPr>
        <w:footnoteReference w:id="779"/>
      </w:r>
      <w:r>
        <w:rPr>
          <w:rFonts w:ascii="Amiri" w:hAnsi="Amiri" w:eastAsia="Amiri" w:cs="Amiri"/>
          <w:color w:val="111111"/>
          <w:sz w:val="28"/>
          <w:sz w:val="28"/>
          <w:szCs w:val="28"/>
          <w:rtl w:val="true"/>
          <w:lang w:bidi="ar-SA"/>
        </w:rPr>
        <w:t>أيضا كما سيظهر، و عن شرح</w:t>
      </w:r>
    </w:p>
    <w:p>
      <w:pPr>
        <w:pStyle w:val="BookText"/>
        <w:rPr/>
      </w:pPr>
      <w:r>
        <w:rPr>
          <w:rFonts w:ascii="Amiri" w:hAnsi="Amiri" w:eastAsia="Amiri" w:cs="Amiri"/>
          <w:color w:val="111111"/>
          <w:sz w:val="28"/>
          <w:sz w:val="28"/>
          <w:szCs w:val="28"/>
          <w:rtl w:val="true"/>
          <w:lang w:bidi="ar-SA"/>
        </w:rPr>
        <w:t xml:space="preserve">الروضة أنّه صريح الأصحاب </w:t>
      </w:r>
      <w:r>
        <w:rPr>
          <w:rStyle w:val="FootnoteAnchor"/>
          <w:rtl w:val="true"/>
        </w:rPr>
        <w:footnoteReference w:id="780"/>
      </w:r>
      <w:r>
        <w:rPr>
          <w:rFonts w:ascii="Amiri" w:hAnsi="Amiri" w:eastAsia="Amiri" w:cs="Amiri"/>
          <w:color w:val="111111"/>
          <w:sz w:val="28"/>
          <w:sz w:val="28"/>
          <w:szCs w:val="28"/>
          <w:rtl w:val="true"/>
          <w:lang w:bidi="ar-SA"/>
        </w:rPr>
        <w:t xml:space="preserve">و عن الشهيد في فوائد القواعد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حكي عنه نسبته إلى ظاهر الأصحاب و الأخبار </w:t>
      </w:r>
      <w:r>
        <w:rPr>
          <w:rStyle w:val="FootnoteAnchor"/>
          <w:rtl w:val="true"/>
        </w:rPr>
        <w:footnoteReference w:id="782"/>
      </w:r>
      <w:r>
        <w:rPr>
          <w:rFonts w:ascii="Amiri" w:hAnsi="Amiri" w:eastAsia="Amiri" w:cs="Amiri"/>
          <w:color w:val="111111"/>
          <w:sz w:val="28"/>
          <w:sz w:val="28"/>
          <w:szCs w:val="28"/>
          <w:rtl w:val="true"/>
          <w:lang w:bidi="ar-SA"/>
        </w:rPr>
        <w:t xml:space="preserve">، و اختاره سبطه في المدارك </w:t>
      </w:r>
      <w:r>
        <w:rPr>
          <w:rStyle w:val="FootnoteAnchor"/>
          <w:rtl w:val="true"/>
        </w:rPr>
        <w:footnoteReference w:id="783"/>
      </w:r>
      <w:r>
        <w:rPr>
          <w:rFonts w:ascii="Amiri" w:hAnsi="Amiri" w:eastAsia="Amiri" w:cs="Amiri"/>
          <w:color w:val="111111"/>
          <w:sz w:val="28"/>
          <w:sz w:val="28"/>
          <w:szCs w:val="28"/>
          <w:rtl w:val="true"/>
          <w:lang w:bidi="ar-SA"/>
        </w:rPr>
        <w:t>، و تبعه جملة ممن تأخّر عنه،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Style w:val="FootnoteAnchor"/>
          <w:rtl w:val="true"/>
        </w:rPr>
        <w:footnoteReference w:id="784"/>
      </w:r>
      <w:r>
        <w:rPr>
          <w:rFonts w:ascii="Amiri" w:hAnsi="Amiri" w:eastAsia="Amiri" w:cs="Amiri"/>
          <w:color w:val="111111"/>
          <w:sz w:val="28"/>
          <w:sz w:val="28"/>
          <w:szCs w:val="28"/>
          <w:rtl w:val="true"/>
          <w:lang w:bidi="ar-SA"/>
        </w:rPr>
        <w:t xml:space="preserve">، و الرياض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المعتمد ما عليه المشهور، و نسبة هذا القول الى ظاهر الأصحاب غير مقرون بالصواب، و كذا نسبته إلى ظاهر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فلانّ ظاهر الوسيلة </w:t>
      </w:r>
      <w:r>
        <w:rPr>
          <w:rStyle w:val="FootnoteAnchor"/>
          <w:rtl w:val="true"/>
        </w:rPr>
        <w:footnoteReference w:id="786"/>
      </w:r>
      <w:r>
        <w:rPr>
          <w:rFonts w:ascii="IRNazanin" w:hAnsi="IRNazanin" w:eastAsia="IRNazanin"/>
          <w:color w:val="111111"/>
          <w:sz w:val="28"/>
          <w:sz w:val="28"/>
          <w:szCs w:val="28"/>
          <w:rtl w:val="true"/>
          <w:lang w:bidi="fa-IR"/>
        </w:rPr>
        <w:t xml:space="preserve">، و الشرائع </w:t>
      </w:r>
      <w:r>
        <w:rPr>
          <w:rStyle w:val="FootnoteAnchor"/>
          <w:rtl w:val="true"/>
        </w:rPr>
        <w:footnoteReference w:id="787"/>
      </w:r>
      <w:r>
        <w:rPr>
          <w:rFonts w:ascii="IRNazanin" w:hAnsi="IRNazanin" w:eastAsia="IRNazanin"/>
          <w:color w:val="111111"/>
          <w:sz w:val="28"/>
          <w:sz w:val="28"/>
          <w:szCs w:val="28"/>
          <w:rtl w:val="true"/>
          <w:lang w:bidi="fa-IR"/>
        </w:rPr>
        <w:t xml:space="preserve">و القواعد </w:t>
      </w:r>
      <w:r>
        <w:rPr>
          <w:rStyle w:val="FootnoteAnchor"/>
          <w:rtl w:val="true"/>
        </w:rPr>
        <w:footnoteReference w:id="788"/>
      </w:r>
      <w:r>
        <w:rPr>
          <w:rFonts w:ascii="Amiri" w:hAnsi="Amiri" w:eastAsia="Amiri" w:cs="Amiri"/>
          <w:color w:val="111111"/>
          <w:sz w:val="28"/>
          <w:sz w:val="28"/>
          <w:szCs w:val="28"/>
          <w:rtl w:val="true"/>
          <w:lang w:bidi="ar-SA"/>
        </w:rPr>
        <w:t xml:space="preserve">و البيان </w:t>
      </w:r>
      <w:r>
        <w:rPr>
          <w:rStyle w:val="FootnoteAnchor"/>
          <w:rtl w:val="true"/>
        </w:rPr>
        <w:footnoteReference w:id="789"/>
      </w:r>
      <w:r>
        <w:rPr>
          <w:rFonts w:ascii="Amiri" w:hAnsi="Amiri" w:eastAsia="Amiri" w:cs="Amiri"/>
          <w:color w:val="111111"/>
          <w:sz w:val="28"/>
          <w:sz w:val="28"/>
          <w:szCs w:val="28"/>
          <w:rtl w:val="true"/>
          <w:lang w:bidi="ar-SA"/>
        </w:rPr>
        <w:t xml:space="preserve">، و صريح الشهيد </w:t>
      </w:r>
      <w:r>
        <w:rPr>
          <w:rStyle w:val="FootnoteAnchor"/>
          <w:rtl w:val="true"/>
        </w:rPr>
        <w:footnoteReference w:id="790"/>
      </w:r>
      <w:r>
        <w:rPr>
          <w:rFonts w:ascii="IRNazanin" w:hAnsi="IRNazanin" w:eastAsia="IRNazanin"/>
          <w:color w:val="111111"/>
          <w:sz w:val="28"/>
          <w:sz w:val="28"/>
          <w:szCs w:val="28"/>
          <w:rtl w:val="true"/>
          <w:lang w:bidi="fa-IR"/>
        </w:rPr>
        <w:t xml:space="preserve">و المحقق </w:t>
      </w:r>
      <w:r>
        <w:rPr>
          <w:rStyle w:val="FootnoteAnchor"/>
          <w:rtl w:val="true"/>
        </w:rPr>
        <w:footnoteReference w:id="791"/>
      </w:r>
      <w:r>
        <w:rPr>
          <w:rFonts w:ascii="Amiri" w:hAnsi="Amiri" w:eastAsia="Amiri" w:cs="Amiri"/>
          <w:color w:val="111111"/>
          <w:sz w:val="28"/>
          <w:sz w:val="28"/>
          <w:szCs w:val="28"/>
          <w:rtl w:val="true"/>
          <w:lang w:bidi="ar-SA"/>
        </w:rPr>
        <w:t xml:space="preserve">الثانيين، بل حكي عن المبسوط </w:t>
      </w:r>
      <w:r>
        <w:rPr>
          <w:rStyle w:val="FootnoteAnchor"/>
          <w:rtl w:val="true"/>
        </w:rPr>
        <w:footnoteReference w:id="792"/>
      </w:r>
      <w:r>
        <w:rPr>
          <w:rFonts w:ascii="IRNazanin" w:hAnsi="IRNazanin" w:eastAsia="IRNazanin"/>
          <w:color w:val="111111"/>
          <w:sz w:val="28"/>
          <w:sz w:val="28"/>
          <w:szCs w:val="28"/>
          <w:rtl w:val="true"/>
          <w:lang w:bidi="fa-IR"/>
        </w:rPr>
        <w:t xml:space="preserve">، و السرائر </w:t>
      </w:r>
      <w:r>
        <w:rPr>
          <w:rStyle w:val="FootnoteAnchor"/>
          <w:rtl w:val="true"/>
        </w:rPr>
        <w:footnoteReference w:id="793"/>
      </w:r>
      <w:r>
        <w:rPr>
          <w:rFonts w:ascii="Amiri" w:hAnsi="Amiri" w:eastAsia="Amiri" w:cs="Amiri"/>
          <w:color w:val="111111"/>
          <w:sz w:val="28"/>
          <w:sz w:val="28"/>
          <w:szCs w:val="28"/>
          <w:rtl w:val="true"/>
          <w:lang w:bidi="ar-SA"/>
        </w:rPr>
        <w:t xml:space="preserve">أيضا مدعيا ثانيهما عليه الاتفاق، و ستسمع عن الناصريات </w:t>
      </w:r>
      <w:r>
        <w:rPr>
          <w:rStyle w:val="FootnoteAnchor"/>
          <w:rtl w:val="true"/>
        </w:rPr>
        <w:footnoteReference w:id="794"/>
      </w:r>
      <w:r>
        <w:rPr>
          <w:rFonts w:ascii="IRNazanin" w:hAnsi="IRNazanin" w:eastAsia="IRNazanin"/>
          <w:color w:val="111111"/>
          <w:sz w:val="28"/>
          <w:sz w:val="28"/>
          <w:szCs w:val="28"/>
          <w:rtl w:val="true"/>
          <w:lang w:bidi="fa-IR"/>
        </w:rPr>
        <w:t xml:space="preserve">، و المنتهى </w:t>
      </w:r>
      <w:r>
        <w:rPr>
          <w:rStyle w:val="FootnoteAnchor"/>
          <w:rtl w:val="true"/>
        </w:rPr>
        <w:footnoteReference w:id="795"/>
      </w:r>
      <w:r>
        <w:rPr>
          <w:rFonts w:ascii="Amiri" w:hAnsi="Amiri" w:eastAsia="Amiri" w:cs="Amiri"/>
          <w:color w:val="111111"/>
          <w:sz w:val="28"/>
          <w:sz w:val="28"/>
          <w:szCs w:val="28"/>
          <w:rtl w:val="true"/>
          <w:lang w:bidi="ar-SA"/>
        </w:rPr>
        <w:t xml:space="preserve">و التذكرة </w:t>
      </w:r>
      <w:r>
        <w:rPr>
          <w:rStyle w:val="FootnoteAnchor"/>
          <w:rtl w:val="true"/>
        </w:rPr>
        <w:footnoteReference w:id="796"/>
      </w:r>
      <w:r>
        <w:rPr>
          <w:rFonts w:ascii="IRNazanin" w:hAnsi="IRNazanin" w:eastAsia="IRNazanin"/>
          <w:color w:val="111111"/>
          <w:sz w:val="28"/>
          <w:sz w:val="28"/>
          <w:szCs w:val="28"/>
          <w:rtl w:val="true"/>
          <w:lang w:bidi="fa-IR"/>
        </w:rPr>
        <w:t>دعوى</w:t>
      </w:r>
    </w:p>
    <w:p>
      <w:pPr>
        <w:pStyle w:val="BookText"/>
        <w:rPr/>
      </w:pPr>
      <w:r>
        <w:rPr>
          <w:rFonts w:ascii="Amiri" w:hAnsi="Amiri" w:eastAsia="Amiri" w:cs="Amiri"/>
          <w:color w:val="111111"/>
          <w:sz w:val="28"/>
          <w:sz w:val="28"/>
          <w:szCs w:val="28"/>
          <w:rtl w:val="true"/>
          <w:lang w:bidi="ar-SA"/>
        </w:rPr>
        <w:t>الإجماع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منشأ النسبة اشتهار التعبير في كلام الأصحاب عن النصاب الأخير للإبل بأنّ في كلّ خمسين حقة، و في كل أربعين بنت لبون، تبعا للأخبار المعبّرة بهذا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المختلف إلى المشهور </w:t>
      </w:r>
      <w:r>
        <w:rPr>
          <w:rStyle w:val="FootnoteAnchor"/>
          <w:rtl w:val="true"/>
        </w:rPr>
        <w:footnoteReference w:id="797"/>
      </w:r>
      <w:r>
        <w:rPr>
          <w:rFonts w:ascii="Amiri" w:hAnsi="Amiri" w:eastAsia="Amiri" w:cs="Amiri"/>
          <w:color w:val="111111"/>
          <w:sz w:val="28"/>
          <w:sz w:val="28"/>
          <w:szCs w:val="28"/>
          <w:rtl w:val="true"/>
          <w:lang w:bidi="ar-SA"/>
        </w:rPr>
        <w:t xml:space="preserve">، و في محكي المعتبر إلى علمائنا </w:t>
      </w:r>
      <w:r>
        <w:rPr>
          <w:rStyle w:val="FootnoteAnchor"/>
          <w:rtl w:val="true"/>
        </w:rPr>
        <w:footnoteReference w:id="798"/>
      </w:r>
      <w:r>
        <w:rPr>
          <w:rFonts w:ascii="Amiri" w:hAnsi="Amiri" w:eastAsia="Amiri" w:cs="Amiri"/>
          <w:color w:val="111111"/>
          <w:sz w:val="28"/>
          <w:sz w:val="28"/>
          <w:szCs w:val="28"/>
          <w:rtl w:val="true"/>
          <w:lang w:bidi="ar-SA"/>
        </w:rPr>
        <w:t xml:space="preserve">، و في محكي الناصريات إلى الإجماع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هذه العبارة لا يريدون منها التخيير المطلق، و لا دلالة فيها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انّهم لا يريدون به ذلك؛ فلأن جماعة ممن عبّر بهذا التعبير، بل نسبه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في المختلف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في المعتبر </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في الناصريات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كلامهم كالصريح في تعيين </w:t>
      </w:r>
      <w:r>
        <w:rPr>
          <w:rStyle w:val="FootnoteAnchor"/>
          <w:rtl w:val="true"/>
        </w:rPr>
        <w:footnoteReference w:id="803"/>
      </w:r>
      <w:r>
        <w:rPr>
          <w:rFonts w:ascii="Amiri" w:hAnsi="Amiri" w:eastAsia="Amiri" w:cs="Amiri"/>
          <w:color w:val="111111"/>
          <w:sz w:val="28"/>
          <w:sz w:val="28"/>
          <w:szCs w:val="28"/>
          <w:rtl w:val="true"/>
          <w:lang w:bidi="ar-SA"/>
        </w:rPr>
        <w:t>ثلاث بنات لبون في المائة و واحدة و العشرين، بل أكثر هؤلاء القائلين عبّروا بالعبارة المذكورة، فلاحظ كلماتهم في هذا المقام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الناصريات، ادّعى الإجماع على العبارة المذكورة و ذكر موافقة الشافعي له من العامّة و قد حكي عن الشافعي في الانتصار </w:t>
      </w:r>
      <w:r>
        <w:rPr>
          <w:rStyle w:val="FootnoteAnchor"/>
          <w:rtl w:val="true"/>
        </w:rPr>
        <w:footnoteReference w:id="804"/>
      </w:r>
      <w:r>
        <w:rPr>
          <w:rFonts w:ascii="Amiri" w:hAnsi="Amiri" w:eastAsia="Amiri" w:cs="Amiri"/>
          <w:color w:val="111111"/>
          <w:sz w:val="28"/>
          <w:sz w:val="28"/>
          <w:szCs w:val="28"/>
          <w:rtl w:val="true"/>
          <w:lang w:bidi="ar-SA"/>
        </w:rPr>
        <w:t>تعيين ثلاث بنات لبون في المائة و الواحد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في التذكرة </w:t>
      </w:r>
      <w:r>
        <w:rPr>
          <w:rStyle w:val="FootnoteAnchor"/>
          <w:rtl w:val="true"/>
        </w:rPr>
        <w:footnoteReference w:id="805"/>
      </w:r>
      <w:r>
        <w:rPr>
          <w:rFonts w:ascii="IRNazanin" w:hAnsi="IRNazanin" w:eastAsia="IRNazanin"/>
          <w:color w:val="111111"/>
          <w:sz w:val="28"/>
          <w:sz w:val="28"/>
          <w:szCs w:val="28"/>
          <w:rtl w:val="true"/>
          <w:lang w:bidi="fa-IR"/>
        </w:rPr>
        <w:t>نسب وجوب ثلاث</w:t>
      </w:r>
    </w:p>
    <w:p>
      <w:pPr>
        <w:pStyle w:val="BookText"/>
        <w:rPr/>
      </w:pPr>
      <w:r>
        <w:rPr>
          <w:rFonts w:ascii="Amiri" w:hAnsi="Amiri" w:eastAsia="Amiri" w:cs="Amiri"/>
          <w:color w:val="111111"/>
          <w:sz w:val="28"/>
          <w:sz w:val="28"/>
          <w:szCs w:val="28"/>
          <w:rtl w:val="true"/>
          <w:lang w:bidi="ar-SA"/>
        </w:rPr>
        <w:t xml:space="preserve">بنات لبون إلى علمائنا إلّا السيد في الانتصار </w:t>
      </w:r>
      <w:r>
        <w:rPr>
          <w:rStyle w:val="FootnoteAnchor"/>
          <w:rtl w:val="true"/>
        </w:rPr>
        <w:footnoteReference w:id="806"/>
      </w:r>
      <w:r>
        <w:rPr>
          <w:rFonts w:ascii="Amiri" w:hAnsi="Amiri" w:eastAsia="Amiri" w:cs="Amiri"/>
          <w:color w:val="111111"/>
          <w:sz w:val="28"/>
          <w:sz w:val="28"/>
          <w:szCs w:val="28"/>
          <w:rtl w:val="true"/>
          <w:lang w:bidi="ar-SA"/>
        </w:rPr>
        <w:t xml:space="preserve">، و حكي عن الناصريات </w:t>
      </w:r>
      <w:r>
        <w:rPr>
          <w:rStyle w:val="FootnoteAnchor"/>
          <w:rtl w:val="true"/>
        </w:rPr>
        <w:footnoteReference w:id="807"/>
      </w:r>
      <w:r>
        <w:rPr>
          <w:rFonts w:ascii="Amiri" w:hAnsi="Amiri" w:eastAsia="Amiri" w:cs="Amiri"/>
          <w:color w:val="111111"/>
          <w:sz w:val="28"/>
          <w:sz w:val="28"/>
          <w:szCs w:val="28"/>
          <w:rtl w:val="true"/>
          <w:lang w:bidi="ar-SA"/>
        </w:rPr>
        <w:t>موافقته، و ذكر موافقة الشافعي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يرتاب أحد في كون هذا القول هو المشهور، و أنّه لم يعرف </w:t>
      </w:r>
      <w:r>
        <w:rPr>
          <w:rStyle w:val="FootnoteAnchor"/>
          <w:rtl w:val="true"/>
        </w:rPr>
        <w:footnoteReference w:id="808"/>
      </w:r>
      <w:r>
        <w:rPr>
          <w:rFonts w:ascii="Amiri" w:hAnsi="Amiri" w:eastAsia="Amiri" w:cs="Amiri"/>
          <w:color w:val="111111"/>
          <w:sz w:val="28"/>
          <w:sz w:val="28"/>
          <w:szCs w:val="28"/>
          <w:rtl w:val="true"/>
          <w:lang w:bidi="ar-SA"/>
        </w:rPr>
        <w:t xml:space="preserve">القول الأوّل ممن تقدّم على الشهيد الثاني في فوائد القواعد </w:t>
      </w:r>
      <w:r>
        <w:rPr>
          <w:rStyle w:val="FootnoteAnchor"/>
          <w:rtl w:val="true"/>
        </w:rPr>
        <w:footnoteReference w:id="809"/>
      </w:r>
      <w:r>
        <w:rPr>
          <w:rFonts w:ascii="Amiri" w:hAnsi="Amiri" w:eastAsia="Amiri" w:cs="Amiri"/>
          <w:color w:val="111111"/>
          <w:sz w:val="28"/>
          <w:sz w:val="28"/>
          <w:szCs w:val="28"/>
          <w:rtl w:val="true"/>
          <w:lang w:bidi="ar-SA"/>
        </w:rPr>
        <w:t xml:space="preserve">، و قد ذكره في الروضة احتمالا غير منسوب إلى محتمل غيره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الواجب صرف الكلام إلى بيان دلالة الفقرة المشهورة في الفتوى و النص،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خمسين حقة، و في كلّ أربعين بنت لبون</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w:t>
      </w:r>
      <w:r>
        <w:rPr>
          <w:rStyle w:val="FootnoteAnchor"/>
          <w:rtl w:val="true"/>
        </w:rPr>
        <w:footnoteReference w:id="812"/>
      </w:r>
      <w:r>
        <w:rPr>
          <w:rFonts w:ascii="Amiri" w:hAnsi="Amiri" w:eastAsia="Amiri" w:cs="Amiri"/>
          <w:color w:val="111111"/>
          <w:sz w:val="28"/>
          <w:sz w:val="28"/>
          <w:szCs w:val="28"/>
          <w:rtl w:val="true"/>
          <w:lang w:bidi="ar-SA"/>
        </w:rPr>
        <w:t>ظاهر اللفظ أنّ المراد من الخمسين و الأربعين في هذا الكلام هو نظير الواحد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هذا العدد أريد به العدد الخاصّ المنتشر، فكلّ فرد حصل في الخارج من الخمسين بإفراز مفرز من هذه الإبل المجتمعة ففيها حقة، و كذا كلّ أربعين أفرز منه ففيه بنت لبون، و لا يتوهّم من ذلك لزوم وجوب حقق كثيرة في المائتين مثلا، باعتبار كثرة أفراد الخمسين المتصوّرة فيه، بسبب ضمّ بعضها إلى بعض كما لا يخفى، ضرورة أنّ المراد بالعام هنا ليس إلا </w:t>
      </w:r>
      <w:r>
        <w:rPr>
          <w:rStyle w:val="FootnoteAnchor"/>
          <w:rtl w:val="true"/>
        </w:rPr>
        <w:footnoteReference w:id="813"/>
      </w:r>
      <w:r>
        <w:rPr>
          <w:rFonts w:ascii="Amiri" w:hAnsi="Amiri" w:eastAsia="Amiri" w:cs="Amiri"/>
          <w:color w:val="111111"/>
          <w:sz w:val="28"/>
          <w:sz w:val="28"/>
          <w:szCs w:val="28"/>
          <w:rtl w:val="true"/>
          <w:lang w:bidi="ar-SA"/>
        </w:rPr>
        <w:t>القطعات المفرزة، من عدد الإبل، و كثرة الأفراد تحصل من تداخل الأفراد من حيث ضمّ الأجزاء بعضها في بعض، فالمائتان ليس فيها إلّا</w:t>
      </w:r>
    </w:p>
    <w:p>
      <w:pPr>
        <w:pStyle w:val="BookText"/>
        <w:rPr/>
      </w:pPr>
      <w:r>
        <w:rPr>
          <w:rFonts w:ascii="Amiri" w:hAnsi="Amiri" w:eastAsia="Amiri" w:cs="Amiri"/>
          <w:color w:val="111111"/>
          <w:sz w:val="28"/>
          <w:sz w:val="28"/>
          <w:szCs w:val="28"/>
          <w:rtl w:val="true"/>
          <w:lang w:bidi="ar-SA"/>
        </w:rPr>
        <w:t>أربعة أفراد من الخمسين، فيها أربع حقق و إن كان الأفراد المتداخلة أكثر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مائة و أربعين، و عملنا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خمسين حقة</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فيبقى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 هي قطعة مفرزة من العدد، داخلة في النصاب الآخر،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بنت لبون</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إشكال فيه، و لا أظنّ القائلين بالتخيير المطلق ينكرون هنا </w:t>
      </w:r>
      <w:r>
        <w:rPr>
          <w:rStyle w:val="FootnoteAnchor"/>
          <w:rtl w:val="true"/>
        </w:rPr>
        <w:footnoteReference w:id="816"/>
      </w:r>
      <w:r>
        <w:rPr>
          <w:rFonts w:ascii="Amiri" w:hAnsi="Amiri" w:eastAsia="Amiri" w:cs="Amiri"/>
          <w:color w:val="111111"/>
          <w:sz w:val="28"/>
          <w:sz w:val="28"/>
          <w:szCs w:val="28"/>
          <w:rtl w:val="true"/>
          <w:lang w:bidi="ar-SA"/>
        </w:rPr>
        <w:t xml:space="preserve">وجوب حقتين و بنت لبون، و لذلك فصلّ بعض مشايخنا المعاصرين بين ما لو بقي بعد العدّ بأحدهما مصداق تامّ للآخر </w:t>
      </w:r>
      <w:r>
        <w:rPr>
          <w:rStyle w:val="FootnoteAnchor"/>
          <w:rtl w:val="true"/>
        </w:rPr>
        <w:footnoteReference w:id="817"/>
      </w:r>
      <w:r>
        <w:rPr>
          <w:rFonts w:ascii="Amiri" w:hAnsi="Amiri" w:eastAsia="Amiri" w:cs="Amiri"/>
          <w:color w:val="111111"/>
          <w:sz w:val="28"/>
          <w:sz w:val="28"/>
          <w:szCs w:val="28"/>
          <w:rtl w:val="true"/>
          <w:lang w:bidi="ar-SA"/>
        </w:rPr>
        <w:t>،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Style w:val="FootnoteAnchor"/>
          <w:rtl w:val="true"/>
        </w:rPr>
        <w:footnoteReference w:id="818"/>
      </w:r>
      <w:r>
        <w:rPr>
          <w:rFonts w:ascii="Amiri" w:hAnsi="Amiri" w:eastAsia="Amiri" w:cs="Amiri"/>
          <w:color w:val="111111"/>
          <w:sz w:val="28"/>
          <w:sz w:val="28"/>
          <w:szCs w:val="28"/>
          <w:rtl w:val="true"/>
          <w:lang w:bidi="ar-SA"/>
        </w:rPr>
        <w:t xml:space="preserve">بحيث يمكن </w:t>
      </w:r>
      <w:r>
        <w:rPr>
          <w:rStyle w:val="FootnoteAnchor"/>
          <w:rtl w:val="true"/>
        </w:rPr>
        <w:footnoteReference w:id="819"/>
      </w:r>
      <w:r>
        <w:rPr>
          <w:rFonts w:ascii="Amiri" w:hAnsi="Amiri" w:eastAsia="Amiri" w:cs="Amiri"/>
          <w:color w:val="111111"/>
          <w:sz w:val="28"/>
          <w:sz w:val="28"/>
          <w:szCs w:val="28"/>
          <w:rtl w:val="true"/>
          <w:lang w:bidi="ar-SA"/>
        </w:rPr>
        <w:t xml:space="preserve">تطبيق مجموع العدد على أحد النصابين كالمائة و الأربعين أو الثلاثة </w:t>
      </w:r>
      <w:r>
        <w:rPr>
          <w:rStyle w:val="FootnoteAnchor"/>
          <w:rtl w:val="true"/>
        </w:rPr>
        <w:footnoteReference w:id="820"/>
      </w:r>
      <w:r>
        <w:rPr>
          <w:rFonts w:ascii="Amiri" w:hAnsi="Amiri" w:eastAsia="Amiri" w:cs="Amiri"/>
          <w:color w:val="111111"/>
          <w:sz w:val="28"/>
          <w:sz w:val="28"/>
          <w:szCs w:val="28"/>
          <w:rtl w:val="true"/>
          <w:lang w:bidi="ar-SA"/>
        </w:rPr>
        <w:t xml:space="preserve">، فيجب في مثلهما </w:t>
      </w:r>
      <w:r>
        <w:rPr>
          <w:rStyle w:val="FootnoteAnchor"/>
          <w:rtl w:val="true"/>
        </w:rPr>
        <w:footnoteReference w:id="821"/>
      </w:r>
      <w:r>
        <w:rPr>
          <w:rFonts w:ascii="Amiri" w:hAnsi="Amiri" w:eastAsia="Amiri" w:cs="Amiri"/>
          <w:color w:val="111111"/>
          <w:sz w:val="28"/>
          <w:sz w:val="28"/>
          <w:szCs w:val="28"/>
          <w:rtl w:val="true"/>
          <w:lang w:bidi="ar-SA"/>
        </w:rPr>
        <w:t xml:space="preserve">رعاية ما هو المنطبق على الكل، و بين ما لا ينطبق تمام العدد على أحدهما </w:t>
      </w:r>
      <w:r>
        <w:rPr>
          <w:rStyle w:val="FootnoteAnchor"/>
          <w:rtl w:val="true"/>
        </w:rPr>
        <w:footnoteReference w:id="822"/>
      </w:r>
      <w:r>
        <w:rPr>
          <w:rFonts w:ascii="Amiri" w:hAnsi="Amiri" w:eastAsia="Amiri" w:cs="Amiri"/>
          <w:color w:val="111111"/>
          <w:sz w:val="28"/>
          <w:sz w:val="28"/>
          <w:szCs w:val="28"/>
          <w:rtl w:val="true"/>
          <w:lang w:bidi="ar-SA"/>
        </w:rPr>
        <w:t>كالمائة و الواحد و العشرين، فلا يجب العدّ بالأكثر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مائة و ثلاثين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الفقرة المذكورة وجوب بنتي لبون في ثمانين منها، و يبقى خمسون و فيها حقّة بمقتضى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خمسين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عزل مائة منها فجعل فيها حقّتان، و أسقط الثلاثين عفوا لزم طرح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تخصيص </w:t>
      </w:r>
      <w:r>
        <w:rPr>
          <w:rStyle w:val="FootnoteAnchor"/>
          <w:rtl w:val="true"/>
        </w:rPr>
        <w:footnoteReference w:id="823"/>
      </w:r>
      <w:r>
        <w:rPr>
          <w:rFonts w:ascii="IRNazanin" w:hAnsi="IRNazanin" w:eastAsia="IRNazanin"/>
          <w:color w:val="111111"/>
          <w:sz w:val="28"/>
          <w:sz w:val="28"/>
          <w:szCs w:val="28"/>
          <w:rtl w:val="true"/>
          <w:lang w:bidi="fa-IR"/>
        </w:rPr>
        <w:t>، إذ لو عمل به</w:t>
      </w:r>
    </w:p>
    <w:p>
      <w:pPr>
        <w:pStyle w:val="BookText"/>
        <w:rPr/>
      </w:pPr>
      <w:r>
        <w:rPr>
          <w:rFonts w:ascii="Amiri" w:hAnsi="Amiri" w:eastAsia="Amiri" w:cs="Amiri"/>
          <w:color w:val="111111"/>
          <w:sz w:val="28"/>
          <w:sz w:val="28"/>
          <w:szCs w:val="28"/>
          <w:rtl w:val="true"/>
          <w:lang w:bidi="ar-SA"/>
        </w:rPr>
        <w:t xml:space="preserve">لم يكن الثلاثون عفوا، بل كان جزء </w:t>
      </w:r>
      <w:r>
        <w:rPr>
          <w:rStyle w:val="FootnoteAnchor"/>
          <w:rtl w:val="true"/>
        </w:rPr>
        <w:footnoteReference w:id="824"/>
      </w:r>
      <w:r>
        <w:rPr>
          <w:rFonts w:ascii="IRNazanin" w:hAnsi="IRNazanin" w:eastAsia="IRNazanin"/>
          <w:color w:val="111111"/>
          <w:sz w:val="28"/>
          <w:sz w:val="28"/>
          <w:szCs w:val="28"/>
          <w:rtl w:val="true"/>
          <w:lang w:bidi="fa-IR"/>
        </w:rPr>
        <w:t>من النصاب، و هو 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يظهر من كلام السيّد في الانتصار </w:t>
      </w:r>
      <w:r>
        <w:rPr>
          <w:rStyle w:val="FootnoteAnchor"/>
          <w:rtl w:val="true"/>
        </w:rPr>
        <w:footnoteReference w:id="825"/>
      </w:r>
      <w:r>
        <w:rPr>
          <w:rFonts w:ascii="Amiri" w:hAnsi="Amiri" w:eastAsia="Amiri" w:cs="Amiri"/>
          <w:color w:val="111111"/>
          <w:sz w:val="28"/>
          <w:sz w:val="28"/>
          <w:szCs w:val="28"/>
          <w:rtl w:val="true"/>
          <w:lang w:bidi="ar-SA"/>
        </w:rPr>
        <w:t xml:space="preserve">أنّ ثبوت الحقة و بنتي لبون هنا </w:t>
      </w:r>
      <w:r>
        <w:rPr>
          <w:rStyle w:val="FootnoteAnchor"/>
          <w:rtl w:val="true"/>
        </w:rPr>
        <w:footnoteReference w:id="826"/>
      </w:r>
      <w:r>
        <w:rPr>
          <w:rFonts w:ascii="Amiri" w:hAnsi="Amiri" w:eastAsia="Amiri" w:cs="Amiri"/>
          <w:color w:val="111111"/>
          <w:sz w:val="28"/>
          <w:sz w:val="28"/>
          <w:szCs w:val="28"/>
          <w:rtl w:val="true"/>
          <w:lang w:bidi="ar-SA"/>
        </w:rPr>
        <w:t>مما لا خلاف فيه، و كذا الكلام لو كانت مائة و إحدى و عشرين، فإنّ مقتضى الفقرة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ثلاث بنات لبون فيها، و لا يلزم من ذلك طرح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خمسين حقة</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و إنّما انتفى مورده إذ مع ملاحظة العدد ثلاث مصاديق للأربعين لا يبقى محلّ للإفراز </w:t>
      </w:r>
      <w:r>
        <w:rPr>
          <w:rStyle w:val="FootnoteAnchor"/>
          <w:rtl w:val="true"/>
        </w:rPr>
        <w:footnoteReference w:id="828"/>
      </w:r>
      <w:r>
        <w:rPr>
          <w:rFonts w:ascii="Amiri" w:hAnsi="Amiri" w:eastAsia="Amiri" w:cs="Amiri"/>
          <w:color w:val="111111"/>
          <w:sz w:val="28"/>
          <w:sz w:val="28"/>
          <w:szCs w:val="28"/>
          <w:rtl w:val="true"/>
          <w:lang w:bidi="ar-SA"/>
        </w:rPr>
        <w:t>،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الخمسين و الأربعين نصابان متبادلان لما عرفت من أنّ المراد أنّ كلّ قطعة افرزت من الإبل إذا كانت خمسين فيها حقّة، و إذا كانت أربعين فيها بنت لبون، و بعد إفراز القطعات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مصاديق للأربعين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ما يفرز منه جملة يصدق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يكون فيها حقّة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المعارضة بأنّ العدد المذكور إذا قطع منها قطعتان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يبقى جملة يصدق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فيها شي‌ء، مدفوعة بأنّا لا نريد إثبات بنت لبون مضافا إلى الحقتين حتّى يحتاج إلى قطعة اخرى تبلغ بنفسها أربعين، و يكون انضمام بعض المائة إلى الجملة الباقية موجبا للتدارك </w:t>
      </w:r>
      <w:r>
        <w:rPr>
          <w:rStyle w:val="FootnoteAnchor"/>
          <w:rtl w:val="true"/>
        </w:rPr>
        <w:footnoteReference w:id="829"/>
      </w:r>
      <w:r>
        <w:rPr>
          <w:rFonts w:ascii="Amiri" w:hAnsi="Amiri" w:eastAsia="Amiri" w:cs="Amiri"/>
          <w:color w:val="111111"/>
          <w:sz w:val="28"/>
          <w:sz w:val="28"/>
          <w:szCs w:val="28"/>
          <w:rtl w:val="true"/>
          <w:lang w:bidi="ar-SA"/>
        </w:rPr>
        <w:t>في الأفراد المفروزة،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الباقية بعد انضمام غيرها إليها تصدق عليها أربعون، ففيها بنت لبون، و الباقي أيضا مصداقان للأربعين، ففيهما </w:t>
      </w:r>
      <w:r>
        <w:rPr>
          <w:rStyle w:val="FootnoteAnchor"/>
          <w:rtl w:val="true"/>
        </w:rPr>
        <w:footnoteReference w:id="830"/>
      </w:r>
      <w:r>
        <w:rPr>
          <w:rFonts w:ascii="IRNazanin" w:hAnsi="IRNazanin" w:eastAsia="IRNazanin"/>
          <w:color w:val="111111"/>
          <w:sz w:val="28"/>
          <w:sz w:val="28"/>
          <w:szCs w:val="28"/>
          <w:rtl w:val="true"/>
          <w:lang w:bidi="fa-IR"/>
        </w:rPr>
        <w:t>بنتا لبون،</w:t>
      </w:r>
    </w:p>
    <w:p>
      <w:pPr>
        <w:pStyle w:val="BookText"/>
        <w:rPr/>
      </w:pPr>
      <w:r>
        <w:rPr>
          <w:rFonts w:ascii="Amiri" w:hAnsi="Amiri" w:eastAsia="Amiri" w:cs="Amiri"/>
          <w:color w:val="111111"/>
          <w:sz w:val="28"/>
          <w:sz w:val="28"/>
          <w:szCs w:val="28"/>
          <w:rtl w:val="true"/>
          <w:lang w:bidi="ar-SA"/>
        </w:rPr>
        <w:t>فمقتضى نصابيّة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العفو عنها، فبقاء العفو لا يكون إلّا مع إهمال نصابيّة الأربعين، و سببيّته الثابتة بمقتضى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كانت مائة و خمسين، فإذا أفرزنا منه قطعات ثلاث، كلّ منها أربعين، يبقى ثلاثون يمكن أن تضمّ إلى عشرين، فتصير خمسين، فيها حقّة، و الباقي من القطعات بعد الضمّ قطعتان كلّ منهما خمسون فيه </w:t>
      </w:r>
      <w:r>
        <w:rPr>
          <w:rStyle w:val="FootnoteAnchor"/>
          <w:rtl w:val="true"/>
        </w:rPr>
        <w:footnoteReference w:id="831"/>
      </w:r>
      <w:r>
        <w:rPr>
          <w:rFonts w:ascii="Amiri" w:hAnsi="Amiri" w:eastAsia="Amiri" w:cs="Amiri"/>
          <w:color w:val="111111"/>
          <w:sz w:val="28"/>
          <w:sz w:val="28"/>
          <w:szCs w:val="28"/>
          <w:rtl w:val="true"/>
          <w:lang w:bidi="ar-SA"/>
        </w:rPr>
        <w:t>حقّتان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خمسين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منه طرح الفقرة الأخرى، بل لا مورد لها، </w:t>
      </w:r>
      <w:r>
        <w:rPr>
          <w:rStyle w:val="FootnoteAnchor"/>
          <w:rtl w:val="true"/>
        </w:rPr>
        <w:footnoteReference w:id="832"/>
      </w:r>
      <w:r>
        <w:rPr>
          <w:rFonts w:ascii="Amiri" w:hAnsi="Amiri" w:eastAsia="Amiri" w:cs="Amiri"/>
          <w:color w:val="111111"/>
          <w:sz w:val="28"/>
          <w:sz w:val="28"/>
          <w:szCs w:val="28"/>
          <w:rtl w:val="true"/>
          <w:lang w:bidi="ar-SA"/>
        </w:rPr>
        <w:t>بخلاف ما لو عمل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بنت 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يلزم طرح الفقرة الأخرى بالنسبة إلى الثلاثين الباقي </w:t>
      </w:r>
      <w:r>
        <w:rPr>
          <w:rStyle w:val="FootnoteAnchor"/>
          <w:rtl w:val="true"/>
        </w:rPr>
        <w:footnoteReference w:id="833"/>
      </w:r>
      <w:r>
        <w:rPr>
          <w:rFonts w:ascii="IRNazanin" w:hAnsi="IRNazanin" w:eastAsia="IRNazanin"/>
          <w:color w:val="111111"/>
          <w:sz w:val="28"/>
          <w:sz w:val="28"/>
          <w:szCs w:val="28"/>
          <w:rtl w:val="true"/>
          <w:lang w:bidi="fa-IR"/>
        </w:rPr>
        <w:t>و جعله عفوا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محيص هنا عن العمل بخمسين كما لا محيص في سابقه عن العمل بأربعين</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نعم لو كان العدد قابلا لكليهما فلا ريب في التخيير، كما لو كانت مائتين فإنّه قابل لخمس مصاديق للأربعين، و أربع مصاديق للخمسين ففيها أربع حقق، أو خمس بنات لبون، فالتخيير هنا عقلي نظرا إلى أنّه إذا استقرّ في كلّ خمسين حقّة، و في كلّ أربعين بنت لبون، و هذا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خمسينيات و خمس أربعينيات، فهو مصداق لكلّ منهما، ففيها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أربع حقق، و خمس بنات لبون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يتوهّم أنّ اللّازم من كونه مصداقا لكلّ منهما أن تكون فيه أربع حقق و خمس بنات لبون معا، لما عرفت من أنّ المراد من الفقرتين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الفريضة في القطعات المفرزة، و لا ريب أنّه لا يمكن هنا إلّا إفراز قطعات أحد النصابين فليس فيها إلّا إحدى الفريضتين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الفريضة و العدد على نحو ثبوت مصاديق النصاب، فإن تعدّدت بحسب الإفراز تعدّدت الفريضة، و إن تعدّدت باعتبار القابلية و اتّحدت بحسب الوجود الفعلي </w:t>
      </w:r>
      <w:r>
        <w:rPr>
          <w:rStyle w:val="FootnoteAnchor"/>
          <w:rtl w:val="true"/>
        </w:rPr>
        <w:footnoteReference w:id="835"/>
      </w:r>
      <w:r>
        <w:rPr>
          <w:rFonts w:ascii="Amiri" w:hAnsi="Amiri" w:eastAsia="Amiri" w:cs="Amiri"/>
          <w:color w:val="111111"/>
          <w:sz w:val="28"/>
          <w:sz w:val="28"/>
          <w:szCs w:val="28"/>
          <w:rtl w:val="true"/>
          <w:lang w:bidi="ar-SA"/>
        </w:rPr>
        <w:t xml:space="preserve">، فالفريضة كذلك واحدة قابل </w:t>
      </w:r>
      <w:r>
        <w:rPr>
          <w:rStyle w:val="FootnoteAnchor"/>
          <w:rtl w:val="true"/>
        </w:rPr>
        <w:footnoteReference w:id="836"/>
      </w:r>
      <w:r>
        <w:rPr>
          <w:rFonts w:ascii="Amiri" w:hAnsi="Amiri" w:eastAsia="Amiri" w:cs="Amiri"/>
          <w:color w:val="111111"/>
          <w:sz w:val="28"/>
          <w:sz w:val="28"/>
          <w:szCs w:val="28"/>
          <w:rtl w:val="true"/>
          <w:lang w:bidi="ar-SA"/>
        </w:rPr>
        <w:t>للأمرين، واحد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من ذلك أنّ الفقرتين ليستا محمولتين على التخيير الشرعي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التخيير فيها مطلق غير مقيّد بصورة دون اخرى، و انّما التخيير في مقام التخيير سيجي‌ء </w:t>
      </w:r>
      <w:r>
        <w:rPr>
          <w:rStyle w:val="FootnoteAnchor"/>
          <w:rtl w:val="true"/>
        </w:rPr>
        <w:footnoteReference w:id="837"/>
      </w:r>
      <w:r>
        <w:rPr>
          <w:rFonts w:ascii="Amiri" w:hAnsi="Amiri" w:eastAsia="Amiri" w:cs="Amiri"/>
          <w:color w:val="111111"/>
          <w:sz w:val="28"/>
          <w:sz w:val="28"/>
          <w:szCs w:val="28"/>
          <w:rtl w:val="true"/>
          <w:lang w:bidi="ar-SA"/>
        </w:rPr>
        <w:t xml:space="preserve">من حكم العقل، و إلّا فمعنى </w:t>
      </w:r>
      <w:r>
        <w:rPr>
          <w:rStyle w:val="FootnoteAnchor"/>
          <w:rtl w:val="true"/>
        </w:rPr>
        <w:footnoteReference w:id="838"/>
      </w:r>
      <w:r>
        <w:rPr>
          <w:rFonts w:ascii="Amiri" w:hAnsi="Amiri" w:eastAsia="Amiri" w:cs="Amiri"/>
          <w:color w:val="111111"/>
          <w:sz w:val="28"/>
          <w:sz w:val="28"/>
          <w:szCs w:val="28"/>
          <w:rtl w:val="true"/>
          <w:lang w:bidi="ar-SA"/>
        </w:rPr>
        <w:t>كلّ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النصاب استقرّت هذه الفريضة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تبيّن أنّه لا وجه للاستدلال على التخيير المطلق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صحيحتي عبد الرحمن و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كثرت الإبل ففي كلّ خمسين حقّة</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لأنّ هذه الرواية غير باقية على ظاهرها قطعا، لأنّ ظاهرها تدلّ على انحصار النصاب الأخير في الخمسين، و الفريضة الأخيرة في الحقّة، و هو خلاف الإجماع، فهو محمول على بيان أحد النصابين، و هو </w:t>
      </w:r>
      <w:r>
        <w:rPr>
          <w:rStyle w:val="FootnoteAnchor"/>
          <w:rtl w:val="true"/>
        </w:rPr>
        <w:footnoteReference w:id="840"/>
      </w:r>
      <w:r>
        <w:rPr>
          <w:rFonts w:ascii="Amiri" w:hAnsi="Amiri" w:eastAsia="Amiri" w:cs="Amiri"/>
          <w:color w:val="111111"/>
          <w:sz w:val="28"/>
          <w:sz w:val="28"/>
          <w:szCs w:val="28"/>
          <w:rtl w:val="true"/>
          <w:lang w:bidi="ar-SA"/>
        </w:rPr>
        <w:t xml:space="preserve">و إن استلزم تأخير </w:t>
      </w:r>
      <w:r>
        <w:rPr>
          <w:rStyle w:val="FootnoteAnchor"/>
          <w:rtl w:val="true"/>
        </w:rPr>
        <w:footnoteReference w:id="841"/>
      </w:r>
      <w:r>
        <w:rPr>
          <w:rFonts w:ascii="Amiri" w:hAnsi="Amiri" w:eastAsia="Amiri" w:cs="Amiri"/>
          <w:color w:val="111111"/>
          <w:sz w:val="28"/>
          <w:sz w:val="28"/>
          <w:szCs w:val="28"/>
          <w:rtl w:val="true"/>
          <w:lang w:bidi="ar-SA"/>
        </w:rPr>
        <w:t>البيان</w:t>
      </w:r>
    </w:p>
    <w:p>
      <w:pPr>
        <w:pStyle w:val="BookText"/>
        <w:rPr/>
      </w:pPr>
      <w:r>
        <w:rPr>
          <w:rFonts w:ascii="Amiri" w:hAnsi="Amiri" w:eastAsia="Amiri" w:cs="Amiri"/>
          <w:color w:val="111111"/>
          <w:sz w:val="28"/>
          <w:sz w:val="28"/>
          <w:szCs w:val="28"/>
          <w:rtl w:val="true"/>
          <w:lang w:bidi="ar-SA"/>
        </w:rPr>
        <w:t>في موارد عدم إمكان العدّ بخمسين إلّا أنّه عن وقت الخطاب لا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يحمل على إرادة الوجوب التخييري حيث تعذّر العيني؛ للإجماع على عدمه، و حينئذ فيكون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كلّ خمسين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فيستدل بإطلاقه على إطلاق التخيير، غلط؛ إذ ليس هنا ما يكون ظاهرا في الوجوب حتى يقبل الكلام صرفه إلى التخيير؛ لأنّ ظاهر الكلام أنّه يستقر في كلّ خمسين حقّة، و هذا الوجوب المستفاد من الاستقرار لا يمكن إرادة التخيير منه حتى يصير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كلّ خمسين حقّة؛ لأنّ الثابت في الخمسين ليس أمرا تخييريا بين الحقة و غيرها، بل الحقّة بنفسها في كلّ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داعي إلى صرف الكلام عن ظاهره، بل يبقى على ظاهره،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 خمسين تفرز من الإبل ففيه الحقّة، و كلّ أربعين تفرز منه ففيه بنت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في بعض المقامات لا يجتمع إفراز أحدهما مع إفراز الآخر، و في بعض المقامات يجتمع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الاجتماع يحكم بالتخيير عقلا؛ لتحقّق النصابين على البدل من حيث السببية لتحقّق الفريضة </w:t>
      </w:r>
      <w:r>
        <w:rPr>
          <w:rStyle w:val="FootnoteAnchor"/>
          <w:rtl w:val="true"/>
        </w:rPr>
        <w:footnoteReference w:id="842"/>
      </w:r>
      <w:r>
        <w:rPr>
          <w:rFonts w:ascii="Amiri" w:hAnsi="Amiri" w:eastAsia="Amiri" w:cs="Amiri"/>
          <w:color w:val="111111"/>
          <w:sz w:val="28"/>
          <w:sz w:val="28"/>
          <w:szCs w:val="28"/>
          <w:rtl w:val="true"/>
          <w:lang w:bidi="ar-SA"/>
        </w:rPr>
        <w:t>، فيتحقّق الفريضتان أيضا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عدم الاجتماع يطرح ما يجتمع مع الآخر لعدم تحقّق موضوعه، لا لطرح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فساد ما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المشهور حملوا الفقرتين على التخيير، ثم خصّصوه بموضع إمكان </w:t>
      </w:r>
      <w:r>
        <w:rPr>
          <w:rStyle w:val="FootnoteAnchor"/>
          <w:rtl w:val="true"/>
        </w:rPr>
        <w:footnoteReference w:id="843"/>
      </w:r>
      <w:r>
        <w:rPr>
          <w:rFonts w:ascii="Amiri" w:hAnsi="Amiri" w:eastAsia="Amiri" w:cs="Amiri"/>
          <w:color w:val="111111"/>
          <w:sz w:val="28"/>
          <w:sz w:val="28"/>
          <w:szCs w:val="28"/>
          <w:rtl w:val="true"/>
          <w:lang w:bidi="ar-SA"/>
        </w:rPr>
        <w:t>أخذ النصابين فأورد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الأدلّة واردة في مقام زيادة الواحدة على المائة و العشرين، فكيف يمكن عدم الحكم بالتخيير </w:t>
      </w:r>
      <w:r>
        <w:rPr>
          <w:rStyle w:val="FootnoteAnchor"/>
          <w:rtl w:val="true"/>
        </w:rPr>
        <w:footnoteReference w:id="844"/>
      </w:r>
      <w:r>
        <w:rPr>
          <w:rFonts w:ascii="Amiri" w:hAnsi="Amiri" w:eastAsia="Amiri" w:cs="Amiri"/>
          <w:color w:val="111111"/>
          <w:sz w:val="28"/>
          <w:sz w:val="28"/>
          <w:szCs w:val="28"/>
          <w:rtl w:val="true"/>
          <w:lang w:bidi="ar-SA"/>
        </w:rPr>
        <w:t>هنا، بل الحكم هنا بتعيّن الأربعين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زادت واحدة ففي كلّ خمسين حقّة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Style w:val="FootnoteAnchor"/>
          <w:rtl w:val="true"/>
        </w:rPr>
        <w:footnoteReference w:id="845"/>
      </w:r>
      <w:r>
        <w:rPr>
          <w:rFonts w:ascii="Amiri" w:hAnsi="Amiri" w:eastAsia="Amiri" w:cs="Amiri"/>
          <w:color w:val="111111"/>
          <w:sz w:val="28"/>
          <w:sz w:val="28"/>
          <w:szCs w:val="28"/>
          <w:rtl w:val="true"/>
          <w:lang w:bidi="ar-SA"/>
        </w:rPr>
        <w:t>عدول إلى بيان نصاب آخر كلّي، و ليس في مقام بيان حكم خصوص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زادت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أنّه إذا زادت واحدة فلا يتعلّق النصاب بخصوص عدد المجموع، بل لا بدّ من ملاحظة العدد، خمسين خمسين، أو أربعين أربعين؛ فافهم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تبيّن أنّ وجوب ثلاث بنات لبون في المائة و الواحد و العشرين ليس لأجل مراعاة مصلحة الفقراء؛ لأنّه أغبط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Style w:val="FootnoteAnchor"/>
          <w:rtl w:val="true"/>
        </w:rPr>
        <w:footnoteReference w:id="846"/>
      </w:r>
      <w:r>
        <w:rPr>
          <w:rFonts w:ascii="Amiri" w:hAnsi="Amiri" w:eastAsia="Amiri" w:cs="Amiri"/>
          <w:color w:val="111111"/>
          <w:sz w:val="28"/>
          <w:sz w:val="28"/>
          <w:szCs w:val="28"/>
          <w:rtl w:val="true"/>
          <w:lang w:bidi="ar-SA"/>
        </w:rPr>
        <w:t xml:space="preserve">ذكره بعض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وجه لوجوب هذه المراعاة، بل من جهة اقتضاء سببيّة الأربعين لعدم العفو عن أفراده و اجزائها، و أن العفو عن فرد منه كما في المائة و الأربعين، أو عن جزء فرد منه كما في المثالين </w:t>
      </w:r>
      <w:r>
        <w:rPr>
          <w:rStyle w:val="FootnoteAnchor"/>
          <w:rtl w:val="true"/>
        </w:rPr>
        <w:footnoteReference w:id="848"/>
      </w:r>
      <w:r>
        <w:rPr>
          <w:rFonts w:ascii="Amiri" w:hAnsi="Amiri" w:eastAsia="Amiri" w:cs="Amiri"/>
          <w:color w:val="111111"/>
          <w:sz w:val="28"/>
          <w:sz w:val="28"/>
          <w:szCs w:val="28"/>
          <w:rtl w:val="true"/>
          <w:lang w:bidi="ar-SA"/>
        </w:rPr>
        <w:t>مناف لسببيّة كلّ فرد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 عليه في نصاب البقر من وجوب العدّ بأقلّ النصابين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الواردة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 ثلاثين </w:t>
      </w:r>
      <w:r>
        <w:rPr>
          <w:rStyle w:val="FootnoteAnchor"/>
          <w:rtl w:val="true"/>
        </w:rPr>
        <w:footnoteReference w:id="849"/>
      </w:r>
      <w:r>
        <w:rPr>
          <w:rFonts w:ascii="Amiri" w:hAnsi="Amiri" w:eastAsia="Amiri" w:cs="Amiri"/>
          <w:color w:val="111111"/>
          <w:sz w:val="28"/>
          <w:sz w:val="28"/>
          <w:szCs w:val="28"/>
          <w:rtl w:val="true"/>
          <w:lang w:bidi="ar-SA"/>
        </w:rPr>
        <w:t>تبيع حولي، و في كل أربعين مسنة</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يلزم أيضا على التخيير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المائتين و الخمسين خمس حقاق معيّنا، و في المائتين و ستين يجوز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حقاق و بنت لبون</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فيكون زيادة العشرة موجبة لنقص الفريضة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التخيير في مقامه هل هو إلى المالك، أو إلى الساعي؟ الأقوى الأول،</w:t>
      </w:r>
    </w:p>
    <w:p>
      <w:pPr>
        <w:pStyle w:val="BookText"/>
        <w:rPr/>
      </w:pPr>
      <w:r>
        <w:rPr>
          <w:rFonts w:ascii="Amiri" w:hAnsi="Amiri" w:eastAsia="Amiri" w:cs="Amiri"/>
          <w:color w:val="111111"/>
          <w:sz w:val="28"/>
          <w:sz w:val="28"/>
          <w:szCs w:val="28"/>
          <w:rtl w:val="true"/>
          <w:lang w:bidi="ar-SA"/>
        </w:rPr>
        <w:t xml:space="preserve">بل عن العلّامة في التذكرة </w:t>
      </w:r>
      <w:r>
        <w:rPr>
          <w:rStyle w:val="FootnoteAnchor"/>
          <w:rtl w:val="true"/>
        </w:rPr>
        <w:footnoteReference w:id="852"/>
      </w:r>
      <w:r>
        <w:rPr>
          <w:rFonts w:ascii="IRNazanin" w:hAnsi="IRNazanin" w:eastAsia="IRNazanin"/>
          <w:color w:val="111111"/>
          <w:sz w:val="28"/>
          <w:sz w:val="28"/>
          <w:szCs w:val="28"/>
          <w:rtl w:val="true"/>
          <w:lang w:bidi="fa-IR"/>
        </w:rPr>
        <w:t xml:space="preserve">و المنتهى </w:t>
      </w:r>
      <w:r>
        <w:rPr>
          <w:rStyle w:val="FootnoteAnchor"/>
          <w:rtl w:val="true"/>
        </w:rPr>
        <w:footnoteReference w:id="853"/>
      </w:r>
      <w:r>
        <w:rPr>
          <w:rFonts w:ascii="Amiri" w:hAnsi="Amiri" w:eastAsia="Amiri" w:cs="Amiri"/>
          <w:color w:val="111111"/>
          <w:sz w:val="28"/>
          <w:sz w:val="28"/>
          <w:szCs w:val="28"/>
          <w:rtl w:val="true"/>
          <w:lang w:bidi="ar-SA"/>
        </w:rPr>
        <w:t>نسبته إلى العلماء؛ لأنّ الساعي إنّما يستحقّ بعد تكليف المالك بالإعطاء، فإذا كان تكليفه تخييريا فله أن يدفع إلى الساعي ما شاء؛ إذ ليس للساعي إلّا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إليّ ما أمرك اللّٰه به، و هو أحدهما </w:t>
      </w:r>
      <w:r>
        <w:rPr>
          <w:rStyle w:val="FootnoteAnchor"/>
          <w:rtl w:val="true"/>
        </w:rPr>
        <w:footnoteReference w:id="854"/>
      </w:r>
      <w:r>
        <w:rPr>
          <w:rFonts w:ascii="Amiri" w:hAnsi="Amiri" w:eastAsia="Amiri" w:cs="Amiri"/>
          <w:color w:val="111111"/>
          <w:sz w:val="28"/>
          <w:sz w:val="28"/>
          <w:szCs w:val="28"/>
          <w:rtl w:val="true"/>
          <w:lang w:bidi="ar-SA"/>
        </w:rPr>
        <w:t xml:space="preserve">على سبيل التخيير، فالساعي إنّما يطالب </w:t>
      </w:r>
      <w:r>
        <w:rPr>
          <w:rStyle w:val="FootnoteAnchor"/>
          <w:rtl w:val="true"/>
        </w:rPr>
        <w:footnoteReference w:id="855"/>
      </w:r>
      <w:r>
        <w:rPr>
          <w:rFonts w:ascii="Amiri" w:hAnsi="Amiri" w:eastAsia="Amiri" w:cs="Amiri"/>
          <w:color w:val="111111"/>
          <w:sz w:val="28"/>
          <w:sz w:val="28"/>
          <w:szCs w:val="28"/>
          <w:rtl w:val="true"/>
          <w:lang w:bidi="ar-SA"/>
        </w:rPr>
        <w:t>ما طلب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يظهر من آداب المصدّق </w:t>
      </w:r>
      <w:r>
        <w:rPr>
          <w:rStyle w:val="FootnoteAnchor"/>
          <w:rtl w:val="true"/>
        </w:rPr>
        <w:footnoteReference w:id="856"/>
      </w:r>
      <w:r>
        <w:rPr>
          <w:rFonts w:ascii="Amiri" w:hAnsi="Amiri" w:eastAsia="Amiri" w:cs="Amiri"/>
          <w:color w:val="111111"/>
          <w:sz w:val="28"/>
          <w:sz w:val="28"/>
          <w:szCs w:val="28"/>
          <w:rtl w:val="true"/>
          <w:lang w:bidi="ar-SA"/>
        </w:rPr>
        <w:t xml:space="preserve">المرويّة عن سيّد الأوصياء عليه السلام من تخيير المالك في غير ما ألزمه اللّٰه تعالى و الرفق معه </w:t>
      </w:r>
      <w:r>
        <w:rPr>
          <w:rStyle w:val="FootnoteAnchor"/>
          <w:rtl w:val="true"/>
        </w:rPr>
        <w:footnoteReference w:id="857"/>
      </w:r>
      <w:r>
        <w:rPr>
          <w:rFonts w:ascii="Amiri" w:hAnsi="Amiri" w:eastAsia="Amiri" w:cs="Amiri"/>
          <w:color w:val="111111"/>
          <w:sz w:val="28"/>
          <w:sz w:val="28"/>
          <w:szCs w:val="28"/>
          <w:rtl w:val="true"/>
          <w:lang w:bidi="ar-SA"/>
        </w:rPr>
        <w:t>، فالقول بتخيير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ما عن الشافعي </w:t>
      </w:r>
      <w:r>
        <w:rPr>
          <w:rStyle w:val="FootnoteAnchor"/>
          <w:rtl w:val="true"/>
        </w:rPr>
        <w:footnoteReference w:id="858"/>
      </w:r>
      <w:r>
        <w:rPr>
          <w:rFonts w:ascii="Amiri" w:hAnsi="Amiri" w:eastAsia="Amiri" w:cs="Amiri"/>
          <w:color w:val="111111"/>
          <w:sz w:val="28"/>
          <w:sz w:val="28"/>
          <w:szCs w:val="28"/>
          <w:rtl w:val="true"/>
          <w:lang w:bidi="ar-SA"/>
        </w:rPr>
        <w:t xml:space="preserve">من تحقّق سبب الفريضتين </w:t>
      </w:r>
      <w:r>
        <w:rPr>
          <w:rStyle w:val="FootnoteAnchor"/>
          <w:rtl w:val="true"/>
        </w:rPr>
        <w:footnoteReference w:id="859"/>
      </w:r>
      <w:r>
        <w:rPr>
          <w:rFonts w:ascii="Amiri" w:hAnsi="Amiri" w:eastAsia="Amiri" w:cs="Amiri"/>
          <w:color w:val="111111"/>
          <w:sz w:val="28"/>
          <w:sz w:val="28"/>
          <w:szCs w:val="28"/>
          <w:rtl w:val="true"/>
          <w:lang w:bidi="ar-SA"/>
        </w:rPr>
        <w:t xml:space="preserve">فليس للمالك الامتناع عنه، كما عن الخلاف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الواحد الزائد على المائة و العشرين، لا ريب في اعتباره؛ إذ لولاه لم يجب إلّا حقتان بمقتضى النصاب الحادي عشر، فوجوده مؤثر 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Style w:val="FootnoteAnchor"/>
          <w:rtl w:val="true"/>
        </w:rPr>
        <w:footnoteReference w:id="861"/>
      </w:r>
      <w:r>
        <w:rPr>
          <w:rFonts w:ascii="Amiri" w:hAnsi="Amiri" w:eastAsia="Amiri" w:cs="Amiri"/>
          <w:color w:val="111111"/>
          <w:sz w:val="28"/>
          <w:sz w:val="28"/>
          <w:szCs w:val="28"/>
          <w:rtl w:val="true"/>
          <w:lang w:bidi="ar-SA"/>
        </w:rPr>
        <w:t>إعطاء ثلاث بنات لبون، و لم يجز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الزائد على الواحد و التسعين داخلا في النصاب و موردا للفريضة، و قد كان قبل </w:t>
      </w:r>
      <w:r>
        <w:rPr>
          <w:rStyle w:val="FootnoteAnchor"/>
          <w:rtl w:val="true"/>
        </w:rPr>
        <w:footnoteReference w:id="862"/>
      </w:r>
      <w:r>
        <w:rPr>
          <w:rFonts w:ascii="Amiri" w:hAnsi="Amiri" w:eastAsia="Amiri" w:cs="Amiri"/>
          <w:color w:val="111111"/>
          <w:sz w:val="28"/>
          <w:sz w:val="28"/>
          <w:szCs w:val="28"/>
          <w:rtl w:val="true"/>
          <w:lang w:bidi="ar-SA"/>
        </w:rPr>
        <w:t>ذلك عفوا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هو بنفسه جزء من مورد الفريضة كالآحاد المتقدمة عليه، أو خارج</w:t>
      </w:r>
    </w:p>
    <w:p>
      <w:pPr>
        <w:pStyle w:val="BookText"/>
        <w:rPr/>
      </w:pPr>
      <w:r>
        <w:rPr>
          <w:rFonts w:ascii="Amiri" w:hAnsi="Amiri" w:eastAsia="Amiri" w:cs="Amiri"/>
          <w:color w:val="111111"/>
          <w:sz w:val="28"/>
          <w:sz w:val="28"/>
          <w:szCs w:val="28"/>
          <w:rtl w:val="true"/>
          <w:lang w:bidi="ar-SA"/>
        </w:rPr>
        <w:t>شرط في تعلق الفريضة بما قبله؟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جعله عليه السلام النصاب و مورد الفريضة في هذا العدد و ما بعده الأربعين و الخمسين،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أن هذا الواحد خارج عن أفراد الأربعين، و إلّا لكان بنت لبون في كل أربعين 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أنّ الزكاة في مجموع المال، و </w:t>
      </w:r>
      <w:r>
        <w:rPr>
          <w:rStyle w:val="FootnoteAnchor"/>
          <w:rtl w:val="true"/>
        </w:rPr>
        <w:footnoteReference w:id="863"/>
      </w:r>
      <w:r>
        <w:rPr>
          <w:rFonts w:ascii="Amiri" w:hAnsi="Amiri" w:eastAsia="Amiri" w:cs="Amiri"/>
          <w:color w:val="111111"/>
          <w:sz w:val="28"/>
          <w:sz w:val="28"/>
          <w:szCs w:val="28"/>
          <w:rtl w:val="true"/>
          <w:lang w:bidi="ar-SA"/>
        </w:rPr>
        <w:t>الواحد الزائد ليس عفوا إجماعا، فهو مورد للفريضة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حيث كان مسوقا لبيان ضابطة كلية في جميع ما فوق المائة و العشرين، فالمقصود بيان ما لا بدّ أن يخرج من غير تعلّق غرض ببيان ما هو تمام المورد لهذا المخرج، مع أنّ الأربعين ليس تمام المورد في هذه الصورة، و إلّا فهي تمامه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وجوب إخراج بنت لبون بحسب أفراد الأربعين لا في مقام بيان المورد الحقيقي لبنت اللبون، نظير ما اتّفق للشهيد في اللمعة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النصاب الحادي عشر، و هو الواحد و التسعون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كلّ خمسين حقّة، و في كلّ أربعين بنت لبون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هذا الكلام أنّ الحقتين ثابتتان في المائة، فأجزاؤهما موزّعة على آحاد المائة و هي موردهما حقيقة، مع أنّ موردهما الواحد و التسعون من المائة، و التسعة الأخرى 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المائة و العشرين، فهذا الكلام لا يتمّ إلّا بما ذكرنا من أنّ المراد بيان ضابطة الإخراج و تعيين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يقدح ترك التعرّض للمورد الحقيقي للمخرج،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الأربعينات و أخرج بعددها بنات اللبون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الإنصاف أنّه إذا كان ظاهر اللفظ المورد الحقيقي، فورود الكلام في مقام بيان حكم آخر لا يمنع من الاستدلال بظاهره، مضافا إلى ما في</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النيف شي‌ء، و لا على الكسور شي‌ء</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فإنّ الحكم بجزئية الواحد الزائد مستلزم لثبوت الزكاة في النيّف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بين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الكسور؛ حيث انّ بنت لبون تكون حينئذ على الأربعين و ثلاث</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الأربعين و الخمسين، كما يشهد به ذكره بعد النصاب، و ليس المراد مطلق ما بين العقدين حتّى ينتقض بثبوت الفريضة في ستّ و عشرين و أمثاله، مع أنّ التخصيص ليس عزيزا في العمومات</w:t>
      </w:r>
      <w:r>
        <w:rPr>
          <w:rFonts w:eastAsia="Amiri" w:cs="Amiri" w:ascii="Amiri" w:hAnsi="Amiri"/>
          <w:color w:val="111111"/>
          <w:sz w:val="28"/>
          <w:szCs w:val="28"/>
          <w:rtl w:val="true"/>
          <w:lang w:bidi="ar-SA"/>
        </w:rPr>
        <w:t>.</w:t>
      </w:r>
      <w:bookmarkStart w:id="60" w:name="pg19722_766212"/>
    </w:p>
    <w:p>
      <w:pPr>
        <w:pStyle w:val="Heading4"/>
        <w:numPr>
          <w:ilvl w:val="3"/>
          <w:numId w:val="1"/>
        </w:numPr>
        <w:rPr/>
      </w:pPr>
      <w:bookmarkStart w:id="61" w:name="__RefHeading___Toc2136320_2314609296"/>
      <w:bookmarkStart w:id="62" w:name="_Toc22"/>
      <w:bookmarkEnd w:id="60"/>
      <w:bookmarkEnd w:id="61"/>
      <w:r>
        <w:rPr>
          <w:rtl w:val="true"/>
        </w:rPr>
        <w:t xml:space="preserve">مسألة </w:t>
      </w:r>
      <w:r>
        <w:rPr>
          <w:rtl w:val="true"/>
        </w:rPr>
        <w:t>[</w:t>
      </w:r>
      <w:r>
        <w:rPr/>
        <w:t>12</w:t>
      </w:r>
      <w:r>
        <w:rPr>
          <w:rtl w:val="true"/>
        </w:rPr>
        <w:t>]</w:t>
      </w:r>
      <w:bookmarkEnd w:id="62"/>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للبقر نصابا كلّيا و هو أحد الأمرين من الثلاثين و الأربعين، إجماعا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الجاموس من جنس البقر في الزكاة، للاتفاق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w:t>
      </w:r>
      <w:r>
        <w:rPr>
          <w:rStyle w:val="FootnoteAnchor"/>
          <w:rtl w:val="true"/>
        </w:rPr>
        <w:footnoteReference w:id="868"/>
      </w:r>
      <w:r>
        <w:rPr>
          <w:rFonts w:ascii="IRNazanin" w:hAnsi="IRNazanin" w:eastAsia="IRNazanin"/>
          <w:color w:val="111111"/>
          <w:sz w:val="28"/>
          <w:sz w:val="28"/>
          <w:szCs w:val="28"/>
          <w:rtl w:val="true"/>
          <w:lang w:bidi="fa-IR"/>
        </w:rPr>
        <w:t xml:space="preserve">و عن المنتهى </w:t>
      </w:r>
      <w:r>
        <w:rPr>
          <w:rStyle w:val="FootnoteAnchor"/>
          <w:rtl w:val="true"/>
        </w:rPr>
        <w:footnoteReference w:id="869"/>
      </w:r>
      <w:r>
        <w:rPr>
          <w:rFonts w:ascii="Amiri" w:hAnsi="Amiri" w:eastAsia="Amiri" w:cs="Amiri"/>
          <w:color w:val="111111"/>
          <w:sz w:val="28"/>
          <w:sz w:val="28"/>
          <w:szCs w:val="28"/>
          <w:rtl w:val="true"/>
          <w:lang w:bidi="ar-SA"/>
        </w:rPr>
        <w:t>، و لصحيحة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مثل ما على البقر</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كل ثلاثين تبيع، و تجزي التبيعة أيضا للإجماع المحكي </w:t>
      </w:r>
      <w:r>
        <w:rPr>
          <w:rStyle w:val="FootnoteAnchor"/>
          <w:rtl w:val="true"/>
        </w:rPr>
        <w:footnoteReference w:id="871"/>
      </w:r>
      <w:r>
        <w:rPr>
          <w:rFonts w:ascii="Amiri" w:hAnsi="Amiri" w:eastAsia="Amiri" w:cs="Amiri"/>
          <w:color w:val="111111"/>
          <w:sz w:val="28"/>
          <w:sz w:val="28"/>
          <w:szCs w:val="28"/>
          <w:rtl w:val="true"/>
          <w:lang w:bidi="ar-SA"/>
        </w:rPr>
        <w:t>، بل للأولوية حيث انّ التبيعة 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 أربعين مسنّة، و لا يجزي المسنّ لظاهر النصّ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bookmarkStart w:id="63" w:name="pg19722_766213"/>
    </w:p>
    <w:p>
      <w:pPr>
        <w:pStyle w:val="Heading4"/>
        <w:numPr>
          <w:ilvl w:val="3"/>
          <w:numId w:val="1"/>
        </w:numPr>
        <w:rPr/>
      </w:pPr>
      <w:bookmarkStart w:id="64" w:name="__RefHeading___Toc2136322_2314609296"/>
      <w:bookmarkStart w:id="65" w:name="_Toc23"/>
      <w:bookmarkEnd w:id="63"/>
      <w:bookmarkEnd w:id="64"/>
      <w:r>
        <w:rPr>
          <w:rtl w:val="true"/>
        </w:rPr>
        <w:t xml:space="preserve">مسألة </w:t>
      </w:r>
      <w:r>
        <w:rPr>
          <w:rtl w:val="true"/>
        </w:rPr>
        <w:t>[</w:t>
      </w:r>
      <w:r>
        <w:rPr/>
        <w:t>13</w:t>
      </w:r>
      <w:r>
        <w:rPr>
          <w:rtl w:val="true"/>
        </w:rPr>
        <w:t>]</w:t>
      </w:r>
      <w:bookmarkEnd w:id="65"/>
    </w:p>
    <w:p>
      <w:pPr>
        <w:pStyle w:val="BookText"/>
        <w:rPr/>
      </w:pPr>
      <w:r>
        <w:rPr>
          <w:rFonts w:ascii="Amiri" w:hAnsi="Amiri" w:eastAsia="Amiri" w:cs="Amiri"/>
          <w:color w:val="111111"/>
          <w:sz w:val="28"/>
          <w:sz w:val="28"/>
          <w:szCs w:val="28"/>
          <w:rtl w:val="true"/>
          <w:lang w:bidi="ar-SA"/>
        </w:rPr>
        <w:t>النصب الثلاثة الأولى للغنم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و المائة و العشرون، و المائتان و واحدة، مما لا خلاف فيها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الخلاف في أنّ الثلاثمائة و واحدة نصاب خاصّ فيها أربع شياه، ثم بعدها نصاب عام و هو المائة، و الواحد حينئذ جزء بلا إشكال، أو أنّ الثلاثمائة داخل في النصاب العام </w:t>
      </w:r>
      <w:r>
        <w:rPr>
          <w:rStyle w:val="FootnoteAnchor"/>
          <w:rtl w:val="true"/>
        </w:rPr>
        <w:footnoteReference w:id="874"/>
      </w:r>
      <w:r>
        <w:rPr>
          <w:rFonts w:ascii="Amiri" w:hAnsi="Amiri" w:eastAsia="Amiri" w:cs="Amiri"/>
          <w:color w:val="111111"/>
          <w:sz w:val="28"/>
          <w:sz w:val="28"/>
          <w:szCs w:val="28"/>
          <w:rtl w:val="true"/>
          <w:lang w:bidi="ar-SA"/>
        </w:rPr>
        <w:t>، و هو أنّ في كلّ مائة شاة، ففيها ثلاث بمقتضى النصاب العام لا بالخصوص، و حينئذ ففي دخول الواحدة في النصاب أو كونها شرطا، الخلاف المتقدّم في الإبل؟ قولان مشهوران مرويّان بالسند المعتبر، إلّا أنّ الأوّل أشهر، و روايته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ابن هاشم </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التوجيه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مخالف للعامة، فقد حكي </w:t>
      </w:r>
      <w:r>
        <w:rPr>
          <w:rStyle w:val="FootnoteAnchor"/>
          <w:rtl w:val="true"/>
        </w:rPr>
        <w:footnoteReference w:id="876"/>
      </w:r>
      <w:r>
        <w:rPr>
          <w:rFonts w:ascii="Amiri" w:hAnsi="Amiri" w:eastAsia="Amiri" w:cs="Amiri"/>
          <w:color w:val="111111"/>
          <w:sz w:val="28"/>
          <w:sz w:val="28"/>
          <w:szCs w:val="28"/>
          <w:rtl w:val="true"/>
          <w:lang w:bidi="ar-SA"/>
        </w:rPr>
        <w:t>اتّفاق الجمهور على الثاني، و مع ذلك فهو أحوط</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فرق بين الثلاثمائة و واحدة و بين الأربعمائة في وجوب الأربع في كلّ منهما، و محلّ الأربع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الأربعمائة، فلو تلف منها شي‌ء بعد الحول</w:t>
      </w:r>
    </w:p>
    <w:p>
      <w:pPr>
        <w:pStyle w:val="BookText"/>
        <w:rPr/>
      </w:pPr>
      <w:r>
        <w:rPr>
          <w:rFonts w:ascii="Amiri" w:hAnsi="Amiri" w:eastAsia="Amiri" w:cs="Amiri"/>
          <w:color w:val="111111"/>
          <w:sz w:val="28"/>
          <w:sz w:val="28"/>
          <w:szCs w:val="28"/>
          <w:rtl w:val="true"/>
          <w:lang w:bidi="ar-SA"/>
        </w:rPr>
        <w:t xml:space="preserve">سقط من الأربع شياه ما </w:t>
      </w:r>
      <w:r>
        <w:rPr>
          <w:rStyle w:val="FootnoteAnchor"/>
          <w:rtl w:val="true"/>
        </w:rPr>
        <w:footnoteReference w:id="877"/>
      </w:r>
      <w:r>
        <w:rPr>
          <w:rFonts w:ascii="Amiri" w:hAnsi="Amiri" w:eastAsia="Amiri" w:cs="Amiri"/>
          <w:color w:val="111111"/>
          <w:sz w:val="28"/>
          <w:sz w:val="28"/>
          <w:szCs w:val="28"/>
          <w:rtl w:val="true"/>
          <w:lang w:bidi="ar-SA"/>
        </w:rPr>
        <w:t>يقابله، أمّا لو نقص العدد عن الأربعمائة بواحد أو اثنين فتلف منه شي‌ء بعد الحول لم يسقط ما يقابله؛ لأنّ محلّ الفريضة و هو ثلاثمائة و واحدة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المترتب على كون المحلّ هو الأربعمائة فيتوقّف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الفريضة شائعة في النصاب شياع الكسر في العدد التام، لا شياع الفرد المنتشر في أفراد الكلّي، و إلّا </w:t>
      </w:r>
      <w:r>
        <w:rPr>
          <w:rStyle w:val="FootnoteAnchor"/>
          <w:rtl w:val="true"/>
        </w:rPr>
        <w:footnoteReference w:id="878"/>
      </w:r>
      <w:r>
        <w:rPr>
          <w:rFonts w:ascii="Amiri" w:hAnsi="Amiri" w:eastAsia="Amiri" w:cs="Amiri"/>
          <w:color w:val="111111"/>
          <w:sz w:val="28"/>
          <w:sz w:val="28"/>
          <w:szCs w:val="28"/>
          <w:rtl w:val="true"/>
          <w:lang w:bidi="ar-SA"/>
        </w:rPr>
        <w:t xml:space="preserve">فلا وجه لسقوط شي‌ء من </w:t>
      </w:r>
      <w:r>
        <w:rPr>
          <w:rStyle w:val="FootnoteAnchor"/>
          <w:rtl w:val="true"/>
        </w:rPr>
        <w:footnoteReference w:id="879"/>
      </w:r>
      <w:r>
        <w:rPr>
          <w:rFonts w:ascii="Amiri" w:hAnsi="Amiri" w:eastAsia="Amiri" w:cs="Amiri"/>
          <w:color w:val="111111"/>
          <w:sz w:val="28"/>
          <w:sz w:val="28"/>
          <w:szCs w:val="28"/>
          <w:rtl w:val="true"/>
          <w:lang w:bidi="ar-SA"/>
        </w:rPr>
        <w:t xml:space="preserve">الفريضة بتلف شي‌ء من النصاب، و السرّ واضح، و سيأتي </w:t>
      </w:r>
      <w:r>
        <w:rPr>
          <w:rStyle w:val="FootnoteAnchor"/>
          <w:rtl w:val="true"/>
        </w:rPr>
        <w:footnoteReference w:id="880"/>
      </w:r>
      <w:r>
        <w:rPr>
          <w:rFonts w:ascii="Amiri" w:hAnsi="Amiri" w:eastAsia="Amiri" w:cs="Amiri"/>
          <w:color w:val="111111"/>
          <w:sz w:val="28"/>
          <w:sz w:val="28"/>
          <w:szCs w:val="28"/>
          <w:rtl w:val="true"/>
          <w:lang w:bidi="ar-SA"/>
        </w:rPr>
        <w:t xml:space="preserve">الكلام فيه </w:t>
      </w:r>
      <w:r>
        <w:rPr>
          <w:rStyle w:val="FootnoteAnchor"/>
          <w:rtl w:val="true"/>
        </w:rPr>
        <w:footnoteReference w:id="881"/>
      </w:r>
      <w:r>
        <w:rPr>
          <w:rFonts w:ascii="Amiri" w:hAnsi="Amiri" w:eastAsia="Amiri" w:cs="Amiri"/>
          <w:color w:val="111111"/>
          <w:sz w:val="28"/>
          <w:sz w:val="28"/>
          <w:szCs w:val="28"/>
          <w:rtl w:val="true"/>
          <w:lang w:bidi="ar-SA"/>
        </w:rPr>
        <w:t xml:space="preserve">في تعلّق </w:t>
      </w:r>
      <w:r>
        <w:rPr>
          <w:rStyle w:val="FootnoteAnchor"/>
          <w:rtl w:val="true"/>
        </w:rPr>
        <w:footnoteReference w:id="882"/>
      </w:r>
      <w:r>
        <w:rPr>
          <w:rFonts w:ascii="Amiri" w:hAnsi="Amiri" w:eastAsia="Amiri" w:cs="Amiri"/>
          <w:color w:val="111111"/>
          <w:sz w:val="28"/>
          <w:sz w:val="28"/>
          <w:szCs w:val="28"/>
          <w:rtl w:val="true"/>
          <w:lang w:bidi="ar-SA"/>
        </w:rPr>
        <w:t>الزكاة بالعين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النصاب المتقدّم بعد الوصول إلى المتأخّر ساقطا عن الاعتبار، و إلّا فبعد تلف شي‌ء من الأربعمائة بحيث يبقى الثلاثمائة و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سبب مستقلّ لوجوب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لسقوط شي‌ء من الأربعة، ففي الحقيقة الثلاثمائة و واحدة، مورد للأربعة إلى خمسمائة فإذا </w:t>
      </w:r>
      <w:r>
        <w:rPr>
          <w:rStyle w:val="FootnoteAnchor"/>
          <w:rtl w:val="true"/>
        </w:rPr>
        <w:footnoteReference w:id="883"/>
      </w:r>
      <w:r>
        <w:rPr>
          <w:rFonts w:ascii="Amiri" w:hAnsi="Amiri" w:eastAsia="Amiri" w:cs="Amiri"/>
          <w:color w:val="111111"/>
          <w:sz w:val="28"/>
          <w:sz w:val="28"/>
          <w:szCs w:val="28"/>
          <w:rtl w:val="true"/>
          <w:lang w:bidi="ar-SA"/>
        </w:rPr>
        <w:t>حال الحول فإن أمكنه الإخراج وجب؛ لصحيحة 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بعد السؤال عن جواز تأخيرها عن زمان الحلول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حلّت أخرجها</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بعد السؤال عن حبسها عن وقت حلولها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فأخرجها من مالك لا تخلطها بشي‌ء، ثم أعطها كيف شئت</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الزكاة يجب عليّ في موضع لا يمكنني أن أؤديها؟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اعزلها، فإن اتّجرت بها فأنت لها ضامن و لها الربح، و إن تويت </w:t>
      </w:r>
      <w:r>
        <w:rPr>
          <w:rStyle w:val="FootnoteAnchor"/>
          <w:rtl w:val="true"/>
        </w:rPr>
        <w:footnoteReference w:id="886"/>
      </w:r>
      <w:r>
        <w:rPr>
          <w:rFonts w:ascii="Amiri" w:hAnsi="Amiri" w:eastAsia="Amiri" w:cs="Amiri"/>
          <w:color w:val="111111"/>
          <w:sz w:val="28"/>
          <w:sz w:val="28"/>
          <w:szCs w:val="28"/>
          <w:rtl w:val="true"/>
          <w:lang w:bidi="ar-SA"/>
        </w:rPr>
        <w:t>في حال ما عزلتها من غير أن تشغلها في تجارة فليس عليك، فإن لم تعزلها فاتّجرت بها في جملة مالك، فلها بقسطها من الربح، و لا وضيعة عليها</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المحكيّة عن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لك أن تؤخرها بعد حلّها</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صحيحة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المحكيّة عن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بتأخيرها من رمضان إلى المحرّم</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و في رواية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تأخيرها إلى شهرين</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حملها على صورة العذر، أو على تأخير دفع المعزول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يخرجه اختيارا ضمن؛ فعن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تلف المال بعد الحول و إمكان الأداء، وجبت الزكاة عند علمائنا أجمع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bookmarkStart w:id="66" w:name="pg19722_766216"/>
    </w:p>
    <w:p>
      <w:pPr>
        <w:pStyle w:val="Heading4"/>
        <w:numPr>
          <w:ilvl w:val="3"/>
          <w:numId w:val="1"/>
        </w:numPr>
        <w:rPr/>
      </w:pPr>
      <w:bookmarkStart w:id="67" w:name="__RefHeading___Toc2136324_2314609296"/>
      <w:bookmarkStart w:id="68" w:name="_Toc24"/>
      <w:bookmarkEnd w:id="66"/>
      <w:bookmarkEnd w:id="67"/>
      <w:r>
        <w:rPr>
          <w:rtl w:val="true"/>
        </w:rPr>
        <w:t xml:space="preserve">مسألة </w:t>
      </w:r>
      <w:r>
        <w:rPr>
          <w:rtl w:val="true"/>
        </w:rPr>
        <w:t>[</w:t>
      </w:r>
      <w:r>
        <w:rPr/>
        <w:t>14</w:t>
      </w:r>
      <w:r>
        <w:rPr>
          <w:rtl w:val="true"/>
        </w:rPr>
        <w:t>]</w:t>
      </w:r>
      <w:bookmarkEnd w:id="68"/>
    </w:p>
    <w:p>
      <w:pPr>
        <w:pStyle w:val="BookText"/>
        <w:rPr/>
      </w:pPr>
      <w:r>
        <w:rPr>
          <w:rFonts w:ascii="Amiri" w:hAnsi="Amiri" w:eastAsia="Amiri" w:cs="Amiri"/>
          <w:color w:val="111111"/>
          <w:sz w:val="28"/>
          <w:sz w:val="28"/>
          <w:szCs w:val="28"/>
          <w:rtl w:val="true"/>
          <w:lang w:bidi="ar-SA"/>
        </w:rPr>
        <w:t>لا خلاف بين الخاصة في اعتبار السوم في وجوب الزكاة 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جمهور العامة إلّا مالكا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المستفيضة </w:t>
      </w:r>
      <w:r>
        <w:rPr>
          <w:rStyle w:val="FootnoteAnchor"/>
          <w:rtl w:val="true"/>
        </w:rPr>
        <w:footnoteReference w:id="893"/>
      </w:r>
      <w:r>
        <w:rPr>
          <w:rFonts w:ascii="Amiri" w:hAnsi="Amiri" w:eastAsia="Amiri" w:cs="Amiri"/>
          <w:color w:val="111111"/>
          <w:sz w:val="28"/>
          <w:sz w:val="28"/>
          <w:szCs w:val="28"/>
          <w:rtl w:val="true"/>
          <w:lang w:bidi="ar-SA"/>
        </w:rPr>
        <w:t>،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 يعلف شي‌ء، إنّما الصدقة على السائمة المرسلة في مرجها عامها الذي يقتنيها فيه</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و صحيحة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العوامل من الإبل و البقر شي‌ء، إنّما الصدقة على السائمة الراعية</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يعتبر حول السخال من </w:t>
      </w:r>
      <w:r>
        <w:rPr>
          <w:rStyle w:val="FootnoteAnchor"/>
          <w:rtl w:val="true"/>
        </w:rPr>
        <w:footnoteReference w:id="896"/>
      </w:r>
      <w:r>
        <w:rPr>
          <w:rFonts w:ascii="Amiri" w:hAnsi="Amiri" w:eastAsia="Amiri" w:cs="Amiri"/>
          <w:color w:val="111111"/>
          <w:sz w:val="28"/>
          <w:sz w:val="28"/>
          <w:szCs w:val="28"/>
          <w:rtl w:val="true"/>
          <w:lang w:bidi="ar-SA"/>
        </w:rPr>
        <w:t xml:space="preserve">حين النتاج كما عن الشيخ </w:t>
      </w:r>
      <w:r>
        <w:rPr>
          <w:rStyle w:val="FootnoteAnchor"/>
          <w:rtl w:val="true"/>
        </w:rPr>
        <w:footnoteReference w:id="897"/>
      </w:r>
      <w:r>
        <w:rPr>
          <w:rFonts w:ascii="Amiri" w:hAnsi="Amiri" w:eastAsia="Amiri" w:cs="Amiri"/>
          <w:color w:val="111111"/>
          <w:sz w:val="28"/>
          <w:sz w:val="28"/>
          <w:szCs w:val="28"/>
          <w:rtl w:val="true"/>
          <w:lang w:bidi="ar-SA"/>
        </w:rPr>
        <w:t xml:space="preserve">، و الإسكافي </w:t>
      </w:r>
      <w:r>
        <w:rPr>
          <w:rStyle w:val="FootnoteAnchor"/>
          <w:rtl w:val="true"/>
        </w:rPr>
        <w:footnoteReference w:id="898"/>
      </w:r>
      <w:r>
        <w:rPr>
          <w:rFonts w:ascii="Amiri" w:hAnsi="Amiri" w:eastAsia="Amiri" w:cs="Amiri"/>
          <w:color w:val="111111"/>
          <w:sz w:val="28"/>
          <w:sz w:val="28"/>
          <w:szCs w:val="28"/>
          <w:rtl w:val="true"/>
          <w:lang w:bidi="ar-SA"/>
        </w:rPr>
        <w:t>، و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عبارته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فروع</w:t>
      </w:r>
    </w:p>
    <w:p>
      <w:pPr>
        <w:pStyle w:val="BookText"/>
        <w:rPr/>
      </w:pPr>
      <w:r>
        <w:rPr>
          <w:rFonts w:ascii="Amiri" w:hAnsi="Amiri" w:eastAsia="Amiri" w:cs="Amiri"/>
          <w:color w:val="111111"/>
          <w:sz w:val="28"/>
          <w:sz w:val="28"/>
          <w:szCs w:val="28"/>
          <w:rtl w:val="true"/>
          <w:lang w:bidi="ar-SA"/>
        </w:rPr>
        <w:t xml:space="preserve">مسألة تعلّق الزكاة بالعين </w:t>
      </w:r>
      <w:r>
        <w:rPr>
          <w:rStyle w:val="FootnoteAnchor"/>
          <w:rtl w:val="true"/>
        </w:rPr>
        <w:footnoteReference w:id="899"/>
      </w:r>
      <w:r>
        <w:rPr>
          <w:rFonts w:ascii="Amiri" w:hAnsi="Amiri" w:eastAsia="Amiri" w:cs="Amiri"/>
          <w:color w:val="111111"/>
          <w:sz w:val="28"/>
          <w:sz w:val="28"/>
          <w:szCs w:val="28"/>
          <w:rtl w:val="true"/>
          <w:lang w:bidi="ar-SA"/>
        </w:rPr>
        <w:t xml:space="preserve">، بل في المختلف </w:t>
      </w:r>
      <w:r>
        <w:rPr>
          <w:rStyle w:val="FootnoteAnchor"/>
          <w:rtl w:val="true"/>
        </w:rPr>
        <w:footnoteReference w:id="900"/>
      </w:r>
      <w:r>
        <w:rPr>
          <w:rFonts w:ascii="Amiri" w:hAnsi="Amiri" w:eastAsia="Amiri" w:cs="Amiri"/>
          <w:color w:val="111111"/>
          <w:sz w:val="28"/>
          <w:sz w:val="28"/>
          <w:szCs w:val="28"/>
          <w:rtl w:val="true"/>
          <w:lang w:bidi="ar-SA"/>
        </w:rPr>
        <w:t>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w:t>
      </w:r>
      <w:r>
        <w:rPr>
          <w:rStyle w:val="FootnoteAnchor"/>
          <w:rtl w:val="true"/>
        </w:rPr>
        <w:footnoteReference w:id="901"/>
      </w:r>
      <w:r>
        <w:rPr>
          <w:rFonts w:ascii="Amiri" w:hAnsi="Amiri" w:eastAsia="Amiri" w:cs="Amiri"/>
          <w:color w:val="111111"/>
          <w:sz w:val="28"/>
          <w:sz w:val="28"/>
          <w:szCs w:val="28"/>
          <w:rtl w:val="true"/>
          <w:lang w:bidi="ar-SA"/>
        </w:rPr>
        <w:t xml:space="preserve">؟، أم من حين الاستغناء بالرعي عن اللبن، كما في المعتبر </w:t>
      </w:r>
      <w:r>
        <w:rPr>
          <w:rStyle w:val="FootnoteAnchor"/>
          <w:rtl w:val="true"/>
        </w:rPr>
        <w:footnoteReference w:id="902"/>
      </w:r>
      <w:r>
        <w:rPr>
          <w:rFonts w:ascii="IRNazanin" w:hAnsi="IRNazanin" w:eastAsia="IRNazanin"/>
          <w:color w:val="111111"/>
          <w:sz w:val="28"/>
          <w:sz w:val="28"/>
          <w:szCs w:val="28"/>
          <w:rtl w:val="true"/>
          <w:lang w:bidi="fa-IR"/>
        </w:rPr>
        <w:t xml:space="preserve">، و المختلف </w:t>
      </w:r>
      <w:r>
        <w:rPr>
          <w:rStyle w:val="FootnoteAnchor"/>
          <w:rtl w:val="true"/>
        </w:rPr>
        <w:footnoteReference w:id="903"/>
      </w:r>
      <w:r>
        <w:rPr>
          <w:rFonts w:ascii="Amiri" w:hAnsi="Amiri" w:eastAsia="Amiri" w:cs="Amiri"/>
          <w:color w:val="111111"/>
          <w:sz w:val="28"/>
          <w:sz w:val="28"/>
          <w:szCs w:val="28"/>
          <w:rtl w:val="true"/>
          <w:lang w:bidi="ar-SA"/>
        </w:rPr>
        <w:t xml:space="preserve">، و اللمعة </w:t>
      </w:r>
      <w:r>
        <w:rPr>
          <w:rStyle w:val="FootnoteAnchor"/>
          <w:rtl w:val="true"/>
        </w:rPr>
        <w:footnoteReference w:id="904"/>
      </w:r>
      <w:r>
        <w:rPr>
          <w:rFonts w:ascii="IRNazanin" w:hAnsi="IRNazanin" w:eastAsia="IRNazanin"/>
          <w:color w:val="111111"/>
          <w:sz w:val="28"/>
          <w:sz w:val="28"/>
          <w:szCs w:val="28"/>
          <w:rtl w:val="true"/>
          <w:lang w:bidi="fa-IR"/>
        </w:rPr>
        <w:t xml:space="preserve">، و بعض آخر </w:t>
      </w:r>
      <w:r>
        <w:rPr>
          <w:rStyle w:val="FootnoteAnchor"/>
          <w:rtl w:val="true"/>
        </w:rPr>
        <w:footnoteReference w:id="905"/>
      </w:r>
      <w:r>
        <w:rPr>
          <w:rFonts w:ascii="Amiri" w:hAnsi="Amiri" w:eastAsia="Amiri" w:cs="Amiri"/>
          <w:color w:val="111111"/>
          <w:sz w:val="28"/>
          <w:sz w:val="28"/>
          <w:szCs w:val="28"/>
          <w:rtl w:val="true"/>
          <w:lang w:bidi="ar-SA"/>
        </w:rPr>
        <w:t xml:space="preserve">؟ أم يفرّق بين المرتضع من لبن السائمة، و المرتضع من المعلوفة فيلحق كلّا حكمه باللبن كما عليه في البيان </w:t>
      </w:r>
      <w:r>
        <w:rPr>
          <w:rStyle w:val="FootnoteAnchor"/>
          <w:rtl w:val="true"/>
        </w:rPr>
        <w:footnoteReference w:id="906"/>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للعمومات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 صغيرها و كبيرها</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يؤخذ من صغار الإبل شيئا حتّى يحول عليه الحول</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تخصيص هذه الأخبار بما ورد من اختصاص الزكاة بالسائمة، مع تسليم كون النسبة بين أدلّة خصوص الصغار عموما مطلقا، مدفوعة بأنّ الظاهر من أدلّة اعتبار السوم هو اختصاصه بما شأنه أن يعلف و يسوم، فقوله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الصدقة على السائمة الراعية</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حصر إضافي بالنسبة إلى المعلوفة التي من شأنها أن تسوم، أو في مقابلة ما أخذ للعمل كالفرس للركوب و الإبل للحمل،</w:t>
      </w:r>
    </w:p>
    <w:p>
      <w:pPr>
        <w:pStyle w:val="BookText"/>
        <w:rPr/>
      </w:pPr>
      <w:r>
        <w:rPr>
          <w:rFonts w:ascii="Amiri" w:hAnsi="Amiri" w:eastAsia="Amiri" w:cs="Amiri"/>
          <w:color w:val="111111"/>
          <w:sz w:val="28"/>
          <w:sz w:val="28"/>
          <w:szCs w:val="28"/>
          <w:rtl w:val="true"/>
          <w:lang w:bidi="ar-SA"/>
        </w:rPr>
        <w:t xml:space="preserve">و الصغار في أوّل النتاج ليس من شأنها السوم و لا الأعلاف و لا العمل، كما يفهم ذلك من أخبار اعتبار السوم بعد التأمّل، و قد يعطي لما ذكرنا المحقق القمي في الغنائم، إلّا أنه جعل التبادر موجبا لإجمال </w:t>
      </w:r>
      <w:r>
        <w:rPr>
          <w:rStyle w:val="FootnoteAnchor"/>
          <w:rtl w:val="true"/>
        </w:rPr>
        <w:footnoteReference w:id="911"/>
      </w:r>
      <w:r>
        <w:rPr>
          <w:rFonts w:ascii="Amiri" w:hAnsi="Amiri" w:eastAsia="Amiri" w:cs="Amiri"/>
          <w:color w:val="111111"/>
          <w:sz w:val="28"/>
          <w:sz w:val="28"/>
          <w:szCs w:val="28"/>
          <w:rtl w:val="true"/>
          <w:lang w:bidi="ar-SA"/>
        </w:rPr>
        <w:t>المطلق بالنسبة إلى غير المتبادر،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التمسك فيه بالعمومات، فيرجع إلى أصالة البراءة </w:t>
      </w:r>
      <w:r>
        <w:rPr>
          <w:rStyle w:val="FootnoteAnchor"/>
          <w:rtl w:val="true"/>
        </w:rPr>
        <w:footnoteReference w:id="912"/>
      </w:r>
      <w:r>
        <w:rPr>
          <w:rFonts w:ascii="Amiri" w:hAnsi="Amiri" w:eastAsia="Amiri" w:cs="Amiri"/>
          <w:color w:val="111111"/>
          <w:sz w:val="28"/>
          <w:sz w:val="28"/>
          <w:szCs w:val="28"/>
          <w:rtl w:val="true"/>
          <w:lang w:bidi="ar-SA"/>
        </w:rPr>
        <w:t>و فيه نظر من وجوه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حسنة زرارة بابن هاشم، بل في المسالك </w:t>
      </w:r>
      <w:r>
        <w:rPr>
          <w:rStyle w:val="FootnoteAnchor"/>
          <w:rtl w:val="true"/>
        </w:rPr>
        <w:footnoteReference w:id="913"/>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صغار الإبل شي‌ء حتّى يحول عليها الحول من يوم تنتج</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 و نحوها رواية معتبرة أخرى لزرارة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ذكرنا في معنى أدلّة اعتبار السوم يظهر أنّ السوم معتبر </w:t>
      </w:r>
      <w:r>
        <w:rPr>
          <w:rStyle w:val="FootnoteAnchor"/>
          <w:rtl w:val="true"/>
        </w:rPr>
        <w:footnoteReference w:id="916"/>
      </w:r>
      <w:r>
        <w:rPr>
          <w:rFonts w:ascii="Amiri" w:hAnsi="Amiri" w:eastAsia="Amiri" w:cs="Amiri"/>
          <w:color w:val="111111"/>
          <w:sz w:val="28"/>
          <w:sz w:val="28"/>
          <w:szCs w:val="28"/>
          <w:rtl w:val="true"/>
          <w:lang w:bidi="ar-SA"/>
        </w:rPr>
        <w:t>في السخال عند الاستغناء عن اللبن؛ لأنها حينئذ من شأنها السوم و العلف، و ليس عموم أدلّة السوم مخصّصة بما ورد في السخال من اعتبار حولها من يوم تنتج حتّى لا يعتبر في السخال هذا الشرط، بل السوم معتبر في كلّ ما من شأنه الاتّصاف به و بمقابله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اختلفوا فيما يتحقّق به السوم و ما ينقطع به، فعن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يتحقّق بمجرّد كون السّوم أغلب عليه من العلف </w:t>
      </w:r>
      <w:r>
        <w:rPr>
          <w:rStyle w:val="FootnoteAnchor"/>
          <w:rtl w:val="true"/>
        </w:rPr>
        <w:footnoteReference w:id="917"/>
      </w:r>
      <w:r>
        <w:rPr>
          <w:rFonts w:ascii="IRNazanin" w:hAnsi="IRNazanin" w:eastAsia="IRNazanin"/>
          <w:color w:val="111111"/>
          <w:sz w:val="28"/>
          <w:sz w:val="28"/>
          <w:szCs w:val="28"/>
          <w:rtl w:val="true"/>
          <w:lang w:bidi="fa-IR"/>
        </w:rPr>
        <w:t xml:space="preserve">، و ظاهر المحقّق اعتبار استمراره طول الحول </w:t>
      </w:r>
      <w:r>
        <w:rPr>
          <w:rStyle w:val="FootnoteAnchor"/>
          <w:rtl w:val="true"/>
        </w:rPr>
        <w:footnoteReference w:id="918"/>
      </w:r>
      <w:r>
        <w:rPr>
          <w:rFonts w:ascii="Amiri" w:hAnsi="Amiri" w:eastAsia="Amiri" w:cs="Amiri"/>
          <w:color w:val="111111"/>
          <w:sz w:val="28"/>
          <w:sz w:val="28"/>
          <w:szCs w:val="28"/>
          <w:rtl w:val="true"/>
          <w:lang w:bidi="ar-SA"/>
        </w:rPr>
        <w:t xml:space="preserve">، نعم لا يقدح مثل اللحظة، و عن العلّامة في التّذكرة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 الشهيد و المحقّق الثانيين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إحالة ذلك إلى العرف </w:t>
      </w:r>
      <w:r>
        <w:rPr>
          <w:rStyle w:val="FootnoteAnchor"/>
          <w:rtl w:val="true"/>
        </w:rPr>
        <w:footnoteReference w:id="920"/>
      </w:r>
      <w:r>
        <w:rPr>
          <w:rFonts w:ascii="Amiri" w:hAnsi="Amiri" w:eastAsia="Amiri" w:cs="Amiri"/>
          <w:color w:val="111111"/>
          <w:sz w:val="28"/>
          <w:sz w:val="28"/>
          <w:szCs w:val="28"/>
          <w:rtl w:val="true"/>
          <w:lang w:bidi="ar-SA"/>
        </w:rPr>
        <w:t>، و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كونه المشهور بين المتأخرين </w:t>
      </w:r>
      <w:r>
        <w:rPr>
          <w:rStyle w:val="FootnoteAnchor"/>
          <w:rtl w:val="true"/>
        </w:rPr>
        <w:footnoteReference w:id="921"/>
      </w:r>
      <w:r>
        <w:rPr>
          <w:rFonts w:ascii="IRNazanin" w:hAnsi="IRNazanin" w:eastAsia="IRNazanin"/>
          <w:color w:val="111111"/>
          <w:sz w:val="28"/>
          <w:sz w:val="28"/>
          <w:szCs w:val="28"/>
          <w:rtl w:val="true"/>
          <w:lang w:bidi="fa-IR"/>
        </w:rPr>
        <w:t>و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مرتّب </w:t>
      </w:r>
      <w:r>
        <w:rPr>
          <w:rStyle w:val="FootnoteAnchor"/>
          <w:rtl w:val="true"/>
        </w:rPr>
        <w:footnoteReference w:id="922"/>
      </w:r>
      <w:r>
        <w:rPr>
          <w:rFonts w:ascii="Amiri" w:hAnsi="Amiri" w:eastAsia="Amiri" w:cs="Amiri"/>
          <w:color w:val="111111"/>
          <w:sz w:val="28"/>
          <w:sz w:val="28"/>
          <w:szCs w:val="28"/>
          <w:rtl w:val="true"/>
          <w:lang w:bidi="ar-SA"/>
        </w:rPr>
        <w:t xml:space="preserve">على السائمة لا السوم، و بعد ملاحظة اعتبار حلول الحول على الملك </w:t>
      </w:r>
      <w:r>
        <w:rPr>
          <w:rStyle w:val="FootnoteAnchor"/>
          <w:rtl w:val="true"/>
        </w:rPr>
        <w:footnoteReference w:id="923"/>
      </w:r>
      <w:r>
        <w:rPr>
          <w:rFonts w:ascii="Amiri" w:hAnsi="Amiri" w:eastAsia="Amiri" w:cs="Amiri"/>
          <w:color w:val="111111"/>
          <w:sz w:val="28"/>
          <w:sz w:val="28"/>
          <w:szCs w:val="28"/>
          <w:rtl w:val="true"/>
          <w:lang w:bidi="ar-SA"/>
        </w:rPr>
        <w:t xml:space="preserve">الخاصّ الواجد للشروط المقررة للمال الزكوي، يعتبر أن يكون في تمام الحول سائمة، لا بمعنى أن يتلبّس بالسّوم في طول الحول كما يعتبر تلبّسه بالمملوكيّة طول الحول، كيف و هو ينام و يشرب و يسكن و غير ذلك، بل يعتبر أن يكون من المصاديق الحقيقية للسائمة التي هي </w:t>
      </w:r>
      <w:r>
        <w:rPr>
          <w:rStyle w:val="FootnoteAnchor"/>
          <w:rtl w:val="true"/>
        </w:rPr>
        <w:footnoteReference w:id="924"/>
      </w:r>
      <w:r>
        <w:rPr>
          <w:rFonts w:ascii="Amiri" w:hAnsi="Amiri" w:eastAsia="Amiri" w:cs="Amiri"/>
          <w:color w:val="111111"/>
          <w:sz w:val="28"/>
          <w:sz w:val="28"/>
          <w:szCs w:val="28"/>
          <w:rtl w:val="true"/>
          <w:lang w:bidi="ar-SA"/>
        </w:rPr>
        <w:t xml:space="preserve">من المشتقّات التي لا يشترط في صدقها قيام المبدإ بها بالفعل، فإنّ الغنم إذا سامت إلى حدّ يصدق عليها عرفا انّها سائمة فكما يصدق عليها في حال السّوم </w:t>
      </w:r>
      <w:r>
        <w:rPr>
          <w:rStyle w:val="FootnoteAnchor"/>
          <w:rtl w:val="true"/>
        </w:rPr>
        <w:footnoteReference w:id="925"/>
      </w:r>
      <w:r>
        <w:rPr>
          <w:rFonts w:ascii="Amiri" w:hAnsi="Amiri" w:eastAsia="Amiri" w:cs="Amiri"/>
          <w:color w:val="111111"/>
          <w:sz w:val="28"/>
          <w:sz w:val="28"/>
          <w:szCs w:val="28"/>
          <w:rtl w:val="true"/>
          <w:lang w:bidi="ar-SA"/>
        </w:rPr>
        <w:t xml:space="preserve">انّها سائمة، فكذلك حال </w:t>
      </w:r>
      <w:r>
        <w:rPr>
          <w:rStyle w:val="FootnoteAnchor"/>
          <w:rtl w:val="true"/>
        </w:rPr>
        <w:footnoteReference w:id="926"/>
      </w:r>
      <w:r>
        <w:rPr>
          <w:rFonts w:ascii="Amiri" w:hAnsi="Amiri" w:eastAsia="Amiri" w:cs="Amiri"/>
          <w:color w:val="111111"/>
          <w:sz w:val="28"/>
          <w:sz w:val="28"/>
          <w:szCs w:val="28"/>
          <w:rtl w:val="true"/>
          <w:lang w:bidi="ar-SA"/>
        </w:rPr>
        <w:t xml:space="preserve">اشتغالها بالاعتلاف يصدق عليها أنّها سائمة إلّا </w:t>
      </w:r>
      <w:r>
        <w:rPr>
          <w:rStyle w:val="FootnoteAnchor"/>
          <w:rtl w:val="true"/>
        </w:rPr>
        <w:footnoteReference w:id="927"/>
      </w:r>
      <w:r>
        <w:rPr>
          <w:rFonts w:ascii="Amiri" w:hAnsi="Amiri" w:eastAsia="Amiri" w:cs="Amiri"/>
          <w:color w:val="111111"/>
          <w:sz w:val="28"/>
          <w:sz w:val="28"/>
          <w:szCs w:val="28"/>
          <w:rtl w:val="true"/>
          <w:lang w:bidi="ar-SA"/>
        </w:rPr>
        <w:t>أن يبلغ الاعتلاف حدّا يصدق أنّها غير سائمة، و الحدّ الموجب لصدق السائمة و المعلوفة موكول إلى العرف</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تحقّق الأوّل بمجرد بناء المالك على أن لا </w:t>
      </w:r>
      <w:r>
        <w:rPr>
          <w:rStyle w:val="FootnoteAnchor"/>
          <w:rtl w:val="true"/>
        </w:rPr>
        <w:footnoteReference w:id="928"/>
      </w:r>
      <w:r>
        <w:rPr>
          <w:rFonts w:ascii="Amiri" w:hAnsi="Amiri" w:eastAsia="Amiri" w:cs="Amiri"/>
          <w:color w:val="111111"/>
          <w:sz w:val="28"/>
          <w:sz w:val="28"/>
          <w:szCs w:val="28"/>
          <w:rtl w:val="true"/>
          <w:lang w:bidi="ar-SA"/>
        </w:rPr>
        <w:t xml:space="preserve">يعلفها ما تحتاج إليه، و يكتفى عن ذلك برعيها في المرعى، و يمضي على ذلك مدّة، فإذا </w:t>
      </w:r>
      <w:r>
        <w:rPr>
          <w:rStyle w:val="FootnoteAnchor"/>
          <w:rtl w:val="true"/>
        </w:rPr>
        <w:footnoteReference w:id="929"/>
      </w:r>
      <w:r>
        <w:rPr>
          <w:rFonts w:ascii="Amiri" w:hAnsi="Amiri" w:eastAsia="Amiri" w:cs="Amiri"/>
          <w:color w:val="111111"/>
          <w:sz w:val="28"/>
          <w:sz w:val="28"/>
          <w:szCs w:val="28"/>
          <w:rtl w:val="true"/>
          <w:lang w:bidi="ar-SA"/>
        </w:rPr>
        <w:t>اتّفق بعد ذلك يوم لا يرعاها لمانع من الرعي فاعلفها،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سائمة اعلفت في</w:t>
      </w:r>
    </w:p>
    <w:p>
      <w:pPr>
        <w:pStyle w:val="BookText"/>
        <w:rPr/>
      </w:pPr>
      <w:r>
        <w:rPr>
          <w:rFonts w:ascii="Amiri" w:hAnsi="Amiri" w:eastAsia="Amiri" w:cs="Amiri"/>
          <w:color w:val="111111"/>
          <w:sz w:val="28"/>
          <w:sz w:val="28"/>
          <w:szCs w:val="28"/>
          <w:rtl w:val="true"/>
          <w:lang w:bidi="ar-SA"/>
        </w:rPr>
        <w:t xml:space="preserve">هذا اليوم، و لا يسلب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Style w:val="FootnoteAnchor"/>
          <w:rtl w:val="true"/>
        </w:rPr>
        <w:footnoteReference w:id="930"/>
      </w:r>
      <w:r>
        <w:rPr>
          <w:rFonts w:ascii="IRNazanin" w:hAnsi="IRNazanin" w:eastAsia="IRNazanin"/>
          <w:color w:val="111111"/>
          <w:sz w:val="28"/>
          <w:sz w:val="28"/>
          <w:szCs w:val="28"/>
          <w:rtl w:val="true"/>
          <w:lang w:bidi="fa-IR"/>
        </w:rPr>
        <w:t xml:space="preserve">صدق هذا </w:t>
      </w:r>
      <w:r>
        <w:rPr>
          <w:rStyle w:val="FootnoteAnchor"/>
          <w:rtl w:val="true"/>
        </w:rPr>
        <w:footnoteReference w:id="931"/>
      </w:r>
      <w:r>
        <w:rPr>
          <w:rFonts w:ascii="Amiri" w:hAnsi="Amiri" w:eastAsia="Amiri" w:cs="Amiri"/>
          <w:color w:val="111111"/>
          <w:sz w:val="28"/>
          <w:sz w:val="28"/>
          <w:szCs w:val="28"/>
          <w:rtl w:val="true"/>
          <w:lang w:bidi="ar-SA"/>
        </w:rPr>
        <w:t>المشتقّ بمجرّد يوم أو يومين بل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ذلك إطلاق الروايات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الصدقة على السائمة المرسلة في مرجها عامها الذي يقتنيها فيه</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فإنّ إرسالها في مرجها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اقتنائها لا ينفكّ غالبا عن </w:t>
      </w:r>
      <w:r>
        <w:rPr>
          <w:rStyle w:val="FootnoteAnchor"/>
          <w:rtl w:val="true"/>
        </w:rPr>
        <w:footnoteReference w:id="933"/>
      </w:r>
      <w:r>
        <w:rPr>
          <w:rFonts w:ascii="Amiri" w:hAnsi="Amiri" w:eastAsia="Amiri" w:cs="Amiri"/>
          <w:color w:val="111111"/>
          <w:sz w:val="28"/>
          <w:sz w:val="28"/>
          <w:szCs w:val="28"/>
          <w:rtl w:val="true"/>
          <w:lang w:bidi="ar-SA"/>
        </w:rPr>
        <w:t>أن يتفق مانع في بعض الأيّام عن إرسالها إلى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ما ذكرنا هو اعتبار استمرار </w:t>
      </w:r>
      <w:r>
        <w:rPr>
          <w:rStyle w:val="FootnoteAnchor"/>
          <w:rtl w:val="true"/>
        </w:rPr>
        <w:footnoteReference w:id="934"/>
      </w:r>
      <w:r>
        <w:rPr>
          <w:rFonts w:ascii="Amiri" w:hAnsi="Amiri" w:eastAsia="Amiri" w:cs="Amiri"/>
          <w:color w:val="111111"/>
          <w:sz w:val="28"/>
          <w:sz w:val="28"/>
          <w:szCs w:val="28"/>
          <w:rtl w:val="true"/>
          <w:lang w:bidi="ar-SA"/>
        </w:rPr>
        <w:t>صدق السائمة طول الحول، لا استمرار السّوم، و أمّا الملك فحيث انّ عنوانه لا يتحقّق إلّا بالتلبس فلهذا يقدح انقطاعه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أنّ المعتبر هو أن يصدق عليها أنّها سائمة في الحول، بأن يكون الشرط هو تحقّق السّوم المضاف إلى الحول لا أن يتحقق السوم المطلق، بأن يصدق السائمة في كلّ جزء جزء من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الحول ليس من قيود السّوم بأن يقيّد السّوم مقيدا بالحول ثمّ يعتبر في المال، و ليس كذلك، بل صدق السائمة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تحقّق السّوم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في المال، ثمّ يعتبر حلول الحول على المال المقيّد بهذا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935"/>
      </w:r>
      <w:r>
        <w:rPr>
          <w:rFonts w:ascii="Amiri" w:hAnsi="Amiri" w:eastAsia="Amiri" w:cs="Amiri"/>
          <w:color w:val="111111"/>
          <w:sz w:val="28"/>
          <w:sz w:val="28"/>
          <w:szCs w:val="28"/>
          <w:rtl w:val="true"/>
          <w:lang w:bidi="ar-SA"/>
        </w:rPr>
        <w:t>يحتمل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لكون الحول قيدا للسّوم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الصدقة على السائمة المرسلة في مرجها عامها الذي يقتنيها فيه</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عرفت أنّ المعيار أن يصدق عليه تمام الحول أنّها سائمة، يظهر أنّه</w:t>
      </w:r>
    </w:p>
    <w:p>
      <w:pPr>
        <w:pStyle w:val="BookText"/>
        <w:rPr/>
      </w:pPr>
      <w:r>
        <w:rPr>
          <w:rFonts w:ascii="Amiri" w:hAnsi="Amiri" w:eastAsia="Amiri" w:cs="Amiri"/>
          <w:color w:val="111111"/>
          <w:sz w:val="28"/>
          <w:sz w:val="28"/>
          <w:szCs w:val="28"/>
          <w:rtl w:val="true"/>
          <w:lang w:bidi="ar-SA"/>
        </w:rPr>
        <w:t>لا يقدح في ذلك اعتلافها بنفسها من مال المالك أو غيره مدّة لو أعلفها المالك سلب عنها عنوان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اشترى لها المالك مرعى أو كان له قصيل </w:t>
      </w:r>
      <w:r>
        <w:rPr>
          <w:rStyle w:val="FootnoteAnchor"/>
          <w:rtl w:val="true"/>
        </w:rPr>
        <w:footnoteReference w:id="937"/>
      </w:r>
      <w:r>
        <w:rPr>
          <w:rFonts w:ascii="Amiri" w:hAnsi="Amiri" w:eastAsia="Amiri" w:cs="Amiri"/>
          <w:color w:val="111111"/>
          <w:sz w:val="28"/>
          <w:sz w:val="28"/>
          <w:szCs w:val="28"/>
          <w:rtl w:val="true"/>
          <w:lang w:bidi="ar-SA"/>
        </w:rPr>
        <w:t xml:space="preserve">، أو ما يبقى من أصول السنابل بعد الحصاد فأعلفها إيّاها مدّة يسلب الاسم، و كذلك لو قصل </w:t>
      </w:r>
      <w:r>
        <w:rPr>
          <w:rStyle w:val="FootnoteAnchor"/>
          <w:rtl w:val="true"/>
        </w:rPr>
        <w:footnoteReference w:id="938"/>
      </w:r>
      <w:r>
        <w:rPr>
          <w:rFonts w:ascii="Amiri" w:hAnsi="Amiri" w:eastAsia="Amiri" w:cs="Amiri"/>
          <w:color w:val="111111"/>
          <w:sz w:val="28"/>
          <w:sz w:val="28"/>
          <w:szCs w:val="28"/>
          <w:rtl w:val="true"/>
          <w:lang w:bidi="ar-SA"/>
        </w:rPr>
        <w:t>الحشيش المباح فاعلفها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بعض المعاصرين عن بعض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اشترى مرعى فأرسلها فيه فهي سائمة، لصدق الرعي لغة و عرفا، بل لا فرق بينه و بين الاستيجار </w:t>
      </w:r>
      <w:r>
        <w:rPr>
          <w:rStyle w:val="FootnoteAnchor"/>
          <w:rtl w:val="true"/>
        </w:rPr>
        <w:footnoteReference w:id="939"/>
      </w:r>
      <w:r>
        <w:rPr>
          <w:rFonts w:ascii="Amiri" w:hAnsi="Amiri" w:eastAsia="Amiri" w:cs="Amiri"/>
          <w:color w:val="111111"/>
          <w:sz w:val="28"/>
          <w:sz w:val="28"/>
          <w:szCs w:val="28"/>
          <w:rtl w:val="true"/>
          <w:lang w:bidi="ar-SA"/>
        </w:rPr>
        <w:t>، مع أنّ بعض أخبار اعتبار الحول نصّ في عدم جواز التقديم عليه و عدم تعلّق الوجوب أصلا قبل الحول،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عمر بن يزيد بابن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عنده المال أ يزكّيه إذا مضى نصف 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و يحلّ عليه، إنّه ليس لأحد أن يصلّي صلاة إلّا لوقتها، و كذلك الزكاة، و لا يصوم أحد شهر رمضان إلّا في شهره إلّا قضاء، و كذلك كلّ فريضة إنّما تؤدّى إذا حلّت</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صريحة في نفي الوجوب </w:t>
      </w:r>
      <w:r>
        <w:rPr>
          <w:rStyle w:val="FootnoteAnchor"/>
          <w:rtl w:val="true"/>
        </w:rPr>
        <w:footnoteReference w:id="941"/>
      </w:r>
      <w:r>
        <w:rPr>
          <w:rFonts w:ascii="Amiri" w:hAnsi="Amiri" w:eastAsia="Amiri" w:cs="Amiri"/>
          <w:color w:val="111111"/>
          <w:sz w:val="28"/>
          <w:sz w:val="28"/>
          <w:szCs w:val="28"/>
          <w:rtl w:val="true"/>
          <w:lang w:bidi="ar-SA"/>
        </w:rPr>
        <w:t xml:space="preserve">قبل حولان الحول، فلا يجمع بينه و بين الحسنة المتقدمة </w:t>
      </w:r>
      <w:r>
        <w:rPr>
          <w:rStyle w:val="FootnoteAnchor"/>
          <w:rtl w:val="true"/>
        </w:rPr>
        <w:footnoteReference w:id="942"/>
      </w:r>
      <w:r>
        <w:rPr>
          <w:rFonts w:ascii="Amiri" w:hAnsi="Amiri" w:eastAsia="Amiri" w:cs="Amiri"/>
          <w:color w:val="111111"/>
          <w:sz w:val="28"/>
          <w:sz w:val="28"/>
          <w:szCs w:val="28"/>
          <w:rtl w:val="true"/>
          <w:lang w:bidi="ar-SA"/>
        </w:rPr>
        <w:t>بما ذكر، بل يتعيّن بما سيأتي من التصرّف في حولان الحول</w:t>
      </w:r>
      <w:r>
        <w:rPr>
          <w:rFonts w:eastAsia="Amiri" w:cs="Amiri" w:ascii="Amiri" w:hAnsi="Amiri"/>
          <w:color w:val="111111"/>
          <w:sz w:val="28"/>
          <w:szCs w:val="28"/>
          <w:rtl w:val="true"/>
          <w:lang w:bidi="ar-SA"/>
        </w:rPr>
        <w:t>.</w:t>
      </w:r>
      <w:bookmarkStart w:id="69" w:name="pg19722_766222"/>
    </w:p>
    <w:p>
      <w:pPr>
        <w:pStyle w:val="Heading4"/>
        <w:numPr>
          <w:ilvl w:val="3"/>
          <w:numId w:val="1"/>
        </w:numPr>
        <w:rPr/>
      </w:pPr>
      <w:bookmarkStart w:id="70" w:name="__RefHeading___Toc2136326_2314609296"/>
      <w:bookmarkStart w:id="71" w:name="_Toc25"/>
      <w:bookmarkEnd w:id="69"/>
      <w:bookmarkEnd w:id="70"/>
      <w:r>
        <w:rPr>
          <w:rtl w:val="true"/>
        </w:rPr>
        <w:t xml:space="preserve">مسألة </w:t>
      </w:r>
      <w:r>
        <w:rPr>
          <w:rtl w:val="true"/>
        </w:rPr>
        <w:t>[</w:t>
      </w:r>
      <w:r>
        <w:rPr/>
        <w:t>15</w:t>
      </w:r>
      <w:r>
        <w:rPr>
          <w:rtl w:val="true"/>
        </w:rPr>
        <w:t>]</w:t>
      </w:r>
      <w:bookmarkEnd w:id="7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اعتبار الحول في وجوب زكاة النقدين و الأنعام و مال التجارة، و لا خلاف </w:t>
      </w:r>
      <w:r>
        <w:rPr>
          <w:rStyle w:val="FootnoteAnchor"/>
          <w:rtl w:val="true"/>
        </w:rPr>
        <w:footnoteReference w:id="943"/>
      </w:r>
      <w:r>
        <w:rPr>
          <w:rFonts w:ascii="Amiri" w:hAnsi="Amiri" w:eastAsia="Amiri" w:cs="Amiri"/>
          <w:color w:val="111111"/>
          <w:sz w:val="28"/>
          <w:sz w:val="28"/>
          <w:szCs w:val="28"/>
          <w:rtl w:val="true"/>
          <w:lang w:bidi="ar-SA"/>
        </w:rPr>
        <w:t xml:space="preserve">في تحقّق الوجوب بمضيّ أحد عشر شهرا و استهلال الثاني عشر، بل في المعتبر </w:t>
      </w:r>
      <w:r>
        <w:rPr>
          <w:rStyle w:val="FootnoteAnchor"/>
          <w:rtl w:val="true"/>
        </w:rPr>
        <w:footnoteReference w:id="944"/>
      </w:r>
      <w:r>
        <w:rPr>
          <w:rFonts w:ascii="IRNazanin" w:hAnsi="IRNazanin" w:eastAsia="IRNazanin"/>
          <w:color w:val="111111"/>
          <w:sz w:val="28"/>
          <w:sz w:val="28"/>
          <w:szCs w:val="28"/>
          <w:rtl w:val="true"/>
          <w:lang w:bidi="fa-IR"/>
        </w:rPr>
        <w:t xml:space="preserve">و عن المنتهى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و في المسالك </w:t>
      </w:r>
      <w:r>
        <w:rPr>
          <w:rStyle w:val="FootnoteAnchor"/>
          <w:rtl w:val="true"/>
        </w:rPr>
        <w:footnoteReference w:id="946"/>
      </w:r>
      <w:r>
        <w:rPr>
          <w:rFonts w:ascii="Amiri" w:hAnsi="Amiri" w:eastAsia="Amiri" w:cs="Amiri"/>
          <w:color w:val="111111"/>
          <w:sz w:val="28"/>
          <w:sz w:val="28"/>
          <w:szCs w:val="28"/>
          <w:rtl w:val="true"/>
          <w:lang w:bidi="ar-SA"/>
        </w:rPr>
        <w:t xml:space="preserve">و عن التذكرة </w:t>
      </w:r>
      <w:r>
        <w:rPr>
          <w:rStyle w:val="FootnoteAnchor"/>
          <w:rtl w:val="true"/>
        </w:rPr>
        <w:footnoteReference w:id="947"/>
      </w:r>
      <w:r>
        <w:rPr>
          <w:rFonts w:ascii="Amiri" w:hAnsi="Amiri" w:eastAsia="Amiri" w:cs="Amiri"/>
          <w:color w:val="111111"/>
          <w:sz w:val="28"/>
          <w:sz w:val="28"/>
          <w:szCs w:val="28"/>
          <w:rtl w:val="true"/>
          <w:lang w:bidi="ar-SA"/>
        </w:rPr>
        <w:t xml:space="preserve">و الإيضاح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حسنة زرارة بابن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المنع عن هبة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w:t>
      </w:r>
      <w:r>
        <w:rPr>
          <w:rStyle w:val="FootnoteAnchor"/>
          <w:rtl w:val="true"/>
        </w:rPr>
        <w:footnoteReference w:id="949"/>
      </w:r>
      <w:r>
        <w:rPr>
          <w:rFonts w:ascii="Amiri" w:hAnsi="Amiri" w:eastAsia="Amiri" w:cs="Amiri"/>
          <w:color w:val="111111"/>
          <w:sz w:val="28"/>
          <w:sz w:val="28"/>
          <w:szCs w:val="28"/>
          <w:rtl w:val="true"/>
          <w:lang w:bidi="ar-SA"/>
        </w:rPr>
        <w:t xml:space="preserve">الشهر الثاني عشر فقد حال </w:t>
      </w:r>
      <w:r>
        <w:rPr>
          <w:rStyle w:val="FootnoteAnchor"/>
          <w:rtl w:val="true"/>
        </w:rPr>
        <w:footnoteReference w:id="950"/>
      </w:r>
      <w:r>
        <w:rPr>
          <w:rFonts w:ascii="Amiri" w:hAnsi="Amiri" w:eastAsia="Amiri" w:cs="Amiri"/>
          <w:color w:val="111111"/>
          <w:sz w:val="28"/>
          <w:sz w:val="28"/>
          <w:szCs w:val="28"/>
          <w:rtl w:val="true"/>
          <w:lang w:bidi="ar-SA"/>
        </w:rPr>
        <w:t>الحول و وجبت الزكاة</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الاشكال و الخلاف في أنّه هل يستقر الوجوب بدخول الثاني عشر، أو يبقى متزلزلا إلى أن يكمل الثاني عشر؟ فإن بقي المال على الشرائط كشف عن استقرار الوجوب بالأوّل، و إن اختلّت </w:t>
      </w:r>
      <w:r>
        <w:rPr>
          <w:rStyle w:val="FootnoteAnchor"/>
          <w:rtl w:val="true"/>
        </w:rPr>
        <w:footnoteReference w:id="952"/>
      </w:r>
      <w:r>
        <w:rPr>
          <w:rFonts w:ascii="Amiri" w:hAnsi="Amiri" w:eastAsia="Amiri" w:cs="Amiri"/>
          <w:color w:val="111111"/>
          <w:sz w:val="28"/>
          <w:sz w:val="28"/>
          <w:szCs w:val="28"/>
          <w:rtl w:val="true"/>
          <w:lang w:bidi="ar-SA"/>
        </w:rPr>
        <w:t>كلّها أو بعضها كشف عن عدم الوجوب أوّلا؟</w:t>
      </w:r>
    </w:p>
    <w:p>
      <w:pPr>
        <w:pStyle w:val="BookText"/>
        <w:rPr/>
      </w:pPr>
      <w:r>
        <w:rPr>
          <w:rFonts w:ascii="Amiri" w:hAnsi="Amiri" w:eastAsia="Amiri" w:cs="Amiri"/>
          <w:color w:val="111111"/>
          <w:sz w:val="28"/>
          <w:sz w:val="28"/>
          <w:szCs w:val="28"/>
          <w:rtl w:val="true"/>
          <w:lang w:bidi="ar-SA"/>
        </w:rPr>
        <w:t xml:space="preserve">ظاهر الحسنة </w:t>
      </w:r>
      <w:r>
        <w:rPr>
          <w:rStyle w:val="FootnoteAnchor"/>
          <w:rtl w:val="true"/>
        </w:rPr>
        <w:footnoteReference w:id="953"/>
      </w:r>
      <w:r>
        <w:rPr>
          <w:rFonts w:ascii="Amiri" w:hAnsi="Amiri" w:eastAsia="Amiri" w:cs="Amiri"/>
          <w:color w:val="111111"/>
          <w:sz w:val="28"/>
          <w:sz w:val="28"/>
          <w:szCs w:val="28"/>
          <w:rtl w:val="true"/>
          <w:lang w:bidi="ar-SA"/>
        </w:rPr>
        <w:t>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مال الشهيدان </w:t>
      </w:r>
      <w:r>
        <w:rPr>
          <w:rStyle w:val="FootnoteAnchor"/>
          <w:rtl w:val="true"/>
        </w:rPr>
        <w:footnoteReference w:id="954"/>
      </w:r>
      <w:r>
        <w:rPr>
          <w:rFonts w:ascii="Amiri" w:hAnsi="Amiri" w:eastAsia="Amiri" w:cs="Amiri"/>
          <w:color w:val="111111"/>
          <w:sz w:val="28"/>
          <w:sz w:val="28"/>
          <w:szCs w:val="28"/>
          <w:rtl w:val="true"/>
          <w:lang w:bidi="ar-SA"/>
        </w:rPr>
        <w:t xml:space="preserve">و الكركي </w:t>
      </w:r>
      <w:r>
        <w:rPr>
          <w:rStyle w:val="FootnoteAnchor"/>
          <w:rtl w:val="true"/>
        </w:rPr>
        <w:footnoteReference w:id="955"/>
      </w:r>
      <w:r>
        <w:rPr>
          <w:rFonts w:ascii="Amiri" w:hAnsi="Amiri" w:eastAsia="Amiri" w:cs="Amiri"/>
          <w:color w:val="111111"/>
          <w:sz w:val="28"/>
          <w:sz w:val="28"/>
          <w:szCs w:val="28"/>
          <w:rtl w:val="true"/>
          <w:lang w:bidi="ar-SA"/>
        </w:rPr>
        <w:t>و الميسي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بعضهم </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Style w:val="FootnoteAnchor"/>
          <w:rtl w:val="true"/>
        </w:rPr>
        <w:footnoteReference w:id="957"/>
      </w:r>
      <w:r>
        <w:rPr>
          <w:rFonts w:ascii="Amiri" w:hAnsi="Amiri" w:eastAsia="Amiri" w:cs="Amiri"/>
          <w:color w:val="111111"/>
          <w:sz w:val="28"/>
          <w:sz w:val="28"/>
          <w:szCs w:val="28"/>
          <w:rtl w:val="true"/>
          <w:lang w:bidi="ar-SA"/>
        </w:rPr>
        <w:t>الثاني، و لعلّه للجمع بين ما ظاهره اعتبار كمال الحول و تمام السنة و العام في المال مستجمعا لجميع الشرائط، و الحسنة المعتضدة بالفتاوي، بحمل الأول على اعتبار ذلك في الاستقرار و حمل الثانية على مجرّد تعلّق الوجوب و لو متزلزلا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يستشهد لهذا الجمع بموثّقة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السخلة متى تجب فيها الصدقة؟ قال إذا جذع</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و الجذع و إن اختلف في معناه بالنسبة إلى الضأن،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ستّة أشهر </w:t>
      </w:r>
      <w:r>
        <w:rPr>
          <w:rStyle w:val="FootnoteAnchor"/>
          <w:rtl w:val="true"/>
        </w:rPr>
        <w:footnoteReference w:id="96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Style w:val="FootnoteAnchor"/>
          <w:rtl w:val="true"/>
        </w:rPr>
        <w:footnoteReference w:id="96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r>
        <w:rPr>
          <w:rStyle w:val="FootnoteAnchor"/>
          <w:rtl w:val="true"/>
        </w:rPr>
        <w:footnoteReference w:id="962"/>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Style w:val="FootnoteAnchor"/>
          <w:rtl w:val="true"/>
        </w:rPr>
        <w:footnoteReference w:id="963"/>
      </w:r>
      <w:r>
        <w:rPr>
          <w:rFonts w:ascii="Amiri" w:hAnsi="Amiri" w:eastAsia="Amiri" w:cs="Amiri"/>
          <w:color w:val="111111"/>
          <w:sz w:val="28"/>
          <w:sz w:val="28"/>
          <w:szCs w:val="28"/>
          <w:rtl w:val="true"/>
          <w:lang w:bidi="ar-SA"/>
        </w:rPr>
        <w:t>، إلّا أنّ المحكي عن 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عند أصحابنا و أكثر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مضى عليه سنة </w:t>
      </w:r>
      <w:r>
        <w:rPr>
          <w:rStyle w:val="FootnoteAnchor"/>
          <w:rtl w:val="true"/>
        </w:rPr>
        <w:footnoteReference w:id="964"/>
      </w:r>
      <w:r>
        <w:rPr>
          <w:rFonts w:ascii="Amiri" w:hAnsi="Amiri" w:eastAsia="Amiri" w:cs="Amiri"/>
          <w:color w:val="111111"/>
          <w:sz w:val="28"/>
          <w:sz w:val="28"/>
          <w:szCs w:val="28"/>
          <w:rtl w:val="true"/>
          <w:lang w:bidi="ar-SA"/>
        </w:rPr>
        <w:t>فيكون الجذع في الضأن مثله في المعز،</w:t>
      </w:r>
    </w:p>
    <w:p>
      <w:pPr>
        <w:pStyle w:val="BookText"/>
        <w:rPr/>
      </w:pPr>
      <w:r>
        <w:rPr>
          <w:rFonts w:ascii="Amiri" w:hAnsi="Amiri" w:eastAsia="Amiri" w:cs="Amiri"/>
          <w:color w:val="111111"/>
          <w:sz w:val="28"/>
          <w:sz w:val="28"/>
          <w:szCs w:val="28"/>
          <w:rtl w:val="true"/>
          <w:lang w:bidi="ar-SA"/>
        </w:rPr>
        <w:t>و حينئذ فيدلّ الخبر على أنّه لا يتعلّق الزكاة بالسخال منجزا إلّا بكمال السنة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كلمات الأصحاب فظهورها في الوجوب المستقرّ ممّا لا ينكر، و لذا استدلّ في المعتبر بعد دعوى الاتفاق، على أخبار </w:t>
      </w:r>
      <w:r>
        <w:rPr>
          <w:rStyle w:val="FootnoteAnchor"/>
          <w:rtl w:val="true"/>
        </w:rPr>
        <w:footnoteReference w:id="965"/>
      </w:r>
      <w:r>
        <w:rPr>
          <w:rFonts w:ascii="IRNazanin" w:hAnsi="IRNazanin" w:eastAsia="IRNazanin"/>
          <w:color w:val="111111"/>
          <w:sz w:val="28"/>
          <w:sz w:val="28"/>
          <w:szCs w:val="28"/>
          <w:rtl w:val="true"/>
          <w:lang w:bidi="fa-IR"/>
        </w:rPr>
        <w:t xml:space="preserve">اعتبار الحول </w:t>
      </w:r>
      <w:r>
        <w:rPr>
          <w:rStyle w:val="FootnoteAnchor"/>
          <w:rtl w:val="true"/>
        </w:rPr>
        <w:footnoteReference w:id="966"/>
      </w:r>
      <w:r>
        <w:rPr>
          <w:rFonts w:ascii="Amiri" w:hAnsi="Amiri" w:eastAsia="Amiri" w:cs="Amiri"/>
          <w:color w:val="111111"/>
          <w:sz w:val="28"/>
          <w:sz w:val="28"/>
          <w:szCs w:val="28"/>
          <w:rtl w:val="true"/>
          <w:lang w:bidi="ar-SA"/>
        </w:rPr>
        <w:t xml:space="preserve">و من المسلّم عند الخصم اعتبار ذلك في الاستقرار، و لذا اعترف في المسالك بأنّ مقتضى الإجماع و الرواية هو الأوّل </w:t>
      </w:r>
      <w:r>
        <w:rPr>
          <w:rStyle w:val="FootnoteAnchor"/>
          <w:rtl w:val="true"/>
        </w:rPr>
        <w:footnoteReference w:id="967"/>
      </w:r>
      <w:r>
        <w:rPr>
          <w:rFonts w:ascii="Amiri" w:hAnsi="Amiri" w:eastAsia="Amiri" w:cs="Amiri"/>
          <w:color w:val="111111"/>
          <w:sz w:val="28"/>
          <w:sz w:val="28"/>
          <w:szCs w:val="28"/>
          <w:rtl w:val="true"/>
          <w:lang w:bidi="ar-SA"/>
        </w:rPr>
        <w:t xml:space="preserve">، و الظاهر أنّه أراد الإجماع المنقول، و إلّا فكيف يعدل عن المحصّل، و أمّا الرواية فقد ذكر أنّ في سندها كلاما، و ليس الكلام إلّا في ابن هاشم و هو مشهور بالاعتماد على روايته، بل عدّه هو رحمه اللّٰه في مسألة مبدأ نصاب السخال من الصحيح، كما هو مذهب جماعة من متأخّري </w:t>
      </w:r>
      <w:r>
        <w:rPr>
          <w:rStyle w:val="FootnoteAnchor"/>
          <w:rtl w:val="true"/>
        </w:rPr>
        <w:footnoteReference w:id="968"/>
      </w:r>
      <w:r>
        <w:rPr>
          <w:rFonts w:ascii="Amiri" w:hAnsi="Amiri" w:eastAsia="Amiri" w:cs="Amiri"/>
          <w:color w:val="111111"/>
          <w:sz w:val="28"/>
          <w:sz w:val="28"/>
          <w:szCs w:val="28"/>
          <w:rtl w:val="true"/>
          <w:lang w:bidi="ar-SA"/>
        </w:rPr>
        <w:t xml:space="preserve">المتأخّرين </w:t>
      </w:r>
      <w:r>
        <w:rPr>
          <w:rStyle w:val="FootnoteAnchor"/>
          <w:rtl w:val="true"/>
        </w:rPr>
        <w:footnoteReference w:id="969"/>
      </w:r>
      <w:r>
        <w:rPr>
          <w:rFonts w:ascii="Amiri" w:hAnsi="Amiri" w:eastAsia="Amiri" w:cs="Amiri"/>
          <w:color w:val="111111"/>
          <w:sz w:val="28"/>
          <w:sz w:val="28"/>
          <w:szCs w:val="28"/>
          <w:rtl w:val="true"/>
          <w:lang w:bidi="ar-SA"/>
        </w:rPr>
        <w:t>، و على الضعف، فلا يقصر عن الضعف المنجبر بالإجماع المنقول، إلّا أن يتأمّل في دلالة الإجماع المنقول من جهة احتمال إرادتهم مطلق الوجوب، الأعمّ من المتزلزل، و هو بعيد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الإنصاف أنّ التصرّف فيما دلّ على اعتبار حولان الحول أقرب من التصرّف في الحسنة المتقدّمة </w:t>
      </w:r>
      <w:r>
        <w:rPr>
          <w:rStyle w:val="FootnoteAnchor"/>
          <w:rtl w:val="true"/>
        </w:rPr>
        <w:footnoteReference w:id="970"/>
      </w:r>
      <w:r>
        <w:rPr>
          <w:rFonts w:ascii="Amiri" w:hAnsi="Amiri" w:eastAsia="Amiri" w:cs="Amiri"/>
          <w:color w:val="111111"/>
          <w:sz w:val="28"/>
          <w:sz w:val="28"/>
          <w:szCs w:val="28"/>
          <w:rtl w:val="true"/>
          <w:lang w:bidi="ar-SA"/>
        </w:rPr>
        <w:t xml:space="preserve">و في الفتاوى، و هل يتصرّف في ذلك </w:t>
      </w:r>
      <w:r>
        <w:rPr>
          <w:rStyle w:val="FootnoteAnchor"/>
          <w:rtl w:val="true"/>
        </w:rPr>
        <w:footnoteReference w:id="971"/>
      </w:r>
      <w:r>
        <w:rPr>
          <w:rFonts w:ascii="Amiri" w:hAnsi="Amiri" w:eastAsia="Amiri" w:cs="Amiri"/>
          <w:color w:val="111111"/>
          <w:sz w:val="28"/>
          <w:sz w:val="28"/>
          <w:szCs w:val="28"/>
          <w:rtl w:val="true"/>
          <w:lang w:bidi="ar-SA"/>
        </w:rPr>
        <w:t xml:space="preserve">بإثبات الحقيقة الشرعية للفظ الحول كما يظهر من بعضهم </w:t>
      </w:r>
      <w:r>
        <w:rPr>
          <w:rStyle w:val="FootnoteAnchor"/>
          <w:rtl w:val="true"/>
        </w:rPr>
        <w:footnoteReference w:id="972"/>
      </w:r>
      <w:r>
        <w:rPr>
          <w:rFonts w:ascii="Amiri" w:hAnsi="Amiri" w:eastAsia="Amiri" w:cs="Amiri"/>
          <w:color w:val="111111"/>
          <w:sz w:val="28"/>
          <w:sz w:val="28"/>
          <w:szCs w:val="28"/>
          <w:rtl w:val="true"/>
          <w:lang w:bidi="ar-SA"/>
        </w:rPr>
        <w:t>، أو بإرادة الأحد عشر منه</w:t>
      </w:r>
    </w:p>
    <w:p>
      <w:pPr>
        <w:pStyle w:val="BookText"/>
        <w:rPr/>
      </w:pPr>
      <w:r>
        <w:rPr>
          <w:rFonts w:ascii="Amiri" w:hAnsi="Amiri" w:eastAsia="Amiri" w:cs="Amiri"/>
          <w:color w:val="111111"/>
          <w:sz w:val="28"/>
          <w:sz w:val="28"/>
          <w:szCs w:val="28"/>
          <w:rtl w:val="true"/>
          <w:lang w:bidi="ar-SA"/>
        </w:rPr>
        <w:t>مجازا بقرينة الرواية المعتضدة، أو يتصرّف في الحولان بأن يراد منه الدخول في الشهر الأخير منه؟ الأقرب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الأوّلين فلا بد من عدّ الثاني عشر من الحول الثاني، كما عن فخر الدين في الإيضاح </w:t>
      </w:r>
      <w:r>
        <w:rPr>
          <w:rStyle w:val="FootnoteAnchor"/>
          <w:rtl w:val="true"/>
        </w:rPr>
        <w:footnoteReference w:id="973"/>
      </w:r>
      <w:r>
        <w:rPr>
          <w:rFonts w:ascii="Amiri" w:hAnsi="Amiri" w:eastAsia="Amiri" w:cs="Amiri"/>
          <w:color w:val="111111"/>
          <w:sz w:val="28"/>
          <w:sz w:val="28"/>
          <w:szCs w:val="28"/>
          <w:rtl w:val="true"/>
          <w:lang w:bidi="ar-SA"/>
        </w:rPr>
        <w:t xml:space="preserve">، إمّا بحمل </w:t>
      </w:r>
      <w:r>
        <w:rPr>
          <w:rStyle w:val="FootnoteAnchor"/>
          <w:rtl w:val="true"/>
        </w:rPr>
        <w:footnoteReference w:id="974"/>
      </w:r>
      <w:r>
        <w:rPr>
          <w:rFonts w:ascii="Amiri" w:hAnsi="Amiri" w:eastAsia="Amiri" w:cs="Amiri"/>
          <w:color w:val="111111"/>
          <w:sz w:val="28"/>
          <w:sz w:val="28"/>
          <w:szCs w:val="28"/>
          <w:rtl w:val="true"/>
          <w:lang w:bidi="ar-SA"/>
        </w:rPr>
        <w:t xml:space="preserve">الحول على أحد عشر شهرا، للحقيقة </w:t>
      </w:r>
      <w:r>
        <w:rPr>
          <w:rStyle w:val="FootnoteAnchor"/>
          <w:rtl w:val="true"/>
        </w:rPr>
        <w:footnoteReference w:id="975"/>
      </w:r>
      <w:r>
        <w:rPr>
          <w:rFonts w:ascii="Amiri" w:hAnsi="Amiri" w:eastAsia="Amiri" w:cs="Amiri"/>
          <w:color w:val="111111"/>
          <w:sz w:val="28"/>
          <w:sz w:val="28"/>
          <w:szCs w:val="28"/>
          <w:rtl w:val="true"/>
          <w:lang w:bidi="ar-SA"/>
        </w:rPr>
        <w:t xml:space="preserve">الشرعية، أو المجاز كما ذكر، </w:t>
      </w:r>
      <w:r>
        <w:rPr>
          <w:rStyle w:val="FootnoteAnchor"/>
          <w:rtl w:val="true"/>
        </w:rPr>
        <w:footnoteReference w:id="976"/>
      </w:r>
      <w:r>
        <w:rPr>
          <w:rFonts w:ascii="Amiri" w:hAnsi="Amiri" w:eastAsia="Amiri" w:cs="Amiri"/>
          <w:color w:val="111111"/>
          <w:sz w:val="28"/>
          <w:sz w:val="28"/>
          <w:szCs w:val="28"/>
          <w:rtl w:val="true"/>
          <w:lang w:bidi="ar-SA"/>
        </w:rPr>
        <w:t>أو للتصرف في الحولان نظرا إلى أنّ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الحسنة السابقة</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فقد حال الحول</w:t>
      </w:r>
      <w:r>
        <w:rPr>
          <w:rFonts w:eastAsia="IRNazanin" w:cs="IRNazanin"/>
          <w:color w:val="111111"/>
          <w:sz w:val="28"/>
          <w:szCs w:val="28"/>
          <w:rtl w:val="true"/>
          <w:lang w:bidi="fa-IR"/>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انقضاء الحولان،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ظاهر في الانقضاء،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التعقيب، فبمجرّد دخول الثاني عشر يحصل انقضاء حولان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أنّ الحسنة غير ظاهرة في انقضاء الحول، و إن سلّم ظهورها في انقضاء الحولان؛ لأنّ الحولان يصدق </w:t>
      </w:r>
      <w:r>
        <w:rPr>
          <w:rStyle w:val="FootnoteAnchor"/>
          <w:rtl w:val="true"/>
        </w:rPr>
        <w:footnoteReference w:id="979"/>
      </w:r>
      <w:r>
        <w:rPr>
          <w:rFonts w:ascii="Amiri" w:hAnsi="Amiri" w:eastAsia="Amiri" w:cs="Amiri"/>
          <w:color w:val="111111"/>
          <w:sz w:val="28"/>
          <w:sz w:val="28"/>
          <w:szCs w:val="28"/>
          <w:rtl w:val="true"/>
          <w:lang w:bidi="ar-SA"/>
        </w:rPr>
        <w:t>بمجرّد دخول جزء الشهر الأخير، و لا تنافي بين تحقّق الحولان شرعا، و عدم انقضاء الحول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 دعوى الحقيقة الشرعيّة في الحول أنّ مورد الأخبار ليس مختصّا بلفظ الحول حتّى يرتكب فيه دعوى الحقيقة، بل فيها لفظ السنة و العام </w:t>
      </w:r>
      <w:r>
        <w:rPr>
          <w:rStyle w:val="FootnoteAnchor"/>
          <w:rtl w:val="true"/>
        </w:rPr>
        <w:footnoteReference w:id="980"/>
      </w:r>
      <w:r>
        <w:rPr>
          <w:rFonts w:ascii="Amiri" w:hAnsi="Amiri" w:eastAsia="Amiri" w:cs="Amiri"/>
          <w:color w:val="111111"/>
          <w:sz w:val="28"/>
          <w:sz w:val="28"/>
          <w:szCs w:val="28"/>
          <w:rtl w:val="true"/>
          <w:lang w:bidi="ar-SA"/>
        </w:rPr>
        <w:t>، و ارتكاب الحقيقة فيهما أو التجوّز للمسامحة فيهما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دعوى الحقيقة أو المسامحة </w:t>
      </w:r>
      <w:r>
        <w:rPr>
          <w:rStyle w:val="FootnoteAnchor"/>
          <w:rtl w:val="true"/>
        </w:rPr>
        <w:footnoteReference w:id="981"/>
      </w:r>
      <w:r>
        <w:rPr>
          <w:rFonts w:ascii="Amiri" w:hAnsi="Amiri" w:eastAsia="Amiri" w:cs="Amiri"/>
          <w:color w:val="111111"/>
          <w:sz w:val="28"/>
          <w:sz w:val="28"/>
          <w:szCs w:val="28"/>
          <w:rtl w:val="true"/>
          <w:lang w:bidi="ar-SA"/>
        </w:rPr>
        <w:t>فيهما في جميع أبواب الفقه ممّا لا يرضاه أحد، و إن كان في خصوص</w:t>
      </w:r>
    </w:p>
    <w:p>
      <w:pPr>
        <w:pStyle w:val="BookText"/>
        <w:rPr/>
      </w:pPr>
      <w:r>
        <w:rPr>
          <w:rFonts w:ascii="Amiri" w:hAnsi="Amiri" w:eastAsia="Amiri" w:cs="Amiri"/>
          <w:color w:val="111111"/>
          <w:sz w:val="28"/>
          <w:sz w:val="28"/>
          <w:szCs w:val="28"/>
          <w:rtl w:val="true"/>
          <w:lang w:bidi="ar-SA"/>
        </w:rPr>
        <w:t>الزكاة فكما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إرادة الأحد عشر مجازا من لفظ الحول و السنة، فأمّا المجاز المرسل فغير ثابت، و أمّا المجاز لعلاقة المشابهة أو المجاز في ادّعاء تنزيل المعدوم منزلة الموجود، فهو و إن كان أحسن من دعوى الحقيقة إلّا أنّ إرادة خصوص الأحد عشر من لفظ الحول أو السنة </w:t>
      </w:r>
      <w:r>
        <w:rPr>
          <w:rStyle w:val="FootnoteAnchor"/>
          <w:rtl w:val="true"/>
        </w:rPr>
        <w:footnoteReference w:id="982"/>
      </w:r>
      <w:r>
        <w:rPr>
          <w:rFonts w:ascii="Amiri" w:hAnsi="Amiri" w:eastAsia="Amiri" w:cs="Amiri"/>
          <w:color w:val="111111"/>
          <w:sz w:val="28"/>
          <w:sz w:val="28"/>
          <w:szCs w:val="28"/>
          <w:rtl w:val="true"/>
          <w:lang w:bidi="ar-SA"/>
        </w:rPr>
        <w:t xml:space="preserve">أو العام مجاز مهجور، إلّا أن الانصاف أنّ التصرّف في الحولان أيضا بعيد في الغاية؛ لأنّ حولان الحول كالنصّ في مضيّه و انقضائه؛ لأنّ الظاهر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حولان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دورانه </w:t>
      </w:r>
      <w:r>
        <w:rPr>
          <w:rStyle w:val="FootnoteAnchor"/>
          <w:rtl w:val="true"/>
        </w:rPr>
        <w:footnoteReference w:id="983"/>
      </w:r>
      <w:r>
        <w:rPr>
          <w:rFonts w:ascii="IRNazanin" w:hAnsi="IRNazanin" w:eastAsia="IRNazanin"/>
          <w:color w:val="111111"/>
          <w:sz w:val="28"/>
          <w:sz w:val="28"/>
          <w:szCs w:val="28"/>
          <w:rtl w:val="true"/>
          <w:lang w:bidi="fa-IR"/>
        </w:rPr>
        <w:t>باعتبار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أمكن أن يراد منها مجرّد إهلال الأهلّة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كتاسع و عشرين من ذي القعدة إلى اليوم الأوّل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قريبا من الإطلاقات العرفيّة، لكنّه خلاف الإجماع ظاهرا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 في بعض الأخبار اعتبار بقاء المال سنة عند المالك </w:t>
      </w:r>
      <w:r>
        <w:rPr>
          <w:rStyle w:val="FootnoteAnchor"/>
          <w:rtl w:val="true"/>
        </w:rPr>
        <w:footnoteReference w:id="985"/>
      </w:r>
      <w:r>
        <w:rPr>
          <w:rFonts w:ascii="Amiri" w:hAnsi="Amiri" w:eastAsia="Amiri" w:cs="Amiri"/>
          <w:color w:val="111111"/>
          <w:sz w:val="28"/>
          <w:sz w:val="28"/>
          <w:szCs w:val="28"/>
          <w:rtl w:val="true"/>
          <w:lang w:bidi="ar-SA"/>
        </w:rPr>
        <w:t>، و لا يمكن التصرّف هنا في غير لفظ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المال </w:t>
      </w:r>
      <w:r>
        <w:rPr>
          <w:rStyle w:val="FootnoteAnchor"/>
          <w:rtl w:val="true"/>
        </w:rPr>
        <w:footnoteReference w:id="986"/>
      </w:r>
      <w:r>
        <w:rPr>
          <w:rFonts w:ascii="IRNazanin" w:hAnsi="IRNazanin" w:eastAsia="IRNazanin"/>
          <w:color w:val="111111"/>
          <w:sz w:val="28"/>
          <w:sz w:val="28"/>
          <w:szCs w:val="28"/>
          <w:rtl w:val="true"/>
          <w:lang w:bidi="fa-IR"/>
        </w:rPr>
        <w:t xml:space="preserve">موضوعا عنده حولا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الخيل في كلّ سنة دينارا، أو دينارين</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زكاة النقدين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زكاة المال في كلّ سنة</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 و في بعض الأخبار اعتبار مضيّ الحول </w:t>
      </w:r>
      <w:r>
        <w:rPr>
          <w:rStyle w:val="FootnoteAnchor"/>
          <w:rtl w:val="true"/>
        </w:rPr>
        <w:footnoteReference w:id="990"/>
      </w:r>
      <w:r>
        <w:rPr>
          <w:rFonts w:ascii="Amiri" w:hAnsi="Amiri" w:eastAsia="Amiri" w:cs="Amiri"/>
          <w:color w:val="111111"/>
          <w:sz w:val="28"/>
          <w:sz w:val="28"/>
          <w:szCs w:val="28"/>
          <w:rtl w:val="true"/>
          <w:lang w:bidi="ar-SA"/>
        </w:rPr>
        <w:t xml:space="preserve">، و في آخر مرور </w:t>
      </w:r>
      <w:r>
        <w:rPr>
          <w:rStyle w:val="FootnoteAnchor"/>
          <w:rtl w:val="true"/>
        </w:rPr>
        <w:footnoteReference w:id="991"/>
      </w:r>
      <w:r>
        <w:rPr>
          <w:rFonts w:ascii="Amiri" w:hAnsi="Amiri" w:eastAsia="Amiri" w:cs="Amiri"/>
          <w:color w:val="111111"/>
          <w:sz w:val="28"/>
          <w:sz w:val="28"/>
          <w:szCs w:val="28"/>
          <w:rtl w:val="true"/>
          <w:lang w:bidi="ar-SA"/>
        </w:rPr>
        <w:t xml:space="preserve">السنة </w:t>
      </w:r>
      <w:r>
        <w:rPr>
          <w:rStyle w:val="FootnoteAnchor"/>
          <w:rtl w:val="true"/>
        </w:rPr>
        <w:footnoteReference w:id="992"/>
      </w:r>
      <w:r>
        <w:rPr>
          <w:rFonts w:ascii="Amiri" w:hAnsi="Amiri" w:eastAsia="Amiri" w:cs="Amiri"/>
          <w:color w:val="111111"/>
          <w:sz w:val="28"/>
          <w:sz w:val="28"/>
          <w:szCs w:val="28"/>
          <w:rtl w:val="true"/>
          <w:lang w:bidi="ar-SA"/>
        </w:rPr>
        <w:t>، إلى غير ذلك ممّا يأبى هذا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مضيّ الحول عرفا ما يعمّ الدخول في الشهر الثاني عشر، فيطلقون بمجرّد ذلك أنّه مضى سنة و حال الحول، كما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دخول اليوم السابع،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دخول اليوم الأخير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كثيرا ما يطلقون </w:t>
      </w:r>
      <w:r>
        <w:rPr>
          <w:rStyle w:val="FootnoteAnchor"/>
          <w:rtl w:val="true"/>
        </w:rPr>
        <w:footnoteReference w:id="994"/>
      </w:r>
      <w:r>
        <w:rPr>
          <w:rFonts w:ascii="Amiri" w:hAnsi="Amiri" w:eastAsia="Amiri" w:cs="Amiri"/>
          <w:color w:val="111111"/>
          <w:sz w:val="28"/>
          <w:sz w:val="28"/>
          <w:szCs w:val="28"/>
          <w:rtl w:val="true"/>
          <w:lang w:bidi="ar-SA"/>
        </w:rPr>
        <w:t xml:space="preserve">مثل هذا الإطلاق، فيحكمون بتحقق الأسبوع بمجرّد الدخول في السابع، و الشهر </w:t>
      </w:r>
      <w:r>
        <w:rPr>
          <w:rStyle w:val="FootnoteAnchor"/>
          <w:rtl w:val="true"/>
        </w:rPr>
        <w:footnoteReference w:id="995"/>
      </w:r>
      <w:r>
        <w:rPr>
          <w:rFonts w:ascii="Amiri" w:hAnsi="Amiri" w:eastAsia="Amiri" w:cs="Amiri"/>
          <w:color w:val="111111"/>
          <w:sz w:val="28"/>
          <w:sz w:val="28"/>
          <w:szCs w:val="28"/>
          <w:rtl w:val="true"/>
          <w:lang w:bidi="ar-SA"/>
        </w:rPr>
        <w:t xml:space="preserve">بمجرّد الدخول في اليوم الآخر و إن لم يمض، و بتحقّق السنة و الحول و العام بمجرّد الدخول في الشهر الأخير، و يحكمون بمضيّ عشرة أيّام في اليوم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صدق إتيان السنة و مرور السنة و حلول الحول بمجرّد دخول </w:t>
      </w:r>
      <w:r>
        <w:rPr>
          <w:rStyle w:val="FootnoteAnchor"/>
          <w:rtl w:val="true"/>
        </w:rPr>
        <w:footnoteReference w:id="996"/>
      </w:r>
      <w:r>
        <w:rPr>
          <w:rFonts w:ascii="Amiri" w:hAnsi="Amiri" w:eastAsia="Amiri" w:cs="Amiri"/>
          <w:color w:val="111111"/>
          <w:sz w:val="28"/>
          <w:sz w:val="28"/>
          <w:szCs w:val="28"/>
          <w:rtl w:val="true"/>
          <w:lang w:bidi="ar-SA"/>
        </w:rPr>
        <w:t xml:space="preserve">الشهر الثاني عشر، مصحّحة </w:t>
      </w:r>
      <w:r>
        <w:rPr>
          <w:rStyle w:val="FootnoteAnchor"/>
          <w:rtl w:val="true"/>
        </w:rPr>
        <w:footnoteReference w:id="997"/>
      </w:r>
      <w:r>
        <w:rPr>
          <w:rFonts w:ascii="Amiri" w:hAnsi="Amiri" w:eastAsia="Amiri" w:cs="Amiri"/>
          <w:color w:val="111111"/>
          <w:sz w:val="28"/>
          <w:sz w:val="28"/>
          <w:szCs w:val="28"/>
          <w:rtl w:val="true"/>
          <w:lang w:bidi="ar-SA"/>
        </w:rPr>
        <w:t>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يكون نصف ماله عينا و نصفه دينا، فتحلّ 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 العين و يدع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اقتضاه بعد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حين اقتضاه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حال عليه الحول و حلّ الشهر الذي كان يزكّي فيه، و قد أتى لنصف ماله سنة و لنصفه الآخر </w:t>
      </w:r>
      <w:r>
        <w:rPr>
          <w:rStyle w:val="FootnoteAnchor"/>
          <w:rtl w:val="true"/>
        </w:rPr>
        <w:footnoteReference w:id="998"/>
      </w:r>
      <w:r>
        <w:rPr>
          <w:rFonts w:ascii="Amiri" w:hAnsi="Amiri" w:eastAsia="Amiri" w:cs="Amiri"/>
          <w:color w:val="111111"/>
          <w:sz w:val="28"/>
          <w:sz w:val="28"/>
          <w:szCs w:val="28"/>
          <w:rtl w:val="true"/>
          <w:lang w:bidi="ar-SA"/>
        </w:rPr>
        <w:t>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يزكّي الذي مرّت عليه السنة و يدع الآخر حتّى يمرّ عليه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السائل أطلق إتيان السنة بمجرّد حلول الشهر الذي كان يزكّي فيه، مع أنّه يمكن أن يكون قد يزكّى المال في آخر ذي القعدة، فبمجرّد هلال ذي القعدة أطلق إتيان السنة، و حكم الإمام عليه السلام بوجوب تزكيته؛ لأنّه مرّ عليه سنة، و لم يمرّ عليه إلّا أحد عشر شهرا و يوم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تعليق وجوب الزكاة بحلول الشهر الذي كان يزكّي فيه،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الوجوب في الجملة موقوفا عليه إجماعا، و الاستقرار لا يتحقّق 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إذا أدّى زكاته في أول حلول الشهر الذي كان يزكّي في السنة السابقة في آخره أو وسطه فلم يقدّم الزكاة على السنة، و إنما زكّى بعد مرورها كما يفهم من الرواية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يطلقون ذلك قبل الدخول في الجزء الآخر لا في الأسبوع و لا في اخوته، و هذه الإطلاقات و إن كانت مبنية على المسامحة في الحكم بالتحقيق و المضي و الحولان و المرور </w:t>
      </w:r>
      <w:r>
        <w:rPr>
          <w:rStyle w:val="FootnoteAnchor"/>
          <w:rtl w:val="true"/>
        </w:rPr>
        <w:footnoteReference w:id="1000"/>
      </w:r>
      <w:r>
        <w:rPr>
          <w:rFonts w:ascii="Amiri" w:hAnsi="Amiri" w:eastAsia="Amiri" w:cs="Amiri"/>
          <w:color w:val="111111"/>
          <w:sz w:val="28"/>
          <w:sz w:val="28"/>
          <w:szCs w:val="28"/>
          <w:rtl w:val="true"/>
          <w:lang w:bidi="ar-SA"/>
        </w:rPr>
        <w:t xml:space="preserve">، و المسامحة غير معهودة في المقادير المتعلّقة للأحكام الشرعيّة، إلّا أنّ الدليل هنا لمّا قام </w:t>
      </w:r>
      <w:r>
        <w:rPr>
          <w:rStyle w:val="FootnoteAnchor"/>
          <w:rtl w:val="true"/>
        </w:rPr>
        <w:footnoteReference w:id="1001"/>
      </w:r>
      <w:r>
        <w:rPr>
          <w:rFonts w:ascii="Amiri" w:hAnsi="Amiri" w:eastAsia="Amiri" w:cs="Amiri"/>
          <w:color w:val="111111"/>
          <w:sz w:val="28"/>
          <w:sz w:val="28"/>
          <w:szCs w:val="28"/>
          <w:rtl w:val="true"/>
          <w:lang w:bidi="ar-SA"/>
        </w:rPr>
        <w:t>على كون مجرّد الدخول في الثاني عشر موجبا لتعلّق الزكاة كشف ذلك عن كون الإطلاقات الكثيرة في الأخبار أريد بها ذلك، فهي مسامحة في التعبير، و ليست المسامحة في الاعتبار، بأن يعلّق الشارع</w:t>
      </w:r>
    </w:p>
    <w:p>
      <w:pPr>
        <w:pStyle w:val="BookText"/>
        <w:rPr/>
      </w:pPr>
      <w:r>
        <w:rPr>
          <w:rFonts w:ascii="Amiri" w:hAnsi="Amiri" w:eastAsia="Amiri" w:cs="Amiri"/>
          <w:color w:val="111111"/>
          <w:sz w:val="28"/>
          <w:sz w:val="28"/>
          <w:szCs w:val="28"/>
          <w:rtl w:val="true"/>
          <w:lang w:bidi="ar-SA"/>
        </w:rPr>
        <w:t xml:space="preserve">حكما على موضوع قابل عرفا للمسامحة فيه بالزيادة و النقصان، كالشهر في المسافر المتردّد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في المقيم، و ثمانية فراسخ للمقصّر، و ثلاثة أيّام و عشرة للحائض،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الإنصاف أنّه يلزم على ذلك تأخير البيان في جميع الأخبار سيّما في بعضها، مثل ما روي فيمن كان عنده مال إلى نحو سنة، أو قريبا من رأس الحول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فأنفقه هل عليه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 و نحو ذلك إلّا أنّه لا محيص عن ارتكاب ذلك؛ لتحقّق الإجماع </w:t>
      </w:r>
      <w:r>
        <w:rPr>
          <w:rStyle w:val="FootnoteAnchor"/>
          <w:rtl w:val="true"/>
        </w:rPr>
        <w:footnoteReference w:id="1003"/>
      </w:r>
      <w:r>
        <w:rPr>
          <w:rFonts w:ascii="Amiri" w:hAnsi="Amiri" w:eastAsia="Amiri" w:cs="Amiri"/>
          <w:color w:val="111111"/>
          <w:sz w:val="28"/>
          <w:sz w:val="28"/>
          <w:szCs w:val="28"/>
          <w:rtl w:val="true"/>
          <w:lang w:bidi="ar-SA"/>
        </w:rPr>
        <w:t xml:space="preserve">على ثبوت الوجوب في الجملة بدخول الثاني عشر إلّا ما يحكى عن الكاشاني في الوافي </w:t>
      </w:r>
      <w:r>
        <w:rPr>
          <w:rStyle w:val="FootnoteAnchor"/>
          <w:rtl w:val="true"/>
        </w:rPr>
        <w:footnoteReference w:id="1004"/>
      </w:r>
      <w:r>
        <w:rPr>
          <w:rFonts w:ascii="Amiri" w:hAnsi="Amiri" w:eastAsia="Amiri" w:cs="Amiri"/>
          <w:color w:val="111111"/>
          <w:sz w:val="28"/>
          <w:sz w:val="28"/>
          <w:szCs w:val="28"/>
          <w:rtl w:val="true"/>
          <w:lang w:bidi="ar-SA"/>
        </w:rPr>
        <w:t xml:space="preserve">من احتمال كون الحسنة المتقدّمة مختصّة بحكم موردها، و هو عدم جواز إتلاف المال بعد الوقت لا تعلّق الزكاة، و هو خلاف ظاهر الرواية و جميع الفتاوى ظاهر كما نبّه عليه في الحدائق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تعرف مما ذكرنا أنّ القول بالوجوب المستقرّ بمجرّد الدخول في الثاني عشر لا ينافي عدّ الثاني عشر من الحول، بل هو اللازم على طريقة التجوّز التي ذكرناها من التصرّف في الكلام بالحمل على المسامحة العرفية في مضي الحول و حولانه و مرور السنة و نحوها، إذ الظاهر بل المقطوع أنّ الشهر الأخير من الحول الأوّل، و إنّما يصدق مضيّ الحول بالدخول فيه مسامحة، لا أنّه ينقطع الحول الأوّل بالدخول في الشهر الأخير، فكما أنّه يصدق في اليوم الأوّل من الشهر الأخير أنّه قد مضى الحول أو مرّت السنة، فكذلك يصدق في اليوم الثاني و الثالث و الرابع و الخامس </w:t>
      </w:r>
      <w:r>
        <w:rPr>
          <w:rStyle w:val="FootnoteAnchor"/>
          <w:rtl w:val="true"/>
        </w:rPr>
        <w:footnoteReference w:id="1006"/>
      </w:r>
      <w:r>
        <w:rPr>
          <w:rFonts w:ascii="Amiri" w:hAnsi="Amiri" w:eastAsia="Amiri" w:cs="Amiri"/>
          <w:color w:val="111111"/>
          <w:sz w:val="28"/>
          <w:sz w:val="28"/>
          <w:szCs w:val="28"/>
          <w:rtl w:val="true"/>
          <w:lang w:bidi="ar-SA"/>
        </w:rPr>
        <w:t>، و هكذا إلى آخر الشهر، و لا يقال في اليوم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زاد على الحول يوم، و لا في آخر الشهر</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أنّه قد زاد على الحول شهر، كما أنه لا يلزم من صدق مضي عشرة أيّام مسامحة بمجرّد دخول العاشر أن يصدق في آخر ذلك اليوم أنّه عشرة أيّام و نصف مثلا، فما دلّ على وجوب زكاة المال في سنة،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يقطين، بعد السؤال عن المال إذا لم يعمل به، و لم يقلب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نلزمه زكاته في كل سنة</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و غير ذلك باق </w:t>
      </w:r>
      <w:r>
        <w:rPr>
          <w:rStyle w:val="FootnoteAnchor"/>
          <w:rtl w:val="true"/>
        </w:rPr>
        <w:footnoteReference w:id="1009"/>
      </w:r>
      <w:r>
        <w:rPr>
          <w:rFonts w:ascii="Amiri" w:hAnsi="Amiri" w:eastAsia="Amiri" w:cs="Amiri"/>
          <w:color w:val="111111"/>
          <w:sz w:val="28"/>
          <w:sz w:val="28"/>
          <w:szCs w:val="28"/>
          <w:rtl w:val="true"/>
          <w:lang w:bidi="ar-SA"/>
        </w:rPr>
        <w:t>على معناه الحقيقي، و أنّ بالدخول في الثاني عشر تجب زكاة السنة التي هي عبارة عن الكاملة، فقد أعطى زكاة اثني عشر شهرا في أوّل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بنينا </w:t>
      </w:r>
      <w:r>
        <w:rPr>
          <w:rStyle w:val="FootnoteAnchor"/>
          <w:rtl w:val="true"/>
        </w:rPr>
        <w:footnoteReference w:id="1010"/>
      </w:r>
      <w:r>
        <w:rPr>
          <w:rFonts w:ascii="Amiri" w:hAnsi="Amiri" w:eastAsia="Amiri" w:cs="Amiri"/>
          <w:color w:val="111111"/>
          <w:sz w:val="28"/>
          <w:sz w:val="28"/>
          <w:szCs w:val="28"/>
          <w:rtl w:val="true"/>
          <w:lang w:bidi="ar-SA"/>
        </w:rPr>
        <w:t>على التصرّف في لفظ الحول بالحقيقة الشرعيّة أو المجاز، فالظاهر أنّه لا بد من جعل الثاني عشر من الحول الثاني إمّا مطلقا أو باستثناء جزء منه بناء على أنّ الجزء الأوّل شطر للحول الأول لا شرط</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ما ذكرنا من أنّ الشهر الثاني عشر معدود من الحول الأوّل، ما تقدّم في مصحّحة أبي بصير </w:t>
      </w:r>
      <w:r>
        <w:rPr>
          <w:rStyle w:val="FootnoteAnchor"/>
          <w:rtl w:val="true"/>
        </w:rPr>
        <w:footnoteReference w:id="1011"/>
      </w:r>
      <w:r>
        <w:rPr>
          <w:rFonts w:ascii="Amiri" w:hAnsi="Amiri" w:eastAsia="Amiri" w:cs="Amiri"/>
          <w:color w:val="111111"/>
          <w:sz w:val="28"/>
          <w:sz w:val="28"/>
          <w:szCs w:val="28"/>
          <w:rtl w:val="true"/>
          <w:lang w:bidi="ar-SA"/>
        </w:rPr>
        <w:t xml:space="preserve">من أمر الإمام عليه السلام بزكاة السنة اللاحقة في الشهر الذي كان يزكّي فيه في السابقة </w:t>
      </w:r>
      <w:r>
        <w:rPr>
          <w:rStyle w:val="FootnoteAnchor"/>
          <w:rtl w:val="true"/>
        </w:rPr>
        <w:footnoteReference w:id="1012"/>
      </w:r>
      <w:r>
        <w:rPr>
          <w:rFonts w:ascii="Amiri" w:hAnsi="Amiri" w:eastAsia="Amiri" w:cs="Amiri"/>
          <w:color w:val="111111"/>
          <w:sz w:val="28"/>
          <w:sz w:val="28"/>
          <w:szCs w:val="28"/>
          <w:rtl w:val="true"/>
          <w:lang w:bidi="ar-SA"/>
        </w:rPr>
        <w:t>، و قوله في صحيحة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المال الذي لا يعمل به </w:t>
      </w:r>
      <w:r>
        <w:rPr>
          <w:rStyle w:val="FootnoteAnchor"/>
          <w:rtl w:val="true"/>
        </w:rPr>
        <w:footnoteReference w:id="1013"/>
      </w:r>
      <w:r>
        <w:rPr>
          <w:rFonts w:ascii="Amiri" w:hAnsi="Amiri" w:eastAsia="Amiri" w:cs="Amiri"/>
          <w:color w:val="111111"/>
          <w:sz w:val="28"/>
          <w:sz w:val="28"/>
          <w:szCs w:val="28"/>
          <w:rtl w:val="true"/>
          <w:lang w:bidi="ar-SA"/>
        </w:rPr>
        <w:t>و لا يقلب؟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الزكاة في كلّ سنة</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المرويّة في </w:t>
      </w:r>
      <w:r>
        <w:rPr>
          <w:rStyle w:val="FootnoteAnchor"/>
          <w:rtl w:val="true"/>
        </w:rPr>
        <w:footnoteReference w:id="1015"/>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يأخذ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قوت</w:t>
      </w:r>
    </w:p>
    <w:p>
      <w:pPr>
        <w:pStyle w:val="BookText"/>
        <w:rPr/>
      </w:pP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يكفيه لسنة؛ لأنها إنما هي من سنة إلى سنة</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معنى اعتبار الحول في الأنعام و النقدين هو اعتبار بقائها </w:t>
      </w:r>
      <w:r>
        <w:rPr>
          <w:rStyle w:val="FootnoteAnchor"/>
          <w:rtl w:val="true"/>
        </w:rPr>
        <w:footnoteReference w:id="1017"/>
      </w:r>
      <w:r>
        <w:rPr>
          <w:rFonts w:ascii="Amiri" w:hAnsi="Amiri" w:eastAsia="Amiri" w:cs="Amiri"/>
          <w:color w:val="111111"/>
          <w:sz w:val="28"/>
          <w:sz w:val="28"/>
          <w:szCs w:val="28"/>
          <w:rtl w:val="true"/>
          <w:lang w:bidi="ar-SA"/>
        </w:rPr>
        <w:t>إلى حولان الحول مستجمعة للشرائط، فمقتضاه سقوطه بتلف بعض النصاب في أثناء الحول أو إتلافه أو معاوضته بغيره مجانسا أو مغايرا، سواء كان الإتلاف و المعاوضة بقصد الفرار من الزكاة أم لغرض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 الأخبار،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على مال حتّى يحول عليه</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عموم ما دلّ على جواز إنفاقه إذا مرّ عليه نحو من سنة أو قريب من حول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جواز هبة المال قبل حلول </w:t>
      </w:r>
      <w:r>
        <w:rPr>
          <w:rStyle w:val="FootnoteAnchor"/>
          <w:rtl w:val="true"/>
        </w:rPr>
        <w:footnoteReference w:id="1020"/>
      </w:r>
      <w:r>
        <w:rPr>
          <w:rFonts w:ascii="Amiri" w:hAnsi="Amiri" w:eastAsia="Amiri" w:cs="Amiri"/>
          <w:color w:val="111111"/>
          <w:sz w:val="28"/>
          <w:sz w:val="28"/>
          <w:szCs w:val="28"/>
          <w:rtl w:val="true"/>
          <w:lang w:bidi="ar-SA"/>
        </w:rPr>
        <w:t>الحول لشهر أو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الحسنة المتقدّمة </w:t>
      </w:r>
      <w:r>
        <w:rPr>
          <w:rStyle w:val="FootnoteAnchor"/>
          <w:rtl w:val="true"/>
        </w:rPr>
        <w:footnoteReference w:id="1021"/>
      </w:r>
      <w:r>
        <w:rPr>
          <w:rFonts w:ascii="Amiri" w:hAnsi="Amiri" w:eastAsia="Amiri" w:cs="Amiri"/>
          <w:color w:val="111111"/>
          <w:sz w:val="28"/>
          <w:sz w:val="28"/>
          <w:szCs w:val="28"/>
          <w:rtl w:val="true"/>
          <w:lang w:bidi="ar-SA"/>
        </w:rPr>
        <w:t>في حولان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بجواز أن يحدث في المال شيئا فرارا من الزكاة </w:t>
      </w:r>
      <w:r>
        <w:rPr>
          <w:rStyle w:val="FootnoteAnchor"/>
          <w:rtl w:val="true"/>
        </w:rPr>
        <w:footnoteReference w:id="1023"/>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التصريح بعدم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أحدث فيها </w:t>
      </w:r>
      <w:r>
        <w:rPr>
          <w:rStyle w:val="FootnoteAnchor"/>
          <w:rtl w:val="true"/>
        </w:rPr>
        <w:footnoteReference w:id="1025"/>
      </w:r>
      <w:r>
        <w:rPr>
          <w:rFonts w:ascii="IRNazanin" w:hAnsi="IRNazanin" w:eastAsia="IRNazanin"/>
          <w:color w:val="111111"/>
          <w:sz w:val="28"/>
          <w:sz w:val="28"/>
          <w:szCs w:val="28"/>
          <w:rtl w:val="true"/>
          <w:lang w:bidi="fa-IR"/>
        </w:rPr>
        <w:t>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w:t>
      </w:r>
    </w:p>
    <w:p>
      <w:pPr>
        <w:pStyle w:val="BookText"/>
        <w:rPr/>
      </w:pPr>
      <w:r>
        <w:rPr>
          <w:rFonts w:ascii="Amiri" w:hAnsi="Amiri" w:eastAsia="Amiri" w:cs="Amiri"/>
          <w:color w:val="111111"/>
          <w:sz w:val="28"/>
          <w:sz w:val="28"/>
          <w:szCs w:val="28"/>
          <w:rtl w:val="true"/>
          <w:lang w:bidi="ar-SA"/>
        </w:rPr>
        <w:t xml:space="preserve">مستفيضة </w:t>
      </w:r>
      <w:r>
        <w:rPr>
          <w:rStyle w:val="FootnoteAnchor"/>
          <w:rtl w:val="true"/>
        </w:rPr>
        <w:footnoteReference w:id="1026"/>
      </w:r>
      <w:r>
        <w:rPr>
          <w:rFonts w:ascii="Amiri" w:hAnsi="Amiri" w:eastAsia="Amiri" w:cs="Amiri"/>
          <w:color w:val="111111"/>
          <w:sz w:val="28"/>
          <w:sz w:val="28"/>
          <w:szCs w:val="28"/>
          <w:rtl w:val="true"/>
          <w:lang w:bidi="ar-SA"/>
        </w:rPr>
        <w:t>في خصوص النقدين، و يتمّ بعدم القول بالفصل، مع أنّ الحسنة مطلقة، و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التسعة الأصناف إذا حولتها في السنة فليس عليك فيها شي‌ء</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يجتمع عندي الشي‌ء فيبقى نحوا من سنة أ نزكّيه؟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ما لم يحل عندك عليه الحول فليس عليك فيه زكاة، و كلّ ما لم يكن ركازا فليس عليك فيه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الركاز؟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المنقوش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فاسبكه فإنّه ليس في سبائك الذهب و الفضة شي‌ء من الزكاة</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علّمه الإمام عليه السلام طريق الفرار من الزكاة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غير واحد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الزكاة إذا جعل بعض الدراهم دنانير فرارا </w:t>
      </w:r>
      <w:r>
        <w:rPr>
          <w:rStyle w:val="FootnoteAnchor"/>
          <w:rtl w:val="true"/>
        </w:rPr>
        <w:footnoteReference w:id="1029"/>
      </w:r>
      <w:r>
        <w:rPr>
          <w:rFonts w:ascii="Amiri" w:hAnsi="Amiri" w:eastAsia="Amiri" w:cs="Amiri"/>
          <w:color w:val="111111"/>
          <w:sz w:val="28"/>
          <w:sz w:val="28"/>
          <w:szCs w:val="28"/>
          <w:rtl w:val="true"/>
          <w:lang w:bidi="ar-SA"/>
        </w:rPr>
        <w:t xml:space="preserve">كموثّقة إسحاق بن عمّار </w:t>
      </w:r>
      <w:r>
        <w:rPr>
          <w:rStyle w:val="FootnoteAnchor"/>
          <w:rtl w:val="true"/>
        </w:rPr>
        <w:footnoteReference w:id="1030"/>
      </w:r>
      <w:r>
        <w:rPr>
          <w:rFonts w:ascii="Amiri" w:hAnsi="Amiri" w:eastAsia="Amiri" w:cs="Amiri"/>
          <w:color w:val="111111"/>
          <w:sz w:val="28"/>
          <w:sz w:val="28"/>
          <w:szCs w:val="28"/>
          <w:rtl w:val="true"/>
          <w:lang w:bidi="ar-SA"/>
        </w:rPr>
        <w:t xml:space="preserve">، أو جعل المال حليّا كصحيحة معاوية بن عمّار المحكية عن مستطرفات السرائر، عن كتاب معاوية بن عمّار </w:t>
      </w:r>
      <w:r>
        <w:rPr>
          <w:rStyle w:val="FootnoteAnchor"/>
          <w:rtl w:val="true"/>
        </w:rPr>
        <w:footnoteReference w:id="1031"/>
      </w:r>
      <w:r>
        <w:rPr>
          <w:rFonts w:ascii="Amiri" w:hAnsi="Amiri" w:eastAsia="Amiri" w:cs="Amiri"/>
          <w:color w:val="111111"/>
          <w:sz w:val="28"/>
          <w:sz w:val="28"/>
          <w:szCs w:val="28"/>
          <w:rtl w:val="true"/>
          <w:lang w:bidi="ar-SA"/>
        </w:rPr>
        <w:t xml:space="preserve">و نحوها حسنة ابن مسلم بابن هاشم </w:t>
      </w:r>
      <w:r>
        <w:rPr>
          <w:rStyle w:val="FootnoteAnchor"/>
          <w:rtl w:val="true"/>
        </w:rPr>
        <w:footnoteReference w:id="1032"/>
      </w:r>
      <w:r>
        <w:rPr>
          <w:rFonts w:ascii="Amiri" w:hAnsi="Amiri" w:eastAsia="Amiri" w:cs="Amiri"/>
          <w:color w:val="111111"/>
          <w:sz w:val="28"/>
          <w:sz w:val="28"/>
          <w:szCs w:val="28"/>
          <w:rtl w:val="true"/>
          <w:lang w:bidi="ar-SA"/>
        </w:rPr>
        <w:t>، و تحمل على من فرّ بها بعد حلول الحول، كما فسّر به الصادق عليه السلام كلام الباقر عليه السلام في الحسنة المتقدّمة و في حسنة حريز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بها من الزكاة فعليه أن يؤدّيها،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 إنّ عليه أن يؤدّي ما وجب عليه، و ما لم</w:t>
      </w:r>
    </w:p>
    <w:p>
      <w:pPr>
        <w:pStyle w:val="BookText"/>
        <w:rPr/>
      </w:pPr>
      <w:r>
        <w:rPr>
          <w:rFonts w:ascii="Amiri" w:hAnsi="Amiri" w:eastAsia="Amiri" w:cs="Amiri"/>
          <w:color w:val="111111"/>
          <w:sz w:val="28"/>
          <w:sz w:val="28"/>
          <w:szCs w:val="28"/>
          <w:rtl w:val="true"/>
          <w:lang w:bidi="ar-SA"/>
        </w:rPr>
        <w:t>يجب عليه فلا شي‌ء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تنظير ما نحن فيه بمن أغمي عليه ثمّ مات حيث إنّه لا قضاء عليه، و بمن مرض في رمضان ثمّ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الرجل لا يؤدّي عن ماله إلّا ما حلّ عليه الحول</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الحمل في تلك الأخبار و إن كان بعيدا في نفسه إلّا أنّه يصير قريبا بملاحظة هاتين الحسنتين بابن هاشم، لكن هذا الحمل ينافي </w:t>
      </w:r>
      <w:r>
        <w:rPr>
          <w:rStyle w:val="FootnoteAnchor"/>
          <w:rtl w:val="true"/>
        </w:rPr>
        <w:footnoteReference w:id="1034"/>
      </w:r>
      <w:r>
        <w:rPr>
          <w:rFonts w:ascii="Amiri" w:hAnsi="Amiri" w:eastAsia="Amiri" w:cs="Amiri"/>
          <w:color w:val="111111"/>
          <w:sz w:val="28"/>
          <w:sz w:val="28"/>
          <w:szCs w:val="28"/>
          <w:rtl w:val="true"/>
          <w:lang w:bidi="ar-SA"/>
        </w:rPr>
        <w:t>رواية ابن عمّار حيث انّ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فر به من الزكاة فعليه الزكاة </w:t>
      </w:r>
      <w:r>
        <w:rPr>
          <w:rStyle w:val="FootnoteAnchor"/>
          <w:rtl w:val="true"/>
        </w:rPr>
        <w:footnoteReference w:id="1035"/>
      </w:r>
      <w:r>
        <w:rPr>
          <w:rFonts w:ascii="Amiri" w:hAnsi="Amiri" w:eastAsia="Amiri" w:cs="Amiri"/>
          <w:color w:val="111111"/>
          <w:sz w:val="28"/>
          <w:sz w:val="28"/>
          <w:szCs w:val="28"/>
          <w:rtl w:val="true"/>
          <w:lang w:bidi="ar-SA"/>
        </w:rPr>
        <w:t>، و إن كان إنما فعله ليتجمّل به فليس عليه زكاة</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فإنّ مورد التقسيم لا بد أن يكون قبل الحول، و إلّا لم يسقط </w:t>
      </w:r>
      <w:r>
        <w:rPr>
          <w:rStyle w:val="FootnoteAnchor"/>
          <w:rtl w:val="true"/>
        </w:rPr>
        <w:footnoteReference w:id="1037"/>
      </w:r>
      <w:r>
        <w:rPr>
          <w:rFonts w:ascii="Amiri" w:hAnsi="Amiri" w:eastAsia="Amiri" w:cs="Amiri"/>
          <w:color w:val="111111"/>
          <w:sz w:val="28"/>
          <w:sz w:val="28"/>
          <w:szCs w:val="28"/>
          <w:rtl w:val="true"/>
          <w:lang w:bidi="ar-SA"/>
        </w:rPr>
        <w:t xml:space="preserve">عنه في القسم الثاني و يمكن حمل تلك الأخبار على التقيّة من مالك و أحمد كما عن المنتهى </w:t>
      </w:r>
      <w:r>
        <w:rPr>
          <w:rStyle w:val="FootnoteAnchor"/>
          <w:rtl w:val="true"/>
        </w:rPr>
        <w:footnoteReference w:id="1038"/>
      </w:r>
      <w:r>
        <w:rPr>
          <w:rFonts w:ascii="Amiri" w:hAnsi="Amiri" w:eastAsia="Amiri" w:cs="Amiri"/>
          <w:color w:val="111111"/>
          <w:sz w:val="28"/>
          <w:sz w:val="28"/>
          <w:szCs w:val="28"/>
          <w:rtl w:val="true"/>
          <w:lang w:bidi="ar-SA"/>
        </w:rPr>
        <w:t xml:space="preserve">، و إن كان القول بعدم الوجوب محكيّا عن جميع المخالفين كما عن الانتصار </w:t>
      </w:r>
      <w:r>
        <w:rPr>
          <w:rStyle w:val="FootnoteAnchor"/>
          <w:rtl w:val="true"/>
        </w:rPr>
        <w:footnoteReference w:id="1039"/>
      </w:r>
      <w:r>
        <w:rPr>
          <w:rFonts w:ascii="Amiri" w:hAnsi="Amiri" w:eastAsia="Amiri" w:cs="Amiri"/>
          <w:color w:val="111111"/>
          <w:sz w:val="28"/>
          <w:sz w:val="28"/>
          <w:szCs w:val="28"/>
          <w:rtl w:val="true"/>
          <w:lang w:bidi="ar-SA"/>
        </w:rPr>
        <w:t xml:space="preserve">، أو عن الشافعي و أبي حنيفة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w:t>
      </w:r>
      <w:r>
        <w:rPr>
          <w:rStyle w:val="FootnoteAnchor"/>
          <w:rtl w:val="true"/>
        </w:rPr>
        <w:footnoteReference w:id="1041"/>
      </w:r>
      <w:r>
        <w:rPr>
          <w:rFonts w:ascii="Amiri" w:hAnsi="Amiri" w:eastAsia="Amiri" w:cs="Amiri"/>
          <w:color w:val="111111"/>
          <w:sz w:val="28"/>
          <w:sz w:val="28"/>
          <w:szCs w:val="28"/>
          <w:rtl w:val="true"/>
          <w:lang w:bidi="ar-SA"/>
        </w:rPr>
        <w:t>الاتقاء عنه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أيضا الحمل على الاستحباب، و هو الأوفق بقاعدة الجمع و الاحتياط</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ذلك إرادة المكلّف الفرار من الزكاة؛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ذلك و إخراج الزكاة لكنّه كما ترى مخالف لسياق تلك</w:t>
      </w:r>
    </w:p>
    <w:p>
      <w:pPr>
        <w:pStyle w:val="BookText"/>
        <w:rPr/>
      </w:pPr>
      <w:r>
        <w:rPr>
          <w:rFonts w:ascii="Amiri" w:hAnsi="Amiri" w:eastAsia="Amiri" w:cs="Amiri"/>
          <w:color w:val="111111"/>
          <w:sz w:val="28"/>
          <w:sz w:val="28"/>
          <w:szCs w:val="28"/>
          <w:rtl w:val="true"/>
          <w:lang w:bidi="ar-SA"/>
        </w:rPr>
        <w:t xml:space="preserve">الروايات، فإنّ </w:t>
      </w:r>
      <w:r>
        <w:rPr>
          <w:rStyle w:val="FootnoteAnchor"/>
          <w:rtl w:val="true"/>
        </w:rPr>
        <w:footnoteReference w:id="1042"/>
      </w:r>
      <w:r>
        <w:rPr>
          <w:rFonts w:ascii="Amiri" w:hAnsi="Amiri" w:eastAsia="Amiri" w:cs="Amiri"/>
          <w:color w:val="111111"/>
          <w:sz w:val="28"/>
          <w:sz w:val="28"/>
          <w:szCs w:val="28"/>
          <w:rtl w:val="true"/>
          <w:lang w:bidi="ar-SA"/>
        </w:rPr>
        <w:t>سياقها في أنّه هل ينفع الفرار في إسقاط الوجوب أم لا، مع 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واحد من أدلّة السقوط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منع نفسه من فضله أكثر ممّا منع من حقّ اللّٰه الذي يكون فيه</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مشير إلى صيرورته بالفرار محروما عن فضيلة الزكاة، إلّا أنّ باب الاستحباب أوسع من أن يسدّ بهذه الوجوه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الرياض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 إنّما هو في تبديل النصاب بقصد الفرار، و أمّا إتلافه كلّا أو بعضا فالظاهر عدم الخلاف في السقوط به، بل لو اقتصر المخالف على مورد الأخبار الدالّة على أنّه لا يجدي الفرار، لزمه القول باختصاص ذلك بالنقدين إذا تبدّل أحدهما بالآخر كما في رواية إسحاق بن عمّار </w:t>
      </w:r>
      <w:r>
        <w:rPr>
          <w:rStyle w:val="FootnoteAnchor"/>
          <w:rtl w:val="true"/>
        </w:rPr>
        <w:footnoteReference w:id="1045"/>
      </w:r>
      <w:r>
        <w:rPr>
          <w:rFonts w:ascii="Amiri" w:hAnsi="Amiri" w:eastAsia="Amiri" w:cs="Amiri"/>
          <w:color w:val="111111"/>
          <w:sz w:val="28"/>
          <w:sz w:val="28"/>
          <w:szCs w:val="28"/>
          <w:rtl w:val="true"/>
          <w:lang w:bidi="ar-SA"/>
        </w:rPr>
        <w:t xml:space="preserve">أو صيغا حليّا كما في غيرها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bookmarkStart w:id="72" w:name="pg19722_766235"/>
    </w:p>
    <w:p>
      <w:pPr>
        <w:pStyle w:val="Heading4"/>
        <w:numPr>
          <w:ilvl w:val="3"/>
          <w:numId w:val="1"/>
        </w:numPr>
        <w:rPr/>
      </w:pPr>
      <w:bookmarkStart w:id="73" w:name="__RefHeading___Toc2136328_2314609296"/>
      <w:bookmarkStart w:id="74" w:name="_Toc26"/>
      <w:bookmarkEnd w:id="72"/>
      <w:bookmarkEnd w:id="73"/>
      <w:r>
        <w:rPr>
          <w:rtl w:val="true"/>
        </w:rPr>
        <w:t xml:space="preserve">مسألة </w:t>
      </w:r>
      <w:r>
        <w:rPr>
          <w:rtl w:val="true"/>
        </w:rPr>
        <w:t>[</w:t>
      </w:r>
      <w:r>
        <w:rPr/>
        <w:t>16</w:t>
      </w:r>
      <w:r>
        <w:rPr>
          <w:rtl w:val="true"/>
        </w:rPr>
        <w:t>]</w:t>
      </w:r>
      <w:bookmarkEnd w:id="74"/>
    </w:p>
    <w:p>
      <w:pPr>
        <w:pStyle w:val="BookText"/>
        <w:rPr/>
      </w:pPr>
      <w:r>
        <w:rPr>
          <w:rFonts w:ascii="Amiri" w:hAnsi="Amiri" w:eastAsia="Amiri" w:cs="Amiri"/>
          <w:color w:val="111111"/>
          <w:sz w:val="28"/>
          <w:sz w:val="28"/>
          <w:szCs w:val="28"/>
          <w:rtl w:val="true"/>
          <w:lang w:bidi="ar-SA"/>
        </w:rPr>
        <w:t>لا خلاف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صريح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للسخال حولا بانفرادها </w:t>
      </w:r>
      <w:r>
        <w:rPr>
          <w:rStyle w:val="FootnoteAnchor"/>
          <w:rtl w:val="true"/>
        </w:rPr>
        <w:footnoteReference w:id="1047"/>
      </w:r>
      <w:r>
        <w:rPr>
          <w:rFonts w:ascii="Amiri" w:hAnsi="Amiri" w:eastAsia="Amiri" w:cs="Amiri"/>
          <w:color w:val="111111"/>
          <w:sz w:val="28"/>
          <w:sz w:val="28"/>
          <w:szCs w:val="28"/>
          <w:rtl w:val="true"/>
          <w:lang w:bidi="ar-SA"/>
        </w:rPr>
        <w:t xml:space="preserve">بمعنى أنّه لا يكفي في تعلّق الزكاة حولان الحول على أمّهاتها، خلافا للمحكي عن أكثر الجمهور </w:t>
      </w:r>
      <w:r>
        <w:rPr>
          <w:rStyle w:val="FootnoteAnchor"/>
          <w:rtl w:val="true"/>
        </w:rPr>
        <w:footnoteReference w:id="1048"/>
      </w:r>
      <w:r>
        <w:rPr>
          <w:rFonts w:ascii="Amiri" w:hAnsi="Amiri" w:eastAsia="Amiri" w:cs="Amiri"/>
          <w:color w:val="111111"/>
          <w:sz w:val="28"/>
          <w:sz w:val="28"/>
          <w:szCs w:val="28"/>
          <w:rtl w:val="true"/>
          <w:lang w:bidi="ar-SA"/>
        </w:rPr>
        <w:t>بشرط تولّدها منها و بلوغ الأمّهات نصابا و الاشتراك مع الأمّهات في جزء من الحول بأن لا يتولّد بعد حولان الحول على الأمّهات، و إجماع الإمامية 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كانت السخال نصابا مستقلّا بعد نصاب الأمّهات، كما لو ولدت خمس من الإبل خمسا، فلا إشكال في ابتداء حولها، و أنّه من حين النتاج أو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المتقدّم</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فيتغاير حولاهما دائما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ناقصة عن نصاب فمقتضى القاعدة أنّه مال متجدّد ضمّ إلى الأمّهات، فلو ضمّ إلى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فبعد </w:t>
      </w:r>
      <w:r>
        <w:rPr>
          <w:rStyle w:val="FootnoteAnchor"/>
          <w:rtl w:val="true"/>
        </w:rPr>
        <w:footnoteReference w:id="1050"/>
      </w:r>
      <w:r>
        <w:rPr>
          <w:rFonts w:ascii="IRNazanin" w:hAnsi="IRNazanin" w:eastAsia="IRNazanin"/>
          <w:color w:val="111111"/>
          <w:sz w:val="28"/>
          <w:sz w:val="28"/>
          <w:szCs w:val="28"/>
          <w:rtl w:val="true"/>
          <w:lang w:bidi="fa-IR"/>
        </w:rPr>
        <w:t>الحول الأوّل</w:t>
      </w:r>
    </w:p>
    <w:p>
      <w:pPr>
        <w:pStyle w:val="BookText"/>
        <w:rPr/>
      </w:pPr>
      <w:r>
        <w:rPr>
          <w:rFonts w:ascii="Amiri" w:hAnsi="Amiri" w:eastAsia="Amiri" w:cs="Amiri"/>
          <w:color w:val="111111"/>
          <w:sz w:val="28"/>
          <w:sz w:val="28"/>
          <w:szCs w:val="28"/>
          <w:rtl w:val="true"/>
          <w:lang w:bidi="ar-SA"/>
        </w:rPr>
        <w:t>للأمّهات لا يجب إلّا واحد لها، و لا يجب بعد حلول الحول على السخال شي‌ء فيها؛ إذ لا يفرّق بين مجتمع، و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إنّما هو في النصاب الابتدائي، لأنّ الأربعين ليس نصابا كليّا في الغنم، و إنّما هو نصاب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أربعين شاة ثمّ ملك أخرى في أثناء الحول، فعند تمام حول الاولى يجب شاة، فإذا تمّ حول الثانية ففي وجوب </w:t>
      </w:r>
      <w:r>
        <w:rPr>
          <w:rStyle w:val="FootnoteAnchor"/>
          <w:rtl w:val="true"/>
        </w:rPr>
        <w:footnoteReference w:id="1052"/>
      </w:r>
      <w:r>
        <w:rPr>
          <w:rFonts w:ascii="Amiri" w:hAnsi="Amiri" w:eastAsia="Amiri" w:cs="Amiri"/>
          <w:color w:val="111111"/>
          <w:sz w:val="28"/>
          <w:sz w:val="28"/>
          <w:szCs w:val="28"/>
          <w:rtl w:val="true"/>
          <w:lang w:bidi="ar-SA"/>
        </w:rPr>
        <w:t>الزكاة فيها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الثاني لا يجب؛ لأنّ الثمانين ملك لواحد، فلا يجب فيها أكثر من واحد </w:t>
      </w:r>
      <w:r>
        <w:rPr>
          <w:rStyle w:val="FootnoteAnchor"/>
          <w:rtl w:val="true"/>
        </w:rPr>
        <w:footnoteReference w:id="1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المنتهى </w:t>
      </w:r>
      <w:r>
        <w:rPr>
          <w:rStyle w:val="FootnoteAnchor"/>
          <w:rtl w:val="true"/>
        </w:rPr>
        <w:footnoteReference w:id="1055"/>
      </w:r>
      <w:r>
        <w:rPr>
          <w:rFonts w:ascii="Amiri" w:hAnsi="Amiri" w:eastAsia="Amiri" w:cs="Amiri"/>
          <w:color w:val="111111"/>
          <w:sz w:val="28"/>
          <w:sz w:val="28"/>
          <w:szCs w:val="28"/>
          <w:rtl w:val="true"/>
          <w:lang w:bidi="ar-SA"/>
        </w:rPr>
        <w:t>أنّه حكى الوجوب قولا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عدد السخال متمّما لنصاب آخر للأمّهات، كما لو ولدت إحدى و ثلاثون من البقر عشرا </w:t>
      </w:r>
      <w:r>
        <w:rPr>
          <w:rStyle w:val="FootnoteAnchor"/>
          <w:rtl w:val="true"/>
        </w:rPr>
        <w:footnoteReference w:id="1056"/>
      </w:r>
      <w:r>
        <w:rPr>
          <w:rFonts w:ascii="Amiri" w:hAnsi="Amiri" w:eastAsia="Amiri" w:cs="Amiri"/>
          <w:color w:val="111111"/>
          <w:sz w:val="28"/>
          <w:sz w:val="28"/>
          <w:szCs w:val="28"/>
          <w:rtl w:val="true"/>
          <w:lang w:bidi="ar-SA"/>
        </w:rPr>
        <w:t xml:space="preserve">فصارت بعد إخراج الفريضة أربعين، وجب عند كمال حول الثلاثين واحد، و لا يهدم حولها ضمّ الزيادة؛ لعدم الدليل على تخصيص ما دلّ على وجوب الزكاة في الثلاثين بحلول الحول عليه، فحينئذ يصير الكلّ </w:t>
      </w:r>
      <w:r>
        <w:rPr>
          <w:rStyle w:val="FootnoteAnchor"/>
          <w:rtl w:val="true"/>
        </w:rPr>
        <w:footnoteReference w:id="1057"/>
      </w:r>
      <w:r>
        <w:rPr>
          <w:rFonts w:ascii="Amiri" w:hAnsi="Amiri" w:eastAsia="Amiri" w:cs="Amiri"/>
          <w:color w:val="111111"/>
          <w:sz w:val="28"/>
          <w:sz w:val="28"/>
          <w:szCs w:val="28"/>
          <w:rtl w:val="true"/>
          <w:lang w:bidi="ar-SA"/>
        </w:rPr>
        <w:t xml:space="preserve">أربعين؛ فيبتدأ لها حول من هذا الزمان، و يحتمل </w:t>
      </w:r>
      <w:r>
        <w:rPr>
          <w:rStyle w:val="FootnoteAnchor"/>
          <w:rtl w:val="true"/>
        </w:rPr>
        <w:footnoteReference w:id="1058"/>
      </w:r>
      <w:r>
        <w:rPr>
          <w:rFonts w:ascii="Amiri" w:hAnsi="Amiri" w:eastAsia="Amiri" w:cs="Amiri"/>
          <w:color w:val="111111"/>
          <w:sz w:val="28"/>
          <w:sz w:val="28"/>
          <w:szCs w:val="28"/>
          <w:rtl w:val="true"/>
          <w:lang w:bidi="ar-SA"/>
        </w:rPr>
        <w:t>من زمان وجود الزيادة فإذا</w:t>
      </w:r>
    </w:p>
    <w:p>
      <w:pPr>
        <w:pStyle w:val="BookText"/>
        <w:rPr/>
      </w:pPr>
      <w:r>
        <w:rPr>
          <w:rFonts w:ascii="Amiri" w:hAnsi="Amiri" w:eastAsia="Amiri" w:cs="Amiri"/>
          <w:color w:val="111111"/>
          <w:sz w:val="28"/>
          <w:sz w:val="28"/>
          <w:szCs w:val="28"/>
          <w:rtl w:val="true"/>
          <w:lang w:bidi="ar-SA"/>
        </w:rPr>
        <w:t>مضى حول من زمان الزيادة، وجبت فريضة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لأنّ الثلاثين لا يزكّى مرّتين في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يوهمه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ورثته أو وهب لك فاستقبل به</w:t>
      </w:r>
      <w:r>
        <w:rPr>
          <w:rFonts w:eastAsia="Amiri" w:cs="Amiri" w:ascii="Amiri" w:hAnsi="Amiri"/>
          <w:color w:val="111111"/>
          <w:sz w:val="28"/>
          <w:szCs w:val="28"/>
          <w:rtl w:val="true"/>
          <w:lang w:bidi="ar-SA"/>
        </w:rPr>
        <w:t xml:space="preserve">» </w:t>
      </w:r>
      <w:r>
        <w:rPr>
          <w:rStyle w:val="FootnoteAnchor"/>
          <w:rtl w:val="true"/>
        </w:rPr>
        <w:footnoteReference w:id="1059"/>
      </w:r>
      <w:r>
        <w:rPr>
          <w:rFonts w:ascii="IRNazanin" w:hAnsi="IRNazanin" w:eastAsia="IRNazanin"/>
          <w:color w:val="111111"/>
          <w:sz w:val="28"/>
          <w:sz w:val="28"/>
          <w:szCs w:val="28"/>
          <w:rtl w:val="true"/>
          <w:lang w:bidi="fa-IR"/>
        </w:rPr>
        <w:t>إذ الظاهر أنّ المراد استئناف الحول له من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جملة الكلام في هذا المقام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الضميمة الحاصلة في أثناء حول الأمّهات نصابا مستقلّا منفردا، أو في ضمن الغير، كأن ولدت خمس من الإبل خمسا، فإنّ الخمسة الثانية أيضا نصاب بعد النصاب الأوّل، و لا إشكال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لا يكون كذلك،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لا يكون نصابا و لا مكمّلا لنصاب، كأن ولدت خمس من الإبل أربعا، و حكمه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يكون يبلغ النصاب إذا كان منفردا لا في ضمن غيره، و لا يبلغ المجموع نصابا ثانيا، كأن ولدت الزائد على أربعين شاة زائدا على أربعين بعد ستّة أشهر، فالظاهر أنّه لا يستقلّ نصاب للفرع، فيجب حينئذ عند مرور السنة على الأصل شاة واحدة، و لا يجب بعد ستّة أشهر من السنة </w:t>
      </w:r>
      <w:r>
        <w:rPr>
          <w:rStyle w:val="FootnoteAnchor"/>
          <w:rtl w:val="true"/>
        </w:rPr>
        <w:footnoteReference w:id="1060"/>
      </w:r>
      <w:r>
        <w:rPr>
          <w:rFonts w:ascii="Amiri" w:hAnsi="Amiri" w:eastAsia="Amiri" w:cs="Amiri"/>
          <w:color w:val="111111"/>
          <w:sz w:val="28"/>
          <w:sz w:val="28"/>
          <w:szCs w:val="28"/>
          <w:rtl w:val="true"/>
          <w:lang w:bidi="ar-SA"/>
        </w:rPr>
        <w:t xml:space="preserve">واحدة للفرع، فيكون الواجب عليه شاة في كلّ ستّة أشهر التي هي رأس السنة لأحدهما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 أربعين 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فعمومه بالنسبة إلى الأفراد المتعدّدة باعتبار تعدّد الملّاك لا تعدّد الأملاك لمالك حتّى يكون ظاهره وجوب شاتين في ثمانين، و ثلاثة في مائة و عشرين، و خمسة في مائتين، و هكذا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ذلك مع التزام خروج ما خرج بالإجماع كما ترى، مع أنّ قوله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ليس فيها شي‌ء حتى يبلغ مائة و عشرين، فإذا بلغت ذلك ففيه أيضا واحدة، فإذا زادت واحدة ففيه شاتان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كالصّريح في أنّ الأربعين نصاب شخصي لا يجتمع اثنان منها في مال واحد، كما يجتمع في النصب الكليّة كنصاب البقر و بعض نصاب الغنم و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بلغ المجموع نصابا ثانيا، كما لو ولدت الزائد على الأربعين ما ألحقها بالنصاب الثاني، كما لو ولدت مائة مائة، فالظاهر أنّه ينتظر حول الأصل، فإذا حصل ينضمّ إليه الباقي و يستقلّ </w:t>
      </w:r>
      <w:r>
        <w:rPr>
          <w:rStyle w:val="FootnoteAnchor"/>
          <w:rtl w:val="true"/>
        </w:rPr>
        <w:footnoteReference w:id="1062"/>
      </w:r>
      <w:r>
        <w:rPr>
          <w:rFonts w:ascii="IRNazanin" w:hAnsi="IRNazanin" w:eastAsia="IRNazanin"/>
          <w:color w:val="111111"/>
          <w:sz w:val="28"/>
          <w:sz w:val="28"/>
          <w:szCs w:val="28"/>
          <w:rtl w:val="true"/>
          <w:lang w:bidi="fa-IR"/>
        </w:rPr>
        <w:t>لهما 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الفرق بين هذا و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يتعلّق به زكاة إلّا إذا صار جزء من النصاب الأوّل، بأن ينقص عدد الأصل فيجب بالفرع، بخلاف هذه الصورة، فإنّ الفرع يضمّ إلى </w:t>
      </w:r>
      <w:r>
        <w:rPr>
          <w:rStyle w:val="FootnoteAnchor"/>
          <w:rtl w:val="true"/>
        </w:rPr>
        <w:footnoteReference w:id="1063"/>
      </w:r>
      <w:r>
        <w:rPr>
          <w:rFonts w:ascii="Amiri" w:hAnsi="Amiri" w:eastAsia="Amiri" w:cs="Amiri"/>
          <w:color w:val="111111"/>
          <w:sz w:val="28"/>
          <w:sz w:val="28"/>
          <w:szCs w:val="28"/>
          <w:rtl w:val="true"/>
          <w:lang w:bidi="ar-SA"/>
        </w:rPr>
        <w:t>الأصل بعد إكمال سنة الأصل، و يتعلّق بالمجموع الزكاة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الزائد نصابا في ضمن غيره لا منفردا، كما إذا ولدت من مائة و خمسين خمسون، فإنّ الخمسين نصاب في ضمن ما زاد على الثلاثمائة و واحدة لا مستقلا، و الظاهر أنّه لا إشكال في أنّه لا يستقلّ حول لها، بل إذا حال حول الأصل يخرج زكاته </w:t>
      </w:r>
      <w:r>
        <w:rPr>
          <w:rStyle w:val="FootnoteAnchor"/>
          <w:rtl w:val="true"/>
        </w:rPr>
        <w:footnoteReference w:id="1064"/>
      </w:r>
      <w:r>
        <w:rPr>
          <w:rFonts w:ascii="Amiri" w:hAnsi="Amiri" w:eastAsia="Amiri" w:cs="Amiri"/>
          <w:color w:val="111111"/>
          <w:sz w:val="28"/>
          <w:sz w:val="28"/>
          <w:szCs w:val="28"/>
          <w:rtl w:val="true"/>
          <w:lang w:bidi="ar-SA"/>
        </w:rPr>
        <w:t>ثمّ يضمّ إليه الفرع، و يستقلّ بمجموعها الحول، و لا يزكّى الفرع و هو الخمسون بعد حلول الحول المختصّ بها، و هو ما إذا مضى ستّة أشهر من الحول الثاني للأصل؛ لأنّ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خمسين حقة، و في كل أربعين بنت لبون</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هو الخمسون أو الأربعون إذا حال عليه الحول في ضمن</w:t>
      </w:r>
    </w:p>
    <w:p>
      <w:pPr>
        <w:pStyle w:val="BookText"/>
        <w:rPr/>
      </w:pPr>
      <w:r>
        <w:rPr>
          <w:rFonts w:ascii="IRNazanin" w:hAnsi="IRNazanin" w:eastAsia="IRNazanin"/>
          <w:color w:val="111111"/>
          <w:sz w:val="28"/>
          <w:sz w:val="28"/>
          <w:szCs w:val="28"/>
          <w:rtl w:val="true"/>
          <w:lang w:bidi="fa-IR"/>
        </w:rPr>
        <w:t xml:space="preserve">ما زاد على </w:t>
      </w:r>
      <w:r>
        <w:rPr>
          <w:rStyle w:val="FootnoteAnchor"/>
          <w:rtl w:val="true"/>
        </w:rPr>
        <w:footnoteReference w:id="1066"/>
      </w:r>
      <w:r>
        <w:rPr>
          <w:rFonts w:ascii="Amiri" w:hAnsi="Amiri" w:eastAsia="Amiri" w:cs="Amiri"/>
          <w:color w:val="111111"/>
          <w:sz w:val="28"/>
          <w:sz w:val="28"/>
          <w:szCs w:val="28"/>
          <w:rtl w:val="true"/>
          <w:lang w:bidi="ar-SA"/>
        </w:rPr>
        <w:t>النصاب الحادي عشر، لا مستقلّا 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كثرت الإبل ففي كلّ خمسين حقّة</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لو زاد على الستّ و العشرين من الإبل خمس، فهو من هذا القسم، لا القسم السابق </w:t>
      </w:r>
      <w:r>
        <w:rPr>
          <w:rStyle w:val="FootnoteAnchor"/>
          <w:rtl w:val="true"/>
        </w:rPr>
        <w:footnoteReference w:id="1068"/>
      </w:r>
      <w:r>
        <w:rPr>
          <w:rFonts w:ascii="Amiri" w:hAnsi="Amiri" w:eastAsia="Amiri" w:cs="Amiri"/>
          <w:color w:val="111111"/>
          <w:sz w:val="28"/>
          <w:sz w:val="28"/>
          <w:szCs w:val="28"/>
          <w:rtl w:val="true"/>
          <w:lang w:bidi="ar-SA"/>
        </w:rPr>
        <w:t xml:space="preserve">لأنّ الخمس نصاب، إمّا منفردا و إمّا في ضمن ما دون الخمسة و العشرين، و ليس نصابا مستقلّا في هذا الفرض، بل هو عفو هنا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إذا كان الزائد نصابا، إمّا مطلقا كخمس من الإبل، أو بشرط الانفراد كأربعين شاة، أو بشرط الانضمام كخمسين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يكن نصابا </w:t>
      </w:r>
      <w:r>
        <w:rPr>
          <w:rStyle w:val="FootnoteAnchor"/>
          <w:rtl w:val="true"/>
        </w:rPr>
        <w:footnoteReference w:id="1070"/>
      </w:r>
      <w:r>
        <w:rPr>
          <w:rFonts w:ascii="Amiri" w:hAnsi="Amiri" w:eastAsia="Amiri" w:cs="Amiri"/>
          <w:color w:val="111111"/>
          <w:sz w:val="28"/>
          <w:sz w:val="28"/>
          <w:szCs w:val="28"/>
          <w:rtl w:val="true"/>
          <w:lang w:bidi="ar-SA"/>
        </w:rPr>
        <w:t>و لكن كان مكمّلا لنصاب، بحيث يخرج الأصل بانضمامها إلى نصاب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ولدت ثلاثون من البقر أحد عشر بعد ستّة أشهر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إشكال في وجوب تبيع إذا حال حول الثلاثين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الإشكال في مبدأ حول الأربعين هل هو من حين الزيادة، فيجب المسنّة في المثال </w:t>
      </w:r>
      <w:r>
        <w:rPr>
          <w:rStyle w:val="FootnoteAnchor"/>
          <w:rtl w:val="true"/>
        </w:rPr>
        <w:footnoteReference w:id="1071"/>
      </w:r>
      <w:r>
        <w:rPr>
          <w:rFonts w:ascii="Amiri" w:hAnsi="Amiri" w:eastAsia="Amiri" w:cs="Amiri"/>
          <w:color w:val="111111"/>
          <w:sz w:val="28"/>
          <w:sz w:val="28"/>
          <w:szCs w:val="28"/>
          <w:rtl w:val="true"/>
          <w:lang w:bidi="ar-SA"/>
        </w:rPr>
        <w:t>المفروض بعد مضي ستّة أشهر من حول الثلاثين لحلول حول الأربعين، أو يصدق عليها أنّها أربعون حال عليها الحول؟ أو هو من حين كمال حول الثلاثين؛ لأنّ الثلاثين في حولها متعلّقة لزكاة ذلك الحول، فالتبيع المخرج منها متعلّق بها و مشاع فيها، فلا يتعلّق بها الزكاة إلّا بعد حلول حول عليها، فلو تعلّق بها شي‌ء بعد ستّة أشهر لزم تعلّق الزكاة بها في سنة مرّتين، يردّه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زكاة القرض على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يزكّى المال من وجهين في عام</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صدق أنّه حال الحول على الأربعين مسلّم، لكن حلول الحول ليس سببا لوجوب الزكاة إلّا في ذلك الحول، و المفروض أنّ في ذلك الحول تعلّق الزكاة بالثلاثين و لو في النصف الأوّل من ذلك الحول، فيلزم أن يكون نصف أوّل هذا الحول مؤثّرا في تعلّق زكاتين بالثلاثين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في نفس الثلاثين، و زكاة في ضمن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ذهاب بعض مشايخنا المعاصرين إلى هذا الاحتمال،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أدري </w:t>
      </w:r>
      <w:r>
        <w:rPr>
          <w:rStyle w:val="FootnoteAnchor"/>
          <w:rtl w:val="true"/>
        </w:rPr>
        <w:footnoteReference w:id="1073"/>
      </w:r>
      <w:r>
        <w:rPr>
          <w:rFonts w:ascii="Amiri" w:hAnsi="Amiri" w:eastAsia="Amiri" w:cs="Amiri"/>
          <w:color w:val="111111"/>
          <w:sz w:val="28"/>
          <w:sz w:val="28"/>
          <w:szCs w:val="28"/>
          <w:rtl w:val="true"/>
          <w:lang w:bidi="ar-SA"/>
        </w:rPr>
        <w:t xml:space="preserve">له مبطلا، و لا إجماع على خلافه و إن لم يصرّح أحد باختياره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أبطل ما اخترناه بعموم ما دلّ على وجوب الزكاة بحلول الحول على النصاب، و بما تقدّم من مصحّحة أبي بصير المتقدّمة في مسألة الحول الواردة في السؤال عمّن حال عليه الحول و قد أتى لنصف ماله سنة و لنصفه الآخر ستّة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يزكّي الذي مرّت عليه سنة و يدع الآخر حتّى تمرّ عليه سنة</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العمومات فقد عرفت أنّها إنّما </w:t>
      </w:r>
      <w:r>
        <w:rPr>
          <w:rStyle w:val="FootnoteAnchor"/>
          <w:rtl w:val="true"/>
        </w:rPr>
        <w:footnoteReference w:id="1076"/>
      </w:r>
      <w:r>
        <w:rPr>
          <w:rFonts w:ascii="Amiri" w:hAnsi="Amiri" w:eastAsia="Amiri" w:cs="Amiri"/>
          <w:color w:val="111111"/>
          <w:sz w:val="28"/>
          <w:sz w:val="28"/>
          <w:szCs w:val="28"/>
          <w:rtl w:val="true"/>
          <w:lang w:bidi="ar-SA"/>
        </w:rPr>
        <w:t>تدلّ على وجوب الزكاة بحلول الحول على المال الذي لم يجر في حول آخر، و المفروض أنّ النصاب الأوّل قد جرى في النصف الأوّل من حول الضميمة، فلا يجري في حول الضميمة مرّة أخرى، فيكون ستّة أشهر له محسوبا من حولين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أبي بصير، فإن أبقيت على ظاهرها من إرادة النصف، فخارج</w:t>
      </w:r>
    </w:p>
    <w:p>
      <w:pPr>
        <w:pStyle w:val="BookText"/>
        <w:rPr/>
      </w:pPr>
      <w:r>
        <w:rPr>
          <w:rFonts w:ascii="Amiri" w:hAnsi="Amiri" w:eastAsia="Amiri" w:cs="Amiri"/>
          <w:color w:val="111111"/>
          <w:sz w:val="28"/>
          <w:sz w:val="28"/>
          <w:szCs w:val="28"/>
          <w:rtl w:val="true"/>
          <w:lang w:bidi="ar-SA"/>
        </w:rPr>
        <w:t xml:space="preserve">عمّا نحن فيه؛ لأنّ موردها في النقدين، و المفروض أنّ </w:t>
      </w:r>
      <w:r>
        <w:rPr>
          <w:rStyle w:val="FootnoteAnchor"/>
          <w:rtl w:val="true"/>
        </w:rPr>
        <w:footnoteReference w:id="1077"/>
      </w:r>
      <w:r>
        <w:rPr>
          <w:rFonts w:ascii="Amiri" w:hAnsi="Amiri" w:eastAsia="Amiri" w:cs="Amiri"/>
          <w:color w:val="111111"/>
          <w:sz w:val="28"/>
          <w:sz w:val="28"/>
          <w:szCs w:val="28"/>
          <w:rtl w:val="true"/>
          <w:lang w:bidi="ar-SA"/>
        </w:rPr>
        <w:t>الذي مرّت عليه السنة لا يزكّى حتّى يكون بقدر النصاب الأوّل لأحد النقدين، فيكون نصفه الآخر الذي مضى عليه ستّة أشهر كذلك أيضا فتكون المسألة مما إذا انضمّ إلى النصاب نصاب مستقلّ آخر كضمّ خمس من الإبل إلى خمس، و لا إشكال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حمل النصف فيها على مطلق البعض فلا يمكن </w:t>
      </w:r>
      <w:r>
        <w:rPr>
          <w:rStyle w:val="FootnoteAnchor"/>
          <w:rtl w:val="true"/>
        </w:rPr>
        <w:footnoteReference w:id="1078"/>
      </w:r>
      <w:r>
        <w:rPr>
          <w:rFonts w:ascii="Amiri" w:hAnsi="Amiri" w:eastAsia="Amiri" w:cs="Amiri"/>
          <w:color w:val="111111"/>
          <w:sz w:val="28"/>
          <w:sz w:val="28"/>
          <w:szCs w:val="28"/>
          <w:rtl w:val="true"/>
          <w:lang w:bidi="ar-SA"/>
        </w:rPr>
        <w:t>في النقدين، إذ لو فرضنا النصف الآخر أقلّ من النصاب الثاني للنقدين لم يجب فيه شي‌ء قطعا و إن كان بقدره أو أكثر أو أقلّ من النصاب الأول فهو خارج عن هذه المسألة، و هو ما إذا كان الزائد مكمّلا للأصل و ملحقا له بالنصاب الثاني، بل داخل في المسألة السابقة عليه، و هو ما إذا كان الزائد نصابا في ضمن الغير لا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ريب في ضعف هذا الاحتمال، و ضعف ما ذكره العلّامة </w:t>
      </w:r>
      <w:r>
        <w:rPr>
          <w:rStyle w:val="FootnoteAnchor"/>
          <w:rtl w:val="true"/>
        </w:rPr>
        <w:footnoteReference w:id="1079"/>
      </w:r>
      <w:r>
        <w:rPr>
          <w:rFonts w:ascii="Amiri" w:hAnsi="Amiri" w:eastAsia="Amiri" w:cs="Amiri"/>
          <w:color w:val="111111"/>
          <w:sz w:val="28"/>
          <w:sz w:val="28"/>
          <w:szCs w:val="28"/>
          <w:rtl w:val="true"/>
          <w:lang w:bidi="ar-SA"/>
        </w:rPr>
        <w:t xml:space="preserve">من أنّه يعطى عند تمام حول الأصول فريضتها، و عند تمام حول الفروع من زمن الزيادة ما يخصّ الفروع من فريضة النصاب الحاصل بعد ضمّها فيعطي من ولدت له ثلاثون </w:t>
      </w:r>
      <w:r>
        <w:rPr>
          <w:rStyle w:val="FootnoteAnchor"/>
          <w:rtl w:val="true"/>
        </w:rPr>
        <w:footnoteReference w:id="1080"/>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نصف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عشرة بقرة في رأس حول الأمّهات تبيعا، و في رأس حول الفروع ربع مسنّة؛ لأنّه يخصّ العشر لو وزّعت المسنة على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مجرّد اعتبار؛ لأنّ أدلّة حولان الحول على الأربعين لو شمل هذا فلا محيص عن وجوب المسنّة، و إلّا فلا دليل على وجوب الربع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 بهذا الوجه بين ما دلّ على وجوب التبيع في رأس حول الثلاثين، و وجوب المسنّة في رأس حول الأربعين، بعد تعارضهما بضميمة ما ثبت من عدم</w:t>
      </w:r>
    </w:p>
    <w:p>
      <w:pPr>
        <w:pStyle w:val="BookText"/>
        <w:rPr/>
      </w:pPr>
      <w:r>
        <w:rPr>
          <w:rFonts w:ascii="Amiri" w:hAnsi="Amiri" w:eastAsia="Amiri" w:cs="Amiri"/>
          <w:color w:val="111111"/>
          <w:sz w:val="28"/>
          <w:sz w:val="28"/>
          <w:szCs w:val="28"/>
          <w:rtl w:val="true"/>
          <w:lang w:bidi="ar-SA"/>
        </w:rPr>
        <w:t>تعدّد الزكاة في عام واحد لمال واحد، حسن لو استفيد من أدلّة الفريضة في النصاب كون حولان الحول على كلّ جزء من النصاب سببا لوجوب حقّة من النصاب، و لو لم يكن مثلها في مثله، و هو بعيد عن مدلول اللفظ و إن كان قريبا إلى الاعتبار، بل الظاهر توقّف الوجوب في كلّ جزء على مصاحبة الوجوب في غيره توقّف معيّة، لا توقّف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الإيضاح</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قلنا بربع المسنّة عند كمال حول الفروع، فهل يجب بعد ستّة أشهر حيث يتمّ حول الأمّهات ثلاث أرباع مسنّة، أو يجب تبيع ثمّ ربع مسنّة عند كمال الحول الثاني للفروع، فيكون دائما عند إكمال حول الأصول تبيع، و عند إكمال حول الفروع ربع مسنّة،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حلول الحول على الثلاثين، و من صدق حلوله على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أقوى</w:t>
      </w:r>
      <w:r>
        <w:rPr>
          <w:rFonts w:eastAsia="Amiri" w:cs="Amiri" w:ascii="Amiri" w:hAnsi="Amiri"/>
          <w:color w:val="111111"/>
          <w:sz w:val="28"/>
          <w:szCs w:val="28"/>
          <w:rtl w:val="true"/>
          <w:lang w:bidi="ar-SA"/>
        </w:rPr>
        <w:t>.</w:t>
      </w:r>
      <w:bookmarkStart w:id="75" w:name="pg19722_766243"/>
    </w:p>
    <w:p>
      <w:pPr>
        <w:pStyle w:val="Heading4"/>
        <w:numPr>
          <w:ilvl w:val="3"/>
          <w:numId w:val="1"/>
        </w:numPr>
        <w:rPr/>
      </w:pPr>
      <w:bookmarkStart w:id="76" w:name="__RefHeading___Toc2136330_2314609296"/>
      <w:bookmarkStart w:id="77" w:name="_Toc27"/>
      <w:bookmarkEnd w:id="75"/>
      <w:bookmarkEnd w:id="76"/>
      <w:r>
        <w:rPr>
          <w:rtl w:val="true"/>
        </w:rPr>
        <w:t xml:space="preserve">مسألة </w:t>
      </w:r>
      <w:r>
        <w:rPr>
          <w:rtl w:val="true"/>
        </w:rPr>
        <w:t>[</w:t>
      </w:r>
      <w:r>
        <w:rPr/>
        <w:t>17</w:t>
      </w:r>
      <w:r>
        <w:rPr>
          <w:rtl w:val="true"/>
        </w:rPr>
        <w:t>]</w:t>
      </w:r>
      <w:bookmarkEnd w:id="77"/>
    </w:p>
    <w:p>
      <w:pPr>
        <w:pStyle w:val="BookText"/>
        <w:rPr/>
      </w:pPr>
      <w:r>
        <w:rPr>
          <w:rFonts w:ascii="Amiri" w:hAnsi="Amiri" w:eastAsia="Amiri" w:cs="Amiri"/>
          <w:color w:val="111111"/>
          <w:sz w:val="28"/>
          <w:sz w:val="28"/>
          <w:szCs w:val="28"/>
          <w:rtl w:val="true"/>
          <w:lang w:bidi="ar-SA"/>
        </w:rPr>
        <w:t xml:space="preserve">يشترط في الأنعام أن لا تكون عوامل؛ للإجماع الظاهر، بل </w:t>
      </w:r>
      <w:r>
        <w:rPr>
          <w:rStyle w:val="FootnoteAnchor"/>
          <w:rtl w:val="true"/>
        </w:rPr>
        <w:footnoteReference w:id="1082"/>
      </w:r>
      <w:r>
        <w:rPr>
          <w:rFonts w:ascii="Amiri" w:hAnsi="Amiri" w:eastAsia="Amiri" w:cs="Amiri"/>
          <w:color w:val="111111"/>
          <w:sz w:val="28"/>
          <w:sz w:val="28"/>
          <w:szCs w:val="28"/>
          <w:rtl w:val="true"/>
          <w:lang w:bidi="ar-SA"/>
        </w:rPr>
        <w:t xml:space="preserve">المصرّح به في محكيّ التذكرة </w:t>
      </w:r>
      <w:r>
        <w:rPr>
          <w:rStyle w:val="FootnoteAnchor"/>
          <w:rtl w:val="true"/>
        </w:rPr>
        <w:footnoteReference w:id="1083"/>
      </w:r>
      <w:r>
        <w:rPr>
          <w:rFonts w:ascii="Amiri" w:hAnsi="Amiri" w:eastAsia="Amiri" w:cs="Amiri"/>
          <w:color w:val="111111"/>
          <w:sz w:val="28"/>
          <w:sz w:val="28"/>
          <w:szCs w:val="28"/>
          <w:rtl w:val="true"/>
          <w:lang w:bidi="ar-SA"/>
        </w:rPr>
        <w:t xml:space="preserve">و الرياض </w:t>
      </w:r>
      <w:r>
        <w:rPr>
          <w:rStyle w:val="FootnoteAnchor"/>
          <w:rtl w:val="true"/>
        </w:rPr>
        <w:footnoteReference w:id="1084"/>
      </w:r>
      <w:r>
        <w:rPr>
          <w:rFonts w:ascii="Amiri" w:hAnsi="Amiri" w:eastAsia="Amiri" w:cs="Amiri"/>
          <w:color w:val="111111"/>
          <w:sz w:val="28"/>
          <w:sz w:val="28"/>
          <w:szCs w:val="28"/>
          <w:rtl w:val="true"/>
          <w:lang w:bidi="ar-SA"/>
        </w:rPr>
        <w:t xml:space="preserve">و المدارك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الذخيرة و غيرها نفي الخلاف </w:t>
      </w:r>
      <w:r>
        <w:rPr>
          <w:rStyle w:val="FootnoteAnchor"/>
          <w:rtl w:val="true"/>
        </w:rPr>
        <w:footnoteReference w:id="1086"/>
      </w:r>
      <w:r>
        <w:rPr>
          <w:rFonts w:ascii="Amiri" w:hAnsi="Amiri" w:eastAsia="Amiri" w:cs="Amiri"/>
          <w:color w:val="111111"/>
          <w:sz w:val="28"/>
          <w:sz w:val="28"/>
          <w:szCs w:val="28"/>
          <w:rtl w:val="true"/>
          <w:lang w:bidi="ar-SA"/>
        </w:rPr>
        <w:t>لصحيحة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العوامل من الإبل و البقر شي‌ء إنّما الصدقات على السائمة الراعية</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الحسنة بابن هاشم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مرسلة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لا يأخذ من جمال العمل شي‌ء، و كأنّه لم يجب أن يؤخذ من الذكور شي‌ء؛ لأنّه ظهر يحمل عليها</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روايات إسحاق بن عمّار </w:t>
      </w:r>
      <w:r>
        <w:rPr>
          <w:rStyle w:val="FootnoteAnchor"/>
          <w:rtl w:val="true"/>
        </w:rPr>
        <w:footnoteReference w:id="1090"/>
      </w:r>
      <w:r>
        <w:rPr>
          <w:rFonts w:ascii="Amiri" w:hAnsi="Amiri" w:eastAsia="Amiri" w:cs="Amiri"/>
          <w:color w:val="111111"/>
          <w:sz w:val="28"/>
          <w:sz w:val="28"/>
          <w:szCs w:val="28"/>
          <w:rtl w:val="true"/>
          <w:lang w:bidi="ar-SA"/>
        </w:rPr>
        <w:t>بالوجوب محمولة أو 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صدق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فكلّما صدق على حيوان أنّها عاملة خرج عن </w:t>
      </w:r>
      <w:r>
        <w:rPr>
          <w:rStyle w:val="FootnoteAnchor"/>
          <w:rtl w:val="true"/>
        </w:rPr>
        <w:footnoteReference w:id="1091"/>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الفرق بين العمل و السوم في كفاية مسمّى الأوّل في المنع و وجوب استغراق الثاني للحول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الثاني شرط فيجب استمراره طول الحول، و الأوّل مانع فيكفي وجوده في بعضه، مع أنّ العمل مقابل للسوم </w:t>
      </w:r>
      <w:r>
        <w:rPr>
          <w:rStyle w:val="FootnoteAnchor"/>
          <w:rtl w:val="true"/>
        </w:rPr>
        <w:footnoteReference w:id="1092"/>
      </w:r>
      <w:r>
        <w:rPr>
          <w:rFonts w:ascii="Amiri" w:hAnsi="Amiri" w:eastAsia="Amiri" w:cs="Amiri"/>
          <w:color w:val="111111"/>
          <w:sz w:val="28"/>
          <w:sz w:val="28"/>
          <w:szCs w:val="28"/>
          <w:rtl w:val="true"/>
          <w:lang w:bidi="ar-SA"/>
        </w:rPr>
        <w:t xml:space="preserve">كما في الصحيحة، فمقتضى اعتبار السوم طول الحول كفاية العمل في بعضه في رفع المشروط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الحيوان لا يصدق عليه العامل بمجرّد اتّفاق العمل له في اليوم أو اليومين من السنة بل من الشهر، فإنّ الظاهر من العوامل ما صار شغلها الدائمي أو الغالبي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المحكيّ عن سلّار اعتبار الأنوثة في الأنعام </w:t>
      </w:r>
      <w:r>
        <w:rPr>
          <w:rStyle w:val="FootnoteAnchor"/>
          <w:rtl w:val="true"/>
        </w:rPr>
        <w:footnoteReference w:id="1094"/>
      </w:r>
      <w:r>
        <w:rPr>
          <w:rFonts w:ascii="Amiri" w:hAnsi="Amiri" w:eastAsia="Amiri" w:cs="Amiri"/>
          <w:color w:val="111111"/>
          <w:sz w:val="28"/>
          <w:sz w:val="28"/>
          <w:szCs w:val="28"/>
          <w:rtl w:val="true"/>
          <w:lang w:bidi="ar-SA"/>
        </w:rPr>
        <w:t>، لظاهر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خمس من الإبل شاة</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bookmarkStart w:id="78" w:name="pg19722_766245"/>
    </w:p>
    <w:p>
      <w:pPr>
        <w:pStyle w:val="Heading4"/>
        <w:numPr>
          <w:ilvl w:val="3"/>
          <w:numId w:val="1"/>
        </w:numPr>
        <w:rPr/>
      </w:pPr>
      <w:bookmarkStart w:id="79" w:name="__RefHeading___Toc2136332_2314609296"/>
      <w:bookmarkStart w:id="80" w:name="_Toc28"/>
      <w:bookmarkEnd w:id="78"/>
      <w:bookmarkEnd w:id="79"/>
      <w:r>
        <w:rPr>
          <w:rtl w:val="true"/>
        </w:rPr>
        <w:t xml:space="preserve">مسألة </w:t>
      </w:r>
      <w:r>
        <w:rPr>
          <w:rtl w:val="true"/>
        </w:rPr>
        <w:t>[</w:t>
      </w:r>
      <w:r>
        <w:rPr/>
        <w:t>18</w:t>
      </w:r>
      <w:r>
        <w:rPr>
          <w:rtl w:val="true"/>
        </w:rPr>
        <w:t>]</w:t>
      </w:r>
      <w:bookmarkEnd w:id="8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إخراج القيمة عن العين في زكاة الغلّات و النقدين، اتّفاقا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و عن التذكرة </w:t>
      </w:r>
      <w:r>
        <w:rPr>
          <w:rStyle w:val="FootnoteAnchor"/>
          <w:rtl w:val="true"/>
        </w:rPr>
        <w:footnoteReference w:id="1097"/>
      </w:r>
      <w:r>
        <w:rPr>
          <w:rFonts w:ascii="Amiri" w:hAnsi="Amiri" w:eastAsia="Amiri" w:cs="Amiri"/>
          <w:color w:val="111111"/>
          <w:sz w:val="28"/>
          <w:sz w:val="28"/>
          <w:szCs w:val="28"/>
          <w:rtl w:val="true"/>
          <w:lang w:bidi="ar-SA"/>
        </w:rPr>
        <w:t>و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بالإجماع </w:t>
      </w:r>
      <w:r>
        <w:rPr>
          <w:rStyle w:val="FootnoteAnchor"/>
          <w:rtl w:val="true"/>
        </w:rPr>
        <w:footnoteReference w:id="1098"/>
      </w:r>
      <w:r>
        <w:rPr>
          <w:rFonts w:ascii="Amiri" w:hAnsi="Amiri" w:eastAsia="Amiri" w:cs="Amiri"/>
          <w:color w:val="111111"/>
          <w:sz w:val="28"/>
          <w:sz w:val="28"/>
          <w:szCs w:val="28"/>
          <w:rtl w:val="true"/>
          <w:lang w:bidi="ar-SA"/>
        </w:rPr>
        <w:t xml:space="preserve">، كما عن </w:t>
      </w:r>
      <w:r>
        <w:rPr>
          <w:rStyle w:val="FootnoteAnchor"/>
          <w:rtl w:val="true"/>
        </w:rPr>
        <w:footnoteReference w:id="1099"/>
      </w:r>
      <w:r>
        <w:rPr>
          <w:rFonts w:ascii="IRNazanin" w:hAnsi="IRNazanin" w:eastAsia="IRNazanin"/>
          <w:color w:val="111111"/>
          <w:sz w:val="28"/>
          <w:sz w:val="28"/>
          <w:szCs w:val="28"/>
          <w:rtl w:val="true"/>
          <w:lang w:bidi="fa-IR"/>
        </w:rPr>
        <w:t xml:space="preserve">ظاهر المبسوط </w:t>
      </w:r>
      <w:r>
        <w:rPr>
          <w:rStyle w:val="FootnoteAnchor"/>
          <w:rtl w:val="true"/>
        </w:rPr>
        <w:footnoteReference w:id="1100"/>
      </w:r>
      <w:r>
        <w:rPr>
          <w:rFonts w:ascii="Amiri" w:hAnsi="Amiri" w:eastAsia="Amiri" w:cs="Amiri"/>
          <w:color w:val="111111"/>
          <w:sz w:val="28"/>
          <w:sz w:val="28"/>
          <w:szCs w:val="28"/>
          <w:rtl w:val="true"/>
          <w:lang w:bidi="ar-SA"/>
        </w:rPr>
        <w:t xml:space="preserve">و إيضاح النافع </w:t>
      </w:r>
      <w:r>
        <w:rPr>
          <w:rStyle w:val="FootnoteAnchor"/>
          <w:rtl w:val="true"/>
        </w:rPr>
        <w:footnoteReference w:id="1101"/>
      </w:r>
      <w:r>
        <w:rPr>
          <w:rFonts w:ascii="Amiri" w:hAnsi="Amiri" w:eastAsia="Amiri" w:cs="Amiri"/>
          <w:color w:val="111111"/>
          <w:sz w:val="28"/>
          <w:sz w:val="28"/>
          <w:szCs w:val="28"/>
          <w:rtl w:val="true"/>
          <w:lang w:bidi="ar-SA"/>
        </w:rPr>
        <w:t xml:space="preserve">و الرياض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كلام بعض </w:t>
      </w:r>
      <w:r>
        <w:rPr>
          <w:rStyle w:val="FootnoteAnchor"/>
          <w:rtl w:val="true"/>
        </w:rPr>
        <w:footnoteReference w:id="1103"/>
      </w:r>
      <w:r>
        <w:rPr>
          <w:rFonts w:ascii="Amiri" w:hAnsi="Amiri" w:eastAsia="Amiri" w:cs="Amiri"/>
          <w:color w:val="111111"/>
          <w:sz w:val="28"/>
          <w:sz w:val="28"/>
          <w:szCs w:val="28"/>
          <w:rtl w:val="true"/>
          <w:lang w:bidi="ar-SA"/>
        </w:rPr>
        <w:t>أنّه حكي عن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مع أنّه حكى عن شرح الروضة </w:t>
      </w:r>
      <w:r>
        <w:rPr>
          <w:rStyle w:val="FootnoteAnchor"/>
          <w:rtl w:val="true"/>
        </w:rPr>
        <w:footnoteReference w:id="1104"/>
      </w:r>
      <w:r>
        <w:rPr>
          <w:rFonts w:ascii="Amiri" w:hAnsi="Amiri" w:eastAsia="Amiri" w:cs="Amiri"/>
          <w:color w:val="111111"/>
          <w:sz w:val="28"/>
          <w:sz w:val="28"/>
          <w:szCs w:val="28"/>
          <w:rtl w:val="true"/>
          <w:lang w:bidi="ar-SA"/>
        </w:rPr>
        <w:t xml:space="preserve">التصريح بموافقة الإسكافي للمشهور لمصححة </w:t>
      </w:r>
      <w:r>
        <w:rPr>
          <w:rStyle w:val="FootnoteAnchor"/>
          <w:rtl w:val="true"/>
        </w:rPr>
        <w:footnoteReference w:id="1105"/>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أن اخرج عمّا يجب في الحرث من الحنطة و الشعير و ما يجب على الذهب دراهم قيمة ما يسوى، أم لا يجوز إلّا أن يخرج من كلّ شي‌ء ما فيه؟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صحيحة علي بن جعفر عليه السلام في إخراج أحد النقدين في زكاة الآخر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قرب الإسناد، عن محمّد بن وليد، عن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ثيابا و طعاما، و أرى أنّ ذلك خير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إطلاق الأخيرة، بل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أطلق جواز إخراج كلّ ما تيسر في مقام دفع توهّم السائل وجوب أن يخرج عن كلّ شي‌ء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إخراج القيمة في الأنعام أيضا،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Style w:val="FootnoteAnchor"/>
          <w:rtl w:val="true"/>
        </w:rPr>
        <w:footnoteReference w:id="1109"/>
      </w:r>
      <w:r>
        <w:rPr>
          <w:rFonts w:ascii="Amiri" w:hAnsi="Amiri" w:eastAsia="Amiri" w:cs="Amiri"/>
          <w:color w:val="111111"/>
          <w:sz w:val="28"/>
          <w:sz w:val="28"/>
          <w:szCs w:val="28"/>
          <w:rtl w:val="true"/>
          <w:lang w:bidi="ar-SA"/>
        </w:rPr>
        <w:t xml:space="preserve">، المحكي عن المرتضى </w:t>
      </w:r>
      <w:r>
        <w:rPr>
          <w:rStyle w:val="FootnoteAnchor"/>
          <w:rtl w:val="true"/>
        </w:rPr>
        <w:footnoteReference w:id="1110"/>
      </w:r>
      <w:r>
        <w:rPr>
          <w:rFonts w:ascii="Amiri" w:hAnsi="Amiri" w:eastAsia="Amiri" w:cs="Amiri"/>
          <w:color w:val="111111"/>
          <w:sz w:val="28"/>
          <w:sz w:val="28"/>
          <w:szCs w:val="28"/>
          <w:rtl w:val="true"/>
          <w:lang w:bidi="ar-SA"/>
        </w:rPr>
        <w:t xml:space="preserve">و الشيخ </w:t>
      </w:r>
      <w:r>
        <w:rPr>
          <w:rStyle w:val="FootnoteAnchor"/>
          <w:rtl w:val="true"/>
        </w:rPr>
        <w:footnoteReference w:id="1111"/>
      </w:r>
      <w:r>
        <w:rPr>
          <w:rFonts w:ascii="Amiri" w:hAnsi="Amiri" w:eastAsia="Amiri" w:cs="Amiri"/>
          <w:color w:val="111111"/>
          <w:sz w:val="28"/>
          <w:sz w:val="28"/>
          <w:szCs w:val="28"/>
          <w:rtl w:val="true"/>
          <w:lang w:bidi="ar-SA"/>
        </w:rPr>
        <w:t xml:space="preserve">و ابن زهرة </w:t>
      </w:r>
      <w:r>
        <w:rPr>
          <w:rStyle w:val="FootnoteAnchor"/>
          <w:rtl w:val="true"/>
        </w:rPr>
        <w:footnoteReference w:id="1112"/>
      </w:r>
      <w:r>
        <w:rPr>
          <w:rFonts w:ascii="Amiri" w:hAnsi="Amiri" w:eastAsia="Amiri" w:cs="Amiri"/>
          <w:color w:val="111111"/>
          <w:sz w:val="28"/>
          <w:sz w:val="28"/>
          <w:szCs w:val="28"/>
          <w:rtl w:val="true"/>
          <w:lang w:bidi="ar-SA"/>
        </w:rPr>
        <w:t xml:space="preserve">و الحلّي </w:t>
      </w:r>
      <w:r>
        <w:rPr>
          <w:rStyle w:val="FootnoteAnchor"/>
          <w:rtl w:val="true"/>
        </w:rPr>
        <w:footnoteReference w:id="1113"/>
      </w:r>
      <w:r>
        <w:rPr>
          <w:rFonts w:ascii="Amiri" w:hAnsi="Amiri" w:eastAsia="Amiri" w:cs="Amiri"/>
          <w:color w:val="111111"/>
          <w:sz w:val="28"/>
          <w:sz w:val="28"/>
          <w:szCs w:val="28"/>
          <w:rtl w:val="true"/>
          <w:lang w:bidi="ar-SA"/>
        </w:rPr>
        <w:t xml:space="preserve">و القاضي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و الشهيدين </w:t>
      </w:r>
      <w:r>
        <w:rPr>
          <w:rStyle w:val="FootnoteAnchor"/>
          <w:rtl w:val="true"/>
        </w:rPr>
        <w:footnoteReference w:id="1115"/>
      </w:r>
      <w:r>
        <w:rPr>
          <w:rFonts w:ascii="Amiri" w:hAnsi="Amiri" w:eastAsia="Amiri" w:cs="Amiri"/>
          <w:color w:val="111111"/>
          <w:sz w:val="28"/>
          <w:sz w:val="28"/>
          <w:szCs w:val="28"/>
          <w:rtl w:val="true"/>
          <w:lang w:bidi="ar-SA"/>
        </w:rPr>
        <w:t xml:space="preserve">بل عن صريح الشيخ </w:t>
      </w:r>
      <w:r>
        <w:rPr>
          <w:rStyle w:val="FootnoteAnchor"/>
          <w:rtl w:val="true"/>
        </w:rPr>
        <w:footnoteReference w:id="1116"/>
      </w:r>
      <w:r>
        <w:rPr>
          <w:rFonts w:ascii="Amiri" w:hAnsi="Amiri" w:eastAsia="Amiri" w:cs="Amiri"/>
          <w:color w:val="111111"/>
          <w:sz w:val="28"/>
          <w:sz w:val="28"/>
          <w:szCs w:val="28"/>
          <w:rtl w:val="true"/>
          <w:lang w:bidi="ar-SA"/>
        </w:rPr>
        <w:t xml:space="preserve">و ابن زهرة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كظاهر السيّد </w:t>
      </w:r>
      <w:r>
        <w:rPr>
          <w:rStyle w:val="FootnoteAnchor"/>
          <w:rtl w:val="true"/>
        </w:rPr>
        <w:footnoteReference w:id="1118"/>
      </w:r>
      <w:r>
        <w:rPr>
          <w:rFonts w:ascii="Amiri" w:hAnsi="Amiri" w:eastAsia="Amiri" w:cs="Amiri"/>
          <w:color w:val="111111"/>
          <w:sz w:val="28"/>
          <w:sz w:val="28"/>
          <w:szCs w:val="28"/>
          <w:rtl w:val="true"/>
          <w:lang w:bidi="ar-SA"/>
        </w:rPr>
        <w:t xml:space="preserve">و الحلّي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و بذلك ينجبر ضعف سند رواية قرب الإسناد، بل و دلالته أيضا، كدلالة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يؤيّدها ما دلّ </w:t>
      </w:r>
      <w:r>
        <w:rPr>
          <w:rStyle w:val="FootnoteAnchor"/>
          <w:rtl w:val="true"/>
        </w:rPr>
        <w:footnoteReference w:id="1120"/>
      </w:r>
      <w:r>
        <w:rPr>
          <w:rFonts w:ascii="Amiri" w:hAnsi="Amiri" w:eastAsia="Amiri" w:cs="Amiri"/>
          <w:color w:val="111111"/>
          <w:sz w:val="28"/>
          <w:sz w:val="28"/>
          <w:szCs w:val="28"/>
          <w:rtl w:val="true"/>
          <w:lang w:bidi="ar-SA"/>
        </w:rPr>
        <w:t>على جواز احتساب الدين من الزكاة الشاملة بإطلاقها لزكاة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يؤيّدها ما يستفاد من الأدلّة من تسهيل الأمر على المالك مثل تجويز إخراج الزكاة من غير العين؛ فإنّ قيمة العين أولى بالجواز من إخراج مثل العين، إذ الأنعام ليست من المثليات، فالقيمة أقرب إليها من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إذا جاز إخراج القيمة في المثليات ففي القيميات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 </w:t>
      </w:r>
      <w:r>
        <w:rPr>
          <w:rStyle w:val="FootnoteAnchor"/>
          <w:rtl w:val="true"/>
        </w:rPr>
        <w:footnoteReference w:id="1121"/>
      </w:r>
      <w:r>
        <w:rPr>
          <w:rFonts w:ascii="Amiri" w:hAnsi="Amiri" w:eastAsia="Amiri" w:cs="Amiri"/>
          <w:color w:val="111111"/>
          <w:sz w:val="28"/>
          <w:sz w:val="28"/>
          <w:szCs w:val="28"/>
          <w:rtl w:val="true"/>
          <w:lang w:bidi="ar-SA"/>
        </w:rPr>
        <w:t>قول الصادق عليه السلام في صحيحة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Style w:val="FootnoteAnchor"/>
          <w:rtl w:val="true"/>
        </w:rPr>
        <w:footnoteReference w:id="1122"/>
      </w:r>
      <w:r>
        <w:rPr>
          <w:rFonts w:ascii="Amiri" w:hAnsi="Amiri" w:eastAsia="Amiri" w:cs="Amiri"/>
          <w:color w:val="111111"/>
          <w:sz w:val="28"/>
          <w:sz w:val="28"/>
          <w:szCs w:val="28"/>
          <w:rtl w:val="true"/>
          <w:lang w:bidi="ar-SA"/>
        </w:rPr>
        <w:t xml:space="preserve">يعني </w:t>
      </w:r>
      <w:r>
        <w:rPr>
          <w:rStyle w:val="FootnoteAnchor"/>
          <w:rtl w:val="true"/>
        </w:rPr>
        <w:footnoteReference w:id="1123"/>
      </w:r>
      <w:r>
        <w:rPr>
          <w:rFonts w:ascii="Amiri" w:hAnsi="Amiri" w:eastAsia="Amiri" w:cs="Amiri"/>
          <w:color w:val="111111"/>
          <w:sz w:val="28"/>
          <w:sz w:val="28"/>
          <w:szCs w:val="28"/>
          <w:rtl w:val="true"/>
          <w:lang w:bidi="ar-SA"/>
        </w:rPr>
        <w:t>السهم المأخوذ من الأنعام في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قامت على ثمن فإن أرادها صاحبها فهو أحقّ بها</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فإنّ هذا الكلام يفهم عرفا أنّه إذا أراد المالك أوّلا إخراج القيمة التي تقوم الفريضة عليه فله 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ما تقدّم </w:t>
      </w:r>
      <w:r>
        <w:rPr>
          <w:rStyle w:val="FootnoteAnchor"/>
          <w:rtl w:val="true"/>
        </w:rPr>
        <w:footnoteReference w:id="1125"/>
      </w:r>
      <w:r>
        <w:rPr>
          <w:rFonts w:ascii="Amiri" w:hAnsi="Amiri" w:eastAsia="Amiri" w:cs="Amiri"/>
          <w:color w:val="111111"/>
          <w:sz w:val="28"/>
          <w:sz w:val="28"/>
          <w:szCs w:val="28"/>
          <w:rtl w:val="true"/>
          <w:lang w:bidi="ar-SA"/>
        </w:rPr>
        <w:t>في جواز إعطاء الأعلى من أسنان الإبل و أخذ التفاوت</w:t>
      </w:r>
    </w:p>
    <w:p>
      <w:pPr>
        <w:pStyle w:val="BookText"/>
        <w:rPr/>
      </w:pPr>
      <w:r>
        <w:rPr>
          <w:rFonts w:ascii="IRNazanin" w:hAnsi="IRNazanin" w:eastAsia="IRNazanin"/>
          <w:color w:val="111111"/>
          <w:sz w:val="28"/>
          <w:sz w:val="28"/>
          <w:szCs w:val="28"/>
          <w:rtl w:val="true"/>
          <w:lang w:bidi="fa-IR"/>
        </w:rPr>
        <w:t xml:space="preserve">أو إعطاء الأدنى عن </w:t>
      </w:r>
      <w:r>
        <w:rPr>
          <w:rStyle w:val="FootnoteAnchor"/>
          <w:rtl w:val="true"/>
        </w:rPr>
        <w:footnoteReference w:id="1126"/>
      </w:r>
      <w:r>
        <w:rPr>
          <w:rFonts w:ascii="IRNazanin" w:hAnsi="IRNazanin" w:eastAsia="IRNazanin"/>
          <w:color w:val="111111"/>
          <w:sz w:val="28"/>
          <w:sz w:val="28"/>
          <w:szCs w:val="28"/>
          <w:rtl w:val="true"/>
          <w:lang w:bidi="fa-IR"/>
        </w:rPr>
        <w:t xml:space="preserve">الأعلى مع دفع التفاوت؛ </w:t>
      </w:r>
      <w:r>
        <w:rPr>
          <w:rStyle w:val="FootnoteAnchor"/>
          <w:rtl w:val="true"/>
        </w:rPr>
        <w:footnoteReference w:id="1127"/>
      </w:r>
      <w:r>
        <w:rPr>
          <w:rFonts w:ascii="Amiri" w:hAnsi="Amiri" w:eastAsia="Amiri" w:cs="Amiri"/>
          <w:color w:val="111111"/>
          <w:sz w:val="28"/>
          <w:sz w:val="28"/>
          <w:szCs w:val="28"/>
          <w:rtl w:val="true"/>
          <w:lang w:bidi="ar-SA"/>
        </w:rPr>
        <w:t xml:space="preserve">فإنّه و إن كان مختصّا بمورد معيّن إلّا أنّه لا يخلو عن التأييد، حيث انّه من المساهلات مع المالك في عدم التزامه </w:t>
      </w:r>
      <w:r>
        <w:rPr>
          <w:rStyle w:val="FootnoteAnchor"/>
          <w:rtl w:val="true"/>
        </w:rPr>
        <w:footnoteReference w:id="1128"/>
      </w:r>
      <w:r>
        <w:rPr>
          <w:rFonts w:ascii="Amiri" w:hAnsi="Amiri" w:eastAsia="Amiri" w:cs="Amiri"/>
          <w:color w:val="111111"/>
          <w:sz w:val="28"/>
          <w:sz w:val="28"/>
          <w:szCs w:val="28"/>
          <w:rtl w:val="true"/>
          <w:lang w:bidi="ar-SA"/>
        </w:rPr>
        <w:t>بشراء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أيّد ذلك </w:t>
      </w:r>
      <w:r>
        <w:rPr>
          <w:rStyle w:val="FootnoteAnchor"/>
          <w:rtl w:val="true"/>
        </w:rPr>
        <w:footnoteReference w:id="1129"/>
      </w:r>
      <w:r>
        <w:rPr>
          <w:rFonts w:ascii="Amiri" w:hAnsi="Amiri" w:eastAsia="Amiri" w:cs="Amiri"/>
          <w:color w:val="111111"/>
          <w:sz w:val="28"/>
          <w:sz w:val="28"/>
          <w:szCs w:val="28"/>
          <w:rtl w:val="true"/>
          <w:lang w:bidi="ar-SA"/>
        </w:rPr>
        <w:t xml:space="preserve">خلاف المختار، بتقريب أنّه لو جاز القيمة لم يحتج إلى تكلّف الإخراج من الإبل و الجبر بالشاة أو الدراهم </w:t>
      </w:r>
      <w:r>
        <w:rPr>
          <w:rStyle w:val="FootnoteAnchor"/>
          <w:rtl w:val="true"/>
        </w:rPr>
        <w:footnoteReference w:id="1130"/>
      </w:r>
      <w:r>
        <w:rPr>
          <w:rFonts w:ascii="Amiri" w:hAnsi="Amiri" w:eastAsia="Amiri" w:cs="Amiri"/>
          <w:color w:val="111111"/>
          <w:sz w:val="28"/>
          <w:sz w:val="28"/>
          <w:szCs w:val="28"/>
          <w:rtl w:val="true"/>
          <w:lang w:bidi="ar-SA"/>
        </w:rPr>
        <w:t>، بل مقتضى التسهيل هو الترخيص في المحاسبة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أمر الساعي بأخذ القيمة لعلّه لكونه معرضا لوقوع التشاحّ بينه و بين المالك في قيمة ما دفعه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حاجة إلى التأييد بهذه الرواية لما تقدّم من المؤيّدات المجبرة </w:t>
      </w:r>
      <w:r>
        <w:rPr>
          <w:rStyle w:val="FootnoteAnchor"/>
          <w:rtl w:val="true"/>
        </w:rPr>
        <w:footnoteReference w:id="1131"/>
      </w:r>
      <w:r>
        <w:rPr>
          <w:rFonts w:ascii="Amiri" w:hAnsi="Amiri" w:eastAsia="Amiri" w:cs="Amiri"/>
          <w:color w:val="111111"/>
          <w:sz w:val="28"/>
          <w:sz w:val="28"/>
          <w:szCs w:val="28"/>
          <w:rtl w:val="true"/>
          <w:lang w:bidi="ar-SA"/>
        </w:rPr>
        <w:t>لضعف ما تقدّم سندا، مع أنّ الشيخ نسب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إجماع الفرقة و أخبارهم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ما عليه المشهور، دون ما عن المفيد </w:t>
      </w:r>
      <w:r>
        <w:rPr>
          <w:rStyle w:val="FootnoteAnchor"/>
          <w:rtl w:val="true"/>
        </w:rPr>
        <w:footnoteReference w:id="1133"/>
      </w:r>
      <w:r>
        <w:rPr>
          <w:rFonts w:ascii="Amiri" w:hAnsi="Amiri" w:eastAsia="Amiri" w:cs="Amiri"/>
          <w:color w:val="111111"/>
          <w:sz w:val="28"/>
          <w:sz w:val="28"/>
          <w:szCs w:val="28"/>
          <w:rtl w:val="true"/>
          <w:lang w:bidi="ar-SA"/>
        </w:rPr>
        <w:t xml:space="preserve">و الإسكافي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إخراج القيمة مع التمكّن، و مال إليه في الحدائق </w:t>
      </w:r>
      <w:r>
        <w:rPr>
          <w:rStyle w:val="FootnoteAnchor"/>
          <w:rtl w:val="true"/>
        </w:rPr>
        <w:footnoteReference w:id="1135"/>
      </w:r>
      <w:r>
        <w:rPr>
          <w:rFonts w:ascii="Amiri" w:hAnsi="Amiri" w:eastAsia="Amiri" w:cs="Amiri"/>
          <w:color w:val="111111"/>
          <w:sz w:val="28"/>
          <w:sz w:val="28"/>
          <w:szCs w:val="28"/>
          <w:rtl w:val="true"/>
          <w:lang w:bidi="ar-SA"/>
        </w:rPr>
        <w:t xml:space="preserve">، و توقّف فيه في المعتبر </w:t>
      </w:r>
      <w:r>
        <w:rPr>
          <w:rStyle w:val="FootnoteAnchor"/>
          <w:rtl w:val="true"/>
        </w:rPr>
        <w:footnoteReference w:id="1136"/>
      </w:r>
      <w:r>
        <w:rPr>
          <w:rFonts w:ascii="Amiri" w:hAnsi="Amiri" w:eastAsia="Amiri" w:cs="Amiri"/>
          <w:color w:val="111111"/>
          <w:sz w:val="28"/>
          <w:sz w:val="28"/>
          <w:szCs w:val="28"/>
          <w:rtl w:val="true"/>
          <w:lang w:bidi="ar-SA"/>
        </w:rPr>
        <w:t>لأصالة عدم براءة الذمّة، و عموم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w:t>
      </w:r>
    </w:p>
    <w:p>
      <w:pPr>
        <w:pStyle w:val="BookText"/>
        <w:rPr/>
      </w:pPr>
      <w:r>
        <w:rPr>
          <w:rFonts w:ascii="Amiri" w:hAnsi="Amiri" w:eastAsia="Amiri" w:cs="Amiri"/>
          <w:color w:val="111111"/>
          <w:sz w:val="28"/>
          <w:sz w:val="28"/>
          <w:szCs w:val="28"/>
          <w:rtl w:val="true"/>
          <w:lang w:bidi="ar-SA"/>
        </w:rPr>
        <w:t>أربعين شاة شاة</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و خصوص رواية سعيد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الرجل من الزكاة الثياب و السويق و الدقيق و البطيخ و العنب فيقسّمه؟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يعطيهم إلّا الدراهم كما أمر اللّٰه</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متروكة الظاهر؛ لأنّ الحصر في الدراهم خلاف الإجماع حتّى في زكاة الدراهم، فلا بد إمّا من حمل النهي على المنع عن إعطاء القيمة من غير الدراهم، و إمّا من حمله على الكراهة،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أفضلية إخراج العين، و يحمل الزكاة على زكاة الدراهم أو على أفضلية إخراج القيمة من الدراهم، لا من مثل البطيخ و العنب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ضعيف؛ لما سنبيّن من جواز إخراج القيمة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متروكة الظاهر؛ لجواز إخراج الزكاة من غير العين إجماعا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ظاهرها استقرار التعلّق بالعين و تعلّق الوجوب بالإخراج من العين، و إنّما أجمع على سقوط الزكاة عن العين إذا ضمن الزكاة بمماثل الفريضة فلا دليل على سقوطها عن العين إذا ضمنها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فالأصل و العمومات لا تقاوم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التجويز و المنع بين دفع القيمة إلى نفس الفقير، أو إلى الوليّ </w:t>
      </w:r>
      <w:r>
        <w:rPr>
          <w:rStyle w:val="FootnoteAnchor"/>
          <w:rtl w:val="true"/>
        </w:rPr>
        <w:footnoteReference w:id="1139"/>
      </w:r>
      <w:r>
        <w:rPr>
          <w:rFonts w:ascii="Amiri" w:hAnsi="Amiri" w:eastAsia="Amiri" w:cs="Amiri"/>
          <w:color w:val="111111"/>
          <w:sz w:val="28"/>
          <w:sz w:val="28"/>
          <w:szCs w:val="28"/>
          <w:rtl w:val="true"/>
          <w:lang w:bidi="ar-SA"/>
        </w:rPr>
        <w:t>العام للفقراء كالإمام أو وكيله العام، أو الخاص</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يقال من أنّ منع دفع القيمة إلى الوليّ العام، في غاية الضعف؛ لثبوت و لا يتهم على الفقير، فلهم المعاوضة بماله، فإذا أراد قبض القيمة من أيّ جنس لم يكن إشكال في الجواز؛ و دعوى أنّه </w:t>
      </w:r>
      <w:r>
        <w:rPr>
          <w:rStyle w:val="FootnoteAnchor"/>
          <w:rtl w:val="true"/>
        </w:rPr>
        <w:footnoteReference w:id="1140"/>
      </w:r>
      <w:r>
        <w:rPr>
          <w:rFonts w:ascii="Amiri" w:hAnsi="Amiri" w:eastAsia="Amiri" w:cs="Amiri"/>
          <w:color w:val="111111"/>
          <w:sz w:val="28"/>
          <w:sz w:val="28"/>
          <w:szCs w:val="28"/>
          <w:rtl w:val="true"/>
          <w:lang w:bidi="ar-SA"/>
        </w:rPr>
        <w:t>لا يجوز لهم ذلك واضحة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دفع المالك القيمة بأن يقوّم عند نفسه و يدفع القيمة، لا في جواز معاوضته مع الوليّ العام المتوقّفة على رضى الطرفين بعد معرفة قيمة ما في الذمة، و قيمة المدفوع، و الذي يجوز للوليّ العام هو الثاني، و الذي هو محلّ الكلام الأوّل، و لا فرق فيه </w:t>
      </w:r>
      <w:r>
        <w:rPr>
          <w:rStyle w:val="FootnoteAnchor"/>
          <w:rtl w:val="true"/>
        </w:rPr>
        <w:footnoteReference w:id="1141"/>
      </w:r>
      <w:r>
        <w:rPr>
          <w:rFonts w:ascii="Amiri" w:hAnsi="Amiri" w:eastAsia="Amiri" w:cs="Amiri"/>
          <w:color w:val="111111"/>
          <w:sz w:val="28"/>
          <w:sz w:val="28"/>
          <w:szCs w:val="28"/>
          <w:rtl w:val="true"/>
          <w:lang w:bidi="ar-SA"/>
        </w:rPr>
        <w:t>بين نفس الفقير و وليّه، فلا تفاوت في ضعف هذا القول و قوّته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المشهور جواز إخراج القيمة من أيّ جنس كان، كما هو صريح معقد إجماع الخلاف </w:t>
      </w:r>
      <w:r>
        <w:rPr>
          <w:rStyle w:val="FootnoteAnchor"/>
          <w:rtl w:val="true"/>
        </w:rPr>
        <w:footnoteReference w:id="1142"/>
      </w:r>
      <w:r>
        <w:rPr>
          <w:rFonts w:ascii="Amiri" w:hAnsi="Amiri" w:eastAsia="Amiri" w:cs="Amiri"/>
          <w:color w:val="111111"/>
          <w:sz w:val="28"/>
          <w:sz w:val="28"/>
          <w:szCs w:val="28"/>
          <w:rtl w:val="true"/>
          <w:lang w:bidi="ar-SA"/>
        </w:rPr>
        <w:t xml:space="preserve">بل صريح الغنية </w:t>
      </w:r>
      <w:r>
        <w:rPr>
          <w:rStyle w:val="FootnoteAnchor"/>
          <w:rtl w:val="true"/>
        </w:rPr>
        <w:footnoteReference w:id="1143"/>
      </w:r>
      <w:r>
        <w:rPr>
          <w:rFonts w:ascii="Amiri" w:hAnsi="Amiri" w:eastAsia="Amiri" w:cs="Amiri"/>
          <w:color w:val="111111"/>
          <w:sz w:val="28"/>
          <w:sz w:val="28"/>
          <w:szCs w:val="28"/>
          <w:rtl w:val="true"/>
          <w:lang w:bidi="ar-SA"/>
        </w:rPr>
        <w:t>أيضا بعد 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يستدلّ له </w:t>
      </w:r>
      <w:r>
        <w:rPr>
          <w:rStyle w:val="FootnoteAnchor"/>
          <w:rtl w:val="true"/>
        </w:rPr>
        <w:footnoteReference w:id="1144"/>
      </w:r>
      <w:r>
        <w:rPr>
          <w:rFonts w:ascii="Amiri" w:hAnsi="Amiri" w:eastAsia="Amiri" w:cs="Amiri"/>
          <w:color w:val="111111"/>
          <w:sz w:val="28"/>
          <w:sz w:val="28"/>
          <w:szCs w:val="28"/>
          <w:rtl w:val="true"/>
          <w:lang w:bidi="ar-SA"/>
        </w:rPr>
        <w:t>بعموم قوله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 xml:space="preserve">بناء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المطلق لا العموم بالنسبة إلى الجنس الزكوي و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يؤيّدها رواية قرب الأسناد المتقدّمة </w:t>
      </w:r>
      <w:r>
        <w:rPr>
          <w:rStyle w:val="FootnoteAnchor"/>
          <w:rtl w:val="true"/>
        </w:rPr>
        <w:footnoteReference w:id="1146"/>
      </w:r>
      <w:r>
        <w:rPr>
          <w:rFonts w:ascii="Amiri" w:hAnsi="Amiri" w:eastAsia="Amiri" w:cs="Amiri"/>
          <w:color w:val="111111"/>
          <w:sz w:val="28"/>
          <w:sz w:val="28"/>
          <w:szCs w:val="28"/>
          <w:rtl w:val="true"/>
          <w:lang w:bidi="ar-SA"/>
        </w:rPr>
        <w:t>المنجبرة بكثير مما مرّ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فالقول بالاقتصار على الدرهم </w:t>
      </w:r>
      <w:r>
        <w:rPr>
          <w:rStyle w:val="FootnoteAnchor"/>
          <w:rtl w:val="true"/>
        </w:rPr>
        <w:footnoteReference w:id="1147"/>
      </w:r>
      <w:r>
        <w:rPr>
          <w:rFonts w:ascii="Amiri" w:hAnsi="Amiri" w:eastAsia="Amiri" w:cs="Amiri"/>
          <w:color w:val="111111"/>
          <w:sz w:val="28"/>
          <w:sz w:val="28"/>
          <w:szCs w:val="28"/>
          <w:rtl w:val="true"/>
          <w:lang w:bidi="ar-SA"/>
        </w:rPr>
        <w:t>أو على مطلق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اقتصارا في مخالفة الأصل على مورد اليقين، و التفاتا إلى رواية سعيد بن عمر المتقدّمة </w:t>
      </w:r>
      <w:r>
        <w:rPr>
          <w:rStyle w:val="FootnoteAnchor"/>
          <w:rtl w:val="true"/>
        </w:rPr>
        <w:footnoteReference w:id="1148"/>
      </w:r>
      <w:r>
        <w:rPr>
          <w:rFonts w:ascii="Amiri" w:hAnsi="Amiri" w:eastAsia="Amiri" w:cs="Amiri"/>
          <w:color w:val="111111"/>
          <w:sz w:val="28"/>
          <w:sz w:val="28"/>
          <w:szCs w:val="28"/>
          <w:rtl w:val="true"/>
          <w:lang w:bidi="ar-SA"/>
        </w:rPr>
        <w:t xml:space="preserve">المحتملة لمحامل أخر، لا يخلو عن نظر سيّما بعد إمكان دعوى عدم القول بالفصل؛ فإنّ ظاهر الأصحاب المجوّزين لإخراج القيمة عدم الفرق بين النقدين و غيرهما، كما يظهر من الحدائق </w:t>
      </w:r>
      <w:r>
        <w:rPr>
          <w:rStyle w:val="FootnoteAnchor"/>
          <w:rtl w:val="true"/>
        </w:rPr>
        <w:footnoteReference w:id="1149"/>
      </w:r>
      <w:r>
        <w:rPr>
          <w:rFonts w:ascii="Amiri" w:hAnsi="Amiri" w:eastAsia="Amiri" w:cs="Amiri"/>
          <w:color w:val="111111"/>
          <w:sz w:val="28"/>
          <w:sz w:val="28"/>
          <w:szCs w:val="28"/>
          <w:rtl w:val="true"/>
          <w:lang w:bidi="ar-SA"/>
        </w:rPr>
        <w:t xml:space="preserve">الاعتراف و كذا عن الذخيرة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المسألة لا تخلو عن إشكال، فلا ينبغي ترك الاحتياط في أصلها و فرعها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بالقيمة هي </w:t>
      </w:r>
      <w:r>
        <w:rPr>
          <w:rStyle w:val="FootnoteAnchor"/>
          <w:rtl w:val="true"/>
        </w:rPr>
        <w:footnoteReference w:id="1151"/>
      </w:r>
      <w:r>
        <w:rPr>
          <w:rFonts w:ascii="Amiri" w:hAnsi="Amiri" w:eastAsia="Amiri" w:cs="Amiri"/>
          <w:color w:val="111111"/>
          <w:sz w:val="28"/>
          <w:sz w:val="28"/>
          <w:szCs w:val="28"/>
          <w:rtl w:val="true"/>
          <w:lang w:bidi="ar-SA"/>
        </w:rPr>
        <w:t>قيمة وقت الإخراج؛ لأنّه وقت الانتقال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ضمن القيمة قبل الإخراج فتغيّرت القيمة وقت الإخراج، فالظاهر أنّ العبرة بوقت الضمان، وفاقا للمحكيّ عن التذكرة </w:t>
      </w:r>
      <w:r>
        <w:rPr>
          <w:rStyle w:val="FootnoteAnchor"/>
          <w:rtl w:val="true"/>
        </w:rPr>
        <w:footnoteReference w:id="1152"/>
      </w:r>
      <w:r>
        <w:rPr>
          <w:rFonts w:ascii="Amiri" w:hAnsi="Amiri" w:eastAsia="Amiri" w:cs="Amiri"/>
          <w:color w:val="111111"/>
          <w:sz w:val="28"/>
          <w:sz w:val="28"/>
          <w:szCs w:val="28"/>
          <w:rtl w:val="true"/>
          <w:lang w:bidi="ar-SA"/>
        </w:rPr>
        <w:t xml:space="preserve">إذ بالضمان تستقرّ القيمة في الذمّة، و لذا يجوز للمالك التصرّف حينئذ في مجموع النصاب، نعم لو لم يف بالضمان و لم يؤدّ ما ضمن رجع الساعي، فسقوطها متزلزل لا يستقرّ إلّا بالأداء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التقويم إذا كان جائزا و الضمان صحيحا، فمقتضاه اشتغال الذمّة بالقيمة في وقت التقويم و هو </w:t>
      </w:r>
      <w:r>
        <w:rPr>
          <w:rStyle w:val="FootnoteAnchor"/>
          <w:rtl w:val="true"/>
        </w:rPr>
        <w:footnoteReference w:id="1154"/>
      </w:r>
      <w:r>
        <w:rPr>
          <w:rFonts w:ascii="IRNazanin" w:hAnsi="IRNazanin" w:eastAsia="IRNazanin"/>
          <w:color w:val="111111"/>
          <w:sz w:val="28"/>
          <w:sz w:val="28"/>
          <w:szCs w:val="28"/>
          <w:rtl w:val="true"/>
          <w:lang w:bidi="fa-IR"/>
        </w:rPr>
        <w:t>وقت 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المناقشة في تعيين القيمة بمجرّد التقويم بناء على أنّ الثابت من النصوص جواز إخراج القيمة لا أزيد، مع أنّ القيمة بدل لا أصل، فالتكليف دائما ثابت بالمبدل إلى أن يتحقّق البدل </w:t>
      </w:r>
      <w:r>
        <w:rPr>
          <w:rStyle w:val="FootnoteAnchor"/>
          <w:rtl w:val="true"/>
        </w:rPr>
        <w:footnoteReference w:id="1155"/>
      </w:r>
      <w:r>
        <w:rPr>
          <w:rFonts w:ascii="Amiri" w:hAnsi="Amiri" w:eastAsia="Amiri" w:cs="Amiri"/>
          <w:color w:val="111111"/>
          <w:sz w:val="28"/>
          <w:sz w:val="28"/>
          <w:szCs w:val="28"/>
          <w:rtl w:val="true"/>
          <w:lang w:bidi="ar-SA"/>
        </w:rPr>
        <w:t>و هو إخراج القيمة، و ليس مجرّد الضمان و التقويم بدلا، و مقتضى الاستصحاب عدم الخروج عن العهدة إلّا بإخراج القيمة وقت الإخراج</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ثبت التقويم </w:t>
      </w:r>
      <w:r>
        <w:rPr>
          <w:rStyle w:val="FootnoteAnchor"/>
          <w:rtl w:val="true"/>
        </w:rPr>
        <w:footnoteReference w:id="1156"/>
      </w:r>
      <w:r>
        <w:rPr>
          <w:rFonts w:ascii="Amiri" w:hAnsi="Amiri" w:eastAsia="Amiri" w:cs="Amiri"/>
          <w:color w:val="111111"/>
          <w:sz w:val="28"/>
          <w:sz w:val="28"/>
          <w:szCs w:val="28"/>
          <w:rtl w:val="true"/>
          <w:lang w:bidi="ar-SA"/>
        </w:rPr>
        <w:t xml:space="preserve">بالأخبار و كان على وجه لا يعلم منه سياقه في مقام بيان مجرّد </w:t>
      </w:r>
      <w:r>
        <w:rPr>
          <w:rStyle w:val="FootnoteAnchor"/>
          <w:rtl w:val="true"/>
        </w:rPr>
        <w:footnoteReference w:id="1157"/>
      </w:r>
      <w:r>
        <w:rPr>
          <w:rFonts w:ascii="Amiri" w:hAnsi="Amiri" w:eastAsia="Amiri" w:cs="Amiri"/>
          <w:color w:val="111111"/>
          <w:sz w:val="28"/>
          <w:sz w:val="28"/>
          <w:szCs w:val="28"/>
          <w:rtl w:val="true"/>
          <w:lang w:bidi="ar-SA"/>
        </w:rPr>
        <w:t xml:space="preserve">جواز إخراج القيمة لا أصل </w:t>
      </w:r>
      <w:r>
        <w:rPr>
          <w:rStyle w:val="FootnoteAnchor"/>
          <w:rtl w:val="true"/>
        </w:rPr>
        <w:footnoteReference w:id="1158"/>
      </w:r>
      <w:r>
        <w:rPr>
          <w:rFonts w:ascii="Amiri" w:hAnsi="Amiri" w:eastAsia="Amiri" w:cs="Amiri"/>
          <w:color w:val="111111"/>
          <w:sz w:val="28"/>
          <w:sz w:val="28"/>
          <w:szCs w:val="28"/>
          <w:rtl w:val="true"/>
          <w:lang w:bidi="ar-SA"/>
        </w:rPr>
        <w:t>ترتّب الأثر على التقويم، أمكن ما</w:t>
      </w:r>
    </w:p>
    <w:p>
      <w:pPr>
        <w:pStyle w:val="BookText"/>
        <w:rPr/>
      </w:pPr>
      <w:r>
        <w:rPr>
          <w:rFonts w:ascii="Amiri" w:hAnsi="Amiri" w:eastAsia="Amiri" w:cs="Amiri"/>
          <w:color w:val="111111"/>
          <w:sz w:val="28"/>
          <w:sz w:val="28"/>
          <w:szCs w:val="28"/>
          <w:rtl w:val="true"/>
          <w:lang w:bidi="ar-SA"/>
        </w:rPr>
        <w:t xml:space="preserve">ذكره العلّامة </w:t>
      </w:r>
      <w:r>
        <w:rPr>
          <w:rStyle w:val="FootnoteAnchor"/>
          <w:rtl w:val="true"/>
        </w:rPr>
        <w:footnoteReference w:id="1159"/>
      </w:r>
      <w:r>
        <w:rPr>
          <w:rFonts w:ascii="Amiri" w:hAnsi="Amiri" w:eastAsia="Amiri" w:cs="Amiri"/>
          <w:color w:val="111111"/>
          <w:sz w:val="28"/>
          <w:sz w:val="28"/>
          <w:szCs w:val="28"/>
          <w:rtl w:val="true"/>
          <w:lang w:bidi="ar-SA"/>
        </w:rPr>
        <w:t>، و لم يثبت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فالقول باعتبار وقت الإخراج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البيان </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w:t>
      </w:r>
      <w:bookmarkStart w:id="81" w:name="pg19722_766253"/>
    </w:p>
    <w:p>
      <w:pPr>
        <w:pStyle w:val="Heading4"/>
        <w:numPr>
          <w:ilvl w:val="3"/>
          <w:numId w:val="1"/>
        </w:numPr>
        <w:rPr/>
      </w:pPr>
      <w:bookmarkStart w:id="82" w:name="__RefHeading___Toc2136334_2314609296"/>
      <w:bookmarkStart w:id="83" w:name="_Toc29"/>
      <w:bookmarkEnd w:id="81"/>
      <w:bookmarkEnd w:id="82"/>
      <w:r>
        <w:rPr>
          <w:rtl w:val="true"/>
        </w:rPr>
        <w:t xml:space="preserve">مسألة </w:t>
      </w:r>
      <w:r>
        <w:rPr>
          <w:rtl w:val="true"/>
        </w:rPr>
        <w:t>[</w:t>
      </w:r>
      <w:r>
        <w:rPr/>
        <w:t>19</w:t>
      </w:r>
      <w:r>
        <w:rPr>
          <w:rtl w:val="true"/>
        </w:rPr>
        <w:t>]</w:t>
      </w:r>
      <w:bookmarkEnd w:id="83"/>
    </w:p>
    <w:p>
      <w:pPr>
        <w:pStyle w:val="BookText"/>
        <w:rPr/>
      </w:pPr>
      <w:r>
        <w:rPr>
          <w:rFonts w:ascii="Amiri" w:hAnsi="Amiri" w:eastAsia="Amiri" w:cs="Amiri"/>
          <w:color w:val="111111"/>
          <w:sz w:val="28"/>
          <w:sz w:val="28"/>
          <w:szCs w:val="28"/>
          <w:rtl w:val="true"/>
          <w:lang w:bidi="ar-SA"/>
        </w:rPr>
        <w:t xml:space="preserve">المشهور أنّ الواجب في الشاة التي تؤخذ في الزكاة في فريضة الإبل و الغنم، و في الشاة التي يجبر بها الناقص من أسنان الإبل المأخوذة في الزكاة، لا بد أن يكون جذعا من الضأن، أو ثنيا من المعز، بل في الغنية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الخلاف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عليه في المعتبر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سويد بن 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مصدّق رسول اللّٰه صلّى اللّٰه عليه و آله و سلم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نهينا أن نأخذ الراضع و أمرنا أن نأخذ الجذعة و الثنيّة</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طعن في الرواية بعض المتأخّرين </w:t>
      </w:r>
      <w:r>
        <w:rPr>
          <w:rStyle w:val="FootnoteAnchor"/>
          <w:rtl w:val="true"/>
        </w:rPr>
        <w:footnoteReference w:id="1166"/>
      </w:r>
      <w:r>
        <w:rPr>
          <w:rFonts w:ascii="Amiri" w:hAnsi="Amiri" w:eastAsia="Amiri" w:cs="Amiri"/>
          <w:color w:val="111111"/>
          <w:sz w:val="28"/>
          <w:sz w:val="28"/>
          <w:szCs w:val="28"/>
          <w:rtl w:val="true"/>
          <w:lang w:bidi="ar-SA"/>
        </w:rPr>
        <w:t>بكونها غير مرويّة في كتب الأخبار للإماميّة، فلا ينجبر ضعفها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تدوينها في كتب أصحابنا على وجه الاستناد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تدوينها في كتب أخبارهم، غاية الأمر انّهم لم يجدوها في الأصول الضابطة لما انتهى إلى الأئمة من الأخبار، و إن كان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صلّى اللّٰه عليه و آله و سلم بل وجدوها في كتب العامة مرويّة بطرقهم </w:t>
      </w:r>
      <w:r>
        <w:rPr>
          <w:rStyle w:val="FootnoteAnchor"/>
          <w:rtl w:val="true"/>
        </w:rPr>
        <w:footnoteReference w:id="1167"/>
      </w:r>
      <w:r>
        <w:rPr>
          <w:rFonts w:ascii="Amiri" w:hAnsi="Amiri" w:eastAsia="Amiri" w:cs="Amiri"/>
          <w:color w:val="111111"/>
          <w:sz w:val="28"/>
          <w:sz w:val="28"/>
          <w:szCs w:val="28"/>
          <w:rtl w:val="true"/>
          <w:lang w:bidi="ar-SA"/>
        </w:rPr>
        <w:t>، لكن قد وثّقوا الطريق على وجه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بعد تسليم العلم بخلوّ كتب الأصول عنه، و إلّا فعدم الوجدان لا يدلّ على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فالرواية التي يستدلّ بها مثل المحقّق </w:t>
      </w:r>
      <w:r>
        <w:rPr>
          <w:rStyle w:val="FootnoteAnchor"/>
          <w:rtl w:val="true"/>
        </w:rPr>
        <w:footnoteReference w:id="1168"/>
      </w:r>
      <w:r>
        <w:rPr>
          <w:rFonts w:ascii="Amiri" w:hAnsi="Amiri" w:eastAsia="Amiri" w:cs="Amiri"/>
          <w:color w:val="111111"/>
          <w:sz w:val="28"/>
          <w:sz w:val="28"/>
          <w:szCs w:val="28"/>
          <w:rtl w:val="true"/>
          <w:lang w:bidi="ar-SA"/>
        </w:rPr>
        <w:t xml:space="preserve">و العلامة </w:t>
      </w:r>
      <w:r>
        <w:rPr>
          <w:rStyle w:val="FootnoteAnchor"/>
          <w:rtl w:val="true"/>
        </w:rPr>
        <w:footnoteReference w:id="1169"/>
      </w:r>
      <w:r>
        <w:rPr>
          <w:rFonts w:ascii="Amiri" w:hAnsi="Amiri" w:eastAsia="Amiri" w:cs="Amiri"/>
          <w:color w:val="111111"/>
          <w:sz w:val="28"/>
          <w:sz w:val="28"/>
          <w:szCs w:val="28"/>
          <w:rtl w:val="true"/>
          <w:lang w:bidi="ar-SA"/>
        </w:rPr>
        <w:t>و إن كان سندها عاميا أو غير معلوم، أقوى من الرواية التي يذكرها الراوي في أصله المعروف مع عدم العلم بسنده و بعمل الراوي أو غيره عليه، فانجبار الثاني بالشهرة موجب لانجبار الأوّل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 الدلالة بعدم العلم بنسبة الأمر و النهي إلى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مصدّق رسول اللّٰه صلّى اللّٰه عليه و آله و سلم لا يقول مثل ذلك إلّا عنه صلّى اللّٰه عليه و آله و سلم؛ و يؤيّده ما عن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أمر عامله بأن يأخذ من الضأن الجذع، و من المعز الثني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ذلك في كتاب علي عليه السلام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يمكن الاستدلال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مساواة شاة الفريضة لشياه </w:t>
      </w:r>
      <w:r>
        <w:rPr>
          <w:rStyle w:val="FootnoteAnchor"/>
          <w:rtl w:val="true"/>
        </w:rPr>
        <w:footnoteReference w:id="1172"/>
      </w:r>
      <w:r>
        <w:rPr>
          <w:rFonts w:ascii="IRNazanin" w:hAnsi="IRNazanin" w:eastAsia="IRNazanin"/>
          <w:color w:val="111111"/>
          <w:sz w:val="28"/>
          <w:sz w:val="28"/>
          <w:szCs w:val="28"/>
          <w:rtl w:val="true"/>
          <w:lang w:bidi="fa-IR"/>
        </w:rPr>
        <w:t>النصاب،</w:t>
      </w:r>
    </w:p>
    <w:p>
      <w:pPr>
        <w:pStyle w:val="BookText"/>
        <w:rPr/>
      </w:pPr>
      <w:r>
        <w:rPr>
          <w:rFonts w:ascii="Amiri" w:hAnsi="Amiri" w:eastAsia="Amiri" w:cs="Amiri"/>
          <w:color w:val="111111"/>
          <w:sz w:val="28"/>
          <w:sz w:val="28"/>
          <w:szCs w:val="28"/>
          <w:rtl w:val="true"/>
          <w:lang w:bidi="ar-SA"/>
        </w:rPr>
        <w:t>بمعنى أنّه يجب من كلّ أربعين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أن تكون الشاة الواجبة في كلّ أربعين مساوية لأقلّ أفراد تلك الأربعين؛ إذ معلوم أنّه قد يدفع شاة من غيرها، و لو كان أدون من الكلّ من حيث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من الروايات هو أنّ الزكاة المجعولة في الأربعين لا بدّ أن يكون واحدا منها، و جواز دفع البدل إنّما ثبت من الخارج تسهيلا، و لا بدّ أن لا يكون البدل دونه، و إلّا لكان للمالك حين جاءه مصدّق أمير المؤمنين عليه السلام </w:t>
      </w:r>
      <w:r>
        <w:rPr>
          <w:rStyle w:val="FootnoteAnchor"/>
          <w:rtl w:val="true"/>
        </w:rPr>
        <w:footnoteReference w:id="1173"/>
      </w:r>
      <w:r>
        <w:rPr>
          <w:rFonts w:ascii="Amiri" w:hAnsi="Amiri" w:eastAsia="Amiri" w:cs="Amiri"/>
          <w:color w:val="111111"/>
          <w:sz w:val="28"/>
          <w:sz w:val="28"/>
          <w:szCs w:val="28"/>
          <w:rtl w:val="true"/>
          <w:lang w:bidi="ar-SA"/>
        </w:rPr>
        <w:t>و قاسمه الأنعام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أدفع إليك سخالا من غيرها، و معلوم أنّ شياه النصاب لا يكون فيها ما يكون له أقلّ من سنة، بناء على مقالة جماعة من المتأخّرين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النصاب لا يستقرّ فيه الفريضة إلّا بإكمال الثاني عشر فما له أقلّ من سنة لا يدخل في النصاب، بل و لا في العفو </w:t>
      </w:r>
      <w:r>
        <w:rPr>
          <w:rStyle w:val="FootnoteAnchor"/>
          <w:rtl w:val="true"/>
        </w:rPr>
        <w:footnoteReference w:id="1175"/>
      </w:r>
      <w:r>
        <w:rPr>
          <w:rFonts w:ascii="Amiri" w:hAnsi="Amiri" w:eastAsia="Amiri" w:cs="Amiri"/>
          <w:color w:val="111111"/>
          <w:sz w:val="28"/>
          <w:sz w:val="28"/>
          <w:szCs w:val="28"/>
          <w:rtl w:val="true"/>
          <w:lang w:bidi="ar-SA"/>
        </w:rPr>
        <w:t>الذي من حكمه أن ينجبر به النصاب، فإنّ العفو ما كان من النصاب في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ذكر وجوب أن لا يكون للشاة المأخوذة في الفريضة أقلّ من سنة، لأنّه إن كان من بينها </w:t>
      </w:r>
      <w:r>
        <w:rPr>
          <w:rStyle w:val="FootnoteAnchor"/>
          <w:rtl w:val="true"/>
        </w:rPr>
        <w:footnoteReference w:id="1176"/>
      </w:r>
      <w:r>
        <w:rPr>
          <w:rFonts w:ascii="Amiri" w:hAnsi="Amiri" w:eastAsia="Amiri" w:cs="Amiri"/>
          <w:color w:val="111111"/>
          <w:sz w:val="28"/>
          <w:sz w:val="28"/>
          <w:szCs w:val="28"/>
          <w:rtl w:val="true"/>
          <w:lang w:bidi="ar-SA"/>
        </w:rPr>
        <w:t>فله السنة و إلا فلا بدّ أن يكون له سنة مراعاة لحقّ البدليّة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الظاهر منه وجوب ما له سنة في الضأن و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استفيد من الخارج، بل من بعض الأخبار الواردة في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الجذع من الضأن بمنزلة الثني في المعز، أعني ماله سنة كاملة، ففي صحيحة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 من الضأن الجذع، و لا يجزئ من المعز إلّا الثني</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و في صحيحة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أدنى ما يجزئ من الهدي؟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الجذع من الضأن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الجذع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الجذع من الضأن يلقح، و الجذع من المعز لا يلقح</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إشارة إلى ما عن ابن الأعرابي من أنّ الضأن ينزو و يضرب في سبعة أشهر، و المعز لا يفعل ذلك إلّا إذا دخل في السنة الثانية </w:t>
      </w:r>
      <w:r>
        <w:rPr>
          <w:rStyle w:val="FootnoteAnchor"/>
          <w:rtl w:val="true"/>
        </w:rPr>
        <w:footnoteReference w:id="1179"/>
      </w:r>
      <w:r>
        <w:rPr>
          <w:rFonts w:ascii="Amiri" w:hAnsi="Amiri" w:eastAsia="Amiri" w:cs="Amiri"/>
          <w:color w:val="111111"/>
          <w:sz w:val="28"/>
          <w:sz w:val="28"/>
          <w:szCs w:val="28"/>
          <w:rtl w:val="true"/>
          <w:lang w:bidi="ar-SA"/>
        </w:rPr>
        <w:t>، فالضأن يبلغ مبلغ المعز في الفحولة إذا كان له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ما دخل في الثانية في المعز قد ثبت بما تقدّم من وجوب كون الفريضة واحدة من النصاب أو بدلا </w:t>
      </w:r>
      <w:r>
        <w:rPr>
          <w:rStyle w:val="FootnoteAnchor"/>
          <w:rtl w:val="true"/>
        </w:rPr>
        <w:footnoteReference w:id="1180"/>
      </w:r>
      <w:r>
        <w:rPr>
          <w:rFonts w:ascii="Amiri" w:hAnsi="Amiri" w:eastAsia="Amiri" w:cs="Amiri"/>
          <w:color w:val="111111"/>
          <w:sz w:val="28"/>
          <w:sz w:val="28"/>
          <w:szCs w:val="28"/>
          <w:rtl w:val="true"/>
          <w:lang w:bidi="ar-SA"/>
        </w:rPr>
        <w:t>منها من حيث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كفاية الجذع من الضأن فلما استفيد من الخارج، و من أخبار الهدي من </w:t>
      </w:r>
      <w:r>
        <w:rPr>
          <w:rStyle w:val="FootnoteAnchor"/>
          <w:rtl w:val="true"/>
        </w:rPr>
        <w:footnoteReference w:id="1181"/>
      </w:r>
      <w:r>
        <w:rPr>
          <w:rFonts w:ascii="Amiri" w:hAnsi="Amiri" w:eastAsia="Amiri" w:cs="Amiri"/>
          <w:color w:val="111111"/>
          <w:sz w:val="28"/>
          <w:sz w:val="28"/>
          <w:szCs w:val="28"/>
          <w:rtl w:val="true"/>
          <w:lang w:bidi="ar-SA"/>
        </w:rPr>
        <w:t>بدليّته للمعز الداخل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فمخالفة أهل اللغة في معنى الثني، و أنّه مما دخل في الثانية أو الثالثة لا يقدح في المقام؛ لأنّ المستفاد من الأدلة وجوب واحدة من الأربعين المطلق التي قد يكون بعضها أو كلّها مما ليس له </w:t>
      </w:r>
      <w:r>
        <w:rPr>
          <w:rStyle w:val="FootnoteAnchor"/>
          <w:rtl w:val="true"/>
        </w:rPr>
        <w:footnoteReference w:id="1182"/>
      </w:r>
      <w:r>
        <w:rPr>
          <w:rFonts w:ascii="Amiri" w:hAnsi="Amiri" w:eastAsia="Amiri" w:cs="Amiri"/>
          <w:color w:val="111111"/>
          <w:sz w:val="28"/>
          <w:sz w:val="28"/>
          <w:szCs w:val="28"/>
          <w:rtl w:val="true"/>
          <w:lang w:bidi="ar-SA"/>
        </w:rPr>
        <w:t>أزيد من سنة، و الواحدة الثابتة في الكلّ الصادقة على كلّ واحدة ليس لها أزيد من سنة كما لا يخفى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خلافهم في معنى الجذع، و أنّه ما دخل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كمل له ستّة أشهر، أو سبعة، أو ثمانية، أو تسعة، أو عشرة، فهو أيضا لا يقدح بعد ما ثبت من الخارج </w:t>
      </w:r>
      <w:r>
        <w:rPr>
          <w:rStyle w:val="FootnoteAnchor"/>
          <w:rtl w:val="true"/>
        </w:rPr>
        <w:footnoteReference w:id="1183"/>
      </w:r>
      <w:r>
        <w:rPr>
          <w:rFonts w:ascii="Amiri" w:hAnsi="Amiri" w:eastAsia="Amiri" w:cs="Amiri"/>
          <w:color w:val="111111"/>
          <w:sz w:val="28"/>
          <w:sz w:val="28"/>
          <w:szCs w:val="28"/>
          <w:rtl w:val="true"/>
          <w:lang w:bidi="ar-SA"/>
        </w:rPr>
        <w:t>كون الضأن إذا بلغ سبعة أشهر أو ثمانية، بمنزلة المعز البالغ سنة في اللقاح و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يستدلّ على عدم كفاية ما دون سبعة أشهر أو ثمانية بوجوب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الأقل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زكاة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زكاة الإبل؛ فالشاة و إن كانت </w:t>
      </w:r>
      <w:r>
        <w:rPr>
          <w:rStyle w:val="FootnoteAnchor"/>
          <w:rtl w:val="true"/>
        </w:rPr>
        <w:footnoteReference w:id="1184"/>
      </w:r>
      <w:r>
        <w:rPr>
          <w:rFonts w:ascii="Amiri" w:hAnsi="Amiri" w:eastAsia="Amiri" w:cs="Amiri"/>
          <w:color w:val="111111"/>
          <w:sz w:val="28"/>
          <w:sz w:val="28"/>
          <w:szCs w:val="28"/>
          <w:rtl w:val="true"/>
          <w:lang w:bidi="ar-SA"/>
        </w:rPr>
        <w:t xml:space="preserve">إلّا أنّ قرينة تقويمها في شاة الجبران بعشرة دراهم يدلّ على إرادة المتعارفة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لا إرادة </w:t>
      </w:r>
      <w:r>
        <w:rPr>
          <w:rStyle w:val="FootnoteAnchor"/>
          <w:rtl w:val="true"/>
        </w:rPr>
        <w:footnoteReference w:id="1186"/>
      </w:r>
      <w:r>
        <w:rPr>
          <w:rFonts w:ascii="Amiri" w:hAnsi="Amiri" w:eastAsia="Amiri" w:cs="Amiri"/>
          <w:color w:val="111111"/>
          <w:sz w:val="28"/>
          <w:sz w:val="28"/>
          <w:szCs w:val="28"/>
          <w:rtl w:val="true"/>
          <w:lang w:bidi="ar-SA"/>
        </w:rPr>
        <w:t xml:space="preserve">المسمّى و لو كانت سخلة، بل العدول عن خمس شياه إلى </w:t>
      </w:r>
      <w:r>
        <w:rPr>
          <w:rStyle w:val="FootnoteAnchor"/>
          <w:rtl w:val="true"/>
        </w:rPr>
        <w:footnoteReference w:id="1187"/>
      </w:r>
      <w:r>
        <w:rPr>
          <w:rFonts w:ascii="Amiri" w:hAnsi="Amiri" w:eastAsia="Amiri" w:cs="Amiri"/>
          <w:color w:val="111111"/>
          <w:sz w:val="28"/>
          <w:sz w:val="28"/>
          <w:szCs w:val="28"/>
          <w:rtl w:val="true"/>
          <w:lang w:bidi="ar-SA"/>
        </w:rPr>
        <w:t>بنت مخاض يؤيّد ذلك، فإنّ خمسة سخال لا يبلغ قيمة شاة، فضلا عن أن يكون قريبا من بنت مخاض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القطع </w:t>
      </w:r>
      <w:r>
        <w:rPr>
          <w:rStyle w:val="FootnoteAnchor"/>
          <w:rtl w:val="true"/>
        </w:rPr>
        <w:footnoteReference w:id="1188"/>
      </w:r>
      <w:r>
        <w:rPr>
          <w:rFonts w:ascii="Amiri" w:hAnsi="Amiri" w:eastAsia="Amiri" w:cs="Amiri"/>
          <w:color w:val="111111"/>
          <w:sz w:val="28"/>
          <w:sz w:val="28"/>
          <w:szCs w:val="28"/>
          <w:rtl w:val="true"/>
          <w:lang w:bidi="ar-SA"/>
        </w:rPr>
        <w:t xml:space="preserve">بواسطة القرائن على عدم كفاية المسمّى، فإن حصل الظنّ بأنّه الفرد المتعارف الذي وجب في نصاب الغنم و في فريضته فهو، و إلّا </w:t>
      </w:r>
      <w:r>
        <w:rPr>
          <w:rStyle w:val="FootnoteAnchor"/>
          <w:rtl w:val="true"/>
        </w:rPr>
        <w:footnoteReference w:id="1189"/>
      </w:r>
      <w:r>
        <w:rPr>
          <w:rFonts w:ascii="Amiri" w:hAnsi="Amiri" w:eastAsia="Amiri" w:cs="Amiri"/>
          <w:color w:val="111111"/>
          <w:sz w:val="28"/>
          <w:sz w:val="28"/>
          <w:szCs w:val="28"/>
          <w:rtl w:val="true"/>
          <w:lang w:bidi="ar-SA"/>
        </w:rPr>
        <w:t xml:space="preserve">فعند الإجمال لا بد من الرجوع الى ما يحصل فيه </w:t>
      </w:r>
      <w:r>
        <w:rPr>
          <w:rStyle w:val="FootnoteAnchor"/>
          <w:rtl w:val="true"/>
        </w:rPr>
        <w:footnoteReference w:id="1190"/>
      </w:r>
      <w:r>
        <w:rPr>
          <w:rFonts w:ascii="Amiri" w:hAnsi="Amiri" w:eastAsia="Amiri" w:cs="Amiri"/>
          <w:color w:val="111111"/>
          <w:sz w:val="28"/>
          <w:sz w:val="28"/>
          <w:szCs w:val="28"/>
          <w:rtl w:val="true"/>
          <w:lang w:bidi="ar-SA"/>
        </w:rPr>
        <w:t xml:space="preserve">اليقين بالبراءة، و هو ما اشتهر </w:t>
      </w:r>
      <w:r>
        <w:rPr>
          <w:rStyle w:val="FootnoteAnchor"/>
          <w:rtl w:val="true"/>
        </w:rPr>
        <w:footnoteReference w:id="1191"/>
      </w:r>
      <w:r>
        <w:rPr>
          <w:rFonts w:ascii="Amiri" w:hAnsi="Amiri" w:eastAsia="Amiri" w:cs="Amiri"/>
          <w:color w:val="111111"/>
          <w:sz w:val="28"/>
          <w:sz w:val="28"/>
          <w:szCs w:val="28"/>
          <w:rtl w:val="true"/>
          <w:lang w:bidi="ar-SA"/>
        </w:rPr>
        <w:t xml:space="preserve">بين الأصحاب و ادعي عليه الإجماع كما عرفت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الجذع من الضأن بما له تسعة أشهر منسوب إلى</w:t>
      </w:r>
    </w:p>
    <w:p>
      <w:pPr>
        <w:pStyle w:val="BookText"/>
        <w:rPr/>
      </w:pPr>
      <w:r>
        <w:rPr>
          <w:rFonts w:ascii="IRNazanin" w:hAnsi="IRNazanin" w:eastAsia="IRNazanin"/>
          <w:color w:val="111111"/>
          <w:sz w:val="28"/>
          <w:sz w:val="28"/>
          <w:szCs w:val="28"/>
          <w:rtl w:val="true"/>
          <w:lang w:bidi="fa-IR"/>
        </w:rPr>
        <w:t xml:space="preserve">المشهور </w:t>
      </w:r>
      <w:r>
        <w:rPr>
          <w:rStyle w:val="FootnoteAnchor"/>
          <w:rtl w:val="true"/>
        </w:rPr>
        <w:footnoteReference w:id="1193"/>
      </w:r>
      <w:r>
        <w:rPr>
          <w:rFonts w:ascii="Amiri" w:hAnsi="Amiri" w:eastAsia="Amiri" w:cs="Amiri"/>
          <w:color w:val="111111"/>
          <w:sz w:val="28"/>
          <w:sz w:val="28"/>
          <w:szCs w:val="28"/>
          <w:rtl w:val="true"/>
          <w:lang w:bidi="ar-SA"/>
        </w:rPr>
        <w:t xml:space="preserve">، بل عن بعض أنّه لا يعرف قول غيره </w:t>
      </w:r>
      <w:r>
        <w:rPr>
          <w:rStyle w:val="FootnoteAnchor"/>
          <w:rtl w:val="true"/>
        </w:rPr>
        <w:footnoteReference w:id="1194"/>
      </w:r>
      <w:r>
        <w:rPr>
          <w:rFonts w:ascii="Amiri" w:hAnsi="Amiri" w:eastAsia="Amiri" w:cs="Amiri"/>
          <w:color w:val="111111"/>
          <w:sz w:val="28"/>
          <w:sz w:val="28"/>
          <w:szCs w:val="28"/>
          <w:rtl w:val="true"/>
          <w:lang w:bidi="ar-SA"/>
        </w:rPr>
        <w:t xml:space="preserve">، يعني </w:t>
      </w:r>
      <w:r>
        <w:rPr>
          <w:rStyle w:val="FootnoteAnchor"/>
          <w:rtl w:val="true"/>
        </w:rPr>
        <w:footnoteReference w:id="1195"/>
      </w:r>
      <w:r>
        <w:rPr>
          <w:rFonts w:ascii="Amiri" w:hAnsi="Amiri" w:eastAsia="Amiri" w:cs="Amiri"/>
          <w:color w:val="111111"/>
          <w:sz w:val="28"/>
          <w:sz w:val="28"/>
          <w:szCs w:val="28"/>
          <w:rtl w:val="true"/>
          <w:lang w:bidi="ar-SA"/>
        </w:rPr>
        <w:t>بين الفقهاء، و إلّا فقد مرّ أنّ المحكي في المجمع عن 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عند أصحابنا و المشهور بين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الجذع ما كان له سنة تامّة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ذهب بعض متأخّري المتأخّرين </w:t>
      </w:r>
      <w:r>
        <w:rPr>
          <w:rStyle w:val="FootnoteAnchor"/>
          <w:rtl w:val="true"/>
        </w:rPr>
        <w:footnoteReference w:id="1197"/>
      </w:r>
      <w:r>
        <w:rPr>
          <w:rFonts w:ascii="Amiri" w:hAnsi="Amiri" w:eastAsia="Amiri" w:cs="Amiri"/>
          <w:color w:val="111111"/>
          <w:sz w:val="28"/>
          <w:sz w:val="28"/>
          <w:szCs w:val="28"/>
          <w:rtl w:val="true"/>
          <w:lang w:bidi="ar-SA"/>
        </w:rPr>
        <w:t>إلى وجوب ماله سنة في المعز و الضأن كليهما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ثبت بالنبوي المرويّ في المعتبر </w:t>
      </w:r>
      <w:r>
        <w:rPr>
          <w:rStyle w:val="FootnoteAnchor"/>
          <w:rtl w:val="true"/>
        </w:rPr>
        <w:footnoteReference w:id="1198"/>
      </w:r>
      <w:r>
        <w:rPr>
          <w:rFonts w:ascii="IRNazanin" w:hAnsi="IRNazanin" w:eastAsia="IRNazanin"/>
          <w:color w:val="111111"/>
          <w:sz w:val="28"/>
          <w:sz w:val="28"/>
          <w:szCs w:val="28"/>
          <w:rtl w:val="true"/>
          <w:lang w:bidi="fa-IR"/>
        </w:rPr>
        <w:t xml:space="preserve">و المنتهى </w:t>
      </w:r>
      <w:r>
        <w:rPr>
          <w:rStyle w:val="FootnoteAnchor"/>
          <w:rtl w:val="true"/>
        </w:rPr>
        <w:footnoteReference w:id="1199"/>
      </w:r>
      <w:r>
        <w:rPr>
          <w:rFonts w:ascii="Amiri" w:hAnsi="Amiri" w:eastAsia="Amiri" w:cs="Amiri"/>
          <w:color w:val="111111"/>
          <w:sz w:val="28"/>
          <w:sz w:val="28"/>
          <w:szCs w:val="28"/>
          <w:rtl w:val="true"/>
          <w:lang w:bidi="ar-SA"/>
        </w:rPr>
        <w:t xml:space="preserve">، و العلويّ المحكي عن عوالي اللئالي </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الجذع و الثني </w:t>
      </w:r>
      <w:r>
        <w:rPr>
          <w:rStyle w:val="FootnoteAnchor"/>
          <w:rtl w:val="true"/>
        </w:rPr>
        <w:footnoteReference w:id="1201"/>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اختلف أهل اللغة في تفسيرهما إلّا أنّه لا يضرّنا الاختلاف؛ أمّا في الثني فلتردّده في كلام أهل اللغة بين ما دخل في الثالثة و ما دخل في الثانية </w:t>
      </w:r>
      <w:r>
        <w:rPr>
          <w:rStyle w:val="FootnoteAnchor"/>
          <w:rtl w:val="true"/>
        </w:rPr>
        <w:footnoteReference w:id="1202"/>
      </w:r>
      <w:r>
        <w:rPr>
          <w:rFonts w:ascii="Amiri" w:hAnsi="Amiri" w:eastAsia="Amiri" w:cs="Amiri"/>
          <w:color w:val="111111"/>
          <w:sz w:val="28"/>
          <w:sz w:val="28"/>
          <w:szCs w:val="28"/>
          <w:rtl w:val="true"/>
          <w:lang w:bidi="ar-SA"/>
        </w:rPr>
        <w:t>، 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محيص عن حمل ما يجب في الزكاة على الثاني؛ لاتّفاق العلماء ظاهرا على ذلك،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خرج ما دون السنة بالإتّفاق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الشاة الواجبة قد قيّد بكونها ثنيا، و الفرض إجماله، فيجب الرجوع إلى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Style w:val="FootnoteAnchor"/>
          <w:rtl w:val="true"/>
        </w:rPr>
        <w:footnoteReference w:id="1204"/>
      </w:r>
      <w:r>
        <w:rPr>
          <w:rFonts w:ascii="Amiri" w:hAnsi="Amiri" w:eastAsia="Amiri" w:cs="Amiri"/>
          <w:color w:val="111111"/>
          <w:sz w:val="28"/>
          <w:sz w:val="28"/>
          <w:szCs w:val="28"/>
          <w:rtl w:val="true"/>
          <w:lang w:bidi="ar-SA"/>
        </w:rPr>
        <w:t>بأنّ الروايتين في أنفسهما لم تكونا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الثابت من مجموع </w:t>
      </w:r>
      <w:r>
        <w:rPr>
          <w:rStyle w:val="FootnoteAnchor"/>
          <w:rtl w:val="true"/>
        </w:rPr>
        <w:footnoteReference w:id="1205"/>
      </w:r>
      <w:r>
        <w:rPr>
          <w:rFonts w:ascii="Amiri" w:hAnsi="Amiri" w:eastAsia="Amiri" w:cs="Amiri"/>
          <w:color w:val="111111"/>
          <w:sz w:val="28"/>
          <w:sz w:val="28"/>
          <w:szCs w:val="28"/>
          <w:rtl w:val="true"/>
          <w:lang w:bidi="ar-SA"/>
        </w:rPr>
        <w:t>الروايتين و عمل الأصحاب هو عدم جواز ما دون السنة، فيقيّد به المطلق، و يعمل بإطلاقه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الوارد في كلام الأصحاب و إن كان لفظ الثني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مرادهم منه المعنى الثاني؛ فإنّ السيّد ابن زهرة قد ادّعى الإجماع على عدم كفاية ما دون الثني </w:t>
      </w:r>
      <w:r>
        <w:rPr>
          <w:rStyle w:val="FootnoteAnchor"/>
          <w:rtl w:val="true"/>
        </w:rPr>
        <w:footnoteReference w:id="1206"/>
      </w:r>
      <w:r>
        <w:rPr>
          <w:rFonts w:ascii="Amiri" w:hAnsi="Amiri" w:eastAsia="Amiri" w:cs="Amiri"/>
          <w:color w:val="111111"/>
          <w:sz w:val="28"/>
          <w:sz w:val="28"/>
          <w:szCs w:val="28"/>
          <w:rtl w:val="true"/>
          <w:lang w:bidi="ar-SA"/>
        </w:rPr>
        <w:t>، ثمّ فسّره في الحج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 كونه إجماعيا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المتأخّرون لم يريدوا منه إلّا المعنى الثاني، هذا كلّه مضافا إلى ما سيجي‌ء </w:t>
      </w:r>
      <w:r>
        <w:rPr>
          <w:rStyle w:val="FootnoteAnchor"/>
          <w:rtl w:val="true"/>
        </w:rPr>
        <w:footnoteReference w:id="1208"/>
      </w:r>
      <w:r>
        <w:rPr>
          <w:rFonts w:ascii="Amiri" w:hAnsi="Amiri" w:eastAsia="Amiri" w:cs="Amiri"/>
          <w:color w:val="111111"/>
          <w:sz w:val="28"/>
          <w:sz w:val="28"/>
          <w:szCs w:val="28"/>
          <w:rtl w:val="true"/>
          <w:lang w:bidi="ar-SA"/>
        </w:rPr>
        <w:t>في صحيحة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الجذع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بين اللغويين و إن كان تفسيره </w:t>
      </w:r>
      <w:r>
        <w:rPr>
          <w:rStyle w:val="FootnoteAnchor"/>
          <w:rtl w:val="true"/>
        </w:rPr>
        <w:footnoteReference w:id="1209"/>
      </w:r>
      <w:r>
        <w:rPr>
          <w:rFonts w:ascii="Amiri" w:hAnsi="Amiri" w:eastAsia="Amiri" w:cs="Amiri"/>
          <w:color w:val="111111"/>
          <w:sz w:val="28"/>
          <w:sz w:val="28"/>
          <w:szCs w:val="28"/>
          <w:rtl w:val="true"/>
          <w:lang w:bidi="ar-SA"/>
        </w:rPr>
        <w:t xml:space="preserve">بما دخل في الثانية كما قيل </w:t>
      </w:r>
      <w:r>
        <w:rPr>
          <w:rStyle w:val="FootnoteAnchor"/>
          <w:rtl w:val="true"/>
        </w:rPr>
        <w:footnoteReference w:id="1210"/>
      </w:r>
      <w:r>
        <w:rPr>
          <w:rFonts w:ascii="Amiri" w:hAnsi="Amiri" w:eastAsia="Amiri" w:cs="Amiri"/>
          <w:color w:val="111111"/>
          <w:sz w:val="28"/>
          <w:sz w:val="28"/>
          <w:szCs w:val="28"/>
          <w:rtl w:val="true"/>
          <w:lang w:bidi="ar-SA"/>
        </w:rPr>
        <w:t xml:space="preserve">، إلّا </w:t>
      </w:r>
      <w:r>
        <w:rPr>
          <w:rStyle w:val="FootnoteAnchor"/>
          <w:rtl w:val="true"/>
        </w:rPr>
        <w:footnoteReference w:id="1211"/>
      </w:r>
      <w:r>
        <w:rPr>
          <w:rFonts w:ascii="Amiri" w:hAnsi="Amiri" w:eastAsia="Amiri" w:cs="Amiri"/>
          <w:color w:val="111111"/>
          <w:sz w:val="28"/>
          <w:sz w:val="28"/>
          <w:szCs w:val="28"/>
          <w:rtl w:val="true"/>
          <w:lang w:bidi="ar-SA"/>
        </w:rPr>
        <w:t>أن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w:t>
      </w:r>
      <w:r>
        <w:rPr>
          <w:rStyle w:val="FootnoteAnchor"/>
          <w:rtl w:val="true"/>
        </w:rPr>
        <w:footnoteReference w:id="1212"/>
      </w:r>
      <w:r>
        <w:rPr>
          <w:rFonts w:ascii="Amiri" w:hAnsi="Amiri" w:eastAsia="Amiri" w:cs="Amiri"/>
          <w:color w:val="111111"/>
          <w:sz w:val="28"/>
          <w:sz w:val="28"/>
          <w:szCs w:val="28"/>
          <w:rtl w:val="true"/>
          <w:lang w:bidi="ar-SA"/>
        </w:rPr>
        <w:t xml:space="preserve">غير واحد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كمل له سبعة أشهر، بل عن بعض محشّي الروضة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w:t>
      </w:r>
      <w:r>
        <w:rPr>
          <w:rStyle w:val="FootnoteAnchor"/>
          <w:rtl w:val="true"/>
        </w:rPr>
        <w:footnoteReference w:id="1214"/>
      </w:r>
      <w:r>
        <w:rPr>
          <w:rFonts w:ascii="Amiri" w:hAnsi="Amiri" w:eastAsia="Amiri" w:cs="Amiri"/>
          <w:color w:val="111111"/>
          <w:sz w:val="28"/>
          <w:sz w:val="28"/>
          <w:szCs w:val="28"/>
          <w:rtl w:val="true"/>
          <w:lang w:bidi="ar-SA"/>
        </w:rPr>
        <w:t xml:space="preserve">يعلم قول غيره بين الأصحاب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الكلام فيه كما في الثني من</w:t>
      </w:r>
    </w:p>
    <w:p>
      <w:pPr>
        <w:pStyle w:val="BookText"/>
        <w:rPr/>
      </w:pPr>
      <w:r>
        <w:rPr>
          <w:rFonts w:ascii="Amiri" w:hAnsi="Amiri" w:eastAsia="Amiri" w:cs="Amiri"/>
          <w:color w:val="111111"/>
          <w:sz w:val="28"/>
          <w:sz w:val="28"/>
          <w:szCs w:val="28"/>
          <w:rtl w:val="true"/>
          <w:lang w:bidi="ar-SA"/>
        </w:rPr>
        <w:t>وجوب الرجوع إلى المطلقات؛ لأنّ عمل الأصحاب لم يجبر الروايتين إلّا في عدم إجزاء ما دون سبعة أشهر فيعمل بالإطلاق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الغنية فسّر الجذع بما دون السنة في باب الحجّ، بعد أن ادّعى الإجماع على وجوب الجذع في الزكاة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الصحيحة المتقدّمة لحمّاد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 باب الهدي من التهذيب، في تعليل إجزاء الجذع من الضأن و عدم إجزاء الجذع من المعز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الجذع من الضأن يلقح و من المعز لا يلقح</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 و من المعلوم أنّ الضأن يلقح لدون السنة، فعلم من ذلك أنّ الجذع من الضأن ما له </w:t>
      </w:r>
      <w:r>
        <w:rPr>
          <w:rStyle w:val="FootnoteAnchor"/>
          <w:rtl w:val="true"/>
        </w:rPr>
        <w:footnoteReference w:id="1218"/>
      </w:r>
      <w:r>
        <w:rPr>
          <w:rFonts w:ascii="Amiri" w:hAnsi="Amiri" w:eastAsia="Amiri" w:cs="Amiri"/>
          <w:color w:val="111111"/>
          <w:sz w:val="28"/>
          <w:sz w:val="28"/>
          <w:szCs w:val="28"/>
          <w:rtl w:val="true"/>
          <w:lang w:bidi="ar-SA"/>
        </w:rPr>
        <w:t>دون السنة، بل له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الأعرابي التصريح به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التعليل أنّ علّة إجزاء الجذع من الضأن قابلية اللقاح و علّة عدم إجزاء الجذع من المعز عدم قابليته لذلك، فيدلّ على أنّ المعز القابل للّقاح يجوز في الهدي، فإذا انضمّ إلى ذلك ما في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 باب الهدي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من الضأن الجذع، و لا يجزئ من المعز إلّا الثني</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علم من ذلك أنّ الثني ما دخل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تفسير الجذع و الثني من هاتين الصحيحتين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يمكن الجمع بينهما و بين ما عن أكثر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الجذع ما دخل في السنة الثانية، بأنّ الجذع في هذه الأخبار ما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أول زمان </w:t>
      </w:r>
      <w:r>
        <w:rPr>
          <w:rStyle w:val="FootnoteAnchor"/>
          <w:rtl w:val="true"/>
        </w:rPr>
        <w:footnoteReference w:id="1221"/>
      </w:r>
      <w:r>
        <w:rPr>
          <w:rFonts w:ascii="Amiri" w:hAnsi="Amiri" w:eastAsia="Amiri" w:cs="Amiri"/>
          <w:color w:val="111111"/>
          <w:sz w:val="28"/>
          <w:sz w:val="28"/>
          <w:szCs w:val="28"/>
          <w:rtl w:val="true"/>
          <w:lang w:bidi="ar-SA"/>
        </w:rPr>
        <w:t>الجذوعة، فيكون المراد هو المعنى الوصفيّ الذي يكفي فيه التلبّس بالمبدإ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الضأن يجذع لسبعة أشهر أو ثمانية </w:t>
      </w:r>
      <w:r>
        <w:rPr>
          <w:rStyle w:val="FootnoteAnchor"/>
          <w:rtl w:val="true"/>
        </w:rPr>
        <w:footnoteReference w:id="1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مراد اللغويين هو المعنى الاسمي، و هو ما صار كاملا في ذلك، و يتحقّق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قول الراوي 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نهينا عن أخذ الراضع و أمرنا بأخذ الجذعة</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قرينة على إرادة اولى مراتب الجذوعة</w:t>
      </w:r>
      <w:r>
        <w:rPr>
          <w:rFonts w:eastAsia="Amiri" w:cs="Amiri" w:ascii="Amiri" w:hAnsi="Amiri"/>
          <w:color w:val="111111"/>
          <w:sz w:val="28"/>
          <w:szCs w:val="28"/>
          <w:rtl w:val="true"/>
          <w:lang w:bidi="ar-SA"/>
        </w:rPr>
        <w:t>.</w:t>
      </w:r>
      <w:bookmarkStart w:id="84" w:name="pg19722_766262"/>
    </w:p>
    <w:p>
      <w:pPr>
        <w:pStyle w:val="Heading4"/>
        <w:numPr>
          <w:ilvl w:val="3"/>
          <w:numId w:val="1"/>
        </w:numPr>
        <w:rPr/>
      </w:pPr>
      <w:bookmarkStart w:id="85" w:name="__RefHeading___Toc2136336_2314609296"/>
      <w:bookmarkStart w:id="86" w:name="_Toc30"/>
      <w:bookmarkEnd w:id="84"/>
      <w:bookmarkEnd w:id="85"/>
      <w:r>
        <w:rPr>
          <w:rtl w:val="true"/>
        </w:rPr>
        <w:t xml:space="preserve">مسألة </w:t>
      </w:r>
      <w:r>
        <w:rPr>
          <w:rtl w:val="true"/>
        </w:rPr>
        <w:t>[</w:t>
      </w:r>
      <w:r>
        <w:rPr/>
        <w:t>20</w:t>
      </w:r>
      <w:r>
        <w:rPr>
          <w:rtl w:val="true"/>
        </w:rPr>
        <w:t>]</w:t>
      </w:r>
      <w:bookmarkEnd w:id="86"/>
    </w:p>
    <w:p>
      <w:pPr>
        <w:pStyle w:val="BookText"/>
        <w:rPr/>
      </w:pPr>
      <w:r>
        <w:rPr>
          <w:rFonts w:ascii="Amiri" w:hAnsi="Amiri" w:eastAsia="Amiri" w:cs="Amiri"/>
          <w:color w:val="111111"/>
          <w:sz w:val="28"/>
          <w:sz w:val="28"/>
          <w:szCs w:val="28"/>
          <w:rtl w:val="true"/>
          <w:lang w:bidi="ar-SA"/>
        </w:rPr>
        <w:t>اعلم أنّه لا خلاف ظاهرا في أنّه لا يجوز أخذ المريضة في الفريضة مطلقا، و لا الهرمة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البالغة 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ذات 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دلّ على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مقتضى إشاعة الفريضة في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w:t>
      </w:r>
      <w:r>
        <w:rPr>
          <w:rStyle w:val="FootnoteAnchor"/>
          <w:rtl w:val="true"/>
        </w:rPr>
        <w:footnoteReference w:id="1225"/>
      </w:r>
      <w:r>
        <w:rPr>
          <w:rFonts w:ascii="Amiri" w:hAnsi="Amiri" w:eastAsia="Amiri" w:cs="Amiri"/>
          <w:color w:val="111111"/>
          <w:sz w:val="28"/>
          <w:sz w:val="28"/>
          <w:szCs w:val="28"/>
          <w:rtl w:val="true"/>
          <w:lang w:bidi="ar-SA"/>
        </w:rPr>
        <w:t>أبي بصير في حديث 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تؤخذ هرمة و لا ذات عوار إلّا أن يشاء المصدّق، و يعد صغيرها و كبيرها</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بالاستثناء ما إذا رأى الساعي المصلحة في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إذا أراد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من باب القيمة، لا أنّ جواز أخذها مفوّض إلى مشيئة المصدّق، إذ ليس له أن يأخذ إلّا ما شاء اللّٰه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كان جميع النصاب موصوفا بأحد الثلاثة لم يلزم المالك بشراء السليم، و لو كان ملفّقا من الاثنين أو الثلاثة لا يؤخذ الأخس </w:t>
      </w:r>
      <w:r>
        <w:rPr>
          <w:rStyle w:val="FootnoteAnchor"/>
          <w:rtl w:val="true"/>
        </w:rPr>
        <w:footnoteReference w:id="1227"/>
      </w:r>
      <w:r>
        <w:rPr>
          <w:rFonts w:ascii="IRNazanin" w:hAnsi="IRNazanin" w:eastAsia="IRNazanin"/>
          <w:color w:val="111111"/>
          <w:sz w:val="28"/>
          <w:sz w:val="28"/>
          <w:szCs w:val="28"/>
          <w:rtl w:val="true"/>
          <w:lang w:bidi="fa-IR"/>
        </w:rPr>
        <w:t>، و الظاهر أنّه</w:t>
      </w:r>
    </w:p>
    <w:p>
      <w:pPr>
        <w:pStyle w:val="BookText"/>
        <w:rPr/>
      </w:pPr>
      <w:r>
        <w:rPr>
          <w:rFonts w:ascii="Amiri" w:hAnsi="Amiri" w:eastAsia="Amiri" w:cs="Amiri"/>
          <w:color w:val="111111"/>
          <w:sz w:val="28"/>
          <w:sz w:val="28"/>
          <w:szCs w:val="28"/>
          <w:rtl w:val="true"/>
          <w:lang w:bidi="ar-SA"/>
        </w:rPr>
        <w:t>لا خلاف في عدّها من النصاب، كما لا خلاف في عدم عدّ الربّى بضم الراء و تشديد الباء، على وزن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فسّرناه بما يربّى في البيت لأجل لبنه </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لأنّه حينئذ من الدواجن، و ليس فيها شي‌ء لكونها معلوفة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زرارة المحكيّة عن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ثبوت الزكاة في الدواجن </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خلاف في عدها </w:t>
      </w:r>
      <w:r>
        <w:rPr>
          <w:rStyle w:val="FootnoteAnchor"/>
          <w:rtl w:val="true"/>
        </w:rPr>
        <w:footnoteReference w:id="1230"/>
      </w:r>
      <w:r>
        <w:rPr>
          <w:rFonts w:ascii="Amiri" w:hAnsi="Amiri" w:eastAsia="Amiri" w:cs="Amiri"/>
          <w:color w:val="111111"/>
          <w:sz w:val="28"/>
          <w:sz w:val="28"/>
          <w:szCs w:val="28"/>
          <w:rtl w:val="true"/>
          <w:lang w:bidi="ar-SA"/>
        </w:rPr>
        <w:t>إذا فسّرناها بما هو المشهور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الوالدة مطلقا، أو القريبة العهد من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في أنه لا تؤخذ في الفريضة؛ إمّا لكونها نفساء فهي مريضة و لذا لا يقام الحدّ على النفساء، و إما للزوم الإضرار بولدها، و إما للإضرار بالمالك، و إما للتعبّد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تؤخذ الأكولة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الكبيرة من الشّاة تكون في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والدة، و لا كبش الفحل</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الوالدة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القريبة العهد بالولادة، نعم في رواية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الأكيلة و لا في الربّى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تربّي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شاة لبن و لا فحل الغنم صدقة</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 إلّا أنّ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الروايتين إطلاق المنع حتّى لو رضي المالك، فلو دفعها لم تجز، إلّا أنّ ظاهر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ورودها في مقام الترخيص و التسهيل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الأكولة، و فحل الضراب المحتاج إليه، فظاهر المحكيّ عن الفاضلين</w:t>
      </w:r>
    </w:p>
    <w:p>
      <w:pPr>
        <w:pStyle w:val="BookText"/>
        <w:rPr/>
      </w:pPr>
      <w:r>
        <w:rPr>
          <w:rFonts w:ascii="Amiri" w:hAnsi="Amiri" w:eastAsia="Amiri" w:cs="Amiri"/>
          <w:color w:val="111111"/>
          <w:sz w:val="28"/>
          <w:sz w:val="28"/>
          <w:szCs w:val="28"/>
          <w:rtl w:val="true"/>
          <w:lang w:bidi="ar-SA"/>
        </w:rPr>
        <w:t xml:space="preserve">في النافع </w:t>
      </w:r>
      <w:r>
        <w:rPr>
          <w:rStyle w:val="FootnoteAnchor"/>
          <w:rtl w:val="true"/>
        </w:rPr>
        <w:footnoteReference w:id="1234"/>
      </w:r>
      <w:r>
        <w:rPr>
          <w:rFonts w:ascii="IRNazanin" w:hAnsi="IRNazanin" w:eastAsia="IRNazanin"/>
          <w:color w:val="111111"/>
          <w:sz w:val="28"/>
          <w:sz w:val="28"/>
          <w:szCs w:val="28"/>
          <w:rtl w:val="true"/>
          <w:lang w:bidi="fa-IR"/>
        </w:rPr>
        <w:t xml:space="preserve">و الإرشاد </w:t>
      </w:r>
      <w:r>
        <w:rPr>
          <w:rStyle w:val="FootnoteAnchor"/>
          <w:rtl w:val="true"/>
        </w:rPr>
        <w:footnoteReference w:id="1235"/>
      </w:r>
      <w:r>
        <w:rPr>
          <w:rFonts w:ascii="Amiri" w:hAnsi="Amiri" w:eastAsia="Amiri" w:cs="Amiri"/>
          <w:color w:val="111111"/>
          <w:sz w:val="28"/>
          <w:sz w:val="28"/>
          <w:szCs w:val="28"/>
          <w:rtl w:val="true"/>
          <w:lang w:bidi="ar-SA"/>
        </w:rPr>
        <w:t xml:space="preserve">و الشهيدين في اللمعتين </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لا يعدّان في النصاب، خلافا للحلبي في الأخير </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لرواية ابن الحجّاج المتقدّمة </w:t>
      </w:r>
      <w:r>
        <w:rPr>
          <w:rStyle w:val="FootnoteAnchor"/>
          <w:rtl w:val="true"/>
        </w:rPr>
        <w:footnoteReference w:id="1238"/>
      </w:r>
      <w:r>
        <w:rPr>
          <w:rFonts w:ascii="Amiri" w:hAnsi="Amiri" w:eastAsia="Amiri" w:cs="Amiri"/>
          <w:color w:val="111111"/>
          <w:sz w:val="28"/>
          <w:sz w:val="28"/>
          <w:szCs w:val="28"/>
          <w:rtl w:val="true"/>
          <w:lang w:bidi="ar-SA"/>
        </w:rPr>
        <w:t>الدالّة على نفي الصدقة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لأنّ الظاهر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بقرينة ذكر الربّى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الأخذ تشبيها له بعدم تعلّق الزكاة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أولى من حمل الرواية على ظاهرها، و طرح الرواية بالنسبة إلى حكم الربّى و شاة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من الربّى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المعلوفة لأجل كونها مربّية للاثنين </w:t>
      </w:r>
      <w:r>
        <w:rPr>
          <w:rStyle w:val="FootnoteAnchor"/>
          <w:rtl w:val="true"/>
        </w:rPr>
        <w:footnoteReference w:id="1239"/>
      </w:r>
      <w:r>
        <w:rPr>
          <w:rFonts w:ascii="Amiri" w:hAnsi="Amiri" w:eastAsia="Amiri" w:cs="Amiri"/>
          <w:color w:val="111111"/>
          <w:sz w:val="28"/>
          <w:sz w:val="28"/>
          <w:szCs w:val="28"/>
          <w:rtl w:val="true"/>
          <w:lang w:bidi="ar-SA"/>
        </w:rPr>
        <w:t>و يراد من شاة اللبن التفسير الأوّل المتقدّم للربّى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فرفع اليد عن العمومات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 صغيرها و كبيرها</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خمسين حقّة</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و نحوهما،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ضعف سندها</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1243"/>
      </w:r>
      <w:r>
        <w:rPr>
          <w:rFonts w:ascii="Amiri" w:hAnsi="Amiri" w:eastAsia="Amiri" w:cs="Amiri"/>
          <w:color w:val="111111"/>
          <w:sz w:val="28"/>
          <w:sz w:val="28"/>
          <w:szCs w:val="28"/>
          <w:rtl w:val="true"/>
          <w:lang w:bidi="ar-SA"/>
        </w:rPr>
        <w:t>لو دفع المالك الأكولة و فحل الضراب فظاهر الرواية الاولى و إن كان عدم الجواز، إلّا أنّ ظاهر الثانية بيان العفو كما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جواز إعطائها و إعطاء الربّى لو تطوّع المالك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لأنّ الظاهر من الرواية إرادة التسهيل على المالك، و أنّ هذه الأربعة كأن لم يتعلّق بها الفريضة، فتخرج أوّلا من الأنعام، ثمّ يقسّم الباقي و يؤخذ منه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ثبوت هذا التسلّط للمالك بالنسبة إلى أيّ شاة أراد إفرازها قبل القسمة، بل له أن لا يدفع شيئا و يدفع الفريضة من الخارج؛ لأنّ بيان الخاص لا ينافيه بيان العام مع عدم العلم بسبق علم المصدّق بهذه الكلّية، فلعلّه بيّن له أولا عدم التسلّط على هذه بالخصوص للاهتمام بشأنه، ثمّ بيّن عموم نفي التسلّط، أو لم يبيّنه لهذا الشخص أصلا لعلمه بعدم احتياجه</w:t>
      </w:r>
      <w:r>
        <w:rPr>
          <w:rFonts w:eastAsia="Amiri" w:cs="Amiri" w:ascii="Amiri" w:hAnsi="Amiri"/>
          <w:color w:val="111111"/>
          <w:sz w:val="28"/>
          <w:szCs w:val="28"/>
          <w:rtl w:val="true"/>
          <w:lang w:bidi="ar-SA"/>
        </w:rPr>
        <w:t>.</w:t>
      </w:r>
      <w:bookmarkStart w:id="87" w:name="pg19722_766266"/>
    </w:p>
    <w:p>
      <w:pPr>
        <w:pStyle w:val="Heading4"/>
        <w:numPr>
          <w:ilvl w:val="3"/>
          <w:numId w:val="1"/>
        </w:numPr>
        <w:rPr/>
      </w:pPr>
      <w:bookmarkStart w:id="88" w:name="__RefHeading___Toc2136338_2314609296"/>
      <w:bookmarkStart w:id="89" w:name="_Toc31"/>
      <w:bookmarkEnd w:id="87"/>
      <w:bookmarkEnd w:id="88"/>
      <w:r>
        <w:rPr>
          <w:rtl w:val="true"/>
        </w:rPr>
        <w:t xml:space="preserve">مسألة </w:t>
      </w:r>
      <w:r>
        <w:rPr>
          <w:rtl w:val="true"/>
        </w:rPr>
        <w:t>[</w:t>
      </w:r>
      <w:r>
        <w:rPr/>
        <w:t>21</w:t>
      </w:r>
      <w:r>
        <w:rPr>
          <w:rtl w:val="true"/>
        </w:rPr>
        <w:t>]</w:t>
      </w:r>
      <w:bookmarkEnd w:id="89"/>
    </w:p>
    <w:p>
      <w:pPr>
        <w:pStyle w:val="BookText"/>
        <w:rPr/>
      </w:pPr>
      <w:r>
        <w:rPr>
          <w:rFonts w:ascii="Amiri" w:hAnsi="Amiri" w:eastAsia="Amiri" w:cs="Amiri"/>
          <w:color w:val="111111"/>
          <w:sz w:val="28"/>
          <w:sz w:val="28"/>
          <w:szCs w:val="28"/>
          <w:rtl w:val="true"/>
          <w:lang w:bidi="ar-SA"/>
        </w:rPr>
        <w:t xml:space="preserve">الظاهر أنّه لا خلاف بين الإمامية في تعلّق الزكاة بالعين، و صرّح في الإيضاح بإجماع الإمامية على ذلك </w:t>
      </w:r>
      <w:r>
        <w:rPr>
          <w:rStyle w:val="FootnoteAnchor"/>
          <w:rtl w:val="true"/>
        </w:rPr>
        <w:footnoteReference w:id="1245"/>
      </w:r>
      <w:r>
        <w:rPr>
          <w:rFonts w:ascii="Amiri" w:hAnsi="Amiri" w:eastAsia="Amiri" w:cs="Amiri"/>
          <w:color w:val="111111"/>
          <w:sz w:val="28"/>
          <w:sz w:val="28"/>
          <w:szCs w:val="28"/>
          <w:rtl w:val="true"/>
          <w:lang w:bidi="ar-SA"/>
        </w:rPr>
        <w:t xml:space="preserve">، و حكي دعوى الوفاق عن غير واحد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حكى في البيان عن ابن حمزة أنّه حكى عن بعض الأصحاب تعلّقها بالذمّة </w:t>
      </w:r>
      <w:r>
        <w:rPr>
          <w:rStyle w:val="FootnoteAnchor"/>
          <w:rtl w:val="true"/>
        </w:rPr>
        <w:footnoteReference w:id="1247"/>
      </w:r>
      <w:r>
        <w:rPr>
          <w:rFonts w:ascii="Amiri" w:hAnsi="Amiri" w:eastAsia="Amiri" w:cs="Amiri"/>
          <w:color w:val="111111"/>
          <w:sz w:val="28"/>
          <w:sz w:val="28"/>
          <w:szCs w:val="28"/>
          <w:rtl w:val="true"/>
          <w:lang w:bidi="ar-SA"/>
        </w:rPr>
        <w:t>، لكن المستفاد من الشهيد قدّس سره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تفريعات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القائل لا ينكر أنّ لها تعلّقا بالعين في الذمة،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باع المالك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248"/>
      </w:r>
      <w:r>
        <w:rPr>
          <w:rFonts w:ascii="Amiri" w:hAnsi="Amiri" w:eastAsia="Amiri" w:cs="Amiri"/>
          <w:color w:val="111111"/>
          <w:sz w:val="28"/>
          <w:sz w:val="28"/>
          <w:szCs w:val="28"/>
          <w:rtl w:val="true"/>
          <w:lang w:bidi="ar-SA"/>
        </w:rPr>
        <w:t>على القول بالذمّة يصحّ البيع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أدّى المالك لزم، و إلّا فللساعي تتبع العين فيتجدد </w:t>
      </w:r>
      <w:r>
        <w:rPr>
          <w:rStyle w:val="FootnoteAnchor"/>
          <w:rtl w:val="true"/>
        </w:rPr>
        <w:footnoteReference w:id="1249"/>
      </w:r>
      <w:r>
        <w:rPr>
          <w:rFonts w:ascii="Amiri" w:hAnsi="Amiri" w:eastAsia="Amiri" w:cs="Amiri"/>
          <w:color w:val="111111"/>
          <w:sz w:val="28"/>
          <w:sz w:val="28"/>
          <w:szCs w:val="28"/>
          <w:rtl w:val="true"/>
          <w:lang w:bidi="ar-SA"/>
        </w:rPr>
        <w:t xml:space="preserve">البطلان و يتخيّر المشتري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لهذا لم ينقل هذا الخلاف غير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عادته نقل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المطلب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w:t>
      </w:r>
      <w:r>
        <w:rPr>
          <w:rStyle w:val="FootnoteAnchor"/>
          <w:rtl w:val="true"/>
        </w:rPr>
        <w:footnoteReference w:id="1251"/>
      </w:r>
      <w:r>
        <w:rPr>
          <w:rFonts w:ascii="Amiri" w:hAnsi="Amiri" w:eastAsia="Amiri" w:cs="Amiri"/>
          <w:color w:val="111111"/>
          <w:sz w:val="28"/>
          <w:sz w:val="28"/>
          <w:szCs w:val="28"/>
          <w:rtl w:val="true"/>
          <w:lang w:bidi="ar-SA"/>
        </w:rPr>
        <w:t>أبي المعزى،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شرّك بين الفقراء و الأغنياء في أموالهم، فليس لهم أن يصرفوا إلى غير شركائهم</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 xml:space="preserve">دلّ على الشركة و لازمها هو </w:t>
      </w:r>
      <w:r>
        <w:rPr>
          <w:rStyle w:val="FootnoteAnchor"/>
          <w:rtl w:val="true"/>
        </w:rPr>
        <w:footnoteReference w:id="1253"/>
      </w:r>
      <w:r>
        <w:rPr>
          <w:rFonts w:ascii="Amiri" w:hAnsi="Amiri" w:eastAsia="Amiri" w:cs="Amiri"/>
          <w:color w:val="111111"/>
          <w:sz w:val="28"/>
          <w:sz w:val="28"/>
          <w:szCs w:val="28"/>
          <w:rtl w:val="true"/>
          <w:lang w:bidi="ar-SA"/>
        </w:rPr>
        <w:t>عدم جواز التصرّف فيها على غير وجه الدفع إلى المستحقّين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حسنة بريد العجلي بابن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المتصدق </w:t>
      </w:r>
      <w:r>
        <w:rPr>
          <w:rStyle w:val="FootnoteAnchor"/>
          <w:rtl w:val="true"/>
        </w:rPr>
        <w:footnoteReference w:id="1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تدخل المال إلّا بإذن صاحبه فإنّ أكثره له</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 و نحوها ما عن نهج البلاغة فيما كتب عليه السلام لمصدّقه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أيضا الأمر فيها بتقسم المال مرّات متعدّدة حتّى </w:t>
      </w:r>
      <w:r>
        <w:rPr>
          <w:rStyle w:val="FootnoteAnchor"/>
          <w:rtl w:val="true"/>
        </w:rPr>
        <w:footnoteReference w:id="1257"/>
      </w:r>
      <w:r>
        <w:rPr>
          <w:rFonts w:ascii="Amiri" w:hAnsi="Amiri" w:eastAsia="Amiri" w:cs="Amiri"/>
          <w:color w:val="111111"/>
          <w:sz w:val="28"/>
          <w:sz w:val="28"/>
          <w:szCs w:val="28"/>
          <w:rtl w:val="true"/>
          <w:lang w:bidi="ar-SA"/>
        </w:rPr>
        <w:t xml:space="preserve">يبقى ما فيه وفاء لحقّ اللّٰه تعالى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أيضا </w:t>
      </w:r>
      <w:r>
        <w:rPr>
          <w:rStyle w:val="FootnoteAnchor"/>
          <w:rtl w:val="true"/>
        </w:rPr>
        <w:footnoteReference w:id="1259"/>
      </w:r>
      <w:r>
        <w:rPr>
          <w:rFonts w:ascii="Amiri" w:hAnsi="Amiri" w:eastAsia="Amiri" w:cs="Amiri"/>
          <w:color w:val="111111"/>
          <w:sz w:val="28"/>
          <w:sz w:val="28"/>
          <w:szCs w:val="28"/>
          <w:rtl w:val="true"/>
          <w:lang w:bidi="ar-SA"/>
        </w:rPr>
        <w:t>رواية ابن أبي حمزة، عن أبيه، عن الباقر عليه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الزكاة يجب عليّ في موضع لا يمكنني أن أؤدّيها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اعزلها، فإن اتّجرت بها فأنت لها ضامن و لها الربح، فإن تويت في حال ما عزلتها من غير أن تشغلها في تجارة فليس عليك، فإن لم تعزلها و اتّجرت بها في جملة مالك فلها بقسطها من</w:t>
      </w:r>
    </w:p>
    <w:p>
      <w:pPr>
        <w:pStyle w:val="BookText"/>
        <w:rPr/>
      </w:pPr>
      <w:r>
        <w:rPr>
          <w:rFonts w:ascii="Amiri" w:hAnsi="Amiri" w:eastAsia="Amiri" w:cs="Amiri"/>
          <w:color w:val="111111"/>
          <w:sz w:val="28"/>
          <w:sz w:val="28"/>
          <w:szCs w:val="28"/>
          <w:rtl w:val="true"/>
          <w:lang w:bidi="ar-SA"/>
        </w:rPr>
        <w:t>الربح، و لا وضيعة عليها</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عليه جميع أخبار الإخراج و العزل،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في الغلّات و النقدين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مائتين خمسة دراهم، و في كلّ أربعين درهم</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 فإنّ المتبادر من ذلك أنّ فيها ربع العشر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خمس من الإبل شاة</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خمسين حقّة</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ثلاثين تبيع</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 xml:space="preserve">، و نحوها مما ليس المخرج من النصاب </w:t>
      </w:r>
      <w:r>
        <w:rPr>
          <w:rStyle w:val="FootnoteAnchor"/>
          <w:rtl w:val="true"/>
        </w:rPr>
        <w:footnoteReference w:id="1266"/>
      </w:r>
      <w:r>
        <w:rPr>
          <w:rFonts w:ascii="Amiri" w:hAnsi="Amiri" w:eastAsia="Amiri" w:cs="Amiri"/>
          <w:color w:val="111111"/>
          <w:sz w:val="28"/>
          <w:sz w:val="28"/>
          <w:szCs w:val="28"/>
          <w:rtl w:val="true"/>
          <w:lang w:bidi="ar-SA"/>
        </w:rPr>
        <w:t>، فإنّه لا بد من صرفها عن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على إرادة أنّ فيها جزء مشاعا، نسبته إلى الكلّ كنسبة قيمة الفريضة إلى قيمة المجموع، و لا ريب أنّ هذا معنى لا يفهم بدون القرينة الجليّة بل المتبادر من ذلك وجوب شاة كلّي في ذمّة المكلّف، نعم يحمل على المعنى الذي ذكر بقرينة ما ذكرنا، 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الغنم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أيضا لا يدلّ على ذلك و إن كان في بادئ النظر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درهما درهم</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إلّا أنّ استعمال الفرد من الأفراد المماثلة في الكسر المنسوب إلى المجموع شائع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 من العشرة أرطال </w:t>
      </w:r>
      <w:r>
        <w:rPr>
          <w:rStyle w:val="FootnoteAnchor"/>
          <w:rtl w:val="true"/>
        </w:rPr>
        <w:footnoteReference w:id="1269"/>
      </w:r>
      <w:r>
        <w:rPr>
          <w:rFonts w:ascii="Amiri" w:hAnsi="Amiri" w:eastAsia="Amiri" w:cs="Amiri"/>
          <w:color w:val="111111"/>
          <w:sz w:val="28"/>
          <w:sz w:val="28"/>
          <w:szCs w:val="28"/>
          <w:rtl w:val="true"/>
          <w:lang w:bidi="ar-SA"/>
        </w:rPr>
        <w:t>، و يراد العشر، و لا يقال ذلك في غير المثليات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ثبوت واحد غير معيّن في المجموع، فيكون الواجب كليّا صادقا على كلّ واحدة لا جزء مشاعا، مع أنّ هذا أيضا غير مراد؛ لجواز دفع شاة أخرى من غير النصاب على وجه الأصالة دون القيمة اتّفاقا على الظاهر، فليست الظرفية باقية على معناها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حكم وضعيّ بثبوت واحد في الأربعين على سبيل الظرفية الحقيقية، و لا ينافي ذلك تجويز الشارع ضمان ذلك الواحد بمثله من غير النصاب من باب البدل لا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القول بتعلّق الزكاة بالعين تعلّق الشركة و إن كان ظاهر ما تقدّم من الأخبار، بل ظاهر معاقد الإجماعات، بل صرّح في موضع من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اختيار الأصحاب تعلّق الزكاة بالعين تعلّق الشركة </w:t>
      </w:r>
      <w:r>
        <w:rPr>
          <w:rStyle w:val="FootnoteAnchor"/>
          <w:rtl w:val="true"/>
        </w:rPr>
        <w:footnoteReference w:id="1271"/>
      </w:r>
      <w:r>
        <w:rPr>
          <w:rFonts w:ascii="Amiri" w:hAnsi="Amiri" w:eastAsia="Amiri" w:cs="Amiri"/>
          <w:color w:val="111111"/>
          <w:sz w:val="28"/>
          <w:sz w:val="28"/>
          <w:szCs w:val="28"/>
          <w:rtl w:val="true"/>
          <w:lang w:bidi="ar-SA"/>
        </w:rPr>
        <w:t>، إلّا أنّ الذي يقتضيه ملاحظة أحكام كثيرة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ينافي الشركة، و هي كثيرة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النصّ و الفتوى في جواز إخراج الزكاة من غير العين </w:t>
      </w:r>
      <w:r>
        <w:rPr>
          <w:rStyle w:val="FootnoteAnchor"/>
          <w:rtl w:val="true"/>
        </w:rPr>
        <w:footnoteReference w:id="1272"/>
      </w:r>
      <w:r>
        <w:rPr>
          <w:rFonts w:ascii="Amiri" w:hAnsi="Amiri" w:eastAsia="Amiri" w:cs="Amiri"/>
          <w:color w:val="111111"/>
          <w:sz w:val="28"/>
          <w:sz w:val="28"/>
          <w:szCs w:val="28"/>
          <w:rtl w:val="true"/>
          <w:lang w:bidi="ar-SA"/>
        </w:rPr>
        <w:t xml:space="preserve">و دعوى كون ذلك </w:t>
      </w:r>
      <w:r>
        <w:rPr>
          <w:rStyle w:val="FootnoteAnchor"/>
          <w:rtl w:val="true"/>
        </w:rPr>
        <w:footnoteReference w:id="1273"/>
      </w:r>
      <w:r>
        <w:rPr>
          <w:rFonts w:ascii="Amiri" w:hAnsi="Amiri" w:eastAsia="Amiri" w:cs="Amiri"/>
          <w:color w:val="111111"/>
          <w:sz w:val="28"/>
          <w:sz w:val="28"/>
          <w:szCs w:val="28"/>
          <w:rtl w:val="true"/>
          <w:lang w:bidi="ar-SA"/>
        </w:rPr>
        <w:t>من باب ضمان العين ببدله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المعهود من ضمان القيمي بقيمته دون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خارج عن مدلول النصوص و الفتاوى، إلّا أنّ مراده تعهّد إخراج الزكاة من مال آخر، كما هو ظاهر ثبوت الضمان، لا نقله إلى نفسه ببدله بأن يحصل شبه معاوضة، فإنّ ذلك </w:t>
      </w:r>
      <w:r>
        <w:rPr>
          <w:rStyle w:val="FootnoteAnchor"/>
          <w:rtl w:val="true"/>
        </w:rPr>
        <w:footnoteReference w:id="1274"/>
      </w:r>
      <w:r>
        <w:rPr>
          <w:rFonts w:ascii="Amiri" w:hAnsi="Amiri" w:eastAsia="Amiri" w:cs="Amiri"/>
          <w:color w:val="111111"/>
          <w:sz w:val="28"/>
          <w:sz w:val="28"/>
          <w:szCs w:val="28"/>
          <w:rtl w:val="true"/>
          <w:lang w:bidi="ar-SA"/>
        </w:rPr>
        <w:t>كلّه تكلّف واضح، ففي حسنة</w:t>
      </w:r>
    </w:p>
    <w:p>
      <w:pPr>
        <w:pStyle w:val="BookText"/>
        <w:rPr/>
      </w:pPr>
      <w:r>
        <w:rPr>
          <w:rFonts w:ascii="Amiri" w:hAnsi="Amiri" w:eastAsia="Amiri" w:cs="Amiri"/>
          <w:color w:val="111111"/>
          <w:sz w:val="28"/>
          <w:sz w:val="28"/>
          <w:szCs w:val="28"/>
          <w:rtl w:val="true"/>
          <w:lang w:bidi="ar-SA"/>
        </w:rPr>
        <w:t>عبد الرحمن البصري بابن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لم يزكّ إبله أو شاته عامين فباعها، على من اشتراها أن يزكّيها؟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منه زكاتها، و يتبع بها البائع أو يؤدّي زكاتها البائع</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ظاهرها أنّ ما يؤدّيه البائع من غير المبيع هي الزكاة لا بدلها، و هذه و إن استدل بها على الشركة من جهة تتبع الساعي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تتبع الساعي</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لا يستلزم الشركة كما سيجي‌ء، بل هي 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و لما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كون المخرج من غير العين نفس الزكاة لا بدلها بعد ضمان قيمتها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أداء المقرض زكاة القرض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دلّ على تعجيل الزكاة </w:t>
      </w:r>
      <w:r>
        <w:rPr>
          <w:rStyle w:val="FootnoteAnchor"/>
          <w:rtl w:val="true"/>
        </w:rPr>
        <w:footnoteReference w:id="1279"/>
      </w:r>
      <w:r>
        <w:rPr>
          <w:rFonts w:ascii="Amiri" w:hAnsi="Amiri" w:eastAsia="Amiri" w:cs="Amiri"/>
          <w:color w:val="111111"/>
          <w:sz w:val="28"/>
          <w:sz w:val="28"/>
          <w:szCs w:val="28"/>
          <w:rtl w:val="true"/>
          <w:lang w:bidi="ar-SA"/>
        </w:rPr>
        <w:t xml:space="preserve">، و ما دلّ على احتساب الدين من الزكاة </w:t>
      </w:r>
      <w:r>
        <w:rPr>
          <w:rStyle w:val="FootnoteAnchor"/>
          <w:rtl w:val="true"/>
        </w:rPr>
        <w:footnoteReference w:id="1280"/>
      </w:r>
      <w:r>
        <w:rPr>
          <w:rFonts w:ascii="Amiri" w:hAnsi="Amiri" w:eastAsia="Amiri" w:cs="Amiri"/>
          <w:color w:val="111111"/>
          <w:sz w:val="28"/>
          <w:sz w:val="28"/>
          <w:szCs w:val="28"/>
          <w:rtl w:val="true"/>
          <w:lang w:bidi="ar-SA"/>
        </w:rPr>
        <w:t xml:space="preserve">، و ما دلّ على اشتراط إخراج الزكاة على المشتري و على متقبّل الأرض </w:t>
      </w:r>
      <w:r>
        <w:rPr>
          <w:rStyle w:val="FootnoteAnchor"/>
          <w:rtl w:val="true"/>
        </w:rPr>
        <w:footnoteReference w:id="1281"/>
      </w:r>
      <w:r>
        <w:rPr>
          <w:rFonts w:ascii="Amiri" w:hAnsi="Amiri" w:eastAsia="Amiri" w:cs="Amiri"/>
          <w:color w:val="111111"/>
          <w:sz w:val="28"/>
          <w:sz w:val="28"/>
          <w:szCs w:val="28"/>
          <w:rtl w:val="true"/>
          <w:lang w:bidi="ar-SA"/>
        </w:rPr>
        <w:t xml:space="preserve">و غير ذلك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الشركة حقيقة لم يفد أداء البائع زكاة المبيع في صحة بيع النصاب، مع أنّه ثابت بالصحيحة المتقدمة </w:t>
      </w:r>
      <w:r>
        <w:rPr>
          <w:rStyle w:val="FootnoteAnchor"/>
          <w:rtl w:val="true"/>
        </w:rPr>
        <w:footnoteReference w:id="1283"/>
      </w:r>
      <w:r>
        <w:rPr>
          <w:rFonts w:ascii="Amiri" w:hAnsi="Amiri" w:eastAsia="Amiri" w:cs="Amiri"/>
          <w:color w:val="111111"/>
          <w:sz w:val="28"/>
          <w:sz w:val="28"/>
          <w:szCs w:val="28"/>
          <w:rtl w:val="true"/>
          <w:lang w:bidi="ar-SA"/>
        </w:rPr>
        <w:t>ضرورة أنّ الفريضة في النصاب</w:t>
      </w:r>
    </w:p>
    <w:p>
      <w:pPr>
        <w:pStyle w:val="BookText"/>
        <w:rPr/>
      </w:pPr>
      <w:r>
        <w:rPr>
          <w:rFonts w:ascii="Amiri" w:hAnsi="Amiri" w:eastAsia="Amiri" w:cs="Amiri"/>
          <w:color w:val="111111"/>
          <w:sz w:val="28"/>
          <w:sz w:val="28"/>
          <w:szCs w:val="28"/>
          <w:rtl w:val="true"/>
          <w:lang w:bidi="ar-SA"/>
        </w:rPr>
        <w:t>إذا كان مال الغير فإن صحّ للمالك بيعها لم يؤخذ من المشتري، و إلّا لم ينفع أداء الزكاة بعد البيع، بل يكون نظير بيع مال الغير ثمّ اشتراؤه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تأدية الزكاة يقوم مقام إجازة المالك، مع أنّه لا يتم إلّا إذا كانت التأدية إلى الإمام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الفقير الذي ليس له ولاية على المال إلا بعد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مقتضى مفهوم الإجازة رجوع حصته من الثمن إلى المجيز، و المفروض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دعوى أنّ المدفوع </w:t>
      </w:r>
      <w:r>
        <w:rPr>
          <w:rStyle w:val="FootnoteAnchor"/>
          <w:rtl w:val="true"/>
        </w:rPr>
        <w:footnoteReference w:id="1284"/>
      </w:r>
      <w:r>
        <w:rPr>
          <w:rFonts w:ascii="Amiri" w:hAnsi="Amiri" w:eastAsia="Amiri" w:cs="Amiri"/>
          <w:color w:val="111111"/>
          <w:sz w:val="28"/>
          <w:sz w:val="28"/>
          <w:szCs w:val="28"/>
          <w:rtl w:val="true"/>
          <w:lang w:bidi="ar-SA"/>
        </w:rPr>
        <w:t>من المالك عوض الثمن،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القول ببطلان البيع في الفريضة، و عدم نفع تأدية الزكاة إلّا أن يجيز الإمام أو وكيله فيأخذ </w:t>
      </w:r>
      <w:r>
        <w:rPr>
          <w:rStyle w:val="FootnoteAnchor"/>
          <w:rtl w:val="true"/>
        </w:rPr>
        <w:footnoteReference w:id="1285"/>
      </w:r>
      <w:r>
        <w:rPr>
          <w:rFonts w:ascii="Amiri" w:hAnsi="Amiri" w:eastAsia="Amiri" w:cs="Amiri"/>
          <w:color w:val="111111"/>
          <w:sz w:val="28"/>
          <w:sz w:val="28"/>
          <w:szCs w:val="28"/>
          <w:rtl w:val="true"/>
          <w:lang w:bidi="ar-SA"/>
        </w:rPr>
        <w:t>حصّته من الثمن، كما هو مقتضى 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التزم به بعض المعاصرين القائلين بالشركة</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و قد عرفت ظهور النص في خلافه </w:t>
      </w:r>
      <w:r>
        <w:rPr>
          <w:rStyle w:val="FootnoteAnchor"/>
          <w:rtl w:val="true"/>
        </w:rPr>
        <w:footnoteReference w:id="1287"/>
      </w:r>
      <w:r>
        <w:rPr>
          <w:rFonts w:ascii="Amiri" w:hAnsi="Amiri" w:eastAsia="Amiri" w:cs="Amiri"/>
          <w:color w:val="111111"/>
          <w:sz w:val="28"/>
          <w:sz w:val="28"/>
          <w:szCs w:val="28"/>
          <w:rtl w:val="true"/>
          <w:lang w:bidi="ar-SA"/>
        </w:rPr>
        <w:t xml:space="preserve">من جهة حصر الأمر فيه بين أخذ الزكاة من المشتري، و بين تأدية البائع الزكاة، و ظاهره أيضا تخيير البائع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الشركة لو كانت حقيقة </w:t>
      </w:r>
      <w:r>
        <w:rPr>
          <w:rStyle w:val="FootnoteAnchor"/>
          <w:rtl w:val="true"/>
        </w:rPr>
        <w:footnoteReference w:id="1289"/>
      </w:r>
      <w:r>
        <w:rPr>
          <w:rFonts w:ascii="Amiri" w:hAnsi="Amiri" w:eastAsia="Amiri" w:cs="Amiri"/>
          <w:color w:val="111111"/>
          <w:sz w:val="28"/>
          <w:sz w:val="28"/>
          <w:szCs w:val="28"/>
          <w:rtl w:val="true"/>
          <w:lang w:bidi="ar-SA"/>
        </w:rPr>
        <w:t>لم يتصوّر ذلك في الزكوات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كزكاة ما عدا الغلّات الأربع من المكيلات، و زكاة غلّات اليتيم، و زكاة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اتّحاد سياق تعلّقها بالعين مع سياق تعلّق الزكاة الواجبة، بل قد </w:t>
      </w:r>
      <w:r>
        <w:rPr>
          <w:rStyle w:val="FootnoteAnchor"/>
          <w:rtl w:val="true"/>
        </w:rPr>
        <w:footnoteReference w:id="1290"/>
      </w:r>
      <w:r>
        <w:rPr>
          <w:rFonts w:ascii="Amiri" w:hAnsi="Amiri" w:eastAsia="Amiri" w:cs="Amiri"/>
          <w:color w:val="111111"/>
          <w:sz w:val="28"/>
          <w:sz w:val="28"/>
          <w:szCs w:val="28"/>
          <w:rtl w:val="true"/>
          <w:lang w:bidi="ar-SA"/>
        </w:rPr>
        <w:t>اشتمل بعض الروايات على بيان ثبوت الزكاة في الواجب و المستحبّ معا، و لذا تقدّم حمل مثل ذلك على مطلق الرجحان، لا خصوص الوجوب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الشركة حقيقة </w:t>
      </w:r>
      <w:r>
        <w:rPr>
          <w:rStyle w:val="FootnoteAnchor"/>
          <w:rtl w:val="true"/>
        </w:rPr>
        <w:footnoteReference w:id="1291"/>
      </w:r>
      <w:r>
        <w:rPr>
          <w:rFonts w:ascii="Amiri" w:hAnsi="Amiri" w:eastAsia="Amiri" w:cs="Amiri"/>
          <w:color w:val="111111"/>
          <w:sz w:val="28"/>
          <w:sz w:val="28"/>
          <w:szCs w:val="28"/>
          <w:rtl w:val="true"/>
          <w:lang w:bidi="ar-SA"/>
        </w:rPr>
        <w:t>لكان نماء الفريضة تابعة لها، و كان المالك ضامنا لمنفعتها، استوفاها أو لا، مع أنّ الظاهر من النص و الفتوى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 فلصحيحة عبد الرحمن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فيمن لم يزكّ إبله أو غنمه عامين ثمّ باعها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اقتصار الإمام عليه السلام، بل السائل على وجوب الزكاة ظاهر في عدم استحقاق الفقراء للنماء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كالولد و الصوف و اجرة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يستوف منافعها، إذ لا يتوقّف الضمان على الاستيفاء، مع أنّ الإبل و الغنم في عامين </w:t>
      </w:r>
      <w:r>
        <w:rPr>
          <w:rStyle w:val="FootnoteAnchor"/>
          <w:rtl w:val="true"/>
        </w:rPr>
        <w:footnoteReference w:id="1293"/>
      </w:r>
      <w:r>
        <w:rPr>
          <w:rFonts w:ascii="Amiri" w:hAnsi="Amiri" w:eastAsia="Amiri" w:cs="Amiri"/>
          <w:color w:val="111111"/>
          <w:sz w:val="28"/>
          <w:sz w:val="28"/>
          <w:szCs w:val="28"/>
          <w:rtl w:val="true"/>
          <w:lang w:bidi="ar-SA"/>
        </w:rPr>
        <w:t>لا يخلوان عن نتاج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المقام مقام بيان ضمان الزكاة لا ضمان توابعها، بل هي مستفادة من قاعدة ضمان المال، مدفوعة بأنّ قاعدة ضمان توابع المال ليس مدركها إلّا مجموع الأخبار الواردة في الجزئيات الخاصّة مثل هذا المورد و نحوه، و ليس لها في النصوص باب مستقلّ يعرفه السائل من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يمكن دعوى ظهور كلام جماعة في عدم ضمان النماء، حيث صرّحوا بأنّه لو مضى على النصاب أحوال لم يلزمه إلّا زكاة حول واحد، فإنّ </w:t>
      </w:r>
      <w:r>
        <w:rPr>
          <w:rStyle w:val="FootnoteAnchor"/>
          <w:rtl w:val="true"/>
        </w:rPr>
        <w:footnoteReference w:id="1294"/>
      </w:r>
      <w:r>
        <w:rPr>
          <w:rFonts w:ascii="Amiri" w:hAnsi="Amiri" w:eastAsia="Amiri" w:cs="Amiri"/>
          <w:color w:val="111111"/>
          <w:sz w:val="28"/>
          <w:sz w:val="28"/>
          <w:szCs w:val="28"/>
          <w:rtl w:val="true"/>
          <w:lang w:bidi="ar-SA"/>
        </w:rPr>
        <w:t>الاقتصار على أصل الزكاة، و عدم التعرّض لحكم الفرع ظاهر في أنّه ليس عليه إلّا الأصل؛ لأنّ بناءهم على ذكر ضمان توابع المال عند ذكر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مثل هذا المال المشتبه المالية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على الشركة عدم ملك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نتجت أربعون </w:t>
      </w:r>
      <w:r>
        <w:rPr>
          <w:rStyle w:val="FootnoteAnchor"/>
          <w:rtl w:val="true"/>
        </w:rPr>
        <w:footnoteReference w:id="1295"/>
      </w:r>
      <w:r>
        <w:rPr>
          <w:rFonts w:ascii="Amiri" w:hAnsi="Amiri" w:eastAsia="Amiri" w:cs="Amiri"/>
          <w:color w:val="111111"/>
          <w:sz w:val="28"/>
          <w:sz w:val="28"/>
          <w:szCs w:val="28"/>
          <w:rtl w:val="true"/>
          <w:lang w:bidi="ar-SA"/>
        </w:rPr>
        <w:t xml:space="preserve">قبل أداء الزكاة و بعد الحول </w:t>
      </w:r>
      <w:r>
        <w:rPr>
          <w:rStyle w:val="FootnoteAnchor"/>
          <w:rtl w:val="true"/>
        </w:rPr>
        <w:footnoteReference w:id="1296"/>
      </w:r>
      <w:r>
        <w:rPr>
          <w:rFonts w:ascii="Amiri" w:hAnsi="Amiri" w:eastAsia="Amiri" w:cs="Amiri"/>
          <w:color w:val="111111"/>
          <w:sz w:val="28"/>
          <w:sz w:val="28"/>
          <w:szCs w:val="28"/>
          <w:rtl w:val="true"/>
          <w:lang w:bidi="ar-SA"/>
        </w:rPr>
        <w:t xml:space="preserve">، و ظاهر كلام المورد انّه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اتّفاقي، و الحكم و إن لم يثبت بهذا المقدار إلا أنّه يصحّ مؤيّدا للنصّ، بعد تأييده بخلوّ كلمات الأصحاب عن التعرض لضمان النماء و المنافع عند حلول الأحوال على النصاب مع مساعدة السيرة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سبق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حمزة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اتّجر بها في جملة المال فلها الربح و ليس عليها الوضيعة</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w:t>
      </w:r>
      <w:r>
        <w:rPr>
          <w:rStyle w:val="FootnoteAnchor"/>
          <w:rtl w:val="true"/>
        </w:rPr>
        <w:footnoteReference w:id="1299"/>
      </w:r>
      <w:r>
        <w:rPr>
          <w:rFonts w:ascii="Amiri" w:hAnsi="Amiri" w:eastAsia="Amiri" w:cs="Amiri"/>
          <w:color w:val="111111"/>
          <w:sz w:val="28"/>
          <w:sz w:val="28"/>
          <w:szCs w:val="28"/>
          <w:rtl w:val="true"/>
          <w:lang w:bidi="ar-SA"/>
        </w:rPr>
        <w:t>خلاف القاعدة من جهة لزوم المعاملة بمال الغير من دون الإجازة، و من جهة وقوعها للغير حتّى إذا كانت بما في الذمّة ثمّ دفع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بصحيحة عبد الرحمن المتقدّمة </w:t>
      </w:r>
      <w:r>
        <w:rPr>
          <w:rStyle w:val="FootnoteAnchor"/>
          <w:rtl w:val="true"/>
        </w:rPr>
        <w:footnoteReference w:id="1300"/>
      </w:r>
      <w:r>
        <w:rPr>
          <w:rFonts w:ascii="Amiri" w:hAnsi="Amiri" w:eastAsia="Amiri" w:cs="Amiri"/>
          <w:color w:val="111111"/>
          <w:sz w:val="28"/>
          <w:sz w:val="28"/>
          <w:szCs w:val="28"/>
          <w:rtl w:val="true"/>
          <w:lang w:bidi="ar-SA"/>
        </w:rPr>
        <w:t>الدالّة على عدم لزوم الثمن و تتبع الساعي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باختصاص كلّ في مورده، و انّ من عامل بمال الغير فإن اطلع على عينه فله أخذها، و إلّا فله الربح و على العامل الوضيعة كما تقدّم في مال اليتيم، و كما ورد في المال المغصوب من رواية مسمع المذكورة في محلّها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فالظاهر أنّ القول بالشركة الحقيقية مشكل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تعلّق </w:t>
      </w:r>
      <w:r>
        <w:rPr>
          <w:rStyle w:val="FootnoteAnchor"/>
          <w:rtl w:val="true"/>
        </w:rPr>
        <w:footnoteReference w:id="1302"/>
      </w:r>
      <w:r>
        <w:rPr>
          <w:rFonts w:ascii="Amiri" w:hAnsi="Amiri" w:eastAsia="Amiri" w:cs="Amiri"/>
          <w:color w:val="111111"/>
          <w:sz w:val="28"/>
          <w:sz w:val="28"/>
          <w:szCs w:val="28"/>
          <w:rtl w:val="true"/>
          <w:lang w:bidi="ar-SA"/>
        </w:rPr>
        <w:t xml:space="preserve">الزكاة بالعين هو أنّ اللّٰه تعالى أوجب على المكلّف إخراج الجزء المعيّن من المال، فيكون شي‌ء من العين حقّا للفقراء، بمعنى استحقاقهم لأن يدفع إليهم، و عدم جواز التصرّف فيه بوجه آخر، لا بمعنى ملكهم </w:t>
      </w:r>
      <w:r>
        <w:rPr>
          <w:rStyle w:val="FootnoteAnchor"/>
          <w:rtl w:val="true"/>
        </w:rPr>
        <w:footnoteReference w:id="1303"/>
      </w:r>
      <w:r>
        <w:rPr>
          <w:rFonts w:ascii="Amiri" w:hAnsi="Amiri" w:eastAsia="Amiri" w:cs="Amiri"/>
          <w:color w:val="111111"/>
          <w:sz w:val="28"/>
          <w:sz w:val="28"/>
          <w:szCs w:val="28"/>
          <w:rtl w:val="true"/>
          <w:lang w:bidi="ar-SA"/>
        </w:rPr>
        <w:t>له بمجرّد حلول الحول إلّا أنّ الشارع قد أذن للمالك في إخراج</w:t>
      </w:r>
    </w:p>
    <w:p>
      <w:pPr>
        <w:pStyle w:val="BookText"/>
        <w:rPr/>
      </w:pPr>
      <w:r>
        <w:rPr>
          <w:rFonts w:ascii="Amiri" w:hAnsi="Amiri" w:eastAsia="Amiri" w:cs="Amiri"/>
          <w:color w:val="111111"/>
          <w:sz w:val="28"/>
          <w:sz w:val="28"/>
          <w:szCs w:val="28"/>
          <w:rtl w:val="true"/>
          <w:lang w:bidi="ar-SA"/>
        </w:rPr>
        <w:t xml:space="preserve">هذا الحق من غير العين، فحينئذ فإن أخرجه من غيره فله ذلك، و إن لم يخرجه من العين و لا من غيرها فللساعي تتبع </w:t>
      </w:r>
      <w:r>
        <w:rPr>
          <w:rStyle w:val="FootnoteAnchor"/>
          <w:rtl w:val="true"/>
        </w:rPr>
        <w:footnoteReference w:id="1304"/>
      </w:r>
      <w:r>
        <w:rPr>
          <w:rFonts w:ascii="Amiri" w:hAnsi="Amiri" w:eastAsia="Amiri" w:cs="Amiri"/>
          <w:color w:val="111111"/>
          <w:sz w:val="28"/>
          <w:sz w:val="28"/>
          <w:szCs w:val="28"/>
          <w:rtl w:val="true"/>
          <w:lang w:bidi="ar-SA"/>
        </w:rPr>
        <w:t xml:space="preserve">العين؛ لأنّ الحق قد ثبت، فالثابت في العين حقّ للفقراء لا ملك لهم، فلو لم يخرجه المالك من المال </w:t>
      </w:r>
      <w:r>
        <w:rPr>
          <w:rStyle w:val="FootnoteAnchor"/>
          <w:rtl w:val="true"/>
        </w:rPr>
        <w:footnoteReference w:id="1305"/>
      </w:r>
      <w:r>
        <w:rPr>
          <w:rFonts w:ascii="Amiri" w:hAnsi="Amiri" w:eastAsia="Amiri" w:cs="Amiri"/>
          <w:color w:val="111111"/>
          <w:sz w:val="28"/>
          <w:sz w:val="28"/>
          <w:szCs w:val="28"/>
          <w:rtl w:val="true"/>
          <w:lang w:bidi="ar-SA"/>
        </w:rPr>
        <w:t>و لا من غيره أخرجه الساعي من المال لا من غيره، إذ لا تسلّط له على غيره فإنّ حق الفقراء في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أنّ هذا الحق على سبيل الإشاعة في مجموع النصاب، بمعنى إشاعة الجزء الكسري في التام، أمّا في الغلات؛ فللتصريح </w:t>
      </w:r>
      <w:r>
        <w:rPr>
          <w:rStyle w:val="FootnoteAnchor"/>
          <w:rtl w:val="true"/>
        </w:rPr>
        <w:footnoteReference w:id="1306"/>
      </w:r>
      <w:r>
        <w:rPr>
          <w:rFonts w:ascii="Amiri" w:hAnsi="Amiri" w:eastAsia="Amiri" w:cs="Amiri"/>
          <w:color w:val="111111"/>
          <w:sz w:val="28"/>
          <w:sz w:val="28"/>
          <w:szCs w:val="28"/>
          <w:rtl w:val="true"/>
          <w:lang w:bidi="ar-SA"/>
        </w:rPr>
        <w:t>بثبوت العشر و نصف العشر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النقدين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الإبل و البقر؛ فلأنّه لا يجزئ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القول بالتعلّق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الإشاعة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الغنم؛ فلأنّه و إن أمكن فيها كون الحق فردا بدليا من النصاب، بل ربّما يدّعى أنه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إلّا أنّ الظاهر بعد التأمّل خلافه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Style w:val="FootnoteAnchor"/>
          <w:rtl w:val="true"/>
        </w:rPr>
        <w:footnoteReference w:id="1308"/>
      </w:r>
      <w:r>
        <w:rPr>
          <w:rFonts w:ascii="Amiri" w:hAnsi="Amiri" w:eastAsia="Amiri" w:cs="Amiri"/>
          <w:color w:val="111111"/>
          <w:sz w:val="28"/>
          <w:sz w:val="28"/>
          <w:szCs w:val="28"/>
          <w:rtl w:val="true"/>
          <w:lang w:bidi="ar-SA"/>
        </w:rPr>
        <w:t xml:space="preserve">فلأنّ المستفاد من أدلة وجوب الزكاة و مدح المال المزكّى </w:t>
      </w:r>
      <w:r>
        <w:rPr>
          <w:rStyle w:val="FootnoteAnchor"/>
          <w:rtl w:val="true"/>
        </w:rPr>
        <w:footnoteReference w:id="1309"/>
      </w:r>
      <w:r>
        <w:rPr>
          <w:rFonts w:ascii="Amiri" w:hAnsi="Amiri" w:eastAsia="Amiri" w:cs="Amiri"/>
          <w:color w:val="111111"/>
          <w:sz w:val="28"/>
          <w:sz w:val="28"/>
          <w:szCs w:val="28"/>
          <w:rtl w:val="true"/>
          <w:lang w:bidi="ar-SA"/>
        </w:rPr>
        <w:t>و لعن غيره على وجه الظهور بل القطع، جواز تعلّق الزكاة بالمال تعلّق الجزء بالكلّ، بمعنى أنّ كلّ جزء من المال يتعلّق به الزكاة،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جزء منه بعد إخراج الفريضة أنّه مزكّى لا أنّ </w:t>
      </w:r>
      <w:r>
        <w:rPr>
          <w:rStyle w:val="FootnoteAnchor"/>
          <w:rtl w:val="true"/>
        </w:rPr>
        <w:footnoteReference w:id="1310"/>
      </w:r>
      <w:r>
        <w:rPr>
          <w:rFonts w:ascii="Amiri" w:hAnsi="Amiri" w:eastAsia="Amiri" w:cs="Amiri"/>
          <w:color w:val="111111"/>
          <w:sz w:val="28"/>
          <w:sz w:val="28"/>
          <w:szCs w:val="28"/>
          <w:rtl w:val="true"/>
          <w:lang w:bidi="ar-SA"/>
        </w:rPr>
        <w:t>الزكاة تتعلّق بالنصاب بمعنى حلوله فيه و كونه بعضا من مجموعه، و يشهد لما ذكرنا ورود كثير من الأخبار بدخول حرف الاستعلاء على المال الظاهر في كونه على وجه البسط و التوزيع و اشتغال المجموع بالحقّ</w:t>
      </w:r>
    </w:p>
    <w:p>
      <w:pPr>
        <w:pStyle w:val="BookText"/>
        <w:rPr/>
      </w:pPr>
      <w:r>
        <w:rPr>
          <w:rFonts w:ascii="Amiri" w:hAnsi="Amiri" w:eastAsia="Amiri" w:cs="Amiri"/>
          <w:color w:val="111111"/>
          <w:sz w:val="28"/>
          <w:sz w:val="28"/>
          <w:szCs w:val="28"/>
          <w:rtl w:val="true"/>
          <w:lang w:bidi="ar-SA"/>
        </w:rPr>
        <w:t>على سبيل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فلأن المراد بالشاة الموجودة في الأربعين لو كان هو </w:t>
      </w:r>
      <w:r>
        <w:rPr>
          <w:rStyle w:val="FootnoteAnchor"/>
          <w:rtl w:val="true"/>
        </w:rPr>
        <w:footnoteReference w:id="1311"/>
      </w:r>
      <w:r>
        <w:rPr>
          <w:rFonts w:ascii="Amiri" w:hAnsi="Amiri" w:eastAsia="Amiri" w:cs="Amiri"/>
          <w:color w:val="111111"/>
          <w:sz w:val="28"/>
          <w:sz w:val="28"/>
          <w:szCs w:val="28"/>
          <w:rtl w:val="true"/>
          <w:lang w:bidi="ar-SA"/>
        </w:rPr>
        <w:t xml:space="preserve">الفرد المنتشر، فإن أريد المنتشر في شياه العالم فهو لا يصحّ إلّا على تقدير الإرجاع إلى الإشاعة التي ذكرنا كما سيجي‌ء، و إن أريد به الفرد المنتشر في النصاب، وجب فيه التقييد، أو يجوز الإخراج عن غير النصاب </w:t>
      </w:r>
      <w:r>
        <w:rPr>
          <w:rStyle w:val="FootnoteAnchor"/>
          <w:rtl w:val="true"/>
        </w:rPr>
        <w:footnoteReference w:id="1312"/>
      </w:r>
      <w:r>
        <w:rPr>
          <w:rFonts w:ascii="Amiri" w:hAnsi="Amiri" w:eastAsia="Amiri" w:cs="Amiri"/>
          <w:color w:val="111111"/>
          <w:sz w:val="28"/>
          <w:sz w:val="28"/>
          <w:szCs w:val="28"/>
          <w:rtl w:val="true"/>
          <w:lang w:bidi="ar-SA"/>
        </w:rPr>
        <w:t xml:space="preserve">مع أنّ ظاهرهم جواز إخراج الجذع من الضأن لا على وجه البدل، مع أنّ النصاب لا يؤخذ فيها من </w:t>
      </w:r>
      <w:r>
        <w:rPr>
          <w:rStyle w:val="FootnoteAnchor"/>
          <w:rtl w:val="true"/>
        </w:rPr>
        <w:footnoteReference w:id="1313"/>
      </w:r>
      <w:r>
        <w:rPr>
          <w:rFonts w:ascii="IRNazanin" w:hAnsi="IRNazanin" w:eastAsia="IRNazanin"/>
          <w:color w:val="111111"/>
          <w:sz w:val="28"/>
          <w:sz w:val="28"/>
          <w:szCs w:val="28"/>
          <w:rtl w:val="true"/>
          <w:lang w:bidi="fa-IR"/>
        </w:rPr>
        <w:t xml:space="preserve">ماله </w:t>
      </w:r>
      <w:r>
        <w:rPr>
          <w:rStyle w:val="FootnoteAnchor"/>
          <w:rtl w:val="true"/>
        </w:rPr>
        <w:footnoteReference w:id="1314"/>
      </w:r>
      <w:r>
        <w:rPr>
          <w:rFonts w:ascii="Amiri" w:hAnsi="Amiri" w:eastAsia="Amiri" w:cs="Amiri"/>
          <w:color w:val="111111"/>
          <w:sz w:val="28"/>
          <w:sz w:val="28"/>
          <w:szCs w:val="28"/>
          <w:rtl w:val="true"/>
          <w:lang w:bidi="ar-SA"/>
        </w:rPr>
        <w:t>دون أحد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ظاهرهم عدم جواز إخراج أقلّ من الثني من المعز، مع أنّ النصاب قد لا يبلغ الثنيّ، إلّا أن نلتزم بكون الجذع على وجه البدل، و بعدم وجوب إخراج غير النصاب، بل يجوز الإخراج منه و إن لم يبلغ حدّ الثنيّ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أنّ حاصل معنى قوله </w:t>
      </w:r>
      <w:r>
        <w:rPr>
          <w:rStyle w:val="FootnoteAnchor"/>
          <w:rtl w:val="true"/>
        </w:rPr>
        <w:footnoteReference w:id="13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أربعين شاة جزء يعادل شاة من شياه العالم متّصفة بكونها جذعا من الضأن أو ثنيّا من المعز غير مريضة، و لا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يعتبر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w:t>
      </w:r>
      <w:r>
        <w:rPr>
          <w:rStyle w:val="FootnoteAnchor"/>
          <w:rtl w:val="true"/>
        </w:rPr>
        <w:footnoteReference w:id="1317"/>
      </w:r>
      <w:r>
        <w:rPr>
          <w:rFonts w:ascii="Amiri" w:hAnsi="Amiri" w:eastAsia="Amiri" w:cs="Amiri"/>
          <w:color w:val="111111"/>
          <w:sz w:val="28"/>
          <w:sz w:val="28"/>
          <w:szCs w:val="28"/>
          <w:rtl w:val="true"/>
          <w:lang w:bidi="ar-SA"/>
        </w:rPr>
        <w:t>من يقول بالفرد المنتشر لا ينكر ما ذكرناه أوّلا،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ضبط ذلك الجزء المشاع بواحد من المجموع، فأوجب إخراج الواحد، فالواحد من الأربعين نفس الفريضة لا أنّه معادل الفريضة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الروايات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المصدّق</w:t>
      </w:r>
    </w:p>
    <w:p>
      <w:pPr>
        <w:pStyle w:val="BookText"/>
        <w:rPr/>
      </w:pPr>
      <w:r>
        <w:rPr>
          <w:rFonts w:ascii="Amiri" w:hAnsi="Amiri" w:eastAsia="Amiri" w:cs="Amiri"/>
          <w:color w:val="111111"/>
          <w:sz w:val="28"/>
          <w:sz w:val="28"/>
          <w:szCs w:val="28"/>
          <w:rtl w:val="true"/>
          <w:lang w:bidi="ar-SA"/>
        </w:rPr>
        <w:t xml:space="preserve">بتقسيم </w:t>
      </w:r>
      <w:r>
        <w:rPr>
          <w:rStyle w:val="FootnoteAnchor"/>
          <w:rtl w:val="true"/>
        </w:rPr>
        <w:footnoteReference w:id="1318"/>
      </w:r>
      <w:r>
        <w:rPr>
          <w:rFonts w:ascii="Amiri" w:hAnsi="Amiri" w:eastAsia="Amiri" w:cs="Amiri"/>
          <w:color w:val="111111"/>
          <w:sz w:val="28"/>
          <w:sz w:val="28"/>
          <w:szCs w:val="28"/>
          <w:rtl w:val="true"/>
          <w:lang w:bidi="ar-SA"/>
        </w:rPr>
        <w:t xml:space="preserve">المال مرّات </w:t>
      </w:r>
      <w:r>
        <w:rPr>
          <w:rStyle w:val="FootnoteAnchor"/>
          <w:rtl w:val="true"/>
        </w:rPr>
        <w:footnoteReference w:id="1319"/>
      </w:r>
      <w:r>
        <w:rPr>
          <w:rFonts w:ascii="Amiri" w:hAnsi="Amiri" w:eastAsia="Amiri" w:cs="Amiri"/>
          <w:color w:val="111111"/>
          <w:sz w:val="28"/>
          <w:sz w:val="28"/>
          <w:szCs w:val="28"/>
          <w:rtl w:val="true"/>
          <w:lang w:bidi="ar-SA"/>
        </w:rPr>
        <w:t xml:space="preserve">متعدّدة حتّى يبقى ما فيه وفاء لحقّ اللّٰه تعالى </w:t>
      </w:r>
      <w:r>
        <w:rPr>
          <w:rStyle w:val="FootnoteAnchor"/>
          <w:rtl w:val="true"/>
        </w:rPr>
        <w:footnoteReference w:id="1320"/>
      </w:r>
      <w:r>
        <w:rPr>
          <w:rFonts w:ascii="Amiri" w:hAnsi="Amiri" w:eastAsia="Amiri" w:cs="Amiri"/>
          <w:color w:val="111111"/>
          <w:sz w:val="28"/>
          <w:sz w:val="28"/>
          <w:szCs w:val="28"/>
          <w:rtl w:val="true"/>
          <w:lang w:bidi="ar-SA"/>
        </w:rPr>
        <w:t>، إذ لو كان الفريضة الفرد المنتشر كان مقتضى القاعدة عدم تسلّط الساعي على دعوى القسمة، فكيف أمره الأمير عليه السلام بالتقسيم مع كون معظم كلامه عليه السلام في بيان رعاية جانب المالك و التسهيل عليه و الإرفاق به، كما يظهر لمن لاحظ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عرفت أنّ القائل بالواحد الكلّي أيضا </w:t>
      </w:r>
      <w:r>
        <w:rPr>
          <w:rStyle w:val="FootnoteAnchor"/>
          <w:rtl w:val="true"/>
        </w:rPr>
        <w:footnoteReference w:id="1321"/>
      </w:r>
      <w:r>
        <w:rPr>
          <w:rFonts w:ascii="Amiri" w:hAnsi="Amiri" w:eastAsia="Amiri" w:cs="Amiri"/>
          <w:color w:val="111111"/>
          <w:sz w:val="28"/>
          <w:sz w:val="28"/>
          <w:szCs w:val="28"/>
          <w:rtl w:val="true"/>
          <w:lang w:bidi="ar-SA"/>
        </w:rPr>
        <w:t>لا ينكر ثبوت الحق في كلّ جزء، إلّا أنّ الشارع أوجب ما هو ضابط لذلك الجزء، ظهر أنّه لو تلف بعض النصاب بغير تفريط قبل التمكّن من الأداء سقط من الفريضة 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لأنّه إنّما يقول بوجوب دفع تمام الفريضة لحقّ المجموع، فلا بدّ من تقسيطها على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تلف البعض بالتفريط لم يسقط من الفريضة شي‌ء بل يكون الفريضة في الباقي؛ لبقاء القدرة على أداء الواجب ما بقي مصداق واحد </w:t>
      </w:r>
      <w:r>
        <w:rPr>
          <w:rStyle w:val="FootnoteAnchor"/>
          <w:rtl w:val="true"/>
        </w:rPr>
        <w:footnoteReference w:id="1322"/>
      </w:r>
      <w:r>
        <w:rPr>
          <w:rFonts w:ascii="Amiri" w:hAnsi="Amiri" w:eastAsia="Amiri" w:cs="Amiri"/>
          <w:color w:val="111111"/>
          <w:sz w:val="28"/>
          <w:sz w:val="28"/>
          <w:szCs w:val="28"/>
          <w:rtl w:val="true"/>
          <w:lang w:bidi="ar-SA"/>
        </w:rPr>
        <w:t xml:space="preserve">للفرد المنتشر، و لا ينتقل إلى قيمة التالف، و لا إلى البدل </w:t>
      </w:r>
      <w:r>
        <w:rPr>
          <w:rStyle w:val="FootnoteAnchor"/>
          <w:rtl w:val="true"/>
        </w:rPr>
        <w:footnoteReference w:id="1323"/>
      </w:r>
      <w:r>
        <w:rPr>
          <w:rFonts w:ascii="Amiri" w:hAnsi="Amiri" w:eastAsia="Amiri" w:cs="Amiri"/>
          <w:color w:val="111111"/>
          <w:sz w:val="28"/>
          <w:sz w:val="28"/>
          <w:szCs w:val="28"/>
          <w:rtl w:val="true"/>
          <w:lang w:bidi="ar-SA"/>
        </w:rPr>
        <w:t xml:space="preserve">الخارجي، نعم للمالك إعطاء القيمة أو البدل من البعض التالف </w:t>
      </w:r>
      <w:r>
        <w:rPr>
          <w:rStyle w:val="FootnoteAnchor"/>
          <w:rtl w:val="true"/>
        </w:rPr>
        <w:footnoteReference w:id="1324"/>
      </w:r>
      <w:r>
        <w:rPr>
          <w:rFonts w:ascii="Amiri" w:hAnsi="Amiri" w:eastAsia="Amiri" w:cs="Amiri"/>
          <w:color w:val="111111"/>
          <w:sz w:val="28"/>
          <w:sz w:val="28"/>
          <w:szCs w:val="28"/>
          <w:rtl w:val="true"/>
          <w:lang w:bidi="ar-SA"/>
        </w:rPr>
        <w:t xml:space="preserve">، بل من البعض الباقي أيضا، لكن ثمرة كون الفريضة في الباقي تظهر فيما لو باع الباقي، فإنّ للساعي </w:t>
      </w:r>
      <w:r>
        <w:rPr>
          <w:rStyle w:val="FootnoteAnchor"/>
          <w:rtl w:val="true"/>
        </w:rPr>
        <w:footnoteReference w:id="1325"/>
      </w:r>
      <w:r>
        <w:rPr>
          <w:rFonts w:ascii="Amiri" w:hAnsi="Amiri" w:eastAsia="Amiri" w:cs="Amiri"/>
          <w:color w:val="111111"/>
          <w:sz w:val="28"/>
          <w:sz w:val="28"/>
          <w:szCs w:val="28"/>
          <w:rtl w:val="true"/>
          <w:lang w:bidi="ar-SA"/>
        </w:rPr>
        <w:t>تتبع العين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ثبوت تلك </w:t>
      </w:r>
      <w:r>
        <w:rPr>
          <w:rStyle w:val="FootnoteAnchor"/>
          <w:rtl w:val="true"/>
        </w:rPr>
        <w:footnoteReference w:id="1326"/>
      </w:r>
      <w:r>
        <w:rPr>
          <w:rFonts w:ascii="Amiri" w:hAnsi="Amiri" w:eastAsia="Amiri" w:cs="Amiri"/>
          <w:color w:val="111111"/>
          <w:sz w:val="28"/>
          <w:sz w:val="28"/>
          <w:szCs w:val="28"/>
          <w:rtl w:val="true"/>
          <w:lang w:bidi="ar-SA"/>
        </w:rPr>
        <w:t>على المختار من الإشاعة؛ لأنّ تفريطه لا يوجب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الرجوع إلى البدل ما دام يمكنه إخراج الحصة الواجبة مما في يده، و توزيع الحصة على التالف و الباقي إنّما يختصّ في </w:t>
      </w:r>
      <w:r>
        <w:rPr>
          <w:rStyle w:val="FootnoteAnchor"/>
          <w:rtl w:val="true"/>
        </w:rPr>
        <w:footnoteReference w:id="1327"/>
      </w:r>
      <w:r>
        <w:rPr>
          <w:rFonts w:ascii="Amiri" w:hAnsi="Amiri" w:eastAsia="Amiri" w:cs="Amiri"/>
          <w:color w:val="111111"/>
          <w:sz w:val="28"/>
          <w:sz w:val="28"/>
          <w:szCs w:val="28"/>
          <w:rtl w:val="true"/>
          <w:lang w:bidi="ar-SA"/>
        </w:rPr>
        <w:t xml:space="preserve">غير الكسر المخيّر فيه، أمّا إذا وجب إخراج مقدار كسر خاصّ مخيّرا في جعله </w:t>
      </w:r>
      <w:r>
        <w:rPr>
          <w:rStyle w:val="FootnoteAnchor"/>
          <w:rtl w:val="true"/>
        </w:rPr>
        <w:footnoteReference w:id="1328"/>
      </w:r>
      <w:r>
        <w:rPr>
          <w:rFonts w:ascii="Amiri" w:hAnsi="Amiri" w:eastAsia="Amiri" w:cs="Amiri"/>
          <w:color w:val="111111"/>
          <w:sz w:val="28"/>
          <w:sz w:val="28"/>
          <w:szCs w:val="28"/>
          <w:rtl w:val="true"/>
          <w:lang w:bidi="ar-SA"/>
        </w:rPr>
        <w:t>في ضمن أيّ جزء من الأجزاء الخارجيّة للعين، فلا يرتفع التكليف بإخراج ذلك المقدار إلّا إذا تلفت العين كلّا، نعم في صورة الاشتراك بين شريكين بحيث لا يمتاز حصّة أحدهما إلّا بالتراضي يلزم الحكم بسقوط جزء من نصيب كلّ منهما بنسبة التالف، فتدبّر</w:t>
      </w:r>
      <w:r>
        <w:rPr>
          <w:rFonts w:eastAsia="Amiri" w:cs="Amiri" w:ascii="Amiri" w:hAnsi="Amiri"/>
          <w:color w:val="111111"/>
          <w:sz w:val="28"/>
          <w:szCs w:val="28"/>
          <w:rtl w:val="true"/>
          <w:lang w:bidi="ar-SA"/>
        </w:rPr>
        <w:t>.</w:t>
      </w:r>
      <w:bookmarkStart w:id="90" w:name="pg19722_766278"/>
    </w:p>
    <w:p>
      <w:pPr>
        <w:pStyle w:val="Heading4"/>
        <w:numPr>
          <w:ilvl w:val="3"/>
          <w:numId w:val="1"/>
        </w:numPr>
        <w:rPr/>
      </w:pPr>
      <w:bookmarkStart w:id="91" w:name="__RefHeading___Toc2136340_2314609296"/>
      <w:bookmarkStart w:id="92" w:name="_Toc32"/>
      <w:bookmarkEnd w:id="90"/>
      <w:bookmarkEnd w:id="91"/>
      <w:r>
        <w:rPr>
          <w:rtl w:val="true"/>
        </w:rPr>
        <w:t xml:space="preserve">مسألة </w:t>
      </w:r>
      <w:r>
        <w:rPr>
          <w:rtl w:val="true"/>
        </w:rPr>
        <w:t>[</w:t>
      </w:r>
      <w:r>
        <w:rPr/>
        <w:t>22</w:t>
      </w:r>
      <w:r>
        <w:rPr>
          <w:rtl w:val="true"/>
        </w:rPr>
        <w:t>]</w:t>
      </w:r>
      <w:bookmarkEnd w:id="92"/>
    </w:p>
    <w:p>
      <w:pPr>
        <w:pStyle w:val="BookText"/>
        <w:rPr/>
      </w:pPr>
      <w:r>
        <w:rPr>
          <w:rFonts w:ascii="Amiri" w:hAnsi="Amiri" w:eastAsia="Amiri" w:cs="Amiri"/>
          <w:color w:val="111111"/>
          <w:sz w:val="28"/>
          <w:sz w:val="28"/>
          <w:szCs w:val="28"/>
          <w:rtl w:val="true"/>
          <w:lang w:bidi="ar-SA"/>
        </w:rPr>
        <w:t>لو أمهرت امرأة نصابا فحال عليه الحول من حين تملّكه مستجمعا للشروط وجب عليها الزكاة، فإن أخرجت الزكاة و طلّقها الزوج قبل الدخول فللزوج نصف الكل من الباقي، لوجود المقتضي لتملك نصف الصداق، و انتفاء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إعطاء نصف الباقي و قيمة نصف المخرج؛ لعدم المقتضي للعدول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حقه نصف المجموع على </w:t>
      </w:r>
      <w:r>
        <w:rPr>
          <w:rStyle w:val="FootnoteAnchor"/>
          <w:rtl w:val="true"/>
        </w:rPr>
        <w:footnoteReference w:id="1329"/>
      </w:r>
      <w:r>
        <w:rPr>
          <w:rFonts w:ascii="Amiri" w:hAnsi="Amiri" w:eastAsia="Amiri" w:cs="Amiri"/>
          <w:color w:val="111111"/>
          <w:sz w:val="28"/>
          <w:sz w:val="28"/>
          <w:szCs w:val="28"/>
          <w:rtl w:val="true"/>
          <w:lang w:bidi="ar-SA"/>
        </w:rPr>
        <w:t xml:space="preserve">الكسر المشاع فيه، فبانتفاء بعض المجموع ينتفي </w:t>
      </w:r>
      <w:r>
        <w:rPr>
          <w:rStyle w:val="FootnoteAnchor"/>
          <w:rtl w:val="true"/>
        </w:rPr>
        <w:footnoteReference w:id="1330"/>
      </w:r>
      <w:r>
        <w:rPr>
          <w:rFonts w:ascii="Amiri" w:hAnsi="Amiri" w:eastAsia="Amiri" w:cs="Amiri"/>
          <w:color w:val="111111"/>
          <w:sz w:val="28"/>
          <w:sz w:val="28"/>
          <w:szCs w:val="28"/>
          <w:rtl w:val="true"/>
          <w:lang w:bidi="ar-SA"/>
        </w:rPr>
        <w:t>ذلك الكسر، و مقدار نصف الكل من الباقي هو ثلثا الباقي و معادل للنصف، لا أنه نصف حقيقة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أنّ له نصف الباقي و نصف قيمة المخرج، وفاقا للشهيد </w:t>
      </w:r>
      <w:r>
        <w:rPr>
          <w:rStyle w:val="FootnoteAnchor"/>
          <w:rtl w:val="true"/>
        </w:rPr>
        <w:footnoteReference w:id="1331"/>
      </w:r>
      <w:r>
        <w:rPr>
          <w:rFonts w:ascii="Amiri" w:hAnsi="Amiri" w:eastAsia="Amiri" w:cs="Amiri"/>
          <w:color w:val="111111"/>
          <w:sz w:val="28"/>
          <w:sz w:val="28"/>
          <w:szCs w:val="28"/>
          <w:rtl w:val="true"/>
          <w:lang w:bidi="ar-SA"/>
        </w:rPr>
        <w:t xml:space="preserve">و خلافا للمحكي عن المبسوط </w:t>
      </w:r>
      <w:r>
        <w:rPr>
          <w:rStyle w:val="FootnoteAnchor"/>
          <w:rtl w:val="true"/>
        </w:rPr>
        <w:footnoteReference w:id="1332"/>
      </w:r>
      <w:r>
        <w:rPr>
          <w:rFonts w:ascii="Amiri" w:hAnsi="Amiri" w:eastAsia="Amiri" w:cs="Amiri"/>
          <w:color w:val="111111"/>
          <w:sz w:val="28"/>
          <w:sz w:val="28"/>
          <w:szCs w:val="28"/>
          <w:rtl w:val="true"/>
          <w:lang w:bidi="ar-SA"/>
        </w:rPr>
        <w:t xml:space="preserve">، و هو الظاهر من المحقق في المعتبر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طلّقها قبل الإخراج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المال بين الفقراء و المرأة و الزوج، فللزوج نصف الكامل، و ليس لها أن تنقص من نصيبه، نعم للمرأة أن تقسّم المال بينها و بين الزوج و تضمن للفقراء، و ليس للزوج إجبارها على الضمان بناء على قدرتها على الجمع بين أداء الزكاة من غير المال و إعطاء الزوج النصف الكامل؛ لأنّ الزكاة متعلقة أولا و بالذّات بالعين، فهذا المال يجب أن يخرج منه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للزوج، و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فيخرجان كما في الإرث</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هلك النصف بتفريط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للساعي تتبع العين من النصف الموجود، و للزوج الباقي بعد إخراج الزكاة و تغرم له قيمة المخرج</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bookmarkStart w:id="93" w:name="pg19722_766280"/>
    </w:p>
    <w:p>
      <w:pPr>
        <w:pStyle w:val="Heading4"/>
        <w:numPr>
          <w:ilvl w:val="3"/>
          <w:numId w:val="1"/>
        </w:numPr>
        <w:rPr/>
      </w:pPr>
      <w:bookmarkStart w:id="94" w:name="__RefHeading___Toc2136342_2314609296"/>
      <w:bookmarkStart w:id="95" w:name="_Toc33"/>
      <w:bookmarkEnd w:id="93"/>
      <w:bookmarkEnd w:id="94"/>
      <w:r>
        <w:rPr>
          <w:rtl w:val="true"/>
        </w:rPr>
        <w:t xml:space="preserve">مسألة </w:t>
      </w:r>
      <w:r>
        <w:rPr>
          <w:rtl w:val="true"/>
        </w:rPr>
        <w:t>[</w:t>
      </w:r>
      <w:r>
        <w:rPr/>
        <w:t>23</w:t>
      </w:r>
      <w:r>
        <w:rPr>
          <w:rtl w:val="true"/>
        </w:rPr>
        <w:t>]</w:t>
      </w:r>
      <w:bookmarkEnd w:id="95"/>
    </w:p>
    <w:p>
      <w:pPr>
        <w:pStyle w:val="BookText"/>
        <w:rPr/>
      </w:pPr>
      <w:r>
        <w:rPr>
          <w:rFonts w:ascii="Amiri" w:hAnsi="Amiri" w:eastAsia="Amiri" w:cs="Amiri"/>
          <w:color w:val="111111"/>
          <w:sz w:val="28"/>
          <w:sz w:val="28"/>
          <w:szCs w:val="28"/>
          <w:rtl w:val="true"/>
          <w:lang w:bidi="ar-SA"/>
        </w:rPr>
        <w:t>الأقوى تعلّق الزكاة بالحنطة و الشعير بعد انعقاد الحب، و بالتمر بعد احمراره و اصفراره، و بالزبيب بعد انعقاد الحصرم،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1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الحنطة و الشعير بمجرد اشتداد الحبّ فيتعلق بهما الزكاة، للعمومات </w:t>
      </w:r>
      <w:r>
        <w:rPr>
          <w:rStyle w:val="FootnoteAnchor"/>
          <w:rtl w:val="true"/>
        </w:rPr>
        <w:footnoteReference w:id="1336"/>
      </w:r>
      <w:r>
        <w:rPr>
          <w:rFonts w:ascii="Amiri" w:hAnsi="Amiri" w:eastAsia="Amiri" w:cs="Amiri"/>
          <w:color w:val="111111"/>
          <w:sz w:val="28"/>
          <w:sz w:val="28"/>
          <w:szCs w:val="28"/>
          <w:rtl w:val="true"/>
          <w:lang w:bidi="ar-SA"/>
        </w:rPr>
        <w:t>، فيثبت في البسر و الحصرم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مقتضى العمومات وجوب الزكاة فيما سقت السماء </w:t>
      </w:r>
      <w:r>
        <w:rPr>
          <w:rStyle w:val="FootnoteAnchor"/>
          <w:rtl w:val="true"/>
        </w:rPr>
        <w:footnoteReference w:id="1337"/>
      </w:r>
      <w:r>
        <w:rPr>
          <w:rFonts w:ascii="Amiri" w:hAnsi="Amiri" w:eastAsia="Amiri" w:cs="Amiri"/>
          <w:color w:val="111111"/>
          <w:sz w:val="28"/>
          <w:sz w:val="28"/>
          <w:szCs w:val="28"/>
          <w:rtl w:val="true"/>
          <w:lang w:bidi="ar-SA"/>
        </w:rPr>
        <w:t xml:space="preserve">، و أدلة تعلّق الزكاة بالحنطة و التمر </w:t>
      </w:r>
      <w:r>
        <w:rPr>
          <w:rStyle w:val="FootnoteAnchor"/>
          <w:rtl w:val="true"/>
        </w:rPr>
        <w:footnoteReference w:id="1338"/>
      </w:r>
      <w:r>
        <w:rPr>
          <w:rFonts w:ascii="Amiri" w:hAnsi="Amiri" w:eastAsia="Amiri" w:cs="Amiri"/>
          <w:color w:val="111111"/>
          <w:sz w:val="28"/>
          <w:sz w:val="28"/>
          <w:szCs w:val="28"/>
          <w:rtl w:val="true"/>
          <w:lang w:bidi="ar-SA"/>
        </w:rPr>
        <w:t>مثلا لا تنهض لتقييدها؛ لأنّ المتبادر منها إرادة الأجناس الأربعة في مقابل الأجناس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صحيحة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النخل صدقة حتى تبلغ خمسة أوساق، و العنب مثل ذلك حتى تبلغ خمسة أوساق زبيبا</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منه ثبوت الزكاة في ثمرة النخل و في العنب بمجرد بلوغها</w:t>
      </w:r>
    </w:p>
    <w:p>
      <w:pPr>
        <w:pStyle w:val="BookText"/>
        <w:rPr/>
      </w:pPr>
      <w:r>
        <w:rPr>
          <w:rFonts w:ascii="Amiri" w:hAnsi="Amiri" w:eastAsia="Amiri" w:cs="Amiri"/>
          <w:color w:val="111111"/>
          <w:sz w:val="28"/>
          <w:sz w:val="28"/>
          <w:szCs w:val="28"/>
          <w:rtl w:val="true"/>
          <w:lang w:bidi="ar-SA"/>
        </w:rPr>
        <w:t>خمسة أوساق إذا قدرت تمرا و زبيبا،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مقدّرة، و جعل الحال مقدّرة و إن كان خلاف الظاهر إلّا أنّه لا مجال لإنكاره عند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تقدير التمرية في ثمر النخل إنما يستفاد من بلوغ خمسة أوساق؛ لأنّ ما يجعل في الوسق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التمر غالبا لا الرطب، فهو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الزرع الأخضر فيه كذا و كذا حملا أو وسقا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أيضا صحيحة سعد بن سعد </w:t>
      </w:r>
      <w:r>
        <w:rPr>
          <w:rStyle w:val="FootnoteAnchor"/>
          <w:rtl w:val="true"/>
        </w:rPr>
        <w:footnoteReference w:id="1341"/>
      </w:r>
      <w:r>
        <w:rPr>
          <w:rFonts w:ascii="Amiri" w:hAnsi="Amiri" w:eastAsia="Amiri" w:cs="Amiri"/>
          <w:color w:val="111111"/>
          <w:sz w:val="28"/>
          <w:sz w:val="28"/>
          <w:szCs w:val="28"/>
          <w:rtl w:val="true"/>
          <w:lang w:bidi="ar-SA"/>
        </w:rPr>
        <w:t>، عن مولانا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على العنب زكاة، أو إنّما تجب عليه إذا صيّره زبيبا؟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خرصه أخرج زكاته</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أنّ زمان خرص العنب قبل زمان صيرورته زبيبا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أخرى، بالسند المتقدّم لسعد بن سعد </w:t>
      </w:r>
      <w:r>
        <w:rPr>
          <w:rStyle w:val="FootnoteAnchor"/>
          <w:rtl w:val="true"/>
        </w:rPr>
        <w:footnoteReference w:id="1343"/>
      </w:r>
      <w:r>
        <w:rPr>
          <w:rFonts w:ascii="Amiri" w:hAnsi="Amiri" w:eastAsia="Amiri" w:cs="Amiri"/>
          <w:color w:val="111111"/>
          <w:sz w:val="28"/>
          <w:sz w:val="28"/>
          <w:szCs w:val="28"/>
          <w:rtl w:val="true"/>
          <w:lang w:bidi="ar-SA"/>
        </w:rPr>
        <w:t>،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الزكاة في الحنطة و الشعير و التمر و الزبيب متى يجب على صاحبها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صرم و إذا اخرص</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فيحتمل الحمل على التخيير بمعنى أنه مخيّر في ذلك، و يحتمل أن يراد من زمان الصرام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قابلية النخلة </w:t>
      </w:r>
      <w:r>
        <w:rPr>
          <w:rStyle w:val="FootnoteAnchor"/>
          <w:rtl w:val="true"/>
        </w:rPr>
        <w:footnoteReference w:id="1345"/>
      </w:r>
      <w:r>
        <w:rPr>
          <w:rFonts w:ascii="Amiri" w:hAnsi="Amiri" w:eastAsia="Amiri" w:cs="Amiri"/>
          <w:color w:val="111111"/>
          <w:sz w:val="28"/>
          <w:sz w:val="28"/>
          <w:szCs w:val="28"/>
          <w:rtl w:val="true"/>
          <w:lang w:bidi="ar-SA"/>
        </w:rPr>
        <w:t>للصرم و الأكل، لا وقت تعارف الصرام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فدلالة الصحيحتين على تعلّق الوجوب في زمان الخرص مما لا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زمان الخرص</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المصرّح به في المعتبر </w:t>
      </w:r>
      <w:r>
        <w:rPr>
          <w:rStyle w:val="FootnoteAnchor"/>
          <w:rtl w:val="true"/>
        </w:rPr>
        <w:footnoteReference w:id="1347"/>
      </w:r>
      <w:r>
        <w:rPr>
          <w:rFonts w:ascii="Amiri" w:hAnsi="Amiri" w:eastAsia="Amiri" w:cs="Amiri"/>
          <w:color w:val="111111"/>
          <w:sz w:val="28"/>
          <w:sz w:val="28"/>
          <w:szCs w:val="28"/>
          <w:rtl w:val="true"/>
          <w:lang w:bidi="ar-SA"/>
        </w:rPr>
        <w:t>، بل الظاهر أنه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قبل يبس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جواز التمسك للمطلب بالأخبار الدالّة على الخرص </w:t>
      </w:r>
      <w:r>
        <w:rPr>
          <w:rStyle w:val="FootnoteAnchor"/>
          <w:rtl w:val="true"/>
        </w:rPr>
        <w:footnoteReference w:id="1348"/>
      </w:r>
      <w:r>
        <w:rPr>
          <w:rFonts w:ascii="Amiri" w:hAnsi="Amiri" w:eastAsia="Amiri" w:cs="Amiri"/>
          <w:color w:val="111111"/>
          <w:sz w:val="28"/>
          <w:sz w:val="28"/>
          <w:szCs w:val="28"/>
          <w:rtl w:val="true"/>
          <w:lang w:bidi="ar-SA"/>
        </w:rPr>
        <w:t xml:space="preserve">، و تعيين النبيّ صلّى اللّٰه عليه و آله و سلم </w:t>
      </w:r>
      <w:r>
        <w:rPr>
          <w:rStyle w:val="FootnoteAnchor"/>
          <w:rtl w:val="true"/>
        </w:rPr>
        <w:footnoteReference w:id="1349"/>
      </w:r>
      <w:r>
        <w:rPr>
          <w:rFonts w:ascii="Amiri" w:hAnsi="Amiri" w:eastAsia="Amiri" w:cs="Amiri"/>
          <w:color w:val="111111"/>
          <w:sz w:val="28"/>
          <w:sz w:val="28"/>
          <w:szCs w:val="28"/>
          <w:rtl w:val="true"/>
          <w:lang w:bidi="ar-SA"/>
        </w:rPr>
        <w:t xml:space="preserve">عبد اللّٰه بن رواحة خارصا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ذكرنا يظهر </w:t>
      </w:r>
      <w:r>
        <w:rPr>
          <w:rStyle w:val="FootnoteAnchor"/>
          <w:rtl w:val="true"/>
        </w:rPr>
        <w:footnoteReference w:id="1351"/>
      </w:r>
      <w:r>
        <w:rPr>
          <w:rFonts w:ascii="Amiri" w:hAnsi="Amiri" w:eastAsia="Amiri" w:cs="Amiri"/>
          <w:color w:val="111111"/>
          <w:sz w:val="28"/>
          <w:sz w:val="28"/>
          <w:szCs w:val="28"/>
          <w:rtl w:val="true"/>
          <w:lang w:bidi="ar-SA"/>
        </w:rPr>
        <w:t xml:space="preserve">جواز التمسّك للمشهور </w:t>
      </w:r>
      <w:r>
        <w:rPr>
          <w:rStyle w:val="FootnoteAnchor"/>
          <w:rtl w:val="true"/>
        </w:rPr>
        <w:footnoteReference w:id="1352"/>
      </w:r>
      <w:r>
        <w:rPr>
          <w:rFonts w:ascii="Amiri" w:hAnsi="Amiri" w:eastAsia="Amiri" w:cs="Amiri"/>
          <w:color w:val="111111"/>
          <w:sz w:val="28"/>
          <w:sz w:val="28"/>
          <w:szCs w:val="28"/>
          <w:rtl w:val="true"/>
          <w:lang w:bidi="ar-SA"/>
        </w:rPr>
        <w:t xml:space="preserve">بأخبار الخرص، كما نبّه عليه في المسالك </w:t>
      </w:r>
      <w:r>
        <w:rPr>
          <w:rStyle w:val="FootnoteAnchor"/>
          <w:rtl w:val="true"/>
        </w:rPr>
        <w:footnoteReference w:id="1353"/>
      </w:r>
      <w:r>
        <w:rPr>
          <w:rFonts w:ascii="Amiri" w:hAnsi="Amiri" w:eastAsia="Amiri" w:cs="Amiri"/>
          <w:color w:val="111111"/>
          <w:sz w:val="28"/>
          <w:sz w:val="28"/>
          <w:szCs w:val="28"/>
          <w:rtl w:val="true"/>
          <w:lang w:bidi="ar-SA"/>
        </w:rPr>
        <w:t>إذ زمان الخرص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المعتبر </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قبل يبس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يشكل الجمع بين ما اختاره المحقق في المعتبر </w:t>
      </w:r>
      <w:r>
        <w:rPr>
          <w:rStyle w:val="FootnoteAnchor"/>
          <w:rtl w:val="true"/>
        </w:rPr>
        <w:footnoteReference w:id="1355"/>
      </w:r>
      <w:r>
        <w:rPr>
          <w:rFonts w:ascii="Amiri" w:hAnsi="Amiri" w:eastAsia="Amiri" w:cs="Amiri"/>
          <w:color w:val="111111"/>
          <w:sz w:val="28"/>
          <w:sz w:val="28"/>
          <w:szCs w:val="28"/>
          <w:rtl w:val="true"/>
          <w:lang w:bidi="ar-SA"/>
        </w:rPr>
        <w:t xml:space="preserve">و ما في الشرائع </w:t>
      </w:r>
      <w:r>
        <w:rPr>
          <w:rStyle w:val="FootnoteAnchor"/>
          <w:rtl w:val="true"/>
        </w:rPr>
        <w:footnoteReference w:id="1356"/>
      </w:r>
      <w:r>
        <w:rPr>
          <w:rFonts w:ascii="IRNazanin" w:hAnsi="IRNazanin" w:eastAsia="IRNazanin"/>
          <w:color w:val="111111"/>
          <w:sz w:val="28"/>
          <w:sz w:val="28"/>
          <w:szCs w:val="28"/>
          <w:rtl w:val="true"/>
          <w:lang w:bidi="fa-IR"/>
        </w:rPr>
        <w:t xml:space="preserve">و النافع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وقت التعلّق هو عند التسمية تمرا و زبيبا، و نسب الخلاف إلى الشيخ </w:t>
      </w:r>
      <w:r>
        <w:rPr>
          <w:rStyle w:val="FootnoteAnchor"/>
          <w:rtl w:val="true"/>
        </w:rPr>
        <w:footnoteReference w:id="1358"/>
      </w:r>
      <w:r>
        <w:rPr>
          <w:rFonts w:ascii="IRNazanin" w:hAnsi="IRNazanin" w:eastAsia="IRNazanin"/>
          <w:color w:val="111111"/>
          <w:sz w:val="28"/>
          <w:sz w:val="28"/>
          <w:szCs w:val="28"/>
          <w:rtl w:val="true"/>
          <w:lang w:bidi="fa-IR"/>
        </w:rPr>
        <w:t xml:space="preserve">و الجمهور </w:t>
      </w:r>
      <w:r>
        <w:rPr>
          <w:rStyle w:val="FootnoteAnchor"/>
          <w:rtl w:val="true"/>
        </w:rPr>
        <w:footnoteReference w:id="1359"/>
      </w:r>
      <w:r>
        <w:rPr>
          <w:rFonts w:ascii="Amiri" w:hAnsi="Amiri" w:eastAsia="Amiri" w:cs="Amiri"/>
          <w:color w:val="111111"/>
          <w:sz w:val="28"/>
          <w:sz w:val="28"/>
          <w:szCs w:val="28"/>
          <w:rtl w:val="true"/>
          <w:lang w:bidi="ar-SA"/>
        </w:rPr>
        <w:t xml:space="preserve">، ثم ذكر جواز الخرص على المالك، و لم يسند الخلاف في الجواز إلّا إلى بعض الروايات عن أبي حنيفة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 الفروع أنّ الخرص حين يبدو صلاح الثمرة،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وقت الأمن على الثمرة من الجائحة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أنّ صفة الخرص أن تقدّر الثمرة لو صارت تمرا و العنب لو صار زبيبا، فإن بلغت الأوساق وجبت الزكاة، ثم خيّرهم بين تركه أمانة في يدهم و بين</w:t>
      </w:r>
    </w:p>
    <w:p>
      <w:pPr>
        <w:pStyle w:val="BookText"/>
        <w:rPr/>
      </w:pPr>
      <w:r>
        <w:rPr>
          <w:rFonts w:ascii="Amiri" w:hAnsi="Amiri" w:eastAsia="Amiri" w:cs="Amiri"/>
          <w:color w:val="111111"/>
          <w:sz w:val="28"/>
          <w:sz w:val="28"/>
          <w:szCs w:val="28"/>
          <w:rtl w:val="true"/>
          <w:lang w:bidi="ar-SA"/>
        </w:rPr>
        <w:t>تضمينهم حق الفقراء، أو يضمن لهم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اختاروا الضمان كان لهم التصرّف </w:t>
      </w:r>
      <w:r>
        <w:rPr>
          <w:rStyle w:val="FootnoteAnchor"/>
          <w:rtl w:val="true"/>
        </w:rPr>
        <w:footnoteReference w:id="1362"/>
      </w:r>
      <w:r>
        <w:rPr>
          <w:rFonts w:ascii="Amiri" w:hAnsi="Amiri" w:eastAsia="Amiri" w:cs="Amiri"/>
          <w:color w:val="111111"/>
          <w:sz w:val="28"/>
          <w:sz w:val="28"/>
          <w:szCs w:val="28"/>
          <w:rtl w:val="true"/>
          <w:lang w:bidi="ar-SA"/>
        </w:rPr>
        <w:t xml:space="preserve">كيف شاءوا، و إن أبوا جعله أمانة و لم يجز لهم التصرف بالأكل و البيع و الهبة </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بيان الفرق بين الزرع و النخل و الكرم في جواز الخرص في الأخرى و عدم جوازه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أرباب النخل و الكرم قد يحتاجون إلى تناوله رطبا قبل جذاذه و اقطافه، و ليس كذلك إلّا فيما يقل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bookmarkStart w:id="96" w:name="pg19722_766284"/>
    </w:p>
    <w:p>
      <w:pPr>
        <w:pStyle w:val="Heading4"/>
        <w:numPr>
          <w:ilvl w:val="3"/>
          <w:numId w:val="1"/>
        </w:numPr>
        <w:rPr/>
      </w:pPr>
      <w:bookmarkStart w:id="97" w:name="__RefHeading___Toc2136344_2314609296"/>
      <w:bookmarkStart w:id="98" w:name="_Toc34"/>
      <w:bookmarkEnd w:id="96"/>
      <w:bookmarkEnd w:id="97"/>
      <w:r>
        <w:rPr>
          <w:rtl w:val="true"/>
        </w:rPr>
        <w:t xml:space="preserve">مسألة </w:t>
      </w:r>
      <w:r>
        <w:rPr>
          <w:rtl w:val="true"/>
        </w:rPr>
        <w:t>[</w:t>
      </w:r>
      <w:r>
        <w:rPr/>
        <w:t>24</w:t>
      </w:r>
      <w:r>
        <w:rPr>
          <w:rtl w:val="true"/>
        </w:rPr>
        <w:t>]</w:t>
      </w:r>
      <w:bookmarkEnd w:id="98"/>
    </w:p>
    <w:p>
      <w:pPr>
        <w:pStyle w:val="BookText"/>
        <w:rPr/>
      </w:pPr>
      <w:r>
        <w:rPr>
          <w:rFonts w:ascii="Amiri" w:hAnsi="Amiri" w:eastAsia="Amiri" w:cs="Amiri"/>
          <w:color w:val="111111"/>
          <w:sz w:val="28"/>
          <w:sz w:val="28"/>
          <w:szCs w:val="28"/>
          <w:rtl w:val="true"/>
          <w:lang w:bidi="ar-SA"/>
        </w:rPr>
        <w:t>لا خلاف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الرياض </w:t>
      </w:r>
      <w:r>
        <w:rPr>
          <w:rStyle w:val="FootnoteAnchor"/>
          <w:rtl w:val="true"/>
        </w:rPr>
        <w:footnoteReference w:id="1365"/>
      </w:r>
      <w:r>
        <w:rPr>
          <w:rFonts w:ascii="IRNazanin" w:hAnsi="IRNazanin" w:eastAsia="IRNazanin"/>
          <w:color w:val="111111"/>
          <w:sz w:val="28"/>
          <w:sz w:val="28"/>
          <w:szCs w:val="28"/>
          <w:rtl w:val="true"/>
          <w:lang w:bidi="fa-IR"/>
        </w:rPr>
        <w:t xml:space="preserve">و المنتهى </w:t>
      </w:r>
      <w:r>
        <w:rPr>
          <w:rStyle w:val="FootnoteAnchor"/>
          <w:rtl w:val="true"/>
        </w:rPr>
        <w:footnoteReference w:id="1366"/>
      </w:r>
      <w:r>
        <w:rPr>
          <w:rFonts w:ascii="IRNazanin" w:hAnsi="IRNazanin" w:eastAsia="IRNazanin"/>
          <w:color w:val="111111"/>
          <w:sz w:val="28"/>
          <w:sz w:val="28"/>
          <w:szCs w:val="28"/>
          <w:rtl w:val="true"/>
          <w:lang w:bidi="fa-IR"/>
        </w:rPr>
        <w:t xml:space="preserve">و المعتبر </w:t>
      </w:r>
      <w:r>
        <w:rPr>
          <w:rStyle w:val="FootnoteAnchor"/>
          <w:rtl w:val="true"/>
        </w:rPr>
        <w:footnoteReference w:id="1367"/>
      </w:r>
      <w:r>
        <w:rPr>
          <w:rFonts w:ascii="IRNazanin" w:hAnsi="IRNazanin" w:eastAsia="IRNazanin"/>
          <w:color w:val="111111"/>
          <w:sz w:val="28"/>
          <w:sz w:val="28"/>
          <w:szCs w:val="28"/>
          <w:rtl w:val="true"/>
          <w:lang w:bidi="fa-IR"/>
        </w:rPr>
        <w:t xml:space="preserve">و الخلاف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الزكاة إنما تجب بعد إخراج حصة السلطان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الأخبار، كصحيحة ابن مسلم و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التي يزارع أهلها ما ترى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أرض دفعها إليك السلطان، فما حرثته </w:t>
      </w:r>
      <w:r>
        <w:rPr>
          <w:rStyle w:val="FootnoteAnchor"/>
          <w:rtl w:val="true"/>
        </w:rPr>
        <w:footnoteReference w:id="1369"/>
      </w:r>
      <w:r>
        <w:rPr>
          <w:rFonts w:ascii="Amiri" w:hAnsi="Amiri" w:eastAsia="Amiri" w:cs="Amiri"/>
          <w:color w:val="111111"/>
          <w:sz w:val="28"/>
          <w:sz w:val="28"/>
          <w:szCs w:val="28"/>
          <w:rtl w:val="true"/>
          <w:lang w:bidi="ar-SA"/>
        </w:rPr>
        <w:t>فيها فعليك فيما أخرج اللّٰه منها الذي قاطعك عليه، و ليس على جميع ما أخرج اللّٰه منها العشر، إنّما عليك فيما حصل في يدك بعد مقاسمته لك</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نحوها غيرها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المزارعة إذا وقعت على حصّة من الزرع فلا يجب على الزارع إلّا </w:t>
      </w:r>
      <w:r>
        <w:rPr>
          <w:rStyle w:val="FootnoteAnchor"/>
          <w:rtl w:val="true"/>
        </w:rPr>
        <w:footnoteReference w:id="1372"/>
      </w:r>
      <w:r>
        <w:rPr>
          <w:rFonts w:ascii="Amiri" w:hAnsi="Amiri" w:eastAsia="Amiri" w:cs="Amiri"/>
          <w:color w:val="111111"/>
          <w:sz w:val="28"/>
          <w:sz w:val="28"/>
          <w:szCs w:val="28"/>
          <w:rtl w:val="true"/>
          <w:lang w:bidi="ar-SA"/>
        </w:rPr>
        <w:t xml:space="preserve">زكاة حصّته، لا </w:t>
      </w:r>
      <w:r>
        <w:rPr>
          <w:rStyle w:val="FootnoteAnchor"/>
          <w:rtl w:val="true"/>
        </w:rPr>
        <w:footnoteReference w:id="1373"/>
      </w:r>
      <w:r>
        <w:rPr>
          <w:rFonts w:ascii="Amiri" w:hAnsi="Amiri" w:eastAsia="Amiri" w:cs="Amiri"/>
          <w:color w:val="111111"/>
          <w:sz w:val="28"/>
          <w:sz w:val="28"/>
          <w:szCs w:val="28"/>
          <w:rtl w:val="true"/>
          <w:lang w:bidi="ar-SA"/>
        </w:rPr>
        <w:t>حصّة صاحب الأرض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أخذ خراج الأرض من غير الزرع احتاج الحكم بوضعه إلى دليل خاص، أو إدخاله في المئونة التي سيجي‌ء الكلام فيها و الأخبار المتقدّم بعضها مختصّة بحصّته و كذا معاقد الإجماعات، إلّا أن تفسّر حصّة السلطان في عباراتهم بمطلق الخراج، سواء كان نقدا أو حصّة من الزرع، كما حكي تفسير ذلك </w:t>
      </w:r>
      <w:r>
        <w:rPr>
          <w:rStyle w:val="FootnoteAnchor"/>
          <w:rtl w:val="true"/>
        </w:rPr>
        <w:footnoteReference w:id="1374"/>
      </w:r>
      <w:r>
        <w:rPr>
          <w:rFonts w:ascii="IRNazanin" w:hAnsi="IRNazanin" w:eastAsia="IRNazanin"/>
          <w:color w:val="111111"/>
          <w:sz w:val="28"/>
          <w:sz w:val="28"/>
          <w:szCs w:val="28"/>
          <w:rtl w:val="true"/>
          <w:lang w:bidi="fa-IR"/>
        </w:rPr>
        <w:t xml:space="preserve">عن المحقق </w:t>
      </w:r>
      <w:r>
        <w:rPr>
          <w:rStyle w:val="FootnoteAnchor"/>
          <w:rtl w:val="true"/>
        </w:rPr>
        <w:footnoteReference w:id="1375"/>
      </w:r>
      <w:r>
        <w:rPr>
          <w:rFonts w:ascii="Amiri" w:hAnsi="Amiri" w:eastAsia="Amiri" w:cs="Amiri"/>
          <w:color w:val="111111"/>
          <w:sz w:val="28"/>
          <w:sz w:val="28"/>
          <w:szCs w:val="28"/>
          <w:rtl w:val="true"/>
          <w:lang w:bidi="ar-SA"/>
        </w:rPr>
        <w:t xml:space="preserve">و الشهيد </w:t>
      </w:r>
      <w:r>
        <w:rPr>
          <w:rStyle w:val="FootnoteAnchor"/>
          <w:rtl w:val="true"/>
        </w:rPr>
        <w:footnoteReference w:id="1376"/>
      </w:r>
      <w:r>
        <w:rPr>
          <w:rFonts w:ascii="Amiri" w:hAnsi="Amiri" w:eastAsia="Amiri" w:cs="Amiri"/>
          <w:color w:val="111111"/>
          <w:sz w:val="28"/>
          <w:sz w:val="28"/>
          <w:szCs w:val="28"/>
          <w:rtl w:val="true"/>
          <w:lang w:bidi="ar-SA"/>
        </w:rPr>
        <w:t xml:space="preserve">الثانيين و الصيمري </w:t>
      </w:r>
      <w:r>
        <w:rPr>
          <w:rStyle w:val="FootnoteAnchor"/>
          <w:rtl w:val="true"/>
        </w:rPr>
        <w:footnoteReference w:id="1377"/>
      </w:r>
      <w:r>
        <w:rPr>
          <w:rFonts w:ascii="Amiri" w:hAnsi="Amiri" w:eastAsia="Amiri" w:cs="Amiri"/>
          <w:color w:val="111111"/>
          <w:sz w:val="28"/>
          <w:sz w:val="28"/>
          <w:szCs w:val="28"/>
          <w:rtl w:val="true"/>
          <w:lang w:bidi="ar-SA"/>
        </w:rPr>
        <w:t>، لكن ظاهر معقد إجماع المعتبر و التذكرة خصوص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الأرض يخرج وسطا و يؤدّى زكاة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و عليه فقهاؤنا و أكثر </w:t>
      </w:r>
      <w:r>
        <w:rPr>
          <w:rStyle w:val="FootnoteAnchor"/>
          <w:rtl w:val="true"/>
        </w:rPr>
        <w:footnoteReference w:id="1378"/>
      </w:r>
      <w:r>
        <w:rPr>
          <w:rFonts w:ascii="IRNazanin" w:hAnsi="IRNazanin" w:eastAsia="IRNazanin"/>
          <w:color w:val="111111"/>
          <w:sz w:val="28"/>
          <w:sz w:val="28"/>
          <w:szCs w:val="28"/>
          <w:rtl w:val="true"/>
          <w:lang w:bidi="fa-IR"/>
        </w:rPr>
        <w:t>فقهاء الإسلام</w:t>
      </w:r>
      <w:r>
        <w:rPr>
          <w:rFonts w:eastAsia="IRNazanin" w:cs="IRNazanin"/>
          <w:color w:val="111111"/>
          <w:sz w:val="28"/>
          <w:szCs w:val="28"/>
          <w:rtl w:val="true"/>
          <w:lang w:bidi="fa-IR"/>
        </w:rPr>
        <w:t xml:space="preserve">. </w:t>
      </w:r>
      <w:r>
        <w:rPr>
          <w:rStyle w:val="FootnoteAnchor"/>
          <w:rtl w:val="true"/>
        </w:rPr>
        <w:footnoteReference w:id="1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نحوه عن التذكرة </w:t>
      </w:r>
      <w:r>
        <w:rPr>
          <w:rStyle w:val="FootnoteAnchor"/>
          <w:rtl w:val="true"/>
        </w:rPr>
        <w:footnoteReference w:id="1380"/>
      </w:r>
      <w:r>
        <w:rPr>
          <w:rFonts w:ascii="Amiri" w:hAnsi="Amiri" w:eastAsia="Amiri" w:cs="Amiri"/>
          <w:color w:val="111111"/>
          <w:sz w:val="28"/>
          <w:sz w:val="28"/>
          <w:szCs w:val="28"/>
          <w:rtl w:val="true"/>
          <w:lang w:bidi="ar-SA"/>
        </w:rPr>
        <w:t>، بل هذا ظاهر كلّ من عبّر بالحصّة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فالخراج إذا أخذ من النقدين، فإن كان بدلا عن الحصّة فلا بد من وضعها على تلك الحصّة، بناء على أنّ ثمن الزرع من المئونة، فإن نقص قيمة الحصّة عن الثمن فلا زكاة فيها، لكن لا يوجب وضع الباقي من الثمن</w:t>
      </w:r>
    </w:p>
    <w:p>
      <w:pPr>
        <w:pStyle w:val="BookText"/>
        <w:rPr/>
      </w:pPr>
      <w:r>
        <w:rPr>
          <w:rFonts w:ascii="Amiri" w:hAnsi="Amiri" w:eastAsia="Amiri" w:cs="Amiri"/>
          <w:color w:val="111111"/>
          <w:sz w:val="28"/>
          <w:sz w:val="28"/>
          <w:szCs w:val="28"/>
          <w:rtl w:val="true"/>
          <w:lang w:bidi="ar-SA"/>
        </w:rPr>
        <w:t>على باقي الزرع؛ لأنه ليس مئونة له بل لحصّته منه، نعم لو أخذ الخراج من باب أجرة الأرض وضع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يأخذه السلطان إمّا أن يكون حصّة من الزرع يملكها حين تعلّق الزكاة كسائر الشركاء في أصل الزرع، أو يستولي عليها بمجرّد ذلك بحيث لا يتمكّن المالك من منعه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حصّة من الحاصل، يستحقّها أو بعضها من الغلّة بعد تعلّق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نقدا يستحقّه أو يأخذه قبل تعلّق الوجوب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المأخوذ الحصّة؛ فإن استحقّه في الزرع قبل تعلّق الزكاة استحقاق الشركاء أو استولى عليها استيلاء الغاصبين، فلا إشكال في أنّ النصاب معتبر بعده؛ لكون الحصّة على التقدير الأوّل غير مملوكة له، و على الثاني غير متمكّن من التصرّف فيه لأجل الغصب، فإن الغصب يتحقق في المشاع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استحقّه أو أخذه </w:t>
      </w:r>
      <w:r>
        <w:rPr>
          <w:rStyle w:val="FootnoteAnchor"/>
          <w:rtl w:val="true"/>
        </w:rPr>
        <w:footnoteReference w:id="1381"/>
      </w:r>
      <w:r>
        <w:rPr>
          <w:rFonts w:ascii="Amiri" w:hAnsi="Amiri" w:eastAsia="Amiri" w:cs="Amiri"/>
          <w:color w:val="111111"/>
          <w:sz w:val="28"/>
          <w:sz w:val="28"/>
          <w:szCs w:val="28"/>
          <w:rtl w:val="true"/>
          <w:lang w:bidi="ar-SA"/>
        </w:rPr>
        <w:t>بعد تعلّق الوجوب، فعلى الأوّل يعدّ من المئونة، و على الثاني يعدّ من غصب بعض النصاب الزكوي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فلا إشكال في استثناء الحصة إلّا في الصورة الثالثة، بناء على عدم استثناء المئونة، فإنّه و إن كان مقتضى هذا القول عدم استثنائها إلّا أن الأخبار و الإجماعات المتقدّمة كاف في 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الإشكال فيما إذا أخذ النقد، فقد عرفت أنّ الأخبار و الإجماعات مختصّة بالحصّة، فالخراج بالمعنى الأخصّ لا دليل على إخراجه على القول بعدم إخراج المئونة، و على القول بإخراجها فلا يتمّ على تقدير بسطه على جميع الحاصل أن يكون معاوضة على الحصّة المستحقّة قبل تعلّق الوجوب، بل لا بد من وضعه</w:t>
      </w:r>
    </w:p>
    <w:p>
      <w:pPr>
        <w:pStyle w:val="BookText"/>
        <w:rPr/>
      </w:pPr>
      <w:r>
        <w:rPr>
          <w:rFonts w:ascii="Amiri" w:hAnsi="Amiri" w:eastAsia="Amiri" w:cs="Amiri"/>
          <w:color w:val="111111"/>
          <w:sz w:val="28"/>
          <w:sz w:val="28"/>
          <w:szCs w:val="28"/>
          <w:rtl w:val="true"/>
          <w:lang w:bidi="ar-SA"/>
        </w:rPr>
        <w:t>على الحصّة، فإن نقصت عنه فلا يوضع باقية على ما في الزرع؛ لأنه كاشتراء الحصّة من الشريك، فإنّ الثمن معدود من مئونة المبيع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ظهر ما في تصريح بعض المعاصرين بأنّ ظاهر النصّ و الفتوى إخراج القسمين </w:t>
      </w:r>
      <w:r>
        <w:rPr>
          <w:rStyle w:val="FootnoteAnchor"/>
          <w:rtl w:val="true"/>
        </w:rPr>
        <w:footnoteReference w:id="1382"/>
      </w:r>
      <w:r>
        <w:rPr>
          <w:rFonts w:ascii="Amiri" w:hAnsi="Amiri" w:eastAsia="Amiri" w:cs="Amiri"/>
          <w:color w:val="111111"/>
          <w:sz w:val="28"/>
          <w:sz w:val="28"/>
          <w:szCs w:val="28"/>
          <w:rtl w:val="true"/>
          <w:lang w:bidi="ar-SA"/>
        </w:rPr>
        <w:t>، يعني الحصّة و الخراج المأخوذ بدل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إلى ما ذكرنا ينظر كلام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ضرب الإمام الخراج من غير حصّة فالأقرب وجوب الزكاة في الجميع؛ لأنه كالدين </w:t>
      </w:r>
      <w:r>
        <w:rPr>
          <w:rStyle w:val="FootnoteAnchor"/>
          <w:rtl w:val="true"/>
        </w:rPr>
        <w:footnoteReference w:id="1383"/>
      </w:r>
      <w:r>
        <w:rPr>
          <w:rFonts w:ascii="Amiri" w:hAnsi="Amiri" w:eastAsia="Amiri" w:cs="Amiri"/>
          <w:color w:val="111111"/>
          <w:sz w:val="28"/>
          <w:sz w:val="28"/>
          <w:szCs w:val="28"/>
          <w:rtl w:val="true"/>
          <w:lang w:bidi="ar-SA"/>
        </w:rPr>
        <w:t>، و قال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محجوج بظاهر النصوص و الفتاوى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ظهور الجميع في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الأخبار </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استثناء الحصّة أو مطلق الخراج و لو كان نقدا بكون الأرض خراجية، أي يأخذ السلطان العادل منه الخراج عند بسط يده، و عند قصور يده يأخذه الجائر، سواء كانت الأرض للمسلمين كالمفتوحة عنوة أو أرض صالح عليها أهلها، أو من الأنفال المختصة بالإمام؛ لعموم الأخبار كما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المأخوذ من غيرها و لو كان باسم الخراج و المقاسمة، فلا دليل على إخراجه إلّا على القول باستثناء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الظاهر اختصاصها بالسلطان المخالف، فما يأخذه سلاطين الشيعة ملحقة بالمؤن أيضا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بجواز أداء الخراج و المقاسمة إليه، بل وجوبه في الجملة كالسلطان المخالف، فالظاهر الحاقه به في استثناء حصّته؛ لأنّ ظاهر الأخبار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استثناء هذه الحصة من المال لا من حيث أنّ أخذه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يأخذه المخالف </w:t>
      </w:r>
      <w:r>
        <w:rPr>
          <w:rStyle w:val="FootnoteAnchor"/>
          <w:rtl w:val="true"/>
        </w:rPr>
        <w:footnoteReference w:id="1387"/>
      </w:r>
      <w:r>
        <w:rPr>
          <w:rFonts w:ascii="Amiri" w:hAnsi="Amiri" w:eastAsia="Amiri" w:cs="Amiri"/>
          <w:color w:val="111111"/>
          <w:sz w:val="28"/>
          <w:sz w:val="28"/>
          <w:szCs w:val="28"/>
          <w:rtl w:val="true"/>
          <w:lang w:bidi="ar-SA"/>
        </w:rPr>
        <w:t xml:space="preserve">باسم الخراج و المقاسمة فالظاهر </w:t>
      </w:r>
      <w:r>
        <w:rPr>
          <w:rStyle w:val="FootnoteAnchor"/>
          <w:rtl w:val="true"/>
        </w:rPr>
        <w:footnoteReference w:id="1388"/>
      </w:r>
      <w:r>
        <w:rPr>
          <w:rFonts w:ascii="Amiri" w:hAnsi="Amiri" w:eastAsia="Amiri" w:cs="Amiri"/>
          <w:color w:val="111111"/>
          <w:sz w:val="28"/>
          <w:sz w:val="28"/>
          <w:szCs w:val="28"/>
          <w:rtl w:val="true"/>
          <w:lang w:bidi="ar-SA"/>
        </w:rPr>
        <w:t xml:space="preserve">انه لا إشكال في عدم اجزائه عن </w:t>
      </w:r>
      <w:r>
        <w:rPr>
          <w:rStyle w:val="FootnoteAnchor"/>
          <w:rtl w:val="true"/>
        </w:rPr>
        <w:footnoteReference w:id="1389"/>
      </w:r>
      <w:r>
        <w:rPr>
          <w:rFonts w:ascii="Amiri" w:hAnsi="Amiri" w:eastAsia="Amiri" w:cs="Amiri"/>
          <w:color w:val="111111"/>
          <w:sz w:val="28"/>
          <w:sz w:val="28"/>
          <w:szCs w:val="28"/>
          <w:rtl w:val="true"/>
          <w:lang w:bidi="ar-SA"/>
        </w:rPr>
        <w:t xml:space="preserve">الزكاة، و في الغنية </w:t>
      </w:r>
      <w:r>
        <w:rPr>
          <w:rStyle w:val="FootnoteAnchor"/>
          <w:rtl w:val="true"/>
        </w:rPr>
        <w:footnoteReference w:id="1390"/>
      </w:r>
      <w:r>
        <w:rPr>
          <w:rFonts w:ascii="Amiri" w:hAnsi="Amiri" w:eastAsia="Amiri" w:cs="Amiri"/>
          <w:color w:val="111111"/>
          <w:sz w:val="28"/>
          <w:sz w:val="28"/>
          <w:szCs w:val="28"/>
          <w:rtl w:val="true"/>
          <w:lang w:bidi="ar-SA"/>
        </w:rPr>
        <w:t xml:space="preserve">، و عن التذكرة دعوى اتفاق الإمامية </w:t>
      </w:r>
      <w:r>
        <w:rPr>
          <w:rStyle w:val="FootnoteAnchor"/>
          <w:rtl w:val="true"/>
        </w:rPr>
        <w:footnoteReference w:id="1391"/>
      </w:r>
      <w:r>
        <w:rPr>
          <w:rFonts w:ascii="Amiri" w:hAnsi="Amiri" w:eastAsia="Amiri" w:cs="Amiri"/>
          <w:color w:val="111111"/>
          <w:sz w:val="28"/>
          <w:sz w:val="28"/>
          <w:szCs w:val="28"/>
          <w:rtl w:val="true"/>
          <w:lang w:bidi="ar-SA"/>
        </w:rPr>
        <w:t xml:space="preserve">، و يدل عليه الأخبار المستفيضة في أنّ على المتقبلين سوى قبالة الأرض، العشر و نصف العشر </w:t>
      </w:r>
      <w:r>
        <w:rPr>
          <w:rStyle w:val="FootnoteAnchor"/>
          <w:rtl w:val="true"/>
        </w:rPr>
        <w:footnoteReference w:id="1392"/>
      </w:r>
      <w:r>
        <w:rPr>
          <w:rFonts w:ascii="Amiri" w:hAnsi="Amiri" w:eastAsia="Amiri" w:cs="Amiri"/>
          <w:color w:val="111111"/>
          <w:sz w:val="28"/>
          <w:sz w:val="28"/>
          <w:szCs w:val="28"/>
          <w:rtl w:val="true"/>
          <w:lang w:bidi="ar-SA"/>
        </w:rPr>
        <w:t>، و يدل عليه فحوى عدم احتساب ما يأخذه</w:t>
      </w:r>
    </w:p>
    <w:p>
      <w:pPr>
        <w:pStyle w:val="BookText"/>
        <w:rPr/>
      </w:pPr>
      <w:r>
        <w:rPr>
          <w:rFonts w:ascii="Amiri" w:hAnsi="Amiri" w:eastAsia="Amiri" w:cs="Amiri"/>
          <w:color w:val="111111"/>
          <w:sz w:val="28"/>
          <w:sz w:val="28"/>
          <w:szCs w:val="28"/>
          <w:rtl w:val="true"/>
          <w:lang w:bidi="ar-SA"/>
        </w:rPr>
        <w:t xml:space="preserve">باسم الزكاة عنها </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ينسب الخلاف في المعتبر </w:t>
      </w:r>
      <w:r>
        <w:rPr>
          <w:rStyle w:val="FootnoteAnchor"/>
          <w:rtl w:val="true"/>
        </w:rPr>
        <w:footnoteReference w:id="1394"/>
      </w:r>
      <w:r>
        <w:rPr>
          <w:rFonts w:ascii="Amiri" w:hAnsi="Amiri" w:eastAsia="Amiri" w:cs="Amiri"/>
          <w:color w:val="111111"/>
          <w:sz w:val="28"/>
          <w:sz w:val="28"/>
          <w:szCs w:val="28"/>
          <w:rtl w:val="true"/>
          <w:lang w:bidi="ar-SA"/>
        </w:rPr>
        <w:t xml:space="preserve">إلّا الى أبي حنيفة </w:t>
      </w:r>
      <w:r>
        <w:rPr>
          <w:rStyle w:val="FootnoteAnchor"/>
          <w:rtl w:val="true"/>
        </w:rPr>
        <w:footnoteReference w:id="1395"/>
      </w:r>
      <w:r>
        <w:rPr>
          <w:rFonts w:ascii="Amiri" w:hAnsi="Amiri" w:eastAsia="Amiri" w:cs="Amiri"/>
          <w:color w:val="111111"/>
          <w:sz w:val="28"/>
          <w:sz w:val="28"/>
          <w:szCs w:val="28"/>
          <w:rtl w:val="true"/>
          <w:lang w:bidi="ar-SA"/>
        </w:rPr>
        <w:t>، و لعل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بالاجزاء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تقية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يأخذه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هل يحسب من الزكاة أم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الأخبار الكثيرة بل صريحها </w:t>
      </w:r>
      <w:r>
        <w:rPr>
          <w:rStyle w:val="FootnoteAnchor"/>
          <w:rtl w:val="true"/>
        </w:rPr>
        <w:footnoteReference w:id="1397"/>
      </w:r>
      <w:r>
        <w:rPr>
          <w:rFonts w:ascii="Amiri" w:hAnsi="Amiri" w:eastAsia="Amiri" w:cs="Amiri"/>
          <w:color w:val="111111"/>
          <w:sz w:val="28"/>
          <w:sz w:val="28"/>
          <w:szCs w:val="28"/>
          <w:rtl w:val="true"/>
          <w:lang w:bidi="ar-SA"/>
        </w:rPr>
        <w:t xml:space="preserve">الاحتساب و إن أوجب في بعضها الإخفاء عنه مهما أمكن، و يؤيدها ما دل على جواز الشراء من العامل و المصدّق إبل الصدقة و غيرها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بعض الأخبار العدم؛ معلّلا بأن هؤلاء قوم ظلموكم أموالكم و إنّما الصدقة لأهلها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يعضدها عموم ما دلّ على وجوب إعادة الزكاة على المخالف؛ معلّلا بأنّه وضعها في غير موضعها و إنّما موضعها أهل الولاية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إجبار الشخص على إعطاء </w:t>
      </w:r>
      <w:r>
        <w:rPr>
          <w:rStyle w:val="FootnoteAnchor"/>
          <w:rtl w:val="true"/>
        </w:rPr>
        <w:footnoteReference w:id="1401"/>
      </w:r>
      <w:r>
        <w:rPr>
          <w:rFonts w:ascii="Amiri" w:hAnsi="Amiri" w:eastAsia="Amiri" w:cs="Amiri"/>
          <w:color w:val="111111"/>
          <w:sz w:val="28"/>
          <w:sz w:val="28"/>
          <w:szCs w:val="28"/>
          <w:rtl w:val="true"/>
          <w:lang w:bidi="ar-SA"/>
        </w:rPr>
        <w:t>الزكاة لا يوجب احتساب المدفوع عن حق الفقراء؛ لأنّ المشاع لا يتميّز بغير رضى الشركاء، غاية الأمر أنّه يجب على المكره أن يدفع إلى المكره ما يكفيه شره، و أمّا احتسابه من حق الفقراء فلا و من هنا يعلم أنّ الإكراه على تعيين قسمة أحد الشريكين لا ينفع في التعيين</w:t>
      </w:r>
      <w:r>
        <w:rPr>
          <w:rFonts w:eastAsia="Amiri" w:cs="Amiri" w:ascii="Amiri" w:hAnsi="Amiri"/>
          <w:color w:val="111111"/>
          <w:sz w:val="28"/>
          <w:szCs w:val="28"/>
          <w:rtl w:val="true"/>
          <w:lang w:bidi="ar-SA"/>
        </w:rPr>
        <w:t>.</w:t>
      </w:r>
      <w:bookmarkStart w:id="99" w:name="pg19722_766290"/>
    </w:p>
    <w:p>
      <w:pPr>
        <w:pStyle w:val="Heading4"/>
        <w:numPr>
          <w:ilvl w:val="3"/>
          <w:numId w:val="1"/>
        </w:numPr>
        <w:rPr/>
      </w:pPr>
      <w:bookmarkStart w:id="100" w:name="__RefHeading___Toc2136346_2314609296"/>
      <w:bookmarkStart w:id="101" w:name="_Toc35"/>
      <w:bookmarkEnd w:id="99"/>
      <w:bookmarkEnd w:id="100"/>
      <w:r>
        <w:rPr>
          <w:rtl w:val="true"/>
        </w:rPr>
        <w:t xml:space="preserve">مسألة </w:t>
      </w:r>
      <w:r>
        <w:rPr>
          <w:rtl w:val="true"/>
        </w:rPr>
        <w:t>[</w:t>
      </w:r>
      <w:r>
        <w:rPr/>
        <w:t>25</w:t>
      </w:r>
      <w:r>
        <w:rPr>
          <w:rtl w:val="true"/>
        </w:rPr>
        <w:t>]</w:t>
      </w:r>
      <w:bookmarkEnd w:id="101"/>
    </w:p>
    <w:p>
      <w:pPr>
        <w:pStyle w:val="BookText"/>
        <w:rPr/>
      </w:pPr>
      <w:r>
        <w:rPr>
          <w:rFonts w:ascii="Amiri" w:hAnsi="Amiri" w:eastAsia="Amiri" w:cs="Amiri"/>
          <w:color w:val="111111"/>
          <w:sz w:val="28"/>
          <w:sz w:val="28"/>
          <w:szCs w:val="28"/>
          <w:rtl w:val="true"/>
          <w:lang w:bidi="ar-SA"/>
        </w:rPr>
        <w:t xml:space="preserve">المعروف بين الشيخ و أكثر من تأخّر عنه أنّه يجوز شراء ما يأخذه السلطان الجائر باسم الخراج و المقاسمة و الزكاة، ذكره الشيخ في النهاية </w:t>
      </w:r>
      <w:r>
        <w:rPr>
          <w:rStyle w:val="FootnoteAnchor"/>
          <w:rtl w:val="true"/>
        </w:rPr>
        <w:footnoteReference w:id="1402"/>
      </w:r>
      <w:r>
        <w:rPr>
          <w:rFonts w:ascii="Amiri" w:hAnsi="Amiri" w:eastAsia="Amiri" w:cs="Amiri"/>
          <w:color w:val="111111"/>
          <w:sz w:val="28"/>
          <w:sz w:val="28"/>
          <w:szCs w:val="28"/>
          <w:rtl w:val="true"/>
          <w:lang w:bidi="ar-SA"/>
        </w:rPr>
        <w:t xml:space="preserve">، و الحلّي في السرائر </w:t>
      </w:r>
      <w:r>
        <w:rPr>
          <w:rStyle w:val="FootnoteAnchor"/>
          <w:rtl w:val="true"/>
        </w:rPr>
        <w:footnoteReference w:id="1403"/>
      </w:r>
      <w:r>
        <w:rPr>
          <w:rFonts w:ascii="Amiri" w:hAnsi="Amiri" w:eastAsia="Amiri" w:cs="Amiri"/>
          <w:color w:val="111111"/>
          <w:sz w:val="28"/>
          <w:sz w:val="28"/>
          <w:szCs w:val="28"/>
          <w:rtl w:val="true"/>
          <w:lang w:bidi="ar-SA"/>
        </w:rPr>
        <w:t xml:space="preserve">، و المحقّق </w:t>
      </w:r>
      <w:r>
        <w:rPr>
          <w:rStyle w:val="FootnoteAnchor"/>
          <w:rtl w:val="true"/>
        </w:rPr>
        <w:footnoteReference w:id="1404"/>
      </w:r>
      <w:r>
        <w:rPr>
          <w:rFonts w:ascii="Amiri" w:hAnsi="Amiri" w:eastAsia="Amiri" w:cs="Amiri"/>
          <w:color w:val="111111"/>
          <w:sz w:val="28"/>
          <w:sz w:val="28"/>
          <w:szCs w:val="28"/>
          <w:rtl w:val="true"/>
          <w:lang w:bidi="ar-SA"/>
        </w:rPr>
        <w:t>و من تأخر عنه، و أوّل من ادعى الإجماع على ذلك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الفاضل المقداد في التنقيح </w:t>
      </w:r>
      <w:r>
        <w:rPr>
          <w:rStyle w:val="FootnoteAnchor"/>
          <w:rtl w:val="true"/>
        </w:rPr>
        <w:footnoteReference w:id="1405"/>
      </w:r>
      <w:r>
        <w:rPr>
          <w:rFonts w:ascii="Amiri" w:hAnsi="Amiri" w:eastAsia="Amiri" w:cs="Amiri"/>
          <w:color w:val="111111"/>
          <w:sz w:val="28"/>
          <w:sz w:val="28"/>
          <w:szCs w:val="28"/>
          <w:rtl w:val="true"/>
          <w:lang w:bidi="ar-SA"/>
        </w:rPr>
        <w:t xml:space="preserve">ثم المحقق الثاني في جامع المقاصد </w:t>
      </w:r>
      <w:r>
        <w:rPr>
          <w:rStyle w:val="FootnoteAnchor"/>
          <w:rtl w:val="true"/>
        </w:rPr>
        <w:footnoteReference w:id="1406"/>
      </w:r>
      <w:r>
        <w:rPr>
          <w:rFonts w:ascii="Amiri" w:hAnsi="Amiri" w:eastAsia="Amiri" w:cs="Amiri"/>
          <w:color w:val="111111"/>
          <w:sz w:val="28"/>
          <w:sz w:val="28"/>
          <w:szCs w:val="28"/>
          <w:rtl w:val="true"/>
          <w:lang w:bidi="ar-SA"/>
        </w:rPr>
        <w:t xml:space="preserve">و حاشية الإرشاد </w:t>
      </w:r>
      <w:r>
        <w:rPr>
          <w:rStyle w:val="FootnoteAnchor"/>
          <w:rtl w:val="true"/>
        </w:rPr>
        <w:footnoteReference w:id="1407"/>
      </w:r>
      <w:r>
        <w:rPr>
          <w:rFonts w:ascii="Amiri" w:hAnsi="Amiri" w:eastAsia="Amiri" w:cs="Amiri"/>
          <w:color w:val="111111"/>
          <w:sz w:val="28"/>
          <w:sz w:val="28"/>
          <w:szCs w:val="28"/>
          <w:rtl w:val="true"/>
          <w:lang w:bidi="ar-SA"/>
        </w:rPr>
        <w:t xml:space="preserve">و رسالته المعمولة في حل الخراج، المسمّاة بقاطعة اللّجاج </w:t>
      </w:r>
      <w:r>
        <w:rPr>
          <w:rStyle w:val="FootnoteAnchor"/>
          <w:rtl w:val="true"/>
        </w:rPr>
        <w:footnoteReference w:id="1408"/>
      </w:r>
      <w:r>
        <w:rPr>
          <w:rFonts w:ascii="Amiri" w:hAnsi="Amiri" w:eastAsia="Amiri" w:cs="Amiri"/>
          <w:color w:val="111111"/>
          <w:sz w:val="28"/>
          <w:sz w:val="28"/>
          <w:szCs w:val="28"/>
          <w:rtl w:val="true"/>
          <w:lang w:bidi="ar-SA"/>
        </w:rPr>
        <w:t xml:space="preserve">ثم الشهيد الثاني، حيث ادعى إطباق علمائنا </w:t>
      </w:r>
      <w:r>
        <w:rPr>
          <w:rStyle w:val="FootnoteAnchor"/>
          <w:rtl w:val="true"/>
        </w:rPr>
        <w:footnoteReference w:id="1409"/>
      </w:r>
      <w:r>
        <w:rPr>
          <w:rFonts w:ascii="Amiri" w:hAnsi="Amiri" w:eastAsia="Amiri" w:cs="Amiri"/>
          <w:color w:val="111111"/>
          <w:sz w:val="28"/>
          <w:sz w:val="28"/>
          <w:szCs w:val="28"/>
          <w:rtl w:val="true"/>
          <w:lang w:bidi="ar-SA"/>
        </w:rPr>
        <w:t>ثم جماعة ممن تأخر عنهم، 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حكاية الإجماع عليه مستفيضة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قبل ذلك الأخبار المستفيضة الدالّة على صحة التصرفات المترتبة على تصرّف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مزارعة أهل الخراج بالربع و النصف و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قد قبّل رسول اللّٰه صلّى اللّٰه عليه و آله و سلم خيبر، أعطا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حين فتحت عليه بالخبر، و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النصف</w:t>
      </w:r>
      <w:r>
        <w:rPr>
          <w:rFonts w:eastAsia="IRNazanin" w:cs="IRNazanin"/>
          <w:color w:val="111111"/>
          <w:sz w:val="28"/>
          <w:szCs w:val="28"/>
          <w:rtl w:val="true"/>
          <w:lang w:bidi="fa-IR"/>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أخرى، عن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يتقبّل الأرض و أهلها من السلطان</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الفيض بن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أرض أتقبّلها من السلطان ثم أؤاجرها أكرتي على أن ما أخرجه اللّٰه منها من شي‌ء كان لي من ذلك النصف أو الثلث بعد حق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كذلك أعامل أكرتي</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الفضل الهاشمي، عن أبي عبد اللّٰه عليه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يتقبّل بخراج الرجال و جزية رءوسهم، و خراج النخل و الشجر و الآجام و المصائد و السمك و الطير، و هو لا يدري لعلّه لا يكون من هذا شي‌ء أبدا، أو يكون، أ يشتريه، و في أيّ زمان يشتريه و يتقبل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أنّ شيئا من ذلك قد أدرك فاشتره و تقبّل به</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و الكليني نحو ذلك عن إسماعيل بن الفضل</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لإسماعيل بن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استأجر من السلطان من أرض الخراج بدراهم مسمّاة أو بطعام مسمّى، ثمّ آجرها و اشترط لمن يزرعها أن يقاسمه بالنصف من ذلك أو أقلّ أو أكثر و له بعد ذلك فضل، أ 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حفر لهم نهرا، أو عمل لهم عملا يعينهم بذلك فله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استأجر أرضا من أرض الخراج بدراهم مسمّاة أو بطعام معلوم فيؤاجرها قطعة قطعة أو جريبا جريبا بشي‌ء معلوم فيكون له فضل ما استؤجر من السلطان و لا ينفق شيئا، أو يؤاجر تلك الأرض قطعا على أن يعطيهم البذر و النفقة فيكون له في ذلك فضل على إجارته؟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استأجرت أرضا فأنفقت فيها شيئا أو رمّمت فلا بأس بما ذكرت</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موثقة أخرى لإسماعيل بن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اكترى أرضا من أرض أهل الذمة، و إنما أهلها كارهون، و إنما تقبلها السلطان لعجز أهلها أو غير عجز؟</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 أربابها عنها فلك أن تأخذها إلّا أن يضارّوا</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عبيدة </w:t>
      </w:r>
      <w:r>
        <w:rPr>
          <w:rStyle w:val="FootnoteAnchor"/>
          <w:rtl w:val="true"/>
        </w:rPr>
        <w:footnoteReference w:id="1418"/>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الرجل منّا يشتري من السلطان من إبل الصدقة و غنمها، و هو يعلم أنهم يأخذون منهم</w:t>
      </w:r>
    </w:p>
    <w:p>
      <w:pPr>
        <w:pStyle w:val="BookText"/>
        <w:rPr/>
      </w:pPr>
      <w:r>
        <w:rPr>
          <w:rFonts w:ascii="Amiri" w:hAnsi="Amiri" w:eastAsia="Amiri" w:cs="Amiri"/>
          <w:color w:val="111111"/>
          <w:sz w:val="28"/>
          <w:sz w:val="28"/>
          <w:szCs w:val="28"/>
          <w:rtl w:val="true"/>
          <w:lang w:bidi="ar-SA"/>
        </w:rPr>
        <w:t>أكثر من الحق الذي يجب عليهم؟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و الغنم إلا مثل الحنطة و الشعير و غير ذلك، لا بأس حتى تعرف الحرام منه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مصدّق يجيئنا فيأخذ صدقات أغنامنا،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بعناها فيبيعناها، فما ترى في شرائها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أخذها و عزلها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 الشعير، يجيئنا القاسم فيقسم لنا حظنا و يأخذ حظّه فيعزله بكيل، فما ترى في شراء ذلك الطعام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قبضه بكيل و أنتم حضور ذلك فلا بأس بشرائه بغير كيل</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أبي بكر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ابن أبي سماك أن يخرج شباب الشيعة فيكفونه ما يكفي الناس و يعطيهم ما يعطي الناس؟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 عطائك؟ قال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ابن أبي سماك أن يبعث إليك بعطائك، أما علم أنّ لك في بيت المال نصيبا؟</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أرض خراج و قد ضقت بها أ فأدعها؟ فسكت عنّي هنيئة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قائمنا لو قام كان نصيبك من الأرض أكثر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قائمنا كان للإنسان أفضل من قطائعهم</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أرض 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به أرض اعطي ليأكل خراجها، أو أرض اعطي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Style w:val="FootnoteAnchor"/>
          <w:rtl w:val="true"/>
        </w:rPr>
        <w:footnoteReference w:id="1423"/>
      </w:r>
      <w:r>
        <w:rPr>
          <w:rFonts w:ascii="Amiri" w:hAnsi="Amiri" w:eastAsia="Amiri" w:cs="Amiri"/>
          <w:color w:val="111111"/>
          <w:sz w:val="28"/>
          <w:sz w:val="28"/>
          <w:szCs w:val="28"/>
          <w:rtl w:val="true"/>
          <w:lang w:bidi="ar-SA"/>
        </w:rPr>
        <w:t>له يأخذ 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النزول على أهل الخراج ثلاثة أيام مثل صحيحة ابن سنان </w:t>
      </w:r>
      <w:r>
        <w:rPr>
          <w:rStyle w:val="FootnoteAnchor"/>
          <w:rtl w:val="true"/>
        </w:rPr>
        <w:footnoteReference w:id="1424"/>
      </w:r>
      <w:r>
        <w:rPr>
          <w:rFonts w:ascii="Amiri" w:hAnsi="Amiri" w:eastAsia="Amiri" w:cs="Amiri"/>
          <w:color w:val="111111"/>
          <w:sz w:val="28"/>
          <w:sz w:val="28"/>
          <w:szCs w:val="28"/>
          <w:rtl w:val="true"/>
          <w:lang w:bidi="ar-SA"/>
        </w:rPr>
        <w:t xml:space="preserve">و غيرها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بالنازل من تقبّل أرض الخراج من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الشراء من العامل، مثل رواية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الرجل يشتري من العامل و هو يظلم؟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ما لم يعلم أنه ظلم فيه أحدا</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شراء السرقة و الخيانة؟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أنه كذلك فلا، إلّا أن يكون شيئا تشتريه من العامل</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المطلب ما تقدّم في جواز </w:t>
      </w:r>
      <w:r>
        <w:rPr>
          <w:rStyle w:val="FootnoteAnchor"/>
          <w:rtl w:val="true"/>
        </w:rPr>
        <w:footnoteReference w:id="1428"/>
      </w:r>
      <w:r>
        <w:rPr>
          <w:rFonts w:ascii="IRNazanin" w:hAnsi="IRNazanin" w:eastAsia="IRNazanin"/>
          <w:color w:val="111111"/>
          <w:sz w:val="28"/>
          <w:sz w:val="28"/>
          <w:szCs w:val="28"/>
          <w:rtl w:val="true"/>
          <w:lang w:bidi="fa-IR"/>
        </w:rPr>
        <w:t xml:space="preserve">قبول جوائز السلطان </w:t>
      </w:r>
      <w:r>
        <w:rPr>
          <w:rStyle w:val="FootnoteAnchor"/>
          <w:rtl w:val="true"/>
        </w:rPr>
        <w:footnoteReference w:id="1429"/>
      </w:r>
      <w:r>
        <w:rPr>
          <w:rFonts w:ascii="Amiri" w:hAnsi="Amiri" w:eastAsia="Amiri" w:cs="Amiri"/>
          <w:color w:val="111111"/>
          <w:sz w:val="28"/>
          <w:sz w:val="28"/>
          <w:szCs w:val="28"/>
          <w:rtl w:val="true"/>
          <w:lang w:bidi="ar-SA"/>
        </w:rPr>
        <w:t>، فإنّ جوائزهم لا تكون غالبا إلا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اللعنة و العذاب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أبي الحسن عليه السلام بخلع و حملان و مال،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حاجة لي بالخلع و الحملان و المال إذا كان فيه حقوق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فإن حقوق الأمّة لا يكون إلّا في بيت المال، فعلم أنّ ما يقع في يد السلطان يصير من بيت المال و لا يبقى على ملك مالكه، فيجب ردّه إليه و يتصدق به مع جهله فافهم</w:t>
      </w:r>
      <w:r>
        <w:rPr>
          <w:rFonts w:eastAsia="Amiri" w:cs="Amiri" w:ascii="Amiri" w:hAnsi="Amiri"/>
          <w:color w:val="111111"/>
          <w:sz w:val="28"/>
          <w:szCs w:val="28"/>
          <w:rtl w:val="true"/>
          <w:lang w:bidi="ar-SA"/>
        </w:rPr>
        <w:t>.</w:t>
      </w:r>
      <w:bookmarkStart w:id="102" w:name="pg19722_766295"/>
    </w:p>
    <w:p>
      <w:pPr>
        <w:pStyle w:val="Heading4"/>
        <w:numPr>
          <w:ilvl w:val="3"/>
          <w:numId w:val="1"/>
        </w:numPr>
        <w:rPr/>
      </w:pPr>
      <w:bookmarkStart w:id="103" w:name="__RefHeading___Toc2136348_2314609296"/>
      <w:bookmarkStart w:id="104" w:name="_Toc36"/>
      <w:bookmarkEnd w:id="102"/>
      <w:bookmarkEnd w:id="103"/>
      <w:r>
        <w:rPr>
          <w:rtl w:val="true"/>
        </w:rPr>
        <w:t xml:space="preserve">مسألة </w:t>
      </w:r>
      <w:r>
        <w:rPr>
          <w:rtl w:val="true"/>
        </w:rPr>
        <w:t>[</w:t>
      </w:r>
      <w:r>
        <w:rPr/>
        <w:t>26</w:t>
      </w:r>
      <w:r>
        <w:rPr>
          <w:rtl w:val="true"/>
        </w:rPr>
        <w:t>]</w:t>
      </w:r>
      <w:bookmarkEnd w:id="10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استثناء المؤن ما عدا حق السلطان، فالمشهور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فوائد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كاد أن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استثناؤها </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في الخلاف </w:t>
      </w:r>
      <w:r>
        <w:rPr>
          <w:rStyle w:val="FootnoteAnchor"/>
          <w:rtl w:val="true"/>
        </w:rPr>
        <w:footnoteReference w:id="1432"/>
      </w:r>
      <w:r>
        <w:rPr>
          <w:rFonts w:ascii="IRNazanin" w:hAnsi="IRNazanin" w:eastAsia="IRNazanin"/>
          <w:color w:val="111111"/>
          <w:sz w:val="28"/>
          <w:sz w:val="28"/>
          <w:szCs w:val="28"/>
          <w:rtl w:val="true"/>
          <w:lang w:bidi="fa-IR"/>
        </w:rPr>
        <w:t xml:space="preserve">و المبسوط </w:t>
      </w:r>
      <w:r>
        <w:rPr>
          <w:rStyle w:val="FootnoteAnchor"/>
          <w:rtl w:val="true"/>
        </w:rPr>
        <w:footnoteReference w:id="1433"/>
      </w:r>
      <w:r>
        <w:rPr>
          <w:rFonts w:ascii="Amiri" w:hAnsi="Amiri" w:eastAsia="Amiri" w:cs="Amiri"/>
          <w:color w:val="111111"/>
          <w:sz w:val="28"/>
          <w:sz w:val="28"/>
          <w:szCs w:val="28"/>
          <w:rtl w:val="true"/>
          <w:lang w:bidi="ar-SA"/>
        </w:rPr>
        <w:t>و ابن سعيد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استثنائها </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عنهما دعوى الإجماع على ذلك </w:t>
      </w:r>
      <w:r>
        <w:rPr>
          <w:rStyle w:val="FootnoteAnchor"/>
          <w:rtl w:val="true"/>
        </w:rPr>
        <w:footnoteReference w:id="1435"/>
      </w:r>
      <w:r>
        <w:rPr>
          <w:rFonts w:ascii="Amiri" w:hAnsi="Amiri" w:eastAsia="Amiri" w:cs="Amiri"/>
          <w:color w:val="111111"/>
          <w:sz w:val="28"/>
          <w:sz w:val="28"/>
          <w:szCs w:val="28"/>
          <w:rtl w:val="true"/>
          <w:lang w:bidi="ar-SA"/>
        </w:rPr>
        <w:t>و وافقهما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في فوائد القواعد </w:t>
      </w:r>
      <w:r>
        <w:rPr>
          <w:rStyle w:val="FootnoteAnchor"/>
          <w:rtl w:val="true"/>
        </w:rPr>
        <w:footnoteReference w:id="1436"/>
      </w:r>
      <w:r>
        <w:rPr>
          <w:rFonts w:ascii="Amiri" w:hAnsi="Amiri" w:eastAsia="Amiri" w:cs="Amiri"/>
          <w:color w:val="111111"/>
          <w:sz w:val="28"/>
          <w:sz w:val="28"/>
          <w:szCs w:val="28"/>
          <w:rtl w:val="true"/>
          <w:lang w:bidi="ar-SA"/>
        </w:rPr>
        <w:t xml:space="preserve">و سبطه في المدارك </w:t>
      </w:r>
      <w:r>
        <w:rPr>
          <w:rStyle w:val="FootnoteAnchor"/>
          <w:rtl w:val="true"/>
        </w:rPr>
        <w:footnoteReference w:id="1437"/>
      </w:r>
      <w:r>
        <w:rPr>
          <w:rFonts w:ascii="Amiri" w:hAnsi="Amiri" w:eastAsia="Amiri" w:cs="Amiri"/>
          <w:color w:val="111111"/>
          <w:sz w:val="28"/>
          <w:sz w:val="28"/>
          <w:szCs w:val="28"/>
          <w:rtl w:val="true"/>
          <w:lang w:bidi="ar-SA"/>
        </w:rPr>
        <w:t xml:space="preserve">و نجله في شرح الاستبصار </w:t>
      </w:r>
      <w:r>
        <w:rPr>
          <w:rStyle w:val="FootnoteAnchor"/>
          <w:rtl w:val="true"/>
        </w:rPr>
        <w:footnoteReference w:id="1438"/>
      </w:r>
      <w:r>
        <w:rPr>
          <w:rFonts w:ascii="Amiri" w:hAnsi="Amiri" w:eastAsia="Amiri" w:cs="Amiri"/>
          <w:color w:val="111111"/>
          <w:sz w:val="28"/>
          <w:sz w:val="28"/>
          <w:szCs w:val="28"/>
          <w:rtl w:val="true"/>
          <w:lang w:bidi="ar-SA"/>
        </w:rPr>
        <w:t xml:space="preserve">و صاحب الذخيرة </w:t>
      </w:r>
      <w:r>
        <w:rPr>
          <w:rStyle w:val="FootnoteAnchor"/>
          <w:rtl w:val="true"/>
        </w:rPr>
        <w:footnoteReference w:id="1439"/>
      </w:r>
      <w:r>
        <w:rPr>
          <w:rFonts w:ascii="Amiri" w:hAnsi="Amiri" w:eastAsia="Amiri" w:cs="Amiri"/>
          <w:color w:val="111111"/>
          <w:sz w:val="28"/>
          <w:sz w:val="28"/>
          <w:szCs w:val="28"/>
          <w:rtl w:val="true"/>
          <w:lang w:bidi="ar-SA"/>
        </w:rPr>
        <w:t xml:space="preserve">و جماعة من متأخري المتأخرين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القول لا يخلو عن قوة للعمومات </w:t>
      </w:r>
      <w:r>
        <w:rPr>
          <w:rStyle w:val="FootnoteAnchor"/>
          <w:rtl w:val="true"/>
        </w:rPr>
        <w:footnoteReference w:id="1441"/>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يزكي ما خرج منه قليلا أو كثيرا</w:t>
      </w:r>
      <w:r>
        <w:rPr>
          <w:rFonts w:eastAsia="Amiri" w:cs="Amiri" w:ascii="Amiri" w:hAnsi="Amiri"/>
          <w:color w:val="111111"/>
          <w:sz w:val="28"/>
          <w:szCs w:val="28"/>
          <w:rtl w:val="true"/>
          <w:lang w:bidi="ar-SA"/>
        </w:rPr>
        <w:t xml:space="preserve">» </w:t>
      </w:r>
      <w:r>
        <w:rPr>
          <w:rStyle w:val="FootnoteAnchor"/>
          <w:rtl w:val="true"/>
        </w:rPr>
        <w:footnoteReference w:id="1442"/>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ليس في النخل زكاة حتى يبلغ خمسة أوساق، و العنب مثل ذلك حتى يبلغ خمسة أوساق زبيبا</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 xml:space="preserve">، فإن بيان النصاب في حاصل النخل و محصول العنب مع عدم استثناء المؤن، سكوت في مقام البيان، فإن زكاة الغلّات على ذلك </w:t>
      </w:r>
      <w:r>
        <w:rPr>
          <w:rStyle w:val="FootnoteAnchor"/>
          <w:rtl w:val="true"/>
        </w:rPr>
        <w:footnoteReference w:id="1444"/>
      </w:r>
      <w:r>
        <w:rPr>
          <w:rFonts w:ascii="Amiri" w:hAnsi="Amiri" w:eastAsia="Amiri" w:cs="Amiri"/>
          <w:color w:val="111111"/>
          <w:sz w:val="28"/>
          <w:sz w:val="28"/>
          <w:szCs w:val="28"/>
          <w:rtl w:val="true"/>
          <w:lang w:bidi="ar-SA"/>
        </w:rPr>
        <w:t xml:space="preserve">القول في ربح المال الذي يغرمه على الزراعة، لا فيما أخرجه اللّٰه كما هو مفاد الأخبار الكثيرة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يظهر أنّ الجواب من الإطلاقات بورودها في مقام حكم آخر إنما يحسن في إطلاقات العشر و نصف العشر </w:t>
      </w:r>
      <w:r>
        <w:rPr>
          <w:rStyle w:val="FootnoteAnchor"/>
          <w:rtl w:val="true"/>
        </w:rPr>
        <w:footnoteReference w:id="1446"/>
      </w:r>
      <w:r>
        <w:rPr>
          <w:rFonts w:ascii="Amiri" w:hAnsi="Amiri" w:eastAsia="Amiri" w:cs="Amiri"/>
          <w:color w:val="111111"/>
          <w:sz w:val="28"/>
          <w:sz w:val="28"/>
          <w:szCs w:val="28"/>
          <w:rtl w:val="true"/>
          <w:lang w:bidi="ar-SA"/>
        </w:rPr>
        <w:t xml:space="preserve">، لا في إطلاقات بيان النصاب </w:t>
      </w:r>
      <w:r>
        <w:rPr>
          <w:rStyle w:val="FootnoteAnchor"/>
          <w:rtl w:val="true"/>
        </w:rPr>
        <w:footnoteReference w:id="1447"/>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لصحيحة ابن مسلم المتقدّمة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العشر فيما حصل في يدك بعد مقاسمته لك</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ظهوره في خلاف هذا القول نظرا إلى أنّ المقاسمة بعد إخراج المؤن، كما ترى، ضرورة عدم العلم بذلك، بل نقطع بأنّ بعض المؤن في حصة الزارع </w:t>
      </w:r>
      <w:r>
        <w:rPr>
          <w:rStyle w:val="FootnoteAnchor"/>
          <w:rtl w:val="true"/>
        </w:rPr>
        <w:footnoteReference w:id="1449"/>
      </w:r>
      <w:r>
        <w:rPr>
          <w:rFonts w:ascii="Amiri" w:hAnsi="Amiri" w:eastAsia="Amiri" w:cs="Amiri"/>
          <w:color w:val="111111"/>
          <w:sz w:val="28"/>
          <w:sz w:val="28"/>
          <w:szCs w:val="28"/>
          <w:rtl w:val="true"/>
          <w:lang w:bidi="ar-SA"/>
        </w:rPr>
        <w:t>فقط أو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الزمان</w:t>
      </w:r>
    </w:p>
    <w:p>
      <w:pPr>
        <w:pStyle w:val="BookText"/>
        <w:rPr/>
      </w:pPr>
      <w:r>
        <w:rPr>
          <w:rFonts w:ascii="Amiri" w:hAnsi="Amiri" w:eastAsia="Amiri" w:cs="Amiri"/>
          <w:color w:val="111111"/>
          <w:sz w:val="28"/>
          <w:sz w:val="28"/>
          <w:szCs w:val="28"/>
          <w:rtl w:val="true"/>
          <w:lang w:bidi="ar-SA"/>
        </w:rPr>
        <w:t>المتأخر عن المقاسمة الفعلية، إذ الوجوب ثابت قبلها إجماعا، و إنما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العشر و نصف العشر يلاحظان في نصيب الزراع، لا في المجموع المشتمل على حصة السلطان، فالمراد بما حصل في اليد ما يبقى بعد ملاحظة خروج حصّة السلطان، و هذا لا ينافي وجوب كثير من المؤن على الحصتين، و يوضحه التعبير في غير واحد من الأخبار بأنّ على المتقبّلين في حصصهم العشر و نصف العشر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ما ذكرنا رواية علي بن شجاع النيشابوري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أصاب من ضيعته مائة كرّ فآخذ منه العشر عشرة أكرار، و ذهب منه بسبب عمارة الضيعة ثلاثون كرّا، و بقي في يده ستّون كرّا، ما الذي يجب لك من ذلك؟ فوقّع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منه الخمس مما يفضل من مئونته</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إنّ الظاهر منه اعتقاد الراوي وجوب خروج العشر أو نصفه من جميع ما أصاب من ضيعته من دون احتساب مثل البذر و اجرة العوامل و نحوها، فإنه </w:t>
      </w:r>
      <w:r>
        <w:rPr>
          <w:rStyle w:val="FootnoteAnchor"/>
          <w:rtl w:val="true"/>
        </w:rPr>
        <w:footnoteReference w:id="1452"/>
      </w:r>
      <w:r>
        <w:rPr>
          <w:rFonts w:ascii="Amiri" w:hAnsi="Amiri" w:eastAsia="Amiri" w:cs="Amiri"/>
          <w:color w:val="111111"/>
          <w:sz w:val="28"/>
          <w:sz w:val="28"/>
          <w:szCs w:val="28"/>
          <w:rtl w:val="true"/>
          <w:lang w:bidi="ar-SA"/>
        </w:rPr>
        <w:t>المتبادر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من هذا الزرع كذا </w:t>
      </w:r>
      <w:r>
        <w:rPr>
          <w:rStyle w:val="FootnoteAnchor"/>
          <w:rtl w:val="true"/>
        </w:rPr>
        <w:footnoteReference w:id="1453"/>
      </w:r>
      <w:r>
        <w:rPr>
          <w:rFonts w:ascii="Amiri" w:hAnsi="Amiri" w:eastAsia="Amiri" w:cs="Amiri"/>
          <w:color w:val="111111"/>
          <w:sz w:val="28"/>
          <w:sz w:val="28"/>
          <w:szCs w:val="28"/>
          <w:rtl w:val="true"/>
          <w:lang w:bidi="ar-SA"/>
        </w:rPr>
        <w:t xml:space="preserve">، مع أنّه صرّح بالإخراج قبل إخراج مئونة عمارة </w:t>
      </w:r>
      <w:r>
        <w:rPr>
          <w:rStyle w:val="FootnoteAnchor"/>
          <w:rtl w:val="true"/>
        </w:rPr>
        <w:footnoteReference w:id="1454"/>
      </w:r>
      <w:r>
        <w:rPr>
          <w:rFonts w:ascii="Amiri" w:hAnsi="Amiri" w:eastAsia="Amiri" w:cs="Amiri"/>
          <w:color w:val="111111"/>
          <w:sz w:val="28"/>
          <w:sz w:val="28"/>
          <w:szCs w:val="28"/>
          <w:rtl w:val="true"/>
          <w:lang w:bidi="ar-SA"/>
        </w:rPr>
        <w:t>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عمارة الضيعة ليست من المئونة إذ المراد منها ما يتكرّر كل سنة، ممنوعة، بل التحقيق كما سيجي‌ء بسط مثل ذلك من المؤن التي لا يحتاج الزرع إليها إلّا بعد سنين على جميع السنين المحتاجة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تقرير الإمام عليه السلام إنما يدلّ على الرجحان، و لا كلام فيه، لا على الوجوب المتنازع فيه، ممنوعة بأن الظاهر اعتقاد الراوي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ascii="IRNazanin" w:hAnsi="IRNazanin" w:eastAsia="IRNazanin"/>
          <w:color w:val="111111"/>
          <w:sz w:val="28"/>
          <w:sz w:val="28"/>
          <w:szCs w:val="28"/>
          <w:rtl w:val="true"/>
          <w:lang w:bidi="fa-IR"/>
        </w:rPr>
        <w:t xml:space="preserve">أنه لا قائل بالاستحباب بالخصوص إلّا </w:t>
      </w:r>
      <w:r>
        <w:rPr>
          <w:rStyle w:val="FootnoteAnchor"/>
          <w:rtl w:val="true"/>
        </w:rPr>
        <w:footnoteReference w:id="1455"/>
      </w:r>
      <w:r>
        <w:rPr>
          <w:rFonts w:ascii="Amiri" w:hAnsi="Amiri" w:eastAsia="Amiri" w:cs="Amiri"/>
          <w:color w:val="111111"/>
          <w:sz w:val="28"/>
          <w:sz w:val="28"/>
          <w:szCs w:val="28"/>
          <w:rtl w:val="true"/>
          <w:lang w:bidi="ar-SA"/>
        </w:rPr>
        <w:t xml:space="preserve">من باب الاحتياط بعد وقوع الاشتباه في المسألة و الاختلاف بين العلماء في فهم الأخبار، و إلّا فيمكن دعوى القطع بعدم استحباب العشر بالخصوص على إخراج المؤن </w:t>
      </w:r>
      <w:r>
        <w:rPr>
          <w:rStyle w:val="FootnoteAnchor"/>
          <w:rtl w:val="true"/>
        </w:rPr>
        <w:footnoteReference w:id="1456"/>
      </w:r>
      <w:r>
        <w:rPr>
          <w:rFonts w:ascii="Amiri" w:hAnsi="Amiri" w:eastAsia="Amiri" w:cs="Amiri"/>
          <w:color w:val="111111"/>
          <w:sz w:val="28"/>
          <w:sz w:val="28"/>
          <w:szCs w:val="28"/>
          <w:rtl w:val="true"/>
          <w:lang w:bidi="ar-SA"/>
        </w:rPr>
        <w:t>، نعم لا بأس بالصدقة المطلقة عقلا و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كله مبني على قراءة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فآخذ منه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طريق المعلوم بأن يكون الآخذ المخبر نفسه، لكنه خلاف الظاهر،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على المجهول بأن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أخذه منه المصدّق من قبل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فلا دلالة فيه على المطلب </w:t>
      </w:r>
      <w:r>
        <w:rPr>
          <w:rStyle w:val="FootnoteAnchor"/>
          <w:rtl w:val="true"/>
        </w:rPr>
        <w:footnoteReference w:id="1457"/>
      </w:r>
      <w:r>
        <w:rPr>
          <w:rFonts w:ascii="Amiri" w:hAnsi="Amiri" w:eastAsia="Amiri" w:cs="Amiri"/>
          <w:color w:val="111111"/>
          <w:sz w:val="28"/>
          <w:sz w:val="28"/>
          <w:szCs w:val="28"/>
          <w:rtl w:val="true"/>
          <w:lang w:bidi="ar-SA"/>
        </w:rPr>
        <w:t xml:space="preserve">لأن مذهب العامة هو أخذ الزكاة من صلب المال، كما حكي عن الفقهاء الأربعة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فيه دلالة على احتساب ما يأخذه الظالم باسم الزكاة عن الزكاة، و عدم وجوب الإعادة، كما هو مدلول أخبار كثيرة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أوضح من ذلك في التأييد ما ثبت من الشارع من جعل العشر فيما سقيت سيحا، و نصفه فيما سقيت بالدوالي، فإنّ من المقطوع أنّ التفاوت بينهما من جهة كثرة المئونة في الثاني دون الأوّل، حتى أنه طرّد في الوسيلة </w:t>
      </w:r>
      <w:r>
        <w:rPr>
          <w:rStyle w:val="FootnoteAnchor"/>
          <w:rtl w:val="true"/>
        </w:rPr>
        <w:footnoteReference w:id="1460"/>
      </w:r>
      <w:r>
        <w:rPr>
          <w:rFonts w:ascii="IRNazanin" w:hAnsi="IRNazanin" w:eastAsia="IRNazanin"/>
          <w:color w:val="111111"/>
          <w:sz w:val="28"/>
          <w:sz w:val="28"/>
          <w:szCs w:val="28"/>
          <w:rtl w:val="true"/>
          <w:lang w:bidi="fa-IR"/>
        </w:rPr>
        <w:t xml:space="preserve">و الدروس </w:t>
      </w:r>
      <w:r>
        <w:rPr>
          <w:rStyle w:val="FootnoteAnchor"/>
          <w:rtl w:val="true"/>
        </w:rPr>
        <w:footnoteReference w:id="1461"/>
      </w:r>
      <w:r>
        <w:rPr>
          <w:rFonts w:ascii="Amiri" w:hAnsi="Amiri" w:eastAsia="Amiri" w:cs="Amiri"/>
          <w:color w:val="111111"/>
          <w:sz w:val="28"/>
          <w:sz w:val="28"/>
          <w:szCs w:val="28"/>
          <w:rtl w:val="true"/>
          <w:lang w:bidi="ar-SA"/>
        </w:rPr>
        <w:t xml:space="preserve">كما عن الفقيه </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 العلم</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 xml:space="preserve">و المنتهى </w:t>
      </w:r>
      <w:r>
        <w:rPr>
          <w:rStyle w:val="FootnoteAnchor"/>
          <w:rtl w:val="true"/>
        </w:rPr>
        <w:footnoteReference w:id="1464"/>
      </w:r>
      <w:r>
        <w:rPr>
          <w:rFonts w:ascii="Amiri" w:hAnsi="Amiri" w:eastAsia="Amiri" w:cs="Amiri"/>
          <w:color w:val="111111"/>
          <w:sz w:val="28"/>
          <w:sz w:val="28"/>
          <w:szCs w:val="28"/>
          <w:rtl w:val="true"/>
          <w:lang w:bidi="ar-SA"/>
        </w:rPr>
        <w:t>نصف العشر فيما سقي بالدوالي إلى</w:t>
      </w:r>
    </w:p>
    <w:p>
      <w:pPr>
        <w:pStyle w:val="BookText"/>
        <w:rPr/>
      </w:pPr>
      <w:r>
        <w:rPr>
          <w:rFonts w:ascii="Amiri" w:hAnsi="Amiri" w:eastAsia="Amiri" w:cs="Amiri"/>
          <w:color w:val="111111"/>
          <w:sz w:val="28"/>
          <w:sz w:val="28"/>
          <w:szCs w:val="28"/>
          <w:rtl w:val="true"/>
          <w:lang w:bidi="ar-SA"/>
        </w:rPr>
        <w:t xml:space="preserve">كل ما فيه مئونة، فلو بنى على احتساب المئونة لم يكن في ذلك فرق بين الأمرين، و كيف يحتسب مئونة السقي الموجبة لإسقاط نصف العشر من جملة المؤن </w:t>
      </w:r>
      <w:r>
        <w:rPr>
          <w:rStyle w:val="FootnoteAnchor"/>
          <w:rtl w:val="true"/>
        </w:rPr>
        <w:footnoteReference w:id="1465"/>
      </w:r>
      <w:r>
        <w:rPr>
          <w:rFonts w:ascii="Amiri" w:hAnsi="Amiri" w:eastAsia="Amiri" w:cs="Amiri"/>
          <w:color w:val="111111"/>
          <w:sz w:val="28"/>
          <w:sz w:val="28"/>
          <w:szCs w:val="28"/>
          <w:rtl w:val="true"/>
          <w:lang w:bidi="ar-SA"/>
        </w:rPr>
        <w:t>و يخرج نصف العشر بعد إخراجها؟ و لذا احتمل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مئونة السقي فيما فيه نصف العشر و احتساب المؤن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أحكام الشارع تعبّدية كما عن المحقق الجواب بذلك في المسائل الطبرية </w:t>
      </w:r>
      <w:r>
        <w:rPr>
          <w:rStyle w:val="FootnoteAnchor"/>
          <w:rtl w:val="true"/>
        </w:rPr>
        <w:footnoteReference w:id="1467"/>
      </w:r>
      <w:r>
        <w:rPr>
          <w:rFonts w:ascii="Amiri" w:hAnsi="Amiri" w:eastAsia="Amiri" w:cs="Amiri"/>
          <w:color w:val="111111"/>
          <w:sz w:val="28"/>
          <w:sz w:val="28"/>
          <w:szCs w:val="28"/>
          <w:rtl w:val="true"/>
          <w:lang w:bidi="ar-SA"/>
        </w:rPr>
        <w:t>إنما يحسن إذا دل دليل على وجوب احتساب المئونة،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أنه من أعظم الشواهد على عدم احتساب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أدلة الخرص و فائدته و صفته، </w:t>
      </w:r>
      <w:r>
        <w:rPr>
          <w:rStyle w:val="FootnoteAnchor"/>
          <w:rtl w:val="true"/>
        </w:rPr>
        <w:footnoteReference w:id="1468"/>
      </w:r>
      <w:r>
        <w:rPr>
          <w:rFonts w:ascii="Amiri" w:hAnsi="Amiri" w:eastAsia="Amiri" w:cs="Amiri"/>
          <w:color w:val="111111"/>
          <w:sz w:val="28"/>
          <w:sz w:val="28"/>
          <w:szCs w:val="28"/>
          <w:rtl w:val="true"/>
          <w:lang w:bidi="ar-SA"/>
        </w:rPr>
        <w:t xml:space="preserve">سيّما إذا قلنا بجوازه في الزرع، سيّما ما اشتمل من تلك الأدلة على استثناء عذق أو عذقين للناطور، و ترك التعرض للمعافارة و أم جعرور </w:t>
      </w:r>
      <w:r>
        <w:rPr>
          <w:rStyle w:val="FootnoteAnchor"/>
          <w:rtl w:val="true"/>
        </w:rPr>
        <w:footnoteReference w:id="1469"/>
      </w:r>
      <w:r>
        <w:rPr>
          <w:rFonts w:ascii="Amiri" w:hAnsi="Amiri" w:eastAsia="Amiri" w:cs="Amiri"/>
          <w:color w:val="111111"/>
          <w:sz w:val="28"/>
          <w:sz w:val="28"/>
          <w:szCs w:val="28"/>
          <w:rtl w:val="true"/>
          <w:lang w:bidi="ar-SA"/>
        </w:rPr>
        <w:t>، إذ لو كان الواجب إخراج المئونة من البدو إلى الختم لم يكن لاستثناء العذق للناطور بالخصوص وجه، بل كان ينبغي اما أن يحتسب جميع المؤن، و إما أن يؤخر ذلك كله إلى ما بعد الجذاذ</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فيعلم من ذلك كلّه انّ الأمر بترك العذق و العذقين للتخفيف المستحب للخارص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أخبار بلوغ خمسة أوسق </w:t>
      </w:r>
      <w:r>
        <w:rPr>
          <w:rStyle w:val="FootnoteAnchor"/>
          <w:rtl w:val="true"/>
        </w:rPr>
        <w:footnoteReference w:id="1470"/>
      </w:r>
      <w:r>
        <w:rPr>
          <w:rFonts w:ascii="Amiri" w:hAnsi="Amiri" w:eastAsia="Amiri" w:cs="Amiri"/>
          <w:color w:val="111111"/>
          <w:sz w:val="28"/>
          <w:sz w:val="28"/>
          <w:szCs w:val="28"/>
          <w:rtl w:val="true"/>
          <w:lang w:bidi="ar-SA"/>
        </w:rPr>
        <w:t xml:space="preserve">على بلوغ فائدة الزرع و ربحه الحاصل للزارع بعد إخراج جميع المؤن دونه خرط القتاد، إلّا أن يستأنس له بما </w:t>
      </w:r>
      <w:r>
        <w:rPr>
          <w:rStyle w:val="FootnoteAnchor"/>
          <w:rtl w:val="true"/>
        </w:rPr>
        <w:footnoteReference w:id="1471"/>
      </w:r>
      <w:r>
        <w:rPr>
          <w:rFonts w:ascii="Amiri" w:hAnsi="Amiri" w:eastAsia="Amiri" w:cs="Amiri"/>
          <w:color w:val="111111"/>
          <w:sz w:val="28"/>
          <w:sz w:val="28"/>
          <w:szCs w:val="28"/>
          <w:rtl w:val="true"/>
          <w:lang w:bidi="ar-SA"/>
        </w:rPr>
        <w:t>ثبت من حال الشارع من التخفيف على مالك النصاب، و هو مناف لاحتساب المئونة على المالك، فربما تستغرق المئونة قيمة حاصل الزرع، فإنّ إيجاب الزكاة على المالك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إضرارا و حرجا مضيّقا </w:t>
      </w:r>
      <w:r>
        <w:rPr>
          <w:rStyle w:val="FootnoteAnchor"/>
          <w:rtl w:val="true"/>
        </w:rPr>
        <w:footnoteReference w:id="1472"/>
      </w:r>
      <w:r>
        <w:rPr>
          <w:rFonts w:ascii="Amiri" w:hAnsi="Amiri" w:eastAsia="Amiri" w:cs="Amiri"/>
          <w:color w:val="111111"/>
          <w:sz w:val="28"/>
          <w:sz w:val="28"/>
          <w:szCs w:val="28"/>
          <w:rtl w:val="true"/>
          <w:lang w:bidi="ar-SA"/>
        </w:rPr>
        <w:t>فلا أقلّ من كونه تشديدا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ما علم من بناء الشارع على التخفيف عنه كما يرشد إليه تتبع أحكام الزكاة، و يشهد له قول أمير المؤمنين عليه السلام لعامله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تضرب مسلما أو يهوديا أو نصرانيا في درهم، أو تبيع دابة عمل فإنّا أمرنا أن نأخذ منهم العفو</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به عدم الاستقصاء عليهم كما فسر به قوله تعالى خُذِ الْعَفْوَ </w:t>
      </w:r>
      <w:r>
        <w:rPr>
          <w:rStyle w:val="FootnoteAnchor"/>
          <w:rtl w:val="true"/>
        </w:rPr>
        <w:footnoteReference w:id="147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 عن قوت السنة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ما ذكرنا، 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الشركة احتساب المؤن المتأخّرة عن زمان تعلّق الزكاة من المالك و الفقير كليهما، فاختصاصها بالمالك يحتاج إلى دليل و يثبت الحكم في المؤن المتقدّمة بعدم القول بالفصل كما ادّعي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ظاهر حسنة ابن مسلم بابن هاشم المتقدّمة لترك المعافارة و أمّ جعرور، و أجر الناطور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أوردنا عليه سابقا </w:t>
      </w:r>
      <w:r>
        <w:rPr>
          <w:rStyle w:val="FootnoteAnchor"/>
          <w:rtl w:val="true"/>
        </w:rPr>
        <w:footnoteReference w:id="1477"/>
      </w:r>
      <w:r>
        <w:rPr>
          <w:rFonts w:ascii="Amiri" w:hAnsi="Amiri" w:eastAsia="Amiri" w:cs="Amiri"/>
          <w:color w:val="111111"/>
          <w:sz w:val="28"/>
          <w:sz w:val="28"/>
          <w:szCs w:val="28"/>
          <w:rtl w:val="true"/>
          <w:lang w:bidi="ar-SA"/>
        </w:rPr>
        <w:t xml:space="preserve">من عدم الوجه في تخصيصها </w:t>
      </w:r>
      <w:r>
        <w:rPr>
          <w:rStyle w:val="FootnoteAnchor"/>
          <w:rtl w:val="true"/>
        </w:rPr>
        <w:footnoteReference w:id="1478"/>
      </w:r>
      <w:r>
        <w:rPr>
          <w:rFonts w:ascii="Amiri" w:hAnsi="Amiri" w:eastAsia="Amiri" w:cs="Amiri"/>
          <w:color w:val="111111"/>
          <w:sz w:val="28"/>
          <w:sz w:val="28"/>
          <w:szCs w:val="28"/>
          <w:rtl w:val="true"/>
          <w:lang w:bidi="ar-SA"/>
        </w:rPr>
        <w:t>بالذكر إلّا التخفيف، مدفوع بأنّ الوجه في التخصيص هو أنّه ليس لثمرة النخل غالبا مئونة إلّا هذا، و أمّا العامل في البستان بالسقي و نحوه فالغالب أنّه شريك مع المالك بحصّة من الثمر، كما هو مقتضى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حسنة أخرى لمحمّد بن مسلم بابن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آتُوا حَقَّهُ يَوْمَ حَصٰادِهِ </w:t>
      </w:r>
      <w:r>
        <w:rPr>
          <w:rStyle w:val="FootnoteAnchor"/>
          <w:rtl w:val="true"/>
        </w:rPr>
        <w:footnoteReference w:id="14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من الصدقة يعطى المسكين القبضة بعد القبضة، و من الجذاذ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الحفنة بعد الحفنة حتّى يفرغ، و يعطى الجارس أجرا معلوما و يترك من النخل معافارة و أم جعرور، و يترك للحارس يكون في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 و العذقان و الثلاثة لحفظه إياه</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 فإنّ جعل ثلاثة أعذاق للحارس مضافا إلى أجرة المعلوم و ترك المعافارة و أم جعرور مناف لعدم إندار المئونة و تخيير المالك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فمثل هذا إذا انضمّ إلى الشهرة العظيمة، و الإجماع الظاهر من الغنية </w:t>
      </w:r>
      <w:r>
        <w:rPr>
          <w:rStyle w:val="FootnoteAnchor"/>
          <w:rtl w:val="true"/>
        </w:rPr>
        <w:footnoteReference w:id="1481"/>
      </w:r>
      <w:r>
        <w:rPr>
          <w:rFonts w:ascii="Amiri" w:hAnsi="Amiri" w:eastAsia="Amiri" w:cs="Amiri"/>
          <w:color w:val="111111"/>
          <w:sz w:val="28"/>
          <w:sz w:val="28"/>
          <w:szCs w:val="28"/>
          <w:rtl w:val="true"/>
          <w:lang w:bidi="ar-SA"/>
        </w:rPr>
        <w:t xml:space="preserve">، و الرضوي </w:t>
      </w:r>
      <w:r>
        <w:rPr>
          <w:rStyle w:val="FootnoteAnchor"/>
          <w:rtl w:val="true"/>
        </w:rPr>
        <w:footnoteReference w:id="1482"/>
      </w:r>
      <w:r>
        <w:rPr>
          <w:rFonts w:ascii="Amiri" w:hAnsi="Amiri" w:eastAsia="Amiri" w:cs="Amiri"/>
          <w:color w:val="111111"/>
          <w:sz w:val="28"/>
          <w:sz w:val="28"/>
          <w:szCs w:val="28"/>
          <w:rtl w:val="true"/>
          <w:lang w:bidi="ar-SA"/>
        </w:rPr>
        <w:t xml:space="preserve">المحكي دلالته </w:t>
      </w:r>
      <w:r>
        <w:rPr>
          <w:rStyle w:val="FootnoteAnchor"/>
          <w:rtl w:val="true"/>
        </w:rPr>
        <w:footnoteReference w:id="1483"/>
      </w:r>
      <w:r>
        <w:rPr>
          <w:rFonts w:ascii="Amiri" w:hAnsi="Amiri" w:eastAsia="Amiri" w:cs="Amiri"/>
          <w:color w:val="111111"/>
          <w:sz w:val="28"/>
          <w:sz w:val="28"/>
          <w:szCs w:val="28"/>
          <w:rtl w:val="true"/>
          <w:lang w:bidi="ar-SA"/>
        </w:rPr>
        <w:t>على المطلب، يكفي ظاهرا لتخصيص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يذكر بعض الأمور من باب التأييد، و في تأيّد المطلب بها نظر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القول باستثناء المؤن فهل يعتبر استثناؤها من ملاحظة النصاب، بمعنى أنّه لا يعتبر النصاب إلّا بعد إخراجها، أم يستثنى عند الإخراج، بمعنى</w:t>
      </w:r>
    </w:p>
    <w:p>
      <w:pPr>
        <w:pStyle w:val="BookText"/>
        <w:rPr/>
      </w:pPr>
      <w:r>
        <w:rPr>
          <w:rFonts w:ascii="Amiri" w:hAnsi="Amiri" w:eastAsia="Amiri" w:cs="Amiri"/>
          <w:color w:val="111111"/>
          <w:sz w:val="28"/>
          <w:sz w:val="28"/>
          <w:szCs w:val="28"/>
          <w:rtl w:val="true"/>
          <w:lang w:bidi="ar-SA"/>
        </w:rPr>
        <w:t xml:space="preserve">اعتبار النصاب قبل إخراج المؤن، لكن لا يخرج العشر إلّا مما بقي بعد إخراج المؤن و إن كان ناقصا عن النصاب؟ أقوال ثلاثة </w:t>
      </w:r>
      <w:r>
        <w:rPr>
          <w:rStyle w:val="FootnoteAnchor"/>
          <w:rtl w:val="true"/>
        </w:rPr>
        <w:footnoteReference w:id="1484"/>
      </w:r>
      <w:r>
        <w:rPr>
          <w:rFonts w:ascii="Amiri" w:hAnsi="Amiri" w:eastAsia="Amiri" w:cs="Amiri"/>
          <w:color w:val="111111"/>
          <w:sz w:val="28"/>
          <w:sz w:val="28"/>
          <w:szCs w:val="28"/>
          <w:rtl w:val="true"/>
          <w:lang w:bidi="ar-SA"/>
        </w:rPr>
        <w:t>، أجودها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لأنّ ظاهر أدلة اعتبار النصاب ثبوت العشر في مجموع النصاب، فيكون الواجب عشر النصاب </w:t>
      </w:r>
      <w:r>
        <w:rPr>
          <w:rStyle w:val="FootnoteAnchor"/>
          <w:rtl w:val="true"/>
        </w:rPr>
        <w:footnoteReference w:id="1485"/>
      </w:r>
      <w:r>
        <w:rPr>
          <w:rFonts w:ascii="Amiri" w:hAnsi="Amiri" w:eastAsia="Amiri" w:cs="Amiri"/>
          <w:color w:val="111111"/>
          <w:sz w:val="28"/>
          <w:sz w:val="28"/>
          <w:szCs w:val="28"/>
          <w:rtl w:val="true"/>
          <w:lang w:bidi="ar-SA"/>
        </w:rPr>
        <w:t xml:space="preserve">، فما دلّ على استثناء المؤن لا بد أن يجعل مقيّدا لأدلّة اعتبار النصاب بما بعد وضع المؤن، لا لإطلاق </w:t>
      </w:r>
      <w:r>
        <w:rPr>
          <w:rStyle w:val="FootnoteAnchor"/>
          <w:rtl w:val="true"/>
        </w:rPr>
        <w:footnoteReference w:id="1486"/>
      </w:r>
      <w:r>
        <w:rPr>
          <w:rFonts w:ascii="Amiri" w:hAnsi="Amiri" w:eastAsia="Amiri" w:cs="Amiri"/>
          <w:color w:val="111111"/>
          <w:sz w:val="28"/>
          <w:sz w:val="28"/>
          <w:szCs w:val="28"/>
          <w:rtl w:val="true"/>
          <w:lang w:bidi="ar-SA"/>
        </w:rPr>
        <w:t>وجوب العشر في النصاب، بمعنى أنّ ثبوت العشر في هذا النصاب فما فوقه بعد إخراج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أنبتت الأرض من الحنطة و الشعير و التمر و الزبيب ما بلغ خمسة أوساق، و الوسق ستّون صاعا، فذلك ثلاثمائة صاع، ففيه العشر</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 xml:space="preserve">يحتمل أن يراد به ما بلغ هذا المقدار بعد وضع المؤن كلّها ففيه العشر، و يحتمل أن يراد أنّ كلّ </w:t>
      </w:r>
      <w:r>
        <w:rPr>
          <w:rStyle w:val="FootnoteAnchor"/>
          <w:rtl w:val="true"/>
        </w:rPr>
        <w:footnoteReference w:id="1488"/>
      </w:r>
      <w:r>
        <w:rPr>
          <w:rFonts w:ascii="Amiri" w:hAnsi="Amiri" w:eastAsia="Amiri" w:cs="Amiri"/>
          <w:color w:val="111111"/>
          <w:sz w:val="28"/>
          <w:sz w:val="28"/>
          <w:szCs w:val="28"/>
          <w:rtl w:val="true"/>
          <w:lang w:bidi="ar-SA"/>
        </w:rPr>
        <w:t>ما بلغ هذا المقدار ففيه العشر بعد وضع المؤن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الاحتمال الأوّل أظهر؛ 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العشر في مجموعه، بأن يكون الواجب عشر المجموع أعني ثلاثون صاعا، لا أنّ الثابت فيه عشر ما بقي بعد المئونة، مع أنّه مستلزم للتقييد، إذ قد لا يبقى من النصاب شي‌ء بعد وضع المئونة، فهو مناف لإطلاق الحكم بأن ما بلغ النصاب ففيه الزكاة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إذا صدق على الجنس في أوّل زمان التعلّق أنّه بلغ النصاب</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 xml:space="preserve">فيحكم عليه بأن فيه العشر، فعشر المجموع ثابت عند تعلّق الوجوب، إلّا </w:t>
      </w:r>
      <w:r>
        <w:rPr>
          <w:rStyle w:val="FootnoteAnchor"/>
          <w:rtl w:val="true"/>
        </w:rPr>
        <w:footnoteReference w:id="1490"/>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 xml:space="preserve">ما أنفق على المجموع مقسّط على حصتي المالك و الفقراء بقاعدة الشركة، فإخراج المئونة قبل العشر ليس تقييدا للإطلاقات، بل التقييد </w:t>
      </w:r>
      <w:r>
        <w:rPr>
          <w:rStyle w:val="FootnoteAnchor"/>
          <w:rtl w:val="true"/>
        </w:rPr>
        <w:footnoteReference w:id="1491"/>
      </w:r>
      <w:r>
        <w:rPr>
          <w:rFonts w:ascii="Amiri" w:hAnsi="Amiri" w:eastAsia="Amiri" w:cs="Amiri"/>
          <w:color w:val="111111"/>
          <w:sz w:val="28"/>
          <w:sz w:val="28"/>
          <w:szCs w:val="28"/>
          <w:rtl w:val="true"/>
          <w:lang w:bidi="ar-SA"/>
        </w:rPr>
        <w:t>كما عرفت مختصّ بإطلاق بلوغ النصاب لا بإخراج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وجوب العشر و نصفه إنّما يقتضي وجوب العشر و نصفه، فلا بد من تقييد ما بلغ النصاب بما بلغه بعد جميع المؤن؛ لأنّه الذي يجب إخراج عشرة دون ما بلغه قبل المؤن المتأخّرة، إذ لا يجب إلّا إخراج عشر ما بقي منه بعد المئونة،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بالمئونة هو معناها العرفي، و هو ما يغرمه المالك و ينفقه لأجل هذا المال، و منه البذر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قيّدها بعضهم بما يتكرّر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بل لا يبعد التعميم فيسقط ما يغرم في كلّ سنتين أو ثلاث أو أربع عليها بالنسبة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يحتسب من المئونة ما يتبرّعه 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أو بذل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احتساب المنّة مئونة عرفا، و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أصدقها زرعا أخرجت منه ما قابل البضع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مهر المثل</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 xml:space="preserve">و كذا لو خالعها على زرع أو ثمر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bookmarkStart w:id="105" w:name="pg19722_766304"/>
    </w:p>
    <w:p>
      <w:pPr>
        <w:pStyle w:val="Heading4"/>
        <w:numPr>
          <w:ilvl w:val="3"/>
          <w:numId w:val="1"/>
        </w:numPr>
        <w:rPr/>
      </w:pPr>
      <w:bookmarkStart w:id="106" w:name="__RefHeading___Toc2136350_2314609296"/>
      <w:bookmarkStart w:id="107" w:name="_Toc37"/>
      <w:bookmarkEnd w:id="105"/>
      <w:bookmarkEnd w:id="106"/>
      <w:r>
        <w:rPr>
          <w:rtl w:val="true"/>
        </w:rPr>
        <w:t xml:space="preserve">مسألة </w:t>
      </w:r>
      <w:r>
        <w:rPr>
          <w:rtl w:val="true"/>
        </w:rPr>
        <w:t>[</w:t>
      </w:r>
      <w:r>
        <w:rPr/>
        <w:t>27</w:t>
      </w:r>
      <w:r>
        <w:rPr>
          <w:rtl w:val="true"/>
        </w:rPr>
        <w:t>]</w:t>
      </w:r>
      <w:bookmarkEnd w:id="107"/>
    </w:p>
    <w:p>
      <w:pPr>
        <w:pStyle w:val="BookText"/>
        <w:rPr/>
      </w:pPr>
      <w:r>
        <w:rPr>
          <w:rFonts w:ascii="Amiri" w:hAnsi="Amiri" w:eastAsia="Amiri" w:cs="Amiri"/>
          <w:color w:val="111111"/>
          <w:sz w:val="28"/>
          <w:sz w:val="28"/>
          <w:szCs w:val="28"/>
          <w:rtl w:val="true"/>
          <w:lang w:bidi="ar-SA"/>
        </w:rPr>
        <w:t>لا خلاف بين العلماء، بل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فيما سقي بالمطر أو النهر و نحوهما فيه العشر، و ما سقي بالنواضح و الدوالي ففيه نصف العشر، و الأخبار فيه أكثر من أن تحصى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الضابط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Style w:val="FootnoteAnchor"/>
          <w:rtl w:val="true"/>
        </w:rPr>
        <w:footnoteReference w:id="1494"/>
      </w:r>
      <w:r>
        <w:rPr>
          <w:rFonts w:ascii="Amiri" w:hAnsi="Amiri" w:eastAsia="Amiri" w:cs="Amiri"/>
          <w:color w:val="111111"/>
          <w:sz w:val="28"/>
          <w:sz w:val="28"/>
          <w:szCs w:val="28"/>
          <w:rtl w:val="true"/>
          <w:lang w:bidi="ar-SA"/>
        </w:rPr>
        <w:t xml:space="preserve">الوسيلة </w:t>
      </w:r>
      <w:r>
        <w:rPr>
          <w:rStyle w:val="FootnoteAnchor"/>
          <w:rtl w:val="true"/>
        </w:rPr>
        <w:footnoteReference w:id="1495"/>
      </w:r>
      <w:r>
        <w:rPr>
          <w:rFonts w:ascii="IRNazanin" w:hAnsi="IRNazanin" w:eastAsia="IRNazanin"/>
          <w:color w:val="111111"/>
          <w:sz w:val="28"/>
          <w:sz w:val="28"/>
          <w:szCs w:val="28"/>
          <w:rtl w:val="true"/>
          <w:lang w:bidi="fa-IR"/>
        </w:rPr>
        <w:t xml:space="preserve">و الدروس </w:t>
      </w:r>
      <w:r>
        <w:rPr>
          <w:rStyle w:val="FootnoteAnchor"/>
          <w:rtl w:val="true"/>
        </w:rPr>
        <w:footnoteReference w:id="1496"/>
      </w:r>
      <w:r>
        <w:rPr>
          <w:rFonts w:ascii="Amiri" w:hAnsi="Amiri" w:eastAsia="Amiri" w:cs="Amiri"/>
          <w:color w:val="111111"/>
          <w:sz w:val="28"/>
          <w:sz w:val="28"/>
          <w:szCs w:val="28"/>
          <w:rtl w:val="true"/>
          <w:lang w:bidi="ar-SA"/>
        </w:rPr>
        <w:t xml:space="preserve">و عن المقنعة </w:t>
      </w:r>
      <w:r>
        <w:rPr>
          <w:rStyle w:val="FootnoteAnchor"/>
          <w:rtl w:val="true"/>
        </w:rPr>
        <w:footnoteReference w:id="1497"/>
      </w:r>
      <w:r>
        <w:rPr>
          <w:rFonts w:ascii="IRNazanin" w:hAnsi="IRNazanin" w:eastAsia="IRNazanin"/>
          <w:color w:val="111111"/>
          <w:sz w:val="28"/>
          <w:sz w:val="28"/>
          <w:szCs w:val="28"/>
          <w:rtl w:val="true"/>
          <w:lang w:bidi="fa-IR"/>
        </w:rPr>
        <w:t xml:space="preserve">و الجمل </w:t>
      </w:r>
      <w:r>
        <w:rPr>
          <w:rStyle w:val="FootnoteAnchor"/>
          <w:rtl w:val="true"/>
        </w:rPr>
        <w:footnoteReference w:id="1498"/>
      </w:r>
      <w:r>
        <w:rPr>
          <w:rFonts w:ascii="IRNazanin" w:hAnsi="IRNazanin" w:eastAsia="IRNazanin"/>
          <w:color w:val="111111"/>
          <w:sz w:val="28"/>
          <w:sz w:val="28"/>
          <w:szCs w:val="28"/>
          <w:rtl w:val="true"/>
          <w:lang w:bidi="fa-IR"/>
        </w:rPr>
        <w:t xml:space="preserve">و المنتهى </w:t>
      </w:r>
      <w:r>
        <w:rPr>
          <w:rStyle w:val="FootnoteAnchor"/>
          <w:rtl w:val="true"/>
        </w:rPr>
        <w:footnoteReference w:id="1499"/>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15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احتاج سقيه إلى مئونة، و ما لم يحتج أصل السقي إلى مئونة و إن توقّف السقي على حفر النهر و تنقيته </w:t>
      </w:r>
      <w:r>
        <w:rPr>
          <w:rStyle w:val="FootnoteAnchor"/>
          <w:rtl w:val="true"/>
        </w:rPr>
        <w:footnoteReference w:id="1501"/>
      </w:r>
      <w:r>
        <w:rPr>
          <w:rFonts w:ascii="Amiri" w:hAnsi="Amiri" w:eastAsia="Amiri" w:cs="Amiri"/>
          <w:color w:val="111111"/>
          <w:sz w:val="28"/>
          <w:sz w:val="28"/>
          <w:szCs w:val="28"/>
          <w:rtl w:val="true"/>
          <w:lang w:bidi="ar-SA"/>
        </w:rPr>
        <w:t>و غيرهما، لكن المعيار في ذلك احتياج أصل إيصال الماء إلى الزرع إلى العلاج</w:t>
      </w:r>
    </w:p>
    <w:p>
      <w:pPr>
        <w:pStyle w:val="BookText"/>
        <w:rPr/>
      </w:pPr>
      <w:r>
        <w:rPr>
          <w:rFonts w:ascii="IRNazanin" w:hAnsi="IRNazanin" w:eastAsia="IRNazanin"/>
          <w:color w:val="111111"/>
          <w:sz w:val="28"/>
          <w:sz w:val="28"/>
          <w:szCs w:val="28"/>
          <w:rtl w:val="true"/>
          <w:lang w:bidi="fa-IR"/>
        </w:rPr>
        <w:t>و استغنائه عنه</w:t>
      </w:r>
      <w:r>
        <w:rPr>
          <w:rFonts w:eastAsia="IRNazanin" w:cs="IRNazanin"/>
          <w:color w:val="111111"/>
          <w:sz w:val="28"/>
          <w:szCs w:val="28"/>
          <w:rtl w:val="true"/>
          <w:lang w:bidi="fa-IR"/>
        </w:rPr>
        <w:t xml:space="preserve">] </w:t>
      </w:r>
      <w:r>
        <w:rPr>
          <w:rStyle w:val="FootnoteAnchor"/>
          <w:rtl w:val="true"/>
        </w:rPr>
        <w:footnoteReference w:id="1502"/>
      </w:r>
      <w:r>
        <w:rPr>
          <w:rFonts w:ascii="Amiri" w:hAnsi="Amiri" w:eastAsia="Amiri" w:cs="Amiri"/>
          <w:color w:val="111111"/>
          <w:sz w:val="28"/>
          <w:sz w:val="28"/>
          <w:szCs w:val="28"/>
          <w:rtl w:val="true"/>
          <w:lang w:bidi="ar-SA"/>
        </w:rPr>
        <w:t>بل في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ظاهرهم الاتفاق على هذا الضابط و إن اختلفت عباراتهم </w:t>
      </w:r>
      <w:r>
        <w:rPr>
          <w:rStyle w:val="FootnoteAnchor"/>
          <w:rtl w:val="true"/>
        </w:rPr>
        <w:footnoteReference w:id="1503"/>
      </w:r>
      <w:r>
        <w:rPr>
          <w:rFonts w:ascii="Amiri" w:hAnsi="Amiri" w:eastAsia="Amiri" w:cs="Amiri"/>
          <w:color w:val="111111"/>
          <w:sz w:val="28"/>
          <w:sz w:val="28"/>
          <w:szCs w:val="28"/>
          <w:rtl w:val="true"/>
          <w:lang w:bidi="ar-SA"/>
        </w:rPr>
        <w:t>بل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جعل المعيار افتقار السقي إلى المئونة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فقهاء الإسلام </w:t>
      </w:r>
      <w:r>
        <w:rPr>
          <w:rStyle w:val="FootnoteAnchor"/>
          <w:rtl w:val="true"/>
        </w:rPr>
        <w:footnoteReference w:id="1504"/>
      </w:r>
      <w:r>
        <w:rPr>
          <w:rFonts w:ascii="Amiri" w:hAnsi="Amiri" w:eastAsia="Amiri" w:cs="Amiri"/>
          <w:color w:val="111111"/>
          <w:sz w:val="28"/>
          <w:sz w:val="28"/>
          <w:szCs w:val="28"/>
          <w:rtl w:val="true"/>
          <w:lang w:bidi="ar-SA"/>
        </w:rPr>
        <w:t>ففي صحيحة زرارة و بكير،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يعالج بالرشاء و الدوالي و النضح ففيه نصف العشر، و إن كان يسقى من غير علاج بنهر أو عين أو بعل أو سماء ففيه العشر</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أنّ ذكر الخصوصيات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سقي بهما، فمع التساوي فنصف عشر و ربعه، و مع غلبة أحدهما فالعبرة بالأغلب اتّفاقا كما استظهر </w:t>
      </w:r>
      <w:r>
        <w:rPr>
          <w:rStyle w:val="FootnoteAnchor"/>
          <w:rtl w:val="true"/>
        </w:rPr>
        <w:footnoteReference w:id="1506"/>
      </w:r>
      <w:r>
        <w:rPr>
          <w:rFonts w:ascii="Amiri" w:hAnsi="Amiri" w:eastAsia="Amiri" w:cs="Amiri"/>
          <w:color w:val="111111"/>
          <w:sz w:val="28"/>
          <w:sz w:val="28"/>
          <w:szCs w:val="28"/>
          <w:rtl w:val="true"/>
          <w:lang w:bidi="ar-SA"/>
        </w:rPr>
        <w:t xml:space="preserve">و عن الرياض </w:t>
      </w:r>
      <w:r>
        <w:rPr>
          <w:rStyle w:val="FootnoteAnchor"/>
          <w:rtl w:val="true"/>
        </w:rPr>
        <w:footnoteReference w:id="1507"/>
      </w:r>
      <w:r>
        <w:rPr>
          <w:rFonts w:ascii="Amiri" w:hAnsi="Amiri" w:eastAsia="Amiri" w:cs="Amiri"/>
          <w:color w:val="111111"/>
          <w:sz w:val="28"/>
          <w:sz w:val="28"/>
          <w:szCs w:val="28"/>
          <w:rtl w:val="true"/>
          <w:lang w:bidi="ar-SA"/>
        </w:rPr>
        <w:t xml:space="preserve">تصريح جماعة بدعوى الإجماع، و عن المدارك </w:t>
      </w:r>
      <w:r>
        <w:rPr>
          <w:rStyle w:val="FootnoteAnchor"/>
          <w:rtl w:val="true"/>
        </w:rPr>
        <w:footnoteReference w:id="1508"/>
      </w:r>
      <w:r>
        <w:rPr>
          <w:rFonts w:ascii="Amiri" w:hAnsi="Amiri" w:eastAsia="Amiri" w:cs="Amiri"/>
          <w:color w:val="111111"/>
          <w:sz w:val="28"/>
          <w:sz w:val="28"/>
          <w:szCs w:val="28"/>
          <w:rtl w:val="true"/>
          <w:lang w:bidi="ar-SA"/>
        </w:rPr>
        <w:t xml:space="preserve">أنّ عليه علماءنا، و عن مجمع الفائدة </w:t>
      </w:r>
      <w:r>
        <w:rPr>
          <w:rStyle w:val="FootnoteAnchor"/>
          <w:rtl w:val="true"/>
        </w:rPr>
        <w:footnoteReference w:id="1509"/>
      </w:r>
      <w:r>
        <w:rPr>
          <w:rFonts w:ascii="Amiri" w:hAnsi="Amiri" w:eastAsia="Amiri" w:cs="Amiri"/>
          <w:color w:val="111111"/>
          <w:sz w:val="28"/>
          <w:sz w:val="28"/>
          <w:szCs w:val="28"/>
          <w:rtl w:val="true"/>
          <w:lang w:bidi="ar-SA"/>
        </w:rPr>
        <w:t>أنّ به عمل الأصحاب من غير ظهور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w:t>
      </w:r>
      <w:r>
        <w:rPr>
          <w:rStyle w:val="FootnoteAnchor"/>
          <w:rtl w:val="true"/>
        </w:rPr>
        <w:footnoteReference w:id="1510"/>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معاوية بن 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فالأرض تكون عندنا تسقى بالدوالي، ثم يزيد الماء فتسقى سيحا؟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ليكون عندكم كذلك؟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النصف؛ نصف بنصف العشر و نصف 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تسقى بالدوالي ثم يزيد الماء فتسقى السقية</w:t>
      </w:r>
    </w:p>
    <w:p>
      <w:pPr>
        <w:pStyle w:val="BookText"/>
        <w:rPr/>
      </w:pPr>
      <w:r>
        <w:rPr>
          <w:rFonts w:ascii="Amiri" w:hAnsi="Amiri" w:eastAsia="Amiri" w:cs="Amiri"/>
          <w:color w:val="111111"/>
          <w:sz w:val="28"/>
          <w:sz w:val="28"/>
          <w:szCs w:val="28"/>
          <w:rtl w:val="true"/>
          <w:lang w:bidi="ar-SA"/>
        </w:rPr>
        <w:t>و السقيتين سيحا؟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تسقى السقية و السقيتين سيحا؟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ثلاثين ليلة أو أربعين و قد مكثت في الأرض قبل ذلك ستة أشهر أو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العشر</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الاعتبار في الأغلبية بالأكثر عددا أو زمانا أو نفعا </w:t>
      </w:r>
      <w:r>
        <w:rPr>
          <w:rStyle w:val="FootnoteAnchor"/>
          <w:rtl w:val="true"/>
        </w:rPr>
        <w:footnoteReference w:id="1512"/>
      </w:r>
      <w:r>
        <w:rPr>
          <w:rFonts w:ascii="Amiri" w:hAnsi="Amiri" w:eastAsia="Amiri" w:cs="Amiri"/>
          <w:color w:val="111111"/>
          <w:sz w:val="28"/>
          <w:sz w:val="28"/>
          <w:szCs w:val="28"/>
          <w:rtl w:val="true"/>
          <w:lang w:bidi="ar-SA"/>
        </w:rPr>
        <w:t>أو نموّا؟ فيه أوجه و أقوال، أجودها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لأنّ ظاهر النص و الفتوى إناطة الفرق بالكلفة و عدمها، و هما يدوران مع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ينافيه ظاهر رواية معاوية المتقدّمة، حيث انه استفصل عن زمان تحقّق السقية و السقيتين لا عن عدد السقيات بالدوالي؛ إذ لا يخفى أنّ هذا </w:t>
      </w:r>
      <w:r>
        <w:rPr>
          <w:rStyle w:val="FootnoteAnchor"/>
          <w:rtl w:val="true"/>
        </w:rPr>
        <w:footnoteReference w:id="1513"/>
      </w:r>
      <w:r>
        <w:rPr>
          <w:rFonts w:ascii="Amiri" w:hAnsi="Amiri" w:eastAsia="Amiri" w:cs="Amiri"/>
          <w:color w:val="111111"/>
          <w:sz w:val="28"/>
          <w:sz w:val="28"/>
          <w:szCs w:val="28"/>
          <w:rtl w:val="true"/>
          <w:lang w:bidi="ar-SA"/>
        </w:rPr>
        <w:t xml:space="preserve">محمول على ما هو الغالب من أنّ أكثرية الزمان علامة أكثرية العدد، فاستفصاله في الحقيقة عن عدد سقيات الدوالي، مضافا إلى أنّ ظاهر كلام الراوي أنه مكثت الزرع ستة أشهر تسقى </w:t>
      </w:r>
      <w:r>
        <w:rPr>
          <w:rStyle w:val="FootnoteAnchor"/>
          <w:rtl w:val="true"/>
        </w:rPr>
        <w:footnoteReference w:id="1514"/>
      </w:r>
      <w:r>
        <w:rPr>
          <w:rFonts w:ascii="Amiri" w:hAnsi="Amiri" w:eastAsia="Amiri" w:cs="Amiri"/>
          <w:color w:val="111111"/>
          <w:sz w:val="28"/>
          <w:sz w:val="28"/>
          <w:szCs w:val="28"/>
          <w:rtl w:val="true"/>
          <w:lang w:bidi="ar-SA"/>
        </w:rPr>
        <w:t>بالدوالي و سقيت سيحا ثلاثين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ضعف التمسك بالرواية لاعتبار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استظهاره عنها عن جماعة </w:t>
      </w:r>
      <w:r>
        <w:rPr>
          <w:rStyle w:val="FootnoteAnchor"/>
          <w:rtl w:val="true"/>
        </w:rPr>
        <w:footnoteReference w:id="1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استفادة الأكثر نموّا من الرواية كما استظهره الفخر في الإيضاح </w:t>
      </w:r>
      <w:r>
        <w:rPr>
          <w:rStyle w:val="FootnoteAnchor"/>
          <w:rtl w:val="true"/>
        </w:rPr>
        <w:footnoteReference w:id="1516"/>
      </w:r>
      <w:r>
        <w:rPr>
          <w:rFonts w:ascii="Amiri" w:hAnsi="Amiri" w:eastAsia="Amiri" w:cs="Amiri"/>
          <w:color w:val="111111"/>
          <w:sz w:val="28"/>
          <w:sz w:val="28"/>
          <w:szCs w:val="28"/>
          <w:rtl w:val="true"/>
          <w:lang w:bidi="ar-SA"/>
        </w:rPr>
        <w:t>نظرا إلى ظهور الرواية في ملاحظة زمان عيش الزرع و نموّه، فهو بعيد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يكفي مجرّد الأكثرية الحقيقية الحاصلة بزيادة واحدة، أو</w:t>
      </w:r>
    </w:p>
    <w:p>
      <w:pPr>
        <w:pStyle w:val="BookText"/>
        <w:rPr/>
      </w:pPr>
      <w:r>
        <w:rPr>
          <w:rFonts w:ascii="Amiri" w:hAnsi="Amiri" w:eastAsia="Amiri" w:cs="Amiri"/>
          <w:color w:val="111111"/>
          <w:sz w:val="28"/>
          <w:sz w:val="28"/>
          <w:szCs w:val="28"/>
          <w:rtl w:val="true"/>
          <w:lang w:bidi="ar-SA"/>
        </w:rPr>
        <w:t>العرفية التابعة للمقامات؟ فإنّ الأكثر من الثلاثة و الخمسة و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العشرة، تحصل عرفا بزيادة الواحدة، و أما الأكثر من الثلاثين و الأربعين فصدقه بمجرد زيادة الواحد لو سلّم، لكن انصراف إطلاق الأكثر إليه محلّ تأمّل </w:t>
      </w:r>
      <w:r>
        <w:rPr>
          <w:rStyle w:val="FootnoteAnchor"/>
          <w:rtl w:val="true"/>
        </w:rPr>
        <w:footnoteReference w:id="1517"/>
      </w:r>
      <w:r>
        <w:rPr>
          <w:rFonts w:ascii="Amiri" w:hAnsi="Amiri" w:eastAsia="Amiri" w:cs="Amiri"/>
          <w:color w:val="111111"/>
          <w:sz w:val="28"/>
          <w:sz w:val="28"/>
          <w:szCs w:val="28"/>
          <w:rtl w:val="true"/>
          <w:lang w:bidi="ar-SA"/>
        </w:rPr>
        <w:t>،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العبرة بالكثرة الملحقة للنادر بالمعدوم؟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الأكثر حقيقة بزيادة الواحدة، و من انصراف الفتاوى و معاقد الإجماعات إلى الكثرة العرفية، و من أن عمدة الدليل هو النصّ، و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الأكثرية بالمعنى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حكم الإمام عليه السلام بالتنصيف في الصورة السابقة مع المساواة الحقيقية من عدم تصريح السائل، و استفادة عدم الأكثرية المذكورة من ترك تعرّضه لها، كما تعرّض لها في السؤال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الأول عن ظاهر إطلاق المعظم،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الإطلاق الى غير ذلك، و لذا اختار المقدّس الأردبيلي </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كلامه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منع</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 xml:space="preserve">من تحقّق الكثرة بزيادة الواحد، و ظاهر بعض مشايخنا المعاصرين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الأمور أوسطها؛ للإجماعات المستفيضة التي 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الدليل منحصرا في الرواية، أمكن حمله على المتيقن من موردها، مع أنّ الاستشهاد الذي ذكرنا لهذا الاحتمال ممنوع؛ لاحتمال كون قوله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Style w:val="FootnoteAnchor"/>
          <w:rtl w:val="true"/>
        </w:rPr>
        <w:footnoteReference w:id="1521"/>
      </w:r>
      <w:r>
        <w:rPr>
          <w:rFonts w:ascii="Amiri" w:hAnsi="Amiri" w:eastAsia="Amiri" w:cs="Amiri"/>
          <w:color w:val="111111"/>
          <w:sz w:val="28"/>
          <w:sz w:val="28"/>
          <w:szCs w:val="28"/>
          <w:rtl w:val="true"/>
          <w:lang w:bidi="ar-SA"/>
        </w:rPr>
        <w:t>أن يكون مبتدأ،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نصف بنصف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له،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النصف المسقي بالدوالي و النصف المسقي سيحا، أولهما بنصف العشر و الثاني بالعشر </w:t>
      </w:r>
      <w:r>
        <w:rPr>
          <w:rStyle w:val="FootnoteAnchor"/>
          <w:rtl w:val="true"/>
        </w:rPr>
        <w:footnoteReference w:id="1522"/>
      </w:r>
      <w:r>
        <w:rPr>
          <w:rFonts w:ascii="Amiri" w:hAnsi="Amiri" w:eastAsia="Amiri" w:cs="Amiri"/>
          <w:color w:val="111111"/>
          <w:sz w:val="28"/>
          <w:sz w:val="28"/>
          <w:szCs w:val="28"/>
          <w:rtl w:val="true"/>
          <w:lang w:bidi="ar-SA"/>
        </w:rPr>
        <w:t>، و لأجل تخصيص الإمام الحكم بالتساوي تعرّض للسؤال ثانيا، فتأمل</w:t>
      </w:r>
      <w:r>
        <w:rPr>
          <w:rFonts w:eastAsia="Amiri" w:cs="Amiri" w:ascii="Amiri" w:hAnsi="Amiri"/>
          <w:color w:val="111111"/>
          <w:sz w:val="28"/>
          <w:szCs w:val="28"/>
          <w:rtl w:val="true"/>
          <w:lang w:bidi="ar-SA"/>
        </w:rPr>
        <w:t>.</w:t>
      </w:r>
      <w:bookmarkStart w:id="108" w:name="pg19722_766308"/>
    </w:p>
    <w:p>
      <w:pPr>
        <w:pStyle w:val="Heading4"/>
        <w:numPr>
          <w:ilvl w:val="3"/>
          <w:numId w:val="1"/>
        </w:numPr>
        <w:rPr/>
      </w:pPr>
      <w:bookmarkStart w:id="109" w:name="__RefHeading___Toc2136352_2314609296"/>
      <w:bookmarkStart w:id="110" w:name="_Toc38"/>
      <w:bookmarkEnd w:id="108"/>
      <w:bookmarkEnd w:id="109"/>
      <w:r>
        <w:rPr>
          <w:rtl w:val="true"/>
        </w:rPr>
        <w:t xml:space="preserve">مسألة </w:t>
      </w:r>
      <w:r>
        <w:rPr>
          <w:rtl w:val="true"/>
        </w:rPr>
        <w:t>[</w:t>
      </w:r>
      <w:r>
        <w:rPr/>
        <w:t>28</w:t>
      </w:r>
      <w:r>
        <w:rPr>
          <w:rtl w:val="true"/>
        </w:rPr>
        <w:t>]</w:t>
      </w:r>
      <w:bookmarkEnd w:id="110"/>
    </w:p>
    <w:p>
      <w:pPr>
        <w:pStyle w:val="BookText"/>
        <w:rPr/>
      </w:pPr>
      <w:r>
        <w:rPr>
          <w:rFonts w:ascii="Amiri" w:hAnsi="Amiri" w:eastAsia="Amiri" w:cs="Amiri"/>
          <w:color w:val="111111"/>
          <w:sz w:val="28"/>
          <w:sz w:val="28"/>
          <w:szCs w:val="28"/>
          <w:rtl w:val="true"/>
          <w:lang w:bidi="ar-SA"/>
        </w:rPr>
        <w:t xml:space="preserve">يستحب الزكاة في مال التجارة على المشهور سيّما بين المتأخرين </w:t>
      </w:r>
      <w:r>
        <w:rPr>
          <w:rStyle w:val="FootnoteAnchor"/>
          <w:rtl w:val="true"/>
        </w:rPr>
        <w:footnoteReference w:id="1523"/>
      </w:r>
      <w:r>
        <w:rPr>
          <w:rFonts w:ascii="Amiri" w:hAnsi="Amiri" w:eastAsia="Amiri" w:cs="Amiri"/>
          <w:color w:val="111111"/>
          <w:sz w:val="28"/>
          <w:sz w:val="28"/>
          <w:szCs w:val="28"/>
          <w:rtl w:val="true"/>
          <w:lang w:bidi="ar-SA"/>
        </w:rPr>
        <w:t>لأخبار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تخاصم أبي ذر و عثمان </w:t>
      </w:r>
      <w:r>
        <w:rPr>
          <w:rStyle w:val="FootnoteAnchor"/>
          <w:rtl w:val="true"/>
        </w:rPr>
        <w:footnoteReference w:id="1524"/>
      </w:r>
      <w:r>
        <w:rPr>
          <w:rFonts w:ascii="Amiri" w:hAnsi="Amiri" w:eastAsia="Amiri" w:cs="Amiri"/>
          <w:color w:val="111111"/>
          <w:sz w:val="28"/>
          <w:sz w:val="28"/>
          <w:szCs w:val="28"/>
          <w:rtl w:val="true"/>
          <w:lang w:bidi="ar-SA"/>
        </w:rPr>
        <w:t>و المراد بمال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جماعة</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 بعقد معاوضة بقصد الاكتساب به عند التملك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اصطلاح فقهي، و فيه نظر، فإنّ الظاهر أنه معنى عرفي مستفاد من الأخبار الدالة على رجحان الزكاة في المال إذا اتّجر به </w:t>
      </w:r>
      <w:r>
        <w:rPr>
          <w:rStyle w:val="FootnoteAnchor"/>
          <w:rtl w:val="true"/>
        </w:rPr>
        <w:footnoteReference w:id="1526"/>
      </w:r>
      <w:r>
        <w:rPr>
          <w:rFonts w:ascii="Amiri" w:hAnsi="Amiri" w:eastAsia="Amiri" w:cs="Amiri"/>
          <w:color w:val="111111"/>
          <w:sz w:val="28"/>
          <w:sz w:val="28"/>
          <w:szCs w:val="28"/>
          <w:rtl w:val="true"/>
          <w:lang w:bidi="ar-SA"/>
        </w:rPr>
        <w:t>، فإنّ الظاهر من التجارة في العرف هو ما ذكر؛ فإنّ الظاهر من التجارة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المعاوضة عليه بقصد الاسترباح، فيخرج عن الحدّ المملوك بغير عقد المعاوضة، كالحيازة و الوراثة؛ فإنّ قصد بيع مثل ذلك و لو بأعلى القيم ليس استرباحا بما في يده، بل هو طلب لزيادة القيمة السوقية، و لذا </w:t>
      </w:r>
      <w:r>
        <w:rPr>
          <w:rStyle w:val="FootnoteAnchor"/>
          <w:rtl w:val="true"/>
        </w:rPr>
        <w:footnoteReference w:id="1527"/>
      </w:r>
      <w:r>
        <w:rPr>
          <w:rFonts w:ascii="Amiri" w:hAnsi="Amiri" w:eastAsia="Amiri" w:cs="Amiri"/>
          <w:color w:val="111111"/>
          <w:sz w:val="28"/>
          <w:sz w:val="28"/>
          <w:szCs w:val="28"/>
          <w:rtl w:val="true"/>
          <w:lang w:bidi="ar-SA"/>
        </w:rPr>
        <w:t>لا يسمّى تجارة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نقله بعوض، و قصد نقل ذلك العوض بعوض أزيد قيمة من المنقول عنه كان تجارة، فصدق التجارة فعلا بعد النقل الأول عازما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لما في يده قبل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مال التجارة إذا عزم على أن يتّجر به لكفاية أدنى ملابسة في الإضافة، لكن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الوجه فيما ذكروه من أنّ المراد بالمعاوضة ما يقوّم طرفاه بالمال، فما انتقل إليه بسبب خلع أو بضع أو حقّ غير مالي صالحه على المال، 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الوجه الذي ذكرنا من مناسبة العزم على الاتّجار به، لكن الظاهر أنه يشترط الماليّة في المكتسب به فقط دون ما ينتقل إليه في عوضه عازما على نقله إلى الغير بمال أزيد مما كان في يده، كما إذا صالح على ما في يده من المال بحقّ تحجير بقصد نقله إلى غيره بمال أزيد، فلا يبعد عدّها تجارة عرفا، إلّا أنّ شمول الإطلاقات لمثله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يعلم اعتبار مقارنة قصد الملك للمعاوضة ليصدق </w:t>
      </w:r>
      <w:r>
        <w:rPr>
          <w:rStyle w:val="FootnoteAnchor"/>
          <w:rtl w:val="true"/>
        </w:rPr>
        <w:footnoteReference w:id="1528"/>
      </w:r>
      <w:r>
        <w:rPr>
          <w:rFonts w:ascii="Amiri" w:hAnsi="Amiri" w:eastAsia="Amiri" w:cs="Amiri"/>
          <w:color w:val="111111"/>
          <w:sz w:val="28"/>
          <w:sz w:val="28"/>
          <w:szCs w:val="28"/>
          <w:rtl w:val="true"/>
          <w:lang w:bidi="ar-SA"/>
        </w:rPr>
        <w:t xml:space="preserve">الاسترباح بما في يده، و إلّا فلو اشترى للقنية بمائة درهم ثمّ نوى بعد مدّة أن يبيع ما اشتراه بأزيد من المائة فلا يصدق على المائة أنه اتّجر بها، و لذا لا يجب زكاتها بعد انقضاء حول من زمن المعاوضة إجماعا، و لا يصدق مال التجارة على المتاع المشتري أيضا إلّا إذا عاوض </w:t>
      </w:r>
      <w:r>
        <w:rPr>
          <w:rStyle w:val="FootnoteAnchor"/>
          <w:rtl w:val="true"/>
        </w:rPr>
        <w:footnoteReference w:id="1529"/>
      </w:r>
      <w:r>
        <w:rPr>
          <w:rFonts w:ascii="Amiri" w:hAnsi="Amiri" w:eastAsia="Amiri" w:cs="Amiri"/>
          <w:color w:val="111111"/>
          <w:sz w:val="28"/>
          <w:sz w:val="28"/>
          <w:szCs w:val="28"/>
          <w:rtl w:val="true"/>
          <w:lang w:bidi="ar-SA"/>
        </w:rPr>
        <w:t xml:space="preserve">عليه بقصد أن يعاوض على عوضه بأزيد قيمة منه، و لو بنى على ذلك يصدق عليه أنه مال التجارة بما ذكرنا من أدنى </w:t>
      </w:r>
      <w:r>
        <w:rPr>
          <w:rStyle w:val="FootnoteAnchor"/>
          <w:rtl w:val="true"/>
        </w:rPr>
        <w:footnoteReference w:id="1530"/>
      </w:r>
      <w:r>
        <w:rPr>
          <w:rFonts w:ascii="Amiri" w:hAnsi="Amiri" w:eastAsia="Amiri" w:cs="Amiri"/>
          <w:color w:val="111111"/>
          <w:sz w:val="28"/>
          <w:sz w:val="28"/>
          <w:szCs w:val="28"/>
          <w:rtl w:val="true"/>
          <w:lang w:bidi="ar-SA"/>
        </w:rPr>
        <w:t xml:space="preserve">الملابسة، لكونها مشرفا </w:t>
      </w:r>
      <w:r>
        <w:rPr>
          <w:rStyle w:val="FootnoteAnchor"/>
          <w:rtl w:val="true"/>
        </w:rPr>
        <w:footnoteReference w:id="1531"/>
      </w:r>
      <w:r>
        <w:rPr>
          <w:rFonts w:ascii="Amiri" w:hAnsi="Amiri" w:eastAsia="Amiri" w:cs="Amiri"/>
          <w:color w:val="111111"/>
          <w:sz w:val="28"/>
          <w:sz w:val="28"/>
          <w:szCs w:val="28"/>
          <w:rtl w:val="true"/>
          <w:lang w:bidi="ar-SA"/>
        </w:rPr>
        <w:t>لورود التجارة عليه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معاوضته بأزيد من ثمنه الأول فليس يصدق عليه التجارة، فضلا عن</w:t>
      </w:r>
    </w:p>
    <w:p>
      <w:pPr>
        <w:pStyle w:val="BookText"/>
        <w:rPr/>
      </w:pPr>
      <w:r>
        <w:rPr>
          <w:rFonts w:ascii="Amiri" w:hAnsi="Amiri" w:eastAsia="Amiri" w:cs="Amiri"/>
          <w:color w:val="111111"/>
          <w:sz w:val="28"/>
          <w:sz w:val="28"/>
          <w:szCs w:val="28"/>
          <w:rtl w:val="true"/>
          <w:lang w:bidi="ar-SA"/>
        </w:rPr>
        <w:t>مجرد قصد معاوضته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تبيّن أنه لو اشترى للقنية ثم نوى بيعه بأزيد من ثمنه، فلا يصدق عليه بمجرد ذلك أنه اتّجر به، و لا أنه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532"/>
      </w:r>
      <w:r>
        <w:rPr>
          <w:rFonts w:ascii="Amiri" w:hAnsi="Amiri" w:eastAsia="Amiri" w:cs="Amiri"/>
          <w:color w:val="111111"/>
          <w:sz w:val="28"/>
          <w:sz w:val="28"/>
          <w:szCs w:val="28"/>
          <w:rtl w:val="true"/>
          <w:lang w:bidi="ar-SA"/>
        </w:rPr>
        <w:t>حقيقة و 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وجوب الزكاة في هذا الفرض و عدم اعتبار نية الاكتساب مقارنة للتملك تمسكا بصدق مال التجارة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جماعة منهم المحقق </w:t>
      </w:r>
      <w:r>
        <w:rPr>
          <w:rStyle w:val="FootnoteAnchor"/>
          <w:rtl w:val="true"/>
        </w:rPr>
        <w:footnoteReference w:id="1533"/>
      </w:r>
      <w:r>
        <w:rPr>
          <w:rFonts w:ascii="Amiri" w:hAnsi="Amiri" w:eastAsia="Amiri" w:cs="Amiri"/>
          <w:color w:val="111111"/>
          <w:sz w:val="28"/>
          <w:sz w:val="28"/>
          <w:szCs w:val="28"/>
          <w:rtl w:val="true"/>
          <w:lang w:bidi="ar-SA"/>
        </w:rPr>
        <w:t xml:space="preserve">و الشهيدان </w:t>
      </w:r>
      <w:r>
        <w:rPr>
          <w:rStyle w:val="FootnoteAnchor"/>
          <w:rtl w:val="true"/>
        </w:rPr>
        <w:footnoteReference w:id="1534"/>
      </w:r>
      <w:r>
        <w:rPr>
          <w:rFonts w:ascii="Amiri" w:hAnsi="Amiri" w:eastAsia="Amiri" w:cs="Amiri"/>
          <w:color w:val="111111"/>
          <w:sz w:val="28"/>
          <w:sz w:val="28"/>
          <w:szCs w:val="28"/>
          <w:rtl w:val="true"/>
          <w:lang w:bidi="ar-SA"/>
        </w:rPr>
        <w:t>في غير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مع أنّ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لا يجدي؛ لأن الأخبار دلّت على اعتبار الاتّجار فعلا، كما يظهر من أخبار </w:t>
      </w:r>
      <w:r>
        <w:rPr>
          <w:rStyle w:val="FootnoteAnchor"/>
          <w:rtl w:val="true"/>
        </w:rPr>
        <w:footnoteReference w:id="1535"/>
      </w:r>
      <w:r>
        <w:rPr>
          <w:rFonts w:ascii="Amiri" w:hAnsi="Amiri" w:eastAsia="Amiri" w:cs="Amiri"/>
          <w:color w:val="111111"/>
          <w:sz w:val="28"/>
          <w:sz w:val="28"/>
          <w:szCs w:val="28"/>
          <w:rtl w:val="true"/>
          <w:lang w:bidi="ar-SA"/>
        </w:rPr>
        <w:t>مال اليتيم، حيث نفى الزكاة فيه إلّا أن يتّجر به،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عملت فعليه الزكاة</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النصوص و الفتاوى بين ما دل على ثبوت الزكاة في مال التجارة الذي قد عرفت أنه حقيقة في المال الذي ينتقل إليه بالتجارة، و بين ما دل على ثبوت الزكاة في المال الذي اتجر به، فمن الأول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خالد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تجارة في يدك فيها فضل ليس يمنعك من بيعها إلّا لتزداد فضلا على فضلك فزكّه، و ما كان من تجارة في يدك فيها نقصان فذلك شي‌ء آخر</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معناها أخبار كثيرة معلّقة لوجوب الزكاة فيما اشترى من المتاع بما</w:t>
      </w:r>
    </w:p>
    <w:p>
      <w:pPr>
        <w:pStyle w:val="BookText"/>
        <w:rPr/>
      </w:pPr>
      <w:r>
        <w:rPr>
          <w:rFonts w:ascii="Amiri" w:hAnsi="Amiri" w:eastAsia="Amiri" w:cs="Amiri"/>
          <w:color w:val="111111"/>
          <w:sz w:val="28"/>
          <w:sz w:val="28"/>
          <w:szCs w:val="28"/>
          <w:rtl w:val="true"/>
          <w:lang w:bidi="ar-SA"/>
        </w:rPr>
        <w:t>إذا وجد رأس ماله و طلب الزيادة، و لا ريب في ظهور ذلك فيما إذا كان الاشتراء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أن مجرد نيّة بيعه بأزيد من ثمنه الذي اشتراه به للقنية لا يوجب صدق رأس المال على ذلك الثمن؛ لأنّ العبرة بصدق عنوان رأس المال عليه حال الاشتراء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لو سلمنا </w:t>
      </w:r>
      <w:r>
        <w:rPr>
          <w:rStyle w:val="FootnoteAnchor"/>
          <w:rtl w:val="true"/>
        </w:rPr>
        <w:footnoteReference w:id="1538"/>
      </w:r>
      <w:r>
        <w:rPr>
          <w:rFonts w:ascii="Amiri" w:hAnsi="Amiri" w:eastAsia="Amiri" w:cs="Amiri"/>
          <w:color w:val="111111"/>
          <w:sz w:val="28"/>
          <w:sz w:val="28"/>
          <w:szCs w:val="28"/>
          <w:rtl w:val="true"/>
          <w:lang w:bidi="ar-SA"/>
        </w:rPr>
        <w:t>إطلاق تلك الأخبار، لكن انصرافها إلى صورة قصد الاكتساب عند الاشتراء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الثاني ما دلّ من الأخبار المستفيضة على نفي الزكاة رأسا في مال الصبي و المجنون إلّا إذا اتّجر به </w:t>
      </w:r>
      <w:r>
        <w:rPr>
          <w:rStyle w:val="FootnoteAnchor"/>
          <w:rtl w:val="true"/>
        </w:rPr>
        <w:footnoteReference w:id="1539"/>
      </w:r>
      <w:r>
        <w:rPr>
          <w:rFonts w:ascii="Amiri" w:hAnsi="Amiri" w:eastAsia="Amiri" w:cs="Amiri"/>
          <w:color w:val="111111"/>
          <w:sz w:val="28"/>
          <w:sz w:val="28"/>
          <w:szCs w:val="28"/>
          <w:rtl w:val="true"/>
          <w:lang w:bidi="ar-SA"/>
        </w:rPr>
        <w:t>، و المراد بالمال المتّجر به هو نوع ذلك المال الأعمّ من شخصه و بدله، و إلّا فشخص المال الذي يتّجر به يدفعه التاجر إلى بائع السلعة، فمرجع ما يتّجر به و مال التجارة إلى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اتجر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بعد تحقّق التجارة فعلا التي هي المعاوضة، فلا يصدق على المال الذي قصد بيعه بأزيد من ثمنه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تسبقه تجارة و لم تلحقه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يتخيّل </w:t>
      </w:r>
      <w:r>
        <w:rPr>
          <w:rStyle w:val="FootnoteAnchor"/>
          <w:rtl w:val="true"/>
        </w:rPr>
        <w:footnoteReference w:id="1540"/>
      </w:r>
      <w:r>
        <w:rPr>
          <w:rFonts w:ascii="Amiri" w:hAnsi="Amiri" w:eastAsia="Amiri" w:cs="Amiri"/>
          <w:color w:val="111111"/>
          <w:sz w:val="28"/>
          <w:sz w:val="28"/>
          <w:szCs w:val="28"/>
          <w:rtl w:val="true"/>
          <w:lang w:bidi="ar-SA"/>
        </w:rPr>
        <w:t xml:space="preserve">أنّ هنا عمومات تشمل مثل ذلك و إن كانت الأخبار المتقدّمة مختصّة </w:t>
      </w:r>
      <w:r>
        <w:rPr>
          <w:rStyle w:val="FootnoteAnchor"/>
          <w:rtl w:val="true"/>
        </w:rPr>
        <w:footnoteReference w:id="1541"/>
      </w:r>
      <w:r>
        <w:rPr>
          <w:rFonts w:ascii="Amiri" w:hAnsi="Amiri" w:eastAsia="Amiri" w:cs="Amiri"/>
          <w:color w:val="111111"/>
          <w:sz w:val="28"/>
          <w:sz w:val="28"/>
          <w:szCs w:val="28"/>
          <w:rtl w:val="true"/>
          <w:lang w:bidi="ar-SA"/>
        </w:rPr>
        <w:t>بما إذا انتقل إليه بالتجارة، و هو و إن أصاب في تسليم اختصاص تلك الأخبار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لصاحب المدارك </w:t>
      </w:r>
      <w:r>
        <w:rPr>
          <w:rStyle w:val="FootnoteAnchor"/>
          <w:rtl w:val="true"/>
        </w:rPr>
        <w:footnoteReference w:id="1542"/>
      </w:r>
      <w:r>
        <w:rPr>
          <w:rFonts w:ascii="Amiri" w:hAnsi="Amiri" w:eastAsia="Amiri" w:cs="Amiri"/>
          <w:color w:val="111111"/>
          <w:sz w:val="28"/>
          <w:sz w:val="28"/>
          <w:szCs w:val="28"/>
          <w:rtl w:val="true"/>
          <w:lang w:bidi="ar-SA"/>
        </w:rPr>
        <w:t xml:space="preserve">حيث تبع المحقق </w:t>
      </w:r>
      <w:r>
        <w:rPr>
          <w:rStyle w:val="FootnoteAnchor"/>
          <w:rtl w:val="true"/>
        </w:rPr>
        <w:footnoteReference w:id="1543"/>
      </w:r>
      <w:r>
        <w:rPr>
          <w:rFonts w:ascii="Amiri" w:hAnsi="Amiri" w:eastAsia="Amiri" w:cs="Amiri"/>
          <w:color w:val="111111"/>
          <w:sz w:val="28"/>
          <w:sz w:val="28"/>
          <w:szCs w:val="28"/>
          <w:rtl w:val="true"/>
          <w:lang w:bidi="ar-SA"/>
        </w:rPr>
        <w:t xml:space="preserve">و غيره في دعوى عموم بعض ما اشتمل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 معناه</w:t>
      </w:r>
    </w:p>
    <w:p>
      <w:pPr>
        <w:pStyle w:val="BookText"/>
        <w:rPr/>
      </w:pPr>
      <w:r>
        <w:rPr>
          <w:rFonts w:ascii="Amiri" w:hAnsi="Amiri" w:eastAsia="Amiri" w:cs="Amiri"/>
          <w:color w:val="111111"/>
          <w:sz w:val="28"/>
          <w:sz w:val="28"/>
          <w:szCs w:val="28"/>
          <w:rtl w:val="true"/>
          <w:lang w:bidi="ar-SA"/>
        </w:rPr>
        <w:t>لمحل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يصب في دعوى عموم ما زعمه عاما، فمن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جرّ عليك المال فزكّه، و كلّ شي‌ء ورثته أو وهب لك فاستقبل به</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مسلم </w:t>
      </w:r>
      <w:r>
        <w:rPr>
          <w:rStyle w:val="FootnoteAnchor"/>
          <w:rtl w:val="true"/>
        </w:rPr>
        <w:footnoteReference w:id="15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عملت به فعليك فيه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أنه كلما عمل للتجارة من حيوان فعليه فيه زكاته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الرواية الأولى إنما تدل على وجوب الزكاة في المال الذي يتّجر به؛ لأنّ المراد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شي‌ء ورثته أو وهب لك </w:t>
      </w:r>
      <w:r>
        <w:rPr>
          <w:rStyle w:val="FootnoteAnchor"/>
          <w:rtl w:val="true"/>
        </w:rPr>
        <w:footnoteReference w:id="1547"/>
      </w:r>
      <w:r>
        <w:rPr>
          <w:rFonts w:ascii="Amiri" w:hAnsi="Amiri" w:eastAsia="Amiri" w:cs="Amiri"/>
          <w:color w:val="111111"/>
          <w:sz w:val="28"/>
          <w:sz w:val="28"/>
          <w:szCs w:val="28"/>
          <w:rtl w:val="true"/>
          <w:lang w:bidi="ar-SA"/>
        </w:rPr>
        <w:t>فاستقبل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به الحول، و لا ريب أنّ الحول لا يستقبل إلّا في النقدين، فالمراد أنّ النقد الذي جرّ عليك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سببا لجرّ المال عليك، بأن أعطيته ثمنا لشي‌ء يقوّم بأزيد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فيه الزكاة و إن لم يحل الحول على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أنّه إذا نوى بيع ما اشتراه للقنية، فالقائل بوجوب الزكاة بعد حول الحول على ذلك المشتري من زمن نيّة بيعه بأزيد من ثمنه لا يقول بأنّها زكاة الثمن الذي اعطي ثمنا لذلك المشتري و صار سببا لجرّ المال، و هو المقدار الزائد من قيمة المشتري على ثمنه، فكون الزكاة زكاة لذلك الثمن الجارّ للمال لا يتحقّق إلّا إذا اعطي ثمنا لأجل الاكتساب بثمنه </w:t>
      </w:r>
      <w:r>
        <w:rPr>
          <w:rStyle w:val="FootnoteAnchor"/>
          <w:rtl w:val="true"/>
        </w:rPr>
        <w:footnoteReference w:id="1548"/>
      </w:r>
      <w:r>
        <w:rPr>
          <w:rFonts w:ascii="IRNazanin" w:hAnsi="IRNazanin" w:eastAsia="IRNazanin"/>
          <w:color w:val="111111"/>
          <w:sz w:val="28"/>
          <w:sz w:val="28"/>
          <w:szCs w:val="28"/>
          <w:rtl w:val="true"/>
          <w:lang w:bidi="fa-IR"/>
        </w:rPr>
        <w:t>، و هذا واضح بأدنى التفات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الرواية الثانية فهي بنفسها ظاهرة في معنى الرواية الاولى، و هو</w:t>
      </w:r>
    </w:p>
    <w:p>
      <w:pPr>
        <w:pStyle w:val="BookText"/>
        <w:rPr/>
      </w:pPr>
      <w:r>
        <w:rPr>
          <w:rFonts w:ascii="Amiri" w:hAnsi="Amiri" w:eastAsia="Amiri" w:cs="Amiri"/>
          <w:color w:val="111111"/>
          <w:sz w:val="28"/>
          <w:sz w:val="28"/>
          <w:szCs w:val="28"/>
          <w:rtl w:val="true"/>
          <w:lang w:bidi="ar-SA"/>
        </w:rPr>
        <w:t xml:space="preserve">ثبوت الزكاة في المال المعمول به، كما دلّ عليه الأخبار المستفيضة في مال اليتيم و غيره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تفسير يونس، فهو أيضا كذلك و إن كان يتوهم منه أنّ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للتجارة و إن لم يتّجر به بعد، لكنه توهم ليس في محله، إذ 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لها، مع أنّ مجرد بيع شي‌ء بأزيد من ثمنه ليست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قصده نيّة التجارة و إعداد المال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فتحقّق ممّا ذكر أنّ القول بوجوب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منفي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اختصاص أدلّة زكاة مال التجارة بما إذا اشترى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لظاهر أخبار زكاة مال اليتيم الحاصرة لثبوت الزكاة فيه، فيما إذا اتّجر به و عمل به، و بإطلاق نفي الزكاة فيه إذا كان موضوعا؛ الشامل لما إذا طلب شي‌ء مما أخذه لغير الاكتساب بأزيد من ثمنه، فإنه يصدق عليه أنه مال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يستدل لكفاية مجرد قصد التجارة بموثقة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الرقيق زكاة إلّا رقيق يبتغي به التجارة، فإنه من المال الذي يزكّى</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على كفاية ابتغاء التجارة بالمال، اللهم إلّا أن يدّعى انصرافه إلى ما يبتغي </w:t>
      </w:r>
      <w:r>
        <w:rPr>
          <w:rStyle w:val="FootnoteAnchor"/>
          <w:rtl w:val="true"/>
        </w:rPr>
        <w:footnoteReference w:id="1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فالمسألة مشكلة، و الأصل دليل قويّ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أضعف من هذا القول ما مال إليه المحقق الأردبيلي </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المحقق في المعتبر </w:t>
      </w:r>
      <w:r>
        <w:rPr>
          <w:rStyle w:val="FootnoteAnchor"/>
          <w:rtl w:val="true"/>
        </w:rPr>
        <w:footnoteReference w:id="1553"/>
      </w:r>
      <w:r>
        <w:rPr>
          <w:rFonts w:ascii="Amiri" w:hAnsi="Amiri" w:eastAsia="Amiri" w:cs="Amiri"/>
          <w:color w:val="111111"/>
          <w:sz w:val="28"/>
          <w:sz w:val="28"/>
          <w:szCs w:val="28"/>
          <w:rtl w:val="true"/>
          <w:lang w:bidi="ar-SA"/>
        </w:rPr>
        <w:t xml:space="preserve">و إن جعل الأشبه خلافه، و جزم به بعض مشايخنا المعاصرين </w:t>
      </w:r>
      <w:r>
        <w:rPr>
          <w:rStyle w:val="FootnoteAnchor"/>
          <w:rtl w:val="true"/>
        </w:rPr>
        <w:footnoteReference w:id="1554"/>
      </w:r>
      <w:r>
        <w:rPr>
          <w:rFonts w:ascii="Amiri" w:hAnsi="Amiri" w:eastAsia="Amiri" w:cs="Amiri"/>
          <w:color w:val="111111"/>
          <w:sz w:val="28"/>
          <w:sz w:val="28"/>
          <w:szCs w:val="28"/>
          <w:rtl w:val="true"/>
          <w:lang w:bidi="ar-SA"/>
        </w:rPr>
        <w:t>إن لم ينعقد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اعتبار تملك المال بعقد </w:t>
      </w:r>
      <w:r>
        <w:rPr>
          <w:rStyle w:val="FootnoteAnchor"/>
          <w:rtl w:val="true"/>
        </w:rPr>
        <w:footnoteReference w:id="1555"/>
      </w:r>
      <w:r>
        <w:rPr>
          <w:rFonts w:ascii="Amiri" w:hAnsi="Amiri" w:eastAsia="Amiri" w:cs="Amiri"/>
          <w:color w:val="111111"/>
          <w:sz w:val="28"/>
          <w:sz w:val="28"/>
          <w:szCs w:val="28"/>
          <w:rtl w:val="true"/>
          <w:lang w:bidi="ar-SA"/>
        </w:rPr>
        <w:t xml:space="preserve">معاوضة، بل يكفي مطلق تملّكه، نعم قيّده شيخنا المعاصر </w:t>
      </w:r>
      <w:r>
        <w:rPr>
          <w:rStyle w:val="FootnoteAnchor"/>
          <w:rtl w:val="true"/>
        </w:rPr>
        <w:footnoteReference w:id="1556"/>
      </w:r>
      <w:r>
        <w:rPr>
          <w:rFonts w:ascii="Amiri" w:hAnsi="Amiri" w:eastAsia="Amiri" w:cs="Amiri"/>
          <w:color w:val="111111"/>
          <w:sz w:val="28"/>
          <w:sz w:val="28"/>
          <w:szCs w:val="28"/>
          <w:rtl w:val="true"/>
          <w:lang w:bidi="ar-SA"/>
        </w:rPr>
        <w:t>بما إذا كان المنتقل منه أخذه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ضعف هذا القول يظهر من ملاحظة الأخبار الدالّة على اعتبار رأس المال، كما اعترف به في المعتبر </w:t>
      </w:r>
      <w:r>
        <w:rPr>
          <w:rStyle w:val="FootnoteAnchor"/>
          <w:rtl w:val="true"/>
        </w:rPr>
        <w:footnoteReference w:id="1557"/>
      </w:r>
      <w:r>
        <w:rPr>
          <w:rFonts w:ascii="Amiri" w:hAnsi="Amiri" w:eastAsia="Amiri" w:cs="Amiri"/>
          <w:color w:val="111111"/>
          <w:sz w:val="28"/>
          <w:sz w:val="28"/>
          <w:szCs w:val="28"/>
          <w:rtl w:val="true"/>
          <w:lang w:bidi="ar-SA"/>
        </w:rPr>
        <w:t xml:space="preserve">، مضافا إلى أنّهم أجمعوا على اعتبار أن يطلب مال التجارة برأس المال و أزيد </w:t>
      </w:r>
      <w:r>
        <w:rPr>
          <w:rStyle w:val="FootnoteAnchor"/>
          <w:rtl w:val="true"/>
        </w:rPr>
        <w:footnoteReference w:id="1558"/>
      </w:r>
      <w:r>
        <w:rPr>
          <w:rFonts w:ascii="Amiri" w:hAnsi="Amiri" w:eastAsia="Amiri" w:cs="Amiri"/>
          <w:color w:val="111111"/>
          <w:sz w:val="28"/>
          <w:sz w:val="28"/>
          <w:szCs w:val="28"/>
          <w:rtl w:val="true"/>
          <w:lang w:bidi="ar-SA"/>
        </w:rPr>
        <w:t xml:space="preserve">، و لا يتحقّق هذا الشرط إلّا مع وجود رأس مال، إلّا أن يقال باختصاص هذا الشرط بصورة وجود رأس المال، و دعوى المعاصر </w:t>
      </w:r>
      <w:r>
        <w:rPr>
          <w:rStyle w:val="FootnoteAnchor"/>
          <w:rtl w:val="true"/>
        </w:rPr>
        <w:footnoteReference w:id="1559"/>
      </w:r>
      <w:r>
        <w:rPr>
          <w:rFonts w:ascii="Amiri" w:hAnsi="Amiri" w:eastAsia="Amiri" w:cs="Amiri"/>
          <w:color w:val="111111"/>
          <w:sz w:val="28"/>
          <w:sz w:val="28"/>
          <w:szCs w:val="28"/>
          <w:rtl w:val="true"/>
          <w:lang w:bidi="ar-SA"/>
        </w:rPr>
        <w:t>شمول رأس المال لما هو رأس المال عند المنتقل منه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وجوب الزكاة في النماء و النتاج و الثمرة لمال التجارة فهو أيضا من حيث كونها أموالا حصل تملّكها بسبب عقد المعاوضة و إن لم ترد المعاوضة على نفسها، فالاستشهاد من شيخنا المعاصر </w:t>
      </w:r>
      <w:r>
        <w:rPr>
          <w:rStyle w:val="FootnoteAnchor"/>
          <w:rtl w:val="true"/>
        </w:rPr>
        <w:footnoteReference w:id="1560"/>
      </w:r>
      <w:r>
        <w:rPr>
          <w:rFonts w:ascii="Amiri" w:hAnsi="Amiri" w:eastAsia="Amiri" w:cs="Amiri"/>
          <w:color w:val="111111"/>
          <w:sz w:val="28"/>
          <w:sz w:val="28"/>
          <w:szCs w:val="28"/>
          <w:rtl w:val="true"/>
          <w:lang w:bidi="ar-SA"/>
        </w:rPr>
        <w:t>بذلك على عدم اعتبار انتقال المال بالمعاوضة أضعف من دعواه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من اشتراط طلب مال التجارة برأس المال، فالمراد به مجموع المال، لا خصوص كلّ جزء حتّى يقال </w:t>
      </w:r>
      <w:r>
        <w:rPr>
          <w:rStyle w:val="FootnoteAnchor"/>
          <w:rtl w:val="true"/>
        </w:rPr>
        <w:footnoteReference w:id="1561"/>
      </w:r>
      <w:r>
        <w:rPr>
          <w:rFonts w:ascii="Amiri" w:hAnsi="Amiri" w:eastAsia="Amiri" w:cs="Amiri"/>
          <w:color w:val="111111"/>
          <w:sz w:val="28"/>
          <w:sz w:val="28"/>
          <w:szCs w:val="28"/>
          <w:rtl w:val="true"/>
          <w:lang w:bidi="ar-SA"/>
        </w:rPr>
        <w:t>إن النماء ليس له رأس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حصل النقص في قيمة العين انجبر بالنماء كما يظهر من البيان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اعتبار قصد الاكتساب عند التملك وارد مورد الغالب من كون التملك مقارنا للقصد </w:t>
      </w:r>
      <w:r>
        <w:rPr>
          <w:rStyle w:val="FootnoteAnchor"/>
          <w:rtl w:val="true"/>
        </w:rPr>
        <w:footnoteReference w:id="1563"/>
      </w:r>
      <w:r>
        <w:rPr>
          <w:rFonts w:ascii="Amiri" w:hAnsi="Amiri" w:eastAsia="Amiri" w:cs="Amiri"/>
          <w:color w:val="111111"/>
          <w:sz w:val="28"/>
          <w:sz w:val="28"/>
          <w:szCs w:val="28"/>
          <w:rtl w:val="true"/>
          <w:lang w:bidi="ar-SA"/>
        </w:rPr>
        <w:t>، و إلّا فلو اشتري له فضولا فأجاز بعد سنة بقصد الاكتساب كفى و إن قلنا بكون الإجازة كاشفة؛ لأنّ الإجازة هي الأمر الاختياري الموجب لحصول التملّك من حينها أو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القولين في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معاطاة، فإن قلنا بكونها مملّكة، فلا إشكال في اعتبار مقارنة قصد الاكتساب لها، و إن قلنا بكونها مبيحة، فمقتضى القاعدة عدم وجوب الزكاة في هذا المال كالحج، و هذا من جملة ما يلزم القائلين بالإباحة دون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التزم بترتب أحكام الملك عليه اعتبر القصد من حين أخذ المتاع، و إن قلنا بحصول الملك من حين تلف أحد العوضين، ففي تعيين </w:t>
      </w:r>
      <w:r>
        <w:rPr>
          <w:rStyle w:val="FootnoteAnchor"/>
          <w:rtl w:val="true"/>
        </w:rPr>
        <w:footnoteReference w:id="1564"/>
      </w:r>
      <w:r>
        <w:rPr>
          <w:rFonts w:ascii="Amiri" w:hAnsi="Amiri" w:eastAsia="Amiri" w:cs="Amiri"/>
          <w:color w:val="111111"/>
          <w:sz w:val="28"/>
          <w:sz w:val="28"/>
          <w:szCs w:val="28"/>
          <w:rtl w:val="true"/>
          <w:lang w:bidi="ar-SA"/>
        </w:rPr>
        <w:t>زمان القصد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كلامهم، حيث أضافوا إليها العقد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الفسخ و لو كان بقصد الاكتساب، نعم لو كان العقد بقصد الاكتساب بأن وقع على مالي تجارة ثم تفاسخا أو ترادّا لعيب، لم ينقطع حول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الشروط المذكورة للزكاة في مال التجارة ثلاثة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و قد ادعي </w:t>
      </w:r>
      <w:r>
        <w:rPr>
          <w:rStyle w:val="FootnoteAnchor"/>
          <w:rtl w:val="true"/>
        </w:rPr>
        <w:footnoteReference w:id="1566"/>
      </w:r>
      <w:r>
        <w:rPr>
          <w:rFonts w:ascii="Amiri" w:hAnsi="Amiri" w:eastAsia="Amiri" w:cs="Amiri"/>
          <w:color w:val="111111"/>
          <w:sz w:val="28"/>
          <w:sz w:val="28"/>
          <w:szCs w:val="28"/>
          <w:rtl w:val="true"/>
          <w:lang w:bidi="ar-SA"/>
        </w:rPr>
        <w:t>عليه اتفاق المسلمين،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أخبار هذه الزكاة </w:t>
      </w:r>
      <w:r>
        <w:rPr>
          <w:rStyle w:val="FootnoteAnchor"/>
          <w:rtl w:val="true"/>
        </w:rPr>
        <w:footnoteReference w:id="1567"/>
      </w:r>
      <w:r>
        <w:rPr>
          <w:rFonts w:ascii="Amiri" w:hAnsi="Amiri" w:eastAsia="Amiri" w:cs="Amiri"/>
          <w:color w:val="111111"/>
          <w:sz w:val="28"/>
          <w:sz w:val="28"/>
          <w:szCs w:val="28"/>
          <w:rtl w:val="true"/>
          <w:lang w:bidi="ar-SA"/>
        </w:rPr>
        <w:t>اتحادها مع زكاة النقدين من حيث النصاب</w:t>
      </w:r>
    </w:p>
    <w:p>
      <w:pPr>
        <w:pStyle w:val="BookText"/>
        <w:rPr/>
      </w:pPr>
      <w:r>
        <w:rPr>
          <w:rFonts w:ascii="IRNazanin" w:hAnsi="IRNazanin" w:eastAsia="IRNazanin"/>
          <w:color w:val="111111"/>
          <w:sz w:val="28"/>
          <w:sz w:val="28"/>
          <w:szCs w:val="28"/>
          <w:rtl w:val="true"/>
          <w:lang w:bidi="fa-IR"/>
        </w:rPr>
        <w:t xml:space="preserve">و القدر المخرج، و حول </w:t>
      </w:r>
      <w:r>
        <w:rPr>
          <w:rStyle w:val="FootnoteAnchor"/>
          <w:rtl w:val="true"/>
        </w:rPr>
        <w:footnoteReference w:id="1568"/>
      </w:r>
      <w:r>
        <w:rPr>
          <w:rFonts w:ascii="Amiri" w:hAnsi="Amiri" w:eastAsia="Amiri" w:cs="Amiri"/>
          <w:color w:val="111111"/>
          <w:sz w:val="28"/>
          <w:sz w:val="28"/>
          <w:szCs w:val="28"/>
          <w:rtl w:val="true"/>
          <w:lang w:bidi="ar-SA"/>
        </w:rPr>
        <w:t xml:space="preserve">الحول، و لا شك في إفادتها لذلك، فمن نظر </w:t>
      </w:r>
      <w:r>
        <w:rPr>
          <w:rStyle w:val="FootnoteAnchor"/>
          <w:rtl w:val="true"/>
        </w:rPr>
        <w:footnoteReference w:id="1569"/>
      </w:r>
      <w:r>
        <w:rPr>
          <w:rFonts w:ascii="Amiri" w:hAnsi="Amiri" w:eastAsia="Amiri" w:cs="Amiri"/>
          <w:color w:val="111111"/>
          <w:sz w:val="28"/>
          <w:sz w:val="28"/>
          <w:szCs w:val="28"/>
          <w:rtl w:val="true"/>
          <w:lang w:bidi="ar-SA"/>
        </w:rPr>
        <w:t xml:space="preserve">فيها بتأمل يسير فلا يصغى إلى استشكال صاحب الحدائق </w:t>
      </w:r>
      <w:r>
        <w:rPr>
          <w:rStyle w:val="FootnoteAnchor"/>
          <w:rtl w:val="true"/>
        </w:rPr>
        <w:footnoteReference w:id="1570"/>
      </w:r>
      <w:r>
        <w:rPr>
          <w:rFonts w:ascii="Amiri" w:hAnsi="Amiri" w:eastAsia="Amiri" w:cs="Amiri"/>
          <w:color w:val="111111"/>
          <w:sz w:val="28"/>
          <w:sz w:val="28"/>
          <w:szCs w:val="28"/>
          <w:rtl w:val="true"/>
          <w:lang w:bidi="ar-SA"/>
        </w:rPr>
        <w:t>في استفادة ذلك من الروايات و دعواه أنها مطلقة، و منه يعلم انّ لمال التجارة نصاب ثان،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الأربعين درهما أو خمسة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الحول من حين التجارة أو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مما لا خلاف فيه ظاهرا، و يدل عليه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توضع عنده الأموال يعمل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عليه الحول فليزكها</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صحيحته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عملت به فعليك فيه الزكاة إذا حال عليه الحول</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ظهر في مال التجارة ربح أو 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كالنتاج و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فحكمه حكم السخال في اعتبار حول مستقل لها إذا بلغت النصاب الثاني، و إلّا ضم إلى الأصل عند انقضاء حوله، و لا يستأنف الحول من حين الضم؛ لما تقدّم في حول السخال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نتاج مال التجارة منها على الأقرب؛ لأنه جزء منها </w:t>
      </w:r>
      <w:r>
        <w:rPr>
          <w:rStyle w:val="FootnoteAnchor"/>
          <w:rtl w:val="true"/>
        </w:rPr>
        <w:footnoteReference w:id="1574"/>
      </w:r>
      <w:r>
        <w:rPr>
          <w:rFonts w:ascii="Amiri" w:hAnsi="Amiri" w:eastAsia="Amiri" w:cs="Amiri"/>
          <w:color w:val="111111"/>
          <w:sz w:val="28"/>
          <w:sz w:val="28"/>
          <w:szCs w:val="28"/>
          <w:rtl w:val="true"/>
          <w:lang w:bidi="ar-SA"/>
        </w:rPr>
        <w:t>و وجه العدم أنه ليس باسترباح، فلو نقصت الأمّ ففي جبرانه نظر؛ من أنه كمال آخر، و من تولده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القول بأنّ الجبر يتفرّع </w:t>
      </w:r>
      <w:r>
        <w:rPr>
          <w:rStyle w:val="FootnoteAnchor"/>
          <w:rtl w:val="true"/>
        </w:rPr>
        <w:footnoteReference w:id="1575"/>
      </w:r>
      <w:r>
        <w:rPr>
          <w:rFonts w:ascii="IRNazanin" w:hAnsi="IRNazanin" w:eastAsia="IRNazanin"/>
          <w:color w:val="111111"/>
          <w:sz w:val="28"/>
          <w:sz w:val="28"/>
          <w:szCs w:val="28"/>
          <w:rtl w:val="true"/>
          <w:lang w:bidi="fa-IR"/>
        </w:rPr>
        <w:t>على احتسابه من مال</w:t>
      </w:r>
    </w:p>
    <w:p>
      <w:pPr>
        <w:pStyle w:val="BookText"/>
        <w:rPr/>
      </w:pPr>
      <w:r>
        <w:rPr>
          <w:rFonts w:ascii="Amiri" w:hAnsi="Amiri" w:eastAsia="Amiri" w:cs="Amiri"/>
          <w:color w:val="111111"/>
          <w:sz w:val="28"/>
          <w:sz w:val="28"/>
          <w:szCs w:val="28"/>
          <w:rtl w:val="true"/>
          <w:lang w:bidi="ar-SA"/>
        </w:rPr>
        <w:t>التجارة، فإن قلنا به جبر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الزكاة في مثل النتاج و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مالا ملك </w:t>
      </w:r>
      <w:r>
        <w:rPr>
          <w:rStyle w:val="FootnoteAnchor"/>
          <w:rtl w:val="true"/>
        </w:rPr>
        <w:footnoteReference w:id="1576"/>
      </w:r>
      <w:r>
        <w:rPr>
          <w:rFonts w:ascii="Amiri" w:hAnsi="Amiri" w:eastAsia="Amiri" w:cs="Amiri"/>
          <w:color w:val="111111"/>
          <w:sz w:val="28"/>
          <w:sz w:val="28"/>
          <w:szCs w:val="28"/>
          <w:rtl w:val="true"/>
          <w:lang w:bidi="ar-SA"/>
        </w:rPr>
        <w:t>بعقد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اعتبار انتقال المال بعقد المعاوضة، و 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يستشكل في اشتراط حول مستقل للنماء باعتبار عدم عموم </w:t>
      </w:r>
      <w:r>
        <w:rPr>
          <w:rStyle w:val="FootnoteAnchor"/>
          <w:rtl w:val="true"/>
        </w:rPr>
        <w:footnoteReference w:id="1577"/>
      </w:r>
      <w:r>
        <w:rPr>
          <w:rFonts w:ascii="Amiri" w:hAnsi="Amiri" w:eastAsia="Amiri" w:cs="Amiri"/>
          <w:color w:val="111111"/>
          <w:sz w:val="28"/>
          <w:sz w:val="28"/>
          <w:szCs w:val="28"/>
          <w:rtl w:val="true"/>
          <w:lang w:bidi="ar-SA"/>
        </w:rPr>
        <w:t xml:space="preserve">فيما يدل </w:t>
      </w:r>
      <w:r>
        <w:rPr>
          <w:rStyle w:val="FootnoteAnchor"/>
          <w:rtl w:val="true"/>
        </w:rPr>
        <w:footnoteReference w:id="1578"/>
      </w:r>
      <w:r>
        <w:rPr>
          <w:rFonts w:ascii="Amiri" w:hAnsi="Amiri" w:eastAsia="Amiri" w:cs="Amiri"/>
          <w:color w:val="111111"/>
          <w:sz w:val="28"/>
          <w:sz w:val="28"/>
          <w:szCs w:val="28"/>
          <w:rtl w:val="true"/>
          <w:lang w:bidi="ar-SA"/>
        </w:rPr>
        <w:t>على اعتبار الحول بحيث يشمل النماء التابع للأصل سيّما مع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جرّ عليك المال فزكّه</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 و ما ورد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w:t>
      </w:r>
      <w:r>
        <w:rPr>
          <w:rStyle w:val="FootnoteAnchor"/>
          <w:rtl w:val="true"/>
        </w:rPr>
        <w:footnoteReference w:id="1580"/>
      </w:r>
      <w:r>
        <w:rPr>
          <w:rFonts w:ascii="Amiri" w:hAnsi="Amiri" w:eastAsia="Amiri" w:cs="Amiri"/>
          <w:color w:val="111111"/>
          <w:sz w:val="28"/>
          <w:sz w:val="28"/>
          <w:szCs w:val="28"/>
          <w:rtl w:val="true"/>
          <w:lang w:bidi="ar-SA"/>
        </w:rPr>
        <w:t xml:space="preserve">مالا في أثناء الحول فعند تمامه يزكيهما جميعا </w:t>
      </w:r>
      <w:r>
        <w:rPr>
          <w:rStyle w:val="FootnoteAnchor"/>
          <w:rtl w:val="true"/>
        </w:rPr>
        <w:footnoteReference w:id="1581"/>
      </w:r>
      <w:r>
        <w:rPr>
          <w:rFonts w:ascii="IRNazanin" w:hAnsi="IRNazanin" w:eastAsia="IRNazanin"/>
          <w:color w:val="111111"/>
          <w:sz w:val="28"/>
          <w:sz w:val="28"/>
          <w:szCs w:val="28"/>
          <w:rtl w:val="true"/>
          <w:lang w:bidi="fa-IR"/>
        </w:rPr>
        <w:t xml:space="preserve">، و استشهد بهما </w:t>
      </w:r>
      <w:r>
        <w:rPr>
          <w:rStyle w:val="FootnoteAnchor"/>
          <w:rtl w:val="true"/>
        </w:rPr>
        <w:footnoteReference w:id="1582"/>
      </w:r>
      <w:r>
        <w:rPr>
          <w:rFonts w:ascii="Amiri" w:hAnsi="Amiri" w:eastAsia="Amiri" w:cs="Amiri"/>
          <w:color w:val="111111"/>
          <w:sz w:val="28"/>
          <w:sz w:val="28"/>
          <w:szCs w:val="28"/>
          <w:rtl w:val="true"/>
          <w:lang w:bidi="ar-SA"/>
        </w:rPr>
        <w:t xml:space="preserve">في الدروس </w:t>
      </w:r>
      <w:r>
        <w:rPr>
          <w:rStyle w:val="FootnoteAnchor"/>
          <w:rtl w:val="true"/>
        </w:rPr>
        <w:footnoteReference w:id="1583"/>
      </w:r>
      <w:r>
        <w:rPr>
          <w:rFonts w:ascii="IRNazanin" w:hAnsi="IRNazanin" w:eastAsia="IRNazanin"/>
          <w:color w:val="111111"/>
          <w:sz w:val="28"/>
          <w:sz w:val="28"/>
          <w:szCs w:val="28"/>
          <w:rtl w:val="true"/>
          <w:lang w:bidi="fa-IR"/>
        </w:rPr>
        <w:t>على استتباع حول الزرع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اعتبار الحول إنما دلّ على اعتباره فيما يجب فيه الزكاة، كما يظهر من روايتي ابن مسلم </w:t>
      </w:r>
      <w:r>
        <w:rPr>
          <w:rStyle w:val="FootnoteAnchor"/>
          <w:rtl w:val="true"/>
        </w:rPr>
        <w:footnoteReference w:id="1584"/>
      </w:r>
      <w:r>
        <w:rPr>
          <w:rFonts w:ascii="Amiri" w:hAnsi="Amiri" w:eastAsia="Amiri" w:cs="Amiri"/>
          <w:color w:val="111111"/>
          <w:sz w:val="28"/>
          <w:sz w:val="28"/>
          <w:szCs w:val="28"/>
          <w:rtl w:val="true"/>
          <w:lang w:bidi="ar-SA"/>
        </w:rPr>
        <w:t>فإن قلنا بوجوب الزكاة في، النماء فلا محيص عن اعتبار الحول، و إلّا فلا بدّ من القول بعدم وجوب الزكاة فيه،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جرّ عليك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لا يدل على وجه الاشكال، سيّما بعد تفسيرهما بأدلّة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رأس المال طول الحول، فلو نقص منها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انخفاض السعر لم تجب الزكاة إجماعا، كما في المعتبر </w:t>
      </w:r>
      <w:r>
        <w:rPr>
          <w:rStyle w:val="FootnoteAnchor"/>
          <w:rtl w:val="true"/>
        </w:rPr>
        <w:footnoteReference w:id="1585"/>
      </w:r>
      <w:r>
        <w:rPr>
          <w:rFonts w:ascii="IRNazanin" w:hAnsi="IRNazanin" w:eastAsia="IRNazanin"/>
          <w:color w:val="111111"/>
          <w:sz w:val="28"/>
          <w:sz w:val="28"/>
          <w:szCs w:val="28"/>
          <w:rtl w:val="true"/>
          <w:lang w:bidi="fa-IR"/>
        </w:rPr>
        <w:t xml:space="preserve">و عن المنتهى </w:t>
      </w:r>
      <w:r>
        <w:rPr>
          <w:rStyle w:val="FootnoteAnchor"/>
          <w:rtl w:val="true"/>
        </w:rPr>
        <w:footnoteReference w:id="1586"/>
      </w:r>
      <w:r>
        <w:rPr>
          <w:rFonts w:ascii="Amiri" w:hAnsi="Amiri" w:eastAsia="Amiri" w:cs="Amiri"/>
          <w:color w:val="111111"/>
          <w:sz w:val="28"/>
          <w:sz w:val="28"/>
          <w:szCs w:val="28"/>
          <w:rtl w:val="true"/>
          <w:lang w:bidi="ar-SA"/>
        </w:rPr>
        <w:t xml:space="preserve">، و يدلّ عليه الأخبار </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روي أنه إذا مضى عليه أحوال على النقيصة زكّاه لسنة واحدة استحبابا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يشترط في زكاة مال التجارة بقاء عين السلعة 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يشترط، فتثبت الزكاة و إن تبدلت أعيان مال التجارة؟</w:t>
      </w:r>
    </w:p>
    <w:p>
      <w:pPr>
        <w:pStyle w:val="BookText"/>
        <w:rPr/>
      </w:pPr>
      <w:r>
        <w:rPr>
          <w:rFonts w:ascii="Amiri" w:hAnsi="Amiri" w:eastAsia="Amiri" w:cs="Amiri"/>
          <w:color w:val="111111"/>
          <w:sz w:val="28"/>
          <w:sz w:val="28"/>
          <w:szCs w:val="28"/>
          <w:rtl w:val="true"/>
          <w:lang w:bidi="ar-SA"/>
        </w:rPr>
        <w:t xml:space="preserve">ظاهر المحقق في الشرائع </w:t>
      </w:r>
      <w:r>
        <w:rPr>
          <w:rStyle w:val="FootnoteAnchor"/>
          <w:rtl w:val="true"/>
        </w:rPr>
        <w:footnoteReference w:id="1589"/>
      </w:r>
      <w:r>
        <w:rPr>
          <w:rFonts w:ascii="Amiri" w:hAnsi="Amiri" w:eastAsia="Amiri" w:cs="Amiri"/>
          <w:color w:val="111111"/>
          <w:sz w:val="28"/>
          <w:sz w:val="28"/>
          <w:szCs w:val="28"/>
          <w:rtl w:val="true"/>
          <w:lang w:bidi="ar-SA"/>
        </w:rPr>
        <w:t xml:space="preserve">و صريحه في المعتبر </w:t>
      </w:r>
      <w:r>
        <w:rPr>
          <w:rStyle w:val="FootnoteAnchor"/>
          <w:rtl w:val="true"/>
        </w:rPr>
        <w:footnoteReference w:id="1590"/>
      </w:r>
      <w:r>
        <w:rPr>
          <w:rFonts w:ascii="Amiri" w:hAnsi="Amiri" w:eastAsia="Amiri" w:cs="Amiri"/>
          <w:color w:val="111111"/>
          <w:sz w:val="28"/>
          <w:sz w:val="28"/>
          <w:szCs w:val="28"/>
          <w:rtl w:val="true"/>
          <w:lang w:bidi="ar-SA"/>
        </w:rPr>
        <w:t xml:space="preserve">ذلك، و هو المحكي </w:t>
      </w:r>
      <w:r>
        <w:rPr>
          <w:rStyle w:val="FootnoteAnchor"/>
          <w:rtl w:val="true"/>
        </w:rPr>
        <w:footnoteReference w:id="1591"/>
      </w:r>
      <w:r>
        <w:rPr>
          <w:rFonts w:ascii="Amiri" w:hAnsi="Amiri" w:eastAsia="Amiri" w:cs="Amiri"/>
          <w:color w:val="111111"/>
          <w:sz w:val="28"/>
          <w:sz w:val="28"/>
          <w:szCs w:val="28"/>
          <w:rtl w:val="true"/>
          <w:lang w:bidi="ar-SA"/>
        </w:rPr>
        <w:t xml:space="preserve">عن ظاهر المفيد </w:t>
      </w:r>
      <w:r>
        <w:rPr>
          <w:rStyle w:val="FootnoteAnchor"/>
          <w:rtl w:val="true"/>
        </w:rPr>
        <w:footnoteReference w:id="1592"/>
      </w:r>
      <w:r>
        <w:rPr>
          <w:rFonts w:ascii="IRNazanin" w:hAnsi="IRNazanin" w:eastAsia="IRNazanin"/>
          <w:color w:val="111111"/>
          <w:sz w:val="28"/>
          <w:sz w:val="28"/>
          <w:szCs w:val="28"/>
          <w:rtl w:val="true"/>
          <w:lang w:bidi="fa-IR"/>
        </w:rPr>
        <w:t xml:space="preserve">و الصدوق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عدمه؛ لأن الأخبار دلّت على ثبوت الزكاة فيما يتّجر به و يعمل به و فيما يضطرب به من الأموال، و لا ريب أنّ ما يعمل به ليس المراد شخصه؛ لأنه يدفعه التاجر إلى صاحبه الذي يعامل معه، فالمراد الأعم منه و من بدله، فالزكاة في الحقيقة بالمال المتقلّب به في التجارة لا بشخص ما اشتراه للتجارة، نعم مورد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المتاع الذي يبقى حولا إن طلب برأس ماله أو أزيد ففيه الزكاة </w:t>
      </w:r>
      <w:r>
        <w:rPr>
          <w:rStyle w:val="FootnoteAnchor"/>
          <w:rtl w:val="true"/>
        </w:rPr>
        <w:footnoteReference w:id="1594"/>
      </w:r>
      <w:r>
        <w:rPr>
          <w:rFonts w:ascii="IRNazanin" w:hAnsi="IRNazanin" w:eastAsia="IRNazanin"/>
          <w:color w:val="111111"/>
          <w:sz w:val="28"/>
          <w:sz w:val="28"/>
          <w:szCs w:val="28"/>
          <w:rtl w:val="true"/>
          <w:lang w:bidi="fa-IR"/>
        </w:rPr>
        <w:t xml:space="preserve">، و ظاهر اختصاص </w:t>
      </w:r>
      <w:r>
        <w:rPr>
          <w:rStyle w:val="FootnoteAnchor"/>
          <w:rtl w:val="true"/>
        </w:rPr>
        <w:footnoteReference w:id="1595"/>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لأجل اختصاص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تخصيص العمومات</w:t>
      </w:r>
      <w:r>
        <w:rPr>
          <w:rFonts w:eastAsia="Amiri" w:cs="Amiri" w:ascii="Amiri" w:hAnsi="Amiri"/>
          <w:color w:val="111111"/>
          <w:sz w:val="28"/>
          <w:szCs w:val="28"/>
          <w:rtl w:val="true"/>
          <w:lang w:bidi="ar-SA"/>
        </w:rPr>
        <w:t>.</w:t>
      </w:r>
      <w:bookmarkStart w:id="111" w:name="pg19722_766319"/>
    </w:p>
    <w:p>
      <w:pPr>
        <w:pStyle w:val="Heading4"/>
        <w:numPr>
          <w:ilvl w:val="3"/>
          <w:numId w:val="1"/>
        </w:numPr>
        <w:rPr/>
      </w:pPr>
      <w:bookmarkStart w:id="112" w:name="__RefHeading___Toc2136354_2314609296"/>
      <w:bookmarkStart w:id="113" w:name="_Toc39"/>
      <w:bookmarkEnd w:id="111"/>
      <w:bookmarkEnd w:id="112"/>
      <w:r>
        <w:rPr>
          <w:rtl w:val="true"/>
        </w:rPr>
        <w:t xml:space="preserve">مسألة </w:t>
      </w:r>
      <w:r>
        <w:rPr>
          <w:rtl w:val="true"/>
        </w:rPr>
        <w:t>[</w:t>
      </w:r>
      <w:r>
        <w:rPr/>
        <w:t>29</w:t>
      </w:r>
      <w:r>
        <w:rPr>
          <w:rtl w:val="true"/>
        </w:rPr>
        <w:t>]</w:t>
      </w:r>
      <w:bookmarkEnd w:id="113"/>
    </w:p>
    <w:p>
      <w:pPr>
        <w:pStyle w:val="BookText"/>
        <w:rPr/>
      </w:pPr>
      <w:r>
        <w:rPr>
          <w:rFonts w:ascii="Amiri" w:hAnsi="Amiri" w:eastAsia="Amiri" w:cs="Amiri"/>
          <w:color w:val="111111"/>
          <w:sz w:val="28"/>
          <w:sz w:val="28"/>
          <w:szCs w:val="28"/>
          <w:rtl w:val="true"/>
          <w:lang w:bidi="ar-SA"/>
        </w:rPr>
        <w:t xml:space="preserve">اختلف في تعلّق الزكاة في مال التجارة </w:t>
      </w:r>
      <w:r>
        <w:rPr>
          <w:rStyle w:val="FootnoteAnchor"/>
          <w:rtl w:val="true"/>
        </w:rPr>
        <w:footnoteReference w:id="1596"/>
      </w:r>
      <w:r>
        <w:rPr>
          <w:rFonts w:ascii="Amiri" w:hAnsi="Amiri" w:eastAsia="Amiri" w:cs="Amiri"/>
          <w:color w:val="111111"/>
          <w:sz w:val="28"/>
          <w:sz w:val="28"/>
          <w:szCs w:val="28"/>
          <w:rtl w:val="true"/>
          <w:lang w:bidi="ar-SA"/>
        </w:rPr>
        <w:t>بالعين أو القيمة، فالمشهور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و الفاضلان قدّس سرّهما في المعتبر </w:t>
      </w:r>
      <w:r>
        <w:rPr>
          <w:rStyle w:val="FootnoteAnchor"/>
          <w:rtl w:val="true"/>
        </w:rPr>
        <w:footnoteReference w:id="1598"/>
      </w:r>
      <w:r>
        <w:rPr>
          <w:rFonts w:ascii="Amiri" w:hAnsi="Amiri" w:eastAsia="Amiri" w:cs="Amiri"/>
          <w:color w:val="111111"/>
          <w:sz w:val="28"/>
          <w:sz w:val="28"/>
          <w:szCs w:val="28"/>
          <w:rtl w:val="true"/>
          <w:lang w:bidi="ar-SA"/>
        </w:rPr>
        <w:t xml:space="preserve">و محكي التذكرة </w:t>
      </w:r>
      <w:r>
        <w:rPr>
          <w:rStyle w:val="FootnoteAnchor"/>
          <w:rtl w:val="true"/>
        </w:rPr>
        <w:footnoteReference w:id="1599"/>
      </w:r>
      <w:r>
        <w:rPr>
          <w:rFonts w:ascii="Amiri" w:hAnsi="Amiri" w:eastAsia="Amiri" w:cs="Amiri"/>
          <w:color w:val="111111"/>
          <w:sz w:val="28"/>
          <w:sz w:val="28"/>
          <w:szCs w:val="28"/>
          <w:rtl w:val="true"/>
          <w:lang w:bidi="ar-SA"/>
        </w:rPr>
        <w:t xml:space="preserve">على الأول، و تبعهم جمع من متأخري المتأخرين </w:t>
      </w:r>
      <w:r>
        <w:rPr>
          <w:rStyle w:val="FootnoteAnchor"/>
          <w:rtl w:val="true"/>
        </w:rPr>
        <w:footnoteReference w:id="1600"/>
      </w:r>
      <w:r>
        <w:rPr>
          <w:rFonts w:ascii="Amiri" w:hAnsi="Amiri" w:eastAsia="Amiri" w:cs="Amiri"/>
          <w:color w:val="111111"/>
          <w:sz w:val="28"/>
          <w:sz w:val="28"/>
          <w:szCs w:val="28"/>
          <w:rtl w:val="true"/>
          <w:lang w:bidi="ar-SA"/>
        </w:rPr>
        <w:t>، و الحق أنّ المراد بتعلّقها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تعلّقها على نحو تعلّق </w:t>
      </w:r>
      <w:r>
        <w:rPr>
          <w:rStyle w:val="FootnoteAnchor"/>
          <w:rtl w:val="true"/>
        </w:rPr>
        <w:footnoteReference w:id="1601"/>
      </w:r>
      <w:r>
        <w:rPr>
          <w:rFonts w:ascii="Amiri" w:hAnsi="Amiri" w:eastAsia="Amiri" w:cs="Amiri"/>
          <w:color w:val="111111"/>
          <w:sz w:val="28"/>
          <w:sz w:val="28"/>
          <w:szCs w:val="28"/>
          <w:rtl w:val="true"/>
          <w:lang w:bidi="ar-SA"/>
        </w:rPr>
        <w:t xml:space="preserve">الزكاة الواجبة بحيث يحدث عند حلول </w:t>
      </w:r>
      <w:r>
        <w:rPr>
          <w:rStyle w:val="FootnoteAnchor"/>
          <w:rtl w:val="true"/>
        </w:rPr>
        <w:footnoteReference w:id="1602"/>
      </w:r>
      <w:r>
        <w:rPr>
          <w:rFonts w:ascii="Amiri" w:hAnsi="Amiri" w:eastAsia="Amiri" w:cs="Amiri"/>
          <w:color w:val="111111"/>
          <w:sz w:val="28"/>
          <w:sz w:val="28"/>
          <w:szCs w:val="28"/>
          <w:rtl w:val="true"/>
          <w:lang w:bidi="ar-SA"/>
        </w:rPr>
        <w:t>الحول مشاركة للفقراء في العين، فهذا المعنى لا يتصور على القول باستحباب زكاة مال التجارة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أريد به ما قدّمنا تقويته، من أنّ معنى تعلّقها بالعين استحقاق الفقير لأن يدفع إليه من المال قدر خاص، فهذا المعنى يتصور </w:t>
      </w:r>
      <w:r>
        <w:rPr>
          <w:rStyle w:val="FootnoteAnchor"/>
          <w:rtl w:val="true"/>
        </w:rPr>
        <w:footnoteReference w:id="1603"/>
      </w:r>
      <w:r>
        <w:rPr>
          <w:rFonts w:ascii="Amiri" w:hAnsi="Amiri" w:eastAsia="Amiri" w:cs="Amiri"/>
          <w:color w:val="111111"/>
          <w:sz w:val="28"/>
          <w:sz w:val="28"/>
          <w:szCs w:val="28"/>
          <w:rtl w:val="true"/>
          <w:lang w:bidi="ar-SA"/>
        </w:rPr>
        <w:t>على القول بالاستحباب كما في الزكاة المستحبة فيما عدا الغلّات من الحبوب مع الاتفاق على تعلّقها بالعين، و حينئذ فإمّا أن يراد بهذا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دفع جزء من عين</w:t>
      </w:r>
    </w:p>
    <w:p>
      <w:pPr>
        <w:pStyle w:val="BookText"/>
        <w:rPr/>
      </w:pPr>
      <w:r>
        <w:rPr>
          <w:rFonts w:ascii="Amiri" w:hAnsi="Amiri" w:eastAsia="Amiri" w:cs="Amiri"/>
          <w:color w:val="111111"/>
          <w:sz w:val="28"/>
          <w:sz w:val="28"/>
          <w:szCs w:val="28"/>
          <w:rtl w:val="true"/>
          <w:lang w:bidi="ar-SA"/>
        </w:rPr>
        <w:t>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ربع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دفع ربع عشر من قيمة العين، شبيه استحقاق المجنيّ عليه الدية من قيمة العبد، و الديان حقوقهم من تركة الميت، فهذه وجوه ثلاثة في كيفية التعلّق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تعلّقها بالذمة، فهو بمعنى استحقاق الفقراء ما يوازي ربع عشر من مال </w:t>
      </w:r>
      <w:r>
        <w:rPr>
          <w:rStyle w:val="FootnoteAnchor"/>
          <w:rtl w:val="true"/>
        </w:rPr>
        <w:footnoteReference w:id="1604"/>
      </w:r>
      <w:r>
        <w:rPr>
          <w:rFonts w:ascii="Amiri" w:hAnsi="Amiri" w:eastAsia="Amiri" w:cs="Amiri"/>
          <w:color w:val="111111"/>
          <w:sz w:val="28"/>
          <w:sz w:val="28"/>
          <w:szCs w:val="28"/>
          <w:rtl w:val="true"/>
          <w:lang w:bidi="ar-SA"/>
        </w:rPr>
        <w:t>التجارة في ذمة المكلّف، و هذا الوجه بعيد عن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ألف درهم خمسة و عشرين</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عمومات زكاة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خصوص مال التجارة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الأموال المعمول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حال عليها الحول فليزكها</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تزكية المال التي تعلّق بها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التسعة، و الاستحباب في غيرها هو إخراج الزكاة منه أو ضمانه بإخراج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ظواهر ما دلّ على ثبوت الزكاة في مال التجارة؛ فإنّ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اليتيم زكاة حتى يعمل به، أو يتّجر</w:t>
      </w:r>
      <w:r>
        <w:rPr>
          <w:rFonts w:eastAsia="Amiri" w:cs="Amiri" w:ascii="Amiri" w:hAnsi="Amiri"/>
          <w:color w:val="111111"/>
          <w:sz w:val="28"/>
          <w:szCs w:val="28"/>
          <w:rtl w:val="true"/>
          <w:lang w:bidi="ar-SA"/>
        </w:rPr>
        <w:t xml:space="preserve">» </w:t>
      </w:r>
      <w:r>
        <w:rPr>
          <w:rStyle w:val="FootnoteAnchor"/>
          <w:rtl w:val="true"/>
        </w:rPr>
        <w:footnoteReference w:id="1607"/>
      </w:r>
      <w:r>
        <w:rPr>
          <w:rFonts w:ascii="Amiri" w:hAnsi="Amiri" w:eastAsia="Amiri" w:cs="Amiri"/>
          <w:color w:val="111111"/>
          <w:sz w:val="28"/>
          <w:sz w:val="28"/>
          <w:szCs w:val="28"/>
          <w:rtl w:val="true"/>
          <w:lang w:bidi="ar-SA"/>
        </w:rPr>
        <w:t xml:space="preserve">يدلّ على أنّ الثابت مع التجارة </w:t>
      </w:r>
      <w:r>
        <w:rPr>
          <w:rStyle w:val="FootnoteAnchor"/>
          <w:rtl w:val="true"/>
        </w:rPr>
        <w:footnoteReference w:id="1608"/>
      </w:r>
      <w:r>
        <w:rPr>
          <w:rFonts w:ascii="Amiri" w:hAnsi="Amiri" w:eastAsia="Amiri" w:cs="Amiri"/>
          <w:color w:val="111111"/>
          <w:sz w:val="28"/>
          <w:sz w:val="28"/>
          <w:szCs w:val="28"/>
          <w:rtl w:val="true"/>
          <w:lang w:bidi="ar-SA"/>
        </w:rPr>
        <w:t>الظرفية المنفية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الوجوه الثلاثة في التعلّق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منها قد عرفت </w:t>
      </w:r>
      <w:r>
        <w:rPr>
          <w:rStyle w:val="FootnoteAnchor"/>
          <w:rtl w:val="true"/>
        </w:rPr>
        <w:footnoteReference w:id="1609"/>
      </w:r>
      <w:r>
        <w:rPr>
          <w:rFonts w:ascii="Amiri" w:hAnsi="Amiri" w:eastAsia="Amiri" w:cs="Amiri"/>
          <w:color w:val="111111"/>
          <w:sz w:val="28"/>
          <w:sz w:val="28"/>
          <w:szCs w:val="28"/>
          <w:rtl w:val="true"/>
          <w:lang w:bidi="ar-SA"/>
        </w:rPr>
        <w:t xml:space="preserve">ما يخدشه في الزكاة الواجبة، و أنّه لا يتعقّل في المندوبة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الأخيران، و الأظهر أخيرهما، لأن تعلّق الزكاة بمال التجارة باعتبار كونه مالا، لا باعتبار عنواناته </w:t>
      </w:r>
      <w:r>
        <w:rPr>
          <w:rStyle w:val="FootnoteAnchor"/>
          <w:rtl w:val="true"/>
        </w:rPr>
        <w:footnoteReference w:id="1611"/>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ثيابا أو سمنا أو زيتا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فالمأمور بالإخراج منها هو حصة من المال المقابل لهما، المعبّر عنه بالقيمة التي لا بد أن تكون من النقدين، اللّذين هما المعيار شرعا و عرفا في معرفة مقدار مالية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ينبّه </w:t>
      </w:r>
      <w:r>
        <w:rPr>
          <w:rStyle w:val="FootnoteAnchor"/>
          <w:rtl w:val="true"/>
        </w:rPr>
        <w:footnoteReference w:id="1612"/>
      </w:r>
      <w:r>
        <w:rPr>
          <w:rFonts w:ascii="Amiri" w:hAnsi="Amiri" w:eastAsia="Amiri" w:cs="Amiri"/>
          <w:color w:val="111111"/>
          <w:sz w:val="28"/>
          <w:sz w:val="28"/>
          <w:szCs w:val="28"/>
          <w:rtl w:val="true"/>
          <w:lang w:bidi="ar-SA"/>
        </w:rPr>
        <w:t>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ألف خمسة و عشرين</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فإنه كما يدلّ على أنّ في الألف من عين المال خمسة و عشرين كما في النقدين، فكذا يدل على أنّ في الألف الموجود في الأمتعة باعتبار تقوّمها به خمسة و عشرين من ذلك الألف الموجود فيها الملحوظ باعتبار التقويم، و لا يمكن الجمع بين زكاة التجارة و زكاة النقدين في مدلول هذه الروايات إلّا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اختصاصها بمال النقدين خلاف الظاهر، فإنّ وجوب إخراج ربع العشر في زكاة التجارة و إن كان مجمعا عليه </w:t>
      </w:r>
      <w:r>
        <w:rPr>
          <w:rStyle w:val="FootnoteAnchor"/>
          <w:rtl w:val="true"/>
        </w:rPr>
        <w:footnoteReference w:id="1614"/>
      </w:r>
      <w:r>
        <w:rPr>
          <w:rFonts w:ascii="Amiri" w:hAnsi="Amiri" w:eastAsia="Amiri" w:cs="Amiri"/>
          <w:color w:val="111111"/>
          <w:sz w:val="28"/>
          <w:sz w:val="28"/>
          <w:szCs w:val="28"/>
          <w:rtl w:val="true"/>
          <w:lang w:bidi="ar-SA"/>
        </w:rPr>
        <w:t>إلّا أنّ الظاهر استناده إلى مثل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النصاب بالنقدين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إنّما تتعلّق بما حال عليه الحول، و قد عرفت أنّ الأقوى عدم اشتراط بقاء شخص المتاع طول الحول، فالزكاة تتعلّق بالقدر المشترك بين أشخاص الأمتعة الموجودة في الحول، و ليست مشتركة إلّا من حيث القيمة البالغة نصابا الموجودة في الجميع، فالزكاة تتعلّق بذلك المشترك الذي اشترط بقاؤه طول الحول و بلوغه نصابا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ظاهر ما دلّ على اعتبار بقاء رأس المال طول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w:t>
      </w:r>
      <w:r>
        <w:rPr>
          <w:rStyle w:val="FootnoteAnchor"/>
          <w:rtl w:val="true"/>
        </w:rPr>
        <w:footnoteReference w:id="1615"/>
      </w:r>
      <w:r>
        <w:rPr>
          <w:rFonts w:ascii="Amiri" w:hAnsi="Amiri" w:eastAsia="Amiri" w:cs="Amiri"/>
          <w:color w:val="111111"/>
          <w:sz w:val="28"/>
          <w:sz w:val="28"/>
          <w:szCs w:val="28"/>
          <w:rtl w:val="true"/>
          <w:lang w:bidi="ar-SA"/>
        </w:rPr>
        <w:t xml:space="preserve">و العلامة </w:t>
      </w:r>
      <w:r>
        <w:rPr>
          <w:rStyle w:val="FootnoteAnchor"/>
          <w:rtl w:val="true"/>
        </w:rPr>
        <w:footnoteReference w:id="1616"/>
      </w:r>
      <w:r>
        <w:rPr>
          <w:rFonts w:ascii="Amiri" w:hAnsi="Amiri" w:eastAsia="Amiri" w:cs="Amiri"/>
          <w:color w:val="111111"/>
          <w:sz w:val="28"/>
          <w:sz w:val="28"/>
          <w:szCs w:val="28"/>
          <w:rtl w:val="true"/>
          <w:lang w:bidi="ar-SA"/>
        </w:rPr>
        <w:t>و من تأخّر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الاعتبار في تقويم المتاع</w:t>
      </w:r>
    </w:p>
    <w:p>
      <w:pPr>
        <w:pStyle w:val="BookText"/>
        <w:rPr/>
      </w:pPr>
      <w:r>
        <w:rPr>
          <w:rFonts w:ascii="Amiri" w:hAnsi="Amiri" w:eastAsia="Amiri" w:cs="Amiri"/>
          <w:color w:val="111111"/>
          <w:sz w:val="28"/>
          <w:sz w:val="28"/>
          <w:szCs w:val="28"/>
          <w:rtl w:val="true"/>
          <w:lang w:bidi="ar-SA"/>
        </w:rPr>
        <w:t xml:space="preserve">بملاحظة </w:t>
      </w:r>
      <w:r>
        <w:rPr>
          <w:rStyle w:val="FootnoteAnchor"/>
          <w:rtl w:val="true"/>
        </w:rPr>
        <w:footnoteReference w:id="1617"/>
      </w:r>
      <w:r>
        <w:rPr>
          <w:rFonts w:ascii="IRNazanin" w:hAnsi="IRNazanin" w:eastAsia="IRNazanin"/>
          <w:color w:val="111111"/>
          <w:sz w:val="28"/>
          <w:sz w:val="28"/>
          <w:szCs w:val="28"/>
          <w:rtl w:val="true"/>
          <w:lang w:bidi="fa-IR"/>
        </w:rPr>
        <w:t xml:space="preserve">بقاء رأس المال و عدمه، و هو </w:t>
      </w:r>
      <w:r>
        <w:rPr>
          <w:rStyle w:val="FootnoteAnchor"/>
          <w:rtl w:val="true"/>
        </w:rPr>
        <w:footnoteReference w:id="1618"/>
      </w:r>
      <w:r>
        <w:rPr>
          <w:rFonts w:ascii="Amiri" w:hAnsi="Amiri" w:eastAsia="Amiri" w:cs="Amiri"/>
          <w:color w:val="111111"/>
          <w:sz w:val="28"/>
          <w:sz w:val="28"/>
          <w:szCs w:val="28"/>
          <w:rtl w:val="true"/>
          <w:lang w:bidi="ar-SA"/>
        </w:rPr>
        <w:t xml:space="preserve">تقويمه برأس المال الذي وقع الاتجار به في أول الحول، فإن كان مالا حقيقيا محضا كأحد النقدين، فلا حاجة إلى تقويمه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عرضا قوّم بالغالب من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البيان </w:t>
      </w:r>
      <w:r>
        <w:rPr>
          <w:rStyle w:val="FootnoteAnchor"/>
          <w:rtl w:val="true"/>
        </w:rPr>
        <w:footnoteReference w:id="1620"/>
      </w:r>
      <w:r>
        <w:rPr>
          <w:rFonts w:ascii="Amiri" w:hAnsi="Amiri" w:eastAsia="Amiri" w:cs="Amiri"/>
          <w:color w:val="111111"/>
          <w:sz w:val="28"/>
          <w:sz w:val="28"/>
          <w:szCs w:val="28"/>
          <w:rtl w:val="true"/>
          <w:lang w:bidi="ar-SA"/>
        </w:rPr>
        <w:t xml:space="preserve">و المدارك </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المناط في معرفة مقدار ماليّة الأجناس</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باع المتاع في الحول بدنانير و كان رأس المال الذي اشترى به دراهم، قوّم الدنانير دراهم أوّل حول </w:t>
      </w:r>
      <w:r>
        <w:rPr>
          <w:rStyle w:val="FootnoteAnchor"/>
          <w:rtl w:val="true"/>
        </w:rPr>
        <w:footnoteReference w:id="1623"/>
      </w:r>
      <w:r>
        <w:rPr>
          <w:rFonts w:ascii="IRNazanin" w:hAnsi="IRNazanin" w:eastAsia="IRNazanin"/>
          <w:color w:val="111111"/>
          <w:sz w:val="28"/>
          <w:sz w:val="28"/>
          <w:szCs w:val="28"/>
          <w:rtl w:val="true"/>
          <w:lang w:bidi="fa-IR"/>
        </w:rPr>
        <w:t>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الدراهم </w:t>
      </w:r>
      <w:r>
        <w:rPr>
          <w:rStyle w:val="FootnoteAnchor"/>
          <w:rtl w:val="true"/>
        </w:rPr>
        <w:footnoteReference w:id="1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صرّح به </w:t>
      </w:r>
      <w:r>
        <w:rPr>
          <w:rStyle w:val="FootnoteAnchor"/>
          <w:rtl w:val="true"/>
        </w:rPr>
        <w:footnoteReference w:id="1625"/>
      </w:r>
      <w:r>
        <w:rPr>
          <w:rFonts w:ascii="Amiri" w:hAnsi="Amiri" w:eastAsia="Amiri" w:cs="Amiri"/>
          <w:color w:val="111111"/>
          <w:sz w:val="28"/>
          <w:sz w:val="28"/>
          <w:szCs w:val="28"/>
          <w:rtl w:val="true"/>
          <w:lang w:bidi="ar-SA"/>
        </w:rPr>
        <w:t xml:space="preserve">في الدروس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رأس المال إنما يلاحظ من حيث البقاء في الحول و عدمه بالشي‌ء الذي اشترى به مال التجارة إن لم يكن من النقدين و إلّا فبنفسه، و تقويم مال </w:t>
      </w:r>
      <w:r>
        <w:rPr>
          <w:rStyle w:val="FootnoteAnchor"/>
          <w:rtl w:val="true"/>
        </w:rPr>
        <w:footnoteReference w:id="1627"/>
      </w:r>
      <w:r>
        <w:rPr>
          <w:rFonts w:ascii="Amiri" w:hAnsi="Amiri" w:eastAsia="Amiri" w:cs="Amiri"/>
          <w:color w:val="111111"/>
          <w:sz w:val="28"/>
          <w:sz w:val="28"/>
          <w:szCs w:val="28"/>
          <w:rtl w:val="true"/>
          <w:lang w:bidi="ar-SA"/>
        </w:rPr>
        <w:t>التجارة بنقد آخر غير ما اشترى به لا يعرف منه بقاء رأس المال و عدمه، كما لو كان الثمن مائتي درهم و قوّم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في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بثلاثين دينارا، فإنه لا يعلم بقاء مائتي الدرهم </w:t>
      </w:r>
      <w:r>
        <w:rPr>
          <w:rStyle w:val="FootnoteAnchor"/>
          <w:rtl w:val="true"/>
        </w:rPr>
        <w:footnoteReference w:id="1628"/>
      </w:r>
      <w:r>
        <w:rPr>
          <w:rFonts w:ascii="Amiri" w:hAnsi="Amiri" w:eastAsia="Amiri" w:cs="Amiri"/>
          <w:color w:val="111111"/>
          <w:sz w:val="28"/>
          <w:sz w:val="28"/>
          <w:szCs w:val="28"/>
          <w:rtl w:val="true"/>
          <w:lang w:bidi="ar-SA"/>
        </w:rPr>
        <w:t xml:space="preserve">الذي هو رأس المال إلّا بعد تقويم المتاع بالدرهم، و تقويمه بالدينار لا يفيد إلّا إذا رجعنا و قايسنا الدينار بالدرهم </w:t>
      </w:r>
      <w:r>
        <w:rPr>
          <w:rStyle w:val="FootnoteAnchor"/>
          <w:rtl w:val="true"/>
        </w:rPr>
        <w:footnoteReference w:id="162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معرفة النصاب فالظاهر أنّه يكفي فيه بلوغ مال التجارة نصابا باعتبار قيمته التي هي أعم من الدرهم و الدينار، فيجب الزكاة إذا بلغه بأحدهما، و لا دخل في ذلك للثمن </w:t>
      </w:r>
      <w:r>
        <w:rPr>
          <w:rStyle w:val="FootnoteAnchor"/>
          <w:rtl w:val="true"/>
        </w:rPr>
        <w:footnoteReference w:id="1630"/>
      </w:r>
      <w:r>
        <w:rPr>
          <w:rFonts w:ascii="Amiri" w:hAnsi="Amiri" w:eastAsia="Amiri" w:cs="Amiri"/>
          <w:color w:val="111111"/>
          <w:sz w:val="28"/>
          <w:sz w:val="28"/>
          <w:szCs w:val="28"/>
          <w:rtl w:val="true"/>
          <w:lang w:bidi="ar-SA"/>
        </w:rPr>
        <w:t>الذي اشترى به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هذه الزكاة هي زكاة رأس المال، كما يستفاد من ظاهر بعض الأخبار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عملت به ففيه الزكاة</w:t>
      </w:r>
      <w:r>
        <w:rPr>
          <w:rFonts w:eastAsia="Amiri" w:cs="Amiri" w:ascii="Amiri" w:hAnsi="Amiri"/>
          <w:color w:val="111111"/>
          <w:sz w:val="28"/>
          <w:szCs w:val="28"/>
          <w:rtl w:val="true"/>
          <w:lang w:bidi="ar-SA"/>
        </w:rPr>
        <w:t xml:space="preserve">» </w:t>
      </w:r>
      <w:r>
        <w:rPr>
          <w:rStyle w:val="FootnoteAnchor"/>
          <w:rtl w:val="true"/>
        </w:rPr>
        <w:footnoteReference w:id="1631"/>
      </w:r>
      <w:r>
        <w:rPr>
          <w:rFonts w:ascii="Amiri" w:hAnsi="Amiri" w:eastAsia="Amiri" w:cs="Amiri"/>
          <w:color w:val="111111"/>
          <w:sz w:val="28"/>
          <w:sz w:val="28"/>
          <w:szCs w:val="28"/>
          <w:rtl w:val="true"/>
          <w:lang w:bidi="ar-SA"/>
        </w:rPr>
        <w:t>، و ما ورد في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 إلّا أن يتّجر به</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و نحو ذلك، فالمعتبر حينئذ بلوغ رأس المال نصابا، اتّجه التفصيل بين كون رأس المال من أحد النقدين فيعتبر هو بنفسه، حتى أنّه لو كان رأس المال مائتي درهم و تسعة عشر دينارا لم يجب في المال إلّا زكاة الدراهم دون الدنانير و إن كان قيمة المتاع المشتري تبلغ أربعمائة درهم، لكن الظاهر انّ متعلّق الزكاة هو مال التجارة، كما يظهر من كلمات الأصحاب دون رأس المال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عملت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المال بعد تحقق وصف العمل به، و هو الكلي الباقي إلى آخر الحول، دون شخص رأس المال، و حينئذ فإذا اشترى بمائة و ثمانين درهم متاعا يسوى عشرين دينارا </w:t>
      </w:r>
      <w:r>
        <w:rPr>
          <w:rStyle w:val="FootnoteAnchor"/>
          <w:rtl w:val="true"/>
        </w:rPr>
        <w:footnoteReference w:id="1633"/>
      </w:r>
      <w:r>
        <w:rPr>
          <w:rFonts w:ascii="Amiri" w:hAnsi="Amiri" w:eastAsia="Amiri" w:cs="Amiri"/>
          <w:color w:val="111111"/>
          <w:sz w:val="28"/>
          <w:sz w:val="28"/>
          <w:szCs w:val="28"/>
          <w:rtl w:val="true"/>
          <w:lang w:bidi="ar-SA"/>
        </w:rPr>
        <w:t>لكون كلّ دينار</w:t>
      </w:r>
    </w:p>
    <w:p>
      <w:pPr>
        <w:pStyle w:val="BookText"/>
        <w:rPr/>
      </w:pPr>
      <w:r>
        <w:rPr>
          <w:rFonts w:ascii="Amiri" w:hAnsi="Amiri" w:eastAsia="Amiri" w:cs="Amiri"/>
          <w:color w:val="111111"/>
          <w:sz w:val="28"/>
          <w:sz w:val="28"/>
          <w:szCs w:val="28"/>
          <w:rtl w:val="true"/>
          <w:lang w:bidi="ar-SA"/>
        </w:rPr>
        <w:t>تسعة دراهم، جرى في الحول من حين التملك للاكتساب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خطر في الذهن في أول النظر و المسألة بعد تحتاج </w:t>
      </w:r>
      <w:r>
        <w:rPr>
          <w:rStyle w:val="FootnoteAnchor"/>
          <w:rtl w:val="true"/>
        </w:rPr>
        <w:footnoteReference w:id="1634"/>
      </w:r>
      <w:r>
        <w:rPr>
          <w:rFonts w:ascii="Amiri" w:hAnsi="Amiri" w:eastAsia="Amiri" w:cs="Amiri"/>
          <w:color w:val="111111"/>
          <w:sz w:val="28"/>
          <w:sz w:val="28"/>
          <w:szCs w:val="28"/>
          <w:rtl w:val="true"/>
          <w:lang w:bidi="ar-SA"/>
        </w:rPr>
        <w:t>إلى تأمّل</w:t>
      </w:r>
      <w:r>
        <w:rPr>
          <w:rFonts w:eastAsia="Amiri" w:cs="Amiri" w:ascii="Amiri" w:hAnsi="Amiri"/>
          <w:color w:val="111111"/>
          <w:sz w:val="28"/>
          <w:szCs w:val="28"/>
          <w:rtl w:val="true"/>
          <w:lang w:bidi="ar-SA"/>
        </w:rPr>
        <w:t>.</w:t>
      </w:r>
      <w:bookmarkStart w:id="114" w:name="pg19722_766325"/>
    </w:p>
    <w:p>
      <w:pPr>
        <w:pStyle w:val="Heading4"/>
        <w:numPr>
          <w:ilvl w:val="3"/>
          <w:numId w:val="1"/>
        </w:numPr>
        <w:rPr/>
      </w:pPr>
      <w:bookmarkStart w:id="115" w:name="__RefHeading___Toc2136356_2314609296"/>
      <w:bookmarkStart w:id="116" w:name="_Toc40"/>
      <w:bookmarkEnd w:id="114"/>
      <w:bookmarkEnd w:id="115"/>
      <w:r>
        <w:rPr>
          <w:rtl w:val="true"/>
        </w:rPr>
        <w:t xml:space="preserve">مسألة </w:t>
      </w:r>
      <w:r>
        <w:rPr>
          <w:rtl w:val="true"/>
        </w:rPr>
        <w:t>[</w:t>
      </w:r>
      <w:r>
        <w:rPr/>
        <w:t>30</w:t>
      </w:r>
      <w:r>
        <w:rPr>
          <w:rtl w:val="true"/>
        </w:rPr>
        <w:t>]</w:t>
      </w:r>
      <w:bookmarkEnd w:id="116"/>
    </w:p>
    <w:p>
      <w:pPr>
        <w:pStyle w:val="BookText"/>
        <w:rPr/>
      </w:pPr>
      <w:r>
        <w:rPr>
          <w:rFonts w:ascii="Amiri" w:hAnsi="Amiri" w:eastAsia="Amiri" w:cs="Amiri"/>
          <w:color w:val="111111"/>
          <w:sz w:val="28"/>
          <w:sz w:val="28"/>
          <w:szCs w:val="28"/>
          <w:rtl w:val="true"/>
          <w:lang w:bidi="ar-SA"/>
        </w:rPr>
        <w:t xml:space="preserve">إذا قارض ألفا فربح ألفا، فلا إشكال في وجوب زكاة أصل مال التجارة على المالك عند اجتماع الشرائط، و لا في وجوبها في حصته من الربح إذا </w:t>
      </w:r>
      <w:r>
        <w:rPr>
          <w:rStyle w:val="FootnoteAnchor"/>
          <w:rtl w:val="true"/>
        </w:rPr>
        <w:footnoteReference w:id="1635"/>
      </w:r>
      <w:r>
        <w:rPr>
          <w:rFonts w:ascii="Amiri" w:hAnsi="Amiri" w:eastAsia="Amiri" w:cs="Amiri"/>
          <w:color w:val="111111"/>
          <w:sz w:val="28"/>
          <w:sz w:val="28"/>
          <w:szCs w:val="28"/>
          <w:rtl w:val="true"/>
          <w:lang w:bidi="ar-SA"/>
        </w:rPr>
        <w:t xml:space="preserve">بلغ النصاب الثاني و حلّ عليه حول </w:t>
      </w:r>
      <w:r>
        <w:rPr>
          <w:rStyle w:val="FootnoteAnchor"/>
          <w:rtl w:val="true"/>
        </w:rPr>
        <w:footnoteReference w:id="1636"/>
      </w:r>
      <w:r>
        <w:rPr>
          <w:rFonts w:ascii="Amiri" w:hAnsi="Amiri" w:eastAsia="Amiri" w:cs="Amiri"/>
          <w:color w:val="111111"/>
          <w:sz w:val="28"/>
          <w:sz w:val="28"/>
          <w:szCs w:val="28"/>
          <w:rtl w:val="true"/>
          <w:lang w:bidi="ar-SA"/>
        </w:rPr>
        <w:t xml:space="preserve">من حين ظهوره و إن كان في صدق مال التجارة على النماء تأمّل، إلّا أنّ الظاهر أنّه يصدق عليه أنّه مال ملك بعقد </w:t>
      </w:r>
      <w:r>
        <w:rPr>
          <w:rStyle w:val="FootnoteAnchor"/>
          <w:rtl w:val="true"/>
        </w:rPr>
        <w:footnoteReference w:id="1637"/>
      </w:r>
      <w:r>
        <w:rPr>
          <w:rFonts w:ascii="Amiri" w:hAnsi="Amiri" w:eastAsia="Amiri" w:cs="Amiri"/>
          <w:color w:val="111111"/>
          <w:sz w:val="28"/>
          <w:sz w:val="28"/>
          <w:szCs w:val="28"/>
          <w:rtl w:val="true"/>
          <w:lang w:bidi="ar-SA"/>
        </w:rPr>
        <w:t xml:space="preserve">معاوضة لأجل الاكتساب به و لو في ضمن الأصل، و قصد الاكتساب به و لو لم يقصد الاكتساب بالربح عند المعاوضة على الأصل فالظاهر أنّه لا يقدح، بناء على أنّ زمان تملّك النماء زمان ظهوره، و هو لا يحتاج </w:t>
      </w:r>
      <w:r>
        <w:rPr>
          <w:rStyle w:val="FootnoteAnchor"/>
          <w:rtl w:val="true"/>
        </w:rPr>
        <w:footnoteReference w:id="1638"/>
      </w:r>
      <w:r>
        <w:rPr>
          <w:rFonts w:ascii="Amiri" w:hAnsi="Amiri" w:eastAsia="Amiri" w:cs="Amiri"/>
          <w:color w:val="111111"/>
          <w:sz w:val="28"/>
          <w:sz w:val="28"/>
          <w:szCs w:val="28"/>
          <w:rtl w:val="true"/>
          <w:lang w:bidi="ar-SA"/>
        </w:rPr>
        <w:t>إلى معرفة زمان الظهور لتحقق النية عنده، بل قصد الاكتساب بالعين في زمان حدث فيه الربح في نفس الأمر كاف</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زمان تملك الربح زمان تملك العين فيملكه حينئذ، بمعنى أنّه يظهر في ملكه لا أنّه يملكه إذا ظهر؛ و لذا يجوز مصالحة الثمرة المعدومة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الموجود </w:t>
      </w:r>
      <w:r>
        <w:rPr>
          <w:rStyle w:val="FootnoteAnchor"/>
          <w:rtl w:val="true"/>
        </w:rPr>
        <w:footnoteReference w:id="1639"/>
      </w:r>
      <w:r>
        <w:rPr>
          <w:rFonts w:ascii="Amiri" w:hAnsi="Amiri" w:eastAsia="Amiri" w:cs="Amiri"/>
          <w:color w:val="111111"/>
          <w:sz w:val="28"/>
          <w:sz w:val="28"/>
          <w:szCs w:val="28"/>
          <w:rtl w:val="true"/>
          <w:lang w:bidi="ar-SA"/>
        </w:rPr>
        <w:t xml:space="preserve">، بل قيل بجوازها منفردة أزيد من عام، </w:t>
      </w:r>
      <w:r>
        <w:rPr>
          <w:rStyle w:val="FootnoteAnchor"/>
          <w:rtl w:val="true"/>
        </w:rPr>
        <w:footnoteReference w:id="1640"/>
      </w:r>
      <w:r>
        <w:rPr>
          <w:rFonts w:ascii="Amiri" w:hAnsi="Amiri" w:eastAsia="Amiri" w:cs="Amiri"/>
          <w:color w:val="111111"/>
          <w:sz w:val="28"/>
          <w:sz w:val="28"/>
          <w:szCs w:val="28"/>
          <w:rtl w:val="true"/>
          <w:lang w:bidi="ar-SA"/>
        </w:rPr>
        <w:t>فيعتبر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عند المعاوضة على الأصل بأن يقصد التجارة به و بنمائه، و هذا القصد في المتّصل يتحقّق تبعا، و أما في المنفصل كالثمرة و النتاج،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فالاكتفاء بحصول نية الاكتساب عليه بالاكتساب</w:t>
      </w:r>
      <w:r>
        <w:rPr>
          <w:rFonts w:eastAsia="Amiri" w:cs="Amiri" w:ascii="Amiri" w:hAnsi="Amiri"/>
          <w:color w:val="111111"/>
          <w:sz w:val="28"/>
          <w:szCs w:val="28"/>
          <w:rtl w:val="true"/>
          <w:lang w:bidi="ar-SA"/>
        </w:rPr>
        <w:t xml:space="preserve">] </w:t>
      </w:r>
      <w:r>
        <w:rPr>
          <w:rStyle w:val="FootnoteAnchor"/>
          <w:rtl w:val="true"/>
        </w:rPr>
        <w:footnoteReference w:id="1641"/>
      </w:r>
      <w:r>
        <w:rPr>
          <w:rFonts w:ascii="Amiri" w:hAnsi="Amiri" w:eastAsia="Amiri" w:cs="Amiri"/>
          <w:color w:val="111111"/>
          <w:sz w:val="28"/>
          <w:sz w:val="28"/>
          <w:szCs w:val="28"/>
          <w:rtl w:val="true"/>
          <w:lang w:bidi="ar-SA"/>
        </w:rPr>
        <w:t xml:space="preserve">بالأصل غير واضح، نعم لو قلنا بعدم اعتبار مقارنة نية الاكتساب بالتملك كما نبّه </w:t>
      </w:r>
      <w:r>
        <w:rPr>
          <w:rStyle w:val="FootnoteAnchor"/>
          <w:rtl w:val="true"/>
        </w:rPr>
        <w:footnoteReference w:id="1642"/>
      </w:r>
      <w:r>
        <w:rPr>
          <w:rFonts w:ascii="Amiri" w:hAnsi="Amiri" w:eastAsia="Amiri" w:cs="Amiri"/>
          <w:color w:val="111111"/>
          <w:sz w:val="28"/>
          <w:sz w:val="28"/>
          <w:szCs w:val="28"/>
          <w:rtl w:val="true"/>
          <w:lang w:bidi="ar-SA"/>
        </w:rPr>
        <w:t xml:space="preserve">عليه جماعة </w:t>
      </w:r>
      <w:r>
        <w:rPr>
          <w:rStyle w:val="FootnoteAnchor"/>
          <w:rtl w:val="true"/>
        </w:rPr>
        <w:footnoteReference w:id="1643"/>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حصة العامل من الربح،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لا يملك الحصّة بل يستحق الأجرة، فلا إشكال في عدم وجوب الزكاة على العامل و وجوبها على المالك؛ لأن اجرة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كالدين عليه لا يمنع </w:t>
      </w:r>
      <w:r>
        <w:rPr>
          <w:rStyle w:val="FootnoteAnchor"/>
          <w:rtl w:val="true"/>
        </w:rPr>
        <w:footnoteReference w:id="1644"/>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قلنا بتملكه بمعنى ترتّب بعض أحكام الملك عليه كإنفاق مقدار حصته بمن </w:t>
      </w:r>
      <w:r>
        <w:rPr>
          <w:rStyle w:val="FootnoteAnchor"/>
          <w:rtl w:val="true"/>
        </w:rPr>
        <w:footnoteReference w:id="1645"/>
      </w:r>
      <w:r>
        <w:rPr>
          <w:rFonts w:ascii="Amiri" w:hAnsi="Amiri" w:eastAsia="Amiri" w:cs="Amiri"/>
          <w:color w:val="111111"/>
          <w:sz w:val="28"/>
          <w:sz w:val="28"/>
          <w:szCs w:val="28"/>
          <w:rtl w:val="true"/>
          <w:lang w:bidi="ar-SA"/>
        </w:rPr>
        <w:t xml:space="preserve">ينفق عليه إذا اشتراه من مال القراض، لا الملك الحقيقي، و لهذا لا يملك ربح الربح، و لا يستحق من ربح ثلاثين في </w:t>
      </w:r>
      <w:r>
        <w:rPr>
          <w:rStyle w:val="FootnoteAnchor"/>
          <w:rtl w:val="true"/>
        </w:rPr>
        <w:footnoteReference w:id="1646"/>
      </w:r>
      <w:r>
        <w:rPr>
          <w:rFonts w:ascii="Amiri" w:hAnsi="Amiri" w:eastAsia="Amiri" w:cs="Amiri"/>
          <w:color w:val="111111"/>
          <w:sz w:val="28"/>
          <w:sz w:val="28"/>
          <w:szCs w:val="28"/>
          <w:rtl w:val="true"/>
          <w:lang w:bidi="ar-SA"/>
        </w:rPr>
        <w:t>عشرة، ثم ربح عشرين في مجموع الأربعين إلّا ثلث مجموع الربح، و هو الخمسون لا عشرين منه، فلا زكاة أيضا؛ إذ لا زكاة إلّا على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يكون على المالك؟</w:t>
      </w:r>
    </w:p>
    <w:p>
      <w:pPr>
        <w:pStyle w:val="BookText"/>
        <w:rPr/>
      </w:pPr>
      <w:r>
        <w:rPr>
          <w:rFonts w:ascii="Amiri" w:hAnsi="Amiri" w:eastAsia="Amiri" w:cs="Amiri"/>
          <w:color w:val="111111"/>
          <w:sz w:val="28"/>
          <w:sz w:val="28"/>
          <w:szCs w:val="28"/>
          <w:rtl w:val="true"/>
          <w:lang w:bidi="ar-SA"/>
        </w:rPr>
        <w:t>فيه إشكال، 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الجميع ملكه، و من أنه ممنوع من التصرف فيه؛ لتأكد حق العامل فيها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 بتملكه للحصّة حقيقة، و انّ عدم تملك ربح الربح لموانع؛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على</w:t>
      </w:r>
    </w:p>
    <w:p>
      <w:pPr>
        <w:pStyle w:val="BookText"/>
        <w:rPr/>
      </w:pPr>
      <w:r>
        <w:rPr>
          <w:rFonts w:ascii="Amiri" w:hAnsi="Amiri" w:eastAsia="Amiri" w:cs="Amiri"/>
          <w:color w:val="111111"/>
          <w:sz w:val="28"/>
          <w:sz w:val="28"/>
          <w:szCs w:val="28"/>
          <w:rtl w:val="true"/>
          <w:lang w:bidi="ar-SA"/>
        </w:rPr>
        <w:t xml:space="preserve">المالك أن يستحقّ بالشرط الذي وقع منهما من استحقاقه حصّة خاصة خلاف مقتضى ذلك، و هو استحقاق الأزيد، فإن قلنا بأنّ الملك موقوف على </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 xml:space="preserve">أو القسمة </w:t>
      </w:r>
      <w:r>
        <w:rPr>
          <w:rStyle w:val="FootnoteAnchor"/>
          <w:rtl w:val="true"/>
        </w:rPr>
        <w:footnoteReference w:id="1648"/>
      </w:r>
      <w:r>
        <w:rPr>
          <w:rFonts w:ascii="Amiri" w:hAnsi="Amiri" w:eastAsia="Amiri" w:cs="Amiri"/>
          <w:color w:val="111111"/>
          <w:sz w:val="28"/>
          <w:sz w:val="28"/>
          <w:szCs w:val="28"/>
          <w:rtl w:val="true"/>
          <w:lang w:bidi="ar-SA"/>
        </w:rPr>
        <w:t>أو الفسخ، فلا زكاة أيضا؛ و إن قلنا بكون هذه الأمور كاشفة عن تملكه عند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زكاتها لا يجب على المالك أيضا؛ لأنه غير مالك، لأنه مع البقاء للعامل و مع التلف فيقدّم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قلنا بملكه حقيقة بالظهور ففي الزكاة </w:t>
      </w:r>
      <w:r>
        <w:rPr>
          <w:rStyle w:val="FootnoteAnchor"/>
          <w:rtl w:val="true"/>
        </w:rPr>
        <w:footnoteReference w:id="1650"/>
      </w:r>
      <w:r>
        <w:rPr>
          <w:rFonts w:ascii="Amiri" w:hAnsi="Amiri" w:eastAsia="Amiri" w:cs="Amiri"/>
          <w:color w:val="111111"/>
          <w:sz w:val="28"/>
          <w:sz w:val="28"/>
          <w:szCs w:val="28"/>
          <w:rtl w:val="true"/>
          <w:lang w:bidi="ar-SA"/>
        </w:rPr>
        <w:t>فيه أيضا إشكال، من حيث عدم تمامية الملك لتزلزله باحتمال طروّ الخسران الموجب لمقابلته به، لكون الربح وقاية لرأس المال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w:t>
      </w:r>
      <w:r>
        <w:rPr>
          <w:rStyle w:val="FootnoteAnchor"/>
          <w:rtl w:val="true"/>
        </w:rPr>
        <w:footnoteReference w:id="1651"/>
      </w:r>
      <w:r>
        <w:rPr>
          <w:rFonts w:ascii="Amiri" w:hAnsi="Amiri" w:eastAsia="Amiri" w:cs="Amiri"/>
          <w:color w:val="111111"/>
          <w:sz w:val="28"/>
          <w:sz w:val="28"/>
          <w:szCs w:val="28"/>
          <w:rtl w:val="true"/>
          <w:lang w:bidi="ar-SA"/>
        </w:rPr>
        <w:t xml:space="preserve">أنّ أصالة عدم طروّ </w:t>
      </w:r>
      <w:r>
        <w:rPr>
          <w:rStyle w:val="FootnoteAnchor"/>
          <w:rtl w:val="true"/>
        </w:rPr>
        <w:footnoteReference w:id="1652"/>
      </w:r>
      <w:r>
        <w:rPr>
          <w:rFonts w:ascii="Amiri" w:hAnsi="Amiri" w:eastAsia="Amiri" w:cs="Amiri"/>
          <w:color w:val="111111"/>
          <w:sz w:val="28"/>
          <w:sz w:val="28"/>
          <w:szCs w:val="28"/>
          <w:rtl w:val="true"/>
          <w:lang w:bidi="ar-SA"/>
        </w:rPr>
        <w:t xml:space="preserve">الخسران لا يرفع التزلزل؛ لأن معنى التزلزل هو كونه في مقابل الناقص على تقدير تحقق الخسران، و هو المعبّر عنه بالوقاية، فهي وقاية بالفعل </w:t>
      </w:r>
      <w:r>
        <w:rPr>
          <w:rStyle w:val="FootnoteAnchor"/>
          <w:rtl w:val="true"/>
        </w:rPr>
        <w:footnoteReference w:id="1653"/>
      </w:r>
      <w:r>
        <w:rPr>
          <w:rFonts w:ascii="Amiri" w:hAnsi="Amiri" w:eastAsia="Amiri" w:cs="Amiri"/>
          <w:color w:val="111111"/>
          <w:sz w:val="28"/>
          <w:sz w:val="28"/>
          <w:szCs w:val="28"/>
          <w:rtl w:val="true"/>
          <w:lang w:bidi="ar-SA"/>
        </w:rPr>
        <w:t>قطعا، و إن لم يكن تداركا فعليا قبل الخسران، فهو أدون من مال الرهن، إلّا أن يحكم بالوجوب من حيث تسلّطه على رفع هذا التزلزل بالفسخ و نحوه، مع أنّ المانع من وجوب الزكاة هو التزلزل من حيث الحدوث لا من حيث البقاء، و لهذا لا يمنعها جواز العقود المملكة للنصاب و أشرافها على رجوع المالك، و ما نحن فيه من هذا القبيل بعد حكم الشارع بأنّ الخسارة ترد على الربح و التزامهما بذلك، كما لا اشكال من جهة كونه مالا</w:t>
      </w:r>
    </w:p>
    <w:p>
      <w:pPr>
        <w:pStyle w:val="BookText"/>
        <w:rPr/>
      </w:pPr>
      <w:r>
        <w:rPr>
          <w:rFonts w:ascii="Amiri" w:hAnsi="Amiri" w:eastAsia="Amiri" w:cs="Amiri"/>
          <w:color w:val="111111"/>
          <w:sz w:val="28"/>
          <w:sz w:val="28"/>
          <w:szCs w:val="28"/>
          <w:rtl w:val="true"/>
          <w:lang w:bidi="ar-SA"/>
        </w:rPr>
        <w:t>مشتركا، إذ الشركة لا تمنع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تحقّق الأمر بالإخراج من نفس المال، أو بالأداء من الخارج، الظاهر هو الأول؛ لإطلاق الأمر بالإخراج</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زكاة حصة العامل يحسب من نصيبه، لا أنه من قبيل المؤن اللاحقة للمال الموضوعة من أصل الربح، كما أنّ زكاة حصّة المالك إذا أخرجها من المال تجب عليه من الأصل و الربح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استقرب المصنّف </w:t>
      </w:r>
      <w:r>
        <w:rPr>
          <w:rStyle w:val="FootnoteAnchor"/>
          <w:rtl w:val="true"/>
        </w:rPr>
        <w:footnoteReference w:id="1654"/>
      </w:r>
      <w:r>
        <w:rPr>
          <w:rFonts w:ascii="Amiri" w:hAnsi="Amiri" w:eastAsia="Amiri" w:cs="Amiri"/>
          <w:color w:val="111111"/>
          <w:sz w:val="28"/>
          <w:sz w:val="28"/>
          <w:szCs w:val="28"/>
          <w:rtl w:val="true"/>
          <w:lang w:bidi="ar-SA"/>
        </w:rPr>
        <w:t xml:space="preserve">في محكي النهاية أنّها إذا أخرجت من العين فهي كالمؤن لا تحتسب على العامل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bookmarkStart w:id="117" w:name="pg19722_766329"/>
    </w:p>
    <w:p>
      <w:pPr>
        <w:pStyle w:val="Heading4"/>
        <w:numPr>
          <w:ilvl w:val="3"/>
          <w:numId w:val="1"/>
        </w:numPr>
        <w:rPr/>
      </w:pPr>
      <w:bookmarkStart w:id="118" w:name="__RefHeading___Toc2136358_2314609296"/>
      <w:bookmarkStart w:id="119" w:name="_Toc41"/>
      <w:bookmarkEnd w:id="117"/>
      <w:bookmarkEnd w:id="118"/>
      <w:r>
        <w:rPr>
          <w:rtl w:val="true"/>
        </w:rPr>
        <w:t xml:space="preserve">مسألة </w:t>
      </w:r>
      <w:r>
        <w:rPr>
          <w:rtl w:val="true"/>
        </w:rPr>
        <w:t>[</w:t>
      </w:r>
      <w:r>
        <w:rPr/>
        <w:t>31</w:t>
      </w:r>
      <w:r>
        <w:rPr>
          <w:rtl w:val="true"/>
        </w:rPr>
        <w:t>]</w:t>
      </w:r>
      <w:bookmarkEnd w:id="119"/>
    </w:p>
    <w:p>
      <w:pPr>
        <w:pStyle w:val="BookText"/>
        <w:rPr/>
      </w:pPr>
      <w:r>
        <w:rPr>
          <w:rFonts w:ascii="Amiri" w:hAnsi="Amiri" w:eastAsia="Amiri" w:cs="Amiri"/>
          <w:color w:val="111111"/>
          <w:sz w:val="28"/>
          <w:sz w:val="28"/>
          <w:szCs w:val="28"/>
          <w:rtl w:val="true"/>
          <w:lang w:bidi="ar-SA"/>
        </w:rPr>
        <w:t xml:space="preserve">الأقوى كون المسكين أسوأ حالا من الفقير و ان كان مشاركا للفقير في عدم تملّك ما يكفيه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 لا يملك شيئا كما في البيان </w:t>
      </w:r>
      <w:r>
        <w:rPr>
          <w:rStyle w:val="FootnoteAnchor"/>
          <w:rtl w:val="true"/>
        </w:rPr>
        <w:footnoteReference w:id="1656"/>
      </w:r>
      <w:r>
        <w:rPr>
          <w:rFonts w:ascii="Amiri" w:hAnsi="Amiri" w:eastAsia="Amiri" w:cs="Amiri"/>
          <w:color w:val="111111"/>
          <w:sz w:val="28"/>
          <w:sz w:val="28"/>
          <w:szCs w:val="28"/>
          <w:rtl w:val="true"/>
          <w:lang w:bidi="ar-SA"/>
        </w:rPr>
        <w:t xml:space="preserve">و غيره </w:t>
      </w:r>
      <w:r>
        <w:rPr>
          <w:rStyle w:val="FootnoteAnchor"/>
          <w:rtl w:val="true"/>
        </w:rPr>
        <w:footnoteReference w:id="1657"/>
      </w:r>
      <w:r>
        <w:rPr>
          <w:rFonts w:ascii="IRNazanin" w:hAnsi="IRNazanin" w:eastAsia="IRNazanin"/>
          <w:color w:val="111111"/>
          <w:sz w:val="28"/>
          <w:sz w:val="28"/>
          <w:szCs w:val="28"/>
          <w:rtl w:val="true"/>
          <w:lang w:bidi="fa-IR"/>
        </w:rPr>
        <w:t>أو مالا</w:t>
      </w:r>
      <w:r>
        <w:rPr>
          <w:rFonts w:eastAsia="IRNazanin" w:cs="IRNazanin"/>
          <w:color w:val="111111"/>
          <w:sz w:val="28"/>
          <w:szCs w:val="28"/>
          <w:rtl w:val="true"/>
          <w:lang w:bidi="fa-IR"/>
        </w:rPr>
        <w:t xml:space="preserve">] </w:t>
      </w:r>
      <w:r>
        <w:rPr>
          <w:rStyle w:val="FootnoteAnchor"/>
          <w:rtl w:val="true"/>
        </w:rPr>
        <w:footnoteReference w:id="1658"/>
      </w:r>
      <w:r>
        <w:rPr>
          <w:rFonts w:ascii="Amiri" w:hAnsi="Amiri" w:eastAsia="Amiri" w:cs="Amiri"/>
          <w:color w:val="111111"/>
          <w:sz w:val="28"/>
          <w:sz w:val="28"/>
          <w:szCs w:val="28"/>
          <w:rtl w:val="true"/>
          <w:lang w:bidi="ar-SA"/>
        </w:rPr>
        <w:t xml:space="preserve">وفاقا للمحكي عن جماعة من القدماء و جمهور المتأخرين </w:t>
      </w:r>
      <w:r>
        <w:rPr>
          <w:rStyle w:val="FootnoteAnchor"/>
          <w:rtl w:val="true"/>
        </w:rPr>
        <w:footnoteReference w:id="1659"/>
      </w:r>
      <w:r>
        <w:rPr>
          <w:rFonts w:ascii="Amiri" w:hAnsi="Amiri" w:eastAsia="Amiri" w:cs="Amiri"/>
          <w:color w:val="111111"/>
          <w:sz w:val="28"/>
          <w:sz w:val="28"/>
          <w:szCs w:val="28"/>
          <w:rtl w:val="true"/>
          <w:lang w:bidi="ar-SA"/>
        </w:rPr>
        <w:t xml:space="preserve">، و عن الغنية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الإجماع عليه، و هو المحكي عن جماعة من أهل اللغة، بل عن بعض العبائر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المشهور </w:t>
      </w:r>
      <w:r>
        <w:rPr>
          <w:rStyle w:val="FootnoteAnchor"/>
          <w:rtl w:val="true"/>
        </w:rPr>
        <w:footnoteReference w:id="1662"/>
      </w:r>
      <w:r>
        <w:rPr>
          <w:rFonts w:ascii="Amiri" w:hAnsi="Amiri" w:eastAsia="Amiri" w:cs="Amiri"/>
          <w:color w:val="111111"/>
          <w:sz w:val="28"/>
          <w:sz w:val="28"/>
          <w:szCs w:val="28"/>
          <w:rtl w:val="true"/>
          <w:lang w:bidi="ar-SA"/>
        </w:rPr>
        <w:t>بينهم، لمساعدة العرف، و لصحيحة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الفقير الذي لا يسأل الناس، و المسكين أجهد منه الذي يسأل</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حسنة أبي بصير بالكاهلي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المسكين من المسكنة و هي الذلّة، فقد أخذ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الحاجة المأخوذة فيه و في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الذلّة الزائدة على أصل الفقر، و ليس المراد مطلق الذلّة، بل الذلّة من حيث الفقر، فحاصله يرجع إلى فقير يذلّ </w:t>
      </w:r>
      <w:r>
        <w:rPr>
          <w:rStyle w:val="FootnoteAnchor"/>
          <w:rtl w:val="true"/>
        </w:rPr>
        <w:footnoteReference w:id="1665"/>
      </w:r>
      <w:r>
        <w:rPr>
          <w:rFonts w:ascii="Amiri" w:hAnsi="Amiri" w:eastAsia="Amiri" w:cs="Amiri"/>
          <w:color w:val="111111"/>
          <w:sz w:val="28"/>
          <w:sz w:val="28"/>
          <w:szCs w:val="28"/>
          <w:rtl w:val="true"/>
          <w:lang w:bidi="ar-SA"/>
        </w:rPr>
        <w:t xml:space="preserve">، فهو أخصّ من مطلق الفقر، خلافا للمحكي عن جماعة </w:t>
      </w:r>
      <w:r>
        <w:rPr>
          <w:rStyle w:val="FootnoteAnchor"/>
          <w:rtl w:val="true"/>
        </w:rPr>
        <w:footnoteReference w:id="1666"/>
      </w:r>
      <w:r>
        <w:rPr>
          <w:rFonts w:ascii="Amiri" w:hAnsi="Amiri" w:eastAsia="Amiri" w:cs="Amiri"/>
          <w:color w:val="111111"/>
          <w:sz w:val="28"/>
          <w:sz w:val="28"/>
          <w:szCs w:val="28"/>
          <w:rtl w:val="true"/>
          <w:lang w:bidi="ar-SA"/>
        </w:rPr>
        <w:t>فقالوا بالعكس، و كون الفقير أسوأ حالا مستدلّين على ذلك بما لا ينهض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المحكي عن جماعة و المصرّح </w:t>
      </w:r>
      <w:r>
        <w:rPr>
          <w:rStyle w:val="FootnoteAnchor"/>
          <w:rtl w:val="true"/>
        </w:rPr>
        <w:footnoteReference w:id="1667"/>
      </w:r>
      <w:r>
        <w:rPr>
          <w:rFonts w:ascii="Amiri" w:hAnsi="Amiri" w:eastAsia="Amiri" w:cs="Amiri"/>
          <w:color w:val="111111"/>
          <w:sz w:val="28"/>
          <w:sz w:val="28"/>
          <w:szCs w:val="28"/>
          <w:rtl w:val="true"/>
          <w:lang w:bidi="ar-SA"/>
        </w:rPr>
        <w:t>به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دخول أحدهما في الآخر إذا انفرد </w:t>
      </w:r>
      <w:r>
        <w:rPr>
          <w:rStyle w:val="FootnoteAnchor"/>
          <w:rtl w:val="true"/>
        </w:rPr>
        <w:footnoteReference w:id="1668"/>
      </w:r>
      <w:r>
        <w:rPr>
          <w:rFonts w:ascii="Amiri" w:hAnsi="Amiri" w:eastAsia="Amiri" w:cs="Amiri"/>
          <w:color w:val="111111"/>
          <w:sz w:val="28"/>
          <w:sz w:val="28"/>
          <w:szCs w:val="28"/>
          <w:rtl w:val="true"/>
          <w:lang w:bidi="ar-SA"/>
        </w:rPr>
        <w:t>، و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الشيخ </w:t>
      </w:r>
      <w:r>
        <w:rPr>
          <w:rStyle w:val="FootnoteAnchor"/>
          <w:rtl w:val="true"/>
        </w:rPr>
        <w:footnoteReference w:id="1669"/>
      </w:r>
      <w:r>
        <w:rPr>
          <w:rFonts w:ascii="Amiri" w:hAnsi="Amiri" w:eastAsia="Amiri" w:cs="Amiri"/>
          <w:color w:val="111111"/>
          <w:sz w:val="28"/>
          <w:sz w:val="28"/>
          <w:szCs w:val="28"/>
          <w:rtl w:val="true"/>
          <w:lang w:bidi="ar-SA"/>
        </w:rPr>
        <w:t xml:space="preserve">و الراوندي </w:t>
      </w:r>
      <w:r>
        <w:rPr>
          <w:rStyle w:val="FootnoteAnchor"/>
          <w:rtl w:val="true"/>
        </w:rPr>
        <w:footnoteReference w:id="1670"/>
      </w:r>
      <w:r>
        <w:rPr>
          <w:rFonts w:ascii="IRNazanin" w:hAnsi="IRNazanin" w:eastAsia="IRNazanin"/>
          <w:color w:val="111111"/>
          <w:sz w:val="28"/>
          <w:sz w:val="28"/>
          <w:szCs w:val="28"/>
          <w:rtl w:val="true"/>
          <w:lang w:bidi="fa-IR"/>
        </w:rPr>
        <w:t xml:space="preserve">و الفاضل </w:t>
      </w:r>
      <w:r>
        <w:rPr>
          <w:rStyle w:val="FootnoteAnchor"/>
          <w:rtl w:val="true"/>
        </w:rPr>
        <w:footnoteReference w:id="1671"/>
      </w:r>
      <w:r>
        <w:rPr>
          <w:rFonts w:ascii="Amiri" w:hAnsi="Amiri" w:eastAsia="Amiri" w:cs="Amiri"/>
          <w:color w:val="111111"/>
          <w:sz w:val="28"/>
          <w:sz w:val="28"/>
          <w:szCs w:val="28"/>
          <w:rtl w:val="true"/>
          <w:lang w:bidi="ar-SA"/>
        </w:rPr>
        <w:t>دخول أحدهما في إطلاق لفظ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أرادوا به حقيقة ففيه منع، و يوافقون على أنّهما إذا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فصل مميّز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ذيل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Style w:val="FootnoteAnchor"/>
          <w:rtl w:val="true"/>
        </w:rPr>
        <w:footnoteReference w:id="1673"/>
      </w:r>
      <w:r>
        <w:rPr>
          <w:rFonts w:ascii="Amiri" w:hAnsi="Amiri" w:eastAsia="Amiri" w:cs="Amiri"/>
          <w:color w:val="111111"/>
          <w:sz w:val="28"/>
          <w:sz w:val="28"/>
          <w:szCs w:val="28"/>
          <w:rtl w:val="true"/>
          <w:lang w:bidi="ar-SA"/>
        </w:rPr>
        <w:t xml:space="preserve">إذا وافقوا في ثبوت المميّز مع اجتماعهما في الذكر، فليس في صورة الانفراد ما يوجب إرادة القدر المشترك منهما </w:t>
      </w:r>
      <w:r>
        <w:rPr>
          <w:rStyle w:val="FootnoteAnchor"/>
          <w:rtl w:val="true"/>
        </w:rPr>
        <w:footnoteReference w:id="1674"/>
      </w:r>
      <w:r>
        <w:rPr>
          <w:rFonts w:ascii="IRNazanin" w:hAnsi="IRNazanin" w:eastAsia="IRNazanin"/>
          <w:color w:val="111111"/>
          <w:sz w:val="28"/>
          <w:sz w:val="28"/>
          <w:szCs w:val="28"/>
          <w:rtl w:val="true"/>
          <w:lang w:bidi="fa-IR"/>
        </w:rPr>
        <w:t>إذا أطلق،</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استشكل في كفّارات القواعد في إجزاء إطعام الفقراء عن المساكين إذا لم نقل بأن الفقير أسوأ حالا </w:t>
      </w:r>
      <w:r>
        <w:rPr>
          <w:rStyle w:val="FootnoteAnchor"/>
          <w:rtl w:val="true"/>
        </w:rPr>
        <w:footnoteReference w:id="1675"/>
      </w:r>
      <w:r>
        <w:rPr>
          <w:rFonts w:ascii="Amiri" w:hAnsi="Amiri" w:eastAsia="Amiri" w:cs="Amiri"/>
          <w:color w:val="111111"/>
          <w:sz w:val="28"/>
          <w:sz w:val="28"/>
          <w:szCs w:val="28"/>
          <w:rtl w:val="true"/>
          <w:lang w:bidi="ar-SA"/>
        </w:rPr>
        <w:t xml:space="preserve">، و كذا في الوصية </w:t>
      </w:r>
      <w:r>
        <w:rPr>
          <w:rStyle w:val="FootnoteAnchor"/>
          <w:rtl w:val="true"/>
        </w:rPr>
        <w:footnoteReference w:id="1676"/>
      </w:r>
      <w:r>
        <w:rPr>
          <w:rFonts w:ascii="Amiri" w:hAnsi="Amiri" w:eastAsia="Amiri" w:cs="Amiri"/>
          <w:color w:val="111111"/>
          <w:sz w:val="28"/>
          <w:sz w:val="28"/>
          <w:szCs w:val="28"/>
          <w:rtl w:val="true"/>
          <w:lang w:bidi="ar-SA"/>
        </w:rPr>
        <w:t xml:space="preserve">، و اختار في الإيضاح </w:t>
      </w:r>
      <w:r>
        <w:rPr>
          <w:rStyle w:val="FootnoteAnchor"/>
          <w:rtl w:val="true"/>
        </w:rPr>
        <w:footnoteReference w:id="1677"/>
      </w:r>
      <w:r>
        <w:rPr>
          <w:rFonts w:ascii="Amiri" w:hAnsi="Amiri" w:eastAsia="Amiri" w:cs="Amiri"/>
          <w:color w:val="111111"/>
          <w:sz w:val="28"/>
          <w:sz w:val="28"/>
          <w:szCs w:val="28"/>
          <w:rtl w:val="true"/>
          <w:lang w:bidi="ar-SA"/>
        </w:rPr>
        <w:t xml:space="preserve">و محكي جامع المقاصد </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الدخول، و لم يرجّح في وصية الدروس </w:t>
      </w:r>
      <w:r>
        <w:rPr>
          <w:rStyle w:val="FootnoteAnchor"/>
          <w:rtl w:val="true"/>
        </w:rPr>
        <w:footnoteReference w:id="1679"/>
      </w:r>
      <w:r>
        <w:rPr>
          <w:rFonts w:ascii="Amiri" w:hAnsi="Amiri" w:eastAsia="Amiri" w:cs="Amiri"/>
          <w:color w:val="111111"/>
          <w:sz w:val="28"/>
          <w:sz w:val="28"/>
          <w:szCs w:val="28"/>
          <w:rtl w:val="true"/>
          <w:lang w:bidi="ar-SA"/>
        </w:rPr>
        <w:t xml:space="preserve">شيئا، إلّا أن الظاهر </w:t>
      </w:r>
      <w:r>
        <w:rPr>
          <w:rStyle w:val="FootnoteAnchor"/>
          <w:rtl w:val="true"/>
        </w:rPr>
        <w:footnoteReference w:id="1680"/>
      </w:r>
      <w:r>
        <w:rPr>
          <w:rFonts w:ascii="Amiri" w:hAnsi="Amiri" w:eastAsia="Amiri" w:cs="Amiri"/>
          <w:color w:val="111111"/>
          <w:sz w:val="28"/>
          <w:sz w:val="28"/>
          <w:szCs w:val="28"/>
          <w:rtl w:val="true"/>
          <w:lang w:bidi="ar-SA"/>
        </w:rPr>
        <w:t xml:space="preserve">المستفاد من الأخبار هو ما ادّعي عليه الإجماع؛ إذ لا ريب في شمول لفظ الفقير للمسكين حيثما </w:t>
      </w:r>
      <w:r>
        <w:rPr>
          <w:rStyle w:val="FootnoteAnchor"/>
          <w:rtl w:val="true"/>
        </w:rPr>
        <w:footnoteReference w:id="1681"/>
      </w:r>
      <w:r>
        <w:rPr>
          <w:rFonts w:ascii="Amiri" w:hAnsi="Amiri" w:eastAsia="Amiri" w:cs="Amiri"/>
          <w:color w:val="111111"/>
          <w:sz w:val="28"/>
          <w:sz w:val="28"/>
          <w:szCs w:val="28"/>
          <w:rtl w:val="true"/>
          <w:lang w:bidi="ar-SA"/>
        </w:rPr>
        <w:t xml:space="preserve">أطلق، و كذا الظاهر أنّ المسكين إذا أطلق فيراد به الذليل بذلّ الفقر </w:t>
      </w:r>
      <w:r>
        <w:rPr>
          <w:rStyle w:val="FootnoteAnchor"/>
          <w:rtl w:val="true"/>
        </w:rPr>
        <w:footnoteReference w:id="1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اجتمع مع الفقير فيراد به الذليل بذلّ زائد على أصل الفقر، و به يصير أسوأ حالا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bookmarkStart w:id="120" w:name="pg19722_766332"/>
    </w:p>
    <w:p>
      <w:pPr>
        <w:pStyle w:val="Heading4"/>
        <w:numPr>
          <w:ilvl w:val="3"/>
          <w:numId w:val="1"/>
        </w:numPr>
        <w:rPr/>
      </w:pPr>
      <w:bookmarkStart w:id="121" w:name="__RefHeading___Toc2136360_2314609296"/>
      <w:bookmarkStart w:id="122" w:name="_Toc42"/>
      <w:bookmarkEnd w:id="120"/>
      <w:bookmarkEnd w:id="121"/>
      <w:r>
        <w:rPr>
          <w:rtl w:val="true"/>
        </w:rPr>
        <w:t xml:space="preserve">مسألة </w:t>
      </w:r>
      <w:r>
        <w:rPr>
          <w:rtl w:val="true"/>
        </w:rPr>
        <w:t>[</w:t>
      </w:r>
      <w:r>
        <w:rPr/>
        <w:t>32</w:t>
      </w:r>
      <w:r>
        <w:rPr>
          <w:rtl w:val="true"/>
        </w:rPr>
        <w:t>]</w:t>
      </w:r>
      <w:bookmarkEnd w:id="122"/>
    </w:p>
    <w:p>
      <w:pPr>
        <w:pStyle w:val="BookText"/>
        <w:rPr/>
      </w:pPr>
      <w:r>
        <w:rPr>
          <w:rFonts w:ascii="Amiri" w:hAnsi="Amiri" w:eastAsia="Amiri" w:cs="Amiri"/>
          <w:color w:val="111111"/>
          <w:sz w:val="28"/>
          <w:sz w:val="28"/>
          <w:szCs w:val="28"/>
          <w:rtl w:val="true"/>
          <w:lang w:bidi="ar-SA"/>
        </w:rPr>
        <w:t xml:space="preserve">المشهور بل المحكي عن عامة أصحابنا </w:t>
      </w:r>
      <w:r>
        <w:rPr>
          <w:rStyle w:val="FootnoteAnchor"/>
          <w:rtl w:val="true"/>
        </w:rPr>
        <w:footnoteReference w:id="1684"/>
      </w:r>
      <w:r>
        <w:rPr>
          <w:rFonts w:ascii="Amiri" w:hAnsi="Amiri" w:eastAsia="Amiri" w:cs="Amiri"/>
          <w:color w:val="111111"/>
          <w:sz w:val="28"/>
          <w:sz w:val="28"/>
          <w:szCs w:val="28"/>
          <w:rtl w:val="true"/>
          <w:lang w:bidi="ar-SA"/>
        </w:rPr>
        <w:t>عدا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الفقير من لا يقدر على مئونة سنة له و لعياله الواجبي النفقة، فهنا مسائل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الاولى </w:t>
      </w:r>
      <w:r>
        <w:rPr>
          <w:rStyle w:val="FootnoteAnchor"/>
          <w:rtl w:val="true"/>
        </w:rPr>
        <w:footnoteReference w:id="1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له قوت السنة، و يدلّ على جواز أخذه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صدق الفقير عليه عرفا</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مفهوم الرواية المحكية عن المقنعة من رواية يونس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الزكاة على من عنده قوت السنة، و يجب الفطرة على من عنده قوت السنة</w:t>
      </w:r>
      <w:r>
        <w:rPr>
          <w:rFonts w:eastAsia="Amiri" w:cs="Amiri" w:ascii="Amiri" w:hAnsi="Amiri"/>
          <w:color w:val="111111"/>
          <w:sz w:val="28"/>
          <w:szCs w:val="28"/>
          <w:rtl w:val="true"/>
          <w:lang w:bidi="ar-SA"/>
        </w:rPr>
        <w:t xml:space="preserve">» </w:t>
      </w:r>
      <w:r>
        <w:rPr>
          <w:rStyle w:val="FootnoteAnchor"/>
          <w:rtl w:val="true"/>
        </w:rPr>
        <w:footnoteReference w:id="1687"/>
      </w:r>
      <w:r>
        <w:rPr>
          <w:rFonts w:ascii="Amiri" w:hAnsi="Amiri" w:eastAsia="Amiri" w:cs="Amiri"/>
          <w:color w:val="111111"/>
          <w:sz w:val="28"/>
          <w:sz w:val="28"/>
          <w:szCs w:val="28"/>
          <w:rtl w:val="true"/>
          <w:lang w:bidi="ar-SA"/>
        </w:rPr>
        <w:t xml:space="preserve">، و ليس من مجرّد </w:t>
      </w:r>
      <w:r>
        <w:rPr>
          <w:rStyle w:val="FootnoteAnchor"/>
          <w:rtl w:val="true"/>
        </w:rPr>
        <w:footnoteReference w:id="1688"/>
      </w:r>
      <w:r>
        <w:rPr>
          <w:rFonts w:ascii="Amiri" w:hAnsi="Amiri" w:eastAsia="Amiri" w:cs="Amiri"/>
          <w:color w:val="111111"/>
          <w:sz w:val="28"/>
          <w:sz w:val="28"/>
          <w:szCs w:val="28"/>
          <w:rtl w:val="true"/>
          <w:lang w:bidi="ar-SA"/>
        </w:rPr>
        <w:t>مفهوم الوصف؛ لورود الوصف في مقام التحديد المناسب لأن يكون جامعا مانعا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فحوى ما سيجي‌ء من الأخبار الدالّة على جواز الأخذ لمن له رأس مال لا يحصل كفاية سنته، و قد خالف هنا من قال بحرمة الزكاة على من ملك أحد النصب في النقدين أو قيمته، و مستنده ضعيف و 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عنده قوت سنة واحدة و إن لم يملك أزيد من ذلك و لا يقدر على تحصيله، كأن وهب لفقير أو اعطي من الزكاة ما يكفيه لسنة لا غير، و يدل على تحريم أخذه للزكاة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منطوق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في المحكي عن العلل بطريق حسن بابن هاشم، صحيح </w:t>
      </w:r>
      <w:r>
        <w:rPr>
          <w:rStyle w:val="FootnoteAnchor"/>
          <w:rtl w:val="true"/>
        </w:rPr>
        <w:footnoteReference w:id="1690"/>
      </w:r>
      <w:r>
        <w:rPr>
          <w:rFonts w:ascii="Amiri" w:hAnsi="Amiri" w:eastAsia="Amiri" w:cs="Amiri"/>
          <w:color w:val="111111"/>
          <w:sz w:val="28"/>
          <w:sz w:val="28"/>
          <w:szCs w:val="28"/>
          <w:rtl w:val="true"/>
          <w:lang w:bidi="ar-SA"/>
        </w:rPr>
        <w:t>إلى صفوان بن يحيى، عن علي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السائل و عنده قوت يوم أ يحل له أن يسأل؟ و لو اعطي شيئا من قبل أن يسأل يحل له أن يقبله؟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 و عنده قوت شهر ما يكفيه لسنته؛ لأنها إنما هي من سنة إلى سنة</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ظاهرها انّ العلة في جواز أخذ كفاية السنة انّه لو منع من ذلك يبقى محتاجا في بعض السنة، فدلّ بمفهومه </w:t>
      </w:r>
      <w:r>
        <w:rPr>
          <w:rStyle w:val="FootnoteAnchor"/>
          <w:rtl w:val="true"/>
        </w:rPr>
        <w:footnoteReference w:id="1692"/>
      </w:r>
      <w:r>
        <w:rPr>
          <w:rFonts w:ascii="Amiri" w:hAnsi="Amiri" w:eastAsia="Amiri" w:cs="Amiri"/>
          <w:color w:val="111111"/>
          <w:sz w:val="28"/>
          <w:sz w:val="28"/>
          <w:szCs w:val="28"/>
          <w:rtl w:val="true"/>
          <w:lang w:bidi="ar-SA"/>
        </w:rPr>
        <w:t>على أنّ من عنده كفاية السنة لا يجوز له أن 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حسنة أخرى بابن هاشم محكية عن معاني الأخبار،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لغني، و لا لذي مرّة سوي، و لا لمحترف، و لا لقوي،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يأخذها و هو يقدر على ما يكف به نفسه عنها</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واجد مئونة السنة قادر على ذلك، إذ ليس المراد القدرة على التكفف </w:t>
      </w:r>
      <w:r>
        <w:rPr>
          <w:rStyle w:val="FootnoteAnchor"/>
          <w:rtl w:val="true"/>
        </w:rPr>
        <w:footnoteReference w:id="1694"/>
      </w:r>
      <w:r>
        <w:rPr>
          <w:rFonts w:ascii="Amiri" w:hAnsi="Amiri" w:eastAsia="Amiri" w:cs="Amiri"/>
          <w:color w:val="111111"/>
          <w:sz w:val="28"/>
          <w:sz w:val="28"/>
          <w:szCs w:val="28"/>
          <w:rtl w:val="true"/>
          <w:lang w:bidi="ar-SA"/>
        </w:rPr>
        <w:t>عن زكاة السنين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المحكية عن السرائر، عن شيخه ابن محبوب، عن أبي أيوب، عن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يكون عنده العدّة للحرب و هو محتاج أ يبيعها و ينفقها على عياله، أو يأخذ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و ينفقها على عياله</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المخالف في هذه المسألة غير معثور عليه، عدا ما ربما نسبه في المفاتيح </w:t>
      </w:r>
      <w:r>
        <w:rPr>
          <w:rStyle w:val="FootnoteAnchor"/>
          <w:rtl w:val="true"/>
        </w:rPr>
        <w:footnoteReference w:id="1696"/>
      </w:r>
      <w:r>
        <w:rPr>
          <w:rFonts w:ascii="Amiri" w:hAnsi="Amiri" w:eastAsia="Amiri" w:cs="Amiri"/>
          <w:color w:val="111111"/>
          <w:sz w:val="28"/>
          <w:sz w:val="28"/>
          <w:szCs w:val="28"/>
          <w:rtl w:val="true"/>
          <w:lang w:bidi="ar-SA"/>
        </w:rPr>
        <w:t xml:space="preserve">إلى ظاهر عبارة المبسوط </w:t>
      </w:r>
      <w:r>
        <w:rPr>
          <w:rStyle w:val="FootnoteAnchor"/>
          <w:rtl w:val="true"/>
        </w:rPr>
        <w:footnoteReference w:id="1697"/>
      </w:r>
      <w:r>
        <w:rPr>
          <w:rFonts w:ascii="Amiri" w:hAnsi="Amiri" w:eastAsia="Amiri" w:cs="Amiri"/>
          <w:color w:val="111111"/>
          <w:sz w:val="28"/>
          <w:sz w:val="28"/>
          <w:szCs w:val="28"/>
          <w:rtl w:val="true"/>
          <w:lang w:bidi="ar-SA"/>
        </w:rPr>
        <w:t xml:space="preserve">من أن الفقير من لم يكن قادرا على كفاية مئونته و مئونته من يلزم كفايته على الدوام، حيث انّ ظاهر العبارة عدم ارتفاع الفقر بأن يملك مئونة سنة واحدة، لكن الظاهر رجوع هذا القول إلى قول المشهور، و لذا جعل في المختلف </w:t>
      </w:r>
      <w:r>
        <w:rPr>
          <w:rStyle w:val="FootnoteAnchor"/>
          <w:rtl w:val="true"/>
        </w:rPr>
        <w:footnoteReference w:id="1698"/>
      </w:r>
      <w:r>
        <w:rPr>
          <w:rFonts w:ascii="Amiri" w:hAnsi="Amiri" w:eastAsia="Amiri" w:cs="Amiri"/>
          <w:color w:val="111111"/>
          <w:sz w:val="28"/>
          <w:sz w:val="28"/>
          <w:szCs w:val="28"/>
          <w:rtl w:val="true"/>
          <w:lang w:bidi="ar-SA"/>
        </w:rPr>
        <w:t xml:space="preserve">المراد بالدوام السنة و احتمل غير واحد </w:t>
      </w:r>
      <w:r>
        <w:rPr>
          <w:rStyle w:val="FootnoteAnchor"/>
          <w:rtl w:val="true"/>
        </w:rPr>
        <w:footnoteReference w:id="1699"/>
      </w:r>
      <w:r>
        <w:rPr>
          <w:rFonts w:ascii="Amiri" w:hAnsi="Amiri" w:eastAsia="Amiri" w:cs="Amiri"/>
          <w:color w:val="111111"/>
          <w:sz w:val="28"/>
          <w:sz w:val="28"/>
          <w:szCs w:val="28"/>
          <w:rtl w:val="true"/>
          <w:lang w:bidi="ar-SA"/>
        </w:rPr>
        <w:t>رجوع القيد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يلزم كفايته، و على تقدير الظهور فالقول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ما يكفيه لسنة إلّا انّ شغله الاكتساب بها، فيكون ما في يده نقدا أو غيره الوافي مئونة سنة بمنزلة الآلة لصنعته و حرفته، و الظاهر أيضا جواز أخذه للزكاة أيضا على المشهور، بل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يجد فيه خلافا </w:t>
      </w:r>
      <w:r>
        <w:rPr>
          <w:rStyle w:val="FootnoteAnchor"/>
          <w:rtl w:val="true"/>
        </w:rPr>
        <w:footnoteReference w:id="1700"/>
      </w:r>
      <w:r>
        <w:rPr>
          <w:rFonts w:ascii="Amiri" w:hAnsi="Amiri" w:eastAsia="Amiri" w:cs="Amiri"/>
          <w:color w:val="111111"/>
          <w:sz w:val="28"/>
          <w:sz w:val="28"/>
          <w:szCs w:val="28"/>
          <w:rtl w:val="true"/>
          <w:lang w:bidi="ar-SA"/>
        </w:rPr>
        <w:t xml:space="preserve">، و عن الأردبيلي نسبته إلى صريح الأصحاب؛ للأخبار المستفيضة </w:t>
      </w:r>
      <w:r>
        <w:rPr>
          <w:rStyle w:val="FootnoteAnchor"/>
          <w:rtl w:val="true"/>
        </w:rPr>
        <w:footnoteReference w:id="1701"/>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المحكية عن الفقيه بإسناده عن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له ثمانمائة درهم و هو رجل خفّاف و له عيال كثير، أ له أن يأخذ</w:t>
      </w:r>
    </w:p>
    <w:p>
      <w:pPr>
        <w:pStyle w:val="BookText"/>
        <w:rPr/>
      </w:pPr>
      <w:r>
        <w:rPr>
          <w:rFonts w:ascii="Amiri" w:hAnsi="Amiri" w:eastAsia="Amiri" w:cs="Amiri"/>
          <w:color w:val="111111"/>
          <w:sz w:val="28"/>
          <w:sz w:val="28"/>
          <w:szCs w:val="28"/>
          <w:rtl w:val="true"/>
          <w:lang w:bidi="ar-SA"/>
        </w:rPr>
        <w:t>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يربح في دراهمه ما يقوّت به عياله و يفضل؟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يفضل عن القوت مقدار نصف القوت فلا يأخذ الزكاة، و إن كان أقل من نصف القوت فعليه الزكاة،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في ماله زكاة تلزمه؟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بها على عياله في طعامهم و شرابهم و كسوتهم، و يبقي منها شيئا يناوله غيرهم، و ما أخذ من الزكاة فضّه على عياله حتى يلحقهم بالناس</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الزكاة هل تصلح </w:t>
      </w:r>
      <w:r>
        <w:rPr>
          <w:rStyle w:val="FootnoteAnchor"/>
          <w:rtl w:val="true"/>
        </w:rPr>
        <w:footnoteReference w:id="1704"/>
      </w:r>
      <w:r>
        <w:rPr>
          <w:rFonts w:ascii="Amiri" w:hAnsi="Amiri" w:eastAsia="Amiri" w:cs="Amiri"/>
          <w:color w:val="111111"/>
          <w:sz w:val="28"/>
          <w:sz w:val="28"/>
          <w:szCs w:val="28"/>
          <w:rtl w:val="true"/>
          <w:lang w:bidi="ar-SA"/>
        </w:rPr>
        <w:t>لصاحب الدار و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يكون داره دار غلّة فيخرج له من غلتها دراهم يكفيه له و لعياله، فإن لم تكن الغلّة تكفيه لنفسه و عياله في طعامهم و كسوتهم و حاجتهم من غير إسراف فقد حلّت له الزكاة، و إن كان غلتها تكفيهم فلا</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 الكافي، عن القمي، عن أبيه، عن إسماعيل بن عبد العزيز،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بصير على أبي عبد اللّٰه عليه السلام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بن الوليد بن صبيح له دار تسوى أربعة آلاف، و له جارية، و له غلام يستقي على الجمل كل يوم ما بين الدرهمين إلى أربعة سوى علف الجمل، و له عيال، أ له أن يأخذ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هذه العروض؟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فتأمرني أن آمره ببيع داره و هي عزّه و مسقط رأسه؟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ببيع خادمه التي تقيه الحر و البرد، و تصون وجهه و وجه عياله، أو آمره أن يبيع غلامه و جمله و هو معيشته و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يأخذ الزكاة و هي له حلال و لا يبيع داره</w:t>
      </w:r>
    </w:p>
    <w:p>
      <w:pPr>
        <w:pStyle w:val="BookText"/>
        <w:rPr/>
      </w:pPr>
      <w:r>
        <w:rPr>
          <w:rFonts w:ascii="IRNazanin" w:hAnsi="IRNazanin" w:eastAsia="IRNazanin"/>
          <w:color w:val="111111"/>
          <w:sz w:val="28"/>
          <w:sz w:val="28"/>
          <w:szCs w:val="28"/>
          <w:rtl w:val="true"/>
          <w:lang w:bidi="fa-IR"/>
        </w:rPr>
        <w:t>و لا غلامه، و لا جمله</w:t>
      </w:r>
      <w:r>
        <w:rPr>
          <w:rFonts w:eastAsia="IRNazanin" w:cs="IRNazanin"/>
          <w:color w:val="111111"/>
          <w:sz w:val="28"/>
          <w:szCs w:val="28"/>
          <w:rtl w:val="true"/>
          <w:lang w:bidi="fa-IR"/>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ثلاثمائة درهم أو أربعمائة درهم و له عيال، و هو يحترف بها فلا يصيب نفقته فيها، أ يكبّ فيأكلها و لا يأخذ الزكاة؟ أو يأخذ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ينظر إلى فضلها فيقوّت بها نفسه، و من وسعه ذلك من عياله و يأخذ البقية من الزكاة، و يتصرّف بهذه لا ينفقها</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أن يكون متن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للبقية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لبقية عياله الذين لا يسعهم فضل ماله، كما في رواية هارون بن حمزة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ما يستفضل منها فليأكل هو و من يسعه ذلك، و ليأخذ لمن لم يسعه من عياله</w:t>
      </w:r>
      <w:r>
        <w:rPr>
          <w:rFonts w:eastAsia="Amiri" w:cs="Amiri" w:ascii="Amiri" w:hAnsi="Amiri"/>
          <w:color w:val="111111"/>
          <w:sz w:val="28"/>
          <w:szCs w:val="28"/>
          <w:rtl w:val="true"/>
          <w:lang w:bidi="ar-SA"/>
        </w:rPr>
        <w:t xml:space="preserve">» </w:t>
      </w:r>
      <w:r>
        <w:rPr>
          <w:rStyle w:val="FootnoteAnchor"/>
          <w:rtl w:val="true"/>
        </w:rPr>
        <w:footnoteReference w:id="1708"/>
      </w:r>
      <w:r>
        <w:rPr>
          <w:rFonts w:ascii="Amiri" w:hAnsi="Amiri" w:eastAsia="Amiri" w:cs="Amiri"/>
          <w:color w:val="111111"/>
          <w:sz w:val="28"/>
          <w:sz w:val="28"/>
          <w:szCs w:val="28"/>
          <w:rtl w:val="true"/>
          <w:lang w:bidi="ar-SA"/>
        </w:rPr>
        <w:t>و في دلالتها حينئذ على المطلب نظر، و فيما تقدّم من الأخبار المعتضدة بالشهرة غنى عنها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بعض و حكاه عن غيره </w:t>
      </w:r>
      <w:r>
        <w:rPr>
          <w:rStyle w:val="FootnoteAnchor"/>
          <w:rtl w:val="true"/>
        </w:rPr>
        <w:footnoteReference w:id="1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الاستنماء الفعلي في المال المستثنى من الكفاية، لا مجرد قابلية الاستنماء، فمن كان له مال يشتغل بها و يكفيه لسنته فلا يحل له الزكاة، كما هو ظاهر الأخبار المتقدّمة في المسألة الثانية و من كان يشتغل بها و يستربحها حل له الأخذ إذا لم يكفه الربح، و كذا الآلات الصنائع مستثناة لمن يصنع بها دون من لا يصنع، بل و كذلك دار الغلّة إذا بنى على سكناها، أو إسكانها من غير أجرة</w:t>
      </w:r>
    </w:p>
    <w:p>
      <w:pPr>
        <w:pStyle w:val="BookText"/>
        <w:rPr/>
      </w:pPr>
      <w:r>
        <w:rPr>
          <w:rFonts w:ascii="Amiri" w:hAnsi="Amiri" w:eastAsia="Amiri" w:cs="Amiri"/>
          <w:color w:val="111111"/>
          <w:sz w:val="28"/>
          <w:sz w:val="28"/>
          <w:szCs w:val="28"/>
          <w:rtl w:val="true"/>
          <w:lang w:bidi="ar-SA"/>
        </w:rPr>
        <w:t>بحيث لا يكون بانيا على استنمائها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عدم كفاية الربح لأجل قلة رأس المال، و عدم ترتب أزيد من ذلك الربح عليه بحسب العادة، و إلّا فلو فرضنا انه يملك لكوكا </w:t>
      </w:r>
      <w:r>
        <w:rPr>
          <w:rStyle w:val="FootnoteAnchor"/>
          <w:rtl w:val="true"/>
        </w:rPr>
        <w:footnoteReference w:id="1710"/>
      </w:r>
      <w:r>
        <w:rPr>
          <w:rFonts w:ascii="Amiri" w:hAnsi="Amiri" w:eastAsia="Amiri" w:cs="Amiri"/>
          <w:color w:val="111111"/>
          <w:sz w:val="28"/>
          <w:sz w:val="28"/>
          <w:szCs w:val="28"/>
          <w:rtl w:val="true"/>
          <w:lang w:bidi="ar-SA"/>
        </w:rPr>
        <w:t>و اتفق في بعض السنين عدم كفاية ربحها بمئونته اللائقة بحاله، فالظاهر عدّ مثل هذا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الضيعة التي قد يتفق قصور ربحها عن المئونة اللائقة، لكن لو باع منها شيئا و أنفقه كان الباقي يحصل منها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العارض </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يكفيه، و لو جعل المدار على صدق الغنى عرفا كان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المستفاد من الأخبار المتقدّمة </w:t>
      </w:r>
      <w:r>
        <w:rPr>
          <w:rStyle w:val="FootnoteAnchor"/>
          <w:rtl w:val="true"/>
        </w:rPr>
        <w:footnoteReference w:id="1712"/>
      </w:r>
      <w:r>
        <w:rPr>
          <w:rFonts w:ascii="Amiri" w:hAnsi="Amiri" w:eastAsia="Amiri" w:cs="Amiri"/>
          <w:color w:val="111111"/>
          <w:sz w:val="28"/>
          <w:sz w:val="28"/>
          <w:szCs w:val="28"/>
          <w:rtl w:val="true"/>
          <w:lang w:bidi="ar-SA"/>
        </w:rPr>
        <w:t>و غيرها و كذا الفتاوى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القدرة على التكسب الكافي له و لعياله مخرج عن الفقر، خلافا للمحكي عن الخلاف من أنه نسب إلى بعض أصحابنا القول بجواز أخذ الزكاة له </w:t>
      </w:r>
      <w:r>
        <w:rPr>
          <w:rStyle w:val="FootnoteAnchor"/>
          <w:rtl w:val="true"/>
        </w:rPr>
        <w:footnoteReference w:id="1713"/>
      </w:r>
      <w:r>
        <w:rPr>
          <w:rFonts w:ascii="Amiri" w:hAnsi="Amiri" w:eastAsia="Amiri" w:cs="Amiri"/>
          <w:color w:val="111111"/>
          <w:sz w:val="28"/>
          <w:sz w:val="28"/>
          <w:szCs w:val="28"/>
          <w:rtl w:val="true"/>
          <w:lang w:bidi="ar-SA"/>
        </w:rPr>
        <w:t xml:space="preserve">و يردّه الأخبار المستفيضة </w:t>
      </w:r>
      <w:r>
        <w:rPr>
          <w:rStyle w:val="FootnoteAnchor"/>
          <w:rtl w:val="true"/>
        </w:rPr>
        <w:footnoteReference w:id="1714"/>
      </w:r>
      <w:r>
        <w:rPr>
          <w:rFonts w:ascii="Amiri" w:hAnsi="Amiri" w:eastAsia="Amiri" w:cs="Amiri"/>
          <w:color w:val="111111"/>
          <w:sz w:val="28"/>
          <w:sz w:val="28"/>
          <w:szCs w:val="28"/>
          <w:rtl w:val="true"/>
          <w:lang w:bidi="ar-SA"/>
        </w:rPr>
        <w:t xml:space="preserve">المعتضدة بالشهرة، و حكاية الإجماع عن الناصريات </w:t>
      </w:r>
      <w:r>
        <w:rPr>
          <w:rStyle w:val="FootnoteAnchor"/>
          <w:rtl w:val="true"/>
        </w:rPr>
        <w:footnoteReference w:id="1715"/>
      </w:r>
      <w:r>
        <w:rPr>
          <w:rFonts w:ascii="IRNazanin" w:hAnsi="IRNazanin" w:eastAsia="IRNazanin"/>
          <w:color w:val="111111"/>
          <w:sz w:val="28"/>
          <w:sz w:val="28"/>
          <w:szCs w:val="28"/>
          <w:rtl w:val="true"/>
          <w:lang w:bidi="fa-IR"/>
        </w:rPr>
        <w:t xml:space="preserve">و الخلاف </w:t>
      </w:r>
      <w:r>
        <w:rPr>
          <w:rStyle w:val="FootnoteAnchor"/>
          <w:rtl w:val="true"/>
        </w:rPr>
        <w:footnoteReference w:id="1716"/>
      </w:r>
      <w:r>
        <w:rPr>
          <w:rFonts w:ascii="Amiri" w:hAnsi="Amiri" w:eastAsia="Amiri" w:cs="Amiri"/>
          <w:color w:val="111111"/>
          <w:sz w:val="28"/>
          <w:sz w:val="28"/>
          <w:szCs w:val="28"/>
          <w:rtl w:val="true"/>
          <w:lang w:bidi="ar-SA"/>
        </w:rPr>
        <w:t>و غيرهما، و ربما يقال باعتبار التكسب فعلا بتلك الحرفة و الصنعة، و الظاهر أنّ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التكسب اللائق بحاله قوّة و ضعفا، فلا عبرة بما فيه مشقة شديدة لا يتحمله عادة؛ لأدلة نفي العسر و الحرج</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يعلم اعتبار كونه لائقا بحاله؛ لأنّ ارتكاب غيره حرج جدا، فهو كما في 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أصعب من تكليفه ببيع خادمه و خدمة نفسه، و بيع فرس</w:t>
      </w:r>
    </w:p>
    <w:p>
      <w:pPr>
        <w:pStyle w:val="BookText"/>
        <w:rPr/>
      </w:pPr>
      <w:r>
        <w:rPr>
          <w:rFonts w:ascii="Amiri" w:hAnsi="Amiri" w:eastAsia="Amiri" w:cs="Amiri"/>
          <w:color w:val="111111"/>
          <w:sz w:val="28"/>
          <w:sz w:val="28"/>
          <w:szCs w:val="28"/>
          <w:rtl w:val="true"/>
          <w:lang w:bidi="ar-SA"/>
        </w:rPr>
        <w:t xml:space="preserve">الركوب و المشي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 على ذلك ما تقدّم في رواية أبي بصير من تعليل عدم بيع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عزّه، و بيع الخادم بأنّه تقيه الحر و البرد، و تصون وجهه و وجه عياله </w:t>
      </w:r>
      <w:r>
        <w:rPr>
          <w:rStyle w:val="FootnoteAnchor"/>
          <w:rtl w:val="true"/>
        </w:rPr>
        <w:footnoteReference w:id="1718"/>
      </w:r>
      <w:r>
        <w:rPr>
          <w:rFonts w:ascii="Amiri" w:hAnsi="Amiri" w:eastAsia="Amiri" w:cs="Amiri"/>
          <w:color w:val="111111"/>
          <w:sz w:val="28"/>
          <w:sz w:val="28"/>
          <w:szCs w:val="28"/>
          <w:rtl w:val="true"/>
          <w:lang w:bidi="ar-SA"/>
        </w:rPr>
        <w:t>إلى غير ذلك، مثل ما دلّ على كراهة إعلام المؤمن المترفّع بكون المدفوع زكاة؛ معللا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تذلّ المؤمن</w:t>
      </w:r>
      <w:r>
        <w:rPr>
          <w:rFonts w:eastAsia="Amiri" w:cs="Amiri" w:ascii="Amiri" w:hAnsi="Amiri"/>
          <w:color w:val="111111"/>
          <w:sz w:val="28"/>
          <w:szCs w:val="28"/>
          <w:rtl w:val="true"/>
          <w:lang w:bidi="ar-SA"/>
        </w:rPr>
        <w:t xml:space="preserve">» </w:t>
      </w:r>
      <w:r>
        <w:rPr>
          <w:rStyle w:val="FootnoteAnchor"/>
          <w:rtl w:val="true"/>
        </w:rPr>
        <w:footnoteReference w:id="1719"/>
      </w:r>
      <w:r>
        <w:rPr>
          <w:rFonts w:ascii="Amiri" w:hAnsi="Amiri" w:eastAsia="Amiri" w:cs="Amiri"/>
          <w:color w:val="111111"/>
          <w:sz w:val="28"/>
          <w:sz w:val="28"/>
          <w:szCs w:val="28"/>
          <w:rtl w:val="true"/>
          <w:lang w:bidi="ar-SA"/>
        </w:rPr>
        <w:t>فإنّ منع المؤمن عن الزكاة و إلجائه إلى ما لا يليق به من المكاسب أشد إذلالا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من الصنعة و الاحتراف ما يوثق عادة بحصول المئونة منه، فمثل إجازة النفس للعبادات لا يعدّ حرفة إلّا إذا اطمأنّ عادة بحصولها له عند 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ترك المحترف الحرفة فاحتاج في زمان لا يقدر عليها، كما لو ترك العمل نهارا فاحتاج ليلا، و كما لو ترك البنّاء عمل البناء في الصيف فاحتاج في الشتاء مع عدم حصول ذلك العمل له في الشتاء </w:t>
      </w:r>
      <w:r>
        <w:rPr>
          <w:rStyle w:val="FootnoteAnchor"/>
          <w:rtl w:val="true"/>
        </w:rPr>
        <w:footnoteReference w:id="1720"/>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صدق الفقير عليه، و انّه لا يقدر في الحال على ما يكفّ به نفسه عن الزكاة، فيعمّه أدلة جواز الأخذ</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صدق المحترف، و ذي المرّة السويّ عليه فيشمله أدلة المنع، و هو الأقوى؛ لعدم معلومية صدق الفقير عليه، و إلّا لصدق على المحبوس الغني، و لم يجعل ابن السبيل قسيما للفقير في الكتاب </w:t>
      </w:r>
      <w:r>
        <w:rPr>
          <w:rStyle w:val="FootnoteAnchor"/>
          <w:rtl w:val="true"/>
        </w:rPr>
        <w:footnoteReference w:id="1721"/>
      </w:r>
      <w:r>
        <w:rPr>
          <w:rFonts w:ascii="Amiri" w:hAnsi="Amiri" w:eastAsia="Amiri" w:cs="Amiri"/>
          <w:color w:val="111111"/>
          <w:sz w:val="28"/>
          <w:sz w:val="28"/>
          <w:szCs w:val="28"/>
          <w:rtl w:val="true"/>
          <w:lang w:bidi="ar-SA"/>
        </w:rPr>
        <w:t xml:space="preserve">و السنّة </w:t>
      </w:r>
      <w:r>
        <w:rPr>
          <w:rStyle w:val="FootnoteAnchor"/>
          <w:rtl w:val="true"/>
        </w:rPr>
        <w:footnoteReference w:id="1722"/>
      </w:r>
      <w:r>
        <w:rPr>
          <w:rFonts w:ascii="IRNazanin" w:hAnsi="IRNazanin" w:eastAsia="IRNazanin"/>
          <w:color w:val="111111"/>
          <w:sz w:val="28"/>
          <w:sz w:val="28"/>
          <w:szCs w:val="28"/>
          <w:rtl w:val="true"/>
          <w:lang w:bidi="fa-IR"/>
        </w:rPr>
        <w:t>، نعم لا بأس بالصرف</w:t>
      </w:r>
    </w:p>
    <w:p>
      <w:pPr>
        <w:pStyle w:val="BookText"/>
        <w:rPr/>
      </w:pPr>
      <w:r>
        <w:rPr>
          <w:rFonts w:ascii="Amiri" w:hAnsi="Amiri" w:eastAsia="Amiri" w:cs="Amiri"/>
          <w:color w:val="111111"/>
          <w:sz w:val="28"/>
          <w:sz w:val="28"/>
          <w:szCs w:val="28"/>
          <w:rtl w:val="true"/>
          <w:lang w:bidi="ar-SA"/>
        </w:rPr>
        <w:t>اليه من سهم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انّه لو لم ينعقد الإجماع على الخلاف قوي القول بجواز الدفع إلى كل محتاج في آن حاجته، و إن كان عرض له ذلك في زمان يسير و لو بسوء اختياره كما هو مقتضى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اختار بعض مشايخنا المعاصرين </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التكسب الفعلي في تحقق الغنى، فيعطى القادر على الحرفة و الصنعة إذا لم يشتغل بهما فعلا باختياره و إن كان حين الإعطاء قادرا، لكنه خلاف ظاهر النصوص و الفتاوى و إن كان ظاهر بعض العبارات ربما يوهم اعتبار الفعلية، و قد استفاضت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لغني و لا لذي مرّة سوي</w:t>
      </w:r>
      <w:r>
        <w:rPr>
          <w:rFonts w:eastAsia="Amiri" w:cs="Amiri" w:ascii="Amiri" w:hAnsi="Amiri"/>
          <w:color w:val="111111"/>
          <w:sz w:val="28"/>
          <w:szCs w:val="28"/>
          <w:rtl w:val="true"/>
          <w:lang w:bidi="ar-SA"/>
        </w:rPr>
        <w:t xml:space="preserve">» </w:t>
      </w:r>
      <w:r>
        <w:rPr>
          <w:rStyle w:val="FootnoteAnchor"/>
          <w:rtl w:val="true"/>
        </w:rPr>
        <w:footnoteReference w:id="1724"/>
      </w:r>
      <w:r>
        <w:rPr>
          <w:rFonts w:ascii="Amiri" w:hAnsi="Amiri" w:eastAsia="Amiri" w:cs="Amiri"/>
          <w:color w:val="111111"/>
          <w:sz w:val="28"/>
          <w:sz w:val="28"/>
          <w:szCs w:val="28"/>
          <w:rtl w:val="true"/>
          <w:lang w:bidi="ar-SA"/>
        </w:rPr>
        <w:t xml:space="preserve">، و إن كان في بعض الأخبار انّ ذيله ليس قول رسول اللّٰه صلّى اللّٰه عليه و آله و سلم </w:t>
      </w:r>
      <w:r>
        <w:rPr>
          <w:rStyle w:val="FootnoteAnchor"/>
          <w:rtl w:val="true"/>
        </w:rPr>
        <w:footnoteReference w:id="1725"/>
      </w:r>
      <w:r>
        <w:rPr>
          <w:rFonts w:ascii="Amiri" w:hAnsi="Amiri" w:eastAsia="Amiri" w:cs="Amiri"/>
          <w:color w:val="111111"/>
          <w:sz w:val="28"/>
          <w:sz w:val="28"/>
          <w:szCs w:val="28"/>
          <w:rtl w:val="true"/>
          <w:lang w:bidi="ar-SA"/>
        </w:rPr>
        <w:t xml:space="preserve">لكن الظاهر كما فهمه غير واحد </w:t>
      </w:r>
      <w:r>
        <w:rPr>
          <w:rStyle w:val="FootnoteAnchor"/>
          <w:rtl w:val="true"/>
        </w:rPr>
        <w:footnoteReference w:id="1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عدم الحاجة له </w:t>
      </w:r>
      <w:r>
        <w:rPr>
          <w:rStyle w:val="FootnoteAnchor"/>
          <w:rtl w:val="true"/>
        </w:rPr>
        <w:footnoteReference w:id="1727"/>
      </w:r>
      <w:r>
        <w:rPr>
          <w:rFonts w:ascii="Amiri" w:hAnsi="Amiri" w:eastAsia="Amiri" w:cs="Amiri"/>
          <w:color w:val="111111"/>
          <w:sz w:val="28"/>
          <w:sz w:val="28"/>
          <w:szCs w:val="28"/>
          <w:rtl w:val="true"/>
          <w:lang w:bidi="ar-SA"/>
        </w:rPr>
        <w:t>لدخوله في الغني، مع انّه لا دلالة في ذلك على شي‌ء</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تقدير، فلا إشكال في حرمة الأخذ حال القدرة على التكسب، إلّا إذا ترك التكسب للاشتغال بأمر واجب و لو كفاية كتحصيل علم، و يحتمل تعيّن الواجب الكفائي على من لا يحتاج إلى الكسب؛ لأنّ المحتاج إليه مشغول الذمّة بواجب عيني، و لو كان طلب العلم مما يستحب في حق الطالب فالظاهر أنّه لا يسوغ ترك التكسب كما في سائر المستحبات لصدق الغنى و المحترف و القادر على ما يكف به نفسه عن الزكاة، و الإذن في طلب العلم بل الأمر الاستحبابي به لا يوجب الإذن في ترك التكسب، بل طلب تركه المستلزم لجواز</w:t>
      </w:r>
    </w:p>
    <w:p>
      <w:pPr>
        <w:pStyle w:val="BookText"/>
        <w:rPr/>
      </w:pPr>
      <w:r>
        <w:rPr>
          <w:rFonts w:ascii="Amiri" w:hAnsi="Amiri" w:eastAsia="Amiri" w:cs="Amiri"/>
          <w:color w:val="111111"/>
          <w:sz w:val="28"/>
          <w:sz w:val="28"/>
          <w:szCs w:val="28"/>
          <w:rtl w:val="true"/>
          <w:lang w:bidi="ar-SA"/>
        </w:rPr>
        <w:t xml:space="preserve">أخذ الزكاة كما زعمه </w:t>
      </w:r>
      <w:r>
        <w:rPr>
          <w:rStyle w:val="FootnoteAnchor"/>
          <w:rtl w:val="true"/>
        </w:rPr>
        <w:footnoteReference w:id="1728"/>
      </w:r>
      <w:r>
        <w:rPr>
          <w:rFonts w:ascii="Amiri" w:hAnsi="Amiri" w:eastAsia="Amiri" w:cs="Amiri"/>
          <w:color w:val="111111"/>
          <w:sz w:val="28"/>
          <w:sz w:val="28"/>
          <w:szCs w:val="28"/>
          <w:rtl w:val="true"/>
          <w:lang w:bidi="ar-SA"/>
        </w:rPr>
        <w:t xml:space="preserve">بعض مشايخنا المعاصرين </w:t>
      </w:r>
      <w:r>
        <w:rPr>
          <w:rStyle w:val="FootnoteAnchor"/>
          <w:rtl w:val="true"/>
        </w:rPr>
        <w:footnoteReference w:id="1729"/>
      </w:r>
      <w:r>
        <w:rPr>
          <w:rFonts w:ascii="Amiri" w:hAnsi="Amiri" w:eastAsia="Amiri" w:cs="Amiri"/>
          <w:color w:val="111111"/>
          <w:sz w:val="28"/>
          <w:sz w:val="28"/>
          <w:szCs w:val="28"/>
          <w:rtl w:val="true"/>
          <w:lang w:bidi="ar-SA"/>
        </w:rPr>
        <w:t xml:space="preserve">لا وجه له؛ إذ بعد عمومات تحريم الزكاة على القادر على التكسّب يصير الكسب </w:t>
      </w:r>
      <w:r>
        <w:rPr>
          <w:rStyle w:val="FootnoteAnchor"/>
          <w:rtl w:val="true"/>
        </w:rPr>
        <w:footnoteReference w:id="1730"/>
      </w:r>
      <w:r>
        <w:rPr>
          <w:rFonts w:ascii="Amiri" w:hAnsi="Amiri" w:eastAsia="Amiri" w:cs="Amiri"/>
          <w:color w:val="111111"/>
          <w:sz w:val="28"/>
          <w:sz w:val="28"/>
          <w:szCs w:val="28"/>
          <w:rtl w:val="true"/>
          <w:lang w:bidi="ar-SA"/>
        </w:rPr>
        <w:t>واجبا لأجل حفظ نفسه و عياله فلا يزاحمه استحباب ذلك؛ لأنّ المستحب لا يزاحم الواجب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 تسليم حرمة الأخذ المستلزمة لوجوب التكسب مبنيّ على تقدّم </w:t>
      </w:r>
      <w:r>
        <w:rPr>
          <w:rStyle w:val="FootnoteAnchor"/>
          <w:rtl w:val="true"/>
        </w:rPr>
        <w:footnoteReference w:id="1731"/>
      </w:r>
      <w:r>
        <w:rPr>
          <w:rFonts w:ascii="Amiri" w:hAnsi="Amiri" w:eastAsia="Amiri" w:cs="Amiri"/>
          <w:color w:val="111111"/>
          <w:sz w:val="28"/>
          <w:sz w:val="28"/>
          <w:szCs w:val="28"/>
          <w:rtl w:val="true"/>
          <w:lang w:bidi="ar-SA"/>
        </w:rPr>
        <w:t xml:space="preserve">أدلتها على أدلة استحباب ذلك المستحب فلم </w:t>
      </w:r>
      <w:r>
        <w:rPr>
          <w:rStyle w:val="FootnoteAnchor"/>
          <w:rtl w:val="true"/>
        </w:rPr>
        <w:footnoteReference w:id="1732"/>
      </w:r>
      <w:r>
        <w:rPr>
          <w:rFonts w:ascii="Amiri" w:hAnsi="Amiri" w:eastAsia="Amiri" w:cs="Amiri"/>
          <w:color w:val="111111"/>
          <w:sz w:val="28"/>
          <w:sz w:val="28"/>
          <w:szCs w:val="28"/>
          <w:rtl w:val="true"/>
          <w:lang w:bidi="ar-SA"/>
        </w:rPr>
        <w:t>لا يجوز العكس؟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المقرر في محله أنّ استحباب المستحب لعموم دليله لا يزاحم عموم وجوب </w:t>
      </w:r>
      <w:r>
        <w:rPr>
          <w:rStyle w:val="FootnoteAnchor"/>
          <w:rtl w:val="true"/>
        </w:rPr>
        <w:footnoteReference w:id="1733"/>
      </w:r>
      <w:r>
        <w:rPr>
          <w:rFonts w:ascii="Amiri" w:hAnsi="Amiri" w:eastAsia="Amiri" w:cs="Amiri"/>
          <w:color w:val="111111"/>
          <w:sz w:val="28"/>
          <w:sz w:val="28"/>
          <w:szCs w:val="28"/>
          <w:rtl w:val="true"/>
          <w:lang w:bidi="ar-SA"/>
        </w:rPr>
        <w:t xml:space="preserve">الواجبات؛ لأن وجوب الشي‌ء يدل على وجوب مقدمته، و لو كانت المقدّمة في نفسها متصفة بالإذن في الترك، فوجوب الشي‌ء مقدمة لا يرتفع بسبب إباحته الذاتية أو استحبابه الذاتي، و إلّا لم يجب شي‌ء من باب المقدمة أصلا؛ لأنّه في ذاته إن اتّصف بحرمة </w:t>
      </w:r>
      <w:r>
        <w:rPr>
          <w:rStyle w:val="FootnoteAnchor"/>
          <w:rtl w:val="true"/>
        </w:rPr>
        <w:footnoteReference w:id="1734"/>
      </w:r>
      <w:r>
        <w:rPr>
          <w:rFonts w:ascii="Amiri" w:hAnsi="Amiri" w:eastAsia="Amiri" w:cs="Amiri"/>
          <w:color w:val="111111"/>
          <w:sz w:val="28"/>
          <w:sz w:val="28"/>
          <w:szCs w:val="28"/>
          <w:rtl w:val="true"/>
          <w:lang w:bidi="ar-SA"/>
        </w:rPr>
        <w:t xml:space="preserve">لم يتّصف بالوجوب بناء على تقدّم </w:t>
      </w:r>
      <w:r>
        <w:rPr>
          <w:rStyle w:val="FootnoteAnchor"/>
          <w:rtl w:val="true"/>
        </w:rPr>
        <w:footnoteReference w:id="1735"/>
      </w:r>
      <w:r>
        <w:rPr>
          <w:rFonts w:ascii="Amiri" w:hAnsi="Amiri" w:eastAsia="Amiri" w:cs="Amiri"/>
          <w:color w:val="111111"/>
          <w:sz w:val="28"/>
          <w:sz w:val="28"/>
          <w:szCs w:val="28"/>
          <w:rtl w:val="true"/>
          <w:lang w:bidi="ar-SA"/>
        </w:rPr>
        <w:t xml:space="preserve">الحرمة على الوجوب، و لو لم تقدّمها فهي كالأحكام الثلاثة الباقية يعارض بدليلها </w:t>
      </w:r>
      <w:r>
        <w:rPr>
          <w:rStyle w:val="FootnoteAnchor"/>
          <w:rtl w:val="true"/>
        </w:rPr>
        <w:footnoteReference w:id="1736"/>
      </w:r>
      <w:r>
        <w:rPr>
          <w:rFonts w:ascii="Amiri" w:hAnsi="Amiri" w:eastAsia="Amiri" w:cs="Amiri"/>
          <w:color w:val="111111"/>
          <w:sz w:val="28"/>
          <w:sz w:val="28"/>
          <w:szCs w:val="28"/>
          <w:rtl w:val="true"/>
          <w:lang w:bidi="ar-SA"/>
        </w:rPr>
        <w:t>دليل وجوب ذي المقدمة، فلا يبقى مورد لوجوب المقدّمة إلّا المقدّمة الواجبة في ذاتها، و لا يخفى ما فيه، و تمام الكلام في محلّه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يعلم صنعة فالظاهر عدم وجوب التعلم </w:t>
      </w:r>
      <w:r>
        <w:rPr>
          <w:rStyle w:val="FootnoteAnchor"/>
          <w:rtl w:val="true"/>
        </w:rPr>
        <w:footnoteReference w:id="1737"/>
      </w:r>
      <w:r>
        <w:rPr>
          <w:rFonts w:ascii="Amiri" w:hAnsi="Amiri" w:eastAsia="Amiri" w:cs="Amiri"/>
          <w:color w:val="111111"/>
          <w:sz w:val="28"/>
          <w:sz w:val="28"/>
          <w:szCs w:val="28"/>
          <w:rtl w:val="true"/>
          <w:lang w:bidi="ar-SA"/>
        </w:rPr>
        <w:t>و يصدق عليه أنّه لا يقدر</w:t>
      </w:r>
    </w:p>
    <w:p>
      <w:pPr>
        <w:pStyle w:val="BookText"/>
        <w:rPr/>
      </w:pPr>
      <w:r>
        <w:rPr>
          <w:rFonts w:ascii="Amiri" w:hAnsi="Amiri" w:eastAsia="Amiri" w:cs="Amiri"/>
          <w:color w:val="111111"/>
          <w:sz w:val="28"/>
          <w:sz w:val="28"/>
          <w:szCs w:val="28"/>
          <w:rtl w:val="true"/>
          <w:lang w:bidi="ar-SA"/>
        </w:rPr>
        <w:t>على ما يكف به نفسه؛ لأن المتبادر القدرة القريبة مع أنه قلّما يخلو فقير من القوة البعيدة للتكسب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قصر الكسب عن مئونة السنة فلا شبهة في جواز أخذ التتمة دفعة و دفعات، و لا في عدم جواز أخذ الزائد بعد أخذ التتمة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الكلام في جواز أخذ </w:t>
      </w:r>
      <w:r>
        <w:rPr>
          <w:rStyle w:val="FootnoteAnchor"/>
          <w:rtl w:val="true"/>
        </w:rPr>
        <w:footnoteReference w:id="1738"/>
      </w:r>
      <w:r>
        <w:rPr>
          <w:rFonts w:ascii="Amiri" w:hAnsi="Amiri" w:eastAsia="Amiri" w:cs="Amiri"/>
          <w:color w:val="111111"/>
          <w:sz w:val="28"/>
          <w:sz w:val="28"/>
          <w:szCs w:val="28"/>
          <w:rtl w:val="true"/>
          <w:lang w:bidi="ar-SA"/>
        </w:rPr>
        <w:t xml:space="preserve">الزائد عن التتمة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Style w:val="FootnoteAnchor"/>
          <w:rtl w:val="true"/>
        </w:rPr>
        <w:footnoteReference w:id="1739"/>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عمومات جواز أخذ الزكاة سيما المغيى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تغنيه</w:t>
      </w:r>
      <w:r>
        <w:rPr>
          <w:rFonts w:eastAsia="Amiri" w:cs="Amiri" w:ascii="Amiri" w:hAnsi="Amiri"/>
          <w:color w:val="111111"/>
          <w:sz w:val="28"/>
          <w:szCs w:val="28"/>
          <w:rtl w:val="true"/>
          <w:lang w:bidi="ar-SA"/>
        </w:rPr>
        <w:t xml:space="preserve">» </w:t>
      </w:r>
      <w:r>
        <w:rPr>
          <w:rStyle w:val="FootnoteAnchor"/>
          <w:rtl w:val="true"/>
        </w:rPr>
        <w:footnoteReference w:id="1740"/>
      </w:r>
      <w:r>
        <w:rPr>
          <w:rFonts w:ascii="Amiri" w:hAnsi="Amiri" w:eastAsia="Amiri" w:cs="Amiri"/>
          <w:color w:val="111111"/>
          <w:sz w:val="28"/>
          <w:sz w:val="28"/>
          <w:szCs w:val="28"/>
          <w:rtl w:val="true"/>
          <w:lang w:bidi="ar-SA"/>
        </w:rPr>
        <w:t>، بناء على حمله على الغنى العرفي و هو تملك ما فوق مئونة السنة، إذ لا يصدق الغنى في العرف على من ملك مئونة السنة و لا يقدر على أزيد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الزكاة إنما وضعت قوتا للفقراء، و ظاهرها أنّ لهم منها قوت سنة حيث انها من سنة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قوله عليه السلام في صحيحة معاوية بن وهب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البقية من الزكاة</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و قوله في رواية العلل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و عنده قوت شهر ما يكفيه لسنته</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من الأمر بالإعطاء حتى الغنى لا يدل على المطلوب؛ إذ لا يبعد أن يراد إغنائه بالدفع الواحد حتى لا يقع المؤمن في ذلّ طلب الزكاة ثانيا، أو قبولها في هذه السنة، و إلّا لجاز إعطاء جميع الزكوات لفقير واحد، و فساده ظاهر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انّه لو قلنا في المسألة بجواز إعطاء غير المكتسب زائدا على مئونة سنته </w:t>
      </w:r>
      <w:r>
        <w:rPr>
          <w:rStyle w:val="FootnoteAnchor"/>
          <w:rtl w:val="true"/>
        </w:rPr>
        <w:footnoteReference w:id="1743"/>
      </w:r>
      <w:r>
        <w:rPr>
          <w:rFonts w:ascii="Amiri" w:hAnsi="Amiri" w:eastAsia="Amiri" w:cs="Amiri"/>
          <w:color w:val="111111"/>
          <w:sz w:val="28"/>
          <w:sz w:val="28"/>
          <w:szCs w:val="28"/>
          <w:rtl w:val="true"/>
          <w:lang w:bidi="ar-SA"/>
        </w:rPr>
        <w:t xml:space="preserve">كما هو المشهور، بل حكي عليه الإجماع من </w:t>
      </w:r>
      <w:r>
        <w:rPr>
          <w:rStyle w:val="FootnoteAnchor"/>
          <w:rtl w:val="true"/>
        </w:rPr>
        <w:footnoteReference w:id="1744"/>
      </w:r>
      <w:r>
        <w:rPr>
          <w:rFonts w:ascii="Amiri" w:hAnsi="Amiri" w:eastAsia="Amiri" w:cs="Amiri"/>
          <w:color w:val="111111"/>
          <w:sz w:val="28"/>
          <w:sz w:val="28"/>
          <w:szCs w:val="28"/>
          <w:rtl w:val="true"/>
          <w:lang w:bidi="ar-SA"/>
        </w:rPr>
        <w:t xml:space="preserve">غير واحد </w:t>
      </w:r>
      <w:r>
        <w:rPr>
          <w:rStyle w:val="FootnoteAnchor"/>
          <w:rtl w:val="true"/>
        </w:rPr>
        <w:footnoteReference w:id="1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مستدلين بأخبار الإغناء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فرق بينه و بين المكتسب القاصر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كسبه، إلّا أن يفرّق بينهما بأنّ إغناء غير المكتسب بإعطائه مئونة سنتين أو ثلاث سنين لا ينافي كون الزكاة موضوعة لقوت الفقراء، إذ لا 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نظر الشارع بين إعطائه مئونة السنة الثانية في السنة الأولى أو في نفس السنة الثانية، بل مقتضى كونها موضوعة قوتا و معونة لهم،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الشخص في موضوع الفقير لا فرق بين إعطائه في كلّ سنة مئونة تلك السنة، و بين إعطائه في سنة مئونتها و مئونة ما بعدها من السنين، بخلاف المكتسب فإنّ فتح باب إعطائه الزائد يوجب جواز أن يأخذ ما يغنيه عن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كون ما يدفع إليه في مقابلة تتمة سنوات متعددة له، يدفعها أنّها مجرد اعتبار لا يوجب تأثيرا في امتناع الشخص عن مال الفقراء بمقدار ما فيه من الغنى؛ فإنّ مقتضى وضع الزكاة قوتا للفقراء، عدم جواز تصرّف الغني فيه بمقدار ما فيه من الغنى، و لازم ذلك عدم جواز أخذ من فيه مقدار من الغنى إلّا مقدار الحاجة، و لا يكون إلّا بأن لا </w:t>
      </w:r>
      <w:r>
        <w:rPr>
          <w:rStyle w:val="FootnoteAnchor"/>
          <w:rtl w:val="true"/>
        </w:rPr>
        <w:footnoteReference w:id="1746"/>
      </w:r>
      <w:r>
        <w:rPr>
          <w:rFonts w:ascii="Amiri" w:hAnsi="Amiri" w:eastAsia="Amiri" w:cs="Amiri"/>
          <w:color w:val="111111"/>
          <w:sz w:val="28"/>
          <w:sz w:val="28"/>
          <w:szCs w:val="28"/>
          <w:rtl w:val="true"/>
          <w:lang w:bidi="ar-SA"/>
        </w:rPr>
        <w:t xml:space="preserve">يأخذ أكثر من تتمة سنته </w:t>
      </w:r>
      <w:r>
        <w:rPr>
          <w:rStyle w:val="FootnoteAnchor"/>
          <w:rtl w:val="true"/>
        </w:rPr>
        <w:footnoteReference w:id="1747"/>
      </w:r>
      <w:r>
        <w:rPr>
          <w:rFonts w:ascii="IRNazanin" w:hAnsi="IRNazanin" w:eastAsia="IRNazanin"/>
          <w:color w:val="111111"/>
          <w:sz w:val="28"/>
          <w:sz w:val="28"/>
          <w:szCs w:val="28"/>
          <w:rtl w:val="true"/>
          <w:lang w:bidi="fa-IR"/>
        </w:rPr>
        <w:t xml:space="preserve">، إذ لو </w:t>
      </w:r>
      <w:r>
        <w:rPr>
          <w:rStyle w:val="FootnoteAnchor"/>
          <w:rtl w:val="true"/>
        </w:rPr>
        <w:footnoteReference w:id="1748"/>
      </w:r>
      <w:r>
        <w:rPr>
          <w:rFonts w:ascii="Amiri" w:hAnsi="Amiri" w:eastAsia="Amiri" w:cs="Amiri"/>
          <w:color w:val="111111"/>
          <w:sz w:val="28"/>
          <w:sz w:val="28"/>
          <w:szCs w:val="28"/>
          <w:rtl w:val="true"/>
          <w:lang w:bidi="ar-SA"/>
        </w:rPr>
        <w:t>أخذ تتمّة سنتين فلا يجبر على التكسّب في بقية السنة الثانية لئلّا يرجع إلى أخذ الزكاة لها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أنّ المجوّزين لا يلتزمون بهذا، فانحصر منعه عن التصرف في قوت الفقراء بأزيد من مقدار فقره في منعه عن أزيد من تتمّة سنة واحدة حتّى يشتغل في كل سنة لبعضها و يأخذ الزكاة للباقي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نظر الشهيد</w:t>
      </w:r>
    </w:p>
    <w:p>
      <w:pPr>
        <w:pStyle w:val="BookText"/>
        <w:rPr/>
      </w:pPr>
      <w:r>
        <w:rPr>
          <w:rFonts w:ascii="Amiri" w:hAnsi="Amiri" w:eastAsia="Amiri" w:cs="Amiri"/>
          <w:color w:val="111111"/>
          <w:sz w:val="28"/>
          <w:sz w:val="28"/>
          <w:szCs w:val="28"/>
          <w:rtl w:val="true"/>
          <w:lang w:bidi="ar-SA"/>
        </w:rPr>
        <w:t xml:space="preserve">في البيان </w:t>
      </w:r>
      <w:r>
        <w:rPr>
          <w:rStyle w:val="FootnoteAnchor"/>
          <w:rtl w:val="true"/>
        </w:rPr>
        <w:footnoteReference w:id="1749"/>
      </w:r>
      <w:r>
        <w:rPr>
          <w:rFonts w:ascii="Amiri" w:hAnsi="Amiri" w:eastAsia="Amiri" w:cs="Amiri"/>
          <w:color w:val="111111"/>
          <w:sz w:val="28"/>
          <w:sz w:val="28"/>
          <w:szCs w:val="28"/>
          <w:rtl w:val="true"/>
          <w:lang w:bidi="ar-SA"/>
        </w:rPr>
        <w:t>إلى هذا؛ حيث حمل أخبار الإغناء على غير 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اعترضه في المدارك و غيره </w:t>
      </w:r>
      <w:r>
        <w:rPr>
          <w:rStyle w:val="FootnoteAnchor"/>
          <w:rtl w:val="true"/>
        </w:rPr>
        <w:footnoteReference w:id="1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الحمل فرع الشاهد، و قد عرفت أنّ الشاهد ما دل على وضع الزكاة لقوت المحتاجين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مقتضى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الفرق بين التكسب و غيره</w:t>
      </w:r>
      <w:r>
        <w:rPr>
          <w:rFonts w:eastAsia="Amiri" w:cs="Amiri" w:ascii="Amiri" w:hAnsi="Amiri"/>
          <w:color w:val="111111"/>
          <w:sz w:val="28"/>
          <w:szCs w:val="28"/>
          <w:rtl w:val="true"/>
          <w:lang w:bidi="ar-SA"/>
        </w:rPr>
        <w:t xml:space="preserve">] </w:t>
      </w:r>
      <w:r>
        <w:rPr>
          <w:rStyle w:val="FootnoteAnchor"/>
          <w:rtl w:val="true"/>
        </w:rPr>
        <w:footnoteReference w:id="1751"/>
      </w:r>
      <w:r>
        <w:rPr>
          <w:rFonts w:ascii="Amiri" w:hAnsi="Amiri" w:eastAsia="Amiri" w:cs="Amiri"/>
          <w:color w:val="111111"/>
          <w:sz w:val="28"/>
          <w:sz w:val="28"/>
          <w:szCs w:val="28"/>
          <w:rtl w:val="true"/>
          <w:lang w:bidi="ar-SA"/>
        </w:rPr>
        <w:t xml:space="preserve">اختصاص الحكم بوجوب الاقتصار على التتمة لذي </w:t>
      </w:r>
      <w:r>
        <w:rPr>
          <w:rStyle w:val="FootnoteAnchor"/>
          <w:rtl w:val="true"/>
        </w:rPr>
        <w:footnoteReference w:id="1752"/>
      </w:r>
      <w:r>
        <w:rPr>
          <w:rFonts w:ascii="Amiri" w:hAnsi="Amiri" w:eastAsia="Amiri" w:cs="Amiri"/>
          <w:color w:val="111111"/>
          <w:sz w:val="28"/>
          <w:sz w:val="28"/>
          <w:szCs w:val="28"/>
          <w:rtl w:val="true"/>
          <w:lang w:bidi="ar-SA"/>
        </w:rPr>
        <w:t xml:space="preserve">الكسب القاصر، و الضيعة و الصناعة </w:t>
      </w:r>
      <w:r>
        <w:rPr>
          <w:rStyle w:val="FootnoteAnchor"/>
          <w:rtl w:val="true"/>
        </w:rPr>
        <w:footnoteReference w:id="1753"/>
      </w:r>
      <w:r>
        <w:rPr>
          <w:rFonts w:ascii="Amiri" w:hAnsi="Amiri" w:eastAsia="Amiri" w:cs="Amiri"/>
          <w:color w:val="111111"/>
          <w:sz w:val="28"/>
          <w:sz w:val="28"/>
          <w:szCs w:val="28"/>
          <w:rtl w:val="true"/>
          <w:lang w:bidi="ar-SA"/>
        </w:rPr>
        <w:t xml:space="preserve">القاصرتين، و أما من كان عنده فعلا ما يكفيه لبعض سنته فالظاهر جواز أخذه الزائد عن التتمة، و قد صرّح في المدارك </w:t>
      </w:r>
      <w:r>
        <w:rPr>
          <w:rStyle w:val="FootnoteAnchor"/>
          <w:rtl w:val="true"/>
        </w:rPr>
        <w:footnoteReference w:id="1754"/>
      </w:r>
      <w:r>
        <w:rPr>
          <w:rFonts w:ascii="Amiri" w:hAnsi="Amiri" w:eastAsia="Amiri" w:cs="Amiri"/>
          <w:color w:val="111111"/>
          <w:sz w:val="28"/>
          <w:sz w:val="28"/>
          <w:szCs w:val="28"/>
          <w:rtl w:val="true"/>
          <w:lang w:bidi="ar-SA"/>
        </w:rPr>
        <w:t xml:space="preserve">و الكفاية </w:t>
      </w:r>
      <w:r>
        <w:rPr>
          <w:rStyle w:val="FootnoteAnchor"/>
          <w:rtl w:val="true"/>
        </w:rPr>
        <w:footnoteReference w:id="1755"/>
      </w:r>
      <w:r>
        <w:rPr>
          <w:rFonts w:ascii="Amiri" w:hAnsi="Amiri" w:eastAsia="Amiri" w:cs="Amiri"/>
          <w:color w:val="111111"/>
          <w:sz w:val="28"/>
          <w:sz w:val="28"/>
          <w:szCs w:val="28"/>
          <w:rtl w:val="true"/>
          <w:lang w:bidi="ar-SA"/>
        </w:rPr>
        <w:t xml:space="preserve">بأنّ ظاهر جماعة اختصاص النزاع في جواز الزيادة على التتمة بذي الكسب القاصر، ثم حكيا عن المنتهى </w:t>
      </w:r>
      <w:r>
        <w:rPr>
          <w:rStyle w:val="FootnoteAnchor"/>
          <w:rtl w:val="true"/>
        </w:rPr>
        <w:footnoteReference w:id="1756"/>
      </w:r>
      <w:r>
        <w:rPr>
          <w:rFonts w:ascii="Amiri" w:hAnsi="Amiri" w:eastAsia="Amiri" w:cs="Amiri"/>
          <w:color w:val="111111"/>
          <w:sz w:val="28"/>
          <w:sz w:val="28"/>
          <w:szCs w:val="28"/>
          <w:rtl w:val="true"/>
          <w:lang w:bidi="ar-SA"/>
        </w:rPr>
        <w:t>كلاما يشعر بعموم الخلاف</w:t>
      </w:r>
      <w:r>
        <w:rPr>
          <w:rFonts w:eastAsia="Amiri" w:cs="Amiri" w:ascii="Amiri" w:hAnsi="Amiri"/>
          <w:color w:val="111111"/>
          <w:sz w:val="28"/>
          <w:szCs w:val="28"/>
          <w:rtl w:val="true"/>
          <w:lang w:bidi="ar-SA"/>
        </w:rPr>
        <w:t>.</w:t>
      </w:r>
      <w:bookmarkStart w:id="123" w:name="pg19722_766344"/>
    </w:p>
    <w:p>
      <w:pPr>
        <w:pStyle w:val="Heading4"/>
        <w:numPr>
          <w:ilvl w:val="3"/>
          <w:numId w:val="1"/>
        </w:numPr>
        <w:rPr/>
      </w:pPr>
      <w:bookmarkStart w:id="124" w:name="__RefHeading___Toc2136362_2314609296"/>
      <w:bookmarkStart w:id="125" w:name="_Toc43"/>
      <w:bookmarkEnd w:id="123"/>
      <w:bookmarkEnd w:id="124"/>
      <w:r>
        <w:rPr>
          <w:rtl w:val="true"/>
        </w:rPr>
        <w:t xml:space="preserve">مسألة </w:t>
      </w:r>
      <w:r>
        <w:rPr>
          <w:rtl w:val="true"/>
        </w:rPr>
        <w:t>[</w:t>
      </w:r>
      <w:r>
        <w:rPr/>
        <w:t>33</w:t>
      </w:r>
      <w:r>
        <w:rPr>
          <w:rtl w:val="true"/>
        </w:rPr>
        <w:t>]</w:t>
      </w:r>
      <w:bookmarkEnd w:id="125"/>
    </w:p>
    <w:p>
      <w:pPr>
        <w:pStyle w:val="BookText"/>
        <w:rPr/>
      </w:pPr>
      <w:r>
        <w:rPr>
          <w:rFonts w:ascii="Amiri" w:hAnsi="Amiri" w:eastAsia="Amiri" w:cs="Amiri"/>
          <w:color w:val="111111"/>
          <w:sz w:val="28"/>
          <w:sz w:val="28"/>
          <w:szCs w:val="28"/>
          <w:rtl w:val="true"/>
          <w:lang w:bidi="ar-SA"/>
        </w:rPr>
        <w:t>لو ادعى الفقر، فالمعروف قبول قوله؛ لأصالة عدم المال في بعض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لأصالة الصحّة في دعوى المسلم، بل أصالة العدالة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مطالبته بالبينة أو اليمين إذلال للمؤمن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ادّعى استحقاق شي‌ء لا ينكره عليه غيره، فيشبه مسألة الكيس المحكوم بأنّه لمن ادّعاه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لعموم ما دل على وجوب تصديق المؤمن، مثل الخبرين </w:t>
      </w:r>
      <w:r>
        <w:rPr>
          <w:rStyle w:val="FootnoteAnchor"/>
          <w:rtl w:val="true"/>
        </w:rPr>
        <w:footnoteReference w:id="1758"/>
      </w:r>
      <w:r>
        <w:rPr>
          <w:rFonts w:ascii="Amiri" w:hAnsi="Amiri" w:eastAsia="Amiri" w:cs="Amiri"/>
          <w:color w:val="111111"/>
          <w:sz w:val="28"/>
          <w:sz w:val="28"/>
          <w:szCs w:val="28"/>
          <w:rtl w:val="true"/>
          <w:lang w:bidi="ar-SA"/>
        </w:rPr>
        <w:t xml:space="preserve">الواردين في قوله تعالى يُؤْمِنُ بِاللّٰهِ وَ يُؤْمِنُ لِلْمُؤْمِنِينَ </w:t>
      </w:r>
      <w:r>
        <w:rPr>
          <w:rStyle w:val="FootnoteAnchor"/>
          <w:rtl w:val="true"/>
        </w:rPr>
        <w:footnoteReference w:id="1759"/>
      </w:r>
      <w:r>
        <w:rPr>
          <w:rFonts w:ascii="Amiri" w:hAnsi="Amiri" w:eastAsia="Amiri" w:cs="Amiri"/>
          <w:color w:val="111111"/>
          <w:sz w:val="28"/>
          <w:sz w:val="28"/>
          <w:szCs w:val="28"/>
          <w:rtl w:val="true"/>
          <w:lang w:bidi="ar-SA"/>
        </w:rPr>
        <w:t>و ما ورد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وحده حجة</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لتعذّر إقامة البينة عليه، فيشمله ما يستفاد منه سماع دعوى يتعذر إقامة البينة عليها، كما يرشد إليه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المدعية لكونها بلا زوج</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كلفتها البينة، تجد بين لابتيها من يشهد أن ليس لها زوج؟</w:t>
      </w:r>
      <w:r>
        <w:rPr>
          <w:rFonts w:eastAsia="Amiri" w:cs="Amiri" w:ascii="Amiri" w:hAnsi="Amiri"/>
          <w:color w:val="111111"/>
          <w:sz w:val="28"/>
          <w:szCs w:val="28"/>
          <w:rtl w:val="true"/>
          <w:lang w:bidi="ar-SA"/>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للزوم الحرج لو كلّف الفقير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لاستمرار السيرة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يستفاد مما ورد فيمن أهدى جارية للبيت 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تباع و يؤخذ ثمنها، و ينادى على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من منقطع و من نفدت </w:t>
      </w:r>
      <w:r>
        <w:rPr>
          <w:rStyle w:val="FootnoteAnchor"/>
          <w:rtl w:val="true"/>
        </w:rPr>
        <w:footnoteReference w:id="1762"/>
      </w:r>
      <w:r>
        <w:rPr>
          <w:rFonts w:ascii="Amiri" w:hAnsi="Amiri" w:eastAsia="Amiri" w:cs="Amiri"/>
          <w:color w:val="111111"/>
          <w:sz w:val="28"/>
          <w:sz w:val="28"/>
          <w:szCs w:val="28"/>
          <w:rtl w:val="true"/>
          <w:lang w:bidi="ar-SA"/>
        </w:rPr>
        <w:t>نفقته أو قطع عليه فليأت فلان بن فلان، و أمره أن يعطي أولا فأولا حتى ينفد ثمن الجارية</w:t>
      </w:r>
      <w:r>
        <w:rPr>
          <w:rFonts w:eastAsia="Amiri" w:cs="Amiri" w:ascii="Amiri" w:hAnsi="Amiri"/>
          <w:color w:val="111111"/>
          <w:sz w:val="28"/>
          <w:szCs w:val="28"/>
          <w:rtl w:val="true"/>
          <w:lang w:bidi="ar-SA"/>
        </w:rPr>
        <w:t xml:space="preserve">» </w:t>
      </w:r>
      <w:r>
        <w:rPr>
          <w:rStyle w:val="FootnoteAnchor"/>
          <w:rtl w:val="true"/>
        </w:rPr>
        <w:footnoteReference w:id="1763"/>
      </w:r>
      <w:r>
        <w:rPr>
          <w:rFonts w:ascii="Amiri" w:hAnsi="Amiri" w:eastAsia="Amiri" w:cs="Amiri"/>
          <w:color w:val="111111"/>
          <w:sz w:val="28"/>
          <w:sz w:val="28"/>
          <w:szCs w:val="28"/>
          <w:rtl w:val="true"/>
          <w:lang w:bidi="ar-SA"/>
        </w:rPr>
        <w:t>فإن الظاهر منها من حيث ورودها مقام الحاجة هو الاكتفاء بدعوى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لرواية العرزمي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أتى الحسنين عليهما السلام فسألهما،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الصدقة إلّا في دين موجع أو غرم مفظع </w:t>
      </w:r>
      <w:r>
        <w:rPr>
          <w:rStyle w:val="FootnoteAnchor"/>
          <w:rtl w:val="true"/>
        </w:rPr>
        <w:footnoteReference w:id="1764"/>
      </w:r>
      <w:r>
        <w:rPr>
          <w:rFonts w:ascii="Amiri" w:hAnsi="Amiri" w:eastAsia="Amiri" w:cs="Amiri"/>
          <w:color w:val="111111"/>
          <w:sz w:val="28"/>
          <w:sz w:val="28"/>
          <w:szCs w:val="28"/>
          <w:rtl w:val="true"/>
          <w:lang w:bidi="ar-SA"/>
        </w:rPr>
        <w:t>أو فقر مدقع، فهل فيك أحدها؟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فأعطياه</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المروي في الصحيح، عن عامر بن جذاعة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أبي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قرض إلى ميسرة؟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غلة تدرك؟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تجارة تئوب؟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عقدة تباع؟ قال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ممن جعل اللّٰه له في أموالنا حقا، فدعا بكيس فيه دراهم </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أكثر هذه الوجوه نظر؛ لمنع كون أصالة الصحة موجبة لإثبات الموضوع الذي تعلّق </w:t>
      </w:r>
      <w:r>
        <w:rPr>
          <w:rStyle w:val="FootnoteAnchor"/>
          <w:rtl w:val="true"/>
        </w:rPr>
        <w:footnoteReference w:id="1767"/>
      </w:r>
      <w:r>
        <w:rPr>
          <w:rFonts w:ascii="Amiri" w:hAnsi="Amiri" w:eastAsia="Amiri" w:cs="Amiri"/>
          <w:color w:val="111111"/>
          <w:sz w:val="28"/>
          <w:sz w:val="28"/>
          <w:szCs w:val="28"/>
          <w:rtl w:val="true"/>
          <w:lang w:bidi="ar-SA"/>
        </w:rPr>
        <w:t>به تكليف الغير، أعني المخاطب الغني المنهي عن صرف</w:t>
      </w:r>
    </w:p>
    <w:p>
      <w:pPr>
        <w:pStyle w:val="BookText"/>
        <w:rPr/>
      </w:pPr>
      <w:r>
        <w:rPr>
          <w:rFonts w:ascii="Amiri" w:hAnsi="Amiri" w:eastAsia="Amiri" w:cs="Amiri"/>
          <w:color w:val="111111"/>
          <w:sz w:val="28"/>
          <w:sz w:val="28"/>
          <w:szCs w:val="28"/>
          <w:rtl w:val="true"/>
          <w:lang w:bidi="ar-SA"/>
        </w:rPr>
        <w:t xml:space="preserve">حصة الفقراء المشاركين له في المال إلى غيرهم، و أصالة العدالة ممنوعة، و مغايرة المسألة مع مسألة الكيس واضحة، و تعذر إقامة البينة بل تعسرها ممنوعة، و لهذا يكلّف مدّعي الإعسار بالإثبات إذا علم له أصل مال، و أدلة الهدي واردة في بيان المصرف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الزوار المنقطعين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عنهم و أعطهم</w:t>
      </w:r>
      <w:r>
        <w:rPr>
          <w:rFonts w:eastAsia="Amiri" w:cs="Amiri" w:ascii="Amiri" w:hAnsi="Amiri"/>
          <w:color w:val="111111"/>
          <w:sz w:val="28"/>
          <w:szCs w:val="28"/>
          <w:rtl w:val="true"/>
          <w:lang w:bidi="ar-SA"/>
        </w:rPr>
        <w:t xml:space="preserve">» </w:t>
      </w:r>
      <w:r>
        <w:rPr>
          <w:rStyle w:val="FootnoteAnchor"/>
          <w:rtl w:val="true"/>
        </w:rPr>
        <w:footnoteReference w:id="1768"/>
      </w:r>
      <w:r>
        <w:rPr>
          <w:rFonts w:ascii="Amiri" w:hAnsi="Amiri" w:eastAsia="Amiri" w:cs="Amiri"/>
          <w:color w:val="111111"/>
          <w:sz w:val="28"/>
          <w:sz w:val="28"/>
          <w:szCs w:val="28"/>
          <w:rtl w:val="true"/>
          <w:lang w:bidi="ar-SA"/>
        </w:rPr>
        <w:t>و هو صريح في عدم جواز الإعطاء بدون الفحص</w:t>
      </w:r>
      <w:r>
        <w:rPr>
          <w:rFonts w:eastAsia="Amiri" w:cs="Amiri" w:ascii="Amiri" w:hAnsi="Amiri"/>
          <w:color w:val="111111"/>
          <w:sz w:val="28"/>
          <w:szCs w:val="28"/>
          <w:rtl w:val="true"/>
          <w:lang w:bidi="ar-SA"/>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الروايتان فهما قضيتان لا عموم لهما؛ لاحتمال حصول العلم أو الظن للمعصوم من قول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هو لزوم الحرج، و ما ورد في تصديق المؤمن حيث أمر الإمام عليه السلام بتصديق المؤمن مستشهدا لذلك بقوله تعالى يُؤْمِنُ بِاللّٰهِ وَ يُؤْمِنُ لِلْمُؤْمِنِينَ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ينفى وجوب البينة و اليمين بوجه جعله في الحدائق </w:t>
      </w:r>
      <w:r>
        <w:rPr>
          <w:rStyle w:val="FootnoteAnchor"/>
          <w:rtl w:val="true"/>
        </w:rPr>
        <w:footnoteReference w:id="1771"/>
      </w:r>
      <w:r>
        <w:rPr>
          <w:rFonts w:ascii="Amiri" w:hAnsi="Amiri" w:eastAsia="Amiri" w:cs="Amiri"/>
          <w:color w:val="111111"/>
          <w:sz w:val="28"/>
          <w:sz w:val="28"/>
          <w:szCs w:val="28"/>
          <w:rtl w:val="true"/>
          <w:lang w:bidi="ar-SA"/>
        </w:rPr>
        <w:t>أمتن الوجوه و أنظرها و أوجهها و أحسنها،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أدلتها هي الدعاوي؛ لأنه المنساق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ليس بتلك الأدلة الواردة في بيان ما يطالب به كل من المتخاصمين، و فيما يتسلّط به المدّعي على المنكر، و ما به </w:t>
      </w:r>
      <w:r>
        <w:rPr>
          <w:rStyle w:val="FootnoteAnchor"/>
          <w:rtl w:val="true"/>
        </w:rPr>
        <w:footnoteReference w:id="1773"/>
      </w:r>
      <w:r>
        <w:rPr>
          <w:rFonts w:ascii="Amiri" w:hAnsi="Amiri" w:eastAsia="Amiri" w:cs="Amiri"/>
          <w:color w:val="111111"/>
          <w:sz w:val="28"/>
          <w:sz w:val="28"/>
          <w:szCs w:val="28"/>
          <w:rtl w:val="true"/>
          <w:lang w:bidi="ar-SA"/>
        </w:rPr>
        <w:t xml:space="preserve">يرفع المنكر تسلّط المدّعى عليه، و المقصود فيما نحن فيه إنّ ثبوت فقر الشخص على وجه يجوز للمكلف دفع الزكاة إليه موقوف على قيام البينة و إن لم يقع منه </w:t>
      </w:r>
      <w:r>
        <w:rPr>
          <w:rStyle w:val="FootnoteAnchor"/>
          <w:rtl w:val="true"/>
        </w:rPr>
        <w:footnoteReference w:id="1774"/>
      </w:r>
      <w:r>
        <w:rPr>
          <w:rFonts w:ascii="IRNazanin" w:hAnsi="IRNazanin" w:eastAsia="IRNazanin"/>
          <w:color w:val="111111"/>
          <w:sz w:val="28"/>
          <w:sz w:val="28"/>
          <w:szCs w:val="28"/>
          <w:rtl w:val="true"/>
          <w:lang w:bidi="fa-IR"/>
        </w:rPr>
        <w:t>دعوى؛</w:t>
      </w:r>
    </w:p>
    <w:p>
      <w:pPr>
        <w:pStyle w:val="BookText"/>
        <w:rPr/>
      </w:pPr>
      <w:r>
        <w:rPr>
          <w:rFonts w:ascii="IRNazanin" w:hAnsi="IRNazanin" w:eastAsia="IRNazanin"/>
          <w:color w:val="111111"/>
          <w:sz w:val="28"/>
          <w:sz w:val="28"/>
          <w:szCs w:val="28"/>
          <w:rtl w:val="true"/>
          <w:lang w:bidi="fa-IR"/>
        </w:rPr>
        <w:t xml:space="preserve">لأن </w:t>
      </w:r>
      <w:r>
        <w:rPr>
          <w:rStyle w:val="FootnoteAnchor"/>
          <w:rtl w:val="true"/>
        </w:rPr>
        <w:footnoteReference w:id="1775"/>
      </w:r>
      <w:r>
        <w:rPr>
          <w:rFonts w:ascii="Amiri" w:hAnsi="Amiri" w:eastAsia="Amiri" w:cs="Amiri"/>
          <w:color w:val="111111"/>
          <w:sz w:val="28"/>
          <w:sz w:val="28"/>
          <w:szCs w:val="28"/>
          <w:rtl w:val="true"/>
          <w:lang w:bidi="ar-SA"/>
        </w:rPr>
        <w:t xml:space="preserve">دعواه بنفسه لا تجدي في إثبات الموضوع كما تجدي البينة، فالكلام في طريق إثبات هذا الموضوع، و انّه هل يثبت بقول الفقير كما يثبت بالبينة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فاختصاص أدلة البينة بمورد الخصومة لا يضرّ بما نحن فيه، و لذا لو كان الشخص صغيرا أو غير مدّع للفقر لم يدفع إليه إلّا بالبينة</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نقول بمجرد كفاية المظنة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لتعذّر قيام البينة غالبا، فيؤدّي اعتباره إلى حرمان كثير من الفقراء، و إلّا فمقتضى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الاقتصار على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تصديقه باليمين كما حكي </w:t>
      </w:r>
      <w:r>
        <w:rPr>
          <w:rStyle w:val="FootnoteAnchor"/>
          <w:rtl w:val="true"/>
        </w:rPr>
        <w:footnoteReference w:id="1777"/>
      </w:r>
      <w:r>
        <w:rPr>
          <w:rFonts w:ascii="Amiri" w:hAnsi="Amiri" w:eastAsia="Amiri" w:cs="Amiri"/>
          <w:color w:val="111111"/>
          <w:sz w:val="28"/>
          <w:sz w:val="28"/>
          <w:szCs w:val="28"/>
          <w:rtl w:val="true"/>
          <w:lang w:bidi="ar-SA"/>
        </w:rPr>
        <w:t xml:space="preserve">عن الشيخ فيمن عرف له أصل مال </w:t>
      </w:r>
      <w:r>
        <w:rPr>
          <w:rStyle w:val="FootnoteAnchor"/>
          <w:rtl w:val="true"/>
        </w:rPr>
        <w:footnoteReference w:id="1778"/>
      </w:r>
      <w:r>
        <w:rPr>
          <w:rFonts w:ascii="Amiri" w:hAnsi="Amiri" w:eastAsia="Amiri" w:cs="Amiri"/>
          <w:color w:val="111111"/>
          <w:sz w:val="28"/>
          <w:sz w:val="28"/>
          <w:szCs w:val="28"/>
          <w:rtl w:val="true"/>
          <w:lang w:bidi="ar-SA"/>
        </w:rPr>
        <w:t xml:space="preserve">فلم يظهر وجهه؛ لأنّ المعروف من موارد اليمين هو ما يتوقف قطع الخصومة عليه؛ و لذا لا يمين في حدّ، مع انك قد عرفت انّ الكلام في المقام هو في حجية قول الفقير، و انّه بنفسه من الطرق الظاهرية للموضوع أم لا؟ لا في سماع دعواه؛ لأنّ هذه الدعوى ليست مما يلزم </w:t>
      </w:r>
      <w:r>
        <w:rPr>
          <w:rStyle w:val="FootnoteAnchor"/>
          <w:rtl w:val="true"/>
        </w:rPr>
        <w:footnoteReference w:id="1779"/>
      </w:r>
      <w:r>
        <w:rPr>
          <w:rFonts w:ascii="Amiri" w:hAnsi="Amiri" w:eastAsia="Amiri" w:cs="Amiri"/>
          <w:color w:val="111111"/>
          <w:sz w:val="28"/>
          <w:sz w:val="28"/>
          <w:szCs w:val="28"/>
          <w:rtl w:val="true"/>
          <w:lang w:bidi="ar-SA"/>
        </w:rPr>
        <w:t>بها المنكر على فرض إقراره بها حتى تسمع، و يطالب المدعي بما يثبت به دعواه من البينة أو اليمين، بل تسميته دعوى ليست في مقابل المكلّف بالزكاة الشاك في فقره، بل هو أشبه شي‌ء بدعوى الإمام العدالة، أو الفقيه الاجتهاد، أو الشاهد على شي‌ء غير متنازع فيه كالنجاسة و القبلة و الوقت،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فإنّه لا معنى لليمين في جميع ذلك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اعتبار اليمين هو أنّه و إن لم يكن لنا دليل على وجوب تصديق المخبر مطلقا إلّا انّه يصدّق الحالف مطلقا؛ لعموم ما</w:t>
      </w:r>
    </w:p>
    <w:p>
      <w:pPr>
        <w:pStyle w:val="BookText"/>
        <w:rPr/>
      </w:pPr>
      <w:r>
        <w:rPr>
          <w:rFonts w:ascii="Amiri" w:hAnsi="Amiri" w:eastAsia="Amiri" w:cs="Amiri"/>
          <w:color w:val="111111"/>
          <w:sz w:val="28"/>
          <w:sz w:val="28"/>
          <w:szCs w:val="28"/>
          <w:rtl w:val="true"/>
          <w:lang w:bidi="ar-SA"/>
        </w:rPr>
        <w:t>دل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لكم باللّه فصدّقوه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له بالله فلم يرض به فليس من اللّٰه في شي‌ء</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 xml:space="preserve">إلى غير ذلك من الأدلة على وجوب تصديق الحالف، حتى انّه لا يعتبر البينة بعده، فحينئذ يكون الحلف طريقا إلى ثبوت الموضوع، و إن لم يكن إخبار المخبر بنفسه دليلا، لا </w:t>
      </w:r>
      <w:r>
        <w:rPr>
          <w:rStyle w:val="FootnoteAnchor"/>
          <w:rtl w:val="true"/>
        </w:rPr>
        <w:footnoteReference w:id="1781"/>
      </w:r>
      <w:r>
        <w:rPr>
          <w:rFonts w:ascii="Amiri" w:hAnsi="Amiri" w:eastAsia="Amiri" w:cs="Amiri"/>
          <w:color w:val="111111"/>
          <w:sz w:val="28"/>
          <w:sz w:val="28"/>
          <w:szCs w:val="28"/>
          <w:rtl w:val="true"/>
          <w:lang w:bidi="ar-SA"/>
        </w:rPr>
        <w:t xml:space="preserve">انّ اليمين يتوجه </w:t>
      </w:r>
      <w:r>
        <w:rPr>
          <w:rStyle w:val="FootnoteAnchor"/>
          <w:rtl w:val="true"/>
        </w:rPr>
        <w:footnoteReference w:id="1782"/>
      </w:r>
      <w:r>
        <w:rPr>
          <w:rFonts w:ascii="IRNazanin" w:hAnsi="IRNazanin" w:eastAsia="IRNazanin"/>
          <w:color w:val="111111"/>
          <w:sz w:val="28"/>
          <w:sz w:val="28"/>
          <w:szCs w:val="28"/>
          <w:rtl w:val="true"/>
          <w:lang w:bidi="fa-IR"/>
        </w:rPr>
        <w:t>لإثبات الدعوى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هذا لا يتم، و إلّا لثبت كثير مما يتأمل في ثبوته بقول مخبر مدّع، أو غير مدّع بمجرد حلفه، فيكون قد ثبت حجية قول الحالف و إن لم يثبت حجية قول المخبر، و هي تفتح بابا عظيما كأنّه معروف الانسداد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انّ المراد بالحلف في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بملاحظة ظاهر الاستحقاق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الحلف الذي تستحقّونه عليه، فيختص بمقام 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كان مدّعي الفقر عادلا فالظاهر قبول قوله عند إفادة الظن؛ لأنّ حجيته في مثل المقام ممّا لا ريب فيه، و إن لم يفد الظن ففيه إشكال، و لا يبعد أن يكون الاحتياط حينئذ في توكيل العادل في صرف الزكاة إلى مستحقّها و إن كان هو بنفسه مستحقا في علمه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انّه لا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Style w:val="FootnoteAnchor"/>
          <w:rtl w:val="true"/>
        </w:rPr>
        <w:footnoteReference w:id="1783"/>
      </w:r>
      <w:r>
        <w:rPr>
          <w:rFonts w:ascii="Amiri" w:hAnsi="Amiri" w:eastAsia="Amiri" w:cs="Amiri"/>
          <w:color w:val="111111"/>
          <w:sz w:val="28"/>
          <w:sz w:val="28"/>
          <w:szCs w:val="28"/>
          <w:rtl w:val="true"/>
          <w:lang w:bidi="ar-SA"/>
        </w:rPr>
        <w:t xml:space="preserve">دفع المال الى الفقير مقرونا بما يوجب إخباره بأنه زكاة، بل يكفي قصد ذلك عند الدفع إجماعا على الظاهر كما يظهر من محكي التذكرة </w:t>
      </w:r>
      <w:r>
        <w:rPr>
          <w:rStyle w:val="FootnoteAnchor"/>
          <w:rtl w:val="true"/>
        </w:rPr>
        <w:footnoteReference w:id="1784"/>
      </w:r>
      <w:r>
        <w:rPr>
          <w:rFonts w:ascii="IRNazanin" w:hAnsi="IRNazanin" w:eastAsia="IRNazanin"/>
          <w:color w:val="111111"/>
          <w:sz w:val="28"/>
          <w:sz w:val="28"/>
          <w:szCs w:val="28"/>
          <w:rtl w:val="true"/>
          <w:lang w:bidi="fa-IR"/>
        </w:rPr>
        <w:t xml:space="preserve">و الحدائق </w:t>
      </w:r>
      <w:r>
        <w:rPr>
          <w:rStyle w:val="FootnoteAnchor"/>
          <w:rtl w:val="true"/>
        </w:rPr>
        <w:footnoteReference w:id="1785"/>
      </w:r>
      <w:r>
        <w:rPr>
          <w:rFonts w:ascii="Amiri" w:hAnsi="Amiri" w:eastAsia="Amiri" w:cs="Amiri"/>
          <w:color w:val="111111"/>
          <w:sz w:val="28"/>
          <w:sz w:val="28"/>
          <w:szCs w:val="28"/>
          <w:rtl w:val="true"/>
          <w:lang w:bidi="ar-SA"/>
        </w:rPr>
        <w:t>، و لرواية أبي بصير الحسنة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كالصحيحة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يستحيي أن يأخذ من الزكاة فأعطيه من الزكاة، و لا اسميّ له أنها من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و لا تسمّ له، و لا تذلّ المؤمن</w:t>
      </w:r>
      <w:r>
        <w:rPr>
          <w:rFonts w:eastAsia="Amiri" w:cs="Amiri" w:ascii="Amiri" w:hAnsi="Amiri"/>
          <w:color w:val="111111"/>
          <w:sz w:val="28"/>
          <w:szCs w:val="28"/>
          <w:rtl w:val="true"/>
          <w:lang w:bidi="ar-SA"/>
        </w:rPr>
        <w:t xml:space="preserve">» </w:t>
      </w:r>
      <w:r>
        <w:rPr>
          <w:rStyle w:val="FootnoteAnchor"/>
          <w:rtl w:val="true"/>
        </w:rPr>
        <w:footnoteReference w:id="1786"/>
      </w:r>
      <w:r>
        <w:rPr>
          <w:rFonts w:ascii="Amiri" w:hAnsi="Amiri" w:eastAsia="Amiri" w:cs="Amiri"/>
          <w:color w:val="111111"/>
          <w:sz w:val="28"/>
          <w:sz w:val="28"/>
          <w:szCs w:val="28"/>
          <w:rtl w:val="true"/>
          <w:lang w:bidi="ar-SA"/>
        </w:rPr>
        <w:t>و 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موردها من يستحيي من أخذ الزكاة، و انه لا يأخذ إذا علم انّه </w:t>
      </w:r>
      <w:r>
        <w:rPr>
          <w:rStyle w:val="FootnoteAnchor"/>
          <w:rtl w:val="true"/>
        </w:rPr>
        <w:footnoteReference w:id="1787"/>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الدفع و إن كان مقرونا بما يتخيل </w:t>
      </w:r>
      <w:r>
        <w:rPr>
          <w:rStyle w:val="FootnoteAnchor"/>
          <w:rtl w:val="true"/>
        </w:rPr>
        <w:footnoteReference w:id="1788"/>
      </w:r>
      <w:r>
        <w:rPr>
          <w:rFonts w:ascii="Amiri" w:hAnsi="Amiri" w:eastAsia="Amiri" w:cs="Amiri"/>
          <w:color w:val="111111"/>
          <w:sz w:val="28"/>
          <w:sz w:val="28"/>
          <w:szCs w:val="28"/>
          <w:rtl w:val="true"/>
          <w:lang w:bidi="ar-SA"/>
        </w:rPr>
        <w:t>الفقير أنها ليست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نصب الدافع قرائن على أنها ليست زكاة، بحيث يكون اعتقاد المستحيي من أخذ الزكاة مستندا إلى ما نصبه الدافع من القول و الفعل، فالمعروف إلحاقه بالصورة الاولى، بل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الانصاف انّ الرواية لا تدل على الجواز؛ لأنها إنما دلت على الرخصة في عدم الإعلام لا في الإعلام بكونها من غير الزكاة، لكنّ العمومات التي يستفاد منها حصول الامتثال بصرف الزكاة إلى الفقراء كافية في المقام، مضافا إلى إطلاق قوله عليه السلام 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هي وصلت إلى الفقير فهي بمنزلة ماله يصنع بها ما شاء</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و يؤيد ذلك الإذن في إعطاء الأيتام، و الشراء لهم بقيمتها ما يحتاجون من غير توقف على قبض أوليائهم بعنوان أنها زكاة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جعل الشارع للمكلف المزكّي ولاية في ذلك تكلّف واضح، و يؤيده أيضا ما ورد من المقاصّة </w:t>
      </w:r>
      <w:r>
        <w:rPr>
          <w:rStyle w:val="FootnoteAnchor"/>
          <w:rtl w:val="true"/>
        </w:rPr>
        <w:footnoteReference w:id="1791"/>
      </w:r>
      <w:r>
        <w:rPr>
          <w:rFonts w:ascii="Amiri" w:hAnsi="Amiri" w:eastAsia="Amiri" w:cs="Amiri"/>
          <w:color w:val="111111"/>
          <w:sz w:val="28"/>
          <w:sz w:val="28"/>
          <w:szCs w:val="28"/>
          <w:rtl w:val="true"/>
          <w:lang w:bidi="ar-SA"/>
        </w:rPr>
        <w:t xml:space="preserve">بها من دين الحي و الميت و قضاء دين الميت من الزكاة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ما ورد من أنّ الزكاة بمنزلة الدين </w:t>
      </w:r>
      <w:r>
        <w:rPr>
          <w:rStyle w:val="FootnoteAnchor"/>
          <w:rtl w:val="true"/>
        </w:rPr>
        <w:footnoteReference w:id="1793"/>
      </w:r>
      <w:r>
        <w:rPr>
          <w:rFonts w:ascii="Amiri" w:hAnsi="Amiri" w:eastAsia="Amiri" w:cs="Amiri"/>
          <w:color w:val="111111"/>
          <w:sz w:val="28"/>
          <w:sz w:val="28"/>
          <w:szCs w:val="28"/>
          <w:rtl w:val="true"/>
          <w:lang w:bidi="ar-SA"/>
        </w:rPr>
        <w:t>و إنما فرّق بينهما بوجوب نية التعيين و التقرب من طرف الدافع، و أما من طرف القابض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حسنة ابن مسلم بابن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يكون محتاجا فيبعث إليه بالصدقة، فلا يقبلها على وجه الصدقة، يأخذه من ذلك ذمام و استحياء و انقباض، أ فيعطيها إيّاه على غير ذلك الوجه و هي منا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كانت زكاة فله أن يقبلها، فإن لم يقبلها على وجه الزكاة فلا تعطها إيّاه، و لا ينبغي له أن يستحيي مما فرض اللّٰه عز و جل، إنما هي فريضة اللّٰه فلا يستحيي منها</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صريحا في عدم احتسابه من الزكاة لو أعطاها، و إنما يدل على عدم جواز الإعطاء أو كراهته ليتنزّل عن استحياء أخذ الزكاة، و الترفع عنها </w:t>
      </w:r>
      <w:r>
        <w:rPr>
          <w:rStyle w:val="FootnoteAnchor"/>
          <w:rtl w:val="true"/>
        </w:rPr>
        <w:footnoteReference w:id="1795"/>
      </w:r>
      <w:r>
        <w:rPr>
          <w:rFonts w:ascii="Amiri" w:hAnsi="Amiri" w:eastAsia="Amiri" w:cs="Amiri"/>
          <w:color w:val="111111"/>
          <w:sz w:val="28"/>
          <w:sz w:val="28"/>
          <w:szCs w:val="28"/>
          <w:rtl w:val="true"/>
          <w:lang w:bidi="ar-SA"/>
        </w:rPr>
        <w:t>الراجع إلى الاستنكاف عما رضي اللّٰه له، و عدم الرضى بما قسّم اللّٰه له، فلا ينافي مورد الرواية السابقة، و هو الاستحياء عن الأخذ مع تصريح الدافع قولا بأنها زكاة، و إن لم يترفّع عن أخذ الزكاة الواقعية إذا علم بها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فمورد الرواية الثانية من يردّ الزكاة إذا علم انّها زكاة، و مورد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بقرينة السؤال عن جواز ترك التصريح له بأنّها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الاستحياء عن أخذها عند تصريح الدافع، فيمكن حمل الثانية على الكراهة، و رجحان العدول إلى غيره، فحينئذ لا تعارض العمومات، و لا ينافي ما صرح به</w:t>
      </w:r>
    </w:p>
    <w:p>
      <w:pPr>
        <w:pStyle w:val="BookText"/>
        <w:rPr/>
      </w:pPr>
      <w:r>
        <w:rPr>
          <w:rFonts w:ascii="Amiri" w:hAnsi="Amiri" w:eastAsia="Amiri" w:cs="Amiri"/>
          <w:color w:val="111111"/>
          <w:sz w:val="28"/>
          <w:sz w:val="28"/>
          <w:szCs w:val="28"/>
          <w:rtl w:val="true"/>
          <w:lang w:bidi="ar-SA"/>
        </w:rPr>
        <w:t xml:space="preserve">غير واحد </w:t>
      </w:r>
      <w:r>
        <w:rPr>
          <w:rStyle w:val="FootnoteAnchor"/>
          <w:rtl w:val="true"/>
        </w:rPr>
        <w:footnoteReference w:id="1796"/>
      </w:r>
      <w:r>
        <w:rPr>
          <w:rFonts w:ascii="Amiri" w:hAnsi="Amiri" w:eastAsia="Amiri" w:cs="Amiri"/>
          <w:color w:val="111111"/>
          <w:sz w:val="28"/>
          <w:sz w:val="28"/>
          <w:szCs w:val="28"/>
          <w:rtl w:val="true"/>
          <w:lang w:bidi="ar-SA"/>
        </w:rPr>
        <w:t xml:space="preserve">و ادعى عليه في محكي التذكرة </w:t>
      </w:r>
      <w:r>
        <w:rPr>
          <w:rStyle w:val="FootnoteAnchor"/>
          <w:rtl w:val="true"/>
        </w:rPr>
        <w:footnoteReference w:id="1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يعرف فيه خلافا من استحباب إيصالها بصورة الصلة إلى المستحيي من طلبها، بل من أخذها بصورة الزكاة لكون ذلك مذلّة عند الناس، و إن لم يترفع نفسه عنها و لم يمتنع منها بمجرد الاطلاع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ورد من دفع صدقات الأنعام إلى المتجملين من الفقراء؛ معللا بأنهم يستحيون من أخذ صدقات الأموال </w:t>
      </w:r>
      <w:r>
        <w:rPr>
          <w:rStyle w:val="FootnoteAnchor"/>
          <w:rtl w:val="true"/>
        </w:rPr>
        <w:footnoteReference w:id="1798"/>
      </w:r>
      <w:r>
        <w:rPr>
          <w:rFonts w:ascii="Amiri" w:hAnsi="Amiri" w:eastAsia="Amiri" w:cs="Amiri"/>
          <w:color w:val="111111"/>
          <w:sz w:val="28"/>
          <w:sz w:val="28"/>
          <w:szCs w:val="28"/>
          <w:rtl w:val="true"/>
          <w:lang w:bidi="ar-SA"/>
        </w:rPr>
        <w:t>، و لقد أحسن المحقق رحمه اللّٰه في المعتبر التعبير عن مورد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يستحيي من طلبها يتوصل إلى مواصلته،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أبو بصير </w:t>
      </w:r>
      <w:r>
        <w:rPr>
          <w:rStyle w:val="FootnoteAnchor"/>
          <w:rtl w:val="true"/>
        </w:rPr>
        <w:footnoteReference w:id="17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حاصل صور المسألة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الدافع على وجه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التصريح و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يأخذه القابض كذلك، و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يدفعها الدافع على قصد الزكاة من غير إعلام له بأنها زكاة، و يأخذه القابض عالما بأنها زكاة، و لا إشكال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يدفعها على قصد الزكاة بعنوان الصلة و الهدية، و يأخذها </w:t>
      </w:r>
      <w:r>
        <w:rPr>
          <w:rStyle w:val="FootnoteAnchor"/>
          <w:rtl w:val="true"/>
        </w:rPr>
        <w:footnoteReference w:id="1800"/>
      </w:r>
      <w:r>
        <w:rPr>
          <w:rFonts w:ascii="Amiri" w:hAnsi="Amiri" w:eastAsia="Amiri" w:cs="Amiri"/>
          <w:color w:val="111111"/>
          <w:sz w:val="28"/>
          <w:sz w:val="28"/>
          <w:szCs w:val="28"/>
          <w:rtl w:val="true"/>
          <w:lang w:bidi="ar-SA"/>
        </w:rPr>
        <w:t>القابض على وجه الزكاة، و لا إشكال فيها، و لا في استحبابها، من جهة استحياء الفقير المتجمل من أن يطلع عليه أحد لكونه ممن يحسبهم الجاهل أغنياء من التعفف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 لكن يأخذه القابض بالعنوان الذي دفع إليه،</w:t>
      </w:r>
    </w:p>
    <w:p>
      <w:pPr>
        <w:pStyle w:val="BookText"/>
        <w:rPr/>
      </w:pPr>
      <w:r>
        <w:rPr>
          <w:rFonts w:ascii="Amiri" w:hAnsi="Amiri" w:eastAsia="Amiri" w:cs="Amiri"/>
          <w:color w:val="111111"/>
          <w:sz w:val="28"/>
          <w:sz w:val="28"/>
          <w:szCs w:val="28"/>
          <w:rtl w:val="true"/>
          <w:lang w:bidi="ar-SA"/>
        </w:rPr>
        <w:t xml:space="preserve">فإن كان ممن لا يمتنع عنها إذا اطّلع على كونها زكاة، فمقتضى العمومات الجواز، بناء على أنّ قبض الزكاة ليس كالقبول الفعلي للعقود يعتبر فيها المطابقة للإيجاب الحاصل بالدفع، بل المقصود قبول تملكه على أيّ نحو كان؛ ليتحقق للمعطي امتثال أوامر الإيصال و الدفع و الصرف، و إن امتنع </w:t>
      </w:r>
      <w:r>
        <w:rPr>
          <w:rStyle w:val="FootnoteAnchor"/>
          <w:rtl w:val="true"/>
        </w:rPr>
        <w:footnoteReference w:id="1801"/>
      </w:r>
      <w:r>
        <w:rPr>
          <w:rFonts w:ascii="Amiri" w:hAnsi="Amiri" w:eastAsia="Amiri" w:cs="Amiri"/>
          <w:color w:val="111111"/>
          <w:sz w:val="28"/>
          <w:sz w:val="28"/>
          <w:szCs w:val="28"/>
          <w:rtl w:val="true"/>
          <w:lang w:bidi="ar-SA"/>
        </w:rPr>
        <w:t>إذا اطلع على كونها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الذي دلّت الحسنة على النهي عن إعطائها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حملنا النهي على كراهية الدفع إليه، أو على خروجه عن الاستحقاق لأجل الاستنكاف عما رضى اللّٰه له كما ورد </w:t>
      </w:r>
      <w:r>
        <w:rPr>
          <w:rStyle w:val="FootnoteAnchor"/>
          <w:rtl w:val="true"/>
        </w:rPr>
        <w:footnoteReference w:id="18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تارك الزكاة و قد وجبت له كمانعها و قد وجبت عليه</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فيخرج عن العدالة، أو على كون النهي تعبّدا لحكمة حرمان ذلك الشخص لعلّه يتنزّل عن الاستنكاف، و يرضى بما قسم اللّٰه له، أو للعقوبة على الصفة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الجمع بين الحسنة و بين العمومات على هذه الوجوه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خليناها على ما يظهر منها سيما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يقبلها على وجه الزكاة</w:t>
      </w:r>
      <w:r>
        <w:rPr>
          <w:rFonts w:eastAsia="Amiri" w:cs="Amiri" w:ascii="Amiri" w:hAnsi="Amiri"/>
          <w:color w:val="111111"/>
          <w:sz w:val="28"/>
          <w:szCs w:val="28"/>
          <w:rtl w:val="true"/>
          <w:lang w:bidi="ar-SA"/>
        </w:rPr>
        <w:t xml:space="preserve">» </w:t>
      </w:r>
      <w:r>
        <w:rPr>
          <w:rStyle w:val="FootnoteAnchor"/>
          <w:rtl w:val="true"/>
        </w:rPr>
        <w:footnoteReference w:id="1804"/>
      </w:r>
      <w:r>
        <w:rPr>
          <w:rFonts w:ascii="IRNazanin" w:hAnsi="IRNazanin" w:eastAsia="IRNazanin"/>
          <w:color w:val="111111"/>
          <w:sz w:val="28"/>
          <w:sz w:val="28"/>
          <w:szCs w:val="28"/>
          <w:rtl w:val="true"/>
          <w:lang w:bidi="fa-IR"/>
        </w:rPr>
        <w:t xml:space="preserve">من </w:t>
      </w:r>
      <w:r>
        <w:rPr>
          <w:rStyle w:val="FootnoteAnchor"/>
          <w:rtl w:val="true"/>
        </w:rPr>
        <w:footnoteReference w:id="1805"/>
      </w:r>
      <w:r>
        <w:rPr>
          <w:rFonts w:ascii="Amiri" w:hAnsi="Amiri" w:eastAsia="Amiri" w:cs="Amiri"/>
          <w:color w:val="111111"/>
          <w:sz w:val="28"/>
          <w:sz w:val="28"/>
          <w:szCs w:val="28"/>
          <w:rtl w:val="true"/>
          <w:lang w:bidi="ar-SA"/>
        </w:rPr>
        <w:t xml:space="preserve">أنه يعتبر في قبض الزكاة قبولها على انّه زكاة، أشكل الأمر في هذا القسم من الصورة الرابعة، بل القسم الأوّل منها؛ لأن المفروض اشتراك القسمين في وقوع القبول على غير وجه الصدقة، و إن أمكن الفرق بينهما بأن القابض في القسم الأوّل حيث انه لا يأبى عن أخذ الصدقة إنما يقصد قبض المدفوع إليه على وجه مطلق التملّك </w:t>
      </w:r>
      <w:r>
        <w:rPr>
          <w:rStyle w:val="FootnoteAnchor"/>
          <w:rtl w:val="true"/>
        </w:rPr>
        <w:footnoteReference w:id="1806"/>
      </w:r>
      <w:r>
        <w:rPr>
          <w:rFonts w:ascii="Amiri" w:hAnsi="Amiri" w:eastAsia="Amiri" w:cs="Amiri"/>
          <w:color w:val="111111"/>
          <w:sz w:val="28"/>
          <w:sz w:val="28"/>
          <w:szCs w:val="28"/>
          <w:rtl w:val="true"/>
          <w:lang w:bidi="ar-SA"/>
        </w:rPr>
        <w:t>و إن صرّح الدافع بكونها هدية، لكن</w:t>
      </w:r>
    </w:p>
    <w:p>
      <w:pPr>
        <w:pStyle w:val="BookText"/>
        <w:rPr/>
      </w:pPr>
      <w:r>
        <w:rPr>
          <w:rFonts w:ascii="Amiri" w:hAnsi="Amiri" w:eastAsia="Amiri" w:cs="Amiri"/>
          <w:color w:val="111111"/>
          <w:sz w:val="28"/>
          <w:sz w:val="28"/>
          <w:szCs w:val="28"/>
          <w:rtl w:val="true"/>
          <w:lang w:bidi="ar-SA"/>
        </w:rPr>
        <w:t>الغالب وجود احتمال الصدقة بل أماراتها أيضا، فهو يقصد التملك المطلق، و هذا لا يقدح في اعتبار مطابقة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القول به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القابض في القسم الثاني، فإنه يقصد التملك الخاص المقابل للتملك على وجه الزكاة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يدسّها في مال الفقير من غير اطلاع الفقير، و مقتضى بعض ما 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إلى المستحق، و ما دل على أنها بمنزلة الدين </w:t>
      </w:r>
      <w:r>
        <w:rPr>
          <w:rStyle w:val="FootnoteAnchor"/>
          <w:rtl w:val="true"/>
        </w:rPr>
        <w:footnoteReference w:id="1807"/>
      </w:r>
      <w:r>
        <w:rPr>
          <w:rFonts w:ascii="Amiri" w:hAnsi="Amiri" w:eastAsia="Amiri" w:cs="Amiri"/>
          <w:color w:val="111111"/>
          <w:sz w:val="28"/>
          <w:sz w:val="28"/>
          <w:szCs w:val="28"/>
          <w:rtl w:val="true"/>
          <w:lang w:bidi="ar-SA"/>
        </w:rPr>
        <w:t xml:space="preserve">هو الجواز، إلّا أنّه يشكل من جهة عدم تملّك الفقير له من غير اختيار، فما لم يتلف </w:t>
      </w:r>
      <w:r>
        <w:rPr>
          <w:rStyle w:val="FootnoteAnchor"/>
          <w:rtl w:val="true"/>
        </w:rPr>
        <w:footnoteReference w:id="1808"/>
      </w:r>
      <w:r>
        <w:rPr>
          <w:rFonts w:ascii="Amiri" w:hAnsi="Amiri" w:eastAsia="Amiri" w:cs="Amiri"/>
          <w:color w:val="111111"/>
          <w:sz w:val="28"/>
          <w:sz w:val="28"/>
          <w:szCs w:val="28"/>
          <w:rtl w:val="true"/>
          <w:lang w:bidi="ar-SA"/>
        </w:rPr>
        <w:t xml:space="preserve">فهو مال المالك و إن أتلفه أجنبي فعليه له الضمان، و يبقى في عهدته الزكاة </w:t>
      </w:r>
      <w:r>
        <w:rPr>
          <w:rStyle w:val="FootnoteAnchor"/>
          <w:rtl w:val="true"/>
        </w:rPr>
        <w:footnoteReference w:id="1809"/>
      </w:r>
      <w:r>
        <w:rPr>
          <w:rFonts w:ascii="Amiri" w:hAnsi="Amiri" w:eastAsia="Amiri" w:cs="Amiri"/>
          <w:color w:val="111111"/>
          <w:sz w:val="28"/>
          <w:sz w:val="28"/>
          <w:szCs w:val="28"/>
          <w:rtl w:val="true"/>
          <w:lang w:bidi="ar-SA"/>
        </w:rPr>
        <w:t>، و إن أتلفه الفقير فيشترط مقارنة النية له لتملك الفقير أو وكيله، فان تحقق فهو، و إلّا كان كمسلّط الغير على إتلاف ماله بالغرور، لا يستحق عليه عوضا</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bookmarkStart w:id="126" w:name="pg19722_766354"/>
    </w:p>
    <w:p>
      <w:pPr>
        <w:pStyle w:val="Heading4"/>
        <w:numPr>
          <w:ilvl w:val="3"/>
          <w:numId w:val="1"/>
        </w:numPr>
        <w:rPr/>
      </w:pPr>
      <w:bookmarkStart w:id="127" w:name="__RefHeading___Toc2136364_2314609296"/>
      <w:bookmarkStart w:id="128" w:name="_Toc44"/>
      <w:bookmarkEnd w:id="126"/>
      <w:bookmarkEnd w:id="127"/>
      <w:r>
        <w:rPr>
          <w:rtl w:val="true"/>
        </w:rPr>
        <w:t xml:space="preserve">مسألة </w:t>
      </w:r>
      <w:r>
        <w:rPr>
          <w:rtl w:val="true"/>
        </w:rPr>
        <w:t>[</w:t>
      </w:r>
      <w:r>
        <w:rPr/>
        <w:t>34</w:t>
      </w:r>
      <w:r>
        <w:rPr>
          <w:rtl w:val="true"/>
        </w:rPr>
        <w:t>]</w:t>
      </w:r>
      <w:bookmarkEnd w:id="128"/>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دفع زكاته الى شخص فبان أنه غني، فالكلام تارة يقع في حكم الآخذ، و تارة في حكم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الآخذ فإن كان عالما بكونها زكاة فهو محرّم عليه، ضامن له، يردّه مع بقائه و قيمته مع تلفه؛ لأن التملك إنما وقع على المال بعنوان أنه فقير </w:t>
      </w:r>
      <w:r>
        <w:rPr>
          <w:rStyle w:val="FootnoteAnchor"/>
          <w:rtl w:val="true"/>
        </w:rPr>
        <w:footnoteReference w:id="1812"/>
      </w:r>
      <w:r>
        <w:rPr>
          <w:rFonts w:ascii="Amiri" w:hAnsi="Amiri" w:eastAsia="Amiri" w:cs="Amiri"/>
          <w:color w:val="111111"/>
          <w:sz w:val="28"/>
          <w:sz w:val="28"/>
          <w:szCs w:val="28"/>
          <w:rtl w:val="true"/>
          <w:lang w:bidi="ar-SA"/>
        </w:rPr>
        <w:t xml:space="preserve">، و المفروض ظهور فساد هذا التمليك المقيّد، فيشبه العقد الفاسد الذي لا يبقى الإذن المتحقق في ضمنه، و كذا الكلام في كل </w:t>
      </w:r>
      <w:r>
        <w:rPr>
          <w:rStyle w:val="FootnoteAnchor"/>
          <w:rtl w:val="true"/>
        </w:rPr>
        <w:footnoteReference w:id="1813"/>
      </w:r>
      <w:r>
        <w:rPr>
          <w:rFonts w:ascii="Amiri" w:hAnsi="Amiri" w:eastAsia="Amiri" w:cs="Amiri"/>
          <w:color w:val="111111"/>
          <w:sz w:val="28"/>
          <w:sz w:val="28"/>
          <w:szCs w:val="28"/>
          <w:rtl w:val="true"/>
          <w:lang w:bidi="ar-SA"/>
        </w:rPr>
        <w:t xml:space="preserve">إباحة أو تمليك تعلّق بمال أو شخص مقيّد </w:t>
      </w:r>
      <w:r>
        <w:rPr>
          <w:rStyle w:val="FootnoteAnchor"/>
          <w:rtl w:val="true"/>
        </w:rPr>
        <w:footnoteReference w:id="1814"/>
      </w:r>
      <w:r>
        <w:rPr>
          <w:rFonts w:ascii="Amiri" w:hAnsi="Amiri" w:eastAsia="Amiri" w:cs="Amiri"/>
          <w:color w:val="111111"/>
          <w:sz w:val="28"/>
          <w:sz w:val="28"/>
          <w:szCs w:val="28"/>
          <w:rtl w:val="true"/>
          <w:lang w:bidi="ar-SA"/>
        </w:rPr>
        <w:t xml:space="preserve">صريحا أو بالحيثية التقييدية، بقيد </w:t>
      </w:r>
      <w:r>
        <w:rPr>
          <w:rStyle w:val="FootnoteAnchor"/>
          <w:rtl w:val="true"/>
        </w:rPr>
        <w:footnoteReference w:id="1815"/>
      </w:r>
      <w:r>
        <w:rPr>
          <w:rFonts w:ascii="Amiri" w:hAnsi="Amiri" w:eastAsia="Amiri" w:cs="Amiri"/>
          <w:color w:val="111111"/>
          <w:sz w:val="28"/>
          <w:sz w:val="28"/>
          <w:szCs w:val="28"/>
          <w:rtl w:val="true"/>
          <w:lang w:bidi="ar-SA"/>
        </w:rPr>
        <w:t>انتفى عن موضوعه و لو بحكم الشرع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في أصل المسألة حتى فيما إذا كان جاهلا بالحكم و كان الدافع عالما؛ لأن الغرور لا يتحقق بالجهل الحكمي؛ لأنه تقصير من</w:t>
      </w:r>
    </w:p>
    <w:p>
      <w:pPr>
        <w:pStyle w:val="BookText"/>
        <w:rPr/>
      </w:pPr>
      <w:r>
        <w:rPr>
          <w:rFonts w:ascii="Amiri" w:hAnsi="Amiri" w:eastAsia="Amiri" w:cs="Amiri"/>
          <w:color w:val="111111"/>
          <w:sz w:val="28"/>
          <w:sz w:val="28"/>
          <w:szCs w:val="28"/>
          <w:rtl w:val="true"/>
          <w:lang w:bidi="ar-SA"/>
        </w:rPr>
        <w:t>الجاهل، و مورده في الجهل الموضوعي لتلبيس الغارّ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جاهلا بكونها زكاة، فإن كانت العين باقية وجب ردّها و ردّ ما يتبعها، و لا فرق بين كون الدافع ممن يجوز </w:t>
      </w:r>
      <w:r>
        <w:rPr>
          <w:rStyle w:val="FootnoteAnchor"/>
          <w:rtl w:val="true"/>
        </w:rPr>
        <w:footnoteReference w:id="1816"/>
      </w:r>
      <w:r>
        <w:rPr>
          <w:rFonts w:ascii="Amiri" w:hAnsi="Amiri" w:eastAsia="Amiri" w:cs="Amiri"/>
          <w:color w:val="111111"/>
          <w:sz w:val="28"/>
          <w:sz w:val="28"/>
          <w:szCs w:val="28"/>
          <w:rtl w:val="true"/>
          <w:lang w:bidi="ar-SA"/>
        </w:rPr>
        <w:t xml:space="preserve">له الرجوع في هبته و عدمه؛ لأن الهبة عنوان آخر، و الكلام هنا في أنّ الآخذ لا يملك المدفوع و لو مع الجهل، لا أنه هل يجوز الرجوع بعد تملكه أم لا، كيف و لو سلّم التملك فلا ريب في عدم جواز الرجوع لتحقق قصد القربة و الثواب في الهبة، فلا يجوز الرجوع فيها </w:t>
      </w:r>
      <w:r>
        <w:rPr>
          <w:rStyle w:val="FootnoteAnchor"/>
          <w:rtl w:val="true"/>
        </w:rPr>
        <w:footnoteReference w:id="1817"/>
      </w:r>
      <w:r>
        <w:rPr>
          <w:rFonts w:ascii="Amiri" w:hAnsi="Amiri" w:eastAsia="Amiri" w:cs="Amiri"/>
          <w:color w:val="111111"/>
          <w:sz w:val="28"/>
          <w:sz w:val="28"/>
          <w:szCs w:val="28"/>
          <w:rtl w:val="true"/>
          <w:lang w:bidi="ar-SA"/>
        </w:rPr>
        <w:t>مطلقا من غير تفصيل فيه بين أفراد الواهب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صرح في المعتبر </w:t>
      </w:r>
      <w:r>
        <w:rPr>
          <w:rStyle w:val="FootnoteAnchor"/>
          <w:rtl w:val="true"/>
        </w:rPr>
        <w:footnoteReference w:id="1818"/>
      </w:r>
      <w:r>
        <w:rPr>
          <w:rFonts w:ascii="Amiri" w:hAnsi="Amiri" w:eastAsia="Amiri" w:cs="Amiri"/>
          <w:color w:val="111111"/>
          <w:sz w:val="28"/>
          <w:sz w:val="28"/>
          <w:szCs w:val="28"/>
          <w:rtl w:val="true"/>
          <w:lang w:bidi="ar-SA"/>
        </w:rPr>
        <w:t xml:space="preserve">كما عن المنتهى </w:t>
      </w:r>
      <w:r>
        <w:rPr>
          <w:rStyle w:val="FootnoteAnchor"/>
          <w:rtl w:val="true"/>
        </w:rPr>
        <w:footnoteReference w:id="1819"/>
      </w:r>
      <w:r>
        <w:rPr>
          <w:rFonts w:ascii="Amiri" w:hAnsi="Amiri" w:eastAsia="Amiri" w:cs="Amiri"/>
          <w:color w:val="111111"/>
          <w:sz w:val="28"/>
          <w:sz w:val="28"/>
          <w:szCs w:val="28"/>
          <w:rtl w:val="true"/>
          <w:lang w:bidi="ar-SA"/>
        </w:rPr>
        <w:t>بعدم الارتجاع، مستدلا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أنه صدقة، و في محكي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الدفع محتمل للوجوب و التطوع، و فيهما نظر؛ لأن الكلام في حكم المال المدفوع بعد فرض تحقق كون دفعه على وجه الصدقة الواجبة التي لا يستحقها القابض، و لا ريب ان دفع المالك الى الشخص على وجه واحد في صورتي علم القابض و جهله، فإذا حكم بالارتجاع مع العلم فلا وجه لنفيه مع الجهل، نعم لو ادعى القابض الجاهل أنها كانت صدقة أو هبة لازمة، و ادعى الدافع كونها زكاة، و انّ دفعها فاسد، فهي مسألة أخرى غير مسألة المال المدفوع الى غير المستحق المجامعة لعلم القابض و اعترافه بما يدعيه الدافع</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يقال في تلك المسألة بتقديم قول القابض؛ لأنه يدعي الصحة، و الدافع يدعي الفساد، مع إمكان أن يقال بتقديم قول الدافع، لأنه أبصر بنيّته، بل هو المتعيّن </w:t>
      </w:r>
      <w:r>
        <w:rPr>
          <w:rStyle w:val="FootnoteAnchor"/>
          <w:rtl w:val="true"/>
        </w:rPr>
        <w:footnoteReference w:id="1820"/>
      </w:r>
      <w:r>
        <w:rPr>
          <w:rFonts w:ascii="Amiri" w:hAnsi="Amiri" w:eastAsia="Amiri" w:cs="Amiri"/>
          <w:color w:val="111111"/>
          <w:sz w:val="28"/>
          <w:sz w:val="28"/>
          <w:szCs w:val="28"/>
          <w:rtl w:val="true"/>
          <w:lang w:bidi="ar-SA"/>
        </w:rPr>
        <w:t>إذا لم يكن القابض منكرا لما يدعيه الدافع، بل كان شاكا يتبع</w:t>
      </w:r>
    </w:p>
    <w:p>
      <w:pPr>
        <w:pStyle w:val="BookText"/>
        <w:rPr/>
      </w:pPr>
      <w:r>
        <w:rPr>
          <w:rFonts w:ascii="Amiri" w:hAnsi="Amiri" w:eastAsia="Amiri" w:cs="Amiri"/>
          <w:color w:val="111111"/>
          <w:sz w:val="28"/>
          <w:sz w:val="28"/>
          <w:szCs w:val="28"/>
          <w:rtl w:val="true"/>
          <w:lang w:bidi="ar-SA"/>
        </w:rPr>
        <w:t>تكليفه في وجوب تصديق الدافع و عدمه؛ فإنّ الظاهر أنه مكلف بتصديق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الدافع من حيث الضمان و العدم إذا تعذّر ارتجاع المدفوع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الدافع هو الامام عليه السلام أو نائبه الخاص أو العام أو وكيلهم، فالظاهر عدم الضمان؛ لأصالة البراءة، و كونهم مأذونين من المالك الحقيقي، و من طرف الفقراء في هذا الدفع الخاص، فلا يترتب على التلف الحاصل من دون تفريط منهم ضمان، مع أنّ الضمان لو كان ففي بيت مال المسلمين، فيكون الغرامة أيضا في </w:t>
      </w:r>
      <w:r>
        <w:rPr>
          <w:rStyle w:val="FootnoteAnchor"/>
          <w:rtl w:val="true"/>
        </w:rPr>
        <w:footnoteReference w:id="1821"/>
      </w:r>
      <w:r>
        <w:rPr>
          <w:rFonts w:ascii="Amiri" w:hAnsi="Amiri" w:eastAsia="Amiri" w:cs="Amiri"/>
          <w:color w:val="111111"/>
          <w:sz w:val="28"/>
          <w:sz w:val="28"/>
          <w:szCs w:val="28"/>
          <w:rtl w:val="true"/>
          <w:lang w:bidi="ar-SA"/>
        </w:rPr>
        <w:t>مال الفقراء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الغرم كالمغروم مأذون في دفعه الى من يحتمل أن يظهر عدم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الأجود الاعتماد على الإجماع كما يظهر من العلّامة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بالنسبة إلى الدافع، أما المالك فلا إشكال في براءة ذمته من الزكاة لإيصالها الى يد </w:t>
      </w:r>
      <w:r>
        <w:rPr>
          <w:rStyle w:val="FootnoteAnchor"/>
          <w:rtl w:val="true"/>
        </w:rPr>
        <w:footnoteReference w:id="1823"/>
      </w:r>
      <w:r>
        <w:rPr>
          <w:rFonts w:ascii="Amiri" w:hAnsi="Amiri" w:eastAsia="Amiri" w:cs="Amiri"/>
          <w:color w:val="111111"/>
          <w:sz w:val="28"/>
          <w:sz w:val="28"/>
          <w:szCs w:val="28"/>
          <w:rtl w:val="true"/>
          <w:lang w:bidi="ar-SA"/>
        </w:rPr>
        <w:t>وكيلهم فبرئت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الدافع هو المالك ففي إجزائه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اجتهد فأعطى، و بين ما إذا أعطى اعتمادا على مجرد دعوى الفقر و أصالة عدم المال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هو عدم الاجزاء، وفاقا للمحكي عن المفيد </w:t>
      </w:r>
      <w:r>
        <w:rPr>
          <w:rStyle w:val="FootnoteAnchor"/>
          <w:rtl w:val="true"/>
        </w:rPr>
        <w:footnoteReference w:id="1824"/>
      </w:r>
      <w:r>
        <w:rPr>
          <w:rFonts w:ascii="Amiri" w:hAnsi="Amiri" w:eastAsia="Amiri" w:cs="Amiri"/>
          <w:color w:val="111111"/>
          <w:sz w:val="28"/>
          <w:sz w:val="28"/>
          <w:szCs w:val="28"/>
          <w:rtl w:val="true"/>
          <w:lang w:bidi="ar-SA"/>
        </w:rPr>
        <w:t xml:space="preserve">و الحلبي </w:t>
      </w:r>
      <w:r>
        <w:rPr>
          <w:rStyle w:val="FootnoteAnchor"/>
          <w:rtl w:val="true"/>
        </w:rPr>
        <w:footnoteReference w:id="1825"/>
      </w:r>
      <w:r>
        <w:rPr>
          <w:rFonts w:ascii="Amiri" w:hAnsi="Amiri" w:eastAsia="Amiri" w:cs="Amiri"/>
          <w:color w:val="111111"/>
          <w:sz w:val="28"/>
          <w:sz w:val="28"/>
          <w:szCs w:val="28"/>
          <w:rtl w:val="true"/>
          <w:lang w:bidi="ar-SA"/>
        </w:rPr>
        <w:t xml:space="preserve">لأصالة اشتغال الذمة، و عموم ما دل على أنها كالدين </w:t>
      </w:r>
      <w:r>
        <w:rPr>
          <w:rStyle w:val="FootnoteAnchor"/>
          <w:rtl w:val="true"/>
        </w:rPr>
        <w:footnoteReference w:id="1826"/>
      </w:r>
      <w:r>
        <w:rPr>
          <w:rFonts w:ascii="Amiri" w:hAnsi="Amiri" w:eastAsia="Amiri" w:cs="Amiri"/>
          <w:color w:val="111111"/>
          <w:sz w:val="28"/>
          <w:sz w:val="28"/>
          <w:szCs w:val="28"/>
          <w:rtl w:val="true"/>
          <w:lang w:bidi="ar-SA"/>
        </w:rPr>
        <w:t>مضافا إلى مقتضى قاعدة</w:t>
      </w:r>
    </w:p>
    <w:p>
      <w:pPr>
        <w:pStyle w:val="BookText"/>
        <w:rPr/>
      </w:pPr>
      <w:r>
        <w:rPr>
          <w:rFonts w:ascii="Amiri" w:hAnsi="Amiri" w:eastAsia="Amiri" w:cs="Amiri"/>
          <w:color w:val="111111"/>
          <w:sz w:val="28"/>
          <w:sz w:val="28"/>
          <w:szCs w:val="28"/>
          <w:rtl w:val="true"/>
          <w:lang w:bidi="ar-SA"/>
        </w:rPr>
        <w:t xml:space="preserve">الشركة في العين، و على </w:t>
      </w:r>
      <w:r>
        <w:rPr>
          <w:rStyle w:val="FootnoteAnchor"/>
          <w:rtl w:val="true"/>
        </w:rPr>
        <w:footnoteReference w:id="1827"/>
      </w:r>
      <w:r>
        <w:rPr>
          <w:rFonts w:ascii="Amiri" w:hAnsi="Amiri" w:eastAsia="Amiri" w:cs="Amiri"/>
          <w:color w:val="111111"/>
          <w:sz w:val="28"/>
          <w:sz w:val="28"/>
          <w:szCs w:val="28"/>
          <w:rtl w:val="true"/>
          <w:lang w:bidi="ar-SA"/>
        </w:rPr>
        <w:t xml:space="preserve">أنّ الموضوع من الزكاة في غير موضعه بمنزلة العدم، و ما دل على وجوب اعادة المخالف زكاته معللا بأنه لم يضعها في موضعها </w:t>
      </w:r>
      <w:r>
        <w:rPr>
          <w:rStyle w:val="FootnoteAnchor"/>
          <w:rtl w:val="true"/>
        </w:rPr>
        <w:footnoteReference w:id="1828"/>
      </w:r>
      <w:r>
        <w:rPr>
          <w:rFonts w:ascii="Amiri" w:hAnsi="Amiri" w:eastAsia="Amiri" w:cs="Amiri"/>
          <w:color w:val="111111"/>
          <w:sz w:val="28"/>
          <w:sz w:val="28"/>
          <w:szCs w:val="28"/>
          <w:rtl w:val="true"/>
          <w:lang w:bidi="ar-SA"/>
        </w:rPr>
        <w:t>، مضافا الى خصوص مرسلة الحسين بن عثمان، عمن ذكره،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يعطي زكاة ماله رجلا يرى انه معسر فوجده موسرا،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تجزي عنه</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حسنة حريز بابن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المحكية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أدّى زكاته الى غير أهلها زمانا، هل عليه أن يؤديها ثانيا إلى أهلها إذا علمهم؟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 لها أهلا فلم يؤدها، أو لم يعلم أنها عليه، فعلم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يؤديها إلى أهلها لما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يعلم أهلها فدفعها الى من ليس هو لها بأهل، و قد كان طلب و اجتهد ثم علم بعد ذلك سوء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اجتهد فقد بري‌ء، و إن قصّر في الاجتهاد في الطلب فلا</w:t>
      </w:r>
      <w:r>
        <w:rPr>
          <w:rFonts w:eastAsia="Amiri" w:cs="Amiri" w:ascii="Amiri" w:hAnsi="Amiri"/>
          <w:color w:val="111111"/>
          <w:sz w:val="28"/>
          <w:szCs w:val="28"/>
          <w:rtl w:val="true"/>
          <w:lang w:bidi="ar-SA"/>
        </w:rPr>
        <w:t xml:space="preserve">»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كما فهمها في المدارك </w:t>
      </w:r>
      <w:r>
        <w:rPr>
          <w:rStyle w:val="FootnoteAnchor"/>
          <w:rtl w:val="true"/>
        </w:rPr>
        <w:footnoteReference w:id="1831"/>
      </w:r>
      <w:r>
        <w:rPr>
          <w:rFonts w:ascii="Amiri" w:hAnsi="Amiri" w:eastAsia="Amiri" w:cs="Amiri"/>
          <w:color w:val="111111"/>
          <w:sz w:val="28"/>
          <w:sz w:val="28"/>
          <w:szCs w:val="28"/>
          <w:rtl w:val="true"/>
          <w:lang w:bidi="ar-SA"/>
        </w:rPr>
        <w:t>إنما تدلّ على حكم من دفع الى غير الأهل لعدم التمكن من الأهل بعد الطلب و الاجتهاد، فلا تدل على المطلوب في شي‌ء</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دلالتها على الدفع الى غير الأهل جاهلا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بينها و بين المرسلة المتقدمة عموم من وجه، بناء على كون السؤال عن صورة اشتباه</w:t>
      </w:r>
    </w:p>
    <w:p>
      <w:pPr>
        <w:pStyle w:val="BookText"/>
        <w:rPr/>
      </w:pPr>
      <w:r>
        <w:rPr>
          <w:rFonts w:ascii="Amiri" w:hAnsi="Amiri" w:eastAsia="Amiri" w:cs="Amiri"/>
          <w:color w:val="111111"/>
          <w:sz w:val="28"/>
          <w:sz w:val="28"/>
          <w:szCs w:val="28"/>
          <w:rtl w:val="true"/>
          <w:lang w:bidi="ar-SA"/>
        </w:rPr>
        <w:t>مصاديق أهل الزكاة، ففي مادة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Style w:val="FootnoteAnchor"/>
          <w:rtl w:val="true"/>
        </w:rPr>
        <w:footnoteReference w:id="1832"/>
      </w:r>
      <w:r>
        <w:rPr>
          <w:rFonts w:ascii="Amiri" w:hAnsi="Amiri" w:eastAsia="Amiri" w:cs="Amiri"/>
          <w:color w:val="111111"/>
          <w:sz w:val="28"/>
          <w:sz w:val="28"/>
          <w:szCs w:val="28"/>
          <w:rtl w:val="true"/>
          <w:lang w:bidi="ar-SA"/>
        </w:rPr>
        <w:t>الاشتباه في الأهلية من حيث الفقر مع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الأصل و العمومات المتقدمة، مضافا إلى أنّ ظاهر الرواية الاشتباه فيما عدا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مورد السؤال الجهل بالحكم، و هو أنّ أهل الزكاة لا بد من كونه مؤمنا </w:t>
      </w:r>
      <w:r>
        <w:rPr>
          <w:rStyle w:val="FootnoteAnchor"/>
          <w:rtl w:val="true"/>
        </w:rPr>
        <w:footnoteReference w:id="1833"/>
      </w:r>
      <w:r>
        <w:rPr>
          <w:rFonts w:ascii="Amiri" w:hAnsi="Amiri" w:eastAsia="Amiri" w:cs="Amiri"/>
          <w:color w:val="111111"/>
          <w:sz w:val="28"/>
          <w:sz w:val="28"/>
          <w:szCs w:val="28"/>
          <w:rtl w:val="true"/>
          <w:lang w:bidi="ar-SA"/>
        </w:rPr>
        <w:t xml:space="preserve">فقيرا، بل عادلا، لا </w:t>
      </w:r>
      <w:r>
        <w:rPr>
          <w:rStyle w:val="FootnoteAnchor"/>
          <w:rtl w:val="true"/>
        </w:rPr>
        <w:footnoteReference w:id="1834"/>
      </w:r>
      <w:r>
        <w:rPr>
          <w:rFonts w:ascii="Amiri" w:hAnsi="Amiri" w:eastAsia="Amiri" w:cs="Amiri"/>
          <w:color w:val="111111"/>
          <w:sz w:val="28"/>
          <w:sz w:val="28"/>
          <w:szCs w:val="28"/>
          <w:rtl w:val="true"/>
          <w:lang w:bidi="ar-SA"/>
        </w:rPr>
        <w:t xml:space="preserve">أنه اشتبه عليه المصداق الخارجي لمستحق الزكاة </w:t>
      </w:r>
      <w:r>
        <w:rPr>
          <w:rStyle w:val="FootnoteAnchor"/>
          <w:rtl w:val="true"/>
        </w:rPr>
        <w:footnoteReference w:id="1835"/>
      </w:r>
      <w:r>
        <w:rPr>
          <w:rFonts w:ascii="Amiri" w:hAnsi="Amiri" w:eastAsia="Amiri" w:cs="Amiri"/>
          <w:color w:val="111111"/>
          <w:sz w:val="28"/>
          <w:sz w:val="28"/>
          <w:szCs w:val="28"/>
          <w:rtl w:val="true"/>
          <w:lang w:bidi="ar-SA"/>
        </w:rPr>
        <w:t>المعلوم عنده من حيث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محل كلام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فلا يبعد القول بالصحة في مورد الرواية مع الاجتهاد و القصور؛ لعدم المرشد إلى الحق، فهو نظير ما إذا أدّى اجتهاد المجتهد الى عدم اعتبار العدالة فأدّى الزكاة لغير العدول، ثمّ علم بعد ذلك خطأ اجتهاده، فإنه يمكن الحكم بالاجزاء هنا دون ما إذا اجتهد في الموضوع ثم ظهر خطاؤه فيه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الحق عدم التفرقة بين انكشاف الخطأ في الشبهتين، لكن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حملها على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السائل بالأهل من حيث اعتبار الايمان و عدمه؛ لأنه هو الذي كان خافيا في ذلك الزمان على كثير حتى سألوا عنه و أكثروا من السؤال، لا الفقر؛ فإنّ اعتباره في مستحق الزكاة كالضروري بين الخاصة و العامة، فحكم الامام عليه السلام بعدم وجوب الإعادة في غير الفقر لا يدل على عدمه فيه، فالمرسلة المتقدّمة </w:t>
      </w:r>
      <w:r>
        <w:rPr>
          <w:rStyle w:val="FootnoteAnchor"/>
          <w:rtl w:val="true"/>
        </w:rPr>
        <w:footnoteReference w:id="1836"/>
      </w:r>
      <w:r>
        <w:rPr>
          <w:rFonts w:ascii="Amiri" w:hAnsi="Amiri" w:eastAsia="Amiri" w:cs="Amiri"/>
          <w:color w:val="111111"/>
          <w:sz w:val="28"/>
          <w:sz w:val="28"/>
          <w:szCs w:val="28"/>
          <w:rtl w:val="true"/>
          <w:lang w:bidi="ar-SA"/>
        </w:rPr>
        <w:t xml:space="preserve">الواردة في خصوص الفقير سليمة عن المعارض فلا مناص عن العمل بها، و لا من </w:t>
      </w:r>
      <w:r>
        <w:rPr>
          <w:rStyle w:val="FootnoteAnchor"/>
          <w:rtl w:val="true"/>
        </w:rPr>
        <w:footnoteReference w:id="1837"/>
      </w:r>
      <w:r>
        <w:rPr>
          <w:rFonts w:ascii="Amiri" w:hAnsi="Amiri" w:eastAsia="Amiri" w:cs="Amiri"/>
          <w:color w:val="111111"/>
          <w:sz w:val="28"/>
          <w:sz w:val="28"/>
          <w:szCs w:val="28"/>
          <w:rtl w:val="true"/>
          <w:lang w:bidi="ar-SA"/>
        </w:rPr>
        <w:t>العمل بالحسنة الظاهرة في غير الفقر، و ظهورها في الشبهة الحكمية غير مضرّ بعد الحكم باتّحاد مناط</w:t>
      </w:r>
    </w:p>
    <w:p>
      <w:pPr>
        <w:pStyle w:val="BookText"/>
        <w:rPr/>
      </w:pPr>
      <w:r>
        <w:rPr>
          <w:rFonts w:ascii="Amiri" w:hAnsi="Amiri" w:eastAsia="Amiri" w:cs="Amiri"/>
          <w:color w:val="111111"/>
          <w:sz w:val="28"/>
          <w:sz w:val="28"/>
          <w:szCs w:val="28"/>
          <w:rtl w:val="true"/>
          <w:lang w:bidi="ar-SA"/>
        </w:rPr>
        <w:t>الإعادة في الشبهتين، و هي مخالفة الواقع المعبّر عنها في المستفيضة بوضعها في غير موضعها، مضافا الى كون الشبهة الموضوعية أولى بالمعذورية، إذ الجهل بالحكم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اعتبار الايمان في مستحق الزكاة مع التمكن من الرجوع الى الامام عليه السلام أو الى من سمع و 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تقصير و إن اجتهد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بهذه الحسنة </w:t>
      </w:r>
      <w:r>
        <w:rPr>
          <w:rStyle w:val="FootnoteAnchor"/>
          <w:rtl w:val="true"/>
        </w:rPr>
        <w:footnoteReference w:id="1838"/>
      </w:r>
      <w:r>
        <w:rPr>
          <w:rFonts w:ascii="Amiri" w:hAnsi="Amiri" w:eastAsia="Amiri" w:cs="Amiri"/>
          <w:color w:val="111111"/>
          <w:sz w:val="28"/>
          <w:sz w:val="28"/>
          <w:szCs w:val="28"/>
          <w:rtl w:val="true"/>
          <w:lang w:bidi="ar-SA"/>
        </w:rPr>
        <w:t xml:space="preserve">يخصّص عموم ما دل من التعليل السابق </w:t>
      </w:r>
      <w:r>
        <w:rPr>
          <w:rStyle w:val="FootnoteAnchor"/>
          <w:rtl w:val="true"/>
        </w:rPr>
        <w:footnoteReference w:id="1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الواردة في إعادة المخالف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عدم اجتهاد المعطي في إزالة الشبهة، كما هو صريح مورد رواياتهم </w:t>
      </w:r>
      <w:r>
        <w:rPr>
          <w:rStyle w:val="FootnoteAnchor"/>
          <w:rtl w:val="true"/>
        </w:rPr>
        <w:footnoteReference w:id="1840"/>
      </w:r>
      <w:r>
        <w:rPr>
          <w:rFonts w:ascii="Amiri" w:hAnsi="Amiri" w:eastAsia="Amiri" w:cs="Amiri"/>
          <w:color w:val="111111"/>
          <w:sz w:val="28"/>
          <w:sz w:val="28"/>
          <w:szCs w:val="28"/>
          <w:rtl w:val="true"/>
          <w:lang w:bidi="ar-SA"/>
        </w:rPr>
        <w:t>فإنّ المخالفين إنما يعطون الزكاة فقراءهم، و معلوم أنّ ذلك عن تقصير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ظهورها في الشبهة الموضوعية فقد عرفت أنّ الظاهر من الرواية اشتباه الموضوع من غير جهة الفقر، بل من جهة الايمان؛ لأنه المناسب للطلب و الاجتهاد، و لا يبعد أن يكون جواز الدفع مشروطا بالاجتهاد، و تحصيل المظنة في كون الشخص إماميا سيّما في أزمنة صدور هذه الأخبار نظرا الى غلبة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لا تدلّ على وجوب الإعادة مع الدفع بمقتضى الأصول السابقة إذا لم يكن العمل بها مسبوقا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مناص من حمل الرواية على صورة يتوقف </w:t>
      </w:r>
      <w:r>
        <w:rPr>
          <w:rStyle w:val="FootnoteAnchor"/>
          <w:rtl w:val="true"/>
        </w:rPr>
        <w:footnoteReference w:id="1841"/>
      </w:r>
      <w:r>
        <w:rPr>
          <w:rFonts w:ascii="Amiri" w:hAnsi="Amiri" w:eastAsia="Amiri" w:cs="Amiri"/>
          <w:color w:val="111111"/>
          <w:sz w:val="28"/>
          <w:sz w:val="28"/>
          <w:szCs w:val="28"/>
          <w:rtl w:val="true"/>
          <w:lang w:bidi="ar-SA"/>
        </w:rPr>
        <w:t>جواز الدفع فيها على الاجتهاد، سواء حملتها على الشبهة الموضوعية أو على الشبهة الحكمية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انكشاف الغنى يوجب الإعادة للأصل، و المرسلة</w:t>
      </w:r>
    </w:p>
    <w:p>
      <w:pPr>
        <w:pStyle w:val="BookText"/>
        <w:rPr/>
      </w:pPr>
      <w:r>
        <w:rPr>
          <w:rFonts w:ascii="Amiri" w:hAnsi="Amiri" w:eastAsia="Amiri" w:cs="Amiri"/>
          <w:color w:val="111111"/>
          <w:sz w:val="28"/>
          <w:sz w:val="28"/>
          <w:szCs w:val="28"/>
          <w:rtl w:val="true"/>
          <w:lang w:bidi="ar-SA"/>
        </w:rPr>
        <w:t xml:space="preserve">المتقدّمة </w:t>
      </w:r>
      <w:r>
        <w:rPr>
          <w:rStyle w:val="FootnoteAnchor"/>
          <w:rtl w:val="true"/>
        </w:rPr>
        <w:footnoteReference w:id="1842"/>
      </w:r>
      <w:r>
        <w:rPr>
          <w:rFonts w:ascii="Amiri" w:hAnsi="Amiri" w:eastAsia="Amiri" w:cs="Amiri"/>
          <w:color w:val="111111"/>
          <w:sz w:val="28"/>
          <w:sz w:val="28"/>
          <w:szCs w:val="28"/>
          <w:rtl w:val="true"/>
          <w:lang w:bidi="ar-SA"/>
        </w:rPr>
        <w:t xml:space="preserve">، و أمّا انكشاف غيره من الموانع كعدم الإيمان، و غيره مما يلحق به بالإجماع المركّب كالهاشمية و كونه واجب النفقة أو عبدا؛ للحسنة المتقدمة المتممة في غير موردها بالإجماع أو الأولوية، فهو لا يوجب الإعادة، وفاقا للمحكي عن الشيخ </w:t>
      </w:r>
      <w:r>
        <w:rPr>
          <w:rStyle w:val="FootnoteAnchor"/>
          <w:rtl w:val="true"/>
        </w:rPr>
        <w:footnoteReference w:id="1843"/>
      </w:r>
      <w:r>
        <w:rPr>
          <w:rFonts w:ascii="Amiri" w:hAnsi="Amiri" w:eastAsia="Amiri" w:cs="Amiri"/>
          <w:color w:val="111111"/>
          <w:sz w:val="28"/>
          <w:sz w:val="28"/>
          <w:szCs w:val="28"/>
          <w:rtl w:val="true"/>
          <w:lang w:bidi="ar-SA"/>
        </w:rPr>
        <w:t xml:space="preserve">و الأكثر </w:t>
      </w:r>
      <w:r>
        <w:rPr>
          <w:rStyle w:val="FootnoteAnchor"/>
          <w:rtl w:val="true"/>
        </w:rPr>
        <w:footnoteReference w:id="1844"/>
      </w:r>
      <w:r>
        <w:rPr>
          <w:rFonts w:ascii="IRNazanin" w:hAnsi="IRNazanin" w:eastAsia="IRNazanin"/>
          <w:color w:val="111111"/>
          <w:sz w:val="28"/>
          <w:sz w:val="28"/>
          <w:szCs w:val="28"/>
          <w:rtl w:val="true"/>
          <w:lang w:bidi="fa-IR"/>
        </w:rPr>
        <w:t xml:space="preserve">بل ظاهر المختلف </w:t>
      </w:r>
      <w:r>
        <w:rPr>
          <w:rStyle w:val="FootnoteAnchor"/>
          <w:rtl w:val="true"/>
        </w:rPr>
        <w:footnoteReference w:id="1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 إن احتمل قويا ارادة اتفاق خصوص الخصم منه للحسنة المتقدمة </w:t>
      </w:r>
      <w:r>
        <w:rPr>
          <w:rStyle w:val="FootnoteAnchor"/>
          <w:rtl w:val="true"/>
        </w:rPr>
        <w:footnoteReference w:id="1846"/>
      </w:r>
      <w:r>
        <w:rPr>
          <w:rFonts w:ascii="Amiri" w:hAnsi="Amiri" w:eastAsia="Amiri" w:cs="Amiri"/>
          <w:color w:val="111111"/>
          <w:sz w:val="28"/>
          <w:sz w:val="28"/>
          <w:szCs w:val="28"/>
          <w:rtl w:val="true"/>
          <w:lang w:bidi="ar-SA"/>
        </w:rPr>
        <w:t xml:space="preserve">المتممة في غير موردها بالإجماع المركب و الأولوية، و دلالتها على التفصيل بين صورتي الاجتهاد و عدمه لا يقدح، بناء على اختصاصها بالشبهة الحكمية التي </w:t>
      </w:r>
      <w:r>
        <w:rPr>
          <w:rStyle w:val="FootnoteAnchor"/>
          <w:rtl w:val="true"/>
        </w:rPr>
        <w:footnoteReference w:id="1847"/>
      </w:r>
      <w:r>
        <w:rPr>
          <w:rFonts w:ascii="Amiri" w:hAnsi="Amiri" w:eastAsia="Amiri" w:cs="Amiri"/>
          <w:color w:val="111111"/>
          <w:sz w:val="28"/>
          <w:sz w:val="28"/>
          <w:szCs w:val="28"/>
          <w:rtl w:val="true"/>
          <w:lang w:bidi="ar-SA"/>
        </w:rPr>
        <w:t xml:space="preserve">يعتبر في جواز الإقدام معها </w:t>
      </w:r>
      <w:r>
        <w:rPr>
          <w:rStyle w:val="FootnoteAnchor"/>
          <w:rtl w:val="true"/>
        </w:rPr>
        <w:footnoteReference w:id="1848"/>
      </w:r>
      <w:r>
        <w:rPr>
          <w:rFonts w:ascii="Amiri" w:hAnsi="Amiri" w:eastAsia="Amiri" w:cs="Amiri"/>
          <w:color w:val="111111"/>
          <w:sz w:val="28"/>
          <w:sz w:val="28"/>
          <w:szCs w:val="28"/>
          <w:rtl w:val="true"/>
          <w:lang w:bidi="ar-SA"/>
        </w:rPr>
        <w:t xml:space="preserve">الاجتهاد و الفحص عن الحكم، فالاجتهاد فيها بمنزلة الرجوع الى الأصول في نفي الهاشمية و الرقيّة و نحوهما من الموضوعات المشتبهة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المحكي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يستثنى من صورة انكشاف كون الفقير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انكشف كونه عبدا للمعطي، قال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ظهر أنّ المدفوع اليه عبد فكظهور الغني إلّا أن يكون عبده فإنه لا يجزي؛ لعدم الخروج عن ملكه </w:t>
      </w:r>
      <w:r>
        <w:rPr>
          <w:rStyle w:val="FootnoteAnchor"/>
          <w:rtl w:val="true"/>
        </w:rPr>
        <w:footnoteReference w:id="1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تنظّر </w:t>
      </w:r>
      <w:r>
        <w:rPr>
          <w:rStyle w:val="FootnoteAnchor"/>
          <w:rtl w:val="true"/>
        </w:rPr>
        <w:footnoteReference w:id="1851"/>
      </w:r>
      <w:r>
        <w:rPr>
          <w:rFonts w:ascii="Amiri" w:hAnsi="Amiri" w:eastAsia="Amiri" w:cs="Amiri"/>
          <w:color w:val="111111"/>
          <w:sz w:val="28"/>
          <w:sz w:val="28"/>
          <w:szCs w:val="28"/>
          <w:rtl w:val="true"/>
          <w:lang w:bidi="ar-SA"/>
        </w:rPr>
        <w:t xml:space="preserve">في هذا الاستثناء المحقق و الشهيد الثانيان </w:t>
      </w:r>
      <w:r>
        <w:rPr>
          <w:rStyle w:val="FootnoteAnchor"/>
          <w:rtl w:val="true"/>
        </w:rPr>
        <w:footnoteReference w:id="1852"/>
      </w:r>
      <w:r>
        <w:rPr>
          <w:rFonts w:ascii="Amiri" w:hAnsi="Amiri" w:eastAsia="Amiri" w:cs="Amiri"/>
          <w:color w:val="111111"/>
          <w:sz w:val="28"/>
          <w:sz w:val="28"/>
          <w:szCs w:val="28"/>
          <w:rtl w:val="true"/>
          <w:lang w:bidi="ar-SA"/>
        </w:rPr>
        <w:t xml:space="preserve">و صاحب المدارك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نظرا الى اشتراك وجه الإجزاء </w:t>
      </w:r>
      <w:r>
        <w:rPr>
          <w:rStyle w:val="FootnoteAnchor"/>
          <w:rtl w:val="true"/>
        </w:rPr>
        <w:footnoteReference w:id="1854"/>
      </w:r>
      <w:r>
        <w:rPr>
          <w:rFonts w:ascii="Amiri" w:hAnsi="Amiri" w:eastAsia="Amiri" w:cs="Amiri"/>
          <w:color w:val="111111"/>
          <w:sz w:val="28"/>
          <w:sz w:val="28"/>
          <w:szCs w:val="28"/>
          <w:rtl w:val="true"/>
          <w:lang w:bidi="ar-SA"/>
        </w:rPr>
        <w:t>في الجميع،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إنّما يدل على الاجزاء فيما استفيد </w:t>
      </w:r>
      <w:r>
        <w:rPr>
          <w:rStyle w:val="FootnoteAnchor"/>
          <w:rtl w:val="true"/>
        </w:rPr>
        <w:footnoteReference w:id="1855"/>
      </w:r>
      <w:r>
        <w:rPr>
          <w:rFonts w:ascii="Amiri" w:hAnsi="Amiri" w:eastAsia="Amiri" w:cs="Amiri"/>
          <w:color w:val="111111"/>
          <w:sz w:val="28"/>
          <w:sz w:val="28"/>
          <w:szCs w:val="28"/>
          <w:rtl w:val="true"/>
          <w:lang w:bidi="ar-SA"/>
        </w:rPr>
        <w:t>من الأدلة ابتناء التكليف به على الظاهر كالصفات المعتبرة في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أصل التكليف بعناوين الإخراج و الصرف الظاهرة بل الصريحة بملاحظة الاشتراك في العين في الإخراج إلى الغير و التمليك، فالمراعى فيه هو الواقع لا غير؛ إذ لم يرد له طريق ظاهري، بل طريقة الاعتقاد الذي لا يغني بنفسه عن الحق شيئا، و لذا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عادلا، فأضاف مظنون العدالة أو مقطوعها ثم تبيّن الخلاف أمكن القول بالاجزاء، بخلاف ما لو ضربه أو خلعه أو فعل به غير ذلك باعتقاد أنه المأمور به، فإن الحكم بالاجزاء هنا لا يخلو عن بشاعة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جعل المدار على الظاهر في أوصاف المستحق لا في أصل تمليكه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الإنصاف انّ ما ذكر لو تمّ لم يجز الاعتماد في صورة الشك في كونه حرا أو عبدا له على أصالة الحرية؛ لأن الشك يرجع الى أن دفع الزكاة إليه </w:t>
      </w:r>
      <w:r>
        <w:rPr>
          <w:rStyle w:val="FootnoteAnchor"/>
          <w:rtl w:val="true"/>
        </w:rPr>
        <w:footnoteReference w:id="1856"/>
      </w:r>
      <w:r>
        <w:rPr>
          <w:rFonts w:ascii="Amiri" w:hAnsi="Amiri" w:eastAsia="Amiri" w:cs="Amiri"/>
          <w:color w:val="111111"/>
          <w:sz w:val="28"/>
          <w:sz w:val="28"/>
          <w:szCs w:val="28"/>
          <w:rtl w:val="true"/>
          <w:lang w:bidi="ar-SA"/>
        </w:rPr>
        <w:t>إخراج لها عن ملكه الى ملك الغير أم لا؟ فحينئذ لا يجوز الدفع؛ لأن الواجب هو التمليك المشكوك في تحققه فيما نحن فيه، فكما أنّ وصف حريّته له طريق شرعي ظاهري و هو الأصل، فكذا تحقق التمليك المترتب على الحرية، بل الثابت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الطريق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آثار الحرية التي منها جواز الدفع اليه على وجه التمليك، فلا مناص عن القول</w:t>
      </w:r>
    </w:p>
    <w:p>
      <w:pPr>
        <w:pStyle w:val="BookText"/>
        <w:rPr/>
      </w:pPr>
      <w:r>
        <w:rPr>
          <w:rFonts w:ascii="Amiri" w:hAnsi="Amiri" w:eastAsia="Amiri" w:cs="Amiri"/>
          <w:color w:val="111111"/>
          <w:sz w:val="28"/>
          <w:sz w:val="28"/>
          <w:szCs w:val="28"/>
          <w:rtl w:val="true"/>
          <w:lang w:bidi="ar-SA"/>
        </w:rPr>
        <w:t>بالإجزاء إذا انكشف خلاف ذلك الطريق</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الظاهري المقدّر للموضوع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بنينا الحكم بالاجزاء على قاعدة اقتضاء امتثال التكليف الظاهري الاجزاء، لم يفرّق الحال بين انكشاف الخطأ في الصفة </w:t>
      </w:r>
      <w:r>
        <w:rPr>
          <w:rStyle w:val="FootnoteAnchor"/>
          <w:rtl w:val="true"/>
        </w:rPr>
        <w:footnoteReference w:id="1858"/>
      </w:r>
      <w:r>
        <w:rPr>
          <w:rFonts w:ascii="Amiri" w:hAnsi="Amiri" w:eastAsia="Amiri" w:cs="Amiri"/>
          <w:color w:val="111111"/>
          <w:sz w:val="28"/>
          <w:sz w:val="28"/>
          <w:szCs w:val="28"/>
          <w:rtl w:val="true"/>
          <w:lang w:bidi="ar-SA"/>
        </w:rPr>
        <w:t>فقط أو فيها و في التمليك الواقعي، لكنّ الظاهر أن مبنى حكم الجماعة بالاجزاء هو أنّ الظاهر من تعلق التكليف بتمليك من اتصف بهذه الصفات هو تمليك من هو على ظاهر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بالطرق الشرعية و الإخراج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فالمراعى في التمليك و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و 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المستند الى طريق شرعي، فمن أعطى من هو على ظاهر الصفة </w:t>
      </w:r>
      <w:r>
        <w:rPr>
          <w:rStyle w:val="FootnoteAnchor"/>
          <w:rtl w:val="true"/>
        </w:rPr>
        <w:footnoteReference w:id="1859"/>
      </w:r>
      <w:r>
        <w:rPr>
          <w:rFonts w:ascii="Amiri" w:hAnsi="Amiri" w:eastAsia="Amiri" w:cs="Amiri"/>
          <w:color w:val="111111"/>
          <w:sz w:val="28"/>
          <w:sz w:val="28"/>
          <w:szCs w:val="28"/>
          <w:rtl w:val="true"/>
          <w:lang w:bidi="ar-SA"/>
        </w:rPr>
        <w:t>فقد امتثل التكليف الواقعي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دفع شي‌ء إلى الشخص باعتقاد أنه إخراج، فظهر عدم كونه إخراجا، فليس من هذا الباب؛ إذ لم يقل الشارع افعل ما هو إخراج في ظاهر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860"/>
      </w:r>
      <w:r>
        <w:rPr>
          <w:rFonts w:ascii="Amiri" w:hAnsi="Amiri" w:eastAsia="Amiri" w:cs="Amiri"/>
          <w:color w:val="111111"/>
          <w:sz w:val="28"/>
          <w:sz w:val="28"/>
          <w:szCs w:val="28"/>
          <w:rtl w:val="true"/>
          <w:lang w:bidi="ar-SA"/>
        </w:rPr>
        <w:t>لو ثبت قاعدة أجزاء التكليف الإجمالي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بشرط الاستناد الى طريق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الواقع عند انكشاف الخطأ ثبت الاجزاء هنا أيضا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ما ذكرنا من بنائهم استدلال العلّامة في المختلف على الاجزاء بأنه كان مأمورا بالدفع الى من يظن فيه الوصف </w:t>
      </w:r>
      <w:r>
        <w:rPr>
          <w:rStyle w:val="FootnoteAnchor"/>
          <w:rtl w:val="true"/>
        </w:rPr>
        <w:footnoteReference w:id="1861"/>
      </w:r>
      <w:r>
        <w:rPr>
          <w:rFonts w:ascii="Amiri" w:hAnsi="Amiri" w:eastAsia="Amiri" w:cs="Amiri"/>
          <w:color w:val="111111"/>
          <w:sz w:val="28"/>
          <w:sz w:val="28"/>
          <w:szCs w:val="28"/>
          <w:rtl w:val="true"/>
          <w:lang w:bidi="ar-SA"/>
        </w:rPr>
        <w:t>و استدلال المحقق في المعتبر عليه بأن الدفع واجب فيكفي في شرطه بالظاهر تعليقا للوجوب على اشتراط</w:t>
      </w:r>
    </w:p>
    <w:p>
      <w:pPr>
        <w:pStyle w:val="BookText"/>
        <w:rPr/>
      </w:pPr>
      <w:r>
        <w:rPr>
          <w:rFonts w:ascii="Amiri" w:hAnsi="Amiri" w:eastAsia="Amiri" w:cs="Amiri"/>
          <w:color w:val="111111"/>
          <w:sz w:val="28"/>
          <w:sz w:val="28"/>
          <w:szCs w:val="28"/>
          <w:rtl w:val="true"/>
          <w:lang w:bidi="ar-SA"/>
        </w:rPr>
        <w:t xml:space="preserve">الممكن </w:t>
      </w:r>
      <w:r>
        <w:rPr>
          <w:rStyle w:val="FootnoteAnchor"/>
          <w:rtl w:val="true"/>
        </w:rPr>
        <w:footnoteReference w:id="1862"/>
      </w:r>
      <w:r>
        <w:rPr>
          <w:rFonts w:ascii="Amiri" w:hAnsi="Amiri" w:eastAsia="Amiri" w:cs="Amiri"/>
          <w:color w:val="111111"/>
          <w:sz w:val="28"/>
          <w:sz w:val="28"/>
          <w:szCs w:val="28"/>
          <w:rtl w:val="true"/>
          <w:lang w:bidi="ar-SA"/>
        </w:rPr>
        <w:t xml:space="preserve">، فإنّ هذا الباب مخالف لباب إجزاء المكلف به الظاهري عن الواقعي؛ لأن بناءه على تعلّق </w:t>
      </w:r>
      <w:r>
        <w:rPr>
          <w:rStyle w:val="FootnoteAnchor"/>
          <w:rtl w:val="true"/>
        </w:rPr>
        <w:footnoteReference w:id="1863"/>
      </w:r>
      <w:r>
        <w:rPr>
          <w:rFonts w:ascii="Amiri" w:hAnsi="Amiri" w:eastAsia="Amiri" w:cs="Amiri"/>
          <w:color w:val="111111"/>
          <w:sz w:val="28"/>
          <w:sz w:val="28"/>
          <w:szCs w:val="28"/>
          <w:rtl w:val="true"/>
          <w:lang w:bidi="ar-SA"/>
        </w:rPr>
        <w:t>الطلب الواقعي بمظنون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لا تدل إلّا على وجوب الدفع إلى المستحق الواقعي، و إنما اكتفي بالظن في مرحلة الظاهر، فوجوب الدفع إلى مظنون الصفة حكم ظاهري كالصلاة بالطهارة المظنونة، لا أنّ وجوب الدفع في الواقع معلّق </w:t>
      </w:r>
      <w:r>
        <w:rPr>
          <w:rStyle w:val="FootnoteAnchor"/>
          <w:rtl w:val="true"/>
        </w:rPr>
        <w:footnoteReference w:id="1864"/>
      </w:r>
      <w:r>
        <w:rPr>
          <w:rFonts w:ascii="Amiri" w:hAnsi="Amiri" w:eastAsia="Amiri" w:cs="Amiri"/>
          <w:color w:val="111111"/>
          <w:sz w:val="28"/>
          <w:sz w:val="28"/>
          <w:szCs w:val="28"/>
          <w:rtl w:val="true"/>
          <w:lang w:bidi="ar-SA"/>
        </w:rPr>
        <w:t>على مظنون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في محله أنّ الحكم الظاهري بعد انكشاف خطئه لا يجدي عن امتثال التكليف الواقعي المتوجّه الى المخاطب بعد انكشاف الخطأ، مع أنّ المقام مقام براءة الذمة عن مال الغير لا عن مجرد التكليف، و الإجزاء لا يوجب فراغ الذمة عن مال الغير، 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الوضعي هنا تابع للحكم التكليفي، فإذا سقط الوجوب </w:t>
      </w:r>
      <w:r>
        <w:rPr>
          <w:rStyle w:val="FootnoteAnchor"/>
          <w:rtl w:val="true"/>
        </w:rPr>
        <w:footnoteReference w:id="1865"/>
      </w:r>
      <w:r>
        <w:rPr>
          <w:rFonts w:ascii="Amiri" w:hAnsi="Amiri" w:eastAsia="Amiri" w:cs="Amiri"/>
          <w:color w:val="111111"/>
          <w:sz w:val="28"/>
          <w:sz w:val="28"/>
          <w:szCs w:val="28"/>
          <w:rtl w:val="true"/>
          <w:lang w:bidi="ar-SA"/>
        </w:rPr>
        <w:t>بري‌ء الذمة من حق الفقراء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سقوط التكليف؛ للاستصحاب و عمومات أصل ذلك التكليف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186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مصارف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التسبب إلى فكّ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كما عن المفيد </w:t>
      </w:r>
      <w:r>
        <w:rPr>
          <w:rStyle w:val="FootnoteAnchor"/>
          <w:rtl w:val="true"/>
        </w:rPr>
        <w:footnoteReference w:id="1868"/>
      </w:r>
      <w:r>
        <w:rPr>
          <w:rFonts w:ascii="Amiri" w:hAnsi="Amiri" w:eastAsia="Amiri" w:cs="Amiri"/>
          <w:color w:val="111111"/>
          <w:sz w:val="28"/>
          <w:sz w:val="28"/>
          <w:szCs w:val="28"/>
          <w:rtl w:val="true"/>
          <w:lang w:bidi="ar-SA"/>
        </w:rPr>
        <w:t xml:space="preserve">و الحلي </w:t>
      </w:r>
      <w:r>
        <w:rPr>
          <w:rStyle w:val="FootnoteAnchor"/>
          <w:rtl w:val="true"/>
        </w:rPr>
        <w:footnoteReference w:id="1869"/>
      </w:r>
      <w:r>
        <w:rPr>
          <w:rFonts w:ascii="Amiri" w:hAnsi="Amiri" w:eastAsia="Amiri" w:cs="Amiri"/>
          <w:color w:val="111111"/>
          <w:sz w:val="28"/>
          <w:sz w:val="28"/>
          <w:szCs w:val="28"/>
          <w:rtl w:val="true"/>
          <w:lang w:bidi="ar-SA"/>
        </w:rPr>
        <w:t xml:space="preserve">و العلّامة </w:t>
      </w:r>
      <w:r>
        <w:rPr>
          <w:rStyle w:val="FootnoteAnchor"/>
          <w:rtl w:val="true"/>
        </w:rPr>
        <w:footnoteReference w:id="1870"/>
      </w:r>
      <w:r>
        <w:rPr>
          <w:rFonts w:ascii="IRNazanin" w:hAnsi="IRNazanin" w:eastAsia="IRNazanin"/>
          <w:color w:val="111111"/>
          <w:sz w:val="28"/>
          <w:sz w:val="28"/>
          <w:szCs w:val="28"/>
          <w:rtl w:val="true"/>
          <w:lang w:bidi="fa-IR"/>
        </w:rPr>
        <w:t xml:space="preserve">و ولده </w:t>
      </w:r>
      <w:r>
        <w:rPr>
          <w:rStyle w:val="FootnoteAnchor"/>
          <w:rtl w:val="true"/>
        </w:rPr>
        <w:footnoteReference w:id="1871"/>
      </w:r>
      <w:r>
        <w:rPr>
          <w:rFonts w:ascii="Amiri" w:hAnsi="Amiri" w:eastAsia="Amiri" w:cs="Amiri"/>
          <w:color w:val="111111"/>
          <w:sz w:val="28"/>
          <w:sz w:val="28"/>
          <w:szCs w:val="28"/>
          <w:rtl w:val="true"/>
          <w:lang w:bidi="ar-SA"/>
        </w:rPr>
        <w:t xml:space="preserve">و غير واحد من متأخري المتأخرين </w:t>
      </w:r>
      <w:r>
        <w:rPr>
          <w:rStyle w:val="FootnoteAnchor"/>
          <w:rtl w:val="true"/>
        </w:rPr>
        <w:footnoteReference w:id="1872"/>
      </w:r>
      <w:r>
        <w:rPr>
          <w:rFonts w:ascii="Amiri" w:hAnsi="Amiri" w:eastAsia="Amiri" w:cs="Amiri"/>
          <w:color w:val="111111"/>
          <w:sz w:val="28"/>
          <w:sz w:val="28"/>
          <w:szCs w:val="28"/>
          <w:rtl w:val="true"/>
          <w:lang w:bidi="ar-SA"/>
        </w:rPr>
        <w:t xml:space="preserve">لأخبار مطلقة مثل موثقة أيوب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أخي</w:t>
      </w:r>
      <w:r>
        <w:rPr>
          <w:rFonts w:eastAsia="Amiri" w:cs="Amiri" w:ascii="Amiri" w:hAnsi="Amiri"/>
          <w:color w:val="111111"/>
          <w:sz w:val="28"/>
          <w:szCs w:val="28"/>
          <w:rtl w:val="true"/>
          <w:lang w:bidi="ar-SA"/>
        </w:rPr>
        <w:t xml:space="preserve">] </w:t>
      </w:r>
      <w:r>
        <w:rPr>
          <w:rStyle w:val="FootnoteAnchor"/>
          <w:rtl w:val="true"/>
        </w:rPr>
        <w:footnoteReference w:id="1873"/>
      </w:r>
      <w:r>
        <w:rPr>
          <w:rFonts w:ascii="Amiri" w:hAnsi="Amiri" w:eastAsia="Amiri" w:cs="Amiri"/>
          <w:color w:val="111111"/>
          <w:sz w:val="28"/>
          <w:sz w:val="28"/>
          <w:szCs w:val="28"/>
          <w:rtl w:val="true"/>
          <w:lang w:bidi="ar-SA"/>
        </w:rPr>
        <w:t xml:space="preserve">أديم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874"/>
      </w:r>
      <w:r>
        <w:rPr>
          <w:rFonts w:ascii="Amiri" w:hAnsi="Amiri" w:eastAsia="Amiri" w:cs="Amiri"/>
          <w:color w:val="111111"/>
          <w:sz w:val="28"/>
          <w:sz w:val="28"/>
          <w:szCs w:val="28"/>
          <w:rtl w:val="true"/>
          <w:lang w:bidi="ar-SA"/>
        </w:rPr>
        <w:t>الحر، المحكية عن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يعرف هذا الأمر الذي نحن عليه أشتريه من الزكاة و أعتقه؟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و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هو مات و ترك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لأهل الزكاة لأنه اشتري بسهمهم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 بمالهم</w:t>
      </w:r>
      <w:r>
        <w:rPr>
          <w:rFonts w:eastAsia="Amiri" w:cs="Amiri" w:ascii="Amiri" w:hAnsi="Amiri"/>
          <w:color w:val="111111"/>
          <w:sz w:val="28"/>
          <w:szCs w:val="28"/>
          <w:rtl w:val="true"/>
          <w:lang w:bidi="ar-SA"/>
        </w:rPr>
        <w:t xml:space="preserve">»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ما دلّ على جواز اشتراء الأب من الزكاة و إعتاقه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حملها </w:t>
      </w:r>
      <w:r>
        <w:rPr>
          <w:rStyle w:val="FootnoteAnchor"/>
          <w:rtl w:val="true"/>
        </w:rPr>
        <w:footnoteReference w:id="1877"/>
      </w:r>
      <w:r>
        <w:rPr>
          <w:rFonts w:ascii="Amiri" w:hAnsi="Amiri" w:eastAsia="Amiri" w:cs="Amiri"/>
          <w:color w:val="111111"/>
          <w:sz w:val="28"/>
          <w:sz w:val="28"/>
          <w:szCs w:val="28"/>
          <w:rtl w:val="true"/>
          <w:lang w:bidi="ar-SA"/>
        </w:rPr>
        <w:t xml:space="preserve">على ما سيجي‌ء من اعتبار كونها </w:t>
      </w:r>
      <w:r>
        <w:rPr>
          <w:rStyle w:val="FootnoteAnchor"/>
          <w:rtl w:val="true"/>
        </w:rPr>
        <w:footnoteReference w:id="1878"/>
      </w:r>
      <w:r>
        <w:rPr>
          <w:rFonts w:ascii="Amiri" w:hAnsi="Amiri" w:eastAsia="Amiri" w:cs="Amiri"/>
          <w:color w:val="111111"/>
          <w:sz w:val="28"/>
          <w:sz w:val="28"/>
          <w:szCs w:val="28"/>
          <w:rtl w:val="true"/>
          <w:lang w:bidi="ar-SA"/>
        </w:rPr>
        <w:t>في شدة، و لو باعتبار كون العبد مؤمنا في معرض البيع على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رقاب خاصة، و المتفق عليه منها على الظاهر </w:t>
      </w:r>
      <w:r>
        <w:rPr>
          <w:rStyle w:val="FootnoteAnchor"/>
          <w:rtl w:val="true"/>
        </w:rPr>
        <w:footnoteReference w:id="1879"/>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 العاجز عن أداء مال الكتابة؛ لمرسلة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المعتضدة أو المنجبرة باستفاضة نقل الإجماع عن السرائر </w:t>
      </w:r>
      <w:r>
        <w:rPr>
          <w:rStyle w:val="FootnoteAnchor"/>
          <w:rtl w:val="true"/>
        </w:rPr>
        <w:footnoteReference w:id="1880"/>
      </w:r>
      <w:r>
        <w:rPr>
          <w:rFonts w:ascii="IRNazanin" w:hAnsi="IRNazanin" w:eastAsia="IRNazanin"/>
          <w:color w:val="111111"/>
          <w:sz w:val="28"/>
          <w:sz w:val="28"/>
          <w:szCs w:val="28"/>
          <w:rtl w:val="true"/>
          <w:lang w:bidi="fa-IR"/>
        </w:rPr>
        <w:t xml:space="preserve">و المبسوط </w:t>
      </w:r>
      <w:r>
        <w:rPr>
          <w:rStyle w:val="FootnoteAnchor"/>
          <w:rtl w:val="true"/>
        </w:rPr>
        <w:footnoteReference w:id="1881"/>
      </w:r>
      <w:r>
        <w:rPr>
          <w:rFonts w:ascii="Amiri" w:hAnsi="Amiri" w:eastAsia="Amiri" w:cs="Amiri"/>
          <w:color w:val="111111"/>
          <w:sz w:val="28"/>
          <w:sz w:val="28"/>
          <w:szCs w:val="28"/>
          <w:rtl w:val="true"/>
          <w:lang w:bidi="ar-SA"/>
        </w:rPr>
        <w:t xml:space="preserve">و الغنية </w:t>
      </w:r>
      <w:r>
        <w:rPr>
          <w:rStyle w:val="FootnoteAnchor"/>
          <w:rtl w:val="true"/>
        </w:rPr>
        <w:footnoteReference w:id="188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مكاتب عجز عن مكاتبته و قد أدى بعضها؟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يؤدى عنه من مال الصدقة، إنّ اللّٰه عز و جل يقول في كتابه وَ فِي الرِّقٰابِ</w:t>
      </w:r>
      <w:r>
        <w:rPr>
          <w:rFonts w:eastAsia="Amiri" w:cs="Amiri" w:ascii="Amiri" w:hAnsi="Amiri"/>
          <w:color w:val="111111"/>
          <w:sz w:val="28"/>
          <w:szCs w:val="28"/>
          <w:rtl w:val="true"/>
          <w:lang w:bidi="ar-SA"/>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الرواية أنّ الزكاة تصرف في أداء مال الكتابة من غير تفرقة بين إعطائها بيد العبد ليؤديها إلى سيده أو إعطائها إلى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من الرواية، بل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المكاتب لا يملكه بعد القبض ملكا مطلقا، فلو لم يؤدّها في مال 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البراءة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أنها ترتجع منه كما اختاره في المعتبر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معنى أدائها في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صرفها فيما يستعان به على الأداء؛ لأنه صرف في فك رقبة كما يرشد إليه الاستشهاد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أدّاها في مصرف فلا يبعد ارتجاعه ممن وصل إليه؛ لأنه نقل إليه بغير حق، و المحكي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التملك بمجرد القبض فلا يرتجع </w:t>
      </w:r>
      <w:r>
        <w:rPr>
          <w:rStyle w:val="FootnoteAnchor"/>
          <w:rtl w:val="true"/>
        </w:rPr>
        <w:footnoteReference w:id="1885"/>
      </w:r>
      <w:r>
        <w:rPr>
          <w:rFonts w:ascii="Amiri" w:hAnsi="Amiri" w:eastAsia="Amiri" w:cs="Amiri"/>
          <w:color w:val="111111"/>
          <w:sz w:val="28"/>
          <w:sz w:val="28"/>
          <w:szCs w:val="28"/>
          <w:rtl w:val="true"/>
          <w:lang w:bidi="ar-SA"/>
        </w:rPr>
        <w:t>، و لعلّه لما يستفاد من بعض الأخبار من استحقاق المستحقين لها على وجه الاختصاص المطلق، و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اعتبار عجز المكاتب عن تحصيل مال الكتابة، فلا يكفي مجرد عدم وجوده عنده فعلا، خلافا لصريح العلّامة في محكي النهاية </w:t>
      </w:r>
      <w:r>
        <w:rPr>
          <w:rStyle w:val="FootnoteAnchor"/>
          <w:rtl w:val="true"/>
        </w:rPr>
        <w:footnoteReference w:id="1886"/>
      </w:r>
      <w:r>
        <w:rPr>
          <w:rFonts w:ascii="IRNazanin" w:hAnsi="IRNazanin" w:eastAsia="IRNazanin"/>
          <w:color w:val="111111"/>
          <w:sz w:val="28"/>
          <w:sz w:val="28"/>
          <w:szCs w:val="28"/>
          <w:rtl w:val="true"/>
          <w:lang w:bidi="fa-IR"/>
        </w:rPr>
        <w:t xml:space="preserve">، و ظاهر مثل الشرائع </w:t>
      </w:r>
      <w:r>
        <w:rPr>
          <w:rStyle w:val="FootnoteAnchor"/>
          <w:rtl w:val="true"/>
        </w:rPr>
        <w:footnoteReference w:id="1887"/>
      </w:r>
      <w:r>
        <w:rPr>
          <w:rFonts w:ascii="IRNazanin" w:hAnsi="IRNazanin" w:eastAsia="IRNazanin"/>
          <w:color w:val="111111"/>
          <w:sz w:val="28"/>
          <w:sz w:val="28"/>
          <w:szCs w:val="28"/>
          <w:rtl w:val="true"/>
          <w:lang w:bidi="fa-IR"/>
        </w:rPr>
        <w:t xml:space="preserve">و لعله للعموم </w:t>
      </w:r>
      <w:r>
        <w:rPr>
          <w:rStyle w:val="FootnoteAnchor"/>
          <w:rtl w:val="true"/>
        </w:rPr>
        <w:footnoteReference w:id="1888"/>
      </w:r>
      <w:r>
        <w:rPr>
          <w:rFonts w:ascii="Amiri" w:hAnsi="Amiri" w:eastAsia="Amiri" w:cs="Amiri"/>
          <w:color w:val="111111"/>
          <w:sz w:val="28"/>
          <w:sz w:val="28"/>
          <w:szCs w:val="28"/>
          <w:rtl w:val="true"/>
          <w:lang w:bidi="ar-SA"/>
        </w:rPr>
        <w:t>،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تحت الشدة، فيشترون من الزكاة و يعتقون بالإجماع المحكي حدّ الاستفاضة، و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يجتمع عنده من الزكاة الخمسمائة و الستمائة يشتري منها نسمة و يعتقها؟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يظلم قوما آخرين حقوقهم، ثم مكث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عبدا مسلما في ضرورة فيشتريه و يعتقه</w:t>
      </w:r>
      <w:r>
        <w:rPr>
          <w:rFonts w:eastAsia="Amiri" w:cs="Amiri" w:ascii="Amiri" w:hAnsi="Amiri"/>
          <w:color w:val="111111"/>
          <w:sz w:val="28"/>
          <w:szCs w:val="28"/>
          <w:rtl w:val="true"/>
          <w:lang w:bidi="ar-SA"/>
        </w:rPr>
        <w:t xml:space="preserve">» </w:t>
      </w:r>
      <w:r>
        <w:rPr>
          <w:rStyle w:val="FootnoteAnchor"/>
          <w:rtl w:val="true"/>
        </w:rPr>
        <w:footnoteReference w:id="1889"/>
      </w:r>
      <w:r>
        <w:rPr>
          <w:rFonts w:ascii="Amiri" w:hAnsi="Amiri" w:eastAsia="Amiri" w:cs="Amiri"/>
          <w:color w:val="111111"/>
          <w:sz w:val="28"/>
          <w:sz w:val="28"/>
          <w:szCs w:val="28"/>
          <w:rtl w:val="true"/>
          <w:lang w:bidi="ar-SA"/>
        </w:rPr>
        <w:t>و الظاهر مرادفة الضرورة للشدة، و مصداقها موكول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أقلها أن يمنع من الصلاة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إطلاق هذا الكلام، و لعلّه أريد به الدوام على 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نية الزكاة مقارنة لدفع الثمن أو للعتق كما في الروضة </w:t>
      </w:r>
      <w:r>
        <w:rPr>
          <w:rStyle w:val="FootnoteAnchor"/>
          <w:rtl w:val="true"/>
        </w:rPr>
        <w:footnoteReference w:id="1890"/>
      </w:r>
      <w:r>
        <w:rPr>
          <w:rFonts w:ascii="Amiri" w:hAnsi="Amiri" w:eastAsia="Amiri" w:cs="Amiri"/>
          <w:color w:val="111111"/>
          <w:sz w:val="28"/>
          <w:sz w:val="28"/>
          <w:szCs w:val="28"/>
          <w:rtl w:val="true"/>
          <w:lang w:bidi="ar-SA"/>
        </w:rPr>
        <w:t xml:space="preserve">، و في المسالك </w:t>
      </w:r>
      <w:r>
        <w:rPr>
          <w:rStyle w:val="FootnoteAnchor"/>
          <w:rtl w:val="true"/>
        </w:rPr>
        <w:footnoteReference w:id="1891"/>
      </w:r>
      <w:r>
        <w:rPr>
          <w:rFonts w:ascii="Amiri" w:hAnsi="Amiri" w:eastAsia="Amiri" w:cs="Amiri"/>
          <w:color w:val="111111"/>
          <w:sz w:val="28"/>
          <w:sz w:val="28"/>
          <w:szCs w:val="28"/>
          <w:rtl w:val="true"/>
          <w:lang w:bidi="ar-SA"/>
        </w:rPr>
        <w:t>و حواشي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العتق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يبعد أن يتعيّن عند الشراء؛ لأنه وقت صرف الزكاة، و لظاهر قوله في التعليل الآتي </w:t>
      </w:r>
      <w:r>
        <w:rPr>
          <w:rStyle w:val="FootnoteAnchor"/>
          <w:rtl w:val="true"/>
        </w:rPr>
        <w:footnoteReference w:id="18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اشتري بمالهم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قبل العتق فلا ضمان للزكاة، و لو مات بعد العتق فميراثه عند عدم ما عدا الامام عليه السلام له؛ للعمومات </w:t>
      </w:r>
      <w:r>
        <w:rPr>
          <w:rStyle w:val="FootnoteAnchor"/>
          <w:rtl w:val="true"/>
        </w:rPr>
        <w:footnoteReference w:id="1894"/>
      </w:r>
      <w:r>
        <w:rPr>
          <w:rFonts w:ascii="Amiri" w:hAnsi="Amiri" w:eastAsia="Amiri" w:cs="Amiri"/>
          <w:color w:val="111111"/>
          <w:sz w:val="28"/>
          <w:sz w:val="28"/>
          <w:szCs w:val="28"/>
          <w:rtl w:val="true"/>
          <w:lang w:bidi="ar-SA"/>
        </w:rPr>
        <w:t xml:space="preserve">و يحتمل للفقراء؛ لعموم التعليل الآتي </w:t>
      </w:r>
      <w:r>
        <w:rPr>
          <w:rStyle w:val="FootnoteAnchor"/>
          <w:rtl w:val="true"/>
        </w:rPr>
        <w:footnoteReference w:id="1895"/>
      </w:r>
      <w:r>
        <w:rPr>
          <w:rFonts w:ascii="Amiri" w:hAnsi="Amiri" w:eastAsia="Amiri" w:cs="Amiri"/>
          <w:color w:val="111111"/>
          <w:sz w:val="28"/>
          <w:sz w:val="28"/>
          <w:szCs w:val="28"/>
          <w:rtl w:val="true"/>
          <w:lang w:bidi="ar-SA"/>
        </w:rPr>
        <w:t xml:space="preserve">في رواية عبيد بن زرارة و لموثقة أيوب المتقدّمة </w:t>
      </w:r>
      <w:r>
        <w:rPr>
          <w:rStyle w:val="FootnoteAnchor"/>
          <w:rtl w:val="true"/>
        </w:rPr>
        <w:footnoteReference w:id="1896"/>
      </w:r>
      <w:r>
        <w:rPr>
          <w:rFonts w:ascii="Amiri" w:hAnsi="Amiri" w:eastAsia="Amiri" w:cs="Amiri"/>
          <w:color w:val="111111"/>
          <w:sz w:val="28"/>
          <w:sz w:val="28"/>
          <w:szCs w:val="28"/>
          <w:rtl w:val="true"/>
          <w:lang w:bidi="ar-SA"/>
        </w:rPr>
        <w:t>بعد تقييدها برواية أبي بصير المذكورة،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العبد المبتاع من الزكاة كان ميراثه لأرباب الزكاة و عليه علماؤنا، ثم احتج برواية عبيد بن زرارة </w:t>
      </w:r>
      <w:r>
        <w:rPr>
          <w:rStyle w:val="FootnoteAnchor"/>
          <w:rtl w:val="true"/>
        </w:rPr>
        <w:footnoteReference w:id="1897"/>
      </w:r>
      <w:r>
        <w:rPr>
          <w:rFonts w:ascii="Amiri" w:hAnsi="Amiri" w:eastAsia="Amiri" w:cs="Amiri"/>
          <w:color w:val="111111"/>
          <w:sz w:val="28"/>
          <w:sz w:val="28"/>
          <w:szCs w:val="28"/>
          <w:rtl w:val="true"/>
          <w:lang w:bidi="ar-SA"/>
        </w:rPr>
        <w:t xml:space="preserve">، و الظاهر استناده الى التعليل المذكور فيها، كما صرّح به في نكت الإرشاد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التفصيل بأنه إن اشتري من سهم الرقاب فميراثه للإمام عليه السلام و إن اشتري من سهم </w:t>
      </w:r>
      <w:r>
        <w:rPr>
          <w:rStyle w:val="FootnoteAnchor"/>
          <w:rtl w:val="true"/>
        </w:rPr>
        <w:footnoteReference w:id="1899"/>
      </w:r>
      <w:r>
        <w:rPr>
          <w:rFonts w:ascii="IRNazanin" w:hAnsi="IRNazanin" w:eastAsia="IRNazanin"/>
          <w:color w:val="111111"/>
          <w:sz w:val="28"/>
          <w:sz w:val="28"/>
          <w:szCs w:val="28"/>
          <w:rtl w:val="true"/>
          <w:lang w:bidi="fa-IR"/>
        </w:rPr>
        <w:t xml:space="preserve">الفقراء فلأرباب </w:t>
      </w:r>
      <w:r>
        <w:rPr>
          <w:rStyle w:val="FootnoteAnchor"/>
          <w:rtl w:val="true"/>
        </w:rPr>
        <w:footnoteReference w:id="1900"/>
      </w:r>
      <w:r>
        <w:rPr>
          <w:rFonts w:ascii="Amiri" w:hAnsi="Amiri" w:eastAsia="Amiri" w:cs="Amiri"/>
          <w:color w:val="111111"/>
          <w:sz w:val="28"/>
          <w:sz w:val="28"/>
          <w:szCs w:val="28"/>
          <w:rtl w:val="true"/>
          <w:lang w:bidi="ar-SA"/>
        </w:rPr>
        <w:t xml:space="preserve">الزكاة، فلا أصل له في المذهب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العبيد و إن لم يكن في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عدم المستحق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نسبه في المعتبر </w:t>
      </w:r>
      <w:r>
        <w:rPr>
          <w:rStyle w:val="FootnoteAnchor"/>
          <w:rtl w:val="true"/>
        </w:rPr>
        <w:footnoteReference w:id="1902"/>
      </w:r>
      <w:r>
        <w:rPr>
          <w:rFonts w:ascii="IRNazanin" w:hAnsi="IRNazanin" w:eastAsia="IRNazanin"/>
          <w:color w:val="111111"/>
          <w:sz w:val="28"/>
          <w:sz w:val="28"/>
          <w:szCs w:val="28"/>
          <w:rtl w:val="true"/>
          <w:lang w:bidi="fa-IR"/>
        </w:rPr>
        <w:t xml:space="preserve">إلى فقهاء أصحابنا، و عن المنتهى </w:t>
      </w:r>
      <w:r>
        <w:rPr>
          <w:rStyle w:val="FootnoteAnchor"/>
          <w:rtl w:val="true"/>
        </w:rPr>
        <w:footnoteReference w:id="1903"/>
      </w:r>
      <w:r>
        <w:rPr>
          <w:rFonts w:ascii="IRNazanin" w:hAnsi="IRNazanin" w:eastAsia="IRNazanin"/>
          <w:color w:val="111111"/>
          <w:sz w:val="28"/>
          <w:sz w:val="28"/>
          <w:szCs w:val="28"/>
          <w:rtl w:val="true"/>
          <w:lang w:bidi="fa-IR"/>
        </w:rPr>
        <w:t>نسبته إلى أصحابنا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مضافا الى عموم الآية </w:t>
      </w:r>
      <w:r>
        <w:rPr>
          <w:rStyle w:val="FootnoteAnchor"/>
          <w:rtl w:val="true"/>
        </w:rPr>
        <w:footnoteReference w:id="1904"/>
      </w:r>
      <w:r>
        <w:rPr>
          <w:rFonts w:ascii="Amiri" w:hAnsi="Amiri" w:eastAsia="Amiri" w:cs="Amiri"/>
          <w:color w:val="111111"/>
          <w:sz w:val="28"/>
          <w:sz w:val="28"/>
          <w:szCs w:val="28"/>
          <w:rtl w:val="true"/>
          <w:lang w:bidi="ar-SA"/>
        </w:rPr>
        <w:t>موثقة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Amiri" w:hAnsi="Amiri" w:eastAsia="Amiri" w:cs="Amiri"/>
          <w:color w:val="111111"/>
          <w:sz w:val="28"/>
          <w:sz w:val="28"/>
          <w:szCs w:val="28"/>
          <w:rtl w:val="true"/>
          <w:lang w:bidi="ar-SA"/>
        </w:rPr>
        <w:t xml:space="preserve">أبا عبد اللّٰه عليه السلام عن رجل أخرج زكاة ماله ألف درهم فلم يجد موضعا يدفع ذلك إليه فنظر الى مملوك يباع بثمن فيمن يريده </w:t>
      </w:r>
      <w:r>
        <w:rPr>
          <w:rStyle w:val="FootnoteAnchor"/>
          <w:rtl w:val="true"/>
        </w:rPr>
        <w:footnoteReference w:id="1905"/>
      </w:r>
      <w:r>
        <w:rPr>
          <w:rFonts w:ascii="Amiri" w:hAnsi="Amiri" w:eastAsia="Amiri" w:cs="Amiri"/>
          <w:color w:val="111111"/>
          <w:sz w:val="28"/>
          <w:sz w:val="28"/>
          <w:szCs w:val="28"/>
          <w:rtl w:val="true"/>
          <w:lang w:bidi="ar-SA"/>
        </w:rPr>
        <w:t>فاشتراه بتلك الألف الدراهم التي أخرجها من زكاته فأعتقه 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لمّا أعتق و صار حرّا اتّجر و احترف فأصاب مالا ثم مات و ليس له وارث فمن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 الفقراء المؤمنون الذين يستحقون الزكاة؛ لأنه إنما اشتري بمالهم</w:t>
      </w:r>
      <w:r>
        <w:rPr>
          <w:rFonts w:eastAsia="Amiri" w:cs="Amiri" w:ascii="Amiri" w:hAnsi="Amiri"/>
          <w:color w:val="111111"/>
          <w:sz w:val="28"/>
          <w:szCs w:val="28"/>
          <w:rtl w:val="true"/>
          <w:lang w:bidi="ar-SA"/>
        </w:rPr>
        <w:t xml:space="preserve">»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تضمنّه ذيل الرواية من إرث الفقراء له لا يتقيد بما إذا نوى اشتراءه عن الفقراء أو نوى إعتاقه عنهم، حتى و انّه لو اشترى من سهم سبيل اللّٰه مثلا ينتفي ذلك، إذ الظاهر أنّ التعليل المذكور حكمة للحكم مبنيّة على ما هو المستفاد من الروايات الكثيرة، من أنّ أصل الزكاة موضوعة لقوت الفقراء، و أنّها نصيبهم الذي جعله اللّٰه في أموال الأغنياء، و أنّ الزكاة مال الفقراء كما عرفت من رواية أبي بصير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المحكي </w:t>
      </w:r>
      <w:r>
        <w:rPr>
          <w:rStyle w:val="FootnoteAnchor"/>
          <w:rtl w:val="true"/>
        </w:rPr>
        <w:footnoteReference w:id="1908"/>
      </w:r>
      <w:r>
        <w:rPr>
          <w:rFonts w:ascii="Amiri" w:hAnsi="Amiri" w:eastAsia="Amiri" w:cs="Amiri"/>
          <w:color w:val="111111"/>
          <w:sz w:val="28"/>
          <w:sz w:val="28"/>
          <w:szCs w:val="28"/>
          <w:rtl w:val="true"/>
          <w:lang w:bidi="ar-SA"/>
        </w:rPr>
        <w:t xml:space="preserve">عن الأكثر كون الميراث لأهل الزكاة لا لخصوص الفقراء، نعم صرّح المفيد فيما حكي </w:t>
      </w:r>
      <w:r>
        <w:rPr>
          <w:rStyle w:val="FootnoteAnchor"/>
          <w:rtl w:val="true"/>
        </w:rPr>
        <w:footnoteReference w:id="1909"/>
      </w:r>
      <w:r>
        <w:rPr>
          <w:rFonts w:ascii="Amiri" w:hAnsi="Amiri" w:eastAsia="Amiri" w:cs="Amiri"/>
          <w:color w:val="111111"/>
          <w:sz w:val="28"/>
          <w:sz w:val="28"/>
          <w:szCs w:val="28"/>
          <w:rtl w:val="true"/>
          <w:lang w:bidi="ar-SA"/>
        </w:rPr>
        <w:t xml:space="preserve">عنه بكونه للفقراء، كما هو ظاهر الرواية، و يمكن </w:t>
      </w:r>
      <w:r>
        <w:rPr>
          <w:rStyle w:val="FootnoteAnchor"/>
          <w:rtl w:val="true"/>
        </w:rPr>
        <w:footnoteReference w:id="1910"/>
      </w:r>
      <w:r>
        <w:rPr>
          <w:rFonts w:ascii="Amiri" w:hAnsi="Amiri" w:eastAsia="Amiri" w:cs="Amiri"/>
          <w:color w:val="111111"/>
          <w:sz w:val="28"/>
          <w:sz w:val="28"/>
          <w:szCs w:val="28"/>
          <w:rtl w:val="true"/>
          <w:lang w:bidi="ar-SA"/>
        </w:rPr>
        <w:t xml:space="preserve">حملها بقرينة التعليل بالاشتراء بمالهم على كون الميراث زكاة موضوعة لقوت الفقراء كأصل ثمن العبد، و الشاهد الصريح على الحمل موثقة أديم المتقدمة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انه لا إشكال في كون العتق في القسمين </w:t>
      </w:r>
      <w:r>
        <w:rPr>
          <w:rStyle w:val="FootnoteAnchor"/>
          <w:rtl w:val="true"/>
        </w:rPr>
        <w:footnoteReference w:id="1912"/>
      </w:r>
      <w:r>
        <w:rPr>
          <w:rFonts w:ascii="Amiri" w:hAnsi="Amiri" w:eastAsia="Amiri" w:cs="Amiri"/>
          <w:color w:val="111111"/>
          <w:sz w:val="28"/>
          <w:sz w:val="28"/>
          <w:szCs w:val="28"/>
          <w:rtl w:val="true"/>
          <w:lang w:bidi="ar-SA"/>
        </w:rPr>
        <w:t xml:space="preserve">الأولين من سهم الرقاب، و أما الثالث فالظاهر أنه كذلك كما يستفاد من جماعة </w:t>
      </w:r>
      <w:r>
        <w:rPr>
          <w:rStyle w:val="FootnoteAnchor"/>
          <w:rtl w:val="true"/>
        </w:rPr>
        <w:footnoteReference w:id="1913"/>
      </w:r>
      <w:r>
        <w:rPr>
          <w:rFonts w:ascii="Amiri" w:hAnsi="Amiri" w:eastAsia="Amiri" w:cs="Amiri"/>
          <w:color w:val="111111"/>
          <w:sz w:val="28"/>
          <w:sz w:val="28"/>
          <w:szCs w:val="28"/>
          <w:rtl w:val="true"/>
          <w:lang w:bidi="ar-SA"/>
        </w:rPr>
        <w:t xml:space="preserve">، و حكي </w:t>
      </w:r>
      <w:r>
        <w:rPr>
          <w:rStyle w:val="FootnoteAnchor"/>
          <w:rtl w:val="true"/>
        </w:rPr>
        <w:footnoteReference w:id="1914"/>
      </w:r>
      <w:r>
        <w:rPr>
          <w:rFonts w:ascii="Amiri" w:hAnsi="Amiri" w:eastAsia="Amiri" w:cs="Amiri"/>
          <w:color w:val="111111"/>
          <w:sz w:val="28"/>
          <w:sz w:val="28"/>
          <w:szCs w:val="28"/>
          <w:rtl w:val="true"/>
          <w:lang w:bidi="ar-SA"/>
        </w:rPr>
        <w:t xml:space="preserve">عن بعض الاقتصار على الأولين </w:t>
      </w:r>
      <w:r>
        <w:rPr>
          <w:rStyle w:val="FootnoteAnchor"/>
          <w:rtl w:val="true"/>
        </w:rPr>
        <w:footnoteReference w:id="1915"/>
      </w:r>
      <w:r>
        <w:rPr>
          <w:rFonts w:ascii="Amiri" w:hAnsi="Amiri" w:eastAsia="Amiri" w:cs="Amiri"/>
          <w:color w:val="111111"/>
          <w:sz w:val="28"/>
          <w:sz w:val="28"/>
          <w:szCs w:val="28"/>
          <w:rtl w:val="true"/>
          <w:lang w:bidi="ar-SA"/>
        </w:rPr>
        <w:t xml:space="preserve">و الظاهر انه لكونهم في مقام بيان المصرف الخاص الجامع </w:t>
      </w:r>
      <w:r>
        <w:rPr>
          <w:rStyle w:val="FootnoteAnchor"/>
          <w:rtl w:val="true"/>
        </w:rPr>
        <w:footnoteReference w:id="1916"/>
      </w:r>
      <w:r>
        <w:rPr>
          <w:rFonts w:ascii="Amiri" w:hAnsi="Amiri" w:eastAsia="Amiri" w:cs="Amiri"/>
          <w:color w:val="111111"/>
          <w:sz w:val="28"/>
          <w:sz w:val="28"/>
          <w:szCs w:val="28"/>
          <w:rtl w:val="true"/>
          <w:lang w:bidi="ar-SA"/>
        </w:rPr>
        <w:t xml:space="preserve">لسائر المصارف لتحصيل البسط </w:t>
      </w:r>
      <w:r>
        <w:rPr>
          <w:rStyle w:val="FootnoteAnchor"/>
          <w:rtl w:val="true"/>
        </w:rPr>
        <w:footnoteReference w:id="1917"/>
      </w:r>
      <w:r>
        <w:rPr>
          <w:rFonts w:ascii="Amiri" w:hAnsi="Amiri" w:eastAsia="Amiri" w:cs="Amiri"/>
          <w:color w:val="111111"/>
          <w:sz w:val="28"/>
          <w:sz w:val="28"/>
          <w:szCs w:val="28"/>
          <w:rtl w:val="true"/>
          <w:lang w:bidi="ar-SA"/>
        </w:rPr>
        <w:t>الراجح أو الواجب، و المفروض تقييد العتق في الصورة بصورة عدم المستحق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صرفها في العتق الواجب من باب الكفارة على من يعجز عنه </w:t>
      </w:r>
      <w:r>
        <w:rPr>
          <w:rStyle w:val="FootnoteAnchor"/>
          <w:rtl w:val="true"/>
        </w:rPr>
        <w:footnoteReference w:id="1918"/>
      </w:r>
      <w:r>
        <w:rPr>
          <w:rFonts w:ascii="Amiri" w:hAnsi="Amiri" w:eastAsia="Amiri" w:cs="Amiri"/>
          <w:color w:val="111111"/>
          <w:sz w:val="28"/>
          <w:sz w:val="28"/>
          <w:szCs w:val="28"/>
          <w:rtl w:val="true"/>
          <w:lang w:bidi="ar-SA"/>
        </w:rPr>
        <w:t xml:space="preserve">، و قد أرسله علي بن إبراهيم في تفسيره عن العالم عليه السلام </w:t>
      </w:r>
      <w:r>
        <w:rPr>
          <w:rStyle w:val="FootnoteAnchor"/>
          <w:rtl w:val="true"/>
        </w:rPr>
        <w:footnoteReference w:id="1919"/>
      </w:r>
      <w:r>
        <w:rPr>
          <w:rFonts w:ascii="Amiri" w:hAnsi="Amiri" w:eastAsia="Amiri" w:cs="Amiri"/>
          <w:color w:val="111111"/>
          <w:sz w:val="28"/>
          <w:sz w:val="28"/>
          <w:szCs w:val="28"/>
          <w:rtl w:val="true"/>
          <w:lang w:bidi="ar-SA"/>
        </w:rPr>
        <w:t xml:space="preserve">، و تردد فيه بعض </w:t>
      </w:r>
      <w:r>
        <w:rPr>
          <w:rStyle w:val="FootnoteAnchor"/>
          <w:rtl w:val="true"/>
        </w:rPr>
        <w:footnoteReference w:id="1920"/>
      </w:r>
      <w:r>
        <w:rPr>
          <w:rFonts w:ascii="Amiri" w:hAnsi="Amiri" w:eastAsia="Amiri" w:cs="Amiri"/>
          <w:color w:val="111111"/>
          <w:sz w:val="28"/>
          <w:sz w:val="28"/>
          <w:szCs w:val="28"/>
          <w:rtl w:val="true"/>
          <w:lang w:bidi="ar-SA"/>
        </w:rPr>
        <w:t>من حيث انه ان العاجز عن العتق يرجع إلى بدله، سواء كان في الكفارة المخيّرة أو المرتبة</w:t>
      </w:r>
      <w:r>
        <w:rPr>
          <w:rFonts w:eastAsia="Amiri" w:cs="Amiri" w:ascii="Amiri" w:hAnsi="Amiri"/>
          <w:color w:val="111111"/>
          <w:sz w:val="28"/>
          <w:szCs w:val="28"/>
          <w:rtl w:val="true"/>
          <w:lang w:bidi="ar-SA"/>
        </w:rPr>
        <w:t>.</w:t>
      </w:r>
      <w:bookmarkStart w:id="129" w:name="pg19722_766370"/>
    </w:p>
    <w:p>
      <w:pPr>
        <w:pStyle w:val="Heading4"/>
        <w:numPr>
          <w:ilvl w:val="3"/>
          <w:numId w:val="1"/>
        </w:numPr>
        <w:rPr/>
      </w:pPr>
      <w:bookmarkStart w:id="130" w:name="__RefHeading___Toc2136366_2314609296"/>
      <w:bookmarkStart w:id="131" w:name="_Toc45"/>
      <w:bookmarkEnd w:id="129"/>
      <w:bookmarkEnd w:id="130"/>
      <w:r>
        <w:rPr>
          <w:rtl w:val="true"/>
        </w:rPr>
        <w:t xml:space="preserve">مسألة </w:t>
      </w:r>
      <w:r>
        <w:rPr>
          <w:rtl w:val="true"/>
        </w:rPr>
        <w:t>[</w:t>
      </w:r>
      <w:r>
        <w:rPr/>
        <w:t>36</w:t>
      </w:r>
      <w:r>
        <w:rPr>
          <w:rtl w:val="true"/>
        </w:rPr>
        <w:t>]</w:t>
      </w:r>
      <w:bookmarkEnd w:id="131"/>
    </w:p>
    <w:p>
      <w:pPr>
        <w:pStyle w:val="BookText"/>
        <w:rPr/>
      </w:pPr>
      <w:r>
        <w:rPr>
          <w:rFonts w:ascii="Amiri" w:hAnsi="Amiri" w:eastAsia="Amiri" w:cs="Amiri"/>
          <w:color w:val="111111"/>
          <w:sz w:val="28"/>
          <w:sz w:val="28"/>
          <w:szCs w:val="28"/>
          <w:rtl w:val="true"/>
          <w:lang w:bidi="ar-SA"/>
        </w:rPr>
        <w:t>لا خلاف و لا إشكال في جواز صرف الزكاة إلى الغارم في الجملة؛ و إنما الكلام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اشتراط عجز الغارم عن أداء دينه، فلو كان متمكّنا منه حيّا أو ميّتا لم يقض عنه، و الدليل على اشتراط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المحكي عن جماعة </w:t>
      </w:r>
      <w:r>
        <w:rPr>
          <w:rStyle w:val="FootnoteAnchor"/>
          <w:rtl w:val="true"/>
        </w:rPr>
        <w:footnoteReference w:id="1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الآتية بعضها في مسألة اشتراط الفقر فيمن يعطى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المصرّح به في كلام جماعة </w:t>
      </w:r>
      <w:r>
        <w:rPr>
          <w:rStyle w:val="FootnoteAnchor"/>
          <w:rtl w:val="true"/>
        </w:rPr>
        <w:footnoteReference w:id="1922"/>
      </w:r>
      <w:r>
        <w:rPr>
          <w:rFonts w:ascii="Amiri" w:hAnsi="Amiri" w:eastAsia="Amiri" w:cs="Amiri"/>
          <w:color w:val="111111"/>
          <w:sz w:val="28"/>
          <w:sz w:val="28"/>
          <w:szCs w:val="28"/>
          <w:rtl w:val="true"/>
          <w:lang w:bidi="ar-SA"/>
        </w:rPr>
        <w:t xml:space="preserve">، اعتبار العجز عن أداء الدين، و في المحكي </w:t>
      </w:r>
      <w:r>
        <w:rPr>
          <w:rStyle w:val="FootnoteAnchor"/>
          <w:rtl w:val="true"/>
        </w:rPr>
        <w:footnoteReference w:id="1923"/>
      </w:r>
      <w:r>
        <w:rPr>
          <w:rFonts w:ascii="Amiri" w:hAnsi="Amiri" w:eastAsia="Amiri" w:cs="Amiri"/>
          <w:color w:val="111111"/>
          <w:sz w:val="28"/>
          <w:sz w:val="28"/>
          <w:szCs w:val="28"/>
          <w:rtl w:val="true"/>
          <w:lang w:bidi="ar-SA"/>
        </w:rPr>
        <w:t>عن آخرين اعتبار الفقر فيحتمل أن يراد بالفقر مجرد الحاجة إلى الأداء و إن لم يكن فقيرا من حيث المئونة، فالنسبة بين الغارمين و الفقراء عموم من وجه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ينافيه ظاهر المحكي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وجب عليه العتق في كفارة يعطى لفقره فيعتق </w:t>
      </w:r>
      <w:r>
        <w:rPr>
          <w:rStyle w:val="FootnoteAnchor"/>
          <w:rtl w:val="true"/>
        </w:rPr>
        <w:footnoteReference w:id="1924"/>
      </w:r>
      <w:r>
        <w:rPr>
          <w:rFonts w:ascii="Amiri" w:hAnsi="Amiri" w:eastAsia="Amiri" w:cs="Amiri"/>
          <w:color w:val="111111"/>
          <w:sz w:val="28"/>
          <w:sz w:val="28"/>
          <w:szCs w:val="28"/>
          <w:rtl w:val="true"/>
          <w:lang w:bidi="ar-SA"/>
        </w:rPr>
        <w:t>، فإن ظاهره أنّ مجرد اشتغال الذمة بما لا يقدر عليه،</w:t>
      </w:r>
    </w:p>
    <w:p>
      <w:pPr>
        <w:pStyle w:val="BookText"/>
        <w:rPr/>
      </w:pPr>
      <w:r>
        <w:rPr>
          <w:rFonts w:ascii="Amiri" w:hAnsi="Amiri" w:eastAsia="Amiri" w:cs="Amiri"/>
          <w:color w:val="111111"/>
          <w:sz w:val="28"/>
          <w:sz w:val="28"/>
          <w:szCs w:val="28"/>
          <w:rtl w:val="true"/>
          <w:lang w:bidi="ar-SA"/>
        </w:rPr>
        <w:t>فقر موجب للدخول تحت اولى الأصناف الثمانية، إلّا أن يحمل كلامه على إرادة الحاجة الى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شرح الروضة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بالفقر ما يشمل الحاجة لقضاء الدين حتّى يكون كل غارم غير متمكن من الأداء فقيرا أو مسكينا، و لذا يعطى من الخمس لو كان هاشميا، و يكون مقابلة الغارمين للفقراء باعتبار خصوصية جهة الصرف </w:t>
      </w:r>
      <w:r>
        <w:rPr>
          <w:rStyle w:val="FootnoteAnchor"/>
          <w:rtl w:val="true"/>
        </w:rPr>
        <w:footnoteReference w:id="1926"/>
      </w:r>
      <w:r>
        <w:rPr>
          <w:rFonts w:ascii="Amiri" w:hAnsi="Amiri" w:eastAsia="Amiri" w:cs="Amiri"/>
          <w:color w:val="111111"/>
          <w:sz w:val="28"/>
          <w:sz w:val="28"/>
          <w:szCs w:val="28"/>
          <w:rtl w:val="true"/>
          <w:lang w:bidi="ar-SA"/>
        </w:rPr>
        <w:t xml:space="preserve">و انّه قد يكون الغارم ميّتا و قد يقضى عنه بغير اذنه، فلا اشكال هنا إلّا أنّ ظاهرهم من الفقر هو العجز عن مئونة السنة، و أنّ القادر على ما يكفيه غير فقير، و لذا ذكر بعضهم كالشهيد الثاني </w:t>
      </w:r>
      <w:r>
        <w:rPr>
          <w:rStyle w:val="FootnoteAnchor"/>
          <w:rtl w:val="true"/>
        </w:rPr>
        <w:footnoteReference w:id="1927"/>
      </w:r>
      <w:r>
        <w:rPr>
          <w:rFonts w:ascii="Amiri" w:hAnsi="Amiri" w:eastAsia="Amiri" w:cs="Amiri"/>
          <w:color w:val="111111"/>
          <w:sz w:val="28"/>
          <w:sz w:val="28"/>
          <w:szCs w:val="28"/>
          <w:rtl w:val="true"/>
          <w:lang w:bidi="ar-SA"/>
        </w:rPr>
        <w:t xml:space="preserve">و الميسي في تعليقه على الإرشاد </w:t>
      </w:r>
      <w:r>
        <w:rPr>
          <w:rStyle w:val="FootnoteAnchor"/>
          <w:rtl w:val="true"/>
        </w:rPr>
        <w:footnoteReference w:id="1928"/>
      </w:r>
      <w:r>
        <w:rPr>
          <w:rFonts w:ascii="Amiri" w:hAnsi="Amiri" w:eastAsia="Amiri" w:cs="Amiri"/>
          <w:color w:val="111111"/>
          <w:sz w:val="28"/>
          <w:sz w:val="28"/>
          <w:szCs w:val="28"/>
          <w:rtl w:val="true"/>
          <w:lang w:bidi="ar-SA"/>
        </w:rPr>
        <w:t xml:space="preserve">و المحقق في المعتبر </w:t>
      </w:r>
      <w:r>
        <w:rPr>
          <w:rStyle w:val="FootnoteAnchor"/>
          <w:rtl w:val="true"/>
        </w:rPr>
        <w:footnoteReference w:id="1929"/>
      </w:r>
      <w:r>
        <w:rPr>
          <w:rFonts w:ascii="Amiri" w:hAnsi="Amiri" w:eastAsia="Amiri" w:cs="Amiri"/>
          <w:color w:val="111111"/>
          <w:sz w:val="28"/>
          <w:sz w:val="28"/>
          <w:szCs w:val="28"/>
          <w:rtl w:val="true"/>
          <w:lang w:bidi="ar-SA"/>
        </w:rPr>
        <w:t xml:space="preserve">و صاحب المدارك </w:t>
      </w:r>
      <w:r>
        <w:rPr>
          <w:rStyle w:val="FootnoteAnchor"/>
          <w:rtl w:val="true"/>
        </w:rPr>
        <w:footnoteReference w:id="1930"/>
      </w:r>
      <w:r>
        <w:rPr>
          <w:rFonts w:ascii="Amiri" w:hAnsi="Amiri" w:eastAsia="Amiri" w:cs="Amiri"/>
          <w:color w:val="111111"/>
          <w:sz w:val="28"/>
          <w:sz w:val="28"/>
          <w:szCs w:val="28"/>
          <w:rtl w:val="true"/>
          <w:lang w:bidi="ar-SA"/>
        </w:rPr>
        <w:t xml:space="preserve">انّ الغارم في المعصية يعطى من سهم الفقراء إذا كان بصفة الفقر، إذ على تقدير كون الغارم أخصّ مطلقا لا معنى لاشتراط كونه فقيرا، و نحوهم المحقق الثاني </w:t>
      </w:r>
      <w:r>
        <w:rPr>
          <w:rStyle w:val="FootnoteAnchor"/>
          <w:rtl w:val="true"/>
        </w:rPr>
        <w:footnoteReference w:id="1931"/>
      </w:r>
      <w:r>
        <w:rPr>
          <w:rFonts w:ascii="Amiri" w:hAnsi="Amiri" w:eastAsia="Amiri" w:cs="Amiri"/>
          <w:color w:val="111111"/>
          <w:sz w:val="28"/>
          <w:sz w:val="28"/>
          <w:szCs w:val="28"/>
          <w:rtl w:val="true"/>
          <w:lang w:bidi="ar-SA"/>
        </w:rPr>
        <w:t>في مسألة إعطاء العاجز عن الكفارة الواجبة عليه حيث قيّده بما إذا كان فقيرا مع أنّ الغارم إذا كان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اجتماعهما مصداقا، بل بمعنى أن الغرم سبب للفقر </w:t>
      </w:r>
      <w:r>
        <w:rPr>
          <w:rStyle w:val="FootnoteAnchor"/>
          <w:rtl w:val="true"/>
        </w:rPr>
        <w:footnoteReference w:id="1932"/>
      </w:r>
      <w:r>
        <w:rPr>
          <w:rFonts w:ascii="Amiri" w:hAnsi="Amiri" w:eastAsia="Amiri" w:cs="Amiri"/>
          <w:color w:val="111111"/>
          <w:sz w:val="28"/>
          <w:sz w:val="28"/>
          <w:szCs w:val="28"/>
          <w:rtl w:val="true"/>
          <w:lang w:bidi="ar-SA"/>
        </w:rPr>
        <w:t>الحقيقي الذي هو أحد مصارف الزكاة نظير عدم قوت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لمنع الغارم في المعصية في الروايات مع كونه مستحقّا لأجل فقره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المراد من الروايات منعه من حيث الغرم لا من حيث الفقر،</w:t>
      </w:r>
    </w:p>
    <w:p>
      <w:pPr>
        <w:pStyle w:val="BookText"/>
        <w:rPr/>
      </w:pPr>
      <w:r>
        <w:rPr>
          <w:rFonts w:ascii="Amiri" w:hAnsi="Amiri" w:eastAsia="Amiri" w:cs="Amiri"/>
          <w:color w:val="111111"/>
          <w:sz w:val="28"/>
          <w:sz w:val="28"/>
          <w:szCs w:val="28"/>
          <w:rtl w:val="true"/>
          <w:lang w:bidi="ar-SA"/>
        </w:rPr>
        <w:t>مع فرض عدم انفكاك الحيثية الثانية عن الأولى،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أنهم صرّحوا في تعريف الفقير </w:t>
      </w:r>
      <w:r>
        <w:rPr>
          <w:rStyle w:val="FootnoteAnchor"/>
          <w:rtl w:val="true"/>
        </w:rPr>
        <w:footnoteReference w:id="1933"/>
      </w:r>
      <w:r>
        <w:rPr>
          <w:rFonts w:ascii="Amiri" w:hAnsi="Amiri" w:eastAsia="Amiri" w:cs="Amiri"/>
          <w:color w:val="111111"/>
          <w:sz w:val="28"/>
          <w:sz w:val="28"/>
          <w:szCs w:val="28"/>
          <w:rtl w:val="true"/>
          <w:lang w:bidi="ar-SA"/>
        </w:rPr>
        <w:t xml:space="preserve">بأنه من لا يملك مئونة السنة له و لعياله، و لا يخفى عدم دخول الدين في مئونة السنة كما يشعر به عطف مئونة العيال على مئونة نفسه كما صرح به في رواية أبي بصير المتقدمة </w:t>
      </w:r>
      <w:r>
        <w:rPr>
          <w:rStyle w:val="FootnoteAnchor"/>
          <w:rtl w:val="true"/>
        </w:rPr>
        <w:footnoteReference w:id="1934"/>
      </w:r>
      <w:r>
        <w:rPr>
          <w:rFonts w:ascii="Amiri" w:hAnsi="Amiri" w:eastAsia="Amiri" w:cs="Amiri"/>
          <w:color w:val="111111"/>
          <w:sz w:val="28"/>
          <w:sz w:val="28"/>
          <w:szCs w:val="28"/>
          <w:rtl w:val="true"/>
          <w:lang w:bidi="ar-SA"/>
        </w:rPr>
        <w:t xml:space="preserve">في من يربح من دراهمه قوت عياله و نصف القوت، و أصرح منها مرسلة المقنعة المتقدّمة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تتبع كلمات الأصحاب في تعريف الفقير و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زكاتي </w:t>
      </w:r>
      <w:r>
        <w:rPr>
          <w:rStyle w:val="FootnoteAnchor"/>
          <w:rtl w:val="true"/>
        </w:rPr>
        <w:footnoteReference w:id="1936"/>
      </w:r>
      <w:r>
        <w:rPr>
          <w:rFonts w:ascii="Amiri" w:hAnsi="Amiri" w:eastAsia="Amiri" w:cs="Amiri"/>
          <w:color w:val="111111"/>
          <w:sz w:val="28"/>
          <w:sz w:val="28"/>
          <w:szCs w:val="28"/>
          <w:rtl w:val="true"/>
          <w:lang w:bidi="ar-SA"/>
        </w:rPr>
        <w:t>المال و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له أنّ واجد قوت السنة ليس فقيرا و إن كان غارما و تجب عليه الفطرة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ذكروا جواز</w:t>
      </w:r>
      <w:r>
        <w:rPr>
          <w:rFonts w:eastAsia="Amiri" w:cs="Amiri" w:ascii="Amiri" w:hAnsi="Amiri"/>
          <w:color w:val="111111"/>
          <w:sz w:val="28"/>
          <w:szCs w:val="28"/>
          <w:rtl w:val="true"/>
          <w:lang w:bidi="ar-SA"/>
        </w:rPr>
        <w:t xml:space="preserve">] </w:t>
      </w:r>
      <w:r>
        <w:rPr>
          <w:rStyle w:val="FootnoteAnchor"/>
          <w:rtl w:val="true"/>
        </w:rPr>
        <w:footnoteReference w:id="1937"/>
      </w:r>
      <w:r>
        <w:rPr>
          <w:rFonts w:ascii="Amiri" w:hAnsi="Amiri" w:eastAsia="Amiri" w:cs="Amiri"/>
          <w:color w:val="111111"/>
          <w:sz w:val="28"/>
          <w:sz w:val="28"/>
          <w:szCs w:val="28"/>
          <w:rtl w:val="true"/>
          <w:lang w:bidi="ar-SA"/>
        </w:rPr>
        <w:t>إغناء الفقير دفعة من سهم الفقراء، و أن الغارم لا يعطى أزيد من الحاجة، فلو كان فقيرا حقيقيا بمجرد الغرم لزم جواز إعطائه زائدا عن الحاجة من سهم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فقد ذكروا انه لا يجوز إعطاء واجب النفقة من سهم الفقراء معللين له بعدم الفقر بعد وجوب نفقته على الرجل، و انه يجوز الدفع اليه من سهم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غارما</w:t>
      </w:r>
      <w:r>
        <w:rPr>
          <w:rFonts w:eastAsia="Amiri" w:cs="Amiri" w:ascii="Amiri" w:hAnsi="Amiri"/>
          <w:color w:val="111111"/>
          <w:sz w:val="28"/>
          <w:szCs w:val="28"/>
          <w:rtl w:val="true"/>
          <w:lang w:bidi="ar-SA"/>
        </w:rPr>
        <w:t xml:space="preserve">] </w:t>
      </w:r>
      <w:r>
        <w:rPr>
          <w:rStyle w:val="FootnoteAnchor"/>
          <w:rtl w:val="true"/>
        </w:rPr>
        <w:footnoteReference w:id="1938"/>
      </w:r>
      <w:r>
        <w:rPr>
          <w:rFonts w:ascii="Amiri" w:hAnsi="Amiri" w:eastAsia="Amiri" w:cs="Amiri"/>
          <w:color w:val="111111"/>
          <w:sz w:val="28"/>
          <w:sz w:val="28"/>
          <w:szCs w:val="28"/>
          <w:rtl w:val="true"/>
          <w:lang w:bidi="ar-SA"/>
        </w:rPr>
        <w:t xml:space="preserve">، و لا ريب أنّ هذا التعليل يقتضي اختصاص الفقر </w:t>
      </w:r>
      <w:r>
        <w:rPr>
          <w:rStyle w:val="FootnoteAnchor"/>
          <w:rtl w:val="true"/>
        </w:rPr>
        <w:footnoteReference w:id="1939"/>
      </w:r>
      <w:r>
        <w:rPr>
          <w:rFonts w:ascii="Amiri" w:hAnsi="Amiri" w:eastAsia="Amiri" w:cs="Amiri"/>
          <w:color w:val="111111"/>
          <w:sz w:val="28"/>
          <w:sz w:val="28"/>
          <w:szCs w:val="28"/>
          <w:rtl w:val="true"/>
          <w:lang w:bidi="ar-SA"/>
        </w:rPr>
        <w:t>لأجل عدم قوت السنة؛ لأنه الذي يزول بإنفاق الغير عليه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فإجراء أحكام الفقير </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أول أصناف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الغارم بمجرد الغرم و إن كان مالكا لقوت السنة،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ذكر </w:t>
      </w:r>
      <w:r>
        <w:rPr>
          <w:rStyle w:val="FootnoteAnchor"/>
          <w:rtl w:val="true"/>
        </w:rPr>
        <w:footnoteReference w:id="1941"/>
      </w:r>
      <w:r>
        <w:rPr>
          <w:rFonts w:ascii="Amiri" w:hAnsi="Amiri" w:eastAsia="Amiri" w:cs="Amiri"/>
          <w:color w:val="111111"/>
          <w:sz w:val="28"/>
          <w:sz w:val="28"/>
          <w:szCs w:val="28"/>
          <w:rtl w:val="true"/>
          <w:lang w:bidi="ar-SA"/>
        </w:rPr>
        <w:t xml:space="preserve">ان العلّامة قدّس سرّه مع انه صرّح في المنتهى و التذكرة باعتبار الفقر </w:t>
      </w:r>
      <w:r>
        <w:rPr>
          <w:rStyle w:val="FootnoteAnchor"/>
          <w:rtl w:val="true"/>
        </w:rPr>
        <w:footnoteReference w:id="1942"/>
      </w:r>
      <w:r>
        <w:rPr>
          <w:rFonts w:ascii="Amiri" w:hAnsi="Amiri" w:eastAsia="Amiri" w:cs="Amiri"/>
          <w:color w:val="111111"/>
          <w:sz w:val="28"/>
          <w:sz w:val="28"/>
          <w:szCs w:val="28"/>
          <w:rtl w:val="true"/>
          <w:lang w:bidi="ar-SA"/>
        </w:rPr>
        <w:t xml:space="preserve">استقرب في النهاية </w:t>
      </w:r>
      <w:r>
        <w:rPr>
          <w:rStyle w:val="FootnoteAnchor"/>
          <w:rtl w:val="true"/>
        </w:rPr>
        <w:footnoteReference w:id="1943"/>
      </w:r>
      <w:r>
        <w:rPr>
          <w:rFonts w:ascii="Amiri" w:hAnsi="Amiri" w:eastAsia="Amiri" w:cs="Amiri"/>
          <w:color w:val="111111"/>
          <w:sz w:val="28"/>
          <w:sz w:val="28"/>
          <w:szCs w:val="28"/>
          <w:rtl w:val="true"/>
          <w:lang w:bidi="ar-SA"/>
        </w:rPr>
        <w:t xml:space="preserve">جواز الدفع الى المديون إذا كان عنده ما يفي بدينه إذا كان بحيث ما لو دفعه صار فقيرا، و أوضح منه في التأييد ما عن الحلّي </w:t>
      </w:r>
      <w:r>
        <w:rPr>
          <w:rStyle w:val="FootnoteAnchor"/>
          <w:rtl w:val="true"/>
        </w:rPr>
        <w:footnoteReference w:id="1944"/>
      </w:r>
      <w:r>
        <w:rPr>
          <w:rFonts w:ascii="Amiri" w:hAnsi="Amiri" w:eastAsia="Amiri" w:cs="Amiri"/>
          <w:color w:val="111111"/>
          <w:sz w:val="28"/>
          <w:sz w:val="28"/>
          <w:szCs w:val="28"/>
          <w:rtl w:val="true"/>
          <w:lang w:bidi="ar-SA"/>
        </w:rPr>
        <w:t>من منع جواز ذلك معللا بأنه غني لا تحلّ له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الاستشهاد له بما عن مستطرفاته في السرائر نقلا عن كتاب المشيخة لابن محبوب عن أبي أيّوب، عن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الرجل منّا يكون عنده الشي‌ء يتبلّغ به و عليه دين، أ يطعم عياله حتى يأتيه اللّٰه بميسرة </w:t>
      </w:r>
      <w:r>
        <w:rPr>
          <w:rStyle w:val="FootnoteAnchor"/>
          <w:rtl w:val="true"/>
        </w:rPr>
        <w:footnoteReference w:id="1945"/>
      </w:r>
      <w:r>
        <w:rPr>
          <w:rFonts w:ascii="Amiri" w:hAnsi="Amiri" w:eastAsia="Amiri" w:cs="Amiri"/>
          <w:color w:val="111111"/>
          <w:sz w:val="28"/>
          <w:sz w:val="28"/>
          <w:szCs w:val="28"/>
          <w:rtl w:val="true"/>
          <w:lang w:bidi="ar-SA"/>
        </w:rPr>
        <w:t xml:space="preserve">فيقضي دينه؟ أو يستقرض على ظهره في جدب الزمان </w:t>
      </w:r>
      <w:r>
        <w:rPr>
          <w:rStyle w:val="FootnoteAnchor"/>
          <w:rtl w:val="true"/>
        </w:rPr>
        <w:footnoteReference w:id="1946"/>
      </w:r>
      <w:r>
        <w:rPr>
          <w:rFonts w:ascii="Amiri" w:hAnsi="Amiri" w:eastAsia="Amiri" w:cs="Amiri"/>
          <w:color w:val="111111"/>
          <w:sz w:val="28"/>
          <w:sz w:val="28"/>
          <w:szCs w:val="28"/>
          <w:rtl w:val="true"/>
          <w:lang w:bidi="ar-SA"/>
        </w:rPr>
        <w:t>و شدة المكاسب، أو يقضي بما عنده دينه و يقبل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بما عنده و يقبل الصدقة</w:t>
      </w:r>
      <w:r>
        <w:rPr>
          <w:rFonts w:eastAsia="Amiri" w:cs="Amiri" w:ascii="Amiri" w:hAnsi="Amiri"/>
          <w:color w:val="111111"/>
          <w:sz w:val="28"/>
          <w:szCs w:val="28"/>
          <w:rtl w:val="true"/>
          <w:lang w:bidi="ar-SA"/>
        </w:rPr>
        <w:t xml:space="preserve">» </w:t>
      </w:r>
      <w:r>
        <w:rPr>
          <w:rStyle w:val="FootnoteAnchor"/>
          <w:rtl w:val="true"/>
        </w:rPr>
        <w:footnoteReference w:id="1947"/>
      </w:r>
      <w:r>
        <w:rPr>
          <w:rFonts w:ascii="Amiri" w:hAnsi="Amiri" w:eastAsia="Amiri" w:cs="Amiri"/>
          <w:color w:val="111111"/>
          <w:sz w:val="28"/>
          <w:sz w:val="28"/>
          <w:szCs w:val="28"/>
          <w:rtl w:val="true"/>
          <w:lang w:bidi="ar-SA"/>
        </w:rPr>
        <w:t>فالظاهر ان المراد بالفقر المأخوذ شرطا في الغارم هي الحاجة الى الأداء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من عدم التمكّن هو عدم القدرة عرفا بحيث لا يعد عاجزا، لا التمكن الشرعي؛ فإن من له مشتغل لا يزيد عن مئونة سنة يجب عليه شرعا أداء دينه مع ذلك المشتغل مع انه عاجز عرفا عن أداء الدين؛ لأنه يصير فقيرا بعد الأداء، و قد عرفت عن النهاية ان الأقرب جواز الدفع إلى من كان عنده ما لو دفعه صار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 الغارم يشمل من استقر في ذمته المال لا بعوض صار اليه كمن صار عليه دية أو كفارة أو ضمان متلف، و لذا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وجبت عليه كفارة و لم يجد ما يعتق جاز أن يعطى من الزكاة ما يشتري به رقبة و يعتقها، روى ذلك علي بن إبراهيم في تفسيره عن العالم عليه السلام </w:t>
      </w:r>
      <w:r>
        <w:rPr>
          <w:rStyle w:val="FootnoteAnchor"/>
          <w:rtl w:val="true"/>
        </w:rPr>
        <w:footnoteReference w:id="194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عندي إنّ ذلك أشبه بالغارم؛ لأن القصد إبراء ما في ذمة المكفر </w:t>
      </w:r>
      <w:r>
        <w:rPr>
          <w:rStyle w:val="FootnoteAnchor"/>
          <w:rtl w:val="true"/>
        </w:rPr>
        <w:footnoteReference w:id="1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غرضه من كونه أشبه بالغارم ليس انه ليس بغارم حقيقة، بل مقصوده ان ما يدفع إليه أشبه بسهم الغارمين؛ لأن المقصود ليس مطلق سدّ خلّته بل خصوص اخلاء ذمته، ثم على القول بعموم الغارم لما ذكرنا من الضمانات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رواية العرزمي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إلا في دين موجع أو غرم مفظع أو فقر مدقع</w:t>
      </w:r>
      <w:r>
        <w:rPr>
          <w:rFonts w:eastAsia="Amiri" w:cs="Amiri" w:ascii="Amiri" w:hAnsi="Amiri"/>
          <w:color w:val="111111"/>
          <w:sz w:val="28"/>
          <w:szCs w:val="28"/>
          <w:rtl w:val="true"/>
          <w:lang w:bidi="ar-SA"/>
        </w:rPr>
        <w:t xml:space="preserve">» </w:t>
      </w:r>
      <w:r>
        <w:rPr>
          <w:rStyle w:val="FootnoteAnchor"/>
          <w:rtl w:val="true"/>
        </w:rPr>
        <w:footnoteReference w:id="1950"/>
      </w:r>
      <w:r>
        <w:rPr>
          <w:rFonts w:ascii="Amiri" w:hAnsi="Amiri" w:eastAsia="Amiri" w:cs="Amiri"/>
          <w:color w:val="111111"/>
          <w:sz w:val="28"/>
          <w:sz w:val="28"/>
          <w:szCs w:val="28"/>
          <w:rtl w:val="true"/>
          <w:lang w:bidi="ar-SA"/>
        </w:rPr>
        <w:t>، فالظاهر انه لا يعتبر وقوع أسبابها في غير المعصية، بل لو كان سبب الكفارة الظهار المحرم أو حنث اليمين، أو قتل الصيد و لو عمدا، أو إتلاف مال عمدا، فالظاهر جواز الإعطاء و لو بعد التوبة؛ بناء على اشتراط العدالة لإطلاق الغارم و اختصاص المقيد بما إذا استدان في المعصية و أنفق فيها، و لا يشمل ما إذا كان سبب الضمان معصية، إلّا أن يفهم العموم بتنقيح المناط، أو اعتمدنا في الحكم بالتقييد على وجوه اعتبارية ذكروها، من كونه إغراء بالقبيح، و أن الزكاة إرفاق فلا يناسب كون المعصية سببا لها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مما ذكرنا من عبارة المعتبر عدم الاشتراط في هذا القسم من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الغارم،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ما ذكرنا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الإعطاء من سهم الغارمين</w:t>
      </w:r>
      <w:r>
        <w:rPr>
          <w:rFonts w:eastAsia="Amiri" w:cs="Amiri" w:ascii="Amiri" w:hAnsi="Amiri"/>
          <w:color w:val="111111"/>
          <w:sz w:val="28"/>
          <w:szCs w:val="28"/>
          <w:rtl w:val="true"/>
          <w:lang w:bidi="ar-SA"/>
        </w:rPr>
        <w:t xml:space="preserve">) </w:t>
      </w:r>
      <w:r>
        <w:rPr>
          <w:rStyle w:val="FootnoteAnchor"/>
          <w:rtl w:val="true"/>
        </w:rPr>
        <w:footnoteReference w:id="1951"/>
      </w:r>
      <w:r>
        <w:rPr>
          <w:rFonts w:ascii="Amiri" w:hAnsi="Amiri" w:eastAsia="Amiri" w:cs="Amiri"/>
          <w:color w:val="111111"/>
          <w:sz w:val="28"/>
          <w:sz w:val="28"/>
          <w:szCs w:val="28"/>
          <w:rtl w:val="true"/>
          <w:lang w:bidi="ar-SA"/>
        </w:rPr>
        <w:t xml:space="preserve">في مضمون رواية القمي في تفسير الرقاب </w:t>
      </w:r>
      <w:r>
        <w:rPr>
          <w:rStyle w:val="FootnoteAnchor"/>
          <w:rtl w:val="true"/>
        </w:rPr>
        <w:footnoteReference w:id="1952"/>
      </w:r>
      <w:r>
        <w:rPr>
          <w:rFonts w:ascii="Amiri" w:hAnsi="Amiri" w:eastAsia="Amiri" w:cs="Amiri"/>
          <w:color w:val="111111"/>
          <w:sz w:val="28"/>
          <w:sz w:val="28"/>
          <w:szCs w:val="28"/>
          <w:rtl w:val="true"/>
          <w:lang w:bidi="ar-SA"/>
        </w:rPr>
        <w:t>، بأنهم قوم لزمتهم كفارات في الظهار و قتل الخطأ و الصيد و الأيمان</w:t>
      </w:r>
      <w:r>
        <w:rPr>
          <w:rFonts w:eastAsia="Amiri" w:cs="Amiri" w:ascii="Amiri" w:hAnsi="Amiri"/>
          <w:color w:val="111111"/>
          <w:sz w:val="28"/>
          <w:szCs w:val="28"/>
          <w:rtl w:val="true"/>
          <w:lang w:bidi="ar-SA"/>
        </w:rPr>
        <w:t xml:space="preserve">]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bookmarkStart w:id="132" w:name="pg19722_766376"/>
    </w:p>
    <w:p>
      <w:pPr>
        <w:pStyle w:val="Heading4"/>
        <w:numPr>
          <w:ilvl w:val="3"/>
          <w:numId w:val="1"/>
        </w:numPr>
        <w:rPr/>
      </w:pPr>
      <w:bookmarkStart w:id="133" w:name="__RefHeading___Toc2136368_2314609296"/>
      <w:bookmarkStart w:id="134" w:name="_Toc46"/>
      <w:bookmarkEnd w:id="132"/>
      <w:bookmarkEnd w:id="133"/>
      <w:r>
        <w:rPr>
          <w:rtl w:val="true"/>
        </w:rPr>
        <w:t xml:space="preserve">مسألة </w:t>
      </w:r>
      <w:r>
        <w:rPr>
          <w:rtl w:val="true"/>
        </w:rPr>
        <w:t>[</w:t>
      </w:r>
      <w:r>
        <w:rPr/>
        <w:t>37</w:t>
      </w:r>
      <w:r>
        <w:rPr>
          <w:rtl w:val="true"/>
        </w:rPr>
        <w:t>]</w:t>
      </w:r>
      <w:bookmarkEnd w:id="13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سبيل اللّٰه يشمل جميع سبل الخير، و قد حكي ذلك صريحا عن الإسكافي </w:t>
      </w:r>
      <w:r>
        <w:rPr>
          <w:rStyle w:val="FootnoteAnchor"/>
          <w:rtl w:val="true"/>
        </w:rPr>
        <w:footnoteReference w:id="1954"/>
      </w:r>
      <w:r>
        <w:rPr>
          <w:rFonts w:ascii="Amiri" w:hAnsi="Amiri" w:eastAsia="Amiri" w:cs="Amiri"/>
          <w:color w:val="111111"/>
          <w:sz w:val="28"/>
          <w:sz w:val="28"/>
          <w:szCs w:val="28"/>
          <w:rtl w:val="true"/>
          <w:lang w:bidi="ar-SA"/>
        </w:rPr>
        <w:t xml:space="preserve">و الشيخ في الخلاف </w:t>
      </w:r>
      <w:r>
        <w:rPr>
          <w:rStyle w:val="FootnoteAnchor"/>
          <w:rtl w:val="true"/>
        </w:rPr>
        <w:footnoteReference w:id="1955"/>
      </w:r>
      <w:r>
        <w:rPr>
          <w:rFonts w:ascii="IRNazanin" w:hAnsi="IRNazanin" w:eastAsia="IRNazanin"/>
          <w:color w:val="111111"/>
          <w:sz w:val="28"/>
          <w:sz w:val="28"/>
          <w:szCs w:val="28"/>
          <w:rtl w:val="true"/>
          <w:lang w:bidi="fa-IR"/>
        </w:rPr>
        <w:t xml:space="preserve">و المبسوط </w:t>
      </w:r>
      <w:r>
        <w:rPr>
          <w:rStyle w:val="FootnoteAnchor"/>
          <w:rtl w:val="true"/>
        </w:rPr>
        <w:footnoteReference w:id="1956"/>
      </w:r>
      <w:r>
        <w:rPr>
          <w:rFonts w:ascii="Amiri" w:hAnsi="Amiri" w:eastAsia="Amiri" w:cs="Amiri"/>
          <w:color w:val="111111"/>
          <w:sz w:val="28"/>
          <w:sz w:val="28"/>
          <w:szCs w:val="28"/>
          <w:rtl w:val="true"/>
          <w:lang w:bidi="ar-SA"/>
        </w:rPr>
        <w:t xml:space="preserve">و ابن زهرة </w:t>
      </w:r>
      <w:r>
        <w:rPr>
          <w:rStyle w:val="FootnoteAnchor"/>
          <w:rtl w:val="true"/>
        </w:rPr>
        <w:footnoteReference w:id="1957"/>
      </w:r>
      <w:r>
        <w:rPr>
          <w:rFonts w:ascii="Amiri" w:hAnsi="Amiri" w:eastAsia="Amiri" w:cs="Amiri"/>
          <w:color w:val="111111"/>
          <w:sz w:val="28"/>
          <w:sz w:val="28"/>
          <w:szCs w:val="28"/>
          <w:rtl w:val="true"/>
          <w:lang w:bidi="ar-SA"/>
        </w:rPr>
        <w:t xml:space="preserve">و الحلّي </w:t>
      </w:r>
      <w:r>
        <w:rPr>
          <w:rStyle w:val="FootnoteAnchor"/>
          <w:rtl w:val="true"/>
        </w:rPr>
        <w:footnoteReference w:id="1958"/>
      </w:r>
      <w:r>
        <w:rPr>
          <w:rFonts w:ascii="Amiri" w:hAnsi="Amiri" w:eastAsia="Amiri" w:cs="Amiri"/>
          <w:color w:val="111111"/>
          <w:sz w:val="28"/>
          <w:sz w:val="28"/>
          <w:szCs w:val="28"/>
          <w:rtl w:val="true"/>
          <w:lang w:bidi="ar-SA"/>
        </w:rPr>
        <w:t xml:space="preserve">و ابن حمزة </w:t>
      </w:r>
      <w:r>
        <w:rPr>
          <w:rStyle w:val="FootnoteAnchor"/>
          <w:rtl w:val="true"/>
        </w:rPr>
        <w:footnoteReference w:id="1959"/>
      </w:r>
      <w:r>
        <w:rPr>
          <w:rFonts w:ascii="Amiri" w:hAnsi="Amiri" w:eastAsia="Amiri" w:cs="Amiri"/>
          <w:color w:val="111111"/>
          <w:sz w:val="28"/>
          <w:sz w:val="28"/>
          <w:szCs w:val="28"/>
          <w:rtl w:val="true"/>
          <w:lang w:bidi="ar-SA"/>
        </w:rPr>
        <w:t xml:space="preserve">و الفاضلين </w:t>
      </w:r>
      <w:r>
        <w:rPr>
          <w:rStyle w:val="FootnoteAnchor"/>
          <w:rtl w:val="true"/>
        </w:rPr>
        <w:footnoteReference w:id="1960"/>
      </w:r>
      <w:r>
        <w:rPr>
          <w:rFonts w:ascii="Amiri" w:hAnsi="Amiri" w:eastAsia="Amiri" w:cs="Amiri"/>
          <w:color w:val="111111"/>
          <w:sz w:val="28"/>
          <w:sz w:val="28"/>
          <w:szCs w:val="28"/>
          <w:rtl w:val="true"/>
          <w:lang w:bidi="ar-SA"/>
        </w:rPr>
        <w:t xml:space="preserve">و الشهيدين </w:t>
      </w:r>
      <w:r>
        <w:rPr>
          <w:rStyle w:val="FootnoteAnchor"/>
          <w:rtl w:val="true"/>
        </w:rPr>
        <w:footnoteReference w:id="1961"/>
      </w:r>
      <w:r>
        <w:rPr>
          <w:rFonts w:ascii="Amiri" w:hAnsi="Amiri" w:eastAsia="Amiri" w:cs="Amiri"/>
          <w:color w:val="111111"/>
          <w:sz w:val="28"/>
          <w:sz w:val="28"/>
          <w:szCs w:val="28"/>
          <w:rtl w:val="true"/>
          <w:lang w:bidi="ar-SA"/>
        </w:rPr>
        <w:t xml:space="preserve">و العليّين </w:t>
      </w:r>
      <w:r>
        <w:rPr>
          <w:rStyle w:val="FootnoteAnchor"/>
          <w:rtl w:val="true"/>
        </w:rPr>
        <w:footnoteReference w:id="1962"/>
      </w:r>
      <w:r>
        <w:rPr>
          <w:rFonts w:ascii="Amiri" w:hAnsi="Amiri" w:eastAsia="Amiri" w:cs="Amiri"/>
          <w:color w:val="111111"/>
          <w:sz w:val="28"/>
          <w:sz w:val="28"/>
          <w:szCs w:val="28"/>
          <w:rtl w:val="true"/>
          <w:lang w:bidi="ar-SA"/>
        </w:rPr>
        <w:t xml:space="preserve">و جمهور متأخري المتأخرين </w:t>
      </w:r>
      <w:r>
        <w:rPr>
          <w:rStyle w:val="FootnoteAnchor"/>
          <w:rtl w:val="true"/>
        </w:rPr>
        <w:footnoteReference w:id="1963"/>
      </w:r>
      <w:r>
        <w:rPr>
          <w:rFonts w:ascii="Amiri" w:hAnsi="Amiri" w:eastAsia="Amiri" w:cs="Amiri"/>
          <w:color w:val="111111"/>
          <w:sz w:val="28"/>
          <w:sz w:val="28"/>
          <w:szCs w:val="28"/>
          <w:rtl w:val="true"/>
          <w:lang w:bidi="ar-SA"/>
        </w:rPr>
        <w:t xml:space="preserve">بل كافتهم كما قيل </w:t>
      </w:r>
      <w:r>
        <w:rPr>
          <w:rStyle w:val="FootnoteAnchor"/>
          <w:rtl w:val="true"/>
        </w:rPr>
        <w:footnoteReference w:id="1964"/>
      </w:r>
      <w:r>
        <w:rPr>
          <w:rFonts w:ascii="Amiri" w:hAnsi="Amiri" w:eastAsia="Amiri" w:cs="Amiri"/>
          <w:color w:val="111111"/>
          <w:sz w:val="28"/>
          <w:sz w:val="28"/>
          <w:szCs w:val="28"/>
          <w:rtl w:val="true"/>
          <w:lang w:bidi="ar-SA"/>
        </w:rPr>
        <w:t xml:space="preserve">، و عن الغنية </w:t>
      </w:r>
      <w:r>
        <w:rPr>
          <w:rStyle w:val="FootnoteAnchor"/>
          <w:rtl w:val="true"/>
        </w:rPr>
        <w:footnoteReference w:id="1965"/>
      </w:r>
      <w:r>
        <w:rPr>
          <w:rFonts w:ascii="IRNazanin" w:hAnsi="IRNazanin" w:eastAsia="IRNazanin"/>
          <w:color w:val="111111"/>
          <w:sz w:val="28"/>
          <w:sz w:val="28"/>
          <w:szCs w:val="28"/>
          <w:rtl w:val="true"/>
          <w:lang w:bidi="fa-IR"/>
        </w:rPr>
        <w:t xml:space="preserve">و الخلاف </w:t>
      </w:r>
      <w:r>
        <w:rPr>
          <w:rStyle w:val="FootnoteAnchor"/>
          <w:rtl w:val="true"/>
        </w:rPr>
        <w:footnoteReference w:id="1966"/>
      </w:r>
      <w:r>
        <w:rPr>
          <w:rFonts w:ascii="IRNazanin" w:hAnsi="IRNazanin" w:eastAsia="IRNazanin"/>
          <w:color w:val="111111"/>
          <w:sz w:val="28"/>
          <w:sz w:val="28"/>
          <w:szCs w:val="28"/>
          <w:rtl w:val="true"/>
          <w:lang w:bidi="fa-IR"/>
        </w:rPr>
        <w:t>و ظاهر</w:t>
      </w:r>
    </w:p>
    <w:p>
      <w:pPr>
        <w:pStyle w:val="BookText"/>
        <w:rPr/>
      </w:pPr>
      <w:r>
        <w:rPr>
          <w:rFonts w:ascii="IRNazanin" w:hAnsi="IRNazanin" w:eastAsia="IRNazanin"/>
          <w:color w:val="111111"/>
          <w:sz w:val="28"/>
          <w:sz w:val="28"/>
          <w:szCs w:val="28"/>
          <w:rtl w:val="true"/>
          <w:lang w:bidi="fa-IR"/>
        </w:rPr>
        <w:t xml:space="preserve">المجمع </w:t>
      </w:r>
      <w:r>
        <w:rPr>
          <w:rStyle w:val="FootnoteAnchor"/>
          <w:rtl w:val="true"/>
        </w:rPr>
        <w:footnoteReference w:id="1967"/>
      </w:r>
      <w:r>
        <w:rPr>
          <w:rFonts w:ascii="Amiri" w:hAnsi="Amiri" w:eastAsia="Amiri" w:cs="Amiri"/>
          <w:color w:val="111111"/>
          <w:sz w:val="28"/>
          <w:sz w:val="28"/>
          <w:szCs w:val="28"/>
          <w:rtl w:val="true"/>
          <w:lang w:bidi="ar-SA"/>
        </w:rPr>
        <w:t>الإجماع عليه؛ لعموم معناه اللغوي و العرفي، و خصوص المستفيضة الواردة في المقام مثل مرسلة القمي في تفسيره عن العالم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يخرجون في الجهاد و ليس عندهم ما ينفقون </w:t>
      </w:r>
      <w:r>
        <w:rPr>
          <w:rStyle w:val="FootnoteAnchor"/>
          <w:rtl w:val="true"/>
        </w:rPr>
        <w:footnoteReference w:id="1968"/>
      </w:r>
      <w:r>
        <w:rPr>
          <w:rFonts w:ascii="Amiri" w:hAnsi="Amiri" w:eastAsia="Amiri" w:cs="Amiri"/>
          <w:color w:val="111111"/>
          <w:sz w:val="28"/>
          <w:sz w:val="28"/>
          <w:szCs w:val="28"/>
          <w:rtl w:val="true"/>
          <w:lang w:bidi="ar-SA"/>
        </w:rPr>
        <w:t>، أو قوم من المؤمنين ليس عندهم ما يحجّون به، أو في جميع سبل الخير، فعلى الامام أن يعطيهم من مال الصدقات حتى يقوون على الحج و الجهاد</w:t>
      </w:r>
      <w:r>
        <w:rPr>
          <w:rFonts w:eastAsia="Amiri" w:cs="Amiri" w:ascii="Amiri" w:hAnsi="Amiri"/>
          <w:color w:val="111111"/>
          <w:sz w:val="28"/>
          <w:szCs w:val="28"/>
          <w:rtl w:val="true"/>
          <w:lang w:bidi="ar-SA"/>
        </w:rPr>
        <w:t xml:space="preserve">»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المروي عن الفقيه، عن ابن يقطين، عن أبي الحسن الأوّل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عندي المال من الزكاة فأحج به مواليّ و أقاربي؟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مستطرفات السرائر، عن كتاب البزنطي، عن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الصرورة أ يحجه الرجل من الزكاة؟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نحوها المروي عن الفقيه، عن محمد بن مسلم عن أبي عبد اللّٰه عليه السلام </w:t>
      </w:r>
      <w:r>
        <w:rPr>
          <w:rStyle w:val="FootnoteAnchor"/>
          <w:rtl w:val="true"/>
        </w:rPr>
        <w:footnoteReference w:id="1973"/>
      </w:r>
      <w:r>
        <w:rPr>
          <w:rFonts w:ascii="Amiri" w:hAnsi="Amiri" w:eastAsia="Amiri" w:cs="Amiri"/>
          <w:color w:val="111111"/>
          <w:sz w:val="28"/>
          <w:sz w:val="28"/>
          <w:szCs w:val="28"/>
          <w:rtl w:val="true"/>
          <w:lang w:bidi="ar-SA"/>
        </w:rPr>
        <w:t xml:space="preserve">، و مثل ما ورد في من أوصى في سبيل اللّٰه من، أنه يصرف في الحج، معلّلا بأني لا أجد أفضل من الحج </w:t>
      </w:r>
      <w:r>
        <w:rPr>
          <w:rStyle w:val="FootnoteAnchor"/>
          <w:rtl w:val="true"/>
        </w:rPr>
        <w:footnoteReference w:id="1974"/>
      </w:r>
      <w:r>
        <w:rPr>
          <w:rFonts w:ascii="Amiri" w:hAnsi="Amiri" w:eastAsia="Amiri" w:cs="Amiri"/>
          <w:color w:val="111111"/>
          <w:sz w:val="28"/>
          <w:sz w:val="28"/>
          <w:szCs w:val="28"/>
          <w:rtl w:val="true"/>
          <w:lang w:bidi="ar-SA"/>
        </w:rPr>
        <w:t xml:space="preserve">، خلافا للمحكي عن المفيد </w:t>
      </w:r>
      <w:r>
        <w:rPr>
          <w:rStyle w:val="FootnoteAnchor"/>
          <w:rtl w:val="true"/>
        </w:rPr>
        <w:footnoteReference w:id="1975"/>
      </w:r>
      <w:r>
        <w:rPr>
          <w:rFonts w:ascii="IRNazanin" w:hAnsi="IRNazanin" w:eastAsia="IRNazanin"/>
          <w:color w:val="111111"/>
          <w:sz w:val="28"/>
          <w:sz w:val="28"/>
          <w:szCs w:val="28"/>
          <w:rtl w:val="true"/>
          <w:lang w:bidi="fa-IR"/>
        </w:rPr>
        <w:t xml:space="preserve">و سلار </w:t>
      </w:r>
      <w:r>
        <w:rPr>
          <w:rStyle w:val="FootnoteAnchor"/>
          <w:rtl w:val="true"/>
        </w:rPr>
        <w:footnoteReference w:id="1976"/>
      </w:r>
      <w:r>
        <w:rPr>
          <w:rFonts w:ascii="Amiri" w:hAnsi="Amiri" w:eastAsia="Amiri" w:cs="Amiri"/>
          <w:color w:val="111111"/>
          <w:sz w:val="28"/>
          <w:sz w:val="28"/>
          <w:szCs w:val="28"/>
          <w:rtl w:val="true"/>
          <w:lang w:bidi="ar-SA"/>
        </w:rPr>
        <w:t xml:space="preserve">و صاحب الإشارة </w:t>
      </w:r>
      <w:r>
        <w:rPr>
          <w:rStyle w:val="FootnoteAnchor"/>
          <w:rtl w:val="true"/>
        </w:rPr>
        <w:footnoteReference w:id="1977"/>
      </w:r>
      <w:r>
        <w:rPr>
          <w:rFonts w:ascii="Amiri" w:hAnsi="Amiri" w:eastAsia="Amiri" w:cs="Amiri"/>
          <w:color w:val="111111"/>
          <w:sz w:val="28"/>
          <w:sz w:val="28"/>
          <w:szCs w:val="28"/>
          <w:rtl w:val="true"/>
          <w:lang w:bidi="ar-SA"/>
        </w:rPr>
        <w:t xml:space="preserve">و الشيخ في النهاية </w:t>
      </w:r>
      <w:r>
        <w:rPr>
          <w:rStyle w:val="FootnoteAnchor"/>
          <w:rtl w:val="true"/>
        </w:rPr>
        <w:footnoteReference w:id="1978"/>
      </w:r>
      <w:r>
        <w:rPr>
          <w:rFonts w:ascii="IRNazanin" w:hAnsi="IRNazanin" w:eastAsia="IRNazanin"/>
          <w:color w:val="111111"/>
          <w:sz w:val="28"/>
          <w:sz w:val="28"/>
          <w:szCs w:val="28"/>
          <w:rtl w:val="true"/>
          <w:lang w:bidi="fa-IR"/>
        </w:rPr>
        <w:t>فخصّوه بالجهاد؛ لتبادره من اللفظ، و لبعض ما ورد</w:t>
      </w:r>
    </w:p>
    <w:p>
      <w:pPr>
        <w:pStyle w:val="BookText"/>
        <w:rPr/>
      </w:pPr>
      <w:r>
        <w:rPr>
          <w:rFonts w:ascii="Amiri" w:hAnsi="Amiri" w:eastAsia="Amiri" w:cs="Amiri"/>
          <w:color w:val="111111"/>
          <w:sz w:val="28"/>
          <w:sz w:val="28"/>
          <w:szCs w:val="28"/>
          <w:rtl w:val="true"/>
          <w:lang w:bidi="ar-SA"/>
        </w:rPr>
        <w:t xml:space="preserve">فيمن أوصى في سبيل اللّٰه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قد استثنى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و المحقّق الثانيان </w:t>
      </w:r>
      <w:r>
        <w:rPr>
          <w:rStyle w:val="FootnoteAnchor"/>
          <w:rtl w:val="true"/>
        </w:rPr>
        <w:footnoteReference w:id="1980"/>
      </w:r>
      <w:r>
        <w:rPr>
          <w:rFonts w:ascii="Amiri" w:hAnsi="Amiri" w:eastAsia="Amiri" w:cs="Amiri"/>
          <w:color w:val="111111"/>
          <w:sz w:val="28"/>
          <w:sz w:val="28"/>
          <w:szCs w:val="28"/>
          <w:rtl w:val="true"/>
          <w:lang w:bidi="ar-SA"/>
        </w:rPr>
        <w:t>من الموضوع المذكور ما يكون معونة لغني،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تقييده بما لا يكون معونة لغني مطلق بحيث لا يدخل في شي‌ء من الأصناف </w:t>
      </w:r>
      <w:r>
        <w:rPr>
          <w:rStyle w:val="FootnoteAnchor"/>
          <w:rtl w:val="true"/>
        </w:rPr>
        <w:footnoteReference w:id="1981"/>
      </w:r>
      <w:r>
        <w:rPr>
          <w:rFonts w:ascii="Amiri" w:hAnsi="Amiri" w:eastAsia="Amiri" w:cs="Amiri"/>
          <w:color w:val="111111"/>
          <w:sz w:val="28"/>
          <w:sz w:val="28"/>
          <w:szCs w:val="28"/>
          <w:rtl w:val="true"/>
          <w:lang w:bidi="ar-SA"/>
        </w:rPr>
        <w:t>الباقية فيشترط في الحاج و الزائر الفقر، أو كونه ابن السبيل أو ضيفا، و الفرق حينئذ بينهما و بين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الفقير لا يعطى الزكاة ليحج بها من حيث كونه فقيرا، و يعطى لكونه في سبيل اللّٰه </w:t>
      </w:r>
      <w:r>
        <w:rPr>
          <w:rStyle w:val="FootnoteAnchor"/>
          <w:rtl w:val="true"/>
        </w:rPr>
        <w:footnoteReference w:id="1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لما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الصدقة لا تحل لغني</w:t>
      </w:r>
      <w:r>
        <w:rPr>
          <w:rFonts w:eastAsia="Amiri" w:cs="Amiri" w:ascii="Amiri" w:hAnsi="Amiri"/>
          <w:color w:val="111111"/>
          <w:sz w:val="28"/>
          <w:szCs w:val="28"/>
          <w:rtl w:val="true"/>
          <w:lang w:bidi="ar-SA"/>
        </w:rPr>
        <w:t xml:space="preserve">» </w:t>
      </w:r>
      <w:r>
        <w:rPr>
          <w:rStyle w:val="FootnoteAnchor"/>
          <w:rtl w:val="true"/>
        </w:rPr>
        <w:footnoteReference w:id="1983"/>
      </w:r>
      <w:r>
        <w:rPr>
          <w:rFonts w:ascii="Amiri" w:hAnsi="Amiri" w:eastAsia="Amiri" w:cs="Amiri"/>
          <w:color w:val="111111"/>
          <w:sz w:val="28"/>
          <w:sz w:val="28"/>
          <w:szCs w:val="28"/>
          <w:rtl w:val="true"/>
          <w:lang w:bidi="ar-SA"/>
        </w:rPr>
        <w:t xml:space="preserve">حيث </w:t>
      </w:r>
      <w:r>
        <w:rPr>
          <w:rStyle w:val="FootnoteAnchor"/>
          <w:rtl w:val="true"/>
        </w:rPr>
        <w:footnoteReference w:id="1984"/>
      </w:r>
      <w:r>
        <w:rPr>
          <w:rFonts w:ascii="Amiri" w:hAnsi="Amiri" w:eastAsia="Amiri" w:cs="Amiri"/>
          <w:color w:val="111111"/>
          <w:sz w:val="28"/>
          <w:sz w:val="28"/>
          <w:szCs w:val="28"/>
          <w:rtl w:val="true"/>
          <w:lang w:bidi="ar-SA"/>
        </w:rPr>
        <w:t xml:space="preserve">أنها تعارض مع إطلاق في سبيل اللّٰه </w:t>
      </w:r>
      <w:r>
        <w:rPr>
          <w:rStyle w:val="FootnoteAnchor"/>
          <w:rtl w:val="true"/>
        </w:rPr>
        <w:footnoteReference w:id="1985"/>
      </w:r>
      <w:r>
        <w:rPr>
          <w:rFonts w:ascii="Amiri" w:hAnsi="Amiri" w:eastAsia="Amiri" w:cs="Amiri"/>
          <w:color w:val="111111"/>
          <w:sz w:val="28"/>
          <w:sz w:val="28"/>
          <w:szCs w:val="28"/>
          <w:rtl w:val="true"/>
          <w:lang w:bidi="ar-SA"/>
        </w:rPr>
        <w:t>بالعموم من وجه، فيرجع إلى عموم ما دلّ على اختصاص الزكاة بمصارف الفقير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الزكاة قوتا للفقراء</w:t>
      </w:r>
      <w:r>
        <w:rPr>
          <w:rFonts w:eastAsia="Amiri" w:cs="Amiri" w:ascii="Amiri" w:hAnsi="Amiri"/>
          <w:color w:val="111111"/>
          <w:sz w:val="28"/>
          <w:szCs w:val="28"/>
          <w:rtl w:val="true"/>
          <w:lang w:bidi="ar-SA"/>
        </w:rPr>
        <w:t xml:space="preserve">» </w:t>
      </w:r>
      <w:r>
        <w:rPr>
          <w:rStyle w:val="FootnoteAnchor"/>
          <w:rtl w:val="true"/>
        </w:rPr>
        <w:footnoteReference w:id="1986"/>
      </w:r>
      <w:r>
        <w:rPr>
          <w:rFonts w:ascii="IRNazanin" w:hAnsi="IRNazanin" w:eastAsia="IRNazanin"/>
          <w:color w:val="111111"/>
          <w:sz w:val="28"/>
          <w:sz w:val="28"/>
          <w:szCs w:val="28"/>
          <w:rtl w:val="true"/>
          <w:lang w:bidi="fa-IR"/>
        </w:rPr>
        <w:t xml:space="preserve">و ما دل </w:t>
      </w:r>
      <w:r>
        <w:rPr>
          <w:rStyle w:val="FootnoteAnchor"/>
          <w:rtl w:val="true"/>
        </w:rPr>
        <w:footnoteReference w:id="1987"/>
      </w:r>
      <w:r>
        <w:rPr>
          <w:rFonts w:ascii="Amiri" w:hAnsi="Amiri" w:eastAsia="Amiri" w:cs="Amiri"/>
          <w:color w:val="111111"/>
          <w:sz w:val="28"/>
          <w:sz w:val="28"/>
          <w:szCs w:val="28"/>
          <w:rtl w:val="true"/>
          <w:lang w:bidi="ar-SA"/>
        </w:rPr>
        <w:t xml:space="preserve">على شركة الفقراء المقتضية لعدم جواز صرفها في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وضع الزكاة للفقراء و سدّ الخلّة</w:t>
      </w:r>
      <w:r>
        <w:rPr>
          <w:rFonts w:eastAsia="Amiri" w:cs="Amiri" w:ascii="Amiri" w:hAnsi="Amiri"/>
          <w:color w:val="111111"/>
          <w:sz w:val="28"/>
          <w:szCs w:val="28"/>
          <w:rtl w:val="true"/>
          <w:lang w:bidi="ar-SA"/>
        </w:rPr>
        <w:t xml:space="preserve">] </w:t>
      </w:r>
      <w:r>
        <w:rPr>
          <w:rStyle w:val="FootnoteAnchor"/>
          <w:rtl w:val="true"/>
        </w:rPr>
        <w:footnoteReference w:id="1988"/>
      </w:r>
      <w:r>
        <w:rPr>
          <w:rFonts w:ascii="IRNazanin" w:hAnsi="IRNazanin" w:eastAsia="IRNazanin"/>
          <w:color w:val="111111"/>
          <w:sz w:val="28"/>
          <w:sz w:val="28"/>
          <w:szCs w:val="28"/>
          <w:rtl w:val="true"/>
          <w:lang w:bidi="fa-IR"/>
        </w:rPr>
        <w:t xml:space="preserve">خرج منه </w:t>
      </w:r>
      <w:r>
        <w:rPr>
          <w:rStyle w:val="FootnoteAnchor"/>
          <w:rtl w:val="true"/>
        </w:rPr>
        <w:footnoteReference w:id="1989"/>
      </w:r>
      <w:r>
        <w:rPr>
          <w:rFonts w:ascii="Amiri" w:hAnsi="Amiri" w:eastAsia="Amiri" w:cs="Amiri"/>
          <w:color w:val="111111"/>
          <w:sz w:val="28"/>
          <w:sz w:val="28"/>
          <w:szCs w:val="28"/>
          <w:rtl w:val="true"/>
          <w:lang w:bidi="ar-SA"/>
        </w:rPr>
        <w:t>ما خرج مثل الغازي و ابن السبيل و المؤلّفة و العاملين، و بقي الباقي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عدم حلّية الصدقة للغني عدم استحقاقه للزكاة استحقاقا</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استحقاق الفقير</w:t>
      </w:r>
      <w:r>
        <w:rPr>
          <w:rFonts w:eastAsia="Amiri" w:cs="Amiri" w:ascii="Amiri" w:hAnsi="Amiri"/>
          <w:color w:val="111111"/>
          <w:sz w:val="28"/>
          <w:szCs w:val="28"/>
          <w:rtl w:val="true"/>
          <w:lang w:bidi="ar-SA"/>
        </w:rPr>
        <w:t xml:space="preserve">] </w:t>
      </w:r>
      <w:r>
        <w:rPr>
          <w:rStyle w:val="FootnoteAnchor"/>
          <w:rtl w:val="true"/>
        </w:rPr>
        <w:footnoteReference w:id="1990"/>
      </w:r>
      <w:r>
        <w:rPr>
          <w:rFonts w:ascii="Amiri" w:hAnsi="Amiri" w:eastAsia="Amiri" w:cs="Amiri"/>
          <w:color w:val="111111"/>
          <w:sz w:val="28"/>
          <w:sz w:val="28"/>
          <w:szCs w:val="28"/>
          <w:rtl w:val="true"/>
          <w:lang w:bidi="ar-SA"/>
        </w:rPr>
        <w:t xml:space="preserve">، بل الاستحقاق المطلق بحسب أصل وضع الزكاة مختص بالفقراء إذ العاملون إنما يعطون من مال الفقراء على وجه الاستحقاق المطلق، و التملّك </w:t>
      </w:r>
      <w:r>
        <w:rPr>
          <w:rStyle w:val="FootnoteAnchor"/>
          <w:rtl w:val="true"/>
        </w:rPr>
        <w:footnoteReference w:id="1991"/>
      </w:r>
      <w:r>
        <w:rPr>
          <w:rFonts w:ascii="Amiri" w:hAnsi="Amiri" w:eastAsia="Amiri" w:cs="Amiri"/>
          <w:color w:val="111111"/>
          <w:sz w:val="28"/>
          <w:sz w:val="28"/>
          <w:szCs w:val="28"/>
          <w:rtl w:val="true"/>
          <w:lang w:bidi="ar-SA"/>
        </w:rPr>
        <w:t xml:space="preserve">بإزاء جمعهم لذلك المال، فليس استحقاقهم المطلق لحصة من الزكاة إلّا متفرعا على استحقاق الفقراء لجميعها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المؤلّفة فاستحقاقهم المطلق أيضا لمصلحة ترجع إلى الفقراء، و إن عمّ غيرهم، فبقي ممن عدا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 و سبيل اللّٰه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انهم ما يستحقون الزكاة استحقاقا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استحقاق الأربعة السابقة، بل إنما تدفع إليهم ليصرفوها في مصرف خاص، ترتجع منهم لو فات ذلك المصرف أو صرفوها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الغارم و العامل، و سيجي‌ء في ابن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فإعطاء الغني ليصرفه في سبيل اللّٰه من هذا القبيل</w:t>
      </w:r>
      <w:r>
        <w:rPr>
          <w:rFonts w:eastAsia="Amiri" w:cs="Amiri" w:ascii="Amiri" w:hAnsi="Amiri"/>
          <w:color w:val="111111"/>
          <w:sz w:val="28"/>
          <w:szCs w:val="28"/>
          <w:rtl w:val="true"/>
          <w:lang w:bidi="ar-SA"/>
        </w:rPr>
        <w:t xml:space="preserve">] </w:t>
      </w:r>
      <w:r>
        <w:rPr>
          <w:rStyle w:val="FootnoteAnchor"/>
          <w:rtl w:val="true"/>
        </w:rPr>
        <w:footnoteReference w:id="1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التأمّل فيما يدلّ عليه أخبار حرمة الصدقة على الغني </w:t>
      </w:r>
      <w:r>
        <w:rPr>
          <w:rStyle w:val="FootnoteAnchor"/>
          <w:rtl w:val="true"/>
        </w:rPr>
        <w:footnoteReference w:id="1994"/>
      </w:r>
      <w:r>
        <w:rPr>
          <w:rFonts w:ascii="IRNazanin" w:hAnsi="IRNazanin" w:eastAsia="IRNazanin"/>
          <w:color w:val="111111"/>
          <w:sz w:val="28"/>
          <w:sz w:val="28"/>
          <w:szCs w:val="28"/>
          <w:rtl w:val="true"/>
          <w:lang w:bidi="fa-IR"/>
        </w:rPr>
        <w:t xml:space="preserve">انّ المراد منها حرمتها </w:t>
      </w:r>
      <w:r>
        <w:rPr>
          <w:rStyle w:val="FootnoteAnchor"/>
          <w:rtl w:val="true"/>
        </w:rPr>
        <w:footnoteReference w:id="1995"/>
      </w:r>
      <w:r>
        <w:rPr>
          <w:rFonts w:ascii="Amiri" w:hAnsi="Amiri" w:eastAsia="Amiri" w:cs="Amiri"/>
          <w:color w:val="111111"/>
          <w:sz w:val="28"/>
          <w:sz w:val="28"/>
          <w:szCs w:val="28"/>
          <w:rtl w:val="true"/>
          <w:lang w:bidi="ar-SA"/>
        </w:rPr>
        <w:t xml:space="preserve">على من هو غني عنها في المصرف الذي يعطى لأجله، فلا يجوز </w:t>
      </w:r>
      <w:r>
        <w:rPr>
          <w:rStyle w:val="FootnoteAnchor"/>
          <w:rtl w:val="true"/>
        </w:rPr>
        <w:footnoteReference w:id="1996"/>
      </w:r>
      <w:r>
        <w:rPr>
          <w:rFonts w:ascii="Amiri" w:hAnsi="Amiri" w:eastAsia="Amiri" w:cs="Amiri"/>
          <w:color w:val="111111"/>
          <w:sz w:val="28"/>
          <w:sz w:val="28"/>
          <w:szCs w:val="28"/>
          <w:rtl w:val="true"/>
          <w:lang w:bidi="ar-SA"/>
        </w:rPr>
        <w:t xml:space="preserve">دفع الزكاة للمعاش </w:t>
      </w:r>
      <w:r>
        <w:rPr>
          <w:rStyle w:val="FootnoteAnchor"/>
          <w:rtl w:val="true"/>
        </w:rPr>
        <w:footnoteReference w:id="1997"/>
      </w:r>
      <w:r>
        <w:rPr>
          <w:rFonts w:ascii="Amiri" w:hAnsi="Amiri" w:eastAsia="Amiri" w:cs="Amiri"/>
          <w:color w:val="111111"/>
          <w:sz w:val="28"/>
          <w:sz w:val="28"/>
          <w:szCs w:val="28"/>
          <w:rtl w:val="true"/>
          <w:lang w:bidi="ar-SA"/>
        </w:rPr>
        <w:t>إلى من هو غني عنه في جهة المعاش، و لا للدين إلى من هو قادر على أداء الدين، و لا للصرف في سبيل اللّٰه إلى من يقدر عليه بدون الزكاة، و سيجي‌ء إنّ هذا عين المختار من اعتبار الحاجة</w:t>
      </w:r>
      <w:r>
        <w:rPr>
          <w:rFonts w:eastAsia="Amiri" w:cs="Amiri" w:ascii="Amiri" w:hAnsi="Amiri"/>
          <w:color w:val="111111"/>
          <w:sz w:val="28"/>
          <w:szCs w:val="28"/>
          <w:rtl w:val="true"/>
          <w:lang w:bidi="ar-SA"/>
        </w:rPr>
        <w:t xml:space="preserve">]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الأخبار المخصصة للزكاة بالفقراء و أنّ اللّٰه شرّك بين الفقراء و الأغنياء في أموالهم فليس لهم أن يصرفوها الى غير شركائهم، و غير ذلك مما ظاهرها، بل صريحها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الدفع الى غير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عدم تملك غير الفقير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مخصصة بعموم أدلّة سبيل اللّٰه</w:t>
      </w:r>
      <w:r>
        <w:rPr>
          <w:rFonts w:eastAsia="Amiri" w:cs="Amiri" w:ascii="Amiri" w:hAnsi="Amiri"/>
          <w:color w:val="111111"/>
          <w:sz w:val="28"/>
          <w:szCs w:val="28"/>
          <w:rtl w:val="true"/>
          <w:lang w:bidi="ar-SA"/>
        </w:rPr>
        <w:t xml:space="preserve">]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يستفاد من مرسلة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Style w:val="FootnoteAnchor"/>
          <w:rtl w:val="true"/>
        </w:rPr>
        <w:footnoteReference w:id="2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حاجة المدفوع إليه في تحصيل ما يفعله إن كان مالكا لمئونة سنته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الإنصاف ان الاستدلال بها مشكل؛ لتضمنها اعتبار العجز في المجاهد مع عدم اعتباره فيه اتفاقا، و جعل هذا من قبيل العمل بجزء الرواية و طرح جزئها الآخر بعيد جدا، بل يمكن حملها على بيان التمثيل و ذكر المصرف الأهم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الاستدلال بوجوه أخر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الذي ذكرناه أخيرا من أن المراد حرمة أخذها و إعطائها للمصرف الذي لا يحتاج فيه إليها، فإعطاء الغارم و المكاتب و الحاج القادرين على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العاجزين عن أداء الدين و مال الكتابة و نفقة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لهم أخذ الزكاة و لا إعطائهم لأجل المعيشة، و يحل لأجل ما هم يفتقرون فيه إليها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أحكام الأرضين من أن الامام عليه السلام</w:t>
      </w:r>
    </w:p>
    <w:p>
      <w:pPr>
        <w:pStyle w:val="BookText"/>
        <w:rPr/>
      </w:pPr>
      <w:r>
        <w:rPr>
          <w:rFonts w:ascii="Amiri" w:hAnsi="Amiri" w:eastAsia="Amiri" w:cs="Amiri"/>
          <w:color w:val="111111"/>
          <w:sz w:val="28"/>
          <w:sz w:val="28"/>
          <w:szCs w:val="28"/>
          <w:rtl w:val="true"/>
          <w:lang w:bidi="ar-SA"/>
        </w:rPr>
        <w:t xml:space="preserve">يقسّم الزكاة على الأصناف بقدر ما يستغنون به </w:t>
      </w:r>
      <w:r>
        <w:rPr>
          <w:rStyle w:val="FootnoteAnchor"/>
          <w:rtl w:val="true"/>
        </w:rPr>
        <w:footnoteReference w:id="2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هذا الكلام عدم حصول الغنى قبل دفع الزكاة، و إلّا لم يكن الاستغناء بها،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اعتبار العجز عن أداء الدين في إعطاء المديون الحيّ و الميت و المنع عن إعطاء 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حسنة زرارة بابن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حلّت عليه الزكاة و مات أبوه و عليه دين أ يؤدّي زكاته في دين أبيه و للابن مال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أبوه أورثه مالا ثم ظهر عليه دين لم يعلم به يومئذ فيقضيه عنه، قضاه من جميع الميراث و لم يقضه من الزكاة، و إن لم يكن أورثه مالا لم يكن أحد أحق بزكاته من دين أبيه، فإذا أدّاها في دين أبيه على هذه الحال أجزأت عنه</w:t>
      </w:r>
      <w:r>
        <w:rPr>
          <w:rFonts w:eastAsia="Amiri" w:cs="Amiri" w:ascii="Amiri" w:hAnsi="Amiri"/>
          <w:color w:val="111111"/>
          <w:sz w:val="28"/>
          <w:szCs w:val="28"/>
          <w:rtl w:val="true"/>
          <w:lang w:bidi="ar-SA"/>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4"/>
      </w:r>
      <w:r>
        <w:rPr>
          <w:rFonts w:ascii="Amiri" w:hAnsi="Amiri" w:eastAsia="Amiri" w:cs="Amiri"/>
          <w:color w:val="111111"/>
          <w:sz w:val="28"/>
          <w:sz w:val="28"/>
          <w:szCs w:val="28"/>
          <w:rtl w:val="true"/>
          <w:lang w:bidi="ar-SA"/>
        </w:rPr>
        <w:t>فإن المنع المطلق ظاهر في عدم جواز الدفع إليه و لو من سهم في سبيل اللّٰه، و إلا فلا وجه للمنع مع وجود سبب الجواز</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اعتبار 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الغارم في المنع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بخلوّ الكلام عن الإشارة إليها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الفائدة في المقام للحكم بالمنع مقيدا بحيثيته مع وجود حيثية</w:t>
      </w:r>
      <w:r>
        <w:rPr>
          <w:rFonts w:eastAsia="Amiri" w:cs="Amiri" w:ascii="Amiri" w:hAnsi="Amiri"/>
          <w:color w:val="111111"/>
          <w:sz w:val="28"/>
          <w:szCs w:val="28"/>
          <w:rtl w:val="true"/>
          <w:lang w:bidi="ar-SA"/>
        </w:rPr>
        <w:t xml:space="preserve">] </w:t>
      </w:r>
      <w:r>
        <w:rPr>
          <w:rStyle w:val="FootnoteAnchor"/>
          <w:rtl w:val="true"/>
        </w:rPr>
        <w:footnoteReference w:id="2005"/>
      </w:r>
      <w:r>
        <w:rPr>
          <w:rFonts w:ascii="Amiri" w:hAnsi="Amiri" w:eastAsia="Amiri" w:cs="Amiri"/>
          <w:color w:val="111111"/>
          <w:sz w:val="28"/>
          <w:sz w:val="28"/>
          <w:szCs w:val="28"/>
          <w:rtl w:val="true"/>
          <w:lang w:bidi="ar-SA"/>
        </w:rPr>
        <w:t>أخرى مستقلّة في سببيّة الجواز، فهو بمنزلة أن يمنع من إكرام زيد من حيث فسقه مع وجود صفة العلم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كونها علّة مستقلّة في جواز الإكرام حتى مع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استمرار السيرة على النكير على من صرف الزكاة في معونة </w:t>
      </w:r>
      <w:r>
        <w:rPr>
          <w:rStyle w:val="FootnoteAnchor"/>
          <w:rtl w:val="true"/>
        </w:rPr>
        <w:footnoteReference w:id="2006"/>
      </w:r>
      <w:r>
        <w:rPr>
          <w:rFonts w:ascii="Amiri" w:hAnsi="Amiri" w:eastAsia="Amiri" w:cs="Amiri"/>
          <w:color w:val="111111"/>
          <w:sz w:val="28"/>
          <w:sz w:val="28"/>
          <w:szCs w:val="28"/>
          <w:rtl w:val="true"/>
          <w:lang w:bidi="ar-SA"/>
        </w:rPr>
        <w:t>الأغنياء كإطعامهم، و الإهداء إليهم بقصد القربة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 من اعتبار الاحتياج في ذلك السبيل إنما هو إذا قصد بالدفع مجرّد إعانة الفاعل كالحاج و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 نفس الإعانة من السبيل، و أما إذا قصد حصول ذلك الفعل في الخارج من حيث انه سبيل من السبل ليصير أن يشترك بماله مع الفاعل ببدنه، فالظاهر عدم اعتبار الاحتياج هنا؛ لأن الإنفاق على ذلك الفعل بمنزلة الإنفاق على بناء المساجد و الربط، فصرف المال في مئونة الزائر لتحصل الزيارة التي هي من سبل الخير كصرف المال في آلات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نفقة العملة</w:t>
      </w:r>
      <w:r>
        <w:rPr>
          <w:rFonts w:eastAsia="Amiri" w:cs="Amiri" w:ascii="Amiri" w:hAnsi="Amiri"/>
          <w:color w:val="111111"/>
          <w:sz w:val="28"/>
          <w:szCs w:val="28"/>
          <w:rtl w:val="true"/>
          <w:lang w:bidi="ar-SA"/>
        </w:rPr>
        <w:t xml:space="preserve">] </w:t>
      </w:r>
      <w:r>
        <w:rPr>
          <w:rStyle w:val="FootnoteAnchor"/>
          <w:rtl w:val="true"/>
        </w:rPr>
        <w:footnoteReference w:id="2007"/>
      </w:r>
      <w:r>
        <w:rPr>
          <w:rFonts w:ascii="Amiri" w:hAnsi="Amiri" w:eastAsia="Amiri" w:cs="Amiri"/>
          <w:color w:val="111111"/>
          <w:sz w:val="28"/>
          <w:sz w:val="28"/>
          <w:szCs w:val="28"/>
          <w:rtl w:val="true"/>
          <w:lang w:bidi="ar-SA"/>
        </w:rPr>
        <w:t xml:space="preserve">للبنّاء الذي يبنى المسجد تبرعا بقصد القربة، فهو مأجور بعمله و هذا بماله، و لا يخفى على أدنى متأمّل أنّ هذا لا ينافي ما دلّ على حرمة الصدقة على الأغنياء؛ لأن المزكي لم يصرف الصدقة إلّا في تحصيل جهة خاصة كان لفعل الغني مدخل فيها و ليس تصدقا على الغني، و لذا لو فضل عن مئونة العمل شي‌ء يجب ردّه الى المزكي أو صرفه </w:t>
      </w:r>
      <w:r>
        <w:rPr>
          <w:rStyle w:val="FootnoteAnchor"/>
          <w:rtl w:val="true"/>
        </w:rPr>
        <w:footnoteReference w:id="2008"/>
      </w:r>
      <w:r>
        <w:rPr>
          <w:rFonts w:ascii="Amiri" w:hAnsi="Amiri" w:eastAsia="Amiri" w:cs="Amiri"/>
          <w:color w:val="111111"/>
          <w:sz w:val="28"/>
          <w:sz w:val="28"/>
          <w:szCs w:val="28"/>
          <w:rtl w:val="true"/>
          <w:lang w:bidi="ar-SA"/>
        </w:rPr>
        <w:t>الى مصارف أخر للزكاة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السبيل المصروف فيه </w:t>
      </w:r>
      <w:r>
        <w:rPr>
          <w:rStyle w:val="FootnoteAnchor"/>
          <w:rtl w:val="true"/>
        </w:rPr>
        <w:footnoteReference w:id="2009"/>
      </w:r>
      <w:r>
        <w:rPr>
          <w:rFonts w:ascii="Amiri" w:hAnsi="Amiri" w:eastAsia="Amiri" w:cs="Amiri"/>
          <w:color w:val="111111"/>
          <w:sz w:val="28"/>
          <w:sz w:val="28"/>
          <w:szCs w:val="28"/>
          <w:rtl w:val="true"/>
          <w:lang w:bidi="ar-SA"/>
        </w:rPr>
        <w:t>الزكاة قد يجعل نفس إعانة الغني؛ لأنه من الأمور الراجحة، و قد يجعل نفس الفعل، و الذي اعتبرنا فيه الحاجة هو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حكمهم بأنه يعطى الغازي من الزكاة و إن كان غنيا إنما ينافي ما دلّ على عدم حلّية الصدقة للغني إذا كان الدفع من باب معونة الغازي، و أما إذا كان من باب حصول دفع العدوّ الحاصل من مال المزكّي و بدن الغازي، فليس فيه منافاة للأدلّة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يجوز دفع الزكاة إلى الهاشمي على الوجه الثاني الذي جوّز في الغني؛ لأنه ليس تصدقا عليه بل هو اشتراك معه في إيجاد سبب الفعل الذي هو من السبل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أدلة تحريم الصدقة على بني هاشم دلّت على حرمة تقلّبهم و تصرّفهم فيها؛ لأنّها أوساخ الناس، لقلنا بكونهم كالأغنياء و واجبي النفقة في أن الحرام هو سدّ خلّتهم من الزكاة </w:t>
      </w:r>
      <w:r>
        <w:rPr>
          <w:rStyle w:val="FootnoteAnchor"/>
          <w:rtl w:val="true"/>
        </w:rPr>
        <w:footnoteReference w:id="2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011"/>
      </w:r>
      <w:r>
        <w:rPr>
          <w:rFonts w:ascii="Amiri" w:hAnsi="Amiri" w:eastAsia="Amiri" w:cs="Amiri"/>
          <w:color w:val="111111"/>
          <w:sz w:val="28"/>
          <w:sz w:val="28"/>
          <w:szCs w:val="28"/>
          <w:rtl w:val="true"/>
          <w:lang w:bidi="ar-SA"/>
        </w:rPr>
        <w:t>صرف الزكاة بتوسطهم الى سبيل باشروه بأبدانهم، فالمانع هو ما ذكرنا، و لذا لا يعطون من نصيب العاملين و لا الغارمين مع أن مالكي قوت السنة و واجبي النفقة يعطون من هذين النصيبين</w:t>
      </w:r>
      <w:r>
        <w:rPr>
          <w:rFonts w:eastAsia="Amiri" w:cs="Amiri" w:ascii="Amiri" w:hAnsi="Amiri"/>
          <w:color w:val="111111"/>
          <w:sz w:val="28"/>
          <w:szCs w:val="28"/>
          <w:rtl w:val="true"/>
          <w:lang w:bidi="ar-SA"/>
        </w:rPr>
        <w:t>.</w:t>
      </w:r>
      <w:bookmarkStart w:id="135" w:name="pg19722_766384"/>
    </w:p>
    <w:p>
      <w:pPr>
        <w:pStyle w:val="Heading4"/>
        <w:numPr>
          <w:ilvl w:val="3"/>
          <w:numId w:val="1"/>
        </w:numPr>
        <w:rPr/>
      </w:pPr>
      <w:bookmarkStart w:id="136" w:name="__RefHeading___Toc2136370_2314609296"/>
      <w:bookmarkStart w:id="137" w:name="_Toc47"/>
      <w:bookmarkEnd w:id="135"/>
      <w:bookmarkEnd w:id="136"/>
      <w:r>
        <w:rPr>
          <w:rtl w:val="true"/>
        </w:rPr>
        <w:t xml:space="preserve">مسألة </w:t>
      </w:r>
      <w:r>
        <w:rPr>
          <w:rtl w:val="true"/>
        </w:rPr>
        <w:t>[</w:t>
      </w:r>
      <w:r>
        <w:rPr/>
        <w:t>38</w:t>
      </w:r>
      <w:r>
        <w:rPr>
          <w:rtl w:val="true"/>
        </w:rPr>
        <w:t>]</w:t>
      </w:r>
      <w:bookmarkEnd w:id="137"/>
    </w:p>
    <w:p>
      <w:pPr>
        <w:pStyle w:val="BookText"/>
        <w:rPr/>
      </w:pPr>
      <w:r>
        <w:rPr>
          <w:rFonts w:ascii="Amiri" w:hAnsi="Amiri" w:eastAsia="Amiri" w:cs="Amiri"/>
          <w:color w:val="111111"/>
          <w:sz w:val="28"/>
          <w:sz w:val="28"/>
          <w:szCs w:val="28"/>
          <w:rtl w:val="true"/>
          <w:lang w:bidi="ar-SA"/>
        </w:rPr>
        <w:t xml:space="preserve">لا إشكال في عدم أجزاء </w:t>
      </w:r>
      <w:r>
        <w:rPr>
          <w:rStyle w:val="FootnoteAnchor"/>
          <w:rtl w:val="true"/>
        </w:rPr>
        <w:footnoteReference w:id="2012"/>
      </w:r>
      <w:r>
        <w:rPr>
          <w:rFonts w:ascii="Amiri" w:hAnsi="Amiri" w:eastAsia="Amiri" w:cs="Amiri"/>
          <w:color w:val="111111"/>
          <w:sz w:val="28"/>
          <w:sz w:val="28"/>
          <w:szCs w:val="28"/>
          <w:rtl w:val="true"/>
          <w:lang w:bidi="ar-SA"/>
        </w:rPr>
        <w:t xml:space="preserve">دفع الزكاة إلى مخالفي الإمامية في الاعتقاد، و دعوى الإجماع به كالنصوص مستفيضة </w:t>
      </w:r>
      <w:r>
        <w:rPr>
          <w:rStyle w:val="FootnoteAnchor"/>
          <w:rtl w:val="true"/>
        </w:rPr>
        <w:footnoteReference w:id="2013"/>
      </w:r>
      <w:r>
        <w:rPr>
          <w:rFonts w:ascii="Amiri" w:hAnsi="Amiri" w:eastAsia="Amiri" w:cs="Amiri"/>
          <w:color w:val="111111"/>
          <w:sz w:val="28"/>
          <w:sz w:val="28"/>
          <w:szCs w:val="28"/>
          <w:rtl w:val="true"/>
          <w:lang w:bidi="ar-SA"/>
        </w:rPr>
        <w:t xml:space="preserve">، و علل في بعض الأخبار المنع عن إعطاء الواقفة بأنهم كفار مشركون زنادقة </w:t>
      </w:r>
      <w:r>
        <w:rPr>
          <w:rStyle w:val="FootnoteAnchor"/>
          <w:rtl w:val="true"/>
        </w:rPr>
        <w:footnoteReference w:id="2014"/>
      </w:r>
      <w:r>
        <w:rPr>
          <w:rFonts w:ascii="Amiri" w:hAnsi="Amiri" w:eastAsia="Amiri" w:cs="Amiri"/>
          <w:color w:val="111111"/>
          <w:sz w:val="28"/>
          <w:sz w:val="28"/>
          <w:szCs w:val="28"/>
          <w:rtl w:val="true"/>
          <w:lang w:bidi="ar-SA"/>
        </w:rPr>
        <w:t xml:space="preserve">، و عن إعطاء الزيدية بأنهم النصّاب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إشكال في استثناء المؤلّفة من مستحقّي الزكاة و إن كان المحكيّ عن جماعة إطلاق المنع </w:t>
      </w:r>
      <w:r>
        <w:rPr>
          <w:rStyle w:val="FootnoteAnchor"/>
          <w:rtl w:val="true"/>
        </w:rPr>
        <w:footnoteReference w:id="2016"/>
      </w:r>
      <w:r>
        <w:rPr>
          <w:rFonts w:ascii="Amiri" w:hAnsi="Amiri" w:eastAsia="Amiri" w:cs="Amiri"/>
          <w:color w:val="111111"/>
          <w:sz w:val="28"/>
          <w:sz w:val="28"/>
          <w:szCs w:val="28"/>
          <w:rtl w:val="true"/>
          <w:lang w:bidi="ar-SA"/>
        </w:rPr>
        <w:t xml:space="preserve">، و في المسالك </w:t>
      </w:r>
      <w:r>
        <w:rPr>
          <w:rStyle w:val="FootnoteAnchor"/>
          <w:rtl w:val="true"/>
        </w:rPr>
        <w:footnoteReference w:id="2017"/>
      </w:r>
      <w:r>
        <w:rPr>
          <w:rFonts w:ascii="Amiri" w:hAnsi="Amiri" w:eastAsia="Amiri" w:cs="Amiri"/>
          <w:color w:val="111111"/>
          <w:sz w:val="28"/>
          <w:sz w:val="28"/>
          <w:szCs w:val="28"/>
          <w:rtl w:val="true"/>
          <w:lang w:bidi="ar-SA"/>
        </w:rPr>
        <w:t xml:space="preserve">و المدارك </w:t>
      </w:r>
      <w:r>
        <w:rPr>
          <w:rStyle w:val="FootnoteAnchor"/>
          <w:rtl w:val="true"/>
        </w:rPr>
        <w:footnoteReference w:id="2018"/>
      </w:r>
      <w:r>
        <w:rPr>
          <w:rFonts w:ascii="Amiri" w:hAnsi="Amiri" w:eastAsia="Amiri" w:cs="Amiri"/>
          <w:color w:val="111111"/>
          <w:sz w:val="28"/>
          <w:sz w:val="28"/>
          <w:szCs w:val="28"/>
          <w:rtl w:val="true"/>
          <w:lang w:bidi="ar-SA"/>
        </w:rPr>
        <w:t>إلحاق بعض أفراد سبيل اللّٰه، و لعلهما أرادا مثل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الوسيلة </w:t>
      </w:r>
      <w:r>
        <w:rPr>
          <w:rStyle w:val="FootnoteAnchor"/>
          <w:rtl w:val="true"/>
        </w:rPr>
        <w:footnoteReference w:id="2019"/>
      </w:r>
      <w:r>
        <w:rPr>
          <w:rFonts w:ascii="Amiri" w:hAnsi="Amiri" w:eastAsia="Amiri" w:cs="Amiri"/>
          <w:color w:val="111111"/>
          <w:sz w:val="28"/>
          <w:sz w:val="28"/>
          <w:szCs w:val="28"/>
          <w:rtl w:val="true"/>
          <w:lang w:bidi="ar-SA"/>
        </w:rPr>
        <w:t>و ليس مرادهما ما لو كان المصرف غير متعلق بشخص كبناء المساجد و القناطر و غيرهما، مما لا يتصور</w:t>
      </w:r>
    </w:p>
    <w:p>
      <w:pPr>
        <w:pStyle w:val="BookText"/>
        <w:rPr/>
      </w:pPr>
      <w:r>
        <w:rPr>
          <w:rFonts w:ascii="Amiri" w:hAnsi="Amiri" w:eastAsia="Amiri" w:cs="Amiri"/>
          <w:color w:val="111111"/>
          <w:sz w:val="28"/>
          <w:sz w:val="28"/>
          <w:szCs w:val="28"/>
          <w:rtl w:val="true"/>
          <w:lang w:bidi="ar-SA"/>
        </w:rPr>
        <w:t xml:space="preserve">فيه اشتراط الايمان، كما صرح به الشهيد في نكت الإرشاد </w:t>
      </w:r>
      <w:r>
        <w:rPr>
          <w:rStyle w:val="FootnoteAnchor"/>
          <w:rtl w:val="true"/>
        </w:rPr>
        <w:footnoteReference w:id="2020"/>
      </w:r>
      <w:r>
        <w:rPr>
          <w:rFonts w:ascii="Amiri" w:hAnsi="Amiri" w:eastAsia="Amiri" w:cs="Amiri"/>
          <w:color w:val="111111"/>
          <w:sz w:val="28"/>
          <w:sz w:val="28"/>
          <w:szCs w:val="28"/>
          <w:rtl w:val="true"/>
          <w:lang w:bidi="ar-SA"/>
        </w:rPr>
        <w:t xml:space="preserve">لأن هذا ليس قابلا للاستثناء من عبارة الشرائع </w:t>
      </w:r>
      <w:r>
        <w:rPr>
          <w:rStyle w:val="FootnoteAnchor"/>
          <w:rtl w:val="true"/>
        </w:rPr>
        <w:footnoteReference w:id="2021"/>
      </w:r>
      <w:r>
        <w:rPr>
          <w:rFonts w:ascii="Amiri" w:hAnsi="Amiri" w:eastAsia="Amiri" w:cs="Amiri"/>
          <w:color w:val="111111"/>
          <w:sz w:val="28"/>
          <w:sz w:val="28"/>
          <w:szCs w:val="28"/>
          <w:rtl w:val="true"/>
          <w:lang w:bidi="ar-SA"/>
        </w:rPr>
        <w:t xml:space="preserve">و في كلام بعض مشايخنا المعاصرين </w:t>
      </w:r>
      <w:r>
        <w:rPr>
          <w:rStyle w:val="FootnoteAnchor"/>
          <w:rtl w:val="true"/>
        </w:rPr>
        <w:footnoteReference w:id="2022"/>
      </w:r>
      <w:r>
        <w:rPr>
          <w:rFonts w:ascii="Amiri" w:hAnsi="Amiri" w:eastAsia="Amiri" w:cs="Amiri"/>
          <w:color w:val="111111"/>
          <w:sz w:val="28"/>
          <w:sz w:val="28"/>
          <w:szCs w:val="28"/>
          <w:rtl w:val="true"/>
          <w:lang w:bidi="ar-SA"/>
        </w:rPr>
        <w:t xml:space="preserve">استثناء مطلق سبيل اللّٰه، و عن الغنية </w:t>
      </w:r>
      <w:r>
        <w:rPr>
          <w:rStyle w:val="FootnoteAnchor"/>
          <w:rtl w:val="true"/>
        </w:rPr>
        <w:footnoteReference w:id="2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العاملين بالمؤلفة، و ينسب إلى ظاهر الشرائع </w:t>
      </w:r>
      <w:r>
        <w:rPr>
          <w:rStyle w:val="FootnoteAnchor"/>
          <w:rtl w:val="true"/>
        </w:rPr>
        <w:footnoteReference w:id="2024"/>
      </w:r>
      <w:r>
        <w:rPr>
          <w:rFonts w:ascii="IRNazanin" w:hAnsi="IRNazanin" w:eastAsia="IRNazanin"/>
          <w:color w:val="111111"/>
          <w:sz w:val="28"/>
          <w:sz w:val="28"/>
          <w:szCs w:val="28"/>
          <w:rtl w:val="true"/>
          <w:lang w:bidi="fa-IR"/>
        </w:rPr>
        <w:t xml:space="preserve">و النافع </w:t>
      </w:r>
      <w:r>
        <w:rPr>
          <w:rStyle w:val="FootnoteAnchor"/>
          <w:rtl w:val="true"/>
        </w:rPr>
        <w:footnoteReference w:id="2025"/>
      </w:r>
      <w:r>
        <w:rPr>
          <w:rFonts w:ascii="Amiri" w:hAnsi="Amiri" w:eastAsia="Amiri" w:cs="Amiri"/>
          <w:color w:val="111111"/>
          <w:sz w:val="28"/>
          <w:sz w:val="28"/>
          <w:szCs w:val="28"/>
          <w:rtl w:val="true"/>
          <w:lang w:bidi="ar-SA"/>
        </w:rPr>
        <w:t xml:space="preserve">و التبصرة </w:t>
      </w:r>
      <w:r>
        <w:rPr>
          <w:rStyle w:val="FootnoteAnchor"/>
          <w:rtl w:val="true"/>
        </w:rPr>
        <w:footnoteReference w:id="2026"/>
      </w:r>
      <w:r>
        <w:rPr>
          <w:rFonts w:ascii="Amiri" w:hAnsi="Amiri" w:eastAsia="Amiri" w:cs="Amiri"/>
          <w:color w:val="111111"/>
          <w:sz w:val="28"/>
          <w:sz w:val="28"/>
          <w:szCs w:val="28"/>
          <w:rtl w:val="true"/>
          <w:lang w:bidi="ar-SA"/>
        </w:rPr>
        <w:t xml:space="preserve">و الرسالة الغرية </w:t>
      </w:r>
      <w:r>
        <w:rPr>
          <w:rStyle w:val="FootnoteAnchor"/>
          <w:rtl w:val="true"/>
        </w:rPr>
        <w:footnoteReference w:id="2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هذا الشرط بالفقراء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أخبار المنع هو النهي عن سد خلّة المخالفين بالزكاة، فلا فرق بين الفقراء و المساكين و الغارمين وَ فِي الرِّقٰابِ و ابن السبيل و فِي سَبِيلِ اللّٰهِ، إذا جعل السبيل نفس إعانة المخالف التي هي في نفسه من الراجحات من باب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كبد حرى أجرا</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المؤلفة فلا ريب في عدم اعتبار الإسلام فيه فضلا عن الإيمان؛ لأن اعطاءهم ليس من باب الإعانة و سد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سهم العاملين فلا يجوز أيضا؛ بناء على اشتراط العدالة كما ادعي </w:t>
      </w:r>
      <w:r>
        <w:rPr>
          <w:rStyle w:val="FootnoteAnchor"/>
          <w:rtl w:val="true"/>
        </w:rPr>
        <w:footnoteReference w:id="2029"/>
      </w:r>
      <w:r>
        <w:rPr>
          <w:rFonts w:ascii="Amiri" w:hAnsi="Amiri" w:eastAsia="Amiri" w:cs="Amiri"/>
          <w:color w:val="111111"/>
          <w:sz w:val="28"/>
          <w:sz w:val="28"/>
          <w:szCs w:val="28"/>
          <w:rtl w:val="true"/>
          <w:lang w:bidi="ar-SA"/>
        </w:rPr>
        <w:t>الإجماع عليه، و لو فرض القول بعدمه فالظاهر انّه لا بأس بإعطائه؛ لأنّه في معنى الأجرة و ليس لمجرّد الإعانة و سدّ الخلّة، و لذا يعطى مع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سبيل اللّٰه فقد عرفت المنع من إعانتهم و سدّ خلّتهم من الزكاة، و أما إذا أريد به مجرّد وجود الفعل الذي هو السبيل، فإن كان ذلك الفعل </w:t>
      </w:r>
      <w:r>
        <w:rPr>
          <w:rStyle w:val="FootnoteAnchor"/>
          <w:rtl w:val="true"/>
        </w:rPr>
        <w:footnoteReference w:id="2030"/>
      </w:r>
      <w:r>
        <w:rPr>
          <w:rFonts w:ascii="Amiri" w:hAnsi="Amiri" w:eastAsia="Amiri" w:cs="Amiri"/>
          <w:color w:val="111111"/>
          <w:sz w:val="28"/>
          <w:sz w:val="28"/>
          <w:szCs w:val="28"/>
          <w:rtl w:val="true"/>
          <w:lang w:bidi="ar-SA"/>
        </w:rPr>
        <w:t xml:space="preserve">مع مباشرة المخالف له سبيلا و قربة بأن لم يكن من العبادات، بل كان من الأمور المحصّلة للغرض من أي فاعل صدرت </w:t>
      </w:r>
      <w:r>
        <w:rPr>
          <w:rStyle w:val="FootnoteAnchor"/>
          <w:rtl w:val="true"/>
        </w:rPr>
        <w:footnoteReference w:id="2031"/>
      </w:r>
      <w:r>
        <w:rPr>
          <w:rFonts w:ascii="Amiri" w:hAnsi="Amiri" w:eastAsia="Amiri" w:cs="Amiri"/>
          <w:color w:val="111111"/>
          <w:sz w:val="28"/>
          <w:sz w:val="28"/>
          <w:szCs w:val="28"/>
          <w:rtl w:val="true"/>
          <w:lang w:bidi="ar-SA"/>
        </w:rPr>
        <w:t xml:space="preserve">، كالغزو و دفع الخوف من طرق المسلمين و نحو ذلك، فالظاهر أنّه يجوز الدفع؛ لأنّ الفعل المذكور هو الذي صرف فيه الزكاة نظير بناء القناطر و المساجد، و الفاعل له بمنزلة الآلة، و الأخبار المانعة إنّما تمنع من صرف الزكاة إلى المخالف و وضعها فيه، و فيما نحن فيه لم توضع إلّا في تحصيل الفعل المذكور في الخارج </w:t>
      </w:r>
      <w:r>
        <w:rPr>
          <w:rStyle w:val="FootnoteAnchor"/>
          <w:rtl w:val="true"/>
        </w:rPr>
        <w:footnoteReference w:id="2032"/>
      </w:r>
      <w:r>
        <w:rPr>
          <w:rFonts w:ascii="Amiri" w:hAnsi="Amiri" w:eastAsia="Amiri" w:cs="Amiri"/>
          <w:color w:val="111111"/>
          <w:sz w:val="28"/>
          <w:sz w:val="28"/>
          <w:szCs w:val="28"/>
          <w:rtl w:val="true"/>
          <w:lang w:bidi="ar-SA"/>
        </w:rPr>
        <w:t>، و هذا ظاهر لمن تدبّر الأخبار و تأمّلها تأمّلا قليلا، و قد مر هذا أيضا في اعتبار الفقر في سهم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أنّ ما ذكرنا لا ينافي الحصر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موضعها أهل الولاية</w:t>
      </w:r>
      <w:r>
        <w:rPr>
          <w:rFonts w:eastAsia="Amiri" w:cs="Amiri" w:ascii="Amiri" w:hAnsi="Amiri"/>
          <w:color w:val="111111"/>
          <w:sz w:val="28"/>
          <w:szCs w:val="28"/>
          <w:rtl w:val="true"/>
          <w:lang w:bidi="ar-SA"/>
        </w:rPr>
        <w:t xml:space="preserve">» </w:t>
      </w:r>
      <w:r>
        <w:rPr>
          <w:rStyle w:val="FootnoteAnchor"/>
          <w:rtl w:val="true"/>
        </w:rPr>
        <w:footnoteReference w:id="2033"/>
      </w:r>
      <w:r>
        <w:rPr>
          <w:rFonts w:ascii="Amiri" w:hAnsi="Amiri" w:eastAsia="Amiri" w:cs="Amiri"/>
          <w:color w:val="111111"/>
          <w:sz w:val="28"/>
          <w:sz w:val="28"/>
          <w:szCs w:val="28"/>
          <w:rtl w:val="true"/>
          <w:lang w:bidi="ar-SA"/>
        </w:rPr>
        <w:t>، كما لم يناف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لغني</w:t>
      </w:r>
      <w:r>
        <w:rPr>
          <w:rFonts w:eastAsia="Amiri" w:cs="Amiri" w:ascii="Amiri" w:hAnsi="Amiri"/>
          <w:color w:val="111111"/>
          <w:sz w:val="28"/>
          <w:szCs w:val="28"/>
          <w:rtl w:val="true"/>
          <w:lang w:bidi="ar-SA"/>
        </w:rPr>
        <w:t xml:space="preserve">» </w:t>
      </w:r>
      <w:r>
        <w:rPr>
          <w:rStyle w:val="FootnoteAnchor"/>
          <w:rtl w:val="true"/>
        </w:rPr>
        <w:footnoteReference w:id="2034"/>
      </w:r>
      <w:r>
        <w:rPr>
          <w:rFonts w:ascii="IRNazanin" w:hAnsi="IRNazanin" w:eastAsia="IRNazanin"/>
          <w:color w:val="111111"/>
          <w:sz w:val="28"/>
          <w:sz w:val="28"/>
          <w:szCs w:val="28"/>
          <w:rtl w:val="true"/>
          <w:lang w:bidi="fa-IR"/>
        </w:rPr>
        <w:t xml:space="preserve">ما تقدم </w:t>
      </w:r>
      <w:r>
        <w:rPr>
          <w:rStyle w:val="FootnoteAnchor"/>
          <w:rtl w:val="true"/>
        </w:rPr>
        <w:footnoteReference w:id="2035"/>
      </w:r>
      <w:r>
        <w:rPr>
          <w:rFonts w:ascii="Amiri" w:hAnsi="Amiri" w:eastAsia="Amiri" w:cs="Amiri"/>
          <w:color w:val="111111"/>
          <w:sz w:val="28"/>
          <w:sz w:val="28"/>
          <w:szCs w:val="28"/>
          <w:rtl w:val="true"/>
          <w:lang w:bidi="ar-SA"/>
        </w:rPr>
        <w:t>منا من جواز دفع حصة سبيل اللّٰه إلى الغني إذا قصد الدافع صرفها في الفعل الذي يوجد منه، و لوحظ الفاعل فيه بمنزلة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نكت الإرشاد عند قول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 المستحقين الايمان 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جمع </w:t>
      </w:r>
      <w:r>
        <w:rPr>
          <w:rStyle w:val="FootnoteAnchor"/>
          <w:rtl w:val="true"/>
        </w:rPr>
        <w:footnoteReference w:id="2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من يعقل فائدة،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سبيل اللّٰه عند جاعله للعموم لا يتصور في بعض موارده اشتراط الايمان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إطلاق معظم الأخبار، و كثير من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كصريح البعض</w:t>
      </w:r>
    </w:p>
    <w:p>
      <w:pPr>
        <w:pStyle w:val="BookText"/>
        <w:rPr/>
      </w:pPr>
      <w:r>
        <w:rPr>
          <w:rFonts w:ascii="Amiri" w:hAnsi="Amiri" w:eastAsia="Amiri" w:cs="Amiri"/>
          <w:color w:val="111111"/>
          <w:sz w:val="28"/>
          <w:sz w:val="28"/>
          <w:szCs w:val="28"/>
          <w:rtl w:val="true"/>
          <w:lang w:bidi="ar-SA"/>
        </w:rPr>
        <w:t xml:space="preserve">من كلّ منهما </w:t>
      </w: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زكاة الفطرة و المال، ففي مصححة إسماعيل بن سعد،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هل توضع في من لا يعرف؟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زكاة الفطرة</w:t>
      </w:r>
      <w:r>
        <w:rPr>
          <w:rFonts w:eastAsia="Amiri" w:cs="Amiri" w:ascii="Amiri" w:hAnsi="Amiri"/>
          <w:color w:val="111111"/>
          <w:sz w:val="28"/>
          <w:szCs w:val="28"/>
          <w:rtl w:val="true"/>
          <w:lang w:bidi="ar-SA"/>
        </w:rPr>
        <w:t xml:space="preserve">» </w:t>
      </w:r>
      <w:r>
        <w:rPr>
          <w:rStyle w:val="FootnoteAnchor"/>
          <w:rtl w:val="true"/>
        </w:rPr>
        <w:footnoteReference w:id="2039"/>
      </w:r>
      <w:r>
        <w:rPr>
          <w:rFonts w:ascii="Amiri" w:hAnsi="Amiri" w:eastAsia="Amiri" w:cs="Amiri"/>
          <w:color w:val="111111"/>
          <w:sz w:val="28"/>
          <w:sz w:val="28"/>
          <w:szCs w:val="28"/>
          <w:rtl w:val="true"/>
          <w:lang w:bidi="ar-SA"/>
        </w:rPr>
        <w:t xml:space="preserve">، خلافا للمحكي </w:t>
      </w:r>
      <w:r>
        <w:rPr>
          <w:rStyle w:val="FootnoteAnchor"/>
          <w:rtl w:val="true"/>
        </w:rPr>
        <w:footnoteReference w:id="2040"/>
      </w:r>
      <w:r>
        <w:rPr>
          <w:rFonts w:ascii="Amiri" w:hAnsi="Amiri" w:eastAsia="Amiri" w:cs="Amiri"/>
          <w:color w:val="111111"/>
          <w:sz w:val="28"/>
          <w:sz w:val="28"/>
          <w:szCs w:val="28"/>
          <w:rtl w:val="true"/>
          <w:lang w:bidi="ar-SA"/>
        </w:rPr>
        <w:t xml:space="preserve">عن الشيخ </w:t>
      </w:r>
      <w:r>
        <w:rPr>
          <w:rStyle w:val="FootnoteAnchor"/>
          <w:rtl w:val="true"/>
        </w:rPr>
        <w:footnoteReference w:id="2041"/>
      </w:r>
      <w:r>
        <w:rPr>
          <w:rFonts w:ascii="IRNazanin" w:hAnsi="IRNazanin" w:eastAsia="IRNazanin"/>
          <w:color w:val="111111"/>
          <w:sz w:val="28"/>
          <w:sz w:val="28"/>
          <w:szCs w:val="28"/>
          <w:rtl w:val="true"/>
          <w:lang w:bidi="fa-IR"/>
        </w:rPr>
        <w:t xml:space="preserve">و اتباعه </w:t>
      </w:r>
      <w:r>
        <w:rPr>
          <w:rStyle w:val="FootnoteAnchor"/>
          <w:rtl w:val="true"/>
        </w:rPr>
        <w:footnoteReference w:id="2042"/>
      </w:r>
      <w:r>
        <w:rPr>
          <w:rFonts w:ascii="Amiri" w:hAnsi="Amiri" w:eastAsia="Amiri" w:cs="Amiri"/>
          <w:color w:val="111111"/>
          <w:sz w:val="28"/>
          <w:sz w:val="28"/>
          <w:szCs w:val="28"/>
          <w:rtl w:val="true"/>
          <w:lang w:bidi="ar-SA"/>
        </w:rPr>
        <w:t>من جواز دفع الفطرة إلى المستضعف إذا لم يجد المؤمن المستحق لها؛ لأنّ إطلاقات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مصححة ابن سعد الشاملة لصورتي وجدان المؤمن و 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مقيّدة</w:t>
      </w:r>
      <w:r>
        <w:rPr>
          <w:rFonts w:eastAsia="Amiri" w:cs="Amiri" w:ascii="Amiri" w:hAnsi="Amiri"/>
          <w:color w:val="111111"/>
          <w:sz w:val="28"/>
          <w:szCs w:val="28"/>
          <w:rtl w:val="true"/>
          <w:lang w:bidi="ar-SA"/>
        </w:rPr>
        <w:t xml:space="preserve">] </w:t>
      </w:r>
      <w:r>
        <w:rPr>
          <w:rStyle w:val="FootnoteAnchor"/>
          <w:rtl w:val="true"/>
        </w:rPr>
        <w:footnoteReference w:id="2043"/>
      </w:r>
      <w:r>
        <w:rPr>
          <w:rFonts w:ascii="Amiri" w:hAnsi="Amiri" w:eastAsia="Amiri" w:cs="Amiri"/>
          <w:color w:val="111111"/>
          <w:sz w:val="28"/>
          <w:sz w:val="28"/>
          <w:szCs w:val="28"/>
          <w:rtl w:val="true"/>
          <w:lang w:bidi="ar-SA"/>
        </w:rPr>
        <w:t>بما دلّ على جواز دفع الفطرة، كرواية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يجد من يحملها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إخوانه و أهل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إلى من لا ينصب له</w:t>
      </w:r>
      <w:r>
        <w:rPr>
          <w:rFonts w:eastAsia="Amiri" w:cs="Amiri" w:ascii="Amiri" w:hAnsi="Amiri"/>
          <w:color w:val="111111"/>
          <w:sz w:val="28"/>
          <w:szCs w:val="28"/>
          <w:rtl w:val="true"/>
          <w:lang w:bidi="ar-SA"/>
        </w:rPr>
        <w:t xml:space="preserve">»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الفضيل،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جدي صلوات اللّٰه عليه </w:t>
      </w:r>
      <w:r>
        <w:rPr>
          <w:rStyle w:val="FootnoteAnchor"/>
          <w:rtl w:val="true"/>
        </w:rPr>
        <w:footnoteReference w:id="2045"/>
      </w:r>
      <w:r>
        <w:rPr>
          <w:rFonts w:ascii="Amiri" w:hAnsi="Amiri" w:eastAsia="Amiri" w:cs="Amiri"/>
          <w:color w:val="111111"/>
          <w:sz w:val="28"/>
          <w:sz w:val="28"/>
          <w:szCs w:val="28"/>
          <w:rtl w:val="true"/>
          <w:lang w:bidi="ar-SA"/>
        </w:rPr>
        <w:t>يعطي فطرته الضعفة و من لا يتولّى، 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لأهلها إلّا أن لا تجدهم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تجدهم</w:t>
      </w:r>
      <w:r>
        <w:rPr>
          <w:rFonts w:eastAsia="Amiri" w:cs="Amiri" w:ascii="Amiri" w:hAnsi="Amiri"/>
          <w:color w:val="111111"/>
          <w:sz w:val="28"/>
          <w:szCs w:val="28"/>
          <w:rtl w:val="true"/>
          <w:lang w:bidi="ar-SA"/>
        </w:rPr>
        <w:t xml:space="preserve">] </w:t>
      </w:r>
      <w:r>
        <w:rPr>
          <w:rStyle w:val="FootnoteAnchor"/>
          <w:rtl w:val="true"/>
        </w:rPr>
        <w:footnoteReference w:id="2046"/>
      </w:r>
      <w:r>
        <w:rPr>
          <w:rFonts w:ascii="Amiri" w:hAnsi="Amiri" w:eastAsia="Amiri" w:cs="Amiri"/>
          <w:color w:val="111111"/>
          <w:sz w:val="28"/>
          <w:sz w:val="28"/>
          <w:szCs w:val="28"/>
          <w:rtl w:val="true"/>
          <w:lang w:bidi="ar-SA"/>
        </w:rPr>
        <w:t>فلمن لا ينصب، و لا تنقل من أرض إلى أرض</w:t>
      </w:r>
      <w:r>
        <w:rPr>
          <w:rFonts w:eastAsia="Amiri" w:cs="Amiri" w:ascii="Amiri" w:hAnsi="Amiri"/>
          <w:color w:val="111111"/>
          <w:sz w:val="28"/>
          <w:szCs w:val="28"/>
          <w:rtl w:val="true"/>
          <w:lang w:bidi="ar-SA"/>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إسحاق بن عمار،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الفطرة أعطيها غير أهل ولايتي من فقراء جيراني؟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الجيران أحقّ</w:t>
      </w:r>
    </w:p>
    <w:p>
      <w:pPr>
        <w:pStyle w:val="BookText"/>
        <w:rPr/>
      </w:pPr>
      <w:r>
        <w:rPr>
          <w:rFonts w:ascii="Amiri" w:hAnsi="Amiri" w:eastAsia="Amiri" w:cs="Amiri"/>
          <w:color w:val="111111"/>
          <w:sz w:val="28"/>
          <w:sz w:val="28"/>
          <w:szCs w:val="28"/>
          <w:rtl w:val="true"/>
          <w:lang w:bidi="ar-SA"/>
        </w:rPr>
        <w:t>بها لمكان الشهرة</w:t>
      </w:r>
      <w:r>
        <w:rPr>
          <w:rFonts w:eastAsia="Amiri" w:cs="Amiri" w:ascii="Amiri" w:hAnsi="Amiri"/>
          <w:color w:val="111111"/>
          <w:sz w:val="28"/>
          <w:szCs w:val="28"/>
          <w:rtl w:val="true"/>
          <w:lang w:bidi="ar-SA"/>
        </w:rPr>
        <w:t xml:space="preserve">»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مالك الجهني،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زكاة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تعطيها المسلمين فإن لم تجد مسلما فمستضعفا</w:t>
      </w:r>
      <w:r>
        <w:rPr>
          <w:rFonts w:eastAsia="Amiri" w:cs="Amiri" w:ascii="Amiri" w:hAnsi="Amiri"/>
          <w:color w:val="111111"/>
          <w:sz w:val="28"/>
          <w:szCs w:val="28"/>
          <w:rtl w:val="true"/>
          <w:lang w:bidi="ar-SA"/>
        </w:rPr>
        <w:t xml:space="preserve">»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مصححة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عليه السلام عن زكاة الفطرة أ يصلح أن تعطى الجيران و الظؤرة، ممّن لا يعرف، و لا ينصب؟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الاعتماد على الروايات المذكورة في تقييد الأخبار و معاقد الإجماعات المتقدمة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 روايتي ابن عمار و ابن يقطين على الجواز من باب التقيّة، و مورد رواية أبي شعيب مختص بزكاة المال، و القائل بجواز دفعها الى غير المؤمن عند تعذر الدفع اليه غير معروف و إن نسب الخلاف فيه الى بعض </w:t>
      </w:r>
      <w:r>
        <w:rPr>
          <w:rStyle w:val="FootnoteAnchor"/>
          <w:rtl w:val="true"/>
        </w:rPr>
        <w:footnoteReference w:id="2051"/>
      </w:r>
      <w:r>
        <w:rPr>
          <w:rFonts w:ascii="Amiri" w:hAnsi="Amiri" w:eastAsia="Amiri" w:cs="Amiri"/>
          <w:color w:val="111111"/>
          <w:sz w:val="28"/>
          <w:sz w:val="28"/>
          <w:szCs w:val="28"/>
          <w:rtl w:val="true"/>
          <w:lang w:bidi="ar-SA"/>
        </w:rPr>
        <w:t xml:space="preserve">، و رواية الفضيل تدل على الجواز بمجرد تعذّر الدفع في تلك الأرض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الظاهر إنّ المراد بالمستضعف غير المعاند للحق من المخالفين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دفع الزكاة إلى المخالف تقيّة إذا لم يكن مندوحة فهل يحتسب زكاة أم يجب الإعادة؟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إجزاء أداء المأمور به على وجه التقيّة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ورود النصوص باحتساب ما أخذه بنو أمية على وجه الزكاة </w:t>
      </w:r>
      <w:r>
        <w:rPr>
          <w:rStyle w:val="FootnoteAnchor"/>
          <w:rtl w:val="true"/>
        </w:rPr>
        <w:footnoteReference w:id="2053"/>
      </w:r>
      <w:r>
        <w:rPr>
          <w:rFonts w:ascii="Amiri" w:hAnsi="Amiri" w:eastAsia="Amiri" w:cs="Amiri"/>
          <w:color w:val="111111"/>
          <w:sz w:val="28"/>
          <w:sz w:val="28"/>
          <w:szCs w:val="28"/>
          <w:rtl w:val="true"/>
          <w:lang w:bidi="ar-SA"/>
        </w:rPr>
        <w:t>، و لما تقدّم من روايتي ابن عمار و ابن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منع الإذن في أداء المأمور به على هذا الوجه كما ورد في الصلاة و الطهارة </w:t>
      </w:r>
      <w:r>
        <w:rPr>
          <w:rStyle w:val="FootnoteAnchor"/>
          <w:rtl w:val="true"/>
        </w:rPr>
        <w:footnoteReference w:id="2054"/>
      </w:r>
      <w:r>
        <w:rPr>
          <w:rFonts w:ascii="Amiri" w:hAnsi="Amiri" w:eastAsia="Amiri" w:cs="Amiri"/>
          <w:color w:val="111111"/>
          <w:sz w:val="28"/>
          <w:sz w:val="28"/>
          <w:szCs w:val="28"/>
          <w:rtl w:val="true"/>
          <w:lang w:bidi="ar-SA"/>
        </w:rPr>
        <w:t>، و ما ورد في عدم احتساب ما أخذه بنو أمية من الزكاة معلّلا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هؤلاء قوم غصبوكم أموالكم، و إنما الصدقة لأهلها</w:t>
      </w:r>
      <w:r>
        <w:rPr>
          <w:rFonts w:eastAsia="Amiri" w:cs="Amiri" w:ascii="Amiri" w:hAnsi="Amiri"/>
          <w:color w:val="111111"/>
          <w:sz w:val="28"/>
          <w:szCs w:val="28"/>
          <w:rtl w:val="true"/>
          <w:lang w:bidi="ar-SA"/>
        </w:rPr>
        <w:t xml:space="preserve">»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لم يجد مندوحة عن أصل الدفع فهو داخل في مسألة ما يأخذه المخالف بعنوان الزكاة قهرا، و قد تقدّم الروايات باحتسابه، و إن وجد المندوحة عن أصل الدفع إلّا أنه على فرض ارادة الدفع لا مندوحة له عن دفعه إلى المخالف، فالأقوى عدم الاحتساب؛ للأصل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هؤلاء قوم ظلموكم أموالكم و إنما الصدقة لأهلها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للتصريح في أخبار الاحتساب بوجوب الإخفاء عنهم ما استطاع، ففي صحيحة العيص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منكم بنو أمية فاحتسبوا به و لا تعطوهم شيئا ما استطعتم، فإنّ المال لا يبقى على هذا أن تزكيه مرتين</w:t>
      </w:r>
      <w:r>
        <w:rPr>
          <w:rFonts w:eastAsia="Amiri" w:cs="Amiri" w:ascii="Amiri" w:hAnsi="Amiri"/>
          <w:color w:val="111111"/>
          <w:sz w:val="28"/>
          <w:szCs w:val="28"/>
          <w:rtl w:val="true"/>
          <w:lang w:bidi="ar-SA"/>
        </w:rPr>
        <w:t xml:space="preserve">» </w:t>
      </w:r>
      <w:r>
        <w:rPr>
          <w:rStyle w:val="FootnoteAnchor"/>
          <w:rtl w:val="true"/>
        </w:rPr>
        <w:footnoteReference w:id="2056"/>
      </w:r>
      <w:r>
        <w:rPr>
          <w:rFonts w:ascii="Amiri" w:hAnsi="Amiri" w:eastAsia="Amiri" w:cs="Amiri"/>
          <w:color w:val="111111"/>
          <w:sz w:val="28"/>
          <w:sz w:val="28"/>
          <w:szCs w:val="28"/>
          <w:rtl w:val="true"/>
          <w:lang w:bidi="ar-SA"/>
        </w:rPr>
        <w:t>و حينئذ فيجب الصبر الى أن يتمكن من الأداء و لو بعزله و الوصية به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الطفل المتولّد بين المسلم و الكافر الظاهر أنه في حكم المسلم، و كذا المتولّد بين المؤمن و المخالف إذا كان أبوه مؤمنا؛ للنصوص الواردة في إعطاء أطفال المؤمنين </w:t>
      </w:r>
      <w:r>
        <w:rPr>
          <w:rStyle w:val="FootnoteAnchor"/>
          <w:rtl w:val="true"/>
        </w:rPr>
        <w:footnoteReference w:id="2057"/>
      </w:r>
      <w:r>
        <w:rPr>
          <w:rFonts w:ascii="Amiri" w:hAnsi="Amiri" w:eastAsia="Amiri" w:cs="Amiri"/>
          <w:color w:val="111111"/>
          <w:sz w:val="28"/>
          <w:sz w:val="28"/>
          <w:szCs w:val="28"/>
          <w:rtl w:val="true"/>
          <w:lang w:bidi="ar-SA"/>
        </w:rPr>
        <w:t>مع شيوع أخذ الزوجة المخالفة في ذلك الزمان، و أما إذا كان أبوه مخالفا فيمكن الإعطاء بناء على أن المخالفة مانعة، و أن العداوة و المعاندة الحاصلة فيهم للحق و عدم المعرفة لمن تجب معرفته صارت سببا لمنعهم، و إلّا فارزاقهم موضوعة في أموال الأغنياء، لا أن الإيمان شرط يحتاج فيما نحن فيه</w:t>
      </w:r>
    </w:p>
    <w:p>
      <w:pPr>
        <w:pStyle w:val="BookText"/>
        <w:rPr/>
      </w:pPr>
      <w:r>
        <w:rPr>
          <w:rFonts w:ascii="IRNazanin" w:hAnsi="IRNazanin" w:eastAsia="IRNazanin"/>
          <w:color w:val="111111"/>
          <w:sz w:val="28"/>
          <w:sz w:val="28"/>
          <w:szCs w:val="28"/>
          <w:rtl w:val="true"/>
          <w:lang w:bidi="fa-IR"/>
        </w:rPr>
        <w:t xml:space="preserve">إلى إثبات إلحاق الولد بأمه </w:t>
      </w:r>
      <w:r>
        <w:rPr>
          <w:rStyle w:val="FootnoteAnchor"/>
          <w:rtl w:val="true"/>
        </w:rPr>
        <w:footnoteReference w:id="2058"/>
      </w:r>
      <w:r>
        <w:rPr>
          <w:rFonts w:ascii="Amiri" w:hAnsi="Amiri" w:eastAsia="Amiri" w:cs="Amiri"/>
          <w:color w:val="111111"/>
          <w:sz w:val="28"/>
          <w:sz w:val="28"/>
          <w:szCs w:val="28"/>
          <w:rtl w:val="true"/>
          <w:lang w:bidi="ar-SA"/>
        </w:rPr>
        <w:t>في أحكام الإيمان، مع أنّ مقتضى العمومات جواز إعطاء مطلق الفقير خرج منها المخالف و هو لا يصدق على الطفل، و ما دل على اختصاص الزكاة بأهل الولاية حصر إضافي بالنسبة إلى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و إن اقتضى جواز الدفع إلى أولاد المخالفين إلّا أن الإجماع قام على كونهم في حكم إبائهم، و هو مفقود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انه لم يظهر من الأخبار مانعيّة المخالفة، بل لا يبعد دعوى ظهورها في شرطية الإيمان، كما هو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موضعها أهل الولاية</w:t>
      </w:r>
      <w:r>
        <w:rPr>
          <w:rFonts w:eastAsia="Amiri" w:cs="Amiri" w:ascii="Amiri" w:hAnsi="Amiri"/>
          <w:color w:val="111111"/>
          <w:sz w:val="28"/>
          <w:szCs w:val="28"/>
          <w:rtl w:val="true"/>
          <w:lang w:bidi="ar-SA"/>
        </w:rPr>
        <w:t xml:space="preserve">» </w:t>
      </w:r>
      <w:r>
        <w:rPr>
          <w:rStyle w:val="FootnoteAnchor"/>
          <w:rtl w:val="true"/>
        </w:rPr>
        <w:footnoteReference w:id="2059"/>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لأهلها</w:t>
      </w:r>
      <w:r>
        <w:rPr>
          <w:rFonts w:eastAsia="Amiri" w:cs="Amiri" w:ascii="Amiri" w:hAnsi="Amiri"/>
          <w:color w:val="111111"/>
          <w:sz w:val="28"/>
          <w:szCs w:val="28"/>
          <w:rtl w:val="true"/>
          <w:lang w:bidi="ar-SA"/>
        </w:rPr>
        <w:t xml:space="preserve">» </w:t>
      </w:r>
      <w:r>
        <w:rPr>
          <w:rStyle w:val="FootnoteAnchor"/>
          <w:rtl w:val="true"/>
        </w:rPr>
        <w:footnoteReference w:id="2060"/>
      </w:r>
      <w:r>
        <w:rPr>
          <w:rFonts w:ascii="Amiri" w:hAnsi="Amiri" w:eastAsia="Amiri" w:cs="Amiri"/>
          <w:color w:val="111111"/>
          <w:sz w:val="28"/>
          <w:sz w:val="28"/>
          <w:szCs w:val="28"/>
          <w:rtl w:val="true"/>
          <w:lang w:bidi="ar-SA"/>
        </w:rPr>
        <w:t>، مضافا إلى خصوص حسنة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و يترك العيال أ يعطون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ينشئوا و يبلغوا، و يسألوا من أين كانوا يعيشون إذا قطع ذلك عنهم،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يعرفون؟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فيهم ميتهم و يحبب إليهم دين أبيهم، فلا يلبثون أن يهتموا بدين أبيهم، فإذا بلغوا و عدلوا إلى غيركم فلا تعطوهم</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وجه الجواز مع عدم المعرفة، فكان اشتراط المعرفة مركوزا في ذهنه، و لم يجبه الامام عليه السلام بما يدل على اختصاص اشتراط المعرفة بالمكلفين، بل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الوجه في إعطائهم مع عدم المعرفة هو رجاء تبعيّتهم لآبائهم في المعرفة، و المسألة مشكلة، و الاحتياط غير خفي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يجوز للمالك صرف الزكاة للطفل و لو مع وجود الوليّ، كأن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يطعمه في حال جوعه و إن لم يعلم بذلك </w:t>
      </w:r>
      <w:r>
        <w:rPr>
          <w:rStyle w:val="FootnoteAnchor"/>
          <w:rtl w:val="true"/>
        </w:rPr>
        <w:footnoteReference w:id="2062"/>
      </w:r>
      <w:r>
        <w:rPr>
          <w:rFonts w:ascii="Amiri" w:hAnsi="Amiri" w:eastAsia="Amiri" w:cs="Amiri"/>
          <w:color w:val="111111"/>
          <w:sz w:val="28"/>
          <w:sz w:val="28"/>
          <w:szCs w:val="28"/>
          <w:rtl w:val="true"/>
          <w:lang w:bidi="ar-SA"/>
        </w:rPr>
        <w:t>أبوه؟ الظاهر عدم الجواز من سهم الفقراء؛ لأن الظاهر من أدلة الصرف في هذا الصنف هو تمليكهم إياه، نعم يجوز في سبيل اللّٰه، و يحتمل الجواز من سهم الفقراء، بدعوى أنّ الظاهر من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استحقاقهم للزكاة، لا تملكهم لها، فالمقصود هو الإيصال</w:t>
      </w:r>
      <w:r>
        <w:rPr>
          <w:rFonts w:eastAsia="Amiri" w:cs="Amiri" w:ascii="Amiri" w:hAnsi="Amiri"/>
          <w:color w:val="111111"/>
          <w:sz w:val="28"/>
          <w:szCs w:val="28"/>
          <w:rtl w:val="true"/>
          <w:lang w:bidi="ar-SA"/>
        </w:rPr>
        <w:t>.</w:t>
      </w:r>
      <w:bookmarkStart w:id="138" w:name="pg19722_766392"/>
    </w:p>
    <w:p>
      <w:pPr>
        <w:pStyle w:val="Heading4"/>
        <w:numPr>
          <w:ilvl w:val="3"/>
          <w:numId w:val="1"/>
        </w:numPr>
        <w:rPr/>
      </w:pPr>
      <w:bookmarkStart w:id="139" w:name="__RefHeading___Toc2136372_2314609296"/>
      <w:bookmarkStart w:id="140" w:name="_Toc48"/>
      <w:bookmarkEnd w:id="138"/>
      <w:bookmarkEnd w:id="139"/>
      <w:r>
        <w:rPr>
          <w:rtl w:val="true"/>
        </w:rPr>
        <w:t xml:space="preserve">مسألة </w:t>
      </w:r>
      <w:r>
        <w:rPr>
          <w:rtl w:val="true"/>
        </w:rPr>
        <w:t>[</w:t>
      </w:r>
      <w:r>
        <w:rPr/>
        <w:t>39</w:t>
      </w:r>
      <w:r>
        <w:rPr>
          <w:rtl w:val="true"/>
        </w:rPr>
        <w:t>]</w:t>
      </w:r>
      <w:bookmarkEnd w:id="14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المحكي عن المشايخ الثلاثة و 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العدالة في مستحق الزكاة </w:t>
      </w:r>
      <w:r>
        <w:rPr>
          <w:rStyle w:val="FootnoteAnchor"/>
          <w:rtl w:val="true"/>
        </w:rPr>
        <w:footnoteReference w:id="2063"/>
      </w:r>
      <w:r>
        <w:rPr>
          <w:rFonts w:ascii="Amiri" w:hAnsi="Amiri" w:eastAsia="Amiri" w:cs="Amiri"/>
          <w:color w:val="111111"/>
          <w:sz w:val="28"/>
          <w:sz w:val="28"/>
          <w:szCs w:val="28"/>
          <w:rtl w:val="true"/>
          <w:lang w:bidi="ar-SA"/>
        </w:rPr>
        <w:t>، و عن السيدين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w:t>
      </w:r>
      <w:r>
        <w:rPr>
          <w:rStyle w:val="FootnoteAnchor"/>
          <w:rtl w:val="true"/>
        </w:rPr>
        <w:footnoteReference w:id="2064"/>
      </w:r>
      <w:r>
        <w:rPr>
          <w:rFonts w:ascii="IRNazanin" w:hAnsi="IRNazanin" w:eastAsia="IRNazanin"/>
          <w:color w:val="111111"/>
          <w:sz w:val="28"/>
          <w:sz w:val="28"/>
          <w:szCs w:val="28"/>
          <w:rtl w:val="true"/>
          <w:lang w:bidi="fa-IR"/>
        </w:rPr>
        <w:t>، و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ظاهر أصحابنا </w:t>
      </w:r>
      <w:r>
        <w:rPr>
          <w:rStyle w:val="FootnoteAnchor"/>
          <w:rtl w:val="true"/>
        </w:rPr>
        <w:footnoteReference w:id="2065"/>
      </w:r>
      <w:r>
        <w:rPr>
          <w:rFonts w:ascii="Amiri" w:hAnsi="Amiri" w:eastAsia="Amiri" w:cs="Amiri"/>
          <w:color w:val="111111"/>
          <w:sz w:val="28"/>
          <w:sz w:val="28"/>
          <w:szCs w:val="28"/>
          <w:rtl w:val="true"/>
          <w:lang w:bidi="ar-SA"/>
        </w:rPr>
        <w:t>، و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الإسكافي </w:t>
      </w:r>
      <w:r>
        <w:rPr>
          <w:rStyle w:val="FootnoteAnchor"/>
          <w:rtl w:val="true"/>
        </w:rPr>
        <w:footnoteReference w:id="2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مجانبة الكبائر و عن جمهور المتأخرين </w:t>
      </w:r>
      <w:r>
        <w:rPr>
          <w:rStyle w:val="FootnoteAnchor"/>
          <w:rtl w:val="true"/>
        </w:rPr>
        <w:footnoteReference w:id="2067"/>
      </w:r>
      <w:r>
        <w:rPr>
          <w:rFonts w:ascii="IRNazanin" w:hAnsi="IRNazanin" w:eastAsia="IRNazanin"/>
          <w:color w:val="111111"/>
          <w:sz w:val="28"/>
          <w:sz w:val="28"/>
          <w:szCs w:val="28"/>
          <w:rtl w:val="true"/>
          <w:lang w:bidi="fa-IR"/>
        </w:rPr>
        <w:t xml:space="preserve">أو عامتهم </w:t>
      </w:r>
      <w:r>
        <w:rPr>
          <w:rStyle w:val="FootnoteAnchor"/>
          <w:rtl w:val="true"/>
        </w:rPr>
        <w:footnoteReference w:id="2068"/>
      </w:r>
      <w:r>
        <w:rPr>
          <w:rFonts w:ascii="Amiri" w:hAnsi="Amiri" w:eastAsia="Amiri" w:cs="Amiri"/>
          <w:color w:val="111111"/>
          <w:sz w:val="28"/>
          <w:sz w:val="28"/>
          <w:szCs w:val="28"/>
          <w:rtl w:val="true"/>
          <w:lang w:bidi="ar-SA"/>
        </w:rPr>
        <w:t xml:space="preserve">عدم اعتبار شي‌ء، و هو المحكي </w:t>
      </w:r>
      <w:r>
        <w:rPr>
          <w:rStyle w:val="FootnoteAnchor"/>
          <w:rtl w:val="true"/>
        </w:rPr>
        <w:footnoteReference w:id="2069"/>
      </w:r>
      <w:r>
        <w:rPr>
          <w:rFonts w:ascii="Amiri" w:hAnsi="Amiri" w:eastAsia="Amiri" w:cs="Amiri"/>
          <w:color w:val="111111"/>
          <w:sz w:val="28"/>
          <w:sz w:val="28"/>
          <w:szCs w:val="28"/>
          <w:rtl w:val="true"/>
          <w:lang w:bidi="ar-SA"/>
        </w:rPr>
        <w:t xml:space="preserve">عن ابن بابويه </w:t>
      </w:r>
      <w:r>
        <w:rPr>
          <w:rStyle w:val="FootnoteAnchor"/>
          <w:rtl w:val="true"/>
        </w:rPr>
        <w:footnoteReference w:id="2070"/>
      </w:r>
    </w:p>
    <w:p>
      <w:pPr>
        <w:pStyle w:val="BookText"/>
        <w:rPr/>
      </w:pPr>
      <w:r>
        <w:rPr>
          <w:rFonts w:ascii="IRNazanin" w:hAnsi="IRNazanin" w:eastAsia="IRNazanin"/>
          <w:color w:val="111111"/>
          <w:sz w:val="28"/>
          <w:sz w:val="28"/>
          <w:szCs w:val="28"/>
          <w:rtl w:val="true"/>
          <w:lang w:bidi="fa-IR"/>
        </w:rPr>
        <w:t xml:space="preserve">و سلار </w:t>
      </w:r>
      <w:r>
        <w:rPr>
          <w:rStyle w:val="FootnoteAnchor"/>
          <w:rtl w:val="true"/>
        </w:rPr>
        <w:footnoteReference w:id="2071"/>
      </w:r>
      <w:r>
        <w:rPr>
          <w:rFonts w:ascii="Amiri" w:hAnsi="Amiri" w:eastAsia="Amiri" w:cs="Amiri"/>
          <w:color w:val="111111"/>
          <w:sz w:val="28"/>
          <w:sz w:val="28"/>
          <w:szCs w:val="28"/>
          <w:rtl w:val="true"/>
          <w:lang w:bidi="ar-SA"/>
        </w:rPr>
        <w:t>حيث لم يتعرضوا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أزيد من الايمان، و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مذهب قوم من أصحابنا </w:t>
      </w:r>
      <w:r>
        <w:rPr>
          <w:rStyle w:val="FootnoteAnchor"/>
          <w:rtl w:val="true"/>
        </w:rPr>
        <w:footnoteReference w:id="2072"/>
      </w:r>
      <w:r>
        <w:rPr>
          <w:rFonts w:ascii="IRNazanin" w:hAnsi="IRNazanin" w:eastAsia="IRNazanin"/>
          <w:color w:val="111111"/>
          <w:sz w:val="28"/>
          <w:sz w:val="28"/>
          <w:szCs w:val="28"/>
          <w:rtl w:val="true"/>
          <w:lang w:bidi="fa-IR"/>
        </w:rPr>
        <w:t xml:space="preserve">، و هو الأقوى؛ للإطلاقات بل </w:t>
      </w:r>
      <w:r>
        <w:rPr>
          <w:rStyle w:val="FootnoteAnchor"/>
          <w:rtl w:val="true"/>
        </w:rPr>
        <w:footnoteReference w:id="2073"/>
      </w:r>
      <w:r>
        <w:rPr>
          <w:rFonts w:ascii="Amiri" w:hAnsi="Amiri" w:eastAsia="Amiri" w:cs="Amiri"/>
          <w:color w:val="111111"/>
          <w:sz w:val="28"/>
          <w:sz w:val="28"/>
          <w:szCs w:val="28"/>
          <w:rtl w:val="true"/>
          <w:lang w:bidi="ar-SA"/>
        </w:rPr>
        <w:t>العمومات الكثيرة الواردة في مقام البيان و الحاجة،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وجدت من هؤلاء المسلمين عارفا فأعطه دون الناس</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سؤال السائل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أدفع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الصدقة محرمة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دفعتها إلى شيعتنا فقد دفعتها إلينا</w:t>
      </w:r>
      <w:r>
        <w:rPr>
          <w:rFonts w:eastAsia="Amiri" w:cs="Amiri" w:ascii="Amiri" w:hAnsi="Amiri"/>
          <w:color w:val="111111"/>
          <w:sz w:val="28"/>
          <w:szCs w:val="28"/>
          <w:rtl w:val="true"/>
          <w:lang w:bidi="ar-SA"/>
        </w:rPr>
        <w:t xml:space="preserve">»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سؤال السائل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بزكاة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يضعها في إخوانه و أهل ولايته</w:t>
      </w:r>
      <w:r>
        <w:rPr>
          <w:rFonts w:eastAsia="Amiri" w:cs="Amiri" w:ascii="Amiri" w:hAnsi="Amiri"/>
          <w:color w:val="111111"/>
          <w:sz w:val="28"/>
          <w:szCs w:val="28"/>
          <w:rtl w:val="true"/>
          <w:lang w:bidi="ar-SA"/>
        </w:rPr>
        <w:t xml:space="preserve">»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سؤال ابن أبي يعفور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الزكاة لمن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لأصحابك</w:t>
      </w:r>
      <w:r>
        <w:rPr>
          <w:rFonts w:eastAsia="Amiri" w:cs="Amiri" w:ascii="Amiri" w:hAnsi="Amiri"/>
          <w:color w:val="111111"/>
          <w:sz w:val="28"/>
          <w:szCs w:val="28"/>
          <w:rtl w:val="true"/>
          <w:lang w:bidi="ar-SA"/>
        </w:rPr>
        <w:t xml:space="preserve">»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سؤال ضريس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أموالنا ففي من نضعها؟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أهل ولايتك</w:t>
      </w:r>
      <w:r>
        <w:rPr>
          <w:rFonts w:eastAsia="Amiri" w:cs="Amiri" w:ascii="Amiri" w:hAnsi="Amiri"/>
          <w:color w:val="111111"/>
          <w:sz w:val="28"/>
          <w:szCs w:val="28"/>
          <w:rtl w:val="true"/>
          <w:lang w:bidi="ar-SA"/>
        </w:rPr>
        <w:t xml:space="preserve">»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مصححة أحمد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له قرابة كلهم يقول بك، و له زكاة أ يجوز أن يعطيهم جميع زكاته؟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يضع زكاته كلها في أهل بيته و هم يقولون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الغالب في القرابة و أهل البيت الشامل للنساء عدم العدالة الى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ورودها في مقام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اشتمالها على اشتراط الفقر، لأن المتأمّل في سياق الأسئلة المذكورة يعلم قطعا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صفة المستحق بعد صفة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لكل أحد، من الكتاب و السنة بالضرورة </w:t>
      </w:r>
      <w:r>
        <w:rPr>
          <w:rStyle w:val="FootnoteAnchor"/>
          <w:rtl w:val="true"/>
        </w:rPr>
        <w:footnoteReference w:id="2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ما ذكرنا عموم ما دلّ على أنّ اللّٰه عوّض للسادة الخمس عن الزكاة </w:t>
      </w:r>
      <w:r>
        <w:rPr>
          <w:rStyle w:val="FootnoteAnchor"/>
          <w:rtl w:val="true"/>
        </w:rPr>
        <w:footnoteReference w:id="2082"/>
      </w:r>
      <w:r>
        <w:rPr>
          <w:rFonts w:ascii="Amiri" w:hAnsi="Amiri" w:eastAsia="Amiri" w:cs="Amiri"/>
          <w:color w:val="111111"/>
          <w:sz w:val="28"/>
          <w:sz w:val="28"/>
          <w:szCs w:val="28"/>
          <w:rtl w:val="true"/>
          <w:lang w:bidi="ar-SA"/>
        </w:rPr>
        <w:t>، مع أنّ المعروف عدم اعتبار العدالة في مستحق الخمس، فيلزم حينئذ أن لا يكون ما يعطى الفاسق الهاشمي من الخمس عوضا عن الزكاة المحرمة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المرسلة المحكية عن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المؤمن الذي يعطى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المؤمن ثلاثة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عشرة آلاف، و يعطى الفاجر بقدر؛ لأن المؤمن ينفقها في طاعة اللّٰه، و الفاجر ينفقها في معصية اللّٰه</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المروي في تفسير العسكري عليه السلام عن آبائه عن النبي صلّى اللّٰه عليه و آله و سلم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يستحق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المستضعفون من شيعة محمد و آله الذين لم تقو بصائرهم، فأما من قويت بصيرته، و حسنت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بالولاية لأوليائه و البراءة من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فذلك أخوكم في الدين أمسّ بكم رحما من الآباء و الأمهات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ارفعوهم عن الزكاة و نزّهوهم عن أن تصبّوا عليهم أوساخكم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كان في النسخة غلط كثير و لذا اقتصرنا على موضع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ان الزكاة ينبغي أن يقسم في مستضعفي الشيعة الذين لم يقو بصائرهم، و أمّا العارفون الأتقياء الصلحاء فينبغي أن يواسي معهم في المال بالصّلة و الهدية، لا من الزكاة، و لا شكّ أنّ أرباب البصائر الضعيفة غالبا لا يخلون عن الكبائر كما هو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ما ورد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أدّى الناس زكاة أموالهم ما بقي مسلم فقيرا محتاجا</w:t>
      </w:r>
      <w:r>
        <w:rPr>
          <w:rFonts w:eastAsia="Amiri" w:cs="Amiri" w:ascii="Amiri" w:hAnsi="Amiri"/>
          <w:color w:val="111111"/>
          <w:sz w:val="28"/>
          <w:szCs w:val="28"/>
          <w:rtl w:val="true"/>
          <w:lang w:bidi="ar-SA"/>
        </w:rPr>
        <w:t xml:space="preserve">» </w:t>
      </w:r>
      <w:r>
        <w:rPr>
          <w:rStyle w:val="FootnoteAnchor"/>
          <w:rtl w:val="true"/>
        </w:rPr>
        <w:footnoteReference w:id="2084"/>
      </w:r>
      <w:r>
        <w:rPr>
          <w:rFonts w:ascii="Amiri" w:hAnsi="Amiri" w:eastAsia="Amiri" w:cs="Amiri"/>
          <w:color w:val="111111"/>
          <w:sz w:val="28"/>
          <w:sz w:val="28"/>
          <w:szCs w:val="28"/>
          <w:rtl w:val="true"/>
          <w:lang w:bidi="ar-SA"/>
        </w:rPr>
        <w:t>، فإنّ تخصيصه بالعدول في غاية البعد من السياق، و ما 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الصدقة على ذي الرحم الكاشح</w:t>
      </w:r>
      <w:r>
        <w:rPr>
          <w:rFonts w:eastAsia="Amiri" w:cs="Amiri" w:ascii="Amiri" w:hAnsi="Amiri"/>
          <w:color w:val="111111"/>
          <w:sz w:val="28"/>
          <w:szCs w:val="28"/>
          <w:rtl w:val="true"/>
          <w:lang w:bidi="ar-SA"/>
        </w:rPr>
        <w:t xml:space="preserve">» </w:t>
      </w:r>
      <w:r>
        <w:rPr>
          <w:rStyle w:val="FootnoteAnchor"/>
          <w:rtl w:val="true"/>
        </w:rPr>
        <w:footnoteReference w:id="2085"/>
      </w:r>
      <w:r>
        <w:rPr>
          <w:rFonts w:ascii="Amiri" w:hAnsi="Amiri" w:eastAsia="Amiri" w:cs="Amiri"/>
          <w:color w:val="111111"/>
          <w:sz w:val="28"/>
          <w:sz w:val="28"/>
          <w:szCs w:val="28"/>
          <w:rtl w:val="true"/>
          <w:lang w:bidi="ar-SA"/>
        </w:rPr>
        <w:t>، و ما ورد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المساكين بأنّهم أهل الزمانات </w:t>
      </w:r>
      <w:r>
        <w:rPr>
          <w:rStyle w:val="FootnoteAnchor"/>
          <w:rtl w:val="true"/>
        </w:rPr>
        <w:footnoteReference w:id="2086"/>
      </w:r>
      <w:r>
        <w:rPr>
          <w:rFonts w:ascii="Amiri" w:hAnsi="Amiri" w:eastAsia="Amiri" w:cs="Amiri"/>
          <w:color w:val="111111"/>
          <w:sz w:val="28"/>
          <w:sz w:val="28"/>
          <w:szCs w:val="28"/>
          <w:rtl w:val="true"/>
          <w:lang w:bidi="ar-SA"/>
        </w:rPr>
        <w:t>يدخل فيهم الرجال و النساء و الصبيان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إذا تتبعت الأخبار التي بأيدينا لا تكاد تجد رواية تدل على تقييد جميع العمومات المتقدمة و غيرها الواردة في مقام البيان بصورة عدالة المستحق، نعم ربما يدّعى دلالة مضمرة داود الصيرفي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شارب الخمر هل يعطى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087"/>
      </w:r>
      <w:r>
        <w:rPr>
          <w:rFonts w:ascii="Amiri" w:hAnsi="Amiri" w:eastAsia="Amiri" w:cs="Amiri"/>
          <w:color w:val="111111"/>
          <w:sz w:val="28"/>
          <w:sz w:val="28"/>
          <w:szCs w:val="28"/>
          <w:rtl w:val="true"/>
          <w:lang w:bidi="ar-SA"/>
        </w:rPr>
        <w:t>بناء على عدم القول بالفصل بين شرب الخمر و غيره، و فيها بعد الغض عن السند و عدم مقاومتها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w:t>
      </w:r>
    </w:p>
    <w:p>
      <w:pPr>
        <w:pStyle w:val="BookText"/>
        <w:rPr/>
      </w:pPr>
      <w:r>
        <w:rPr>
          <w:rFonts w:ascii="Amiri" w:hAnsi="Amiri" w:eastAsia="Amiri" w:cs="Amiri"/>
          <w:color w:val="111111"/>
          <w:sz w:val="28"/>
          <w:sz w:val="28"/>
          <w:szCs w:val="28"/>
          <w:rtl w:val="true"/>
          <w:lang w:bidi="ar-SA"/>
        </w:rPr>
        <w:t>الكثيرة الواردة مورد الحاجة من الكتاب و السنة، و من هنا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عامّ يقدّم على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دلالتها على اعتبار العدالة غير ظاهرة؛ لأنّ الظاهر من شارب الخمر هو المقيم عليه، و لعلّ النهي عن إعطائه انّ حصول الفقر في مثل هذا الفقير غالبا لاحتياجه إلى ثمن الخمر، و ما هو من لوازم شربه و المداومة عليه، فإن له مؤنا كثيرة لا تخفى، و ليس فقره باعتبار عجزه عن قوت السنة له و لعياله، و يحتمل أن يكون النهي لأجل رجاء كون منعه عن الزكاة، و التضييق عليه في المعاش أو إذلاله بحرمانه عمّا يوصل إلى أمثاله سببا لارتداعه عن فعله القبيح، و يحتمل أن يكون المنع لغير ما ذكرنا من الحكم و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فليس القول بالفصل بين المقيم على شرب الخمر و غيره من الكبائر التي لا دخل لها في تضييع المال كالغيبة مثلا خرقا للإجماع، و على تقدير كونه خرقا فالفصل بين المقيم على الكبيرة و بين مرتكبها </w:t>
      </w:r>
      <w:r>
        <w:rPr>
          <w:rStyle w:val="FootnoteAnchor"/>
          <w:rtl w:val="true"/>
        </w:rPr>
        <w:footnoteReference w:id="2088"/>
      </w:r>
      <w:r>
        <w:rPr>
          <w:rFonts w:ascii="Amiri" w:hAnsi="Amiri" w:eastAsia="Amiri" w:cs="Amiri"/>
          <w:color w:val="111111"/>
          <w:sz w:val="28"/>
          <w:sz w:val="28"/>
          <w:szCs w:val="28"/>
          <w:rtl w:val="true"/>
          <w:lang w:bidi="ar-SA"/>
        </w:rPr>
        <w:t>و لو مرّة، ليس خرقا، كيف و هو المحكي عن الإسكافي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يعطى شارب الخمر و لا المقيم على كبيرة </w:t>
      </w:r>
      <w:r>
        <w:rPr>
          <w:rStyle w:val="FootnoteAnchor"/>
          <w:rtl w:val="true"/>
        </w:rPr>
        <w:footnoteReference w:id="2089"/>
      </w:r>
      <w:r>
        <w:rPr>
          <w:rFonts w:ascii="Amiri" w:hAnsi="Amiri" w:eastAsia="Amiri" w:cs="Amiri"/>
          <w:color w:val="111111"/>
          <w:sz w:val="28"/>
          <w:sz w:val="28"/>
          <w:szCs w:val="28"/>
          <w:rtl w:val="true"/>
          <w:lang w:bidi="ar-SA"/>
        </w:rPr>
        <w:t>، و على تقدير عدم قدح الإسكافي و كون ذلك أيضا خرقا، فليس مجرّد ترك الكبيرة بمجرّد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لعدم التمكّن مع وجود ملكة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غاية الأمر أنّ ارتكاب الكبيرة رافع للاستحقاق الثابت قبله، و أين ذلك من العدالة التي هي إما الملكة، و إما حسن الظاهر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ثبوت الإجماع المركّب و عدم جواز الفصل بين المنع من إعطاء شارب الخمر و اعتبار العدالة،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كون هذه الرواية بضميمة الإجماع المركب معارضة لما تقدّم من العمومات بالخصوص، فكما يمكن التخصيص يمكن حمل النهي على الكراهة لرجاء ارتداعه، و لا نسلّم أولويّة مثل هذا التخصيص على مثل هذا المجاز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فالخروج عن تلك</w:t>
      </w:r>
    </w:p>
    <w:p>
      <w:pPr>
        <w:pStyle w:val="BookText"/>
        <w:rPr/>
      </w:pPr>
      <w:r>
        <w:rPr>
          <w:rFonts w:ascii="Amiri" w:hAnsi="Amiri" w:eastAsia="Amiri" w:cs="Amiri"/>
          <w:color w:val="111111"/>
          <w:sz w:val="28"/>
          <w:sz w:val="28"/>
          <w:szCs w:val="28"/>
          <w:rtl w:val="true"/>
          <w:lang w:bidi="ar-SA"/>
        </w:rPr>
        <w:t xml:space="preserve">العمومات بتلك الرواية الواحدة المخدوشة سندا و دلالة و إن انجبرت بالشهرة القديمة، و الإجماع المحكي عن السيدين </w:t>
      </w:r>
      <w:r>
        <w:rPr>
          <w:rStyle w:val="FootnoteAnchor"/>
          <w:rtl w:val="true"/>
        </w:rPr>
        <w:footnoteReference w:id="2090"/>
      </w:r>
      <w:r>
        <w:rPr>
          <w:rFonts w:ascii="Amiri" w:hAnsi="Amiri" w:eastAsia="Amiri" w:cs="Amiri"/>
          <w:color w:val="111111"/>
          <w:sz w:val="28"/>
          <w:sz w:val="28"/>
          <w:szCs w:val="28"/>
          <w:rtl w:val="true"/>
          <w:lang w:bidi="ar-SA"/>
        </w:rPr>
        <w:t xml:space="preserve">الموهنين بمخالفة الشهرة المتأخّرة، و قوم من القدماء </w:t>
      </w:r>
      <w:r>
        <w:rPr>
          <w:rStyle w:val="FootnoteAnchor"/>
          <w:rtl w:val="true"/>
        </w:rPr>
        <w:footnoteReference w:id="2091"/>
      </w:r>
      <w:r>
        <w:rPr>
          <w:rFonts w:ascii="Amiri" w:hAnsi="Amiri" w:eastAsia="Amiri" w:cs="Amiri"/>
          <w:color w:val="111111"/>
          <w:sz w:val="28"/>
          <w:sz w:val="28"/>
          <w:szCs w:val="28"/>
          <w:rtl w:val="true"/>
          <w:lang w:bidi="ar-SA"/>
        </w:rPr>
        <w:t>، و بالاطّلاع على فساد مستندهم في اعتبار هذا الشرط، خروج عن 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استدلوا لاعتبار العدالة بوجوه أخر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الفاسق غير مؤمن لمقابلتهما في قوله تعالى أَ فَمَنْ كٰانَ مُؤْمِناً كَمَنْ كٰانَ فٰاسِقاً لٰا يَسْتَوُونَ </w:t>
      </w:r>
      <w:r>
        <w:rPr>
          <w:rStyle w:val="FootnoteAnchor"/>
          <w:rtl w:val="true"/>
        </w:rPr>
        <w:footnoteReference w:id="2092"/>
      </w:r>
      <w:r>
        <w:rPr>
          <w:rFonts w:ascii="Amiri" w:hAnsi="Amiri" w:eastAsia="Amiri" w:cs="Amiri"/>
          <w:color w:val="111111"/>
          <w:sz w:val="28"/>
          <w:sz w:val="28"/>
          <w:szCs w:val="28"/>
          <w:rtl w:val="true"/>
          <w:lang w:bidi="ar-SA"/>
        </w:rPr>
        <w:t xml:space="preserve">، و لتعذيبه بالنار </w:t>
      </w:r>
      <w:r>
        <w:rPr>
          <w:rStyle w:val="FootnoteAnchor"/>
          <w:rtl w:val="true"/>
        </w:rPr>
        <w:footnoteReference w:id="2093"/>
      </w:r>
      <w:r>
        <w:rPr>
          <w:rFonts w:ascii="Amiri" w:hAnsi="Amiri" w:eastAsia="Amiri" w:cs="Amiri"/>
          <w:color w:val="111111"/>
          <w:sz w:val="28"/>
          <w:sz w:val="28"/>
          <w:szCs w:val="28"/>
          <w:rtl w:val="true"/>
          <w:lang w:bidi="ar-SA"/>
        </w:rPr>
        <w:t xml:space="preserve">مع ما ورد في الكتاب العزيز من أنّه لٰا يُخْزِي اللّٰهُ النَّبِيَّ وَ الَّذِينَ آمَنُوا مَعَهُ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المقدّمتين؛ لاحتمال التكفير في الدنيا، و العفو في الآخرة و لو لأجل الشفاعة، و احتمال اختصاص الآية بالمؤمنين مع النبي صلّى اللّٰه عليه و آله و سلم لا مطلق المؤمنين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 للمؤمن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الكافر بقرينة الحكم بخلوده في النار في الآية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انّ إعطاء الزكاة للفاسق إعانة له، و قد منع عنه جميع ما منع عن إعانة الفاسقين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 ما يدلّ على حرمة إعانة الفاسقين في غير فسقهم، نعم قد يقال ذلك في إعانة الظلمة بالخصوص، كيف و المشهور نصّا و فتوى جواز الصدقة المندوبة على المخالفين الذين هم أفسق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بنظير ذلك يجاب عما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إعطاء الزكاة للفاسق ركون إلى الظالم منهي عنه كتابا </w:t>
      </w:r>
      <w:r>
        <w:rPr>
          <w:rStyle w:val="FootnoteAnchor"/>
          <w:rtl w:val="true"/>
        </w:rPr>
        <w:footnoteReference w:id="2095"/>
      </w:r>
      <w:r>
        <w:rPr>
          <w:rFonts w:ascii="Amiri" w:hAnsi="Amiri" w:eastAsia="Amiri" w:cs="Amiri"/>
          <w:color w:val="111111"/>
          <w:sz w:val="28"/>
          <w:sz w:val="28"/>
          <w:szCs w:val="28"/>
          <w:rtl w:val="true"/>
          <w:lang w:bidi="ar-SA"/>
        </w:rPr>
        <w:t xml:space="preserve">و سنة </w:t>
      </w:r>
      <w:r>
        <w:rPr>
          <w:rStyle w:val="FootnoteAnchor"/>
          <w:rtl w:val="true"/>
        </w:rPr>
        <w:footnoteReference w:id="2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الفاسق محادد للّٰه و رسوله صلّى اللّٰه عليه و آله و سلم، و إعطائه موادّة منهيّ عنها في الكتاب العزيز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منع محادّته، و منع كون إعطائه موادّة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وجوه أخر أضعف من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يؤيد هذا بمنع الغارم في المعصية </w:t>
      </w:r>
      <w:r>
        <w:rPr>
          <w:rStyle w:val="FootnoteAnchor"/>
          <w:rtl w:val="true"/>
        </w:rPr>
        <w:footnoteReference w:id="2098"/>
      </w:r>
      <w:r>
        <w:rPr>
          <w:rFonts w:ascii="Amiri" w:hAnsi="Amiri" w:eastAsia="Amiri" w:cs="Amiri"/>
          <w:color w:val="111111"/>
          <w:sz w:val="28"/>
          <w:sz w:val="28"/>
          <w:szCs w:val="28"/>
          <w:rtl w:val="true"/>
          <w:lang w:bidi="ar-SA"/>
        </w:rPr>
        <w:t>و ابن السبيل العاصي بسفر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في ابن السبيل إنما هو لكونه من الجهات لا من المستحقين، و لا يرتاب أحد في عدم جواز صرف الزكاة في جهات المعاصي، مع أنّ المعصية المذكورة ربما لا تكون كبيرة و أما منع الغارم فهو أيضا من باب اشتراط كون المدفوع اليه غير عاص؛ لأنه ربما يكون قد تاب و ندم و صار من أجلّ الزهاد، بل لأنّ صرف الدين إنما وقع في جهة المعصية، و هذا في الفقراء غير مضرّ قطعا، و لذا يعطى هذا العاصي بعد التوبة، بل كل من أتلف ماله في جهات المعاصي من سهم الفقراء إجماعا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اعتبار عدم العصيان و لو بالتوبة في المستحق حين الدفع، و من هنا يعلم انّ إخراج العامل عن محل هذا </w:t>
      </w:r>
      <w:r>
        <w:rPr>
          <w:rStyle w:val="FootnoteAnchor"/>
          <w:rtl w:val="true"/>
        </w:rPr>
        <w:footnoteReference w:id="2099"/>
      </w:r>
      <w:r>
        <w:rPr>
          <w:rFonts w:ascii="Amiri" w:hAnsi="Amiri" w:eastAsia="Amiri" w:cs="Amiri"/>
          <w:color w:val="111111"/>
          <w:sz w:val="28"/>
          <w:sz w:val="28"/>
          <w:szCs w:val="28"/>
          <w:rtl w:val="true"/>
          <w:lang w:bidi="ar-SA"/>
        </w:rPr>
        <w:t xml:space="preserve">الخلاف غير جيد؛ لأن ما اجمع عليه هو اعتبار عدالته عند العمل </w:t>
      </w:r>
      <w:r>
        <w:rPr>
          <w:rStyle w:val="FootnoteAnchor"/>
          <w:rtl w:val="true"/>
        </w:rPr>
        <w:footnoteReference w:id="2100"/>
      </w:r>
      <w:r>
        <w:rPr>
          <w:rFonts w:ascii="Amiri" w:hAnsi="Amiri" w:eastAsia="Amiri" w:cs="Amiri"/>
          <w:color w:val="111111"/>
          <w:sz w:val="28"/>
          <w:sz w:val="28"/>
          <w:szCs w:val="28"/>
          <w:rtl w:val="true"/>
          <w:lang w:bidi="ar-SA"/>
        </w:rPr>
        <w:t>لا عند دفع الزكاة، بل هو حينئذ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ما عليه المتأخرون، و الأحوط ما عليه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الفرق بين اعتبار العدالة، سواء جعلناها الملكة أو حسن الظاهر و اعتبار مجانبة الكبائر، غير خفي كما نبّهنا عليه سابقا </w:t>
      </w:r>
      <w:r>
        <w:rPr>
          <w:rStyle w:val="FootnoteAnchor"/>
          <w:rtl w:val="true"/>
        </w:rPr>
        <w:footnoteReference w:id="2101"/>
      </w:r>
      <w:r>
        <w:rPr>
          <w:rFonts w:ascii="Amiri" w:hAnsi="Amiri" w:eastAsia="Amiri" w:cs="Amiri"/>
          <w:color w:val="111111"/>
          <w:sz w:val="28"/>
          <w:sz w:val="28"/>
          <w:szCs w:val="28"/>
          <w:rtl w:val="true"/>
          <w:lang w:bidi="ar-SA"/>
        </w:rPr>
        <w:t>و إن قلنا بعدم أخذ ترك منافيات المروّة في تعريف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أريد ملكة مجانبة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لفظ المجانبة و التجنب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ما ذكره الشهيد الثاني </w:t>
      </w:r>
      <w:r>
        <w:rPr>
          <w:rStyle w:val="FootnoteAnchor"/>
          <w:rtl w:val="true"/>
        </w:rPr>
        <w:footnoteReference w:id="2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اعتبار ذلك يرجع إلى اعتبار العدالة؛ بناء على عدم أخذ المروّة فيها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إهمال المروّة في العدالة مختص بالشهيد في النكت </w:t>
      </w:r>
      <w:r>
        <w:rPr>
          <w:rStyle w:val="FootnoteAnchor"/>
          <w:rtl w:val="true"/>
        </w:rPr>
        <w:footnoteReference w:id="2103"/>
      </w:r>
      <w:r>
        <w:rPr>
          <w:rFonts w:ascii="Amiri" w:hAnsi="Amiri" w:eastAsia="Amiri" w:cs="Amiri"/>
          <w:color w:val="111111"/>
          <w:sz w:val="28"/>
          <w:sz w:val="28"/>
          <w:szCs w:val="28"/>
          <w:rtl w:val="true"/>
          <w:lang w:bidi="ar-SA"/>
        </w:rPr>
        <w:t>، و هو مخالف لإطلاق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باشتراط العدالة بناء على دخول المروة في مفهومها كما يظهر منهم في باب الجماعة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أكثر أدلّة القدماء إنما تدل </w:t>
      </w:r>
      <w:r>
        <w:rPr>
          <w:rStyle w:val="FootnoteAnchor"/>
          <w:rtl w:val="true"/>
        </w:rPr>
        <w:footnoteReference w:id="2104"/>
      </w:r>
      <w:r>
        <w:rPr>
          <w:rFonts w:ascii="Amiri" w:hAnsi="Amiri" w:eastAsia="Amiri" w:cs="Amiri"/>
          <w:color w:val="111111"/>
          <w:sz w:val="28"/>
          <w:sz w:val="28"/>
          <w:szCs w:val="28"/>
          <w:rtl w:val="true"/>
          <w:lang w:bidi="ar-SA"/>
        </w:rPr>
        <w:t>على مانعية الفسق لا اشتراط العدالة، و هو أيضا معقد الإجماع المحكي عن السيّد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انفردت به الإمامية القول بأن الزكاة لا تخرج الى الفساق </w:t>
      </w:r>
      <w:r>
        <w:rPr>
          <w:rStyle w:val="FootnoteAnchor"/>
          <w:rtl w:val="true"/>
        </w:rPr>
        <w:footnoteReference w:id="2105"/>
      </w:r>
      <w:r>
        <w:rPr>
          <w:rFonts w:ascii="Amiri" w:hAnsi="Amiri" w:eastAsia="Amiri" w:cs="Amiri"/>
          <w:color w:val="111111"/>
          <w:sz w:val="28"/>
          <w:sz w:val="28"/>
          <w:szCs w:val="28"/>
          <w:rtl w:val="true"/>
          <w:lang w:bidi="ar-SA"/>
        </w:rPr>
        <w:t>إلا أنّ المشهور عنه دعوى الإجماع على اشتراط العدالة، و لو بنينا على جواز التعبير عن غير الفاسق بالعادل، و عن العادل بغير الفاسق؛ نظرا إلى ندرة وجود الواسطة، أمكن التصرّف في كلام السيّد و في كلام الحاكين عنه، و حيث كانت الأدلة خالية بالمرّة عن اشتراط ملكة العدالة، فغاية الأمر في مراعاة مذهب القدماء هو القول باعتبار عدم الفسق و إن لم تحصل ملكة العدالة، و حينئذ فيجوز إعطاء مجهول الحال نظرا إلى أصالة عدم تحقق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الفسق قد يحصل بما يوافق الأصل كترك الفرائض، مدفوعة بأنّ الترك من حيث هو لا يوجب الفسق، بل الموجب له هي المعصية التي قد تتحقق في ضمن الترك، فالأصل عدم تحقق المعصية و لو علمنا بالترك، كيف و إذا شككنا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العلم بحصول فسق منه كما هو الثابت في أغلب الناس، فهل يتمسّك بأصالة عدم التوبة و بقاء الفسق؟ أو بظهور عدم إخلال المسلم بما هو الواجب عليه من التوبة؟ الظاهر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ان الفاسق كما لا يجوز أن يعطى، كذا لا يجوز له الأخذ إذا أعطاه الجاهل 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عدم</w:t>
      </w:r>
      <w:r>
        <w:rPr>
          <w:rFonts w:eastAsia="Amiri" w:cs="Amiri" w:ascii="Amiri" w:hAnsi="Amiri"/>
          <w:color w:val="111111"/>
          <w:sz w:val="28"/>
          <w:szCs w:val="28"/>
          <w:rtl w:val="true"/>
          <w:lang w:bidi="ar-SA"/>
        </w:rPr>
        <w:t xml:space="preserve">] </w:t>
      </w:r>
      <w:r>
        <w:rPr>
          <w:rStyle w:val="FootnoteAnchor"/>
          <w:rtl w:val="true"/>
        </w:rPr>
        <w:footnoteReference w:id="2106"/>
      </w:r>
      <w:r>
        <w:rPr>
          <w:rFonts w:ascii="Amiri" w:hAnsi="Amiri" w:eastAsia="Amiri" w:cs="Amiri"/>
          <w:color w:val="111111"/>
          <w:sz w:val="28"/>
          <w:sz w:val="28"/>
          <w:szCs w:val="28"/>
          <w:rtl w:val="true"/>
          <w:lang w:bidi="ar-SA"/>
        </w:rPr>
        <w:t xml:space="preserve">الفسق شرط للاستحقاق كسائر الأوصاف، مثل الفقر و الايمان، و يحتمل عدم حرمة الأخذ إذا اعطي؛ لأنّ الأدلة دلّت على حرمة معونته و على حرمة إعطائه، لا على عدم حلّ الزكاة له، كما لا تحلّ للغني و الهاشمي، فيرجع فيه إلى عموم ما دل على جعل الزكاة قوتا للفقراء </w:t>
      </w:r>
      <w:r>
        <w:rPr>
          <w:rStyle w:val="FootnoteAnchor"/>
          <w:rtl w:val="true"/>
        </w:rPr>
        <w:footnoteReference w:id="2107"/>
      </w:r>
      <w:r>
        <w:rPr>
          <w:rFonts w:ascii="Amiri" w:hAnsi="Amiri" w:eastAsia="Amiri" w:cs="Amiri"/>
          <w:color w:val="111111"/>
          <w:sz w:val="28"/>
          <w:sz w:val="28"/>
          <w:szCs w:val="28"/>
          <w:rtl w:val="true"/>
          <w:lang w:bidi="ar-SA"/>
        </w:rPr>
        <w:t xml:space="preserve">، و ان الفقراء شركاء الأغنياء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اعتبار العدالة على القول به في الفقراء و المساكين و الغارمين و العاملين و ابن السبيل، و في بعض أفراد الرقاب كالمكاتب و من عجز عن الرقبة في الكفارة، و أما العبيد تحت الشدة، أو مطلقا مع عدم المستحق، أو مطلقا، فالظاهر عدم اعتبار العدالة فيها </w:t>
      </w:r>
      <w:r>
        <w:rPr>
          <w:rStyle w:val="FootnoteAnchor"/>
          <w:rtl w:val="true"/>
        </w:rPr>
        <w:footnoteReference w:id="2109"/>
      </w:r>
      <w:r>
        <w:rPr>
          <w:rFonts w:ascii="Amiri" w:hAnsi="Amiri" w:eastAsia="Amiri" w:cs="Amiri"/>
          <w:color w:val="111111"/>
          <w:sz w:val="28"/>
          <w:sz w:val="28"/>
          <w:szCs w:val="28"/>
          <w:rtl w:val="true"/>
          <w:lang w:bidi="ar-SA"/>
        </w:rPr>
        <w:t>لأنهما ليسا ممّن يعطى من الزكاة، و إنما يعتقان من الزكاة بعد اشترائهما، و أما في سبيل اللّٰه ففيه التفصيل المتقدّم في اعتبار الايمان</w:t>
      </w:r>
      <w:r>
        <w:rPr>
          <w:rFonts w:eastAsia="Amiri" w:cs="Amiri" w:ascii="Amiri" w:hAnsi="Amiri"/>
          <w:color w:val="111111"/>
          <w:sz w:val="28"/>
          <w:szCs w:val="28"/>
          <w:rtl w:val="true"/>
          <w:lang w:bidi="ar-SA"/>
        </w:rPr>
        <w:t>.</w:t>
      </w:r>
      <w:bookmarkStart w:id="141" w:name="pg19722_766401"/>
    </w:p>
    <w:p>
      <w:pPr>
        <w:pStyle w:val="Heading4"/>
        <w:numPr>
          <w:ilvl w:val="3"/>
          <w:numId w:val="1"/>
        </w:numPr>
        <w:rPr/>
      </w:pPr>
      <w:bookmarkStart w:id="142" w:name="__RefHeading___Toc2136374_2314609296"/>
      <w:bookmarkStart w:id="143" w:name="_Toc49"/>
      <w:bookmarkEnd w:id="141"/>
      <w:bookmarkEnd w:id="142"/>
      <w:r>
        <w:rPr>
          <w:rtl w:val="true"/>
        </w:rPr>
        <w:t xml:space="preserve">مسألة </w:t>
      </w:r>
      <w:r>
        <w:rPr>
          <w:rtl w:val="true"/>
        </w:rPr>
        <w:t>[</w:t>
      </w:r>
      <w:r>
        <w:rPr/>
        <w:t>40</w:t>
      </w:r>
      <w:r>
        <w:rPr>
          <w:rtl w:val="true"/>
        </w:rPr>
        <w:t>]</w:t>
      </w:r>
      <w:bookmarkEnd w:id="143"/>
    </w:p>
    <w:p>
      <w:pPr>
        <w:pStyle w:val="BookText"/>
        <w:rPr/>
      </w:pPr>
      <w:r>
        <w:rPr>
          <w:rFonts w:ascii="Amiri" w:hAnsi="Amiri" w:eastAsia="Amiri" w:cs="Amiri"/>
          <w:color w:val="111111"/>
          <w:sz w:val="28"/>
          <w:sz w:val="28"/>
          <w:szCs w:val="28"/>
          <w:rtl w:val="true"/>
          <w:lang w:bidi="ar-SA"/>
        </w:rPr>
        <w:t xml:space="preserve">لا يجوز أن يدفع الزكاة </w:t>
      </w:r>
      <w:r>
        <w:rPr>
          <w:rStyle w:val="FootnoteAnchor"/>
          <w:rtl w:val="true"/>
        </w:rPr>
        <w:footnoteReference w:id="2110"/>
      </w:r>
      <w:r>
        <w:rPr>
          <w:rFonts w:ascii="Amiri" w:hAnsi="Amiri" w:eastAsia="Amiri" w:cs="Amiri"/>
          <w:color w:val="111111"/>
          <w:sz w:val="28"/>
          <w:sz w:val="28"/>
          <w:szCs w:val="28"/>
          <w:rtl w:val="true"/>
          <w:lang w:bidi="ar-SA"/>
        </w:rPr>
        <w:t xml:space="preserve">إلى من تجب نفقته عليه مع يساره و بذله؛ للإجماع المستفيض نقله، كالأخبار المعلّلة بأنهم عيال لازمون له </w:t>
      </w:r>
      <w:r>
        <w:rPr>
          <w:rStyle w:val="FootnoteAnchor"/>
          <w:rtl w:val="true"/>
        </w:rPr>
        <w:footnoteReference w:id="211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يجبر على نفقتهم</w:t>
      </w:r>
      <w:r>
        <w:rPr>
          <w:rFonts w:eastAsia="Amiri" w:cs="Amiri" w:ascii="Amiri" w:hAnsi="Amiri"/>
          <w:color w:val="111111"/>
          <w:sz w:val="28"/>
          <w:szCs w:val="28"/>
          <w:rtl w:val="true"/>
          <w:lang w:bidi="ar-SA"/>
        </w:rPr>
        <w:t xml:space="preserve">» </w:t>
      </w:r>
      <w:r>
        <w:rPr>
          <w:rStyle w:val="FootnoteAnchor"/>
          <w:rtl w:val="true"/>
        </w:rPr>
        <w:footnoteReference w:id="2112"/>
      </w:r>
      <w:r>
        <w:rPr>
          <w:rFonts w:ascii="Amiri" w:hAnsi="Amiri" w:eastAsia="Amiri" w:cs="Amiri"/>
          <w:color w:val="111111"/>
          <w:sz w:val="28"/>
          <w:sz w:val="28"/>
          <w:szCs w:val="28"/>
          <w:rtl w:val="true"/>
          <w:lang w:bidi="ar-SA"/>
        </w:rPr>
        <w:t>، و بإزائها ما هو قابل للتأويل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المحكي عن المنتهى </w:t>
      </w:r>
      <w:r>
        <w:rPr>
          <w:rStyle w:val="FootnoteAnchor"/>
          <w:rtl w:val="true"/>
        </w:rPr>
        <w:footnoteReference w:id="2113"/>
      </w:r>
      <w:r>
        <w:rPr>
          <w:rFonts w:ascii="Amiri" w:hAnsi="Amiri" w:eastAsia="Amiri" w:cs="Amiri"/>
          <w:color w:val="111111"/>
          <w:sz w:val="28"/>
          <w:sz w:val="28"/>
          <w:szCs w:val="28"/>
          <w:rtl w:val="true"/>
          <w:lang w:bidi="ar-SA"/>
        </w:rPr>
        <w:t xml:space="preserve">كما في المعتبر </w:t>
      </w:r>
      <w:r>
        <w:rPr>
          <w:rStyle w:val="FootnoteAnchor"/>
          <w:rtl w:val="true"/>
        </w:rPr>
        <w:footnoteReference w:id="2114"/>
      </w:r>
      <w:r>
        <w:rPr>
          <w:rFonts w:ascii="Amiri" w:hAnsi="Amiri" w:eastAsia="Amiri" w:cs="Amiri"/>
          <w:color w:val="111111"/>
          <w:sz w:val="28"/>
          <w:sz w:val="28"/>
          <w:szCs w:val="28"/>
          <w:rtl w:val="true"/>
          <w:lang w:bidi="ar-SA"/>
        </w:rPr>
        <w:t xml:space="preserve">و المسالك </w:t>
      </w:r>
      <w:r>
        <w:rPr>
          <w:rStyle w:val="FootnoteAnchor"/>
          <w:rtl w:val="true"/>
        </w:rPr>
        <w:footnoteReference w:id="2115"/>
      </w:r>
      <w:r>
        <w:rPr>
          <w:rFonts w:ascii="Amiri" w:hAnsi="Amiri" w:eastAsia="Amiri" w:cs="Amiri"/>
          <w:color w:val="111111"/>
          <w:sz w:val="28"/>
          <w:sz w:val="28"/>
          <w:szCs w:val="28"/>
          <w:rtl w:val="true"/>
          <w:lang w:bidi="ar-SA"/>
        </w:rPr>
        <w:t>الاستدلال له بحصول الغنى لهم بالإنفاق، و هو ظاهر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تجب نفقته غنيّ مع بذل المنفق </w:t>
      </w:r>
      <w:r>
        <w:rPr>
          <w:rStyle w:val="FootnoteAnchor"/>
          <w:rtl w:val="true"/>
        </w:rPr>
        <w:footnoteReference w:id="2116"/>
      </w:r>
      <w:r>
        <w:rPr>
          <w:rFonts w:ascii="Amiri" w:hAnsi="Amiri" w:eastAsia="Amiri" w:cs="Amiri"/>
          <w:color w:val="111111"/>
          <w:sz w:val="28"/>
          <w:sz w:val="28"/>
          <w:szCs w:val="28"/>
          <w:rtl w:val="true"/>
          <w:lang w:bidi="ar-SA"/>
        </w:rPr>
        <w:t xml:space="preserve">، و هو الظاهر أيضا من جماعة من متأخري المتأخرين كصاحب المدارك </w:t>
      </w:r>
      <w:r>
        <w:rPr>
          <w:rStyle w:val="FootnoteAnchor"/>
          <w:rtl w:val="true"/>
        </w:rPr>
        <w:footnoteReference w:id="2117"/>
      </w:r>
      <w:r>
        <w:rPr>
          <w:rFonts w:ascii="Amiri" w:hAnsi="Amiri" w:eastAsia="Amiri" w:cs="Amiri"/>
          <w:color w:val="111111"/>
          <w:sz w:val="28"/>
          <w:sz w:val="28"/>
          <w:szCs w:val="28"/>
          <w:rtl w:val="true"/>
          <w:lang w:bidi="ar-SA"/>
        </w:rPr>
        <w:t xml:space="preserve">و شارحي الروضة </w:t>
      </w:r>
      <w:r>
        <w:rPr>
          <w:rStyle w:val="FootnoteAnchor"/>
          <w:rtl w:val="true"/>
        </w:rPr>
        <w:footnoteReference w:id="2118"/>
      </w:r>
      <w:r>
        <w:rPr>
          <w:rFonts w:ascii="Amiri" w:hAnsi="Amiri" w:eastAsia="Amiri" w:cs="Amiri"/>
          <w:color w:val="111111"/>
          <w:sz w:val="28"/>
          <w:sz w:val="28"/>
          <w:szCs w:val="28"/>
          <w:rtl w:val="true"/>
          <w:lang w:bidi="ar-SA"/>
        </w:rPr>
        <w:t xml:space="preserve">و المفاتيح </w:t>
      </w:r>
      <w:r>
        <w:rPr>
          <w:rStyle w:val="FootnoteAnchor"/>
          <w:rtl w:val="true"/>
        </w:rPr>
        <w:footnoteReference w:id="2119"/>
      </w:r>
      <w:r>
        <w:rPr>
          <w:rFonts w:ascii="Amiri" w:hAnsi="Amiri" w:eastAsia="Amiri" w:cs="Amiri"/>
          <w:color w:val="111111"/>
          <w:sz w:val="28"/>
          <w:sz w:val="28"/>
          <w:szCs w:val="28"/>
          <w:rtl w:val="true"/>
          <w:lang w:bidi="ar-SA"/>
        </w:rPr>
        <w:t>، و بأن دفع الزكاة المسقطة لوجوب</w:t>
      </w:r>
    </w:p>
    <w:p>
      <w:pPr>
        <w:pStyle w:val="BookText"/>
        <w:rPr/>
      </w:pPr>
      <w:r>
        <w:rPr>
          <w:rFonts w:ascii="Amiri" w:hAnsi="Amiri" w:eastAsia="Amiri" w:cs="Amiri"/>
          <w:color w:val="111111"/>
          <w:sz w:val="28"/>
          <w:sz w:val="28"/>
          <w:szCs w:val="28"/>
          <w:rtl w:val="true"/>
          <w:lang w:bidi="ar-SA"/>
        </w:rPr>
        <w:t>الإنفاق عنه صرف للزكاة في مئونته، فهو مخالف لأدلة الزكاة المشتملة على عنوان الإيتاء و الدفع و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الاستدلال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حصول الغنى؛ فإنّ الغني من عنده مئونة السنة له و لعياله الواجبي النفقة، فلو فرضنا لهذا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الإنفاق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عيالا تجب نفقتهم عليه، و المفروض عدم وجوب نفقتهم على منفقة، فلا ريب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المستلزم لجواز أخذه من المنفق 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تخصيص المنع بمن يجب نفقته على المزكّي أعظم شاهد على أنّ المنع ليس لأجل الغنى، و إلّا لم يفرّق بين المزكّي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 ذكرهم عدم وجوب الإنفاق شرطا لإعطاء الفقير، إذ على تقدير كونه راجعا إلى الغني فهو كاشتراط أن لا يكون للفقير ضيعة يكتفي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أنّ دفع الزكاة إليهم لا يصدق معه الإيتاء، كيف و صدق الإيتاء في الصدقة الواجبة و المندوبة على نهج واحد، و لا شكّ في صدق </w:t>
      </w:r>
      <w:r>
        <w:rPr>
          <w:rStyle w:val="FootnoteAnchor"/>
          <w:rtl w:val="true"/>
        </w:rPr>
        <w:footnoteReference w:id="2120"/>
      </w:r>
      <w:r>
        <w:rPr>
          <w:rFonts w:ascii="Amiri" w:hAnsi="Amiri" w:eastAsia="Amiri" w:cs="Amiri"/>
          <w:color w:val="111111"/>
          <w:sz w:val="28"/>
          <w:sz w:val="28"/>
          <w:szCs w:val="28"/>
          <w:rtl w:val="true"/>
          <w:lang w:bidi="ar-SA"/>
        </w:rPr>
        <w:t>الإيتاء بالنسبة إلى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يسلّم ما ذكر في العبد، حيث انّه لا يملك، و لذا استثنى جماعة </w:t>
      </w:r>
      <w:r>
        <w:rPr>
          <w:rStyle w:val="FootnoteAnchor"/>
          <w:rtl w:val="true"/>
        </w:rPr>
        <w:footnoteReference w:id="2121"/>
      </w:r>
      <w:r>
        <w:rPr>
          <w:rFonts w:ascii="Amiri" w:hAnsi="Amiri" w:eastAsia="Amiri" w:cs="Amiri"/>
          <w:color w:val="111111"/>
          <w:sz w:val="28"/>
          <w:sz w:val="28"/>
          <w:szCs w:val="28"/>
          <w:rtl w:val="true"/>
          <w:lang w:bidi="ar-SA"/>
        </w:rPr>
        <w:t>خصوص العبد ممن دفع إليه الزكاة و تبيّن أنّه واجب النفقة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يلزم من الإيتاء من سقوط النفقة عنه </w:t>
      </w:r>
      <w:r>
        <w:rPr>
          <w:rStyle w:val="FootnoteAnchor"/>
          <w:rtl w:val="true"/>
        </w:rPr>
        <w:footnoteReference w:id="2122"/>
      </w:r>
      <w:r>
        <w:rPr>
          <w:rFonts w:ascii="Amiri" w:hAnsi="Amiri" w:eastAsia="Amiri" w:cs="Amiri"/>
          <w:color w:val="111111"/>
          <w:sz w:val="28"/>
          <w:sz w:val="28"/>
          <w:szCs w:val="28"/>
          <w:rtl w:val="true"/>
          <w:lang w:bidi="ar-SA"/>
        </w:rPr>
        <w:t xml:space="preserve">لا يمنع من صحة الإيتاء؛ لأن إسقاط وجوب النفقة بإعطاء الزكاة الموجب لإزالة الفقر ممّا لا مانع منه، كيف و إسقاط بعض ما يلزمه من المئونة بالزكاة </w:t>
      </w:r>
      <w:r>
        <w:rPr>
          <w:rStyle w:val="FootnoteAnchor"/>
          <w:rtl w:val="true"/>
        </w:rPr>
        <w:footnoteReference w:id="2123"/>
      </w:r>
      <w:r>
        <w:rPr>
          <w:rFonts w:ascii="Amiri" w:hAnsi="Amiri" w:eastAsia="Amiri" w:cs="Amiri"/>
          <w:color w:val="111111"/>
          <w:sz w:val="28"/>
          <w:sz w:val="28"/>
          <w:szCs w:val="28"/>
          <w:rtl w:val="true"/>
          <w:lang w:bidi="ar-SA"/>
        </w:rPr>
        <w:t>ممّا لا إشكال فيه في كثير من</w:t>
      </w:r>
    </w:p>
    <w:p>
      <w:pPr>
        <w:pStyle w:val="BookText"/>
        <w:rPr/>
      </w:pPr>
      <w:r>
        <w:rPr>
          <w:rFonts w:ascii="Amiri" w:hAnsi="Amiri" w:eastAsia="Amiri" w:cs="Amiri"/>
          <w:color w:val="111111"/>
          <w:sz w:val="28"/>
          <w:sz w:val="28"/>
          <w:szCs w:val="28"/>
          <w:rtl w:val="true"/>
          <w:lang w:bidi="ar-SA"/>
        </w:rPr>
        <w:t xml:space="preserve">المقامات، كمن كان له أب و أخ فدفع إلى أخيه من الزكاة ما صار به غنيا بحيث اشترك مع أخيه الدافع في نفقة أبيهما </w:t>
      </w:r>
      <w:r>
        <w:rPr>
          <w:rStyle w:val="FootnoteAnchor"/>
          <w:rtl w:val="true"/>
        </w:rPr>
        <w:footnoteReference w:id="2124"/>
      </w:r>
      <w:r>
        <w:rPr>
          <w:rFonts w:ascii="Amiri" w:hAnsi="Amiri" w:eastAsia="Amiri" w:cs="Amiri"/>
          <w:color w:val="111111"/>
          <w:sz w:val="28"/>
          <w:sz w:val="28"/>
          <w:szCs w:val="28"/>
          <w:rtl w:val="true"/>
          <w:lang w:bidi="ar-SA"/>
        </w:rPr>
        <w:t xml:space="preserve">، فإن المالك قد أسقط بالزكاة نصف مئونة أبيه </w:t>
      </w:r>
      <w:r>
        <w:rPr>
          <w:rStyle w:val="FootnoteAnchor"/>
          <w:rtl w:val="true"/>
        </w:rPr>
        <w:footnoteReference w:id="2125"/>
      </w:r>
      <w:r>
        <w:rPr>
          <w:rFonts w:ascii="Amiri" w:hAnsi="Amiri" w:eastAsia="Amiri" w:cs="Amiri"/>
          <w:color w:val="111111"/>
          <w:sz w:val="28"/>
          <w:sz w:val="28"/>
          <w:szCs w:val="28"/>
          <w:rtl w:val="true"/>
          <w:lang w:bidi="ar-SA"/>
        </w:rPr>
        <w:t>عن نفسه،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يعد غنيا في صورة بذل النفقة له، و الوثوق بالبذل، و لا يكون في عياله من تجب عليه نفقته لو تمكن، فلا يجوز له أخذ الزكاة من المنفق اتّفاقا، بل و لا من غيره؛ وفاقا لما عن التذكرة </w:t>
      </w:r>
      <w:r>
        <w:rPr>
          <w:rStyle w:val="FootnoteAnchor"/>
          <w:rtl w:val="true"/>
        </w:rPr>
        <w:footnoteReference w:id="2126"/>
      </w:r>
      <w:r>
        <w:rPr>
          <w:rFonts w:ascii="Amiri" w:hAnsi="Amiri" w:eastAsia="Amiri" w:cs="Amiri"/>
          <w:color w:val="111111"/>
          <w:sz w:val="28"/>
          <w:sz w:val="28"/>
          <w:szCs w:val="28"/>
          <w:rtl w:val="true"/>
          <w:lang w:bidi="ar-SA"/>
        </w:rPr>
        <w:t xml:space="preserve">و شرح الإرشاد للمحقق الأردبيلي </w:t>
      </w:r>
      <w:r>
        <w:rPr>
          <w:rStyle w:val="FootnoteAnchor"/>
          <w:rtl w:val="true"/>
        </w:rPr>
        <w:footnoteReference w:id="2127"/>
      </w:r>
      <w:r>
        <w:rPr>
          <w:rFonts w:ascii="Amiri" w:hAnsi="Amiri" w:eastAsia="Amiri" w:cs="Amiri"/>
          <w:color w:val="111111"/>
          <w:sz w:val="28"/>
          <w:sz w:val="28"/>
          <w:szCs w:val="28"/>
          <w:rtl w:val="true"/>
          <w:lang w:bidi="ar-SA"/>
        </w:rPr>
        <w:t xml:space="preserve">، و اختاره في شرح المفاتيح </w:t>
      </w:r>
      <w:r>
        <w:rPr>
          <w:rStyle w:val="FootnoteAnchor"/>
          <w:rtl w:val="true"/>
        </w:rPr>
        <w:footnoteReference w:id="2128"/>
      </w:r>
      <w:r>
        <w:rPr>
          <w:rFonts w:ascii="IRNazanin" w:hAnsi="IRNazanin" w:eastAsia="IRNazanin"/>
          <w:color w:val="111111"/>
          <w:sz w:val="28"/>
          <w:sz w:val="28"/>
          <w:szCs w:val="28"/>
          <w:rtl w:val="true"/>
          <w:lang w:bidi="fa-IR"/>
        </w:rPr>
        <w:t xml:space="preserve">و الغنائم </w:t>
      </w:r>
      <w:r>
        <w:rPr>
          <w:rStyle w:val="FootnoteAnchor"/>
          <w:rtl w:val="true"/>
        </w:rPr>
        <w:footnoteReference w:id="2129"/>
      </w:r>
      <w:r>
        <w:rPr>
          <w:rFonts w:ascii="Amiri" w:hAnsi="Amiri" w:eastAsia="Amiri" w:cs="Amiri"/>
          <w:color w:val="111111"/>
          <w:sz w:val="28"/>
          <w:sz w:val="28"/>
          <w:szCs w:val="28"/>
          <w:rtl w:val="true"/>
          <w:lang w:bidi="ar-SA"/>
        </w:rPr>
        <w:t>لصدق الغنى عليه بعد اجتماع وصفي وجوب الإنفاق عليه و بذل المنفق، و إن كان كل واحد منهما لا يكفي في نفي الفقر عنه إلّا إذا امتنع المنفق، و قدر المنفق عليه على الاستيفاء و لو بمعونة الحاكم، لكنه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فالمحكي </w:t>
      </w:r>
      <w:r>
        <w:rPr>
          <w:rStyle w:val="FootnoteAnchor"/>
          <w:rtl w:val="true"/>
        </w:rPr>
        <w:footnoteReference w:id="2130"/>
      </w:r>
      <w:r>
        <w:rPr>
          <w:rFonts w:ascii="IRNazanin" w:hAnsi="IRNazanin" w:eastAsia="IRNazanin"/>
          <w:color w:val="111111"/>
          <w:sz w:val="28"/>
          <w:sz w:val="28"/>
          <w:szCs w:val="28"/>
          <w:rtl w:val="true"/>
          <w:lang w:bidi="fa-IR"/>
        </w:rPr>
        <w:t xml:space="preserve">عن المنتهى </w:t>
      </w:r>
      <w:r>
        <w:rPr>
          <w:rStyle w:val="FootnoteAnchor"/>
          <w:rtl w:val="true"/>
        </w:rPr>
        <w:footnoteReference w:id="2131"/>
      </w:r>
      <w:r>
        <w:rPr>
          <w:rFonts w:ascii="IRNazanin" w:hAnsi="IRNazanin" w:eastAsia="IRNazanin"/>
          <w:color w:val="111111"/>
          <w:sz w:val="28"/>
          <w:sz w:val="28"/>
          <w:szCs w:val="28"/>
          <w:rtl w:val="true"/>
          <w:lang w:bidi="fa-IR"/>
        </w:rPr>
        <w:t xml:space="preserve">و الدروس </w:t>
      </w:r>
      <w:r>
        <w:rPr>
          <w:rStyle w:val="FootnoteAnchor"/>
          <w:rtl w:val="true"/>
        </w:rPr>
        <w:footnoteReference w:id="2132"/>
      </w:r>
      <w:r>
        <w:rPr>
          <w:rFonts w:ascii="Amiri" w:hAnsi="Amiri" w:eastAsia="Amiri" w:cs="Amiri"/>
          <w:color w:val="111111"/>
          <w:sz w:val="28"/>
          <w:sz w:val="28"/>
          <w:szCs w:val="28"/>
          <w:rtl w:val="true"/>
          <w:lang w:bidi="ar-SA"/>
        </w:rPr>
        <w:t>و في حاشية الإرشاد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الأخذ </w:t>
      </w:r>
      <w:r>
        <w:rPr>
          <w:rStyle w:val="FootnoteAnchor"/>
          <w:rtl w:val="true"/>
        </w:rPr>
        <w:footnoteReference w:id="2133"/>
      </w:r>
      <w:r>
        <w:rPr>
          <w:rFonts w:ascii="Amiri" w:hAnsi="Amiri" w:eastAsia="Amiri" w:cs="Amiri"/>
          <w:color w:val="111111"/>
          <w:sz w:val="28"/>
          <w:sz w:val="28"/>
          <w:szCs w:val="28"/>
          <w:rtl w:val="true"/>
          <w:lang w:bidi="ar-SA"/>
        </w:rPr>
        <w:t xml:space="preserve">لعدم خروجه عن الفقر بالإنفاق، فكما يجب إنفاق القريب عليه لكونه فقيرا كذا يجوز لغيره دفع الزكاة إليه لذلك، و كما أنه لو تكفّل القريب أجنبي من باب الزكاة بحيث يوثق ببذله له، ثم صار قريبه غنيا، فلا يسقط بذلك وجوب إنفاقه عنه، كذلك وجوب الإنفاق لا يسقطه </w:t>
      </w:r>
      <w:r>
        <w:rPr>
          <w:rStyle w:val="FootnoteAnchor"/>
          <w:rtl w:val="true"/>
        </w:rPr>
        <w:footnoteReference w:id="2134"/>
      </w:r>
      <w:r>
        <w:rPr>
          <w:rFonts w:ascii="Amiri" w:hAnsi="Amiri" w:eastAsia="Amiri" w:cs="Amiri"/>
          <w:color w:val="111111"/>
          <w:sz w:val="28"/>
          <w:sz w:val="28"/>
          <w:szCs w:val="28"/>
          <w:rtl w:val="true"/>
          <w:lang w:bidi="ar-SA"/>
        </w:rPr>
        <w:t>جواز دفع الزكاة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لأنّه يكفي في الخروج أن يستحقّ الشخص عليه قريبه الإنفاق عليه و قيام القريب ببذل 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وجوب الإنفاق و جواز دفع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وجوب الإنفاق هو عدم القدرة على مئونة نفسه </w:t>
      </w:r>
      <w:r>
        <w:rPr>
          <w:rStyle w:val="FootnoteAnchor"/>
          <w:rtl w:val="true"/>
        </w:rPr>
        <w:footnoteReference w:id="2135"/>
      </w:r>
      <w:r>
        <w:rPr>
          <w:rFonts w:ascii="Amiri" w:hAnsi="Amiri" w:eastAsia="Amiri" w:cs="Amiri"/>
          <w:color w:val="111111"/>
          <w:sz w:val="28"/>
          <w:sz w:val="28"/>
          <w:szCs w:val="28"/>
          <w:rtl w:val="true"/>
          <w:lang w:bidi="ar-SA"/>
        </w:rPr>
        <w:t>، و هذا حاصل و إن تكفّله رجل من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جواز دفع الزكاة فموضوعه الحاجة و الفقر، و يرتفع بتملكه على غيره و لو من باب التكليف بمئونته </w:t>
      </w:r>
      <w:r>
        <w:rPr>
          <w:rStyle w:val="FootnoteAnchor"/>
          <w:rtl w:val="true"/>
        </w:rPr>
        <w:footnoteReference w:id="2136"/>
      </w:r>
      <w:r>
        <w:rPr>
          <w:rFonts w:ascii="Amiri" w:hAnsi="Amiri" w:eastAsia="Amiri" w:cs="Amiri"/>
          <w:color w:val="111111"/>
          <w:sz w:val="28"/>
          <w:sz w:val="28"/>
          <w:szCs w:val="28"/>
          <w:rtl w:val="true"/>
          <w:lang w:bidi="ar-SA"/>
        </w:rPr>
        <w:t>، فموضوع الزكاة يرتفع بالإنفاق الواجب، و موضوع الإنفاق لا يرتفع بدفع الزكاة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ما ذكرنا لو دفع أحد زكاة ماله إلى أولاد الأغنياء من ذوي الثروة عدّ دافعا إلى غير الفقراء، و إن لم يكن كذلك بأن لم يبذل له ما يليق بحاله كما و كيفا لإعساره </w:t>
      </w:r>
      <w:r>
        <w:rPr>
          <w:rStyle w:val="FootnoteAnchor"/>
          <w:rtl w:val="true"/>
        </w:rPr>
        <w:footnoteReference w:id="2137"/>
      </w:r>
      <w:r>
        <w:rPr>
          <w:rFonts w:ascii="Amiri" w:hAnsi="Amiri" w:eastAsia="Amiri" w:cs="Amiri"/>
          <w:color w:val="111111"/>
          <w:sz w:val="28"/>
          <w:sz w:val="28"/>
          <w:szCs w:val="28"/>
          <w:rtl w:val="true"/>
          <w:lang w:bidi="ar-SA"/>
        </w:rPr>
        <w:t xml:space="preserve">، أو امتناعه و عدم التمكّن من إجباره، أو كان له عيال يتكفّلهم، فالظاهر جواز أخذ الزكاة من غير المنفق وفاقا للمحكيّ عن المنتهى </w:t>
      </w:r>
      <w:r>
        <w:rPr>
          <w:rStyle w:val="FootnoteAnchor"/>
          <w:rtl w:val="true"/>
        </w:rPr>
        <w:footnoteReference w:id="2138"/>
      </w:r>
      <w:r>
        <w:rPr>
          <w:rFonts w:ascii="Amiri" w:hAnsi="Amiri" w:eastAsia="Amiri" w:cs="Amiri"/>
          <w:color w:val="111111"/>
          <w:sz w:val="28"/>
          <w:sz w:val="28"/>
          <w:szCs w:val="28"/>
          <w:rtl w:val="true"/>
          <w:lang w:bidi="ar-SA"/>
        </w:rPr>
        <w:t xml:space="preserve">و النهاية </w:t>
      </w:r>
      <w:r>
        <w:rPr>
          <w:rStyle w:val="FootnoteAnchor"/>
          <w:rtl w:val="true"/>
        </w:rPr>
        <w:footnoteReference w:id="2139"/>
      </w:r>
      <w:r>
        <w:rPr>
          <w:rFonts w:ascii="IRNazanin" w:hAnsi="IRNazanin" w:eastAsia="IRNazanin"/>
          <w:color w:val="111111"/>
          <w:sz w:val="28"/>
          <w:sz w:val="28"/>
          <w:szCs w:val="28"/>
          <w:rtl w:val="true"/>
          <w:lang w:bidi="fa-IR"/>
        </w:rPr>
        <w:t xml:space="preserve">و الجامع </w:t>
      </w:r>
      <w:r>
        <w:rPr>
          <w:rStyle w:val="FootnoteAnchor"/>
          <w:rtl w:val="true"/>
        </w:rPr>
        <w:footnoteReference w:id="2140"/>
      </w:r>
      <w:r>
        <w:rPr>
          <w:rFonts w:ascii="IRNazanin" w:hAnsi="IRNazanin" w:eastAsia="IRNazanin"/>
          <w:color w:val="111111"/>
          <w:sz w:val="28"/>
          <w:sz w:val="28"/>
          <w:szCs w:val="28"/>
          <w:rtl w:val="true"/>
          <w:lang w:bidi="fa-IR"/>
        </w:rPr>
        <w:t xml:space="preserve">و الدروس </w:t>
      </w:r>
      <w:r>
        <w:rPr>
          <w:rStyle w:val="FootnoteAnchor"/>
          <w:rtl w:val="true"/>
        </w:rPr>
        <w:footnoteReference w:id="2141"/>
      </w:r>
      <w:r>
        <w:rPr>
          <w:rFonts w:ascii="Amiri" w:hAnsi="Amiri" w:eastAsia="Amiri" w:cs="Amiri"/>
          <w:color w:val="111111"/>
          <w:sz w:val="28"/>
          <w:sz w:val="28"/>
          <w:szCs w:val="28"/>
          <w:rtl w:val="true"/>
          <w:lang w:bidi="ar-SA"/>
        </w:rPr>
        <w:t xml:space="preserve">و حاشية الشرائع </w:t>
      </w:r>
      <w:r>
        <w:rPr>
          <w:rStyle w:val="FootnoteAnchor"/>
          <w:rtl w:val="true"/>
        </w:rPr>
        <w:footnoteReference w:id="2142"/>
      </w:r>
      <w:r>
        <w:rPr>
          <w:rFonts w:ascii="Amiri" w:hAnsi="Amiri" w:eastAsia="Amiri" w:cs="Amiri"/>
          <w:color w:val="111111"/>
          <w:sz w:val="28"/>
          <w:sz w:val="28"/>
          <w:szCs w:val="28"/>
          <w:rtl w:val="true"/>
          <w:lang w:bidi="ar-SA"/>
        </w:rPr>
        <w:t xml:space="preserve">و المسالك </w:t>
      </w:r>
      <w:r>
        <w:rPr>
          <w:rStyle w:val="FootnoteAnchor"/>
          <w:rtl w:val="true"/>
        </w:rPr>
        <w:footnoteReference w:id="2143"/>
      </w:r>
      <w:r>
        <w:rPr>
          <w:rFonts w:ascii="Amiri" w:hAnsi="Amiri" w:eastAsia="Amiri" w:cs="Amiri"/>
          <w:color w:val="111111"/>
          <w:sz w:val="28"/>
          <w:sz w:val="28"/>
          <w:szCs w:val="28"/>
          <w:rtl w:val="true"/>
          <w:lang w:bidi="ar-SA"/>
        </w:rPr>
        <w:t>لأنّه غير واجد لمئونة عياله التي هي بمنزلة مئونة نفسه، فهو فقير؛ و لفحوى ما سيأتي من جواز الأخذ من غير المنفق للتوسعة على نفسه، فإنّ الجواز لسدّ رمق عياله أولى، بل الظاهر جواز أخذ</w:t>
      </w:r>
    </w:p>
    <w:p>
      <w:pPr>
        <w:pStyle w:val="BookText"/>
        <w:rPr/>
      </w:pPr>
      <w:r>
        <w:rPr>
          <w:rFonts w:ascii="Amiri" w:hAnsi="Amiri" w:eastAsia="Amiri" w:cs="Amiri"/>
          <w:color w:val="111111"/>
          <w:sz w:val="28"/>
          <w:sz w:val="28"/>
          <w:szCs w:val="28"/>
          <w:rtl w:val="true"/>
          <w:lang w:bidi="ar-SA"/>
        </w:rPr>
        <w:t>الزكاة من المنفق لو لا إطلاق الأخبار و معاقد الإجماعات المانعة عن دفع الزكاة إلى واجب النفقة، اللهم إلّا أن يحمل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تلك الصورة، بل على أخذ الزكاة لسدّ خلة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لا تصرف في سد خلّة واجب النفقة، بل يجب سدّ خلتهم مع قطع النظر عن وجوب الزكاة؛ لأنهم عياله لازمون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الأخبار </w:t>
      </w:r>
      <w:r>
        <w:rPr>
          <w:rStyle w:val="FootnoteAnchor"/>
          <w:rtl w:val="true"/>
        </w:rPr>
        <w:footnoteReference w:id="2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يجبر على نفقتهم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آخر </w:t>
      </w:r>
      <w:r>
        <w:rPr>
          <w:rStyle w:val="FootnoteAnchor"/>
          <w:rtl w:val="true"/>
        </w:rPr>
        <w:footnoteReference w:id="2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 زكاته وقاية لماله، على ما في بعض الروايات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فحوى ما سيجي‌ء من جواز صرف المالك الزكاة في التوسعة على عياله؛ فإنّ جواز التوسعة عليهم من الزكاة يستلزم جواز سدّ خلتهم الشاملة لجملة عيالهم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يلوح إلى ما ذكرنا في معنى الرواية قول شيخنا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ضابط الجواز 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القريب إنما يمنع دفعه لقريبه من سهم الفقراء لقوت نفسه مستقرا في وطنه، فلو كان من باقي الأصناف جاز الدفع إليه، و لذا لو أراد السفر اعطي ما زاد على نفقة الحضر، و كذا يعطى لنفقة زوجته و خادمه </w:t>
      </w:r>
      <w:r>
        <w:rPr>
          <w:rStyle w:val="FootnoteAnchor"/>
          <w:rtl w:val="true"/>
        </w:rPr>
        <w:footnoteReference w:id="2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أن الواجب هو الاقتصار على ما يحتاج إليه لنفقة عياله؟</w:t>
      </w:r>
    </w:p>
    <w:p>
      <w:pPr>
        <w:pStyle w:val="BookText"/>
        <w:rPr/>
      </w:pPr>
      <w:r>
        <w:rPr>
          <w:rFonts w:ascii="Amiri" w:hAnsi="Amiri" w:eastAsia="Amiri" w:cs="Amiri"/>
          <w:color w:val="111111"/>
          <w:sz w:val="28"/>
          <w:sz w:val="28"/>
          <w:szCs w:val="28"/>
          <w:rtl w:val="true"/>
          <w:lang w:bidi="ar-SA"/>
        </w:rPr>
        <w:t>أو يجوز الإغناء حتى به يستغني عن الإنفاق عليه؟ ظاهر صدق الفقير هو الثاني، لكن ظاهر كلام بعض هو الأوّل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جواز أخذ الزكاة للتوسعة من المنفق، فضلا عن غيره إذا</w:t>
      </w:r>
    </w:p>
    <w:p>
      <w:pPr>
        <w:pStyle w:val="BookText"/>
        <w:rPr/>
      </w:pPr>
      <w:r>
        <w:rPr>
          <w:rFonts w:ascii="Amiri" w:hAnsi="Amiri" w:eastAsia="Amiri" w:cs="Amiri"/>
          <w:color w:val="111111"/>
          <w:sz w:val="28"/>
          <w:sz w:val="28"/>
          <w:szCs w:val="28"/>
          <w:rtl w:val="true"/>
          <w:lang w:bidi="ar-SA"/>
        </w:rPr>
        <w:t>كان في معيشته فتور بدون الأخذ لدخوله في سد الخلّة، و صدق الفقير على واجب النفقة، و انصراف ما دلّ على المنع بصورة قيام المنفق بالإنفاق اللائق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يكون له ألف درهم يعمل بها، و قد وجبت عليه فيها الزكاة، و يكون فضله الذي يكتسب بماله كفاف عياله لطعامهم و كسوتهم و لا يسعه لأدمهم </w:t>
      </w:r>
      <w:r>
        <w:rPr>
          <w:rStyle w:val="FootnoteAnchor"/>
          <w:rtl w:val="true"/>
        </w:rPr>
        <w:footnoteReference w:id="2148"/>
      </w:r>
      <w:r>
        <w:rPr>
          <w:rFonts w:ascii="Amiri" w:hAnsi="Amiri" w:eastAsia="Amiri" w:cs="Amiri"/>
          <w:color w:val="111111"/>
          <w:sz w:val="28"/>
          <w:sz w:val="28"/>
          <w:szCs w:val="28"/>
          <w:rtl w:val="true"/>
          <w:lang w:bidi="ar-SA"/>
        </w:rPr>
        <w:t>و إنما يقوتهم في الطعام و الكسوة،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إلى زكاة ماله ذلك فليخرج منها شيئا قلّ أو كثر، فيعطيه بعض من تحلّ له الزكاة، و ليعد بما بقي من الزكاة على عياله فليشتر بذلك إدامهم، و ما يصلحهم في طعامهم في غير إسراف، و لا يأكل هو منه</w:t>
      </w:r>
      <w:r>
        <w:rPr>
          <w:rFonts w:eastAsia="Amiri" w:cs="Amiri" w:ascii="Amiri" w:hAnsi="Amiri"/>
          <w:color w:val="111111"/>
          <w:sz w:val="28"/>
          <w:szCs w:val="28"/>
          <w:rtl w:val="true"/>
          <w:lang w:bidi="ar-SA"/>
        </w:rPr>
        <w:t xml:space="preserve">» </w:t>
      </w:r>
      <w:r>
        <w:rPr>
          <w:rStyle w:val="FootnoteAnchor"/>
          <w:rtl w:val="true"/>
        </w:rPr>
        <w:footnoteReference w:id="2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صحيحة صفوان، عن إسحاق بن عمار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انّهما في مقام زكاة التجارة المندوبة، فيجوز التسامح فيها بإعطاء من لا يجوز إعطاؤه الواجبة، فاسدة جدّا، إذ بعد تسليم ظهور زكاة التجارة منه و منع احتمال بقاء مقدار النصاب من الألف درهم إلى تمام الحول فوجبت فيه الزكاة، لا ريب في أنّ المقام مقام بيان مصرف الزكاة المندوبة المتّحد مع مصرف الواجبة إجماعا، و أما التوسعة الزائدة على النفقة اللائقة التي لو فرض تملّكه لها أو لثمنها كان الزكاة عليه محرّمة، فالظاهر عدم جواز الأخذ من سهم الفقراء، بل مطلقا؛ لحصول الغنى على ما عرفت، خلافا لظاهر جماعة </w:t>
      </w:r>
      <w:r>
        <w:rPr>
          <w:rStyle w:val="FootnoteAnchor"/>
          <w:rtl w:val="true"/>
        </w:rPr>
        <w:footnoteReference w:id="2151"/>
      </w:r>
      <w:r>
        <w:rPr>
          <w:rFonts w:ascii="Amiri" w:hAnsi="Amiri" w:eastAsia="Amiri" w:cs="Amiri"/>
          <w:color w:val="111111"/>
          <w:sz w:val="28"/>
          <w:sz w:val="28"/>
          <w:szCs w:val="28"/>
          <w:rtl w:val="true"/>
          <w:lang w:bidi="ar-SA"/>
        </w:rPr>
        <w:t>لظاهر صحيحة ابن الحجاج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أبوه أو عمّه أو أخوه يكفيه مئونته، أ يأخذ من الزكاة فيوسّع به إن كان لا يوسّعون عليه</w:t>
      </w:r>
    </w:p>
    <w:p>
      <w:pPr>
        <w:pStyle w:val="BookText"/>
        <w:rPr/>
      </w:pPr>
      <w:r>
        <w:rPr>
          <w:rFonts w:ascii="Amiri" w:hAnsi="Amiri" w:eastAsia="Amiri" w:cs="Amiri"/>
          <w:color w:val="111111"/>
          <w:sz w:val="28"/>
          <w:sz w:val="28"/>
          <w:szCs w:val="28"/>
          <w:rtl w:val="true"/>
          <w:lang w:bidi="ar-SA"/>
        </w:rPr>
        <w:t>في كل ما يحتاج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152"/>
      </w:r>
      <w:r>
        <w:rPr>
          <w:rFonts w:ascii="Amiri" w:hAnsi="Amiri" w:eastAsia="Amiri" w:cs="Amiri"/>
          <w:color w:val="111111"/>
          <w:sz w:val="28"/>
          <w:sz w:val="28"/>
          <w:szCs w:val="28"/>
          <w:rtl w:val="true"/>
          <w:lang w:bidi="ar-SA"/>
        </w:rPr>
        <w:t>، لكن الظاهر منها إرادة التوسعة في مقابلة التضيّق، و لو سلّم ظهورها في إرادة الفضل عن النفقة اللائقة فلا بد أن تحمل على ما ذكرنا؛ لأنها لا تقاوم العمومات الكثيرة المانعة من إعطاء الغني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2153"/>
      </w:r>
      <w:r>
        <w:rPr>
          <w:rFonts w:ascii="Amiri" w:hAnsi="Amiri" w:eastAsia="Amiri" w:cs="Amiri"/>
          <w:color w:val="111111"/>
          <w:sz w:val="28"/>
          <w:sz w:val="28"/>
          <w:szCs w:val="28"/>
          <w:rtl w:val="true"/>
          <w:lang w:bidi="ar-SA"/>
        </w:rPr>
        <w:t xml:space="preserve">لو بني على أن وجوب الإنفاق لا يرفع الفقر كما سبق عن جماعة </w:t>
      </w:r>
      <w:r>
        <w:rPr>
          <w:rStyle w:val="FootnoteAnchor"/>
          <w:rtl w:val="true"/>
        </w:rPr>
        <w:footnoteReference w:id="2154"/>
      </w:r>
      <w:r>
        <w:rPr>
          <w:rFonts w:ascii="Amiri" w:hAnsi="Amiri" w:eastAsia="Amiri" w:cs="Amiri"/>
          <w:color w:val="111111"/>
          <w:sz w:val="28"/>
          <w:sz w:val="28"/>
          <w:szCs w:val="28"/>
          <w:rtl w:val="true"/>
          <w:lang w:bidi="ar-SA"/>
        </w:rPr>
        <w:t xml:space="preserve">جاز له الأخذ مطلقا من غير فرق بين أن يكون لأجل الإنفاق أو للتوسعة، فافهم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قلنا بجواز الأخذ للتوسعة فيبقى استثناء الزوجة من جواز الأخذ للتوسعة من المنفق و غيره؛ لأنها تطلب النفقة بعوض بضعها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كانت الزوجة ناشزة فالظاهر أنها كالمطيعة، و ظاهر المحقق في المعتبر </w:t>
      </w:r>
      <w:r>
        <w:rPr>
          <w:rStyle w:val="FootnoteAnchor"/>
          <w:rtl w:val="true"/>
        </w:rPr>
        <w:footnoteReference w:id="2156"/>
      </w:r>
      <w:r>
        <w:rPr>
          <w:rFonts w:ascii="Amiri" w:hAnsi="Amiri" w:eastAsia="Amiri" w:cs="Amiri"/>
          <w:color w:val="111111"/>
          <w:sz w:val="28"/>
          <w:sz w:val="28"/>
          <w:szCs w:val="28"/>
          <w:rtl w:val="true"/>
          <w:lang w:bidi="ar-SA"/>
        </w:rPr>
        <w:t xml:space="preserve">الإجماع على عدم الفرق بينهما </w:t>
      </w:r>
      <w:r>
        <w:rPr>
          <w:rStyle w:val="FootnoteAnchor"/>
          <w:rtl w:val="true"/>
        </w:rPr>
        <w:footnoteReference w:id="2157"/>
      </w:r>
      <w:r>
        <w:rPr>
          <w:rFonts w:ascii="Amiri" w:hAnsi="Amiri" w:eastAsia="Amiri" w:cs="Amiri"/>
          <w:color w:val="111111"/>
          <w:sz w:val="28"/>
          <w:sz w:val="28"/>
          <w:szCs w:val="28"/>
          <w:rtl w:val="true"/>
          <w:lang w:bidi="ar-SA"/>
        </w:rPr>
        <w:t>، و وجهه واضح؛ لتمكّنها من النفقة بالرجوع إلى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المنقطعة المشروطة لها النفقة بحكم الدائمة، كما أن الدائمة المسقطة لوجوب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كالمنقطعة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المملوك فصرح جماعة </w:t>
      </w:r>
      <w:r>
        <w:rPr>
          <w:rStyle w:val="FootnoteAnchor"/>
          <w:rtl w:val="true"/>
        </w:rPr>
        <w:footnoteReference w:id="2158"/>
      </w:r>
      <w:r>
        <w:rPr>
          <w:rFonts w:ascii="Amiri" w:hAnsi="Amiri" w:eastAsia="Amiri" w:cs="Amiri"/>
          <w:color w:val="111111"/>
          <w:sz w:val="28"/>
          <w:sz w:val="28"/>
          <w:szCs w:val="28"/>
          <w:rtl w:val="true"/>
          <w:lang w:bidi="ar-SA"/>
        </w:rPr>
        <w:t xml:space="preserve">بعدم جواز إعطائه، و علّله في المعتبر </w:t>
      </w:r>
      <w:r>
        <w:rPr>
          <w:rStyle w:val="FootnoteAnchor"/>
          <w:rtl w:val="true"/>
        </w:rPr>
        <w:footnoteReference w:id="2159"/>
      </w:r>
      <w:r>
        <w:rPr>
          <w:rFonts w:ascii="Amiri" w:hAnsi="Amiri" w:eastAsia="Amiri" w:cs="Amiri"/>
          <w:color w:val="111111"/>
          <w:sz w:val="28"/>
          <w:sz w:val="28"/>
          <w:szCs w:val="28"/>
          <w:rtl w:val="true"/>
          <w:lang w:bidi="ar-SA"/>
        </w:rPr>
        <w:t>بعدم التملك و بأنه غني بمولاة، و اقتصر في البيان على عدم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قلنا بملكه فهو في حكم ملك السيد </w:t>
      </w:r>
      <w:r>
        <w:rPr>
          <w:rStyle w:val="FootnoteAnchor"/>
          <w:rtl w:val="true"/>
        </w:rPr>
        <w:footnoteReference w:id="2160"/>
      </w:r>
      <w:r>
        <w:rPr>
          <w:rFonts w:ascii="Amiri" w:hAnsi="Amiri" w:eastAsia="Amiri" w:cs="Amiri"/>
          <w:color w:val="111111"/>
          <w:sz w:val="28"/>
          <w:sz w:val="28"/>
          <w:szCs w:val="28"/>
          <w:rtl w:val="true"/>
          <w:lang w:bidi="ar-SA"/>
        </w:rPr>
        <w:t>، و ظاهر من ذكره هنا في واجبي النفقة إنّ المانع</w:t>
      </w:r>
    </w:p>
    <w:p>
      <w:pPr>
        <w:pStyle w:val="BookText"/>
        <w:rPr/>
      </w:pPr>
      <w:r>
        <w:rPr>
          <w:rFonts w:ascii="Amiri" w:hAnsi="Amiri" w:eastAsia="Amiri" w:cs="Amiri"/>
          <w:color w:val="111111"/>
          <w:sz w:val="28"/>
          <w:sz w:val="28"/>
          <w:szCs w:val="28"/>
          <w:rtl w:val="true"/>
          <w:lang w:bidi="ar-SA"/>
        </w:rPr>
        <w:t xml:space="preserve">وجوب الإنفاق، و هو الظاهر من ذكره في أخبار المنع عن إعطاء واجبي النفقة؛ معللة بأنه يجبر على نفقتهم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أنفق المولى على عبده النفقة اللائقة، فلا يجوز له أخذ الزكاة من مولاه و لا من غيره، و إن عجز المولى عنها جاز له الأخذ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عرفا، على ما عرفت في غيره كما اعترف به الشهيدان </w:t>
      </w:r>
      <w:r>
        <w:rPr>
          <w:rStyle w:val="FootnoteAnchor"/>
          <w:rtl w:val="true"/>
        </w:rPr>
        <w:footnoteReference w:id="2162"/>
      </w:r>
      <w:r>
        <w:rPr>
          <w:rFonts w:ascii="IRNazanin" w:hAnsi="IRNazanin" w:eastAsia="IRNazanin"/>
          <w:color w:val="111111"/>
          <w:sz w:val="28"/>
          <w:sz w:val="28"/>
          <w:szCs w:val="28"/>
          <w:rtl w:val="true"/>
          <w:lang w:bidi="fa-IR"/>
        </w:rPr>
        <w:t xml:space="preserve">و الفاضلان </w:t>
      </w:r>
      <w:r>
        <w:rPr>
          <w:rStyle w:val="FootnoteAnchor"/>
          <w:rtl w:val="true"/>
        </w:rPr>
        <w:footnoteReference w:id="2163"/>
      </w:r>
      <w:r>
        <w:rPr>
          <w:rFonts w:ascii="Amiri" w:hAnsi="Amiri" w:eastAsia="Amiri" w:cs="Amiri"/>
          <w:color w:val="111111"/>
          <w:sz w:val="28"/>
          <w:sz w:val="28"/>
          <w:szCs w:val="28"/>
          <w:rtl w:val="true"/>
          <w:lang w:bidi="ar-SA"/>
        </w:rPr>
        <w:t>فيما تقدم في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الثاني فلصدق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لا مانع منه إلّا كونه غير مالك، أو في حكم غير المالك، أو انّ دفع المولى زكاته إليه لا يسمّى 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لو تبيّن كون المدفوع اليه عبدا للدافع لم يجز كما صرّح به غير واحد </w:t>
      </w:r>
      <w:r>
        <w:rPr>
          <w:rStyle w:val="FootnoteAnchor"/>
          <w:rtl w:val="true"/>
        </w:rPr>
        <w:footnoteReference w:id="2164"/>
      </w:r>
      <w:r>
        <w:rPr>
          <w:rFonts w:ascii="Amiri" w:hAnsi="Amiri" w:eastAsia="Amiri" w:cs="Amiri"/>
          <w:color w:val="111111"/>
          <w:sz w:val="28"/>
          <w:sz w:val="28"/>
          <w:szCs w:val="28"/>
          <w:rtl w:val="true"/>
          <w:lang w:bidi="ar-SA"/>
        </w:rPr>
        <w:t>مع اعترافهم بالإجزاء لو تبيّن اختلال الشروط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ورود الأخبار بأنّ العبد لا يعطي الزكاة، و لو كان له ألف ألف، و لا يعطى منها لو احتاج </w:t>
      </w:r>
      <w:r>
        <w:rPr>
          <w:rStyle w:val="FootnoteAnchor"/>
          <w:rtl w:val="true"/>
        </w:rPr>
        <w:footnoteReference w:id="2165"/>
      </w:r>
      <w:r>
        <w:rPr>
          <w:rFonts w:ascii="Amiri" w:hAnsi="Amiri" w:eastAsia="Amiri" w:cs="Amiri"/>
          <w:color w:val="111111"/>
          <w:sz w:val="28"/>
          <w:sz w:val="28"/>
          <w:szCs w:val="28"/>
          <w:rtl w:val="true"/>
          <w:lang w:bidi="ar-SA"/>
        </w:rPr>
        <w:t>، كما تقدّم في اشتراط الحرية في المزكي، و شي‌ء من ذلك لا يصلح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فلأنه إنما يمنع إذا ثبت أنّ حكم حصة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تمليكهم إياها</w:t>
      </w:r>
      <w:r>
        <w:rPr>
          <w:rFonts w:eastAsia="Amiri" w:cs="Amiri" w:ascii="Amiri" w:hAnsi="Amiri"/>
          <w:color w:val="111111"/>
          <w:sz w:val="28"/>
          <w:szCs w:val="28"/>
          <w:rtl w:val="true"/>
          <w:lang w:bidi="ar-SA"/>
        </w:rPr>
        <w:t xml:space="preserve">] </w:t>
      </w:r>
      <w:r>
        <w:rPr>
          <w:rStyle w:val="FootnoteAnchor"/>
          <w:rtl w:val="true"/>
        </w:rPr>
        <w:footnoteReference w:id="2166"/>
      </w:r>
      <w:r>
        <w:rPr>
          <w:rFonts w:ascii="Amiri" w:hAnsi="Amiri" w:eastAsia="Amiri" w:cs="Amiri"/>
          <w:color w:val="111111"/>
          <w:sz w:val="28"/>
          <w:sz w:val="28"/>
          <w:szCs w:val="28"/>
          <w:rtl w:val="true"/>
          <w:lang w:bidi="ar-SA"/>
        </w:rPr>
        <w:t xml:space="preserve">كما قد يتراءى من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Style w:val="FootnoteAnchor"/>
          <w:rtl w:val="true"/>
        </w:rPr>
        <w:footnoteReference w:id="2167"/>
      </w:r>
      <w:r>
        <w:rPr>
          <w:rFonts w:ascii="Amiri" w:hAnsi="Amiri" w:eastAsia="Amiri" w:cs="Amiri"/>
          <w:color w:val="111111"/>
          <w:sz w:val="28"/>
          <w:sz w:val="28"/>
          <w:szCs w:val="28"/>
          <w:rtl w:val="true"/>
          <w:lang w:bidi="ar-SA"/>
        </w:rPr>
        <w:t>، و من أمثال قوله عليه السلام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وصلت الى الفقير فهي بمنزلة مال </w:t>
      </w:r>
      <w:r>
        <w:rPr>
          <w:rStyle w:val="FootnoteAnchor"/>
          <w:rtl w:val="true"/>
        </w:rPr>
        <w:footnoteReference w:id="2168"/>
      </w:r>
      <w:r>
        <w:rPr>
          <w:rFonts w:ascii="Amiri" w:hAnsi="Amiri" w:eastAsia="Amiri" w:cs="Amiri"/>
          <w:color w:val="111111"/>
          <w:sz w:val="28"/>
          <w:sz w:val="28"/>
          <w:szCs w:val="28"/>
          <w:rtl w:val="true"/>
          <w:lang w:bidi="ar-SA"/>
        </w:rPr>
        <w:t>الفقير يصنع بها ما شاء</w:t>
      </w:r>
      <w:r>
        <w:rPr>
          <w:rFonts w:eastAsia="Amiri" w:cs="Amiri" w:ascii="Amiri" w:hAnsi="Amiri"/>
          <w:color w:val="111111"/>
          <w:sz w:val="28"/>
          <w:szCs w:val="28"/>
          <w:rtl w:val="true"/>
          <w:lang w:bidi="ar-SA"/>
        </w:rPr>
        <w:t xml:space="preserve">» </w:t>
      </w:r>
      <w:r>
        <w:rPr>
          <w:rStyle w:val="FootnoteAnchor"/>
          <w:rtl w:val="true"/>
        </w:rPr>
        <w:footnoteReference w:id="2169"/>
      </w:r>
      <w:r>
        <w:rPr>
          <w:rFonts w:ascii="IRNazanin" w:hAnsi="IRNazanin" w:eastAsia="IRNazanin"/>
          <w:color w:val="111111"/>
          <w:sz w:val="28"/>
          <w:sz w:val="28"/>
          <w:szCs w:val="28"/>
          <w:rtl w:val="true"/>
          <w:lang w:bidi="fa-IR"/>
        </w:rPr>
        <w:t>، و هو</w:t>
      </w:r>
    </w:p>
    <w:p>
      <w:pPr>
        <w:pStyle w:val="BookText"/>
        <w:rPr/>
      </w:pPr>
      <w:r>
        <w:rPr>
          <w:rFonts w:ascii="Amiri" w:hAnsi="Amiri" w:eastAsia="Amiri" w:cs="Amiri"/>
          <w:color w:val="111111"/>
          <w:sz w:val="28"/>
          <w:sz w:val="28"/>
          <w:szCs w:val="28"/>
          <w:rtl w:val="true"/>
          <w:lang w:bidi="ar-SA"/>
        </w:rPr>
        <w:t xml:space="preserve">ممنوع،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للاستحقاق، و مثل الرواية وارد مورد الغالب من كون الدفع على وجه التمليك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فيجوز صرف الزكاة إلى العبد بأن يقدّم إليه طعام يأكله كما ذكرنا في إعطاء الطفل، نعم لو أريد تسليمه بحيث يخرج عن ملك المزكّي قبل إتلاف العبد له اعتبر إذن السيّد، فيملكه هو أو العبد على الخلاف في مالكيته، فإن كان السيّد فقيرا جاز له الأخذ من العبد، و ان كان غنيا ممتنعا عن الإنفاق حرم عليه الأخذ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الا بدال، و لو عصى فأخذه فهو يملكه</w:t>
      </w:r>
      <w:r>
        <w:rPr>
          <w:rFonts w:eastAsia="Amiri" w:cs="Amiri" w:ascii="Amiri" w:hAnsi="Amiri"/>
          <w:color w:val="111111"/>
          <w:sz w:val="28"/>
          <w:szCs w:val="28"/>
          <w:rtl w:val="true"/>
          <w:lang w:bidi="ar-SA"/>
        </w:rPr>
        <w:t xml:space="preserve">]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يعتبر حينئذ إذنه للأخذ حتى يقع التسليم بدونه غير مخرج للمدفوع عن ملك الدافع؟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ذلك، و حينئذ فيصرف في العبد و إن لم يكن عبرة بتسليمه، كالطفل المصروف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فلمنع عدم صدق الإيتاء و الإعطاء و الصرف بعد عدم اعتبار التمليك </w:t>
      </w:r>
      <w:r>
        <w:rPr>
          <w:rStyle w:val="FootnoteAnchor"/>
          <w:rtl w:val="true"/>
        </w:rPr>
        <w:footnoteReference w:id="2171"/>
      </w:r>
      <w:r>
        <w:rPr>
          <w:rFonts w:ascii="Amiri" w:hAnsi="Amiri" w:eastAsia="Amiri" w:cs="Amiri"/>
          <w:color w:val="111111"/>
          <w:sz w:val="28"/>
          <w:sz w:val="28"/>
          <w:szCs w:val="28"/>
          <w:rtl w:val="true"/>
          <w:lang w:bidi="ar-SA"/>
        </w:rPr>
        <w:t xml:space="preserve">في حصّة الفقراء، و أما ما ذكروه من أنه لو تبيّن المدفوع اليه عبدا للدافع لم يجز، فالظاهر اختصاصه بغير صورة صرف الزكاة إليه بإطعامه الطعام من باب الزكاة، فإنه يصدق على ذلك صرف الزكاة، و لا نسلّم اعتبار الخروج عن الملك بالتسليم في الزكاة، مع أنّ هذا الوجه لو تمّ كان مانعا عن أخذ زكاة المولى لا غير، و به يندفع التمسّك في المنع عن أخذ زكاة المولى بالأخبار الواردة في حرمان واجبي النفقة </w:t>
      </w:r>
      <w:r>
        <w:rPr>
          <w:rStyle w:val="FootnoteAnchor"/>
          <w:rtl w:val="true"/>
        </w:rPr>
        <w:footnoteReference w:id="2172"/>
      </w:r>
      <w:r>
        <w:rPr>
          <w:rFonts w:ascii="Amiri" w:hAnsi="Amiri" w:eastAsia="Amiri" w:cs="Amiri"/>
          <w:color w:val="111111"/>
          <w:sz w:val="28"/>
          <w:sz w:val="28"/>
          <w:szCs w:val="28"/>
          <w:rtl w:val="true"/>
          <w:lang w:bidi="ar-SA"/>
        </w:rPr>
        <w:t>لو سلم كون المنع فيها تعبدا لا من جهة حصول الغنى، كما يشعر به التعليل بأنه يجبر على نفقتهم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المتقدمة في اشتراط الحرية في المزكي من أن العبد لا يزكي</w:t>
      </w:r>
    </w:p>
    <w:p>
      <w:pPr>
        <w:pStyle w:val="BookText"/>
        <w:rPr/>
      </w:pPr>
      <w:r>
        <w:rPr>
          <w:rFonts w:ascii="Amiri" w:hAnsi="Amiri" w:eastAsia="Amiri" w:cs="Amiri"/>
          <w:color w:val="111111"/>
          <w:sz w:val="28"/>
          <w:sz w:val="28"/>
          <w:szCs w:val="28"/>
          <w:rtl w:val="true"/>
          <w:lang w:bidi="ar-SA"/>
        </w:rPr>
        <w:t xml:space="preserve">مع الغنى و لا يعطى الزكاة مع الاحتياج </w:t>
      </w:r>
      <w:r>
        <w:rPr>
          <w:rStyle w:val="FootnoteAnchor"/>
          <w:rtl w:val="true"/>
        </w:rPr>
        <w:footnoteReference w:id="2173"/>
      </w:r>
      <w:r>
        <w:rPr>
          <w:rFonts w:ascii="Amiri" w:hAnsi="Amiri" w:eastAsia="Amiri" w:cs="Amiri"/>
          <w:color w:val="111111"/>
          <w:sz w:val="28"/>
          <w:sz w:val="28"/>
          <w:szCs w:val="28"/>
          <w:rtl w:val="true"/>
          <w:lang w:bidi="ar-SA"/>
        </w:rPr>
        <w:t xml:space="preserve">، فالظاهر أنّ المراد احتياج العبد في مقابل غناه المسبب عن كون طائفة من المال في يده مع إذن المولى له في التصرف فيها كيف شاء، و من المعلوم إن هذا </w:t>
      </w:r>
      <w:r>
        <w:rPr>
          <w:rStyle w:val="FootnoteAnchor"/>
          <w:rtl w:val="true"/>
        </w:rPr>
        <w:footnoteReference w:id="2174"/>
      </w:r>
      <w:r>
        <w:rPr>
          <w:rFonts w:ascii="Amiri" w:hAnsi="Amiri" w:eastAsia="Amiri" w:cs="Amiri"/>
          <w:color w:val="111111"/>
          <w:sz w:val="28"/>
          <w:sz w:val="28"/>
          <w:szCs w:val="28"/>
          <w:rtl w:val="true"/>
          <w:lang w:bidi="ar-SA"/>
        </w:rPr>
        <w:t xml:space="preserve">الاحتياج لا يحلّ أخذ الزكاة كما أن ذلك الغنى لا يوجب دفعها، بل العبرة في استحقاق الزكاة احتياج مولاه أو امتناع </w:t>
      </w:r>
      <w:r>
        <w:rPr>
          <w:rStyle w:val="FootnoteAnchor"/>
          <w:rtl w:val="true"/>
        </w:rPr>
        <w:footnoteReference w:id="2175"/>
      </w:r>
      <w:r>
        <w:rPr>
          <w:rFonts w:ascii="Amiri" w:hAnsi="Amiri" w:eastAsia="Amiri" w:cs="Amiri"/>
          <w:color w:val="111111"/>
          <w:sz w:val="28"/>
          <w:sz w:val="28"/>
          <w:szCs w:val="28"/>
          <w:rtl w:val="true"/>
          <w:lang w:bidi="ar-SA"/>
        </w:rPr>
        <w:t>مولاه الموجبين لاتّصافه بالفقر الحقيقي الموجب لاستحقاق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فجواز إعطاء العبد الفقير من سهم الفقراء لا يخلو عن قوة كما صرّح به في حاشيتي الإرشاد </w:t>
      </w:r>
      <w:r>
        <w:rPr>
          <w:rStyle w:val="FootnoteAnchor"/>
          <w:rtl w:val="true"/>
        </w:rPr>
        <w:footnoteReference w:id="2176"/>
      </w:r>
      <w:r>
        <w:rPr>
          <w:rFonts w:ascii="IRNazanin" w:hAnsi="IRNazanin" w:eastAsia="IRNazanin"/>
          <w:color w:val="111111"/>
          <w:sz w:val="28"/>
          <w:sz w:val="28"/>
          <w:szCs w:val="28"/>
          <w:rtl w:val="true"/>
          <w:lang w:bidi="fa-IR"/>
        </w:rPr>
        <w:t xml:space="preserve">و الشرائع </w:t>
      </w:r>
      <w:r>
        <w:rPr>
          <w:rStyle w:val="FootnoteAnchor"/>
          <w:rtl w:val="true"/>
        </w:rPr>
        <w:footnoteReference w:id="2177"/>
      </w:r>
      <w:r>
        <w:rPr>
          <w:rFonts w:ascii="Amiri" w:hAnsi="Amiri" w:eastAsia="Amiri" w:cs="Amiri"/>
          <w:color w:val="111111"/>
          <w:sz w:val="28"/>
          <w:sz w:val="28"/>
          <w:szCs w:val="28"/>
          <w:rtl w:val="true"/>
          <w:lang w:bidi="ar-SA"/>
        </w:rPr>
        <w:t xml:space="preserve">، و اختاره في المناهل </w:t>
      </w:r>
      <w:r>
        <w:rPr>
          <w:rStyle w:val="FootnoteAnchor"/>
          <w:rtl w:val="true"/>
        </w:rPr>
        <w:footnoteReference w:id="2178"/>
      </w:r>
      <w:r>
        <w:rPr>
          <w:rFonts w:ascii="Amiri" w:hAnsi="Amiri" w:eastAsia="Amiri" w:cs="Amiri"/>
          <w:color w:val="111111"/>
          <w:sz w:val="28"/>
          <w:sz w:val="28"/>
          <w:szCs w:val="28"/>
          <w:rtl w:val="true"/>
          <w:lang w:bidi="ar-SA"/>
        </w:rPr>
        <w:t xml:space="preserve">، و الأحوط أن يعطى </w:t>
      </w:r>
      <w:r>
        <w:rPr>
          <w:rStyle w:val="FootnoteAnchor"/>
          <w:rtl w:val="true"/>
        </w:rPr>
        <w:footnoteReference w:id="2179"/>
      </w:r>
      <w:r>
        <w:rPr>
          <w:rFonts w:ascii="Amiri" w:hAnsi="Amiri" w:eastAsia="Amiri" w:cs="Amiri"/>
          <w:color w:val="111111"/>
          <w:sz w:val="28"/>
          <w:sz w:val="28"/>
          <w:szCs w:val="28"/>
          <w:rtl w:val="true"/>
          <w:lang w:bidi="ar-SA"/>
        </w:rPr>
        <w:t>من سهم سبيل اللّٰه، و أحوط منه عدم إعطائه مطلقا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فيما ذكرنا بين وجوب الإنفاق بالأصالة، و بين الوجوب بنذر و شبهه؛ لعموم التعليل المتقدّم، و صدق الغنى معه، سيما إذا قلنا بأنّ المنذور له يملك على الناذر ذلك، و يستقرّ ذلك في ذمّته بمجرّد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وضوح جهة المنع فيما إذا وجب بشرط في ضمن عقد لازم</w:t>
      </w:r>
      <w:r>
        <w:rPr>
          <w:rFonts w:eastAsia="Amiri" w:cs="Amiri" w:ascii="Amiri" w:hAnsi="Amiri"/>
          <w:color w:val="111111"/>
          <w:sz w:val="28"/>
          <w:szCs w:val="28"/>
          <w:rtl w:val="true"/>
          <w:lang w:bidi="ar-SA"/>
        </w:rPr>
        <w:t>.</w:t>
      </w:r>
      <w:bookmarkStart w:id="144" w:name="pg19722_766411"/>
    </w:p>
    <w:p>
      <w:pPr>
        <w:pStyle w:val="Heading4"/>
        <w:numPr>
          <w:ilvl w:val="3"/>
          <w:numId w:val="1"/>
        </w:numPr>
        <w:rPr/>
      </w:pPr>
      <w:bookmarkStart w:id="145" w:name="__RefHeading___Toc2136376_2314609296"/>
      <w:bookmarkStart w:id="146" w:name="_Toc50"/>
      <w:bookmarkEnd w:id="144"/>
      <w:bookmarkEnd w:id="145"/>
      <w:r>
        <w:rPr>
          <w:rtl w:val="true"/>
        </w:rPr>
        <w:t xml:space="preserve">مسألة </w:t>
      </w:r>
      <w:r>
        <w:rPr>
          <w:rtl w:val="true"/>
        </w:rPr>
        <w:t>[</w:t>
      </w:r>
      <w:r>
        <w:rPr/>
        <w:t>41</w:t>
      </w:r>
      <w:r>
        <w:rPr>
          <w:rtl w:val="true"/>
        </w:rPr>
        <w:t>]</w:t>
      </w:r>
      <w:bookmarkEnd w:id="14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تحريم زكاة غير الهاشمي على الهاشمي، و عن جماعة </w:t>
      </w:r>
      <w:r>
        <w:rPr>
          <w:rStyle w:val="FootnoteAnchor"/>
          <w:rtl w:val="true"/>
        </w:rPr>
        <w:footnoteReference w:id="2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إجماع المسلمين عليه، و عن المنتهى </w:t>
      </w:r>
      <w:r>
        <w:rPr>
          <w:rStyle w:val="FootnoteAnchor"/>
          <w:rtl w:val="true"/>
        </w:rPr>
        <w:footnoteReference w:id="2181"/>
      </w:r>
      <w:r>
        <w:rPr>
          <w:rFonts w:ascii="Amiri" w:hAnsi="Amiri" w:eastAsia="Amiri" w:cs="Amiri"/>
          <w:color w:val="111111"/>
          <w:sz w:val="28"/>
          <w:sz w:val="28"/>
          <w:szCs w:val="28"/>
          <w:rtl w:val="true"/>
          <w:lang w:bidi="ar-SA"/>
        </w:rPr>
        <w:t xml:space="preserve">و شرح المفاتيح </w:t>
      </w:r>
      <w:r>
        <w:rPr>
          <w:rStyle w:val="FootnoteAnchor"/>
          <w:rtl w:val="true"/>
        </w:rPr>
        <w:footnoteReference w:id="2182"/>
      </w:r>
      <w:r>
        <w:rPr>
          <w:rFonts w:ascii="Amiri" w:hAnsi="Amiri" w:eastAsia="Amiri" w:cs="Amiri"/>
          <w:color w:val="111111"/>
          <w:sz w:val="28"/>
          <w:sz w:val="28"/>
          <w:szCs w:val="28"/>
          <w:rtl w:val="true"/>
          <w:lang w:bidi="ar-SA"/>
        </w:rPr>
        <w:t>دعوى تواتر الأخبار به، و هل تحرم على بني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الخلاف دعوى الإجماع عليه</w:t>
      </w:r>
      <w:r>
        <w:rPr>
          <w:rFonts w:eastAsia="Amiri" w:cs="Amiri" w:ascii="Amiri" w:hAnsi="Amiri"/>
          <w:color w:val="111111"/>
          <w:sz w:val="28"/>
          <w:szCs w:val="28"/>
          <w:rtl w:val="true"/>
          <w:lang w:bidi="ar-SA"/>
        </w:rPr>
        <w:t xml:space="preserve">- </w:t>
      </w:r>
      <w:r>
        <w:rPr>
          <w:rStyle w:val="FootnoteAnchor"/>
          <w:rtl w:val="true"/>
        </w:rPr>
        <w:footnoteReference w:id="2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 و العمومات</w:t>
      </w:r>
      <w:r>
        <w:rPr>
          <w:rFonts w:eastAsia="IRNazanin" w:cs="IRNazanin"/>
          <w:color w:val="111111"/>
          <w:sz w:val="28"/>
          <w:szCs w:val="28"/>
          <w:rtl w:val="true"/>
          <w:lang w:bidi="fa-IR"/>
        </w:rPr>
        <w:t xml:space="preserve">] </w:t>
      </w:r>
      <w:r>
        <w:rPr>
          <w:rStyle w:val="FootnoteAnchor"/>
          <w:rtl w:val="true"/>
        </w:rPr>
        <w:footnoteReference w:id="2184"/>
      </w:r>
      <w:r>
        <w:rPr>
          <w:rFonts w:ascii="Amiri" w:hAnsi="Amiri" w:eastAsia="Amiri" w:cs="Amiri"/>
          <w:color w:val="111111"/>
          <w:sz w:val="28"/>
          <w:sz w:val="28"/>
          <w:szCs w:val="28"/>
          <w:rtl w:val="true"/>
          <w:lang w:bidi="ar-SA"/>
        </w:rPr>
        <w:t xml:space="preserve">و ظاهر تخصيص بني هاشم في مورد الحكم بالتحريم، خلافا للمحكي عن الإسكافي </w:t>
      </w:r>
      <w:r>
        <w:rPr>
          <w:rStyle w:val="FootnoteAnchor"/>
          <w:rtl w:val="true"/>
        </w:rPr>
        <w:footnoteReference w:id="2185"/>
      </w:r>
      <w:r>
        <w:rPr>
          <w:rFonts w:ascii="Amiri" w:hAnsi="Amiri" w:eastAsia="Amiri" w:cs="Amiri"/>
          <w:color w:val="111111"/>
          <w:sz w:val="28"/>
          <w:sz w:val="28"/>
          <w:szCs w:val="28"/>
          <w:rtl w:val="true"/>
          <w:lang w:bidi="ar-SA"/>
        </w:rPr>
        <w:t xml:space="preserve">و المفيد </w:t>
      </w:r>
      <w:r>
        <w:rPr>
          <w:rStyle w:val="FootnoteAnchor"/>
          <w:rtl w:val="true"/>
        </w:rPr>
        <w:footnoteReference w:id="2186"/>
      </w:r>
      <w:r>
        <w:rPr>
          <w:rFonts w:ascii="Amiri" w:hAnsi="Amiri" w:eastAsia="Amiri" w:cs="Amiri"/>
          <w:color w:val="111111"/>
          <w:sz w:val="28"/>
          <w:sz w:val="28"/>
          <w:szCs w:val="28"/>
          <w:rtl w:val="true"/>
          <w:lang w:bidi="ar-SA"/>
        </w:rPr>
        <w:t>، لرواية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عدل </w:t>
      </w:r>
      <w:r>
        <w:rPr>
          <w:rStyle w:val="FootnoteAnchor"/>
          <w:rtl w:val="true"/>
        </w:rPr>
        <w:footnoteReference w:id="2187"/>
      </w:r>
      <w:r>
        <w:rPr>
          <w:rFonts w:ascii="Amiri" w:hAnsi="Amiri" w:eastAsia="Amiri" w:cs="Amiri"/>
          <w:color w:val="111111"/>
          <w:sz w:val="28"/>
          <w:sz w:val="28"/>
          <w:szCs w:val="28"/>
          <w:rtl w:val="true"/>
          <w:lang w:bidi="ar-SA"/>
        </w:rPr>
        <w:t>ما احتاج هاشمي و لا مطّلبي إلى صدقة، ان اللّٰه جعل لهم في كتابه ما كان فيه 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إذا لم يجد شيئا حلّت له الميتة، و الصدقة لا تحل لأحد منهم إلّا أن لا يجد</w:t>
      </w:r>
    </w:p>
    <w:p>
      <w:pPr>
        <w:pStyle w:val="BookText"/>
        <w:rPr/>
      </w:pPr>
      <w:r>
        <w:rPr>
          <w:rFonts w:ascii="Amiri" w:hAnsi="Amiri" w:eastAsia="Amiri" w:cs="Amiri"/>
          <w:color w:val="111111"/>
          <w:sz w:val="28"/>
          <w:sz w:val="28"/>
          <w:szCs w:val="28"/>
          <w:rtl w:val="true"/>
          <w:lang w:bidi="ar-SA"/>
        </w:rPr>
        <w:t>شيئا و يكون ممن تحل له الميتة</w:t>
      </w:r>
      <w:r>
        <w:rPr>
          <w:rFonts w:eastAsia="Amiri" w:cs="Amiri" w:ascii="Amiri" w:hAnsi="Amiri"/>
          <w:color w:val="111111"/>
          <w:sz w:val="28"/>
          <w:szCs w:val="28"/>
          <w:rtl w:val="true"/>
          <w:lang w:bidi="ar-SA"/>
        </w:rPr>
        <w:t xml:space="preserve">»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 بني المطّلب لم نفترق في جاهلية و لا إسلام، و نحن و هم شي‌ء واحد</w:t>
      </w:r>
      <w:r>
        <w:rPr>
          <w:rFonts w:eastAsia="Amiri" w:cs="Amiri" w:ascii="Amiri" w:hAnsi="Amiri"/>
          <w:color w:val="111111"/>
          <w:sz w:val="28"/>
          <w:szCs w:val="28"/>
          <w:rtl w:val="true"/>
          <w:lang w:bidi="ar-SA"/>
        </w:rPr>
        <w:t xml:space="preserve">»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لأنهم قرابة النبيّ صلّى اللّٰه عليه و آله و سلم فيدخلون في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المستحقين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عليهم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 المطّلبي على كون نسبته الى عبد المطلب،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مناف، و يكون عطفه على الهاشمي تفسيريا، مثل قوله تعالى لٰا تَرىٰ فِيهٰا عِوَجاً وَ لٰا أَمْتاً </w:t>
      </w:r>
      <w:r>
        <w:rPr>
          <w:rStyle w:val="FootnoteAnchor"/>
          <w:rtl w:val="true"/>
        </w:rPr>
        <w:footnoteReference w:id="2190"/>
      </w:r>
      <w:r>
        <w:rPr>
          <w:rFonts w:ascii="Amiri" w:hAnsi="Amiri" w:eastAsia="Amiri" w:cs="Amiri"/>
          <w:color w:val="111111"/>
          <w:sz w:val="28"/>
          <w:sz w:val="28"/>
          <w:szCs w:val="28"/>
          <w:rtl w:val="true"/>
          <w:lang w:bidi="ar-SA"/>
        </w:rPr>
        <w:t>و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w:t>
      </w:r>
      <w:r>
        <w:rPr>
          <w:rFonts w:eastAsia="Amiri" w:cs="Amiri" w:ascii="Amiri" w:hAnsi="Amiri"/>
          <w:color w:val="111111"/>
          <w:sz w:val="28"/>
          <w:szCs w:val="28"/>
          <w:rtl w:val="true"/>
          <w:lang w:bidi="ar-SA"/>
        </w:rPr>
        <w:t xml:space="preserve">]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الوجه في الملازمة بين دفع الناس الخمس، و بين حصول التوسعة للمطّلبيين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توسعة الهاشميين مستلزم لتوسعتهم لكمال اختلاطهم بهم لا لأجل استحقاقهم بأنفسهم للخمس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الأنسب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Style w:val="FootnoteAnchor"/>
          <w:rtl w:val="true"/>
        </w:rPr>
        <w:footnoteReference w:id="2192"/>
      </w:r>
      <w:r>
        <w:rPr>
          <w:rFonts w:ascii="Amiri" w:hAnsi="Amiri" w:eastAsia="Amiri" w:cs="Amiri"/>
          <w:color w:val="111111"/>
          <w:sz w:val="28"/>
          <w:sz w:val="28"/>
          <w:szCs w:val="28"/>
          <w:rtl w:val="true"/>
          <w:lang w:bidi="ar-SA"/>
        </w:rPr>
        <w:t>مقاومته للعمومات الكثيرة، و ما يستفاد من تخصيص بني هاشم بالذكر في الأخبار المعتضدة بالشهرة، و حكاية الإجماع</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ما ذكرنا بل يدل عليه قول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المرسلة الطويلة لحماد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هؤلاء الذين جعل اللّٰه لهم الخمس هم قرابة النبي صلّى اللّٰه عليه و آله و سلم الذين ذكرهم اللّٰه تعالى فقال وَ أَنْذِرْ عَشِيرَتَكَ الْأَقْرَبِينَ </w:t>
      </w:r>
      <w:r>
        <w:rPr>
          <w:rStyle w:val="FootnoteAnchor"/>
          <w:rtl w:val="true"/>
        </w:rPr>
        <w:footnoteReference w:id="2193"/>
      </w:r>
      <w:r>
        <w:rPr>
          <w:rFonts w:ascii="Amiri" w:hAnsi="Amiri" w:eastAsia="Amiri" w:cs="Amiri"/>
          <w:color w:val="111111"/>
          <w:sz w:val="28"/>
          <w:sz w:val="28"/>
          <w:szCs w:val="28"/>
          <w:rtl w:val="true"/>
          <w:lang w:bidi="ar-SA"/>
        </w:rPr>
        <w:t>و هم بنو عبد المطلب أنفسهم، الذكر منهم و الأنثى، ليس فيهم من بيوتات قريش و لا</w:t>
      </w:r>
    </w:p>
    <w:p>
      <w:pPr>
        <w:pStyle w:val="BookText"/>
        <w:rPr/>
      </w:pPr>
      <w:r>
        <w:rPr>
          <w:rFonts w:ascii="Amiri" w:hAnsi="Amiri" w:eastAsia="Amiri" w:cs="Amiri"/>
          <w:color w:val="111111"/>
          <w:sz w:val="28"/>
          <w:sz w:val="28"/>
          <w:szCs w:val="28"/>
          <w:rtl w:val="true"/>
          <w:lang w:bidi="ar-SA"/>
        </w:rPr>
        <w:t>من العرب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امه من بني هاشم و أبوه من سائر قريش فإن الصدقات تحلّ له</w:t>
      </w:r>
      <w:r>
        <w:rPr>
          <w:rFonts w:eastAsia="Amiri" w:cs="Amiri" w:ascii="Amiri" w:hAnsi="Amiri"/>
          <w:color w:val="111111"/>
          <w:sz w:val="28"/>
          <w:szCs w:val="28"/>
          <w:rtl w:val="true"/>
          <w:lang w:bidi="ar-SA"/>
        </w:rPr>
        <w:t xml:space="preserve">» </w:t>
      </w:r>
      <w:r>
        <w:rPr>
          <w:rStyle w:val="FootnoteAnchor"/>
          <w:rtl w:val="true"/>
        </w:rPr>
        <w:footnoteReference w:id="2194"/>
      </w:r>
      <w:r>
        <w:rPr>
          <w:rFonts w:ascii="Amiri" w:hAnsi="Amiri" w:eastAsia="Amiri" w:cs="Amiri"/>
          <w:color w:val="111111"/>
          <w:sz w:val="28"/>
          <w:sz w:val="28"/>
          <w:szCs w:val="28"/>
          <w:rtl w:val="true"/>
          <w:lang w:bidi="ar-SA"/>
        </w:rPr>
        <w:t>، و أما النبوي فضعيف بلا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الامام عليه السلام كما سيجي‌ء في الخمس، و إلّا فمطلق القرابة لا يوجب استحقاق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محيص عما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المعلّلة </w:t>
      </w:r>
      <w:r>
        <w:rPr>
          <w:rStyle w:val="FootnoteAnchor"/>
          <w:rtl w:val="true"/>
        </w:rPr>
        <w:footnoteReference w:id="2195"/>
      </w:r>
      <w:r>
        <w:rPr>
          <w:rFonts w:ascii="Amiri" w:hAnsi="Amiri" w:eastAsia="Amiri" w:cs="Amiri"/>
          <w:color w:val="111111"/>
          <w:sz w:val="28"/>
          <w:sz w:val="28"/>
          <w:szCs w:val="28"/>
          <w:rtl w:val="true"/>
          <w:lang w:bidi="ar-SA"/>
        </w:rPr>
        <w:t>للحكم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الصدقة أوساخ الناس</w:t>
      </w:r>
      <w:r>
        <w:rPr>
          <w:rFonts w:eastAsia="Amiri" w:cs="Amiri" w:ascii="Amiri" w:hAnsi="Amiri"/>
          <w:color w:val="111111"/>
          <w:sz w:val="28"/>
          <w:szCs w:val="28"/>
          <w:rtl w:val="true"/>
          <w:lang w:bidi="ar-SA"/>
        </w:rPr>
        <w:t xml:space="preserve">» </w:t>
      </w:r>
      <w:r>
        <w:rPr>
          <w:rStyle w:val="FootnoteAnchor"/>
          <w:rtl w:val="true"/>
        </w:rPr>
        <w:footnoteReference w:id="2196"/>
      </w:r>
      <w:r>
        <w:rPr>
          <w:rFonts w:ascii="Amiri" w:hAnsi="Amiri" w:eastAsia="Amiri" w:cs="Amiri"/>
          <w:color w:val="111111"/>
          <w:sz w:val="28"/>
          <w:sz w:val="28"/>
          <w:szCs w:val="28"/>
          <w:rtl w:val="true"/>
          <w:lang w:bidi="ar-SA"/>
        </w:rPr>
        <w:t xml:space="preserve">و الواردة في تحريم سهم العاملين </w:t>
      </w:r>
      <w:r>
        <w:rPr>
          <w:rStyle w:val="FootnoteAnchor"/>
          <w:rtl w:val="true"/>
        </w:rPr>
        <w:footnoteReference w:id="2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أشبه شي‌ء بأجرة العمل، حتى زعم بعض العامة انها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الفرق في الحكم بين السهام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حكمنا بجواز صرفه في الغني و الكافر، و ان تأمّل في التعميم كاشف الغطاء قدّس سرّه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عدم الخلاف في استثناء صورة الاضطرار مما ذكر من التحريم، و حكاية الإجماع عليه مستفيضة </w:t>
      </w:r>
      <w:r>
        <w:rPr>
          <w:rStyle w:val="FootnoteAnchor"/>
          <w:rtl w:val="true"/>
        </w:rPr>
        <w:footnoteReference w:id="2199"/>
      </w:r>
      <w:r>
        <w:rPr>
          <w:rFonts w:ascii="Amiri" w:hAnsi="Amiri" w:eastAsia="Amiri" w:cs="Amiri"/>
          <w:color w:val="111111"/>
          <w:sz w:val="28"/>
          <w:sz w:val="28"/>
          <w:szCs w:val="28"/>
          <w:rtl w:val="true"/>
          <w:lang w:bidi="ar-SA"/>
        </w:rPr>
        <w:t xml:space="preserve">، و يدل عليه الموثقة المتقدمة </w:t>
      </w:r>
      <w:r>
        <w:rPr>
          <w:rStyle w:val="FootnoteAnchor"/>
          <w:rtl w:val="true"/>
        </w:rPr>
        <w:footnoteReference w:id="2200"/>
      </w:r>
      <w:r>
        <w:rPr>
          <w:rFonts w:ascii="Amiri" w:hAnsi="Amiri" w:eastAsia="Amiri" w:cs="Amiri"/>
          <w:color w:val="111111"/>
          <w:sz w:val="28"/>
          <w:sz w:val="28"/>
          <w:szCs w:val="28"/>
          <w:rtl w:val="true"/>
          <w:lang w:bidi="ar-SA"/>
        </w:rPr>
        <w:t xml:space="preserve">، و لكن ظاهر المحكي عن جماعة كالسيدين في الانتصار </w:t>
      </w:r>
      <w:r>
        <w:rPr>
          <w:rStyle w:val="FootnoteAnchor"/>
          <w:rtl w:val="true"/>
        </w:rPr>
        <w:footnoteReference w:id="2201"/>
      </w:r>
      <w:r>
        <w:rPr>
          <w:rFonts w:ascii="Amiri" w:hAnsi="Amiri" w:eastAsia="Amiri" w:cs="Amiri"/>
          <w:color w:val="111111"/>
          <w:sz w:val="28"/>
          <w:sz w:val="28"/>
          <w:szCs w:val="28"/>
          <w:rtl w:val="true"/>
          <w:lang w:bidi="ar-SA"/>
        </w:rPr>
        <w:t xml:space="preserve">و الغنية </w:t>
      </w:r>
      <w:r>
        <w:rPr>
          <w:rStyle w:val="FootnoteAnchor"/>
          <w:rtl w:val="true"/>
        </w:rPr>
        <w:footnoteReference w:id="2202"/>
      </w:r>
      <w:r>
        <w:rPr>
          <w:rFonts w:ascii="Amiri" w:hAnsi="Amiri" w:eastAsia="Amiri" w:cs="Amiri"/>
          <w:color w:val="111111"/>
          <w:sz w:val="28"/>
          <w:sz w:val="28"/>
          <w:szCs w:val="28"/>
          <w:rtl w:val="true"/>
          <w:lang w:bidi="ar-SA"/>
        </w:rPr>
        <w:t xml:space="preserve">و الفاضلين في المعتبر </w:t>
      </w:r>
      <w:r>
        <w:rPr>
          <w:rStyle w:val="FootnoteAnchor"/>
          <w:rtl w:val="true"/>
        </w:rPr>
        <w:footnoteReference w:id="2203"/>
      </w:r>
      <w:r>
        <w:rPr>
          <w:rFonts w:ascii="IRNazanin" w:hAnsi="IRNazanin" w:eastAsia="IRNazanin"/>
          <w:color w:val="111111"/>
          <w:sz w:val="28"/>
          <w:sz w:val="28"/>
          <w:szCs w:val="28"/>
          <w:rtl w:val="true"/>
          <w:lang w:bidi="fa-IR"/>
        </w:rPr>
        <w:t xml:space="preserve">و الشرائع </w:t>
      </w:r>
      <w:r>
        <w:rPr>
          <w:rStyle w:val="FootnoteAnchor"/>
          <w:rtl w:val="true"/>
        </w:rPr>
        <w:footnoteReference w:id="2204"/>
      </w:r>
      <w:r>
        <w:rPr>
          <w:rFonts w:ascii="IRNazanin" w:hAnsi="IRNazanin" w:eastAsia="IRNazanin"/>
          <w:color w:val="111111"/>
          <w:sz w:val="28"/>
          <w:sz w:val="28"/>
          <w:szCs w:val="28"/>
          <w:rtl w:val="true"/>
          <w:lang w:bidi="fa-IR"/>
        </w:rPr>
        <w:t xml:space="preserve">و المختلف </w:t>
      </w:r>
      <w:r>
        <w:rPr>
          <w:rStyle w:val="FootnoteAnchor"/>
          <w:rtl w:val="true"/>
        </w:rPr>
        <w:footnoteReference w:id="2205"/>
      </w:r>
      <w:r>
        <w:rPr>
          <w:rFonts w:ascii="IRNazanin" w:hAnsi="IRNazanin" w:eastAsia="IRNazanin"/>
          <w:color w:val="111111"/>
          <w:sz w:val="28"/>
          <w:sz w:val="28"/>
          <w:szCs w:val="28"/>
          <w:rtl w:val="true"/>
          <w:lang w:bidi="fa-IR"/>
        </w:rPr>
        <w:t xml:space="preserve">و المنتهى </w:t>
      </w:r>
      <w:r>
        <w:rPr>
          <w:rStyle w:val="FootnoteAnchor"/>
          <w:rtl w:val="true"/>
        </w:rPr>
        <w:footnoteReference w:id="2206"/>
      </w:r>
      <w:r>
        <w:rPr>
          <w:rFonts w:ascii="Amiri" w:hAnsi="Amiri" w:eastAsia="Amiri" w:cs="Amiri"/>
          <w:color w:val="111111"/>
          <w:sz w:val="28"/>
          <w:sz w:val="28"/>
          <w:szCs w:val="28"/>
          <w:rtl w:val="true"/>
          <w:lang w:bidi="ar-SA"/>
        </w:rPr>
        <w:t>الاكتفاء في الجواز بعدم تمكنهم من</w:t>
      </w:r>
    </w:p>
    <w:p>
      <w:pPr>
        <w:pStyle w:val="BookText"/>
        <w:rPr/>
      </w:pPr>
      <w:r>
        <w:rPr>
          <w:rFonts w:ascii="Amiri" w:hAnsi="Amiri" w:eastAsia="Amiri" w:cs="Amiri"/>
          <w:color w:val="111111"/>
          <w:sz w:val="28"/>
          <w:sz w:val="28"/>
          <w:szCs w:val="28"/>
          <w:rtl w:val="true"/>
          <w:lang w:bidi="ar-SA"/>
        </w:rPr>
        <w:t xml:space="preserve">أخذ الأخماس، و هو بظاهره يدل على الجواز حتى مع التمكّن ممّا يجوز له أخذه، كزكاة مثله أو الصدقات المندوبة </w:t>
      </w:r>
      <w:r>
        <w:rPr>
          <w:rStyle w:val="FootnoteAnchor"/>
          <w:rtl w:val="true"/>
        </w:rPr>
        <w:footnoteReference w:id="2207"/>
      </w:r>
      <w:r>
        <w:rPr>
          <w:rFonts w:ascii="Amiri" w:hAnsi="Amiri" w:eastAsia="Amiri" w:cs="Amiri"/>
          <w:color w:val="111111"/>
          <w:sz w:val="28"/>
          <w:sz w:val="28"/>
          <w:szCs w:val="28"/>
          <w:rtl w:val="true"/>
          <w:lang w:bidi="ar-SA"/>
        </w:rPr>
        <w:t>، و هو في غاية الإشكال، بل ظاهر الموثّقة المعتضدة بعمومات التحريم المقتصر في تخصيصها على المتيقّن هو اعتبار الاضطرار في جواز الأخذ،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بالشي‌ء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نوعا آخر من الأخماس و الصدقات الجائزة له، لا مسمّى الشي‌ء، حتى يعتبر عدم تملكه لشي‌ء أصلا،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ممن يحلّ له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التنظير بمن لا يجد النوع المحلّل من القوت، لا خصوص اعتبار كون اضطرار الهاشمي إلى حدّ يباح معه أكل الميتة لو لا الزكاة، لأنّ هذا المقدار غير معتبر إجماعا على الظاهر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فحاصل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التناول لمن لا يجد ما يجوز أن يتناوله، و يكون التشبيه بين التعيّش من الزكاة و أكل الميتة في الجواز عند عدم وجدان ما يجوز أخذه، لا بين نفس الزكاة و نفس الميتة، فتكون الرواية حينئذ ساكتة عن مقدار المأخوذ، و عن وجوب الاقتصار على مقدار الضرورة، كما ذهب إليه جماعة من المتأخرين </w:t>
      </w:r>
      <w:r>
        <w:rPr>
          <w:rStyle w:val="FootnoteAnchor"/>
          <w:rtl w:val="true"/>
        </w:rPr>
        <w:footnoteReference w:id="2209"/>
      </w:r>
      <w:r>
        <w:rPr>
          <w:rFonts w:ascii="Amiri" w:hAnsi="Amiri" w:eastAsia="Amiri" w:cs="Amiri"/>
          <w:color w:val="111111"/>
          <w:sz w:val="28"/>
          <w:sz w:val="28"/>
          <w:szCs w:val="28"/>
          <w:rtl w:val="true"/>
          <w:lang w:bidi="ar-SA"/>
        </w:rPr>
        <w:t xml:space="preserve">متمسّكين بالموثّقة المنضمّة إلى عمومات الحرمة، خرج منها المتيقّن، خلافا للمحكي </w:t>
      </w:r>
      <w:r>
        <w:rPr>
          <w:rStyle w:val="FootnoteAnchor"/>
          <w:rtl w:val="true"/>
        </w:rPr>
        <w:footnoteReference w:id="2210"/>
      </w:r>
      <w:r>
        <w:rPr>
          <w:rFonts w:ascii="Amiri" w:hAnsi="Amiri" w:eastAsia="Amiri" w:cs="Amiri"/>
          <w:color w:val="111111"/>
          <w:sz w:val="28"/>
          <w:sz w:val="28"/>
          <w:szCs w:val="28"/>
          <w:rtl w:val="true"/>
          <w:lang w:bidi="ar-SA"/>
        </w:rPr>
        <w:t>عن الأكثر فلم يقدّروا المأخوذ بقدر؛ لأنّه إذا أبيح له الزكاة فلا تتقدّر بقدر؛ لما دلّ على جواز إغناء الفقير المستحقّ للزكاة، و هذا مستحقّ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مرجع هذا الاستدلال إلى ما ذكرنا من دلالة الرواية على جواز أخذ</w:t>
      </w:r>
    </w:p>
    <w:p>
      <w:pPr>
        <w:pStyle w:val="BookText"/>
        <w:rPr/>
      </w:pPr>
      <w:r>
        <w:rPr>
          <w:rFonts w:ascii="Amiri" w:hAnsi="Amiri" w:eastAsia="Amiri" w:cs="Amiri"/>
          <w:color w:val="111111"/>
          <w:sz w:val="28"/>
          <w:sz w:val="28"/>
          <w:szCs w:val="28"/>
          <w:rtl w:val="true"/>
          <w:lang w:bidi="ar-SA"/>
        </w:rPr>
        <w:t>الزكاة للهاشمي إذا لم يجد الخمس من غير تعرّض لمقدار المأخوذ، فيرجع فيه إلى عموم ما دلّ على جواز إغناء من يستحقّ الزكاة و إن كان استحقاقا عرضيا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بقدر الحاجة هل هو سد الرمق؟ كما عن كشف الرموز </w:t>
      </w:r>
      <w:r>
        <w:rPr>
          <w:rStyle w:val="FootnoteAnchor"/>
          <w:rtl w:val="true"/>
        </w:rPr>
        <w:footnoteReference w:id="2211"/>
      </w:r>
      <w:r>
        <w:rPr>
          <w:rFonts w:ascii="Amiri" w:hAnsi="Amiri" w:eastAsia="Amiri" w:cs="Amiri"/>
          <w:color w:val="111111"/>
          <w:sz w:val="28"/>
          <w:sz w:val="28"/>
          <w:szCs w:val="28"/>
          <w:rtl w:val="true"/>
          <w:lang w:bidi="ar-SA"/>
        </w:rPr>
        <w:t>، أو كفاية السنة؟ و هو المحكي عن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يعطى التكملة </w:t>
      </w:r>
      <w:r>
        <w:rPr>
          <w:rStyle w:val="FootnoteAnchor"/>
          <w:rtl w:val="true"/>
        </w:rPr>
        <w:footnoteReference w:id="2212"/>
      </w:r>
      <w:r>
        <w:rPr>
          <w:rFonts w:ascii="Amiri" w:hAnsi="Amiri" w:eastAsia="Amiri" w:cs="Amiri"/>
          <w:color w:val="111111"/>
          <w:sz w:val="28"/>
          <w:sz w:val="28"/>
          <w:szCs w:val="28"/>
          <w:rtl w:val="true"/>
          <w:lang w:bidi="ar-SA"/>
        </w:rPr>
        <w:t xml:space="preserve">لا غير </w:t>
      </w:r>
      <w:r>
        <w:rPr>
          <w:rStyle w:val="FootnoteAnchor"/>
          <w:rtl w:val="true"/>
        </w:rPr>
        <w:footnoteReference w:id="2213"/>
      </w:r>
      <w:r>
        <w:rPr>
          <w:rFonts w:ascii="IRNazanin" w:hAnsi="IRNazanin" w:eastAsia="IRNazanin"/>
          <w:color w:val="111111"/>
          <w:sz w:val="28"/>
          <w:sz w:val="28"/>
          <w:szCs w:val="28"/>
          <w:rtl w:val="true"/>
          <w:lang w:bidi="fa-IR"/>
        </w:rPr>
        <w:t xml:space="preserve">و نحوه عن جامع المقاصد </w:t>
      </w:r>
      <w:r>
        <w:rPr>
          <w:rStyle w:val="FootnoteAnchor"/>
          <w:rtl w:val="true"/>
        </w:rPr>
        <w:footnoteReference w:id="2214"/>
      </w:r>
      <w:r>
        <w:rPr>
          <w:rFonts w:ascii="Amiri" w:hAnsi="Amiri" w:eastAsia="Amiri" w:cs="Amiri"/>
          <w:color w:val="111111"/>
          <w:sz w:val="28"/>
          <w:sz w:val="28"/>
          <w:szCs w:val="28"/>
          <w:rtl w:val="true"/>
          <w:lang w:bidi="ar-SA"/>
        </w:rPr>
        <w:t xml:space="preserve">، أو قوت يوم و ليلة؟ كما هو مختار الشهيد </w:t>
      </w:r>
      <w:r>
        <w:rPr>
          <w:rStyle w:val="FootnoteAnchor"/>
          <w:rtl w:val="true"/>
        </w:rPr>
        <w:footnoteReference w:id="2215"/>
      </w:r>
      <w:r>
        <w:rPr>
          <w:rFonts w:ascii="IRNazanin" w:hAnsi="IRNazanin" w:eastAsia="IRNazanin"/>
          <w:color w:val="111111"/>
          <w:sz w:val="28"/>
          <w:sz w:val="28"/>
          <w:szCs w:val="28"/>
          <w:rtl w:val="true"/>
          <w:lang w:bidi="fa-IR"/>
        </w:rPr>
        <w:t xml:space="preserve">و المحقق </w:t>
      </w:r>
      <w:r>
        <w:rPr>
          <w:rStyle w:val="FootnoteAnchor"/>
          <w:rtl w:val="true"/>
        </w:rPr>
        <w:footnoteReference w:id="2216"/>
      </w:r>
      <w:r>
        <w:rPr>
          <w:rFonts w:ascii="Amiri" w:hAnsi="Amiri" w:eastAsia="Amiri" w:cs="Amiri"/>
          <w:color w:val="111111"/>
          <w:sz w:val="28"/>
          <w:sz w:val="28"/>
          <w:szCs w:val="28"/>
          <w:rtl w:val="true"/>
          <w:lang w:bidi="ar-SA"/>
        </w:rPr>
        <w:t xml:space="preserve">الثانيين و المحكي عن ابن فهد </w:t>
      </w:r>
      <w:r>
        <w:rPr>
          <w:rStyle w:val="FootnoteAnchor"/>
          <w:rtl w:val="true"/>
        </w:rPr>
        <w:footnoteReference w:id="2217"/>
      </w:r>
      <w:r>
        <w:rPr>
          <w:rFonts w:ascii="Amiri" w:hAnsi="Amiri" w:eastAsia="Amiri" w:cs="Amiri"/>
          <w:color w:val="111111"/>
          <w:sz w:val="28"/>
          <w:sz w:val="28"/>
          <w:szCs w:val="28"/>
          <w:rtl w:val="true"/>
          <w:lang w:bidi="ar-SA"/>
        </w:rPr>
        <w:t xml:space="preserve">أقوال، أنسبها بالموثقة المتقدّمة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و يكون ما يأخذه اضطرارا من الزكاة بدلا عن الخمس الذي لا يأخذ منه زيادة على كفايته، فيساوي مبدله </w:t>
      </w:r>
      <w:r>
        <w:rPr>
          <w:rStyle w:val="FootnoteAnchor"/>
          <w:rtl w:val="true"/>
        </w:rPr>
        <w:footnoteReference w:id="2219"/>
      </w:r>
      <w:r>
        <w:rPr>
          <w:rFonts w:ascii="Amiri" w:hAnsi="Amiri" w:eastAsia="Amiri" w:cs="Amiri"/>
          <w:color w:val="111111"/>
          <w:sz w:val="28"/>
          <w:sz w:val="28"/>
          <w:szCs w:val="28"/>
          <w:rtl w:val="true"/>
          <w:lang w:bidi="ar-SA"/>
        </w:rPr>
        <w:t>هو الثاني و الأوسط هو الثالث؛ لأن حمل الموثقة على تنظير نفس الزكاة بمنزلة الميتة بعيد عن السياق؛ لأنّ قوله عليه السلام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عدل ما احتاج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ثبوت الحاجة لهم فعلا بسبب عدم قوّة العدل الذي هو بمنزلة عدم وجوده،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لم يجد شيئا حلّت له الميتة</w:t>
      </w:r>
      <w:r>
        <w:rPr>
          <w:rFonts w:eastAsia="Amiri" w:cs="Amiri" w:ascii="Amiri" w:hAnsi="Amiri"/>
          <w:color w:val="111111"/>
          <w:sz w:val="28"/>
          <w:szCs w:val="28"/>
          <w:rtl w:val="true"/>
          <w:lang w:bidi="ar-SA"/>
        </w:rPr>
        <w:t xml:space="preserve">» </w:t>
      </w:r>
      <w:r>
        <w:rPr>
          <w:rStyle w:val="FootnoteAnchor"/>
          <w:rtl w:val="true"/>
        </w:rPr>
        <w:footnoteReference w:id="2220"/>
      </w:r>
      <w:r>
        <w:rPr>
          <w:rFonts w:ascii="Amiri" w:hAnsi="Amiri" w:eastAsia="Amiri" w:cs="Amiri"/>
          <w:color w:val="111111"/>
          <w:sz w:val="28"/>
          <w:sz w:val="28"/>
          <w:szCs w:val="28"/>
          <w:rtl w:val="true"/>
          <w:lang w:bidi="ar-SA"/>
        </w:rPr>
        <w:t>تمهيد لبيان حلّ الزكاة للهاشمي من جهة حاجتهم المفروضة في الفقرة السابقة، و لا ريب في أنّ حاجتهم لم تبلغ غالبا إلى حدّ إباحة الميتة، بل لا تبلغه حاجة أحد غالبا و لو كان من فقراء الكفّار، فإذا فرض أنّه لا يعتبر في</w:t>
      </w:r>
    </w:p>
    <w:p>
      <w:pPr>
        <w:pStyle w:val="BookText"/>
        <w:rPr/>
      </w:pPr>
      <w:r>
        <w:rPr>
          <w:rFonts w:ascii="Amiri" w:hAnsi="Amiri" w:eastAsia="Amiri" w:cs="Amiri"/>
          <w:color w:val="111111"/>
          <w:sz w:val="28"/>
          <w:sz w:val="28"/>
          <w:szCs w:val="28"/>
          <w:rtl w:val="true"/>
          <w:lang w:bidi="ar-SA"/>
        </w:rPr>
        <w:t>اضطرارهم بلوغه إلى ذلك، الحدّ فلا معنى لتحديد المأخوذ بما يسدّ الرمق؛ لأنّه شي‌ء يجده المحتاج المذكور قبل الأخذ، مع أنّه حرج شديد منفيّ، و مع أنّه لا يلائم حكمة التحريم التي هي ترفّعهم عن أوساخ الناس؛ فإنّها لا تقتضي هذا المقدار من التضييق، بل تقتضي ارتفاعها بمجرد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أريد بأخذ ما يسدّ الرمق أخذ ما يكفي </w:t>
      </w:r>
      <w:r>
        <w:rPr>
          <w:rStyle w:val="FootnoteAnchor"/>
          <w:rtl w:val="true"/>
        </w:rPr>
        <w:footnoteReference w:id="2221"/>
      </w:r>
      <w:r>
        <w:rPr>
          <w:rFonts w:ascii="Amiri" w:hAnsi="Amiri" w:eastAsia="Amiri" w:cs="Amiri"/>
          <w:color w:val="111111"/>
          <w:sz w:val="28"/>
          <w:sz w:val="28"/>
          <w:szCs w:val="28"/>
          <w:rtl w:val="true"/>
          <w:lang w:bidi="ar-SA"/>
        </w:rPr>
        <w:t xml:space="preserve">لسدّ رمقه في السنة فيكون </w:t>
      </w:r>
      <w:r>
        <w:rPr>
          <w:rStyle w:val="FootnoteAnchor"/>
          <w:rtl w:val="true"/>
        </w:rPr>
        <w:footnoteReference w:id="2222"/>
      </w:r>
      <w:r>
        <w:rPr>
          <w:rFonts w:ascii="Amiri" w:hAnsi="Amiri" w:eastAsia="Amiri" w:cs="Amiri"/>
          <w:color w:val="111111"/>
          <w:sz w:val="28"/>
          <w:sz w:val="28"/>
          <w:szCs w:val="28"/>
          <w:rtl w:val="true"/>
          <w:lang w:bidi="ar-SA"/>
        </w:rPr>
        <w:t>الفرق بينه و بين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أخذ المئونة المتعارفة للسنة على القول الثاني دون هذا القول، لم يخرج عن الحرج و إن لم يكن بتلك المبالغة </w:t>
      </w:r>
      <w:r>
        <w:rPr>
          <w:rStyle w:val="FootnoteAnchor"/>
          <w:rtl w:val="true"/>
        </w:rPr>
        <w:footnoteReference w:id="2223"/>
      </w:r>
      <w:r>
        <w:rPr>
          <w:rFonts w:ascii="Amiri" w:hAnsi="Amiri" w:eastAsia="Amiri" w:cs="Amiri"/>
          <w:color w:val="111111"/>
          <w:sz w:val="28"/>
          <w:sz w:val="28"/>
          <w:szCs w:val="28"/>
          <w:rtl w:val="true"/>
          <w:lang w:bidi="ar-SA"/>
        </w:rPr>
        <w:t xml:space="preserve">لظاهر الرواية؛ فالأولى في معنى الرواية تنظير التعيّش من الزكاة حيث لا معيشة له من غيرها </w:t>
      </w:r>
      <w:r>
        <w:rPr>
          <w:rStyle w:val="FootnoteAnchor"/>
          <w:rtl w:val="true"/>
        </w:rPr>
        <w:footnoteReference w:id="2224"/>
      </w:r>
      <w:r>
        <w:rPr>
          <w:rFonts w:ascii="Amiri" w:hAnsi="Amiri" w:eastAsia="Amiri" w:cs="Amiri"/>
          <w:color w:val="111111"/>
          <w:sz w:val="28"/>
          <w:sz w:val="28"/>
          <w:szCs w:val="28"/>
          <w:rtl w:val="true"/>
          <w:lang w:bidi="ar-SA"/>
        </w:rPr>
        <w:t xml:space="preserve">بمنزلة أكل الميتة في الجواز مع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تشبيه ما يسدّ الخلّة من الزكاة بالميتة</w:t>
      </w:r>
      <w:r>
        <w:rPr>
          <w:rFonts w:eastAsia="Amiri" w:cs="Amiri" w:ascii="Amiri" w:hAnsi="Amiri"/>
          <w:color w:val="111111"/>
          <w:sz w:val="28"/>
          <w:szCs w:val="28"/>
          <w:rtl w:val="true"/>
          <w:lang w:bidi="ar-SA"/>
        </w:rPr>
        <w:t xml:space="preserve">] </w:t>
      </w:r>
      <w:r>
        <w:rPr>
          <w:rStyle w:val="FootnoteAnchor"/>
          <w:rtl w:val="true"/>
        </w:rPr>
        <w:footnoteReference w:id="2225"/>
      </w:r>
      <w:r>
        <w:rPr>
          <w:rFonts w:ascii="Amiri" w:hAnsi="Amiri" w:eastAsia="Amiri" w:cs="Amiri"/>
          <w:color w:val="111111"/>
          <w:sz w:val="28"/>
          <w:sz w:val="28"/>
          <w:szCs w:val="28"/>
          <w:rtl w:val="true"/>
          <w:lang w:bidi="ar-SA"/>
        </w:rPr>
        <w:t xml:space="preserve">لا تشبيه الزكاة بالميتة في وجوب الاقتصار على ما يسدّ الرمق في الحال </w:t>
      </w:r>
      <w:r>
        <w:rPr>
          <w:rStyle w:val="FootnoteAnchor"/>
          <w:rtl w:val="true"/>
        </w:rPr>
        <w:footnoteReference w:id="2226"/>
      </w:r>
      <w:r>
        <w:rPr>
          <w:rFonts w:ascii="Amiri" w:hAnsi="Amiri" w:eastAsia="Amiri" w:cs="Amiri"/>
          <w:color w:val="111111"/>
          <w:sz w:val="28"/>
          <w:sz w:val="28"/>
          <w:szCs w:val="28"/>
          <w:rtl w:val="true"/>
          <w:lang w:bidi="ar-SA"/>
        </w:rPr>
        <w:t xml:space="preserve">، و لا ريب أنّ ضابط التعيّش في العرف و الشرع من حيث الأكل على ما يستفاد من باب النفقات هو التقوّت يوما فيوما، و من حيث الكسوة عند الحاجة إليها، و أما الحكم بجواز التكملة </w:t>
      </w:r>
      <w:r>
        <w:rPr>
          <w:rStyle w:val="FootnoteAnchor"/>
          <w:rtl w:val="true"/>
        </w:rPr>
        <w:footnoteReference w:id="2227"/>
      </w:r>
      <w:r>
        <w:rPr>
          <w:rFonts w:ascii="Amiri" w:hAnsi="Amiri" w:eastAsia="Amiri" w:cs="Amiri"/>
          <w:color w:val="111111"/>
          <w:sz w:val="28"/>
          <w:sz w:val="28"/>
          <w:szCs w:val="28"/>
          <w:rtl w:val="true"/>
          <w:lang w:bidi="ar-SA"/>
        </w:rPr>
        <w:t>للسنة لمن عنده قوت بعضها أو أكثرها فهو بعيد عن سياق الرواية، سيّما إذا رجا تمكّنه من الخمس في بقيّة السنة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 المأخوذ بدلا عن الخمس بحيث يترتّب عليه ما يترتّب على الخمس فهو ممنوع جدّا، إذ المسلّم أنّه شي‌ء أباحة الشارع لسدّ الخلة حيث</w:t>
      </w:r>
    </w:p>
    <w:p>
      <w:pPr>
        <w:pStyle w:val="BookText"/>
        <w:rPr/>
      </w:pPr>
      <w:r>
        <w:rPr>
          <w:rFonts w:ascii="IRNazanin" w:hAnsi="IRNazanin" w:eastAsia="IRNazanin"/>
          <w:color w:val="111111"/>
          <w:sz w:val="28"/>
          <w:sz w:val="28"/>
          <w:szCs w:val="28"/>
          <w:rtl w:val="true"/>
          <w:lang w:bidi="fa-IR"/>
        </w:rPr>
        <w:t xml:space="preserve">انه </w:t>
      </w:r>
      <w:r>
        <w:rPr>
          <w:rStyle w:val="FootnoteAnchor"/>
          <w:rtl w:val="true"/>
        </w:rPr>
        <w:footnoteReference w:id="2228"/>
      </w:r>
      <w:r>
        <w:rPr>
          <w:rFonts w:ascii="Amiri" w:hAnsi="Amiri" w:eastAsia="Amiri" w:cs="Amiri"/>
          <w:color w:val="111111"/>
          <w:sz w:val="28"/>
          <w:sz w:val="28"/>
          <w:szCs w:val="28"/>
          <w:rtl w:val="true"/>
          <w:lang w:bidi="ar-SA"/>
        </w:rPr>
        <w:t xml:space="preserve">لم يقو الهاشمي على غيره، و حينئذ فيجوز التعيّش به عند الحاجة المضبوطة عرفا باليوم </w:t>
      </w:r>
      <w:r>
        <w:rPr>
          <w:rStyle w:val="FootnoteAnchor"/>
          <w:rtl w:val="true"/>
        </w:rPr>
        <w:footnoteReference w:id="2229"/>
      </w:r>
      <w:r>
        <w:rPr>
          <w:rFonts w:ascii="Amiri" w:hAnsi="Amiri" w:eastAsia="Amiri" w:cs="Amiri"/>
          <w:color w:val="111111"/>
          <w:sz w:val="28"/>
          <w:sz w:val="28"/>
          <w:szCs w:val="28"/>
          <w:rtl w:val="true"/>
          <w:lang w:bidi="ar-SA"/>
        </w:rPr>
        <w:t xml:space="preserve">و ليلته، اقتصارا في مخالفة أصالة الحرمة على القدر المتيقّن بعد إثبات جواز التعدّي عما يسدّ الرمق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بكونها من سنة إلى سنة</w:t>
      </w:r>
      <w:r>
        <w:rPr>
          <w:rFonts w:eastAsia="Amiri" w:cs="Amiri" w:ascii="Amiri" w:hAnsi="Amiri"/>
          <w:color w:val="111111"/>
          <w:sz w:val="28"/>
          <w:szCs w:val="28"/>
          <w:rtl w:val="true"/>
          <w:lang w:bidi="ar-SA"/>
        </w:rPr>
        <w:t xml:space="preserve">]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توقّع ضرر الحاجة إن لم يدفع إليه ما يكمل مئونة السنة عادة دفع إليه ذلك، كما أشار إليه الشهيد و المحقق الثانيان في حاشية الشرائع </w:t>
      </w:r>
      <w:r>
        <w:rPr>
          <w:rStyle w:val="FootnoteAnchor"/>
          <w:rtl w:val="true"/>
        </w:rPr>
        <w:footnoteReference w:id="2231"/>
      </w:r>
      <w:r>
        <w:rPr>
          <w:rFonts w:ascii="Amiri" w:hAnsi="Amiri" w:eastAsia="Amiri" w:cs="Amiri"/>
          <w:color w:val="111111"/>
          <w:sz w:val="28"/>
          <w:sz w:val="28"/>
          <w:szCs w:val="28"/>
          <w:rtl w:val="true"/>
          <w:lang w:bidi="ar-SA"/>
        </w:rPr>
        <w:t xml:space="preserve">و المسالك </w:t>
      </w:r>
      <w:r>
        <w:rPr>
          <w:rStyle w:val="FootnoteAnchor"/>
          <w:rtl w:val="true"/>
        </w:rPr>
        <w:footnoteReference w:id="2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وجد الخمس في أثناء السنة لم يبعد وجوب استعادة ما بقي من الزكاة </w:t>
      </w:r>
      <w:r>
        <w:rPr>
          <w:rStyle w:val="FootnoteAnchor"/>
          <w:rtl w:val="true"/>
        </w:rPr>
        <w:footnoteReference w:id="2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عدم الدليل على ذلك بعد التملك، فهو كما لو صار الفقير الآخذ للزكاة أو الخمس غنيا بغيرهما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حملنا الموثّقة المتقدّمة على تنظير أصل الزكاة أو ما يسدّ به الخلّة منها بالميتة، كانت ظاهرة فيما ذكره من وجوب الاستعادة، أمّا لو حملناها على تشبيه أخذ الزكاة بأكل الميتة في الجواز عند الاضطرار فلا؛ لأنّ المفروض جواز الأخذ و التملّك له حين الأخذ لاضطراره، و لا دليل على زوال ملكيته عن المأخوذ بعروض الغني أو بوجدان الخمس،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الاستحقاق إنّما يحدث يوما فيوما لحدوث سببه، و هو الاضطرار، و جواز الأخذ دفعة إنّما هو لدفع ضرر الحاجة في زمان عدم الوجدان، لا لاستحقاق مجموع المأخوذ حين الأخذ حتّى يحتاج إلى المزيل، فهو إنما يملكه متزلزلا، يكشف حاله بالغنى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من حيث القوت، و أمّا من حيث الكسوة و سائر المؤن، فيجوز أن يأخذ منها عند الحاجة ما يليق به و إن كان يكفيه 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المتيقّن من الصدقات المحرمة هي الزكاة المفروضة، و هل يلحق بها مطلق الواجبة من الصدقات كالكفّارات و الهدي؟ أو بالعرض كالصدقة المنذورة و الموصى بها؟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عموم كثير من الأخبار تحريم </w:t>
      </w:r>
      <w:r>
        <w:rPr>
          <w:rStyle w:val="FootnoteAnchor"/>
          <w:rtl w:val="true"/>
        </w:rPr>
        <w:footnoteReference w:id="2235"/>
      </w:r>
      <w:r>
        <w:rPr>
          <w:rFonts w:ascii="Amiri" w:hAnsi="Amiri" w:eastAsia="Amiri" w:cs="Amiri"/>
          <w:color w:val="111111"/>
          <w:sz w:val="28"/>
          <w:sz w:val="28"/>
          <w:szCs w:val="28"/>
          <w:rtl w:val="true"/>
          <w:lang w:bidi="ar-SA"/>
        </w:rPr>
        <w:t xml:space="preserve">أصالة </w:t>
      </w:r>
      <w:r>
        <w:rPr>
          <w:rStyle w:val="FootnoteAnchor"/>
          <w:rtl w:val="true"/>
        </w:rPr>
        <w:footnoteReference w:id="2236"/>
      </w:r>
      <w:r>
        <w:rPr>
          <w:rFonts w:ascii="Amiri" w:hAnsi="Amiri" w:eastAsia="Amiri" w:cs="Amiri"/>
          <w:color w:val="111111"/>
          <w:sz w:val="28"/>
          <w:sz w:val="28"/>
          <w:szCs w:val="28"/>
          <w:rtl w:val="true"/>
          <w:lang w:bidi="ar-SA"/>
        </w:rPr>
        <w:t xml:space="preserve">الصدقة أو خصوص المفروضة و الواجبة، و خصوص مرفوعة أحمد بن محمّد الواردة في تقسيم الخمس، العاطفة فيه الصدقة على الزكاة في التحريم </w:t>
      </w:r>
      <w:r>
        <w:rPr>
          <w:rStyle w:val="FootnoteAnchor"/>
          <w:rtl w:val="true"/>
        </w:rPr>
        <w:footnoteReference w:id="2237"/>
      </w:r>
      <w:r>
        <w:rPr>
          <w:rFonts w:ascii="IRNazanin" w:hAnsi="IRNazanin" w:eastAsia="IRNazanin"/>
          <w:color w:val="111111"/>
          <w:sz w:val="28"/>
          <w:sz w:val="28"/>
          <w:szCs w:val="28"/>
          <w:rtl w:val="true"/>
          <w:lang w:bidi="fa-IR"/>
        </w:rPr>
        <w:t>مضافا إلى إطلاقات معاقد الإجماعات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انصراف الصدقة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المقيّدة بكونها مطهّرة للمال، أو المعللة بأنها 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فرضها اللّٰه للتطهير في قوله تعالى خُذْ مِنْ أَمْوٰالِهِمْ صَدَقَةً تُطَهِّرُهُمْ وَ تُزَكِّيهِمْ بِهٰا </w:t>
      </w:r>
      <w:r>
        <w:rPr>
          <w:rStyle w:val="FootnoteAnchor"/>
          <w:rtl w:val="true"/>
        </w:rPr>
        <w:footnoteReference w:id="2238"/>
      </w:r>
      <w:r>
        <w:rPr>
          <w:rFonts w:ascii="Amiri" w:hAnsi="Amiri" w:eastAsia="Amiri" w:cs="Amiri"/>
          <w:color w:val="111111"/>
          <w:sz w:val="28"/>
          <w:sz w:val="28"/>
          <w:szCs w:val="28"/>
          <w:rtl w:val="true"/>
          <w:lang w:bidi="ar-SA"/>
        </w:rPr>
        <w:t>، ففي رواية زيد الشحام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التي حرمت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الصدقة المفروضة المطهرة للمال</w:t>
      </w:r>
      <w:r>
        <w:rPr>
          <w:rFonts w:eastAsia="Amiri" w:cs="Amiri" w:ascii="Amiri" w:hAnsi="Amiri"/>
          <w:color w:val="111111"/>
          <w:sz w:val="28"/>
          <w:szCs w:val="28"/>
          <w:rtl w:val="true"/>
          <w:lang w:bidi="ar-SA"/>
        </w:rPr>
        <w:t xml:space="preserve">» </w:t>
      </w:r>
      <w:r>
        <w:rPr>
          <w:rStyle w:val="FootnoteAnchor"/>
          <w:rtl w:val="true"/>
        </w:rPr>
        <w:footnoteReference w:id="2239"/>
      </w:r>
      <w:r>
        <w:rPr>
          <w:rFonts w:ascii="Amiri" w:hAnsi="Amiri" w:eastAsia="Amiri" w:cs="Amiri"/>
          <w:color w:val="111111"/>
          <w:sz w:val="28"/>
          <w:sz w:val="28"/>
          <w:szCs w:val="28"/>
          <w:rtl w:val="true"/>
          <w:lang w:bidi="ar-SA"/>
        </w:rPr>
        <w:t>و في رواية أخرى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الزكاة المفروضة</w:t>
      </w:r>
      <w:r>
        <w:rPr>
          <w:rFonts w:eastAsia="Amiri" w:cs="Amiri" w:ascii="Amiri" w:hAnsi="Amiri"/>
          <w:color w:val="111111"/>
          <w:sz w:val="28"/>
          <w:szCs w:val="28"/>
          <w:rtl w:val="true"/>
          <w:lang w:bidi="ar-SA"/>
        </w:rPr>
        <w:t xml:space="preserve">» </w:t>
      </w:r>
      <w:r>
        <w:rPr>
          <w:rStyle w:val="FootnoteAnchor"/>
          <w:rtl w:val="true"/>
        </w:rPr>
        <w:footnoteReference w:id="2240"/>
      </w:r>
      <w:r>
        <w:rPr>
          <w:rFonts w:ascii="Amiri" w:hAnsi="Amiri" w:eastAsia="Amiri" w:cs="Amiri"/>
          <w:color w:val="111111"/>
          <w:sz w:val="28"/>
          <w:sz w:val="28"/>
          <w:szCs w:val="28"/>
          <w:rtl w:val="true"/>
          <w:lang w:bidi="ar-SA"/>
        </w:rPr>
        <w:t xml:space="preserve">و نحوها رواية إسماعيل بن فضل الهاشمي </w:t>
      </w:r>
      <w:r>
        <w:rPr>
          <w:rStyle w:val="FootnoteAnchor"/>
          <w:rtl w:val="true"/>
        </w:rPr>
        <w:footnoteReference w:id="2241"/>
      </w:r>
      <w:r>
        <w:rPr>
          <w:rFonts w:ascii="Amiri" w:hAnsi="Amiri" w:eastAsia="Amiri" w:cs="Amiri"/>
          <w:color w:val="111111"/>
          <w:sz w:val="28"/>
          <w:sz w:val="28"/>
          <w:szCs w:val="28"/>
          <w:rtl w:val="true"/>
          <w:lang w:bidi="ar-SA"/>
        </w:rPr>
        <w:t>، و في الصحيح عن جعفر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الواجبة على الناس، و أما غيرها</w:t>
      </w:r>
    </w:p>
    <w:p>
      <w:pPr>
        <w:pStyle w:val="BookText"/>
        <w:rPr/>
      </w:pP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لو قلنا بحرمة الواجبة و لو بالعرض فالظاهر انّ الموصى بها غير داخل؛ لأنه إنما وجب التصدق </w:t>
      </w:r>
      <w:r>
        <w:rPr>
          <w:rStyle w:val="FootnoteAnchor"/>
          <w:rtl w:val="true"/>
        </w:rPr>
        <w:footnoteReference w:id="2243"/>
      </w:r>
      <w:r>
        <w:rPr>
          <w:rFonts w:ascii="Amiri" w:hAnsi="Amiri" w:eastAsia="Amiri" w:cs="Amiri"/>
          <w:color w:val="111111"/>
          <w:sz w:val="28"/>
          <w:sz w:val="28"/>
          <w:szCs w:val="28"/>
          <w:rtl w:val="true"/>
          <w:lang w:bidi="ar-SA"/>
        </w:rPr>
        <w:t xml:space="preserve">على الوصي </w:t>
      </w:r>
      <w:r>
        <w:rPr>
          <w:rStyle w:val="FootnoteAnchor"/>
          <w:rtl w:val="true"/>
        </w:rPr>
        <w:footnoteReference w:id="2244"/>
      </w:r>
      <w:r>
        <w:rPr>
          <w:rFonts w:ascii="Amiri" w:hAnsi="Amiri" w:eastAsia="Amiri" w:cs="Amiri"/>
          <w:color w:val="111111"/>
          <w:sz w:val="28"/>
          <w:sz w:val="28"/>
          <w:szCs w:val="28"/>
          <w:rtl w:val="true"/>
          <w:lang w:bidi="ar-SA"/>
        </w:rPr>
        <w:t>من حيث وجوب الوفاء بما أوصى به الغير، فيجب عليه إيجاد التصدّق الذي أوصى به الميت، و لا ريب أنه في نفسه لم يكن واجبا، و الفرق بينه و بين الصدقة المنذورة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المنذورة تعرض الوجوب لأصل الصدقة، و أما في الموصى بها فالوجوب إنما يتعلّق بقيام الوصي </w:t>
      </w:r>
      <w:r>
        <w:rPr>
          <w:rStyle w:val="FootnoteAnchor"/>
          <w:rtl w:val="true"/>
        </w:rPr>
        <w:footnoteReference w:id="2245"/>
      </w:r>
      <w:r>
        <w:rPr>
          <w:rFonts w:ascii="Amiri" w:hAnsi="Amiri" w:eastAsia="Amiri" w:cs="Amiri"/>
          <w:color w:val="111111"/>
          <w:sz w:val="28"/>
          <w:sz w:val="28"/>
          <w:szCs w:val="28"/>
          <w:rtl w:val="true"/>
          <w:lang w:bidi="ar-SA"/>
        </w:rPr>
        <w:t xml:space="preserve">بالأمر المندوب الذي اوصي به، فهو كالتصدّق الذي أمر به </w:t>
      </w:r>
      <w:r>
        <w:rPr>
          <w:rStyle w:val="FootnoteAnchor"/>
          <w:rtl w:val="true"/>
        </w:rPr>
        <w:footnoteReference w:id="2246"/>
      </w:r>
      <w:r>
        <w:rPr>
          <w:rFonts w:ascii="Amiri" w:hAnsi="Amiri" w:eastAsia="Amiri" w:cs="Amiri"/>
          <w:color w:val="111111"/>
          <w:sz w:val="28"/>
          <w:sz w:val="28"/>
          <w:szCs w:val="28"/>
          <w:rtl w:val="true"/>
          <w:lang w:bidi="ar-SA"/>
        </w:rPr>
        <w:t xml:space="preserve">المولى أو غيره ممن </w:t>
      </w:r>
      <w:r>
        <w:rPr>
          <w:rStyle w:val="FootnoteAnchor"/>
          <w:rtl w:val="true"/>
        </w:rPr>
        <w:footnoteReference w:id="2247"/>
      </w:r>
      <w:r>
        <w:rPr>
          <w:rFonts w:ascii="Amiri" w:hAnsi="Amiri" w:eastAsia="Amiri" w:cs="Amiri"/>
          <w:color w:val="111111"/>
          <w:sz w:val="28"/>
          <w:sz w:val="28"/>
          <w:szCs w:val="28"/>
          <w:rtl w:val="true"/>
          <w:lang w:bidi="ar-SA"/>
        </w:rPr>
        <w:t>يطاع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أوصى الميت بالتصدّق لا من ماله، بل من مال الوصي </w:t>
      </w:r>
      <w:r>
        <w:rPr>
          <w:rStyle w:val="FootnoteAnchor"/>
          <w:rtl w:val="true"/>
        </w:rPr>
        <w:footnoteReference w:id="2248"/>
      </w:r>
      <w:r>
        <w:rPr>
          <w:rFonts w:ascii="Amiri" w:hAnsi="Amiri" w:eastAsia="Amiri" w:cs="Amiri"/>
          <w:color w:val="111111"/>
          <w:sz w:val="28"/>
          <w:sz w:val="28"/>
          <w:szCs w:val="28"/>
          <w:rtl w:val="true"/>
          <w:lang w:bidi="ar-SA"/>
        </w:rPr>
        <w:t xml:space="preserve">، و قبل الوصي </w:t>
      </w:r>
      <w:r>
        <w:rPr>
          <w:rStyle w:val="FootnoteAnchor"/>
          <w:rtl w:val="true"/>
        </w:rPr>
        <w:footnoteReference w:id="2249"/>
      </w:r>
      <w:r>
        <w:rPr>
          <w:rFonts w:ascii="Amiri" w:hAnsi="Amiri" w:eastAsia="Amiri" w:cs="Amiri"/>
          <w:color w:val="111111"/>
          <w:sz w:val="28"/>
          <w:sz w:val="28"/>
          <w:szCs w:val="28"/>
          <w:rtl w:val="true"/>
          <w:lang w:bidi="ar-SA"/>
        </w:rPr>
        <w:t xml:space="preserve">و قلنا بوجوبه بالقبول، كانت بحكم المنذورة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مجهول المالك فالظاهر انه كالموصى به</w:t>
      </w:r>
      <w:r>
        <w:rPr>
          <w:rFonts w:eastAsia="Amiri" w:cs="Amiri" w:ascii="Amiri" w:hAnsi="Amiri"/>
          <w:color w:val="111111"/>
          <w:sz w:val="28"/>
          <w:szCs w:val="28"/>
          <w:rtl w:val="true"/>
          <w:lang w:bidi="ar-SA"/>
        </w:rPr>
        <w:t xml:space="preserve">] </w:t>
      </w:r>
      <w:r>
        <w:rPr>
          <w:rStyle w:val="FootnoteAnchor"/>
          <w:rtl w:val="true"/>
        </w:rPr>
        <w:footnoteReference w:id="2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وفاقا للمحكي عن المحقق </w:t>
      </w:r>
      <w:r>
        <w:rPr>
          <w:rStyle w:val="FootnoteAnchor"/>
          <w:rtl w:val="true"/>
        </w:rPr>
        <w:footnoteReference w:id="2251"/>
      </w:r>
      <w:r>
        <w:rPr>
          <w:rFonts w:ascii="Amiri" w:hAnsi="Amiri" w:eastAsia="Amiri" w:cs="Amiri"/>
          <w:color w:val="111111"/>
          <w:sz w:val="28"/>
          <w:sz w:val="28"/>
          <w:szCs w:val="28"/>
          <w:rtl w:val="true"/>
          <w:lang w:bidi="ar-SA"/>
        </w:rPr>
        <w:t xml:space="preserve">و الشهيد </w:t>
      </w:r>
      <w:r>
        <w:rPr>
          <w:rStyle w:val="FootnoteAnchor"/>
          <w:rtl w:val="true"/>
        </w:rPr>
        <w:footnoteReference w:id="2252"/>
      </w:r>
      <w:r>
        <w:rPr>
          <w:rFonts w:ascii="Amiri" w:hAnsi="Amiri" w:eastAsia="Amiri" w:cs="Amiri"/>
          <w:color w:val="111111"/>
          <w:sz w:val="28"/>
          <w:sz w:val="28"/>
          <w:szCs w:val="28"/>
          <w:rtl w:val="true"/>
          <w:lang w:bidi="ar-SA"/>
        </w:rPr>
        <w:t>الثانيين، لأن الواجب دفع المال صدقة عن صاحبه</w:t>
      </w:r>
      <w:r>
        <w:rPr>
          <w:rFonts w:eastAsia="Amiri" w:cs="Amiri" w:ascii="Amiri" w:hAnsi="Amiri"/>
          <w:color w:val="111111"/>
          <w:sz w:val="28"/>
          <w:szCs w:val="28"/>
          <w:rtl w:val="true"/>
          <w:lang w:bidi="ar-SA"/>
        </w:rPr>
        <w:t xml:space="preserve">]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المتبادر من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في أدلّة التحريم</w:t>
      </w:r>
      <w:r>
        <w:rPr>
          <w:rFonts w:eastAsia="Amiri" w:cs="Amiri" w:ascii="Amiri" w:hAnsi="Amiri"/>
          <w:color w:val="111111"/>
          <w:sz w:val="28"/>
          <w:szCs w:val="28"/>
          <w:rtl w:val="true"/>
          <w:lang w:bidi="ar-SA"/>
        </w:rPr>
        <w:t xml:space="preserve">] </w:t>
      </w:r>
      <w:r>
        <w:rPr>
          <w:rStyle w:val="FootnoteAnchor"/>
          <w:rtl w:val="true"/>
        </w:rPr>
        <w:footnoteReference w:id="2254"/>
      </w:r>
      <w:r>
        <w:rPr>
          <w:rFonts w:ascii="Amiri" w:hAnsi="Amiri" w:eastAsia="Amiri" w:cs="Amiri"/>
          <w:color w:val="111111"/>
          <w:sz w:val="28"/>
          <w:sz w:val="28"/>
          <w:szCs w:val="28"/>
          <w:rtl w:val="true"/>
          <w:lang w:bidi="ar-SA"/>
        </w:rPr>
        <w:t xml:space="preserve">سيما المعلّلة منها بكون </w:t>
      </w:r>
      <w:r>
        <w:rPr>
          <w:rStyle w:val="FootnoteAnchor"/>
          <w:rtl w:val="true"/>
        </w:rPr>
        <w:footnoteReference w:id="2255"/>
      </w:r>
      <w:r>
        <w:rPr>
          <w:rFonts w:ascii="Amiri" w:hAnsi="Amiri" w:eastAsia="Amiri" w:cs="Amiri"/>
          <w:color w:val="111111"/>
          <w:sz w:val="28"/>
          <w:sz w:val="28"/>
          <w:szCs w:val="28"/>
          <w:rtl w:val="true"/>
          <w:lang w:bidi="ar-SA"/>
        </w:rPr>
        <w:t xml:space="preserve">قبولها سببا للمهانة و الذلة، هو </w:t>
      </w:r>
      <w:r>
        <w:rPr>
          <w:rStyle w:val="FootnoteAnchor"/>
          <w:rtl w:val="true"/>
        </w:rPr>
        <w:footnoteReference w:id="2256"/>
      </w:r>
      <w:r>
        <w:rPr>
          <w:rFonts w:ascii="Amiri" w:hAnsi="Amiri" w:eastAsia="Amiri" w:cs="Amiri"/>
          <w:color w:val="111111"/>
          <w:sz w:val="28"/>
          <w:sz w:val="28"/>
          <w:szCs w:val="28"/>
          <w:rtl w:val="true"/>
          <w:lang w:bidi="ar-SA"/>
        </w:rPr>
        <w:t>ما عن المنتهى في مقام الجواب عن احتجاج المحقق على جواز الصدقة المندوبة للنبي صلّى اللّٰه عليه و آله و سلم؛ بأنه كان يقترض و يقبل الهدية، و كلّ ذلك صدقة،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المراد بالصدقة المحرّمة ما يدفع من المال إلى المحاويج على سبيل سدّ الخلة، و مساعدة الضعيف طلبا للأجر، لا ما جرت العادة بفعله على سبيل التودّد كالهدية و القرض، و لذا لا يقال للسلطان إذا قبل هديّة بعض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تصدق عنه </w:t>
      </w:r>
      <w:r>
        <w:rPr>
          <w:rStyle w:val="FootnoteAnchor"/>
          <w:rtl w:val="true"/>
        </w:rPr>
        <w:footnoteReference w:id="2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نحوه عنه في النهاية </w:t>
      </w:r>
      <w:r>
        <w:rPr>
          <w:rStyle w:val="FootnoteAnchor"/>
          <w:rtl w:val="true"/>
        </w:rPr>
        <w:footnoteReference w:id="2259"/>
      </w:r>
      <w:r>
        <w:rPr>
          <w:rFonts w:ascii="IRNazanin" w:hAnsi="IRNazanin" w:eastAsia="IRNazanin"/>
          <w:color w:val="111111"/>
          <w:sz w:val="28"/>
          <w:sz w:val="28"/>
          <w:szCs w:val="28"/>
          <w:rtl w:val="true"/>
          <w:lang w:bidi="fa-IR"/>
        </w:rPr>
        <w:t xml:space="preserve">، و هو حسن </w:t>
      </w:r>
      <w:r>
        <w:rPr>
          <w:rStyle w:val="FootnoteAnchor"/>
          <w:rtl w:val="true"/>
        </w:rPr>
        <w:footnoteReference w:id="2260"/>
      </w:r>
      <w:r>
        <w:rPr>
          <w:rFonts w:ascii="Amiri" w:hAnsi="Amiri" w:eastAsia="Amiri" w:cs="Amiri"/>
          <w:color w:val="111111"/>
          <w:sz w:val="28"/>
          <w:sz w:val="28"/>
          <w:szCs w:val="28"/>
          <w:rtl w:val="true"/>
          <w:lang w:bidi="ar-SA"/>
        </w:rPr>
        <w:t>على وجه المعونة و سدّ الخلة و الترحّم، لا مطلق ما يملك مجانا قربة إلى اللّٰه كإهداء الهدية و الإضافة بنية القربة؛ فإن الظاهر إنها لا تدخل في أدلّة حرمة التصدق، و إلّا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معروف صدقة</w:t>
      </w:r>
      <w:r>
        <w:rPr>
          <w:rFonts w:eastAsia="Amiri" w:cs="Amiri" w:ascii="Amiri" w:hAnsi="Amiri"/>
          <w:color w:val="111111"/>
          <w:sz w:val="28"/>
          <w:szCs w:val="28"/>
          <w:rtl w:val="true"/>
          <w:lang w:bidi="ar-SA"/>
        </w:rPr>
        <w:t xml:space="preserve">»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خلاف في عدم تحريم الصدقة المندوبة، و به وردت أخبار كثيرة </w:t>
      </w:r>
      <w:r>
        <w:rPr>
          <w:rStyle w:val="FootnoteAnchor"/>
          <w:rtl w:val="true"/>
        </w:rPr>
        <w:footnoteReference w:id="2262"/>
      </w:r>
      <w:r>
        <w:rPr>
          <w:rFonts w:ascii="Amiri" w:hAnsi="Amiri" w:eastAsia="Amiri" w:cs="Amiri"/>
          <w:color w:val="111111"/>
          <w:sz w:val="28"/>
          <w:sz w:val="28"/>
          <w:szCs w:val="28"/>
          <w:rtl w:val="true"/>
          <w:lang w:bidi="ar-SA"/>
        </w:rPr>
        <w:t xml:space="preserve">، إلّا أنّ في بعض الأخبار ما يدل على نهي الإمام عن ماء المسجد معللا بأنها صدقة </w:t>
      </w:r>
      <w:r>
        <w:rPr>
          <w:rStyle w:val="FootnoteAnchor"/>
          <w:rtl w:val="true"/>
        </w:rPr>
        <w:footnoteReference w:id="2263"/>
      </w:r>
      <w:r>
        <w:rPr>
          <w:rFonts w:ascii="Amiri" w:hAnsi="Amiri" w:eastAsia="Amiri" w:cs="Amiri"/>
          <w:color w:val="111111"/>
          <w:sz w:val="28"/>
          <w:sz w:val="28"/>
          <w:szCs w:val="28"/>
          <w:rtl w:val="true"/>
          <w:lang w:bidi="ar-SA"/>
        </w:rPr>
        <w:t>، و قد اشتهر حكاية منع سيّدتنا زينب أو أمّ كلثوم عليهما السلام</w:t>
      </w:r>
    </w:p>
    <w:p>
      <w:pPr>
        <w:pStyle w:val="BookText"/>
        <w:rPr/>
      </w:pPr>
      <w:r>
        <w:rPr>
          <w:rFonts w:ascii="Amiri" w:hAnsi="Amiri" w:eastAsia="Amiri" w:cs="Amiri"/>
          <w:color w:val="111111"/>
          <w:sz w:val="28"/>
          <w:sz w:val="28"/>
          <w:szCs w:val="28"/>
          <w:rtl w:val="true"/>
          <w:lang w:bidi="ar-SA"/>
        </w:rPr>
        <w:t xml:space="preserve">للسبايا </w:t>
      </w:r>
      <w:r>
        <w:rPr>
          <w:rStyle w:val="FootnoteAnchor"/>
          <w:rtl w:val="true"/>
        </w:rPr>
        <w:footnoteReference w:id="2264"/>
      </w:r>
      <w:r>
        <w:rPr>
          <w:rFonts w:ascii="Amiri" w:hAnsi="Amiri" w:eastAsia="Amiri" w:cs="Amiri"/>
          <w:color w:val="111111"/>
          <w:sz w:val="28"/>
          <w:sz w:val="28"/>
          <w:szCs w:val="28"/>
          <w:rtl w:val="true"/>
          <w:lang w:bidi="ar-SA"/>
        </w:rPr>
        <w:t xml:space="preserve">عن أخذ صدقات أهل الكوفة معللتين بكونها صدقة </w:t>
      </w:r>
      <w:r>
        <w:rPr>
          <w:rStyle w:val="FootnoteAnchor"/>
          <w:rtl w:val="true"/>
        </w:rPr>
        <w:footnoteReference w:id="2265"/>
      </w:r>
      <w:r>
        <w:rPr>
          <w:rFonts w:ascii="Amiri" w:hAnsi="Amiri" w:eastAsia="Amiri" w:cs="Amiri"/>
          <w:color w:val="111111"/>
          <w:sz w:val="28"/>
          <w:sz w:val="28"/>
          <w:szCs w:val="28"/>
          <w:rtl w:val="true"/>
          <w:lang w:bidi="ar-SA"/>
        </w:rPr>
        <w:t xml:space="preserve">، و يمكن حملها على الكراهة، أو الحرمة إذا كان الدفع على وجه المهانة، كما احتمله في شرح المفاتيح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تحرم الصدقة المندوبة على النبي صلّى اللّٰه عليه و آله و سلم و الامام عليه السلام؟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قولان، و عن المعتبر نسبة العدم إلى علمائنا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bookmarkStart w:id="147" w:name="pg19722_766422"/>
    </w:p>
    <w:p>
      <w:pPr>
        <w:pStyle w:val="Heading4"/>
        <w:numPr>
          <w:ilvl w:val="3"/>
          <w:numId w:val="1"/>
        </w:numPr>
        <w:rPr/>
      </w:pPr>
      <w:bookmarkStart w:id="148" w:name="__RefHeading___Toc2136378_2314609296"/>
      <w:bookmarkStart w:id="149" w:name="_Toc51"/>
      <w:bookmarkEnd w:id="147"/>
      <w:bookmarkEnd w:id="148"/>
      <w:r>
        <w:rPr>
          <w:rtl w:val="true"/>
        </w:rPr>
        <w:t xml:space="preserve">مسألة </w:t>
      </w:r>
      <w:r>
        <w:rPr>
          <w:rtl w:val="true"/>
        </w:rPr>
        <w:t>[</w:t>
      </w:r>
      <w:r>
        <w:rPr/>
        <w:t>42</w:t>
      </w:r>
      <w:r>
        <w:rPr>
          <w:rtl w:val="true"/>
        </w:rPr>
        <w:t>]</w:t>
      </w:r>
      <w:bookmarkEnd w:id="149"/>
    </w:p>
    <w:p>
      <w:pPr>
        <w:pStyle w:val="BookText"/>
        <w:rPr/>
      </w:pPr>
      <w:r>
        <w:rPr>
          <w:rFonts w:ascii="Amiri" w:hAnsi="Amiri" w:eastAsia="Amiri" w:cs="Amiri"/>
          <w:color w:val="111111"/>
          <w:sz w:val="28"/>
          <w:sz w:val="28"/>
          <w:szCs w:val="28"/>
          <w:rtl w:val="true"/>
          <w:lang w:bidi="ar-SA"/>
        </w:rPr>
        <w:t>المتولّي لإخراج الزكاة إلى مصارفها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و في حكمه نائبه وكيلا أو وليّا أو وصيّا، و الإمام، و ينوب عنه 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المالك و نوّابه، فلا خلاف في جواز تولّيهم في الجملة، خلافا للمفيد </w:t>
      </w:r>
      <w:r>
        <w:rPr>
          <w:rStyle w:val="FootnoteAnchor"/>
          <w:rtl w:val="true"/>
        </w:rPr>
        <w:footnoteReference w:id="2268"/>
      </w:r>
      <w:r>
        <w:rPr>
          <w:rFonts w:ascii="Amiri" w:hAnsi="Amiri" w:eastAsia="Amiri" w:cs="Amiri"/>
          <w:color w:val="111111"/>
          <w:sz w:val="28"/>
          <w:sz w:val="28"/>
          <w:szCs w:val="28"/>
          <w:rtl w:val="true"/>
          <w:lang w:bidi="ar-SA"/>
        </w:rPr>
        <w:t xml:space="preserve">و الحلبي </w:t>
      </w:r>
      <w:r>
        <w:rPr>
          <w:rStyle w:val="FootnoteAnchor"/>
          <w:rtl w:val="true"/>
        </w:rPr>
        <w:footnoteReference w:id="2269"/>
      </w:r>
      <w:r>
        <w:rPr>
          <w:rFonts w:ascii="Amiri" w:hAnsi="Amiri" w:eastAsia="Amiri" w:cs="Amiri"/>
          <w:color w:val="111111"/>
          <w:sz w:val="28"/>
          <w:sz w:val="28"/>
          <w:szCs w:val="28"/>
          <w:rtl w:val="true"/>
          <w:lang w:bidi="ar-SA"/>
        </w:rPr>
        <w:t xml:space="preserve">فأوجبا الدفع إلى الامام مع الحضور، و إلى الفقيه مع الغيبة، و عن ابن زهرة </w:t>
      </w:r>
      <w:r>
        <w:rPr>
          <w:rStyle w:val="FootnoteAnchor"/>
          <w:rtl w:val="true"/>
        </w:rPr>
        <w:footnoteReference w:id="2270"/>
      </w:r>
      <w:r>
        <w:rPr>
          <w:rFonts w:ascii="Amiri" w:hAnsi="Amiri" w:eastAsia="Amiri" w:cs="Amiri"/>
          <w:color w:val="111111"/>
          <w:sz w:val="28"/>
          <w:sz w:val="28"/>
          <w:szCs w:val="28"/>
          <w:rtl w:val="true"/>
          <w:lang w:bidi="ar-SA"/>
        </w:rPr>
        <w:t xml:space="preserve">و القاضي </w:t>
      </w:r>
      <w:r>
        <w:rPr>
          <w:rStyle w:val="FootnoteAnchor"/>
          <w:rtl w:val="true"/>
        </w:rPr>
        <w:footnoteReference w:id="2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وجوب الدفع مع الحضور، و إطلاق الأخبار الكثيرة </w:t>
      </w:r>
      <w:r>
        <w:rPr>
          <w:rStyle w:val="FootnoteAnchor"/>
          <w:rtl w:val="true"/>
        </w:rPr>
        <w:footnoteReference w:id="2272"/>
      </w:r>
      <w:r>
        <w:rPr>
          <w:rFonts w:ascii="Amiri" w:hAnsi="Amiri" w:eastAsia="Amiri" w:cs="Amiri"/>
          <w:color w:val="111111"/>
          <w:sz w:val="28"/>
          <w:sz w:val="28"/>
          <w:szCs w:val="28"/>
          <w:rtl w:val="true"/>
          <w:lang w:bidi="ar-SA"/>
        </w:rPr>
        <w:t>يدفعها، بل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r>
        <w:rPr>
          <w:rStyle w:val="FootnoteAnchor"/>
          <w:rtl w:val="true"/>
        </w:rPr>
        <w:footnoteReference w:id="2273"/>
      </w:r>
      <w:r>
        <w:rPr>
          <w:rFonts w:ascii="Amiri" w:hAnsi="Amiri" w:eastAsia="Amiri" w:cs="Amiri"/>
          <w:color w:val="111111"/>
          <w:sz w:val="28"/>
          <w:sz w:val="28"/>
          <w:szCs w:val="28"/>
          <w:rtl w:val="true"/>
          <w:lang w:bidi="ar-SA"/>
        </w:rPr>
        <w:t>الزكاة، و أمر المالك بإخراجها،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إذا قام قائمنا صلوات اللّٰه عليه يعدل في خلق الرحمن بالسوية؛ البر منهم و الفاجر</w:t>
      </w:r>
      <w:r>
        <w:rPr>
          <w:rFonts w:eastAsia="Amiri" w:cs="Amiri" w:ascii="Amiri" w:hAnsi="Amiri"/>
          <w:color w:val="111111"/>
          <w:sz w:val="28"/>
          <w:szCs w:val="28"/>
          <w:rtl w:val="true"/>
          <w:lang w:bidi="ar-SA"/>
        </w:rPr>
        <w:t xml:space="preserve">»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ريب في استحباب دفعها إلى الإمام عليه السلام، و إلى الفقيه مع الغيبة؛</w:t>
      </w:r>
    </w:p>
    <w:p>
      <w:pPr>
        <w:pStyle w:val="BookText"/>
        <w:rPr/>
      </w:pPr>
      <w:r>
        <w:rPr>
          <w:rFonts w:ascii="Amiri" w:hAnsi="Amiri" w:eastAsia="Amiri" w:cs="Amiri"/>
          <w:color w:val="111111"/>
          <w:sz w:val="28"/>
          <w:sz w:val="28"/>
          <w:szCs w:val="28"/>
          <w:rtl w:val="true"/>
          <w:lang w:bidi="ar-SA"/>
        </w:rPr>
        <w:t xml:space="preserve">لفتوى جماعة </w:t>
      </w:r>
      <w:r>
        <w:rPr>
          <w:rStyle w:val="FootnoteAnchor"/>
          <w:rtl w:val="true"/>
        </w:rPr>
        <w:footnoteReference w:id="2275"/>
      </w:r>
      <w:r>
        <w:rPr>
          <w:rFonts w:ascii="IRNazanin" w:hAnsi="IRNazanin" w:eastAsia="IRNazanin"/>
          <w:color w:val="111111"/>
          <w:sz w:val="28"/>
          <w:sz w:val="28"/>
          <w:szCs w:val="28"/>
          <w:rtl w:val="true"/>
          <w:lang w:bidi="fa-IR"/>
        </w:rPr>
        <w:t>و لأنّه أبصر بمواقعها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للمفيد بقوله تعالى خُذْ مِنْ أَمْوٰالِهِمْ صَدَقَةً تُطَهِّرُهُمْ وَ تُزَكِّيهِمْ بِهٰا وَ صَلِّ عَلَيْهِمْ </w:t>
      </w:r>
      <w:r>
        <w:rPr>
          <w:rStyle w:val="FootnoteAnchor"/>
          <w:rtl w:val="true"/>
        </w:rPr>
        <w:footnoteReference w:id="2276"/>
      </w:r>
      <w:r>
        <w:rPr>
          <w:rFonts w:ascii="Amiri" w:hAnsi="Amiri" w:eastAsia="Amiri" w:cs="Amiri"/>
          <w:color w:val="111111"/>
          <w:sz w:val="28"/>
          <w:sz w:val="28"/>
          <w:szCs w:val="28"/>
          <w:rtl w:val="true"/>
          <w:lang w:bidi="ar-SA"/>
        </w:rPr>
        <w:t xml:space="preserve">فإن وجوب الأخذ يستلزم وجوب الدفع، و أجيب عنه </w:t>
      </w:r>
      <w:r>
        <w:rPr>
          <w:rStyle w:val="FootnoteAnchor"/>
          <w:rtl w:val="true"/>
        </w:rPr>
        <w:footnoteReference w:id="2277"/>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 على كون الصدقة من الزكاة؛ لجواز إرجاعه إلى المال الذي أخرجوه من أموالهم كفارة لتخلّفهم عن رسول اللّٰه صلّى اللّٰه عليه و آله و سلم، و هم الآخرون المرجون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سابق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لا وجه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المخصّص</w:t>
      </w:r>
      <w:r>
        <w:rPr>
          <w:rFonts w:eastAsia="Amiri" w:cs="Amiri" w:ascii="Amiri" w:hAnsi="Amiri"/>
          <w:color w:val="111111"/>
          <w:sz w:val="28"/>
          <w:szCs w:val="28"/>
          <w:rtl w:val="true"/>
          <w:lang w:bidi="ar-SA"/>
        </w:rPr>
        <w:t xml:space="preserve">] </w:t>
      </w:r>
      <w:r>
        <w:rPr>
          <w:rStyle w:val="FootnoteAnchor"/>
          <w:rtl w:val="true"/>
        </w:rPr>
        <w:footnoteReference w:id="2278"/>
      </w:r>
      <w:r>
        <w:rPr>
          <w:rFonts w:ascii="Amiri" w:hAnsi="Amiri" w:eastAsia="Amiri" w:cs="Amiri"/>
          <w:color w:val="111111"/>
          <w:sz w:val="28"/>
          <w:sz w:val="28"/>
          <w:szCs w:val="28"/>
          <w:rtl w:val="true"/>
          <w:lang w:bidi="ar-SA"/>
        </w:rPr>
        <w:t>، فلعلّ الآية عامة لكلّ صدقة تطهّرهم، و يشهد لعمومها للزكاة أو اختصاصها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العلماء على رجحان الدعاء للمزكّي بقوله تعالى وَ صَلِّ عَلَيْهِمْ، و يؤيده ما ورد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آخذ الصدقة من أغنيائكم و أدفع إلى فقرائكم</w:t>
      </w:r>
      <w:r>
        <w:rPr>
          <w:rFonts w:eastAsia="Amiri" w:cs="Amiri" w:ascii="Amiri" w:hAnsi="Amiri"/>
          <w:color w:val="111111"/>
          <w:sz w:val="28"/>
          <w:szCs w:val="28"/>
          <w:rtl w:val="true"/>
          <w:lang w:bidi="ar-SA"/>
        </w:rPr>
        <w:t xml:space="preserve">»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ذكرنا يندفع أيضا احتمال عود الضمير إلى خصوص الممتنعين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الأخذ لا يستلزم وجوب الدفع ابتداء، و إن فهم من الخارج وجوب الدفع بعد المطالبة كما يفهم من الأمر بالأمر بإيجاد فعل، مع أنّ الأخبار في جواز تولّي المالك للإخراج فوق حد الإحصاء، و تخصيصها بزمان قصور أيدي الأئمة عليهم السلام كما هو مورد تلك الأخبار و إن أمكن، سيما بقرينة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إلى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Style w:val="FootnoteAnchor"/>
          <w:rtl w:val="true"/>
        </w:rPr>
        <w:footnoteReference w:id="2280"/>
      </w:r>
      <w:r>
        <w:rPr>
          <w:rFonts w:ascii="Amiri" w:hAnsi="Amiri" w:eastAsia="Amiri" w:cs="Amiri"/>
          <w:color w:val="111111"/>
          <w:sz w:val="28"/>
          <w:sz w:val="28"/>
          <w:szCs w:val="28"/>
          <w:rtl w:val="true"/>
          <w:lang w:bidi="ar-SA"/>
        </w:rPr>
        <w:t>إلّا أنه يحتاج إلى</w:t>
      </w:r>
    </w:p>
    <w:p>
      <w:pPr>
        <w:pStyle w:val="BookText"/>
        <w:rPr/>
      </w:pPr>
      <w:r>
        <w:rPr>
          <w:rFonts w:ascii="Amiri" w:hAnsi="Amiri" w:eastAsia="Amiri" w:cs="Amiri"/>
          <w:color w:val="111111"/>
          <w:sz w:val="28"/>
          <w:sz w:val="28"/>
          <w:szCs w:val="28"/>
          <w:rtl w:val="true"/>
          <w:lang w:bidi="ar-SA"/>
        </w:rPr>
        <w:t>دليل، و إلا فمجرد ذلك لا يوجب التخصيص، مع أن أكثرها يأبى عن هذا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فلو طلبها النبي صلّى اللّٰه عليه و آله و سلم أو الإمام عليه السلام وجب الدفع إليه؛ لحرمة عصيانهما حتّى فيما لا يتعلّق بالواجبات الإلهية؛ لعموم أدلّة إطاعة الرسول و اولي الأمر </w:t>
      </w:r>
      <w:r>
        <w:rPr>
          <w:rStyle w:val="FootnoteAnchor"/>
          <w:rtl w:val="true"/>
        </w:rPr>
        <w:footnoteReference w:id="2281"/>
      </w:r>
      <w:r>
        <w:rPr>
          <w:rFonts w:ascii="Amiri" w:hAnsi="Amiri" w:eastAsia="Amiri" w:cs="Amiri"/>
          <w:color w:val="111111"/>
          <w:sz w:val="28"/>
          <w:sz w:val="28"/>
          <w:szCs w:val="28"/>
          <w:rtl w:val="true"/>
          <w:lang w:bidi="ar-SA"/>
        </w:rPr>
        <w:t xml:space="preserve">، و قوله تعالى فَلْيَحْذَرِ الَّذِينَ يُخٰالِفُونَ عَنْ أَمْرِهِ </w:t>
      </w:r>
      <w:r>
        <w:rPr>
          <w:rStyle w:val="FootnoteAnchor"/>
          <w:rtl w:val="true"/>
        </w:rPr>
        <w:footnoteReference w:id="2282"/>
      </w:r>
      <w:r>
        <w:rPr>
          <w:rFonts w:ascii="Amiri" w:hAnsi="Amiri" w:eastAsia="Amiri" w:cs="Amiri"/>
          <w:color w:val="111111"/>
          <w:sz w:val="28"/>
          <w:sz w:val="28"/>
          <w:szCs w:val="28"/>
          <w:rtl w:val="true"/>
          <w:lang w:bidi="ar-SA"/>
        </w:rPr>
        <w:t xml:space="preserve">، و ما دلّ على حرمة إيذائه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طلبها الفقيه فمقتضى أدلّة النيابة العامة وجوب الدفع؛ لأنّ منعه ردّ عليه، و الرادّ عليه رادّ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مقبولة عمر بن حنظلة </w:t>
      </w:r>
      <w:r>
        <w:rPr>
          <w:rStyle w:val="FootnoteAnchor"/>
          <w:rtl w:val="true"/>
        </w:rPr>
        <w:footnoteReference w:id="2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 الشريف الوارد في وجوب الرجوع في الوقائع الحادثة إلى رواة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 و أنا حجّة اللّٰه</w:t>
      </w:r>
      <w:r>
        <w:rPr>
          <w:rFonts w:eastAsia="Amiri" w:cs="Amiri" w:ascii="Amiri" w:hAnsi="Amiri"/>
          <w:color w:val="111111"/>
          <w:sz w:val="28"/>
          <w:szCs w:val="28"/>
          <w:rtl w:val="true"/>
          <w:lang w:bidi="ar-SA"/>
        </w:rPr>
        <w:t xml:space="preserve">»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w:t>
      </w:r>
      <w:r>
        <w:rPr>
          <w:rStyle w:val="FootnoteAnchor"/>
          <w:rtl w:val="true"/>
        </w:rPr>
        <w:footnoteReference w:id="2286"/>
      </w:r>
      <w:r>
        <w:rPr>
          <w:rFonts w:ascii="Amiri" w:hAnsi="Amiri" w:eastAsia="Amiri" w:cs="Amiri"/>
          <w:color w:val="111111"/>
          <w:sz w:val="28"/>
          <w:sz w:val="28"/>
          <w:szCs w:val="28"/>
          <w:rtl w:val="true"/>
          <w:lang w:bidi="ar-SA"/>
        </w:rPr>
        <w:t>لو طلب الإمام أو نائبه الخاصّ أو العام الزكاة فلم يجبه و دفعها هو بنفسه فهل يجزئ أم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أصحهما أنه لا يجزي وفاقا للمحكي عن الشيخ </w:t>
      </w:r>
      <w:r>
        <w:rPr>
          <w:rStyle w:val="FootnoteAnchor"/>
          <w:rtl w:val="true"/>
        </w:rPr>
        <w:footnoteReference w:id="2287"/>
      </w:r>
      <w:r>
        <w:rPr>
          <w:rFonts w:ascii="Amiri" w:hAnsi="Amiri" w:eastAsia="Amiri" w:cs="Amiri"/>
          <w:color w:val="111111"/>
          <w:sz w:val="28"/>
          <w:sz w:val="28"/>
          <w:szCs w:val="28"/>
          <w:rtl w:val="true"/>
          <w:lang w:bidi="ar-SA"/>
        </w:rPr>
        <w:t xml:space="preserve">و ابن حمزة </w:t>
      </w:r>
      <w:r>
        <w:rPr>
          <w:rStyle w:val="FootnoteAnchor"/>
          <w:rtl w:val="true"/>
        </w:rPr>
        <w:footnoteReference w:id="2288"/>
      </w:r>
      <w:r>
        <w:rPr>
          <w:rFonts w:ascii="Amiri" w:hAnsi="Amiri" w:eastAsia="Amiri" w:cs="Amiri"/>
          <w:color w:val="111111"/>
          <w:sz w:val="28"/>
          <w:sz w:val="28"/>
          <w:szCs w:val="28"/>
          <w:rtl w:val="true"/>
          <w:lang w:bidi="ar-SA"/>
        </w:rPr>
        <w:t xml:space="preserve">و الفاضلين في الشرائع </w:t>
      </w:r>
      <w:r>
        <w:rPr>
          <w:rStyle w:val="FootnoteAnchor"/>
          <w:rtl w:val="true"/>
        </w:rPr>
        <w:footnoteReference w:id="2289"/>
      </w:r>
      <w:r>
        <w:rPr>
          <w:rFonts w:ascii="IRNazanin" w:hAnsi="IRNazanin" w:eastAsia="IRNazanin"/>
          <w:color w:val="111111"/>
          <w:sz w:val="28"/>
          <w:sz w:val="28"/>
          <w:szCs w:val="28"/>
          <w:rtl w:val="true"/>
          <w:lang w:bidi="fa-IR"/>
        </w:rPr>
        <w:t xml:space="preserve">و المختلف </w:t>
      </w:r>
      <w:r>
        <w:rPr>
          <w:rStyle w:val="FootnoteAnchor"/>
          <w:rtl w:val="true"/>
        </w:rPr>
        <w:footnoteReference w:id="2290"/>
      </w:r>
      <w:r>
        <w:rPr>
          <w:rFonts w:ascii="Amiri" w:hAnsi="Amiri" w:eastAsia="Amiri" w:cs="Amiri"/>
          <w:color w:val="111111"/>
          <w:sz w:val="28"/>
          <w:sz w:val="28"/>
          <w:szCs w:val="28"/>
          <w:rtl w:val="true"/>
          <w:lang w:bidi="ar-SA"/>
        </w:rPr>
        <w:t xml:space="preserve">و الشهيدين في الدروس </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 xml:space="preserve">و الروضة </w:t>
      </w:r>
      <w:r>
        <w:rPr>
          <w:rStyle w:val="FootnoteAnchor"/>
          <w:rtl w:val="true"/>
        </w:rPr>
        <w:footnoteReference w:id="2292"/>
      </w:r>
      <w:r>
        <w:rPr>
          <w:rFonts w:ascii="Amiri" w:hAnsi="Amiri" w:eastAsia="Amiri" w:cs="Amiri"/>
          <w:color w:val="111111"/>
          <w:sz w:val="28"/>
          <w:sz w:val="28"/>
          <w:szCs w:val="28"/>
          <w:rtl w:val="true"/>
          <w:lang w:bidi="ar-SA"/>
        </w:rPr>
        <w:t xml:space="preserve">لأنّ وجوب الدفع إلى الإمام عليه السلام بالفرض يدلّ على حرمة الدفع إلى غيره، فلا يجوز </w:t>
      </w:r>
      <w:r>
        <w:rPr>
          <w:rStyle w:val="FootnoteAnchor"/>
          <w:rtl w:val="true"/>
        </w:rPr>
        <w:footnoteReference w:id="2293"/>
      </w:r>
      <w:r>
        <w:rPr>
          <w:rFonts w:ascii="Amiri" w:hAnsi="Amiri" w:eastAsia="Amiri" w:cs="Amiri"/>
          <w:color w:val="111111"/>
          <w:sz w:val="28"/>
          <w:sz w:val="28"/>
          <w:szCs w:val="28"/>
          <w:rtl w:val="true"/>
          <w:lang w:bidi="ar-SA"/>
        </w:rPr>
        <w:t>أن ينوي به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ما ذكرنا مبنيّا على اقتضاء الأمر بالشي‌ء النهي عن ضدّه الخاصّ كما قيل </w:t>
      </w:r>
      <w:r>
        <w:rPr>
          <w:rStyle w:val="FootnoteAnchor"/>
          <w:rtl w:val="true"/>
        </w:rPr>
        <w:footnoteReference w:id="2294"/>
      </w:r>
      <w:r>
        <w:rPr>
          <w:rFonts w:ascii="Amiri" w:hAnsi="Amiri" w:eastAsia="Amiri" w:cs="Amiri"/>
          <w:color w:val="111111"/>
          <w:sz w:val="28"/>
          <w:sz w:val="28"/>
          <w:szCs w:val="28"/>
          <w:rtl w:val="true"/>
          <w:lang w:bidi="ar-SA"/>
        </w:rPr>
        <w:t>حتّى يمنع المبنى، أو من جهة أنّ الظاهر من حال الآمر عدم رضاه بإعطاء الغير،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الرضى به إن كان لأجل الأمر فيرجع إلى مسألة الضدّ، و إن كان من الخارج فهو مجرّد الدعوى، بل من جهة اقتضائه النهي عن هذا الضدّ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الدفع أو الدفع إلى شخص خاصّ قد يلاحظ من حيث هو، و ضدّه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الدفع </w:t>
      </w:r>
      <w:r>
        <w:rPr>
          <w:rStyle w:val="FootnoteAnchor"/>
          <w:rtl w:val="true"/>
        </w:rPr>
        <w:footnoteReference w:id="2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أبقاه على ماله أو دفعه إلى غير من أمر بالدفع إليه</w:t>
      </w:r>
      <w:r>
        <w:rPr>
          <w:rFonts w:eastAsia="Amiri" w:cs="Amiri" w:ascii="Amiri" w:hAnsi="Amiri"/>
          <w:color w:val="111111"/>
          <w:sz w:val="28"/>
          <w:szCs w:val="28"/>
          <w:rtl w:val="true"/>
          <w:lang w:bidi="ar-SA"/>
        </w:rPr>
        <w:t xml:space="preserve">] </w:t>
      </w:r>
      <w:r>
        <w:rPr>
          <w:rStyle w:val="FootnoteAnchor"/>
          <w:rtl w:val="true"/>
        </w:rPr>
        <w:footnoteReference w:id="2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يلاحظ مقيّدا بكونه إلى شخص خاصّ بعد الفراغ عن أصل الدفع، و فرض وقوعه من المكلّف لا محالة، فيتوجّه الإيجاب حينئذ إلى مجرّد القيد، فيرجع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الدفع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المدفوع إليه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فضدّه العام هو ترك إيقاع الدفع المفروغ عن وقوعه إلى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عبارة أخرى عرفا عن دفعه إلى غير الإمام عليه السلام و إن كان هو عدميا و هذا وجوديّا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الغرض من أمر الإمام </w:t>
      </w:r>
      <w:r>
        <w:rPr>
          <w:rStyle w:val="FootnoteAnchor"/>
          <w:rtl w:val="true"/>
        </w:rPr>
        <w:footnoteReference w:id="2297"/>
      </w:r>
      <w:r>
        <w:rPr>
          <w:rFonts w:ascii="Amiri" w:hAnsi="Amiri" w:eastAsia="Amiri" w:cs="Amiri"/>
          <w:color w:val="111111"/>
          <w:sz w:val="28"/>
          <w:sz w:val="28"/>
          <w:szCs w:val="28"/>
          <w:rtl w:val="true"/>
          <w:lang w:bidi="ar-SA"/>
        </w:rPr>
        <w:t>عليه السلام بالدفع إليه ليس إلّا مجرّد إيجاد القيد بعد الفراغ عن أصل وجوب الإخراج الذي هو بأمر اللّٰه سبحانه، فإلزامه الدفع إلى نفسه في مقابلة المنع عن الدفع إلى غيره، و المفروض أنّ أمر اللّٰه سبحانه بإطاعته يرجع إلى طبق</w:t>
      </w:r>
    </w:p>
    <w:p>
      <w:pPr>
        <w:pStyle w:val="BookText"/>
        <w:rPr/>
      </w:pPr>
      <w:r>
        <w:rPr>
          <w:rFonts w:ascii="Amiri" w:hAnsi="Amiri" w:eastAsia="Amiri" w:cs="Amiri"/>
          <w:color w:val="111111"/>
          <w:sz w:val="28"/>
          <w:sz w:val="28"/>
          <w:szCs w:val="28"/>
          <w:rtl w:val="true"/>
          <w:lang w:bidi="ar-SA"/>
        </w:rPr>
        <w:t>أمره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 أنّ الأمر بالدفع لا يرجع إلى مجرّد القيد، بل إلى الدفع المقيّد،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مقيّد للأوامر العامة؛ بوجوب إخراج الزكاة إلى الفقراء بما إذا لم يطلبه الإمام عليه السلام الذي هو الوليّ للفقراء، ضرورة التعارض بين جواز دفع المال إلى الفقراء، و بين وجوب دفع ذلك المال بعينه إلى وليّهم، نظير التعارض الواقع بين تعيين عتق الرقبة المؤمنة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مؤمنة، و جواز عتق الكافرة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فليس هذا من مسألة الضدّ، بل من المطلق و المقيّد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بالمقيّد هنا تكليف آخر مغاير للتكليف بالمطلق؛ لأنّ التكليف بالمطلق إنّما هو بإيتاء الزكاة، و التكليف بالمقيّد إنّما هو بإجابة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دلّ دليل على أن إيتاء الزكاة يجب أن يكون بالدفع إلى الإمام عليه السلام كان التقييد متوجّها </w:t>
      </w:r>
      <w:r>
        <w:rPr>
          <w:rStyle w:val="FootnoteAnchor"/>
          <w:rtl w:val="true"/>
        </w:rPr>
        <w:footnoteReference w:id="2298"/>
      </w:r>
      <w:r>
        <w:rPr>
          <w:rFonts w:ascii="Amiri" w:hAnsi="Amiri" w:eastAsia="Amiri" w:cs="Amiri"/>
          <w:color w:val="111111"/>
          <w:sz w:val="28"/>
          <w:sz w:val="28"/>
          <w:szCs w:val="28"/>
          <w:rtl w:val="true"/>
          <w:lang w:bidi="ar-SA"/>
        </w:rPr>
        <w:t>كما في المثال المذكور، و لذا يستحق الدافع إلى الإمام عليه السلام ثوابا على الزكاة، و ثوابا على إجابة الإمام عليه السلام و كذا يستحق عقابين لو ترك أصل الزكاة،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الزكاة،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معصية الإمام عليه السلام، بخلاف مثل المطلق و المقيّد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إرجاع المسألة إلى مسألة الضدّ،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وجوب الدفع إلى الإمام عليه السلام من باب الإطاعة هو عدم ترتّب الأثر على دفعه إلى الفقير، بل المزكي بعد دفع المال إلى الفقير مكلّف بدفعه إلى الإمام عليه السلام، فيجب عليه استرجاعه من الفقير، و دفعه إلى الإمام عليه السلام أو دفع الزكاة من ماله اليه، و هذا معنى عدم الإجزاء، كما ذكرنا نظيره في مسألة من نذر</w:t>
      </w:r>
    </w:p>
    <w:p>
      <w:pPr>
        <w:pStyle w:val="BookText"/>
        <w:rPr/>
      </w:pPr>
      <w:r>
        <w:rPr>
          <w:rFonts w:ascii="Amiri" w:hAnsi="Amiri" w:eastAsia="Amiri" w:cs="Amiri"/>
          <w:color w:val="111111"/>
          <w:sz w:val="28"/>
          <w:sz w:val="28"/>
          <w:szCs w:val="28"/>
          <w:rtl w:val="true"/>
          <w:lang w:bidi="ar-SA"/>
        </w:rPr>
        <w:t xml:space="preserve">التصدق بمال معيّن، و إنّ عموم وجوب </w:t>
      </w:r>
      <w:r>
        <w:rPr>
          <w:rStyle w:val="FootnoteAnchor"/>
          <w:rtl w:val="true"/>
        </w:rPr>
        <w:footnoteReference w:id="2299"/>
      </w:r>
      <w:r>
        <w:rPr>
          <w:rFonts w:ascii="Amiri" w:hAnsi="Amiri" w:eastAsia="Amiri" w:cs="Amiri"/>
          <w:color w:val="111111"/>
          <w:sz w:val="28"/>
          <w:sz w:val="28"/>
          <w:szCs w:val="28"/>
          <w:rtl w:val="true"/>
          <w:lang w:bidi="ar-SA"/>
        </w:rPr>
        <w:t xml:space="preserve">الوفاء مانع عن ترتّب الأثر على التصرّفات الواقعة على ذلك المال، الثابت </w:t>
      </w:r>
      <w:r>
        <w:rPr>
          <w:rStyle w:val="FootnoteAnchor"/>
          <w:rtl w:val="true"/>
        </w:rPr>
        <w:footnoteReference w:id="2300"/>
      </w:r>
      <w:r>
        <w:rPr>
          <w:rFonts w:ascii="IRNazanin" w:hAnsi="IRNazanin" w:eastAsia="IRNazanin"/>
          <w:color w:val="111111"/>
          <w:sz w:val="28"/>
          <w:sz w:val="28"/>
          <w:szCs w:val="28"/>
          <w:rtl w:val="true"/>
          <w:lang w:bidi="fa-IR"/>
        </w:rPr>
        <w:t>جوازها بعموم أدلّتها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الدفع إلى الإمام مختص بصورة وجوب الزكاة، و بعد سقوط الزكاة عنه بمقتضى العمل بعمومات جواز الدفع إلى الفقراء المستلزم لسقوط التكليف لا يبقى موضوع لوجوب الدفع إلى الإمام عليه السلام فالعمل بالعمومات مخرج للمسألة عن موضوع وجوب الدفع إلى الإمام، فالحكم بالإجزاء من جهة العمل بظاهر العمومات </w:t>
      </w:r>
      <w:r>
        <w:rPr>
          <w:rStyle w:val="FootnoteAnchor"/>
          <w:rtl w:val="true"/>
        </w:rPr>
        <w:footnoteReference w:id="2301"/>
      </w:r>
      <w:r>
        <w:rPr>
          <w:rFonts w:ascii="Amiri" w:hAnsi="Amiri" w:eastAsia="Amiri" w:cs="Amiri"/>
          <w:color w:val="111111"/>
          <w:sz w:val="28"/>
          <w:sz w:val="28"/>
          <w:szCs w:val="28"/>
          <w:rtl w:val="true"/>
          <w:lang w:bidi="ar-SA"/>
        </w:rPr>
        <w:t xml:space="preserve">لا يلزم منه خلاف ظاهر في دليل وجوب الدفع إلى الإمام عليه السلام، بل يلزم منه خروج الواقعة عن موضوع ذلك الدليل بخلاف الحكم بعدم الإجزاء </w:t>
      </w:r>
      <w:r>
        <w:rPr>
          <w:rStyle w:val="FootnoteAnchor"/>
          <w:rtl w:val="true"/>
        </w:rPr>
        <w:footnoteReference w:id="2302"/>
      </w:r>
      <w:r>
        <w:rPr>
          <w:rFonts w:ascii="Amiri" w:hAnsi="Amiri" w:eastAsia="Amiri" w:cs="Amiri"/>
          <w:color w:val="111111"/>
          <w:sz w:val="28"/>
          <w:sz w:val="28"/>
          <w:szCs w:val="28"/>
          <w:rtl w:val="true"/>
          <w:lang w:bidi="ar-SA"/>
        </w:rPr>
        <w:t>، فإنّه موجب لتخصيص العمومات</w:t>
      </w:r>
      <w:r>
        <w:rPr>
          <w:rFonts w:eastAsia="Amiri" w:cs="Amiri" w:ascii="Amiri" w:hAnsi="Amiri"/>
          <w:color w:val="111111"/>
          <w:sz w:val="28"/>
          <w:szCs w:val="28"/>
          <w:rtl w:val="true"/>
          <w:lang w:bidi="ar-SA"/>
        </w:rPr>
        <w:t>.</w:t>
      </w:r>
      <w:bookmarkStart w:id="150" w:name="pg19722_766428"/>
    </w:p>
    <w:p>
      <w:pPr>
        <w:pStyle w:val="Heading4"/>
        <w:numPr>
          <w:ilvl w:val="3"/>
          <w:numId w:val="1"/>
        </w:numPr>
        <w:rPr/>
      </w:pPr>
      <w:bookmarkStart w:id="151" w:name="__RefHeading___Toc2136380_2314609296"/>
      <w:bookmarkStart w:id="152" w:name="_Toc52"/>
      <w:bookmarkEnd w:id="150"/>
      <w:bookmarkEnd w:id="151"/>
      <w:r>
        <w:rPr>
          <w:rtl w:val="true"/>
        </w:rPr>
        <w:t xml:space="preserve">مسألة </w:t>
      </w:r>
      <w:r>
        <w:rPr>
          <w:rtl w:val="true"/>
        </w:rPr>
        <w:t>[</w:t>
      </w:r>
      <w:r>
        <w:rPr/>
        <w:t>43</w:t>
      </w:r>
      <w:r>
        <w:rPr>
          <w:rtl w:val="true"/>
        </w:rPr>
        <w:t>]</w:t>
      </w:r>
      <w:bookmarkEnd w:id="152"/>
    </w:p>
    <w:p>
      <w:pPr>
        <w:pStyle w:val="BookText"/>
        <w:rPr/>
      </w:pPr>
      <w:r>
        <w:rPr>
          <w:rFonts w:ascii="Amiri" w:hAnsi="Amiri" w:eastAsia="Amiri" w:cs="Amiri"/>
          <w:color w:val="111111"/>
          <w:sz w:val="28"/>
          <w:sz w:val="28"/>
          <w:szCs w:val="28"/>
          <w:rtl w:val="true"/>
          <w:lang w:bidi="ar-SA"/>
        </w:rPr>
        <w:t xml:space="preserve">المحكي عن جماعة </w:t>
      </w:r>
      <w:r>
        <w:rPr>
          <w:rStyle w:val="FootnoteAnchor"/>
          <w:rtl w:val="true"/>
        </w:rPr>
        <w:footnoteReference w:id="2303"/>
      </w:r>
      <w:r>
        <w:rPr>
          <w:rFonts w:ascii="Amiri" w:hAnsi="Amiri" w:eastAsia="Amiri" w:cs="Amiri"/>
          <w:color w:val="111111"/>
          <w:sz w:val="28"/>
          <w:sz w:val="28"/>
          <w:szCs w:val="28"/>
          <w:rtl w:val="true"/>
          <w:lang w:bidi="ar-SA"/>
        </w:rPr>
        <w:t>تحريم نقل الزكاة من بلد إلى آخر مع التمكن من صرفها في المنقول عنه،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w:t>
      </w:r>
      <w:r>
        <w:rPr>
          <w:rStyle w:val="FootnoteAnchor"/>
          <w:rtl w:val="true"/>
        </w:rPr>
        <w:footnoteReference w:id="2304"/>
      </w:r>
      <w:r>
        <w:rPr>
          <w:rFonts w:ascii="Amiri" w:hAnsi="Amiri" w:eastAsia="Amiri" w:cs="Amiri"/>
          <w:color w:val="111111"/>
          <w:sz w:val="28"/>
          <w:sz w:val="28"/>
          <w:szCs w:val="28"/>
          <w:rtl w:val="true"/>
          <w:lang w:bidi="ar-SA"/>
        </w:rPr>
        <w:t>، بل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أجمع </w:t>
      </w:r>
      <w:r>
        <w:rPr>
          <w:rStyle w:val="FootnoteAnchor"/>
          <w:rtl w:val="true"/>
        </w:rPr>
        <w:footnoteReference w:id="2305"/>
      </w:r>
      <w:r>
        <w:rPr>
          <w:rFonts w:ascii="Amiri" w:hAnsi="Amiri" w:eastAsia="Amiri" w:cs="Amiri"/>
          <w:color w:val="111111"/>
          <w:sz w:val="28"/>
          <w:sz w:val="28"/>
          <w:szCs w:val="28"/>
          <w:rtl w:val="true"/>
          <w:lang w:bidi="ar-SA"/>
        </w:rPr>
        <w:t xml:space="preserve">، و عن الخلاف الإجماع عليه </w:t>
      </w:r>
      <w:r>
        <w:rPr>
          <w:rStyle w:val="FootnoteAnchor"/>
          <w:rtl w:val="true"/>
        </w:rPr>
        <w:footnoteReference w:id="2306"/>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لمنافاته للفورية الثابتة كما سيجي‌ء، و لأنه تغرير للمال، و تعريض له للتلف، و لما دل على مداومة النبي صلّى اللّٰه عليه و آله و سلم على تقسيم صدقة أهل البوادي عليهم، و صدقة أهل الحضر عليهم </w:t>
      </w:r>
      <w:r>
        <w:rPr>
          <w:rStyle w:val="FootnoteAnchor"/>
          <w:rtl w:val="true"/>
        </w:rPr>
        <w:footnoteReference w:id="2307"/>
      </w:r>
      <w:r>
        <w:rPr>
          <w:rFonts w:ascii="Amiri" w:hAnsi="Amiri" w:eastAsia="Amiri" w:cs="Amiri"/>
          <w:color w:val="111111"/>
          <w:sz w:val="28"/>
          <w:sz w:val="28"/>
          <w:szCs w:val="28"/>
          <w:rtl w:val="true"/>
          <w:lang w:bidi="ar-SA"/>
        </w:rPr>
        <w:t>، بل عن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تحلّ صدقة المهاجرين للأعراب، و لا صدقة الأعراب للمهاجرين</w:t>
      </w:r>
      <w:r>
        <w:rPr>
          <w:rFonts w:eastAsia="Amiri" w:cs="Amiri" w:ascii="Amiri" w:hAnsi="Amiri"/>
          <w:color w:val="111111"/>
          <w:sz w:val="28"/>
          <w:szCs w:val="28"/>
          <w:rtl w:val="true"/>
          <w:lang w:bidi="ar-SA"/>
        </w:rPr>
        <w:t xml:space="preserve">»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الأدلة نظر؛ لمنع منافاة النقل للفورية؛ لأن السفر بها شروع في الإخراج، و لا تجب المسارعة في أسرع وقت، و إلّا لم يجز القسمة بين المستحقين </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لإمكان دفعها الى مستحقّ واحد، مع أنّ الكلام في نفس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نافى الفوريّة أم لا، و هذا غير مسألة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التأخير سواء نشأ من النقل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التغرير بالزكاة مع الحكم بالضمان و وجوب الإعادة لو تلف ممنوع، بل لا تغرير مع أمن الطرق عادة، مع أنّ الكلام في النقل من حيث هو، لا التغرير الذي بينه و بين النقل تباين 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مداومة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سلّم دلالتها على الوجوب</w:t>
      </w:r>
      <w:r>
        <w:rPr>
          <w:rFonts w:eastAsia="Amiri" w:cs="Amiri" w:ascii="Amiri" w:hAnsi="Amiri"/>
          <w:color w:val="111111"/>
          <w:sz w:val="28"/>
          <w:szCs w:val="28"/>
          <w:rtl w:val="true"/>
          <w:lang w:bidi="ar-SA"/>
        </w:rPr>
        <w:t xml:space="preserve">] </w:t>
      </w:r>
      <w:r>
        <w:rPr>
          <w:rStyle w:val="FootnoteAnchor"/>
          <w:rtl w:val="true"/>
        </w:rPr>
        <w:footnoteReference w:id="2310"/>
      </w:r>
      <w:r>
        <w:rPr>
          <w:rFonts w:ascii="Amiri" w:hAnsi="Amiri" w:eastAsia="Amiri" w:cs="Amiri"/>
          <w:color w:val="111111"/>
          <w:sz w:val="28"/>
          <w:sz w:val="28"/>
          <w:szCs w:val="28"/>
          <w:rtl w:val="true"/>
          <w:lang w:bidi="ar-SA"/>
        </w:rPr>
        <w:t xml:space="preserve">فلا دخل لها في مسألة النقل، بل من حيث القسمة، و أحدهما لا يستلزم الآخر، فقد يمكن تقسيم صدقة إحدى الطائفتين على الأخرى من غير نقل، كما يمكن النقل مع تقسيم صدقة كلّ طائفة إلى أهلها، كيف و قد ثبت ضرورة إرسال النبي صلّى اللّٰه عليه و آله و سلم العمّال و الجباة لنقل الصدقات إلى البلد، كما نصّ عليه الإمام عليه السلام في الكلام الذي حكيناه عن نهج البلاغة في آداب العامل </w:t>
      </w:r>
      <w:r>
        <w:rPr>
          <w:rStyle w:val="FootnoteAnchor"/>
          <w:rtl w:val="true"/>
        </w:rPr>
        <w:footnoteReference w:id="2311"/>
      </w:r>
      <w:r>
        <w:rPr>
          <w:rFonts w:ascii="Amiri" w:hAnsi="Amiri" w:eastAsia="Amiri" w:cs="Amiri"/>
          <w:color w:val="111111"/>
          <w:sz w:val="28"/>
          <w:sz w:val="28"/>
          <w:szCs w:val="28"/>
          <w:rtl w:val="true"/>
          <w:lang w:bidi="ar-SA"/>
        </w:rPr>
        <w:t>، و منه يظهر الجواب عن رواية الحلبي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الشهرة و حكاية الإجماع فموهونتان بذهاب كثير إلى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بشرط الضمان كما عن المبسوط </w:t>
      </w:r>
      <w:r>
        <w:rPr>
          <w:rStyle w:val="FootnoteAnchor"/>
          <w:rtl w:val="true"/>
        </w:rPr>
        <w:footnoteReference w:id="2312"/>
      </w:r>
      <w:r>
        <w:rPr>
          <w:rFonts w:ascii="IRNazanin" w:hAnsi="IRNazanin" w:eastAsia="IRNazanin"/>
          <w:color w:val="111111"/>
          <w:sz w:val="28"/>
          <w:sz w:val="28"/>
          <w:szCs w:val="28"/>
          <w:rtl w:val="true"/>
          <w:lang w:bidi="fa-IR"/>
        </w:rPr>
        <w:t xml:space="preserve">و الاقتصاد </w:t>
      </w:r>
      <w:r>
        <w:rPr>
          <w:rStyle w:val="FootnoteAnchor"/>
          <w:rtl w:val="true"/>
        </w:rPr>
        <w:footnoteReference w:id="2313"/>
      </w:r>
      <w:r>
        <w:rPr>
          <w:rFonts w:ascii="Amiri" w:hAnsi="Amiri" w:eastAsia="Amiri" w:cs="Amiri"/>
          <w:color w:val="111111"/>
          <w:sz w:val="28"/>
          <w:sz w:val="28"/>
          <w:szCs w:val="28"/>
          <w:rtl w:val="true"/>
          <w:lang w:bidi="ar-SA"/>
        </w:rPr>
        <w:t xml:space="preserve">و الفاضل في بعض كتبه </w:t>
      </w:r>
      <w:r>
        <w:rPr>
          <w:rStyle w:val="FootnoteAnchor"/>
          <w:rtl w:val="true"/>
        </w:rPr>
        <w:footnoteReference w:id="2314"/>
      </w:r>
      <w:r>
        <w:rPr>
          <w:rFonts w:ascii="Amiri" w:hAnsi="Amiri" w:eastAsia="Amiri" w:cs="Amiri"/>
          <w:color w:val="111111"/>
          <w:sz w:val="28"/>
          <w:sz w:val="28"/>
          <w:szCs w:val="28"/>
          <w:rtl w:val="true"/>
          <w:lang w:bidi="ar-SA"/>
        </w:rPr>
        <w:t xml:space="preserve">و الشهيدين في الدروس </w:t>
      </w:r>
      <w:r>
        <w:rPr>
          <w:rStyle w:val="FootnoteAnchor"/>
          <w:rtl w:val="true"/>
        </w:rPr>
        <w:footnoteReference w:id="2315"/>
      </w:r>
      <w:r>
        <w:rPr>
          <w:rFonts w:ascii="Amiri" w:hAnsi="Amiri" w:eastAsia="Amiri" w:cs="Amiri"/>
          <w:color w:val="111111"/>
          <w:sz w:val="28"/>
          <w:sz w:val="28"/>
          <w:szCs w:val="28"/>
          <w:rtl w:val="true"/>
          <w:lang w:bidi="ar-SA"/>
        </w:rPr>
        <w:t xml:space="preserve">و المسالك </w:t>
      </w:r>
      <w:r>
        <w:rPr>
          <w:rStyle w:val="FootnoteAnchor"/>
          <w:rtl w:val="true"/>
        </w:rPr>
        <w:footnoteReference w:id="2316"/>
      </w:r>
      <w:r>
        <w:rPr>
          <w:rFonts w:ascii="Amiri" w:hAnsi="Amiri" w:eastAsia="Amiri" w:cs="Amiri"/>
          <w:color w:val="111111"/>
          <w:sz w:val="28"/>
          <w:sz w:val="28"/>
          <w:szCs w:val="28"/>
          <w:rtl w:val="true"/>
          <w:lang w:bidi="ar-SA"/>
        </w:rPr>
        <w:t xml:space="preserve">، أو من غير ذكر شرطه كما عن المفيد </w:t>
      </w:r>
      <w:r>
        <w:rPr>
          <w:rStyle w:val="FootnoteAnchor"/>
          <w:rtl w:val="true"/>
        </w:rPr>
        <w:footnoteReference w:id="2317"/>
      </w:r>
      <w:r>
        <w:rPr>
          <w:rFonts w:ascii="Amiri" w:hAnsi="Amiri" w:eastAsia="Amiri" w:cs="Amiri"/>
          <w:color w:val="111111"/>
          <w:sz w:val="28"/>
          <w:sz w:val="28"/>
          <w:szCs w:val="28"/>
          <w:rtl w:val="true"/>
          <w:lang w:bidi="ar-SA"/>
        </w:rPr>
        <w:t xml:space="preserve">و ابن حمزة </w:t>
      </w:r>
      <w:r>
        <w:rPr>
          <w:rStyle w:val="FootnoteAnchor"/>
          <w:rtl w:val="true"/>
        </w:rPr>
        <w:footnoteReference w:id="2318"/>
      </w:r>
      <w:r>
        <w:rPr>
          <w:rFonts w:ascii="Amiri" w:hAnsi="Amiri" w:eastAsia="Amiri" w:cs="Amiri"/>
          <w:color w:val="111111"/>
          <w:sz w:val="28"/>
          <w:sz w:val="28"/>
          <w:szCs w:val="28"/>
          <w:rtl w:val="true"/>
          <w:lang w:bidi="ar-SA"/>
        </w:rPr>
        <w:t xml:space="preserve">و الحلي </w:t>
      </w:r>
      <w:r>
        <w:rPr>
          <w:rStyle w:val="FootnoteAnchor"/>
          <w:rtl w:val="true"/>
        </w:rPr>
        <w:footnoteReference w:id="2319"/>
      </w:r>
      <w:r>
        <w:rPr>
          <w:rFonts w:ascii="Amiri" w:hAnsi="Amiri" w:eastAsia="Amiri" w:cs="Amiri"/>
          <w:color w:val="111111"/>
          <w:sz w:val="28"/>
          <w:sz w:val="28"/>
          <w:szCs w:val="28"/>
          <w:rtl w:val="true"/>
          <w:lang w:bidi="ar-SA"/>
        </w:rPr>
        <w:t xml:space="preserve">و الفاضل في بعض كتبه </w:t>
      </w:r>
      <w:r>
        <w:rPr>
          <w:rStyle w:val="FootnoteAnchor"/>
          <w:rtl w:val="true"/>
        </w:rPr>
        <w:footnoteReference w:id="2320"/>
      </w:r>
      <w:r>
        <w:rPr>
          <w:rFonts w:ascii="Amiri" w:hAnsi="Amiri" w:eastAsia="Amiri" w:cs="Amiri"/>
          <w:color w:val="111111"/>
          <w:sz w:val="28"/>
          <w:sz w:val="28"/>
          <w:szCs w:val="28"/>
          <w:rtl w:val="true"/>
          <w:lang w:bidi="ar-SA"/>
        </w:rPr>
        <w:t>، و هو الأقوى؛ لأصالة الجواز</w:t>
      </w:r>
    </w:p>
    <w:p>
      <w:pPr>
        <w:pStyle w:val="BookText"/>
        <w:rPr/>
      </w:pPr>
      <w:r>
        <w:rPr>
          <w:rFonts w:ascii="Amiri" w:hAnsi="Amiri" w:eastAsia="Amiri" w:cs="Amiri"/>
          <w:color w:val="111111"/>
          <w:sz w:val="28"/>
          <w:sz w:val="28"/>
          <w:szCs w:val="28"/>
          <w:rtl w:val="true"/>
          <w:lang w:bidi="ar-SA"/>
        </w:rPr>
        <w:t>الثابتة بإطلاقات دفع الزكاة، و خصوص المعتبرة مثل ما عن الفقيه بسنده إلى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يعطي الزكاة فيقسمها، أ له أن يخرج الشي‌ء منها من البلدة التي هو بها إلى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درست بن أبي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زكاة يبعث بها الرجل الى بلد غير بلده؟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يبعث بالثلث أو الربع</w:t>
      </w:r>
      <w:r>
        <w:rPr>
          <w:rFonts w:eastAsia="Amiri" w:cs="Amiri" w:ascii="Amiri" w:hAnsi="Amiri"/>
          <w:color w:val="111111"/>
          <w:sz w:val="28"/>
          <w:szCs w:val="28"/>
          <w:rtl w:val="true"/>
          <w:lang w:bidi="ar-SA"/>
        </w:rPr>
        <w:t xml:space="preserve">»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المصحح عن أحمد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الثالث عليه السلام عن الرجل يخرج زكاته من بلد إلى بلد أخر و يصرفها في إخوانه فهل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الجواز بمعنى ثبوت هذا التخيير للمالك بأصل الشرع في دفع الزكاة الذي لازمها </w:t>
      </w:r>
      <w:r>
        <w:rPr>
          <w:rStyle w:val="FootnoteAnchor"/>
          <w:rtl w:val="true"/>
        </w:rPr>
        <w:footnoteReference w:id="2324"/>
      </w:r>
      <w:r>
        <w:rPr>
          <w:rFonts w:ascii="Amiri" w:hAnsi="Amiri" w:eastAsia="Amiri" w:cs="Amiri"/>
          <w:color w:val="111111"/>
          <w:sz w:val="28"/>
          <w:sz w:val="28"/>
          <w:szCs w:val="28"/>
          <w:rtl w:val="true"/>
          <w:lang w:bidi="ar-SA"/>
        </w:rPr>
        <w:t xml:space="preserve">عدم الضمان، إلّا أنّ الظاهر ثبوت الضمان لو تلفت إذا تمكن من دفعها في بلده </w:t>
      </w:r>
      <w:r>
        <w:rPr>
          <w:rStyle w:val="FootnoteAnchor"/>
          <w:rtl w:val="true"/>
        </w:rPr>
        <w:footnoteReference w:id="2325"/>
      </w:r>
      <w:r>
        <w:rPr>
          <w:rFonts w:ascii="Amiri" w:hAnsi="Amiri" w:eastAsia="Amiri" w:cs="Amiri"/>
          <w:color w:val="111111"/>
          <w:sz w:val="28"/>
          <w:sz w:val="28"/>
          <w:szCs w:val="28"/>
          <w:rtl w:val="true"/>
          <w:lang w:bidi="ar-SA"/>
        </w:rPr>
        <w:t xml:space="preserve">إلى المستحق، و عن المنتهى الإجماع عليه </w:t>
      </w:r>
      <w:r>
        <w:rPr>
          <w:rStyle w:val="FootnoteAnchor"/>
          <w:rtl w:val="true"/>
        </w:rPr>
        <w:footnoteReference w:id="2326"/>
      </w:r>
      <w:r>
        <w:rPr>
          <w:rFonts w:ascii="Amiri" w:hAnsi="Amiri" w:eastAsia="Amiri" w:cs="Amiri"/>
          <w:color w:val="111111"/>
          <w:sz w:val="28"/>
          <w:sz w:val="28"/>
          <w:szCs w:val="28"/>
          <w:rtl w:val="true"/>
          <w:lang w:bidi="ar-SA"/>
        </w:rPr>
        <w:t xml:space="preserve">، و قد تقدّم تحقق الضمان بالتمكّن </w:t>
      </w:r>
      <w:r>
        <w:rPr>
          <w:rStyle w:val="FootnoteAnchor"/>
          <w:rtl w:val="true"/>
        </w:rPr>
        <w:footnoteReference w:id="2327"/>
      </w:r>
      <w:r>
        <w:rPr>
          <w:rFonts w:ascii="Amiri" w:hAnsi="Amiri" w:eastAsia="Amiri" w:cs="Amiri"/>
          <w:color w:val="111111"/>
          <w:sz w:val="28"/>
          <w:sz w:val="28"/>
          <w:szCs w:val="28"/>
          <w:rtl w:val="true"/>
          <w:lang w:bidi="ar-SA"/>
        </w:rPr>
        <w:t xml:space="preserve">من التسليم، و لعل مراد من نسب إليه المنع من النقل هو سلب الجواز لا من حيث الفورية بالمعنى المذكور الذي لازمة عدم الضمان، كما في سائر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ترى </w:t>
      </w:r>
      <w:r>
        <w:rPr>
          <w:rStyle w:val="FootnoteAnchor"/>
          <w:rtl w:val="true"/>
        </w:rPr>
        <w:footnoteReference w:id="2328"/>
      </w:r>
      <w:r>
        <w:rPr>
          <w:rFonts w:ascii="Amiri" w:hAnsi="Amiri" w:eastAsia="Amiri" w:cs="Amiri"/>
          <w:color w:val="111111"/>
          <w:sz w:val="28"/>
          <w:sz w:val="28"/>
          <w:szCs w:val="28"/>
          <w:rtl w:val="true"/>
          <w:lang w:bidi="ar-SA"/>
        </w:rPr>
        <w:t>حيث إنها</w:t>
      </w:r>
    </w:p>
    <w:p>
      <w:pPr>
        <w:pStyle w:val="BookText"/>
        <w:rPr/>
      </w:pPr>
      <w:r>
        <w:rPr>
          <w:rFonts w:ascii="IRNazanin" w:hAnsi="IRNazanin" w:eastAsia="IRNazanin"/>
          <w:color w:val="111111"/>
          <w:sz w:val="28"/>
          <w:sz w:val="28"/>
          <w:szCs w:val="28"/>
          <w:rtl w:val="true"/>
          <w:lang w:bidi="fa-IR"/>
        </w:rPr>
        <w:t>لا تستعقب</w:t>
      </w:r>
      <w:r>
        <w:rPr>
          <w:rFonts w:eastAsia="IRNazanin" w:cs="IRNazanin"/>
          <w:color w:val="111111"/>
          <w:sz w:val="28"/>
          <w:szCs w:val="28"/>
          <w:rtl w:val="true"/>
          <w:lang w:bidi="fa-IR"/>
        </w:rPr>
        <w:t xml:space="preserve">] </w:t>
      </w:r>
      <w:r>
        <w:rPr>
          <w:rStyle w:val="FootnoteAnchor"/>
          <w:rtl w:val="true"/>
        </w:rPr>
        <w:footnoteReference w:id="2329"/>
      </w:r>
      <w:r>
        <w:rPr>
          <w:rFonts w:ascii="Amiri" w:hAnsi="Amiri" w:eastAsia="Amiri" w:cs="Amiri"/>
          <w:color w:val="111111"/>
          <w:sz w:val="28"/>
          <w:sz w:val="28"/>
          <w:szCs w:val="28"/>
          <w:rtl w:val="true"/>
          <w:lang w:bidi="ar-SA"/>
        </w:rPr>
        <w:t xml:space="preserve">ضمانا، و لذا ترى جملة من المانعين لا يفرّعون </w:t>
      </w:r>
      <w:r>
        <w:rPr>
          <w:rStyle w:val="FootnoteAnchor"/>
          <w:rtl w:val="true"/>
        </w:rPr>
        <w:footnoteReference w:id="2330"/>
      </w:r>
      <w:r>
        <w:rPr>
          <w:rFonts w:ascii="Amiri" w:hAnsi="Amiri" w:eastAsia="Amiri" w:cs="Amiri"/>
          <w:color w:val="111111"/>
          <w:sz w:val="28"/>
          <w:sz w:val="28"/>
          <w:szCs w:val="28"/>
          <w:rtl w:val="true"/>
          <w:lang w:bidi="ar-SA"/>
        </w:rPr>
        <w:t>على المنع إلّا الحكم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ذلك ما عن الخلاف </w:t>
      </w:r>
      <w:r>
        <w:rPr>
          <w:rStyle w:val="FootnoteAnchor"/>
          <w:rtl w:val="true"/>
        </w:rPr>
        <w:footnoteReference w:id="2331"/>
      </w:r>
      <w:r>
        <w:rPr>
          <w:rFonts w:ascii="Amiri" w:hAnsi="Amiri" w:eastAsia="Amiri" w:cs="Amiri"/>
          <w:color w:val="111111"/>
          <w:sz w:val="28"/>
          <w:sz w:val="28"/>
          <w:szCs w:val="28"/>
          <w:rtl w:val="true"/>
          <w:lang w:bidi="ar-SA"/>
        </w:rPr>
        <w:t xml:space="preserve">و التذكرة </w:t>
      </w:r>
      <w:r>
        <w:rPr>
          <w:rStyle w:val="FootnoteAnchor"/>
          <w:rtl w:val="true"/>
        </w:rPr>
        <w:footnoteReference w:id="2332"/>
      </w:r>
      <w:r>
        <w:rPr>
          <w:rFonts w:ascii="IRNazanin" w:hAnsi="IRNazanin" w:eastAsia="IRNazanin"/>
          <w:color w:val="111111"/>
          <w:sz w:val="28"/>
          <w:sz w:val="28"/>
          <w:szCs w:val="28"/>
          <w:rtl w:val="true"/>
          <w:lang w:bidi="fa-IR"/>
        </w:rPr>
        <w:t xml:space="preserve">من اتفاق العلماء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Style w:val="FootnoteAnchor"/>
          <w:rtl w:val="true"/>
        </w:rPr>
        <w:footnoteReference w:id="2333"/>
      </w:r>
      <w:r>
        <w:rPr>
          <w:rFonts w:ascii="Amiri" w:hAnsi="Amiri" w:eastAsia="Amiri" w:cs="Amiri"/>
          <w:color w:val="111111"/>
          <w:sz w:val="28"/>
          <w:sz w:val="28"/>
          <w:szCs w:val="28"/>
          <w:rtl w:val="true"/>
          <w:lang w:bidi="ar-SA"/>
        </w:rPr>
        <w:t xml:space="preserve">المنع، مع أنّ المتتبع لا يجد القائلين بالمنع أكثر من المجوّزين، مضافا إلى ذهاب الشيخ </w:t>
      </w:r>
      <w:r>
        <w:rPr>
          <w:rStyle w:val="FootnoteAnchor"/>
          <w:rtl w:val="true"/>
        </w:rPr>
        <w:footnoteReference w:id="2334"/>
      </w:r>
      <w:r>
        <w:rPr>
          <w:rFonts w:ascii="IRNazanin" w:hAnsi="IRNazanin" w:eastAsia="IRNazanin"/>
          <w:color w:val="111111"/>
          <w:sz w:val="28"/>
          <w:sz w:val="28"/>
          <w:szCs w:val="28"/>
          <w:rtl w:val="true"/>
          <w:lang w:bidi="fa-IR"/>
        </w:rPr>
        <w:t xml:space="preserve">و الفاضل </w:t>
      </w:r>
      <w:r>
        <w:rPr>
          <w:rStyle w:val="FootnoteAnchor"/>
          <w:rtl w:val="true"/>
        </w:rPr>
        <w:footnoteReference w:id="2335"/>
      </w:r>
      <w:r>
        <w:rPr>
          <w:rFonts w:ascii="Amiri" w:hAnsi="Amiri" w:eastAsia="Amiri" w:cs="Amiri"/>
          <w:color w:val="111111"/>
          <w:sz w:val="28"/>
          <w:sz w:val="28"/>
          <w:szCs w:val="28"/>
          <w:rtl w:val="true"/>
          <w:lang w:bidi="ar-SA"/>
        </w:rPr>
        <w:t>إلى الجواز في أكثر كتبهما، و أوضح من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الشهيد في اللمعة </w:t>
      </w:r>
      <w:r>
        <w:rPr>
          <w:rStyle w:val="FootnoteAnchor"/>
          <w:rtl w:val="true"/>
        </w:rPr>
        <w:footnoteReference w:id="2336"/>
      </w:r>
      <w:r>
        <w:rPr>
          <w:rFonts w:ascii="IRNazanin" w:hAnsi="IRNazanin" w:eastAsia="IRNazanin"/>
          <w:color w:val="111111"/>
          <w:sz w:val="28"/>
          <w:sz w:val="28"/>
          <w:szCs w:val="28"/>
          <w:rtl w:val="true"/>
          <w:lang w:bidi="fa-IR"/>
        </w:rPr>
        <w:t xml:space="preserve">و الدروس </w:t>
      </w:r>
      <w:r>
        <w:rPr>
          <w:rStyle w:val="FootnoteAnchor"/>
          <w:rtl w:val="true"/>
        </w:rPr>
        <w:footnoteReference w:id="2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الجزم بعدم الجواز </w:t>
      </w:r>
      <w:r>
        <w:rPr>
          <w:rStyle w:val="FootnoteAnchor"/>
          <w:rtl w:val="true"/>
        </w:rPr>
        <w:footnoteReference w:id="2338"/>
      </w:r>
      <w:r>
        <w:rPr>
          <w:rFonts w:ascii="Amiri" w:hAnsi="Amiri" w:eastAsia="Amiri" w:cs="Amiri"/>
          <w:color w:val="111111"/>
          <w:sz w:val="28"/>
          <w:sz w:val="28"/>
          <w:szCs w:val="28"/>
          <w:rtl w:val="true"/>
          <w:lang w:bidi="ar-SA"/>
        </w:rPr>
        <w:t>و تفريع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اعترضه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معنى لإظهار التردّد بعد الجزم </w:t>
      </w:r>
      <w:r>
        <w:rPr>
          <w:rStyle w:val="FootnoteAnchor"/>
          <w:rtl w:val="true"/>
        </w:rPr>
        <w:footnoteReference w:id="2339"/>
      </w:r>
      <w:r>
        <w:rPr>
          <w:rFonts w:ascii="Amiri" w:hAnsi="Amiri" w:eastAsia="Amiri" w:cs="Amiri"/>
          <w:color w:val="111111"/>
          <w:sz w:val="28"/>
          <w:sz w:val="28"/>
          <w:szCs w:val="28"/>
          <w:rtl w:val="true"/>
          <w:lang w:bidi="ar-SA"/>
        </w:rPr>
        <w:t>، و وجّهه شارح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عدم الجواز عقلا؛ لإفضائه إلى الضمان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ما ذكرناه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أضعف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341"/>
      </w:r>
      <w:r>
        <w:rPr>
          <w:rFonts w:ascii="Amiri" w:hAnsi="Amiri" w:eastAsia="Amiri" w:cs="Amiri"/>
          <w:color w:val="111111"/>
          <w:sz w:val="28"/>
          <w:sz w:val="28"/>
          <w:szCs w:val="28"/>
          <w:rtl w:val="true"/>
          <w:lang w:bidi="ar-SA"/>
        </w:rPr>
        <w:t xml:space="preserve">في بعض القيود </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من عدم المنافاة بين المنع و عدم الإثم؛ لجواز ارتفاع الإثم بأداء العوض كما في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لحسنة محمّد بن مسلم بابن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لها موضعا فلم يدفعها إليه فهو لها ضامن حتّى يدفعها، و إن لم يجد لها من يدفعها إليه فبعث بها إلى أهلها فليس عليه ضمان، لأنّها قد خرجت عن يده، و كذا الوصي الذي يوصى إليه يكون ضامنا لما دفع إليه إذا وجد ربّه الذي يدفعه إليه </w:t>
      </w:r>
      <w:r>
        <w:rPr>
          <w:rStyle w:val="FootnoteAnchor"/>
          <w:rtl w:val="true"/>
        </w:rPr>
        <w:footnoteReference w:id="2343"/>
      </w:r>
      <w:r>
        <w:rPr>
          <w:rFonts w:ascii="Amiri" w:hAnsi="Amiri" w:eastAsia="Amiri" w:cs="Amiri"/>
          <w:color w:val="111111"/>
          <w:sz w:val="28"/>
          <w:sz w:val="28"/>
          <w:szCs w:val="28"/>
          <w:rtl w:val="true"/>
          <w:lang w:bidi="ar-SA"/>
        </w:rPr>
        <w:t>فإن لم يجد فليس عليه ضمان</w:t>
      </w:r>
      <w:r>
        <w:rPr>
          <w:rFonts w:eastAsia="Amiri" w:cs="Amiri" w:ascii="Amiri" w:hAnsi="Amiri"/>
          <w:color w:val="111111"/>
          <w:sz w:val="28"/>
          <w:szCs w:val="28"/>
          <w:rtl w:val="true"/>
          <w:lang w:bidi="ar-SA"/>
        </w:rPr>
        <w:t xml:space="preserve">»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من وجّه إليه زكاة مال ليفرقها </w:t>
      </w:r>
      <w:r>
        <w:rPr>
          <w:rStyle w:val="FootnoteAnchor"/>
          <w:rtl w:val="true"/>
        </w:rPr>
        <w:footnoteReference w:id="2345"/>
      </w:r>
      <w:r>
        <w:rPr>
          <w:rFonts w:ascii="Amiri" w:hAnsi="Amiri" w:eastAsia="Amiri" w:cs="Amiri"/>
          <w:color w:val="111111"/>
          <w:sz w:val="28"/>
          <w:sz w:val="28"/>
          <w:szCs w:val="28"/>
          <w:rtl w:val="true"/>
          <w:lang w:bidi="ar-SA"/>
        </w:rPr>
        <w:t xml:space="preserve">و وجد لها موضعا فلم يفعل و هلكت، كان ضامنا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بعث إليه أخ له بزكاة ليقسّمها فضاعت؟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 لا على المؤدّي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يجد لها أهلا ففسدت و تغيّرت أ يضمنها؟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إن عرف لها أهلا فعطبت أو فسدت فهو لها ضامن حتى يخرجها</w:t>
      </w:r>
      <w:r>
        <w:rPr>
          <w:rFonts w:eastAsia="Amiri" w:cs="Amiri" w:ascii="Amiri" w:hAnsi="Amiri"/>
          <w:color w:val="111111"/>
          <w:sz w:val="28"/>
          <w:szCs w:val="28"/>
          <w:rtl w:val="true"/>
          <w:lang w:bidi="ar-SA"/>
        </w:rPr>
        <w:t xml:space="preserve">» </w:t>
      </w:r>
      <w:r>
        <w:rPr>
          <w:rStyle w:val="FootnoteAnchor"/>
          <w:rtl w:val="true"/>
        </w:rPr>
        <w:footnoteReference w:id="2347"/>
      </w:r>
      <w:r>
        <w:rPr>
          <w:rFonts w:ascii="Amiri" w:hAnsi="Amiri" w:eastAsia="Amiri" w:cs="Amiri"/>
          <w:color w:val="111111"/>
          <w:sz w:val="28"/>
          <w:sz w:val="28"/>
          <w:szCs w:val="28"/>
          <w:rtl w:val="true"/>
          <w:lang w:bidi="ar-SA"/>
        </w:rPr>
        <w:t>و بإزاء هذه الأخبار أخبار دالّة على عدم الضمان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يبعث بزكاة ماله من أرض إلى أرض فيقطع عليه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أجزأته، و لو كنت أنا لأعدتها</w:t>
      </w:r>
      <w:r>
        <w:rPr>
          <w:rFonts w:eastAsia="Amiri" w:cs="Amiri" w:ascii="Amiri" w:hAnsi="Amiri"/>
          <w:color w:val="111111"/>
          <w:sz w:val="28"/>
          <w:szCs w:val="28"/>
          <w:rtl w:val="true"/>
          <w:lang w:bidi="ar-SA"/>
        </w:rPr>
        <w:t xml:space="preserve">»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بكير بن أعين،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w:t>
      </w:r>
    </w:p>
    <w:p>
      <w:pPr>
        <w:pStyle w:val="BookText"/>
        <w:rPr/>
      </w:pPr>
      <w:r>
        <w:rPr>
          <w:rFonts w:ascii="Amiri" w:hAnsi="Amiri" w:eastAsia="Amiri" w:cs="Amiri"/>
          <w:color w:val="111111"/>
          <w:sz w:val="28"/>
          <w:sz w:val="28"/>
          <w:szCs w:val="28"/>
          <w:rtl w:val="true"/>
          <w:lang w:bidi="ar-SA"/>
        </w:rPr>
        <w:t>يبعث بزكاته فتسرق أو تضيع؟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عبيد بن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أخرجها من ماله فذهبت و لم يسمّها لأحد فقد بري‌ء منها</w:t>
      </w:r>
      <w:r>
        <w:rPr>
          <w:rFonts w:eastAsia="Amiri" w:cs="Amiri" w:ascii="Amiri" w:hAnsi="Amiri"/>
          <w:color w:val="111111"/>
          <w:sz w:val="28"/>
          <w:szCs w:val="28"/>
          <w:rtl w:val="true"/>
          <w:lang w:bidi="ar-SA"/>
        </w:rPr>
        <w:t xml:space="preserve">»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حريز، عن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الرجل الزكاة من ماله ثمّ سمّاها لقوم فضاعت، أو أرسل بها إليهم فضاعت فلا شي‌ء عليه</w:t>
      </w:r>
      <w:r>
        <w:rPr>
          <w:rFonts w:eastAsia="Amiri" w:cs="Amiri" w:ascii="Amiri" w:hAnsi="Amiri"/>
          <w:color w:val="111111"/>
          <w:sz w:val="28"/>
          <w:szCs w:val="28"/>
          <w:rtl w:val="true"/>
          <w:lang w:bidi="ar-SA"/>
        </w:rPr>
        <w:t xml:space="preserve">» </w:t>
      </w:r>
      <w:r>
        <w:rPr>
          <w:rStyle w:val="FootnoteAnchor"/>
          <w:rtl w:val="true"/>
        </w:rPr>
        <w:footnoteReference w:id="2351"/>
      </w:r>
      <w:r>
        <w:rPr>
          <w:rFonts w:ascii="Amiri" w:hAnsi="Amiri" w:eastAsia="Amiri" w:cs="Amiri"/>
          <w:color w:val="111111"/>
          <w:sz w:val="28"/>
          <w:sz w:val="28"/>
          <w:szCs w:val="28"/>
          <w:rtl w:val="true"/>
          <w:lang w:bidi="ar-SA"/>
        </w:rPr>
        <w:t>، و مقتضى الجمع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أدلة عدم </w:t>
      </w:r>
      <w:r>
        <w:rPr>
          <w:rStyle w:val="FootnoteAnchor"/>
          <w:rtl w:val="true"/>
        </w:rPr>
        <w:footnoteReference w:id="2352"/>
      </w:r>
      <w:r>
        <w:rPr>
          <w:rFonts w:ascii="Amiri" w:hAnsi="Amiri" w:eastAsia="Amiri" w:cs="Amiri"/>
          <w:color w:val="111111"/>
          <w:sz w:val="28"/>
          <w:sz w:val="28"/>
          <w:szCs w:val="28"/>
          <w:rtl w:val="true"/>
          <w:lang w:bidi="ar-SA"/>
        </w:rPr>
        <w:t>الضمان على عدم التمكن من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النقل إنما يتحقق مع تعيّن الزكاة بالعزل، أو مع نقل جميع النصاب، و مع نقل بعضه من غير عزل،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مقدار ما يخصّه من مجموع الزكاة، لأن مقتضى الشركة تحقّق نقل جزء من الزكاة في ضمن البعض </w:t>
      </w:r>
      <w:r>
        <w:rPr>
          <w:rStyle w:val="FootnoteAnchor"/>
          <w:rtl w:val="true"/>
        </w:rPr>
        <w:footnoteReference w:id="2353"/>
      </w:r>
      <w:r>
        <w:rPr>
          <w:rFonts w:ascii="Amiri" w:hAnsi="Amiri" w:eastAsia="Amiri" w:cs="Amiri"/>
          <w:color w:val="111111"/>
          <w:sz w:val="28"/>
          <w:sz w:val="28"/>
          <w:szCs w:val="28"/>
          <w:rtl w:val="true"/>
          <w:lang w:bidi="ar-SA"/>
        </w:rPr>
        <w:t xml:space="preserve">المنقول، و ظاهر كلام الروضة </w:t>
      </w:r>
      <w:r>
        <w:rPr>
          <w:rStyle w:val="FootnoteAnchor"/>
          <w:rtl w:val="true"/>
        </w:rPr>
        <w:footnoteReference w:id="2354"/>
      </w:r>
      <w:r>
        <w:rPr>
          <w:rFonts w:ascii="Amiri" w:hAnsi="Amiri" w:eastAsia="Amiri" w:cs="Amiri"/>
          <w:color w:val="111111"/>
          <w:sz w:val="28"/>
          <w:sz w:val="28"/>
          <w:szCs w:val="28"/>
          <w:rtl w:val="true"/>
          <w:lang w:bidi="ar-SA"/>
        </w:rPr>
        <w:t xml:space="preserve">و المسالك </w:t>
      </w:r>
      <w:r>
        <w:rPr>
          <w:rStyle w:val="FootnoteAnchor"/>
          <w:rtl w:val="true"/>
        </w:rPr>
        <w:footnoteReference w:id="2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الذاهب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الكلام في ذلك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w:t>
      </w:r>
      <w:r>
        <w:rPr>
          <w:rStyle w:val="FootnoteAnchor"/>
          <w:rtl w:val="true"/>
        </w:rPr>
        <w:footnoteReference w:id="2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الإجزاء لو قسّمها </w:t>
      </w:r>
      <w:r>
        <w:rPr>
          <w:rStyle w:val="FootnoteAnchor"/>
          <w:rtl w:val="true"/>
        </w:rPr>
        <w:footnoteReference w:id="2358"/>
      </w:r>
      <w:r>
        <w:rPr>
          <w:rFonts w:ascii="IRNazanin" w:hAnsi="IRNazanin" w:eastAsia="IRNazanin"/>
          <w:color w:val="111111"/>
          <w:sz w:val="28"/>
          <w:sz w:val="28"/>
          <w:szCs w:val="28"/>
          <w:rtl w:val="true"/>
          <w:lang w:bidi="fa-IR"/>
        </w:rPr>
        <w:t>بعد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مع وجود المستحق في البلد، و أما مع عدمه فلا إشكال و لا خلاف في جواز النقل مع ظنّ السلامة، و عدم الضمان لو تلفت، و يدلّ عليه حسنة ابن مسلم المتقدّمة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يكفي في الجواز عدم وجود الفقراء في البلد، أو عدم التمكّن من الصرف </w:t>
      </w:r>
      <w:r>
        <w:rPr>
          <w:rStyle w:val="FootnoteAnchor"/>
          <w:rtl w:val="true"/>
        </w:rPr>
        <w:footnoteReference w:id="2360"/>
      </w:r>
      <w:r>
        <w:rPr>
          <w:rFonts w:ascii="Amiri" w:hAnsi="Amiri" w:eastAsia="Amiri" w:cs="Amiri"/>
          <w:color w:val="111111"/>
          <w:sz w:val="28"/>
          <w:sz w:val="28"/>
          <w:szCs w:val="28"/>
          <w:rtl w:val="true"/>
          <w:lang w:bidi="ar-SA"/>
        </w:rPr>
        <w:t xml:space="preserve">مطلقا حتّى في سبيل اللّٰه؟ مقتضى استدلالهم بمثل الفورية و التغرير بالزكاة هو الثاني، و لكن ظاهر كلمات المانعين هو الأوّل، بل ظاهر معقد إجماعهم على الجواز مع عدم المستحقّ، و ظاهر روايتي ابن مسلم و زرارة المتقدمتين </w:t>
      </w:r>
      <w:r>
        <w:rPr>
          <w:rStyle w:val="FootnoteAnchor"/>
          <w:rtl w:val="true"/>
        </w:rPr>
        <w:footnoteReference w:id="2361"/>
      </w:r>
      <w:r>
        <w:rPr>
          <w:rFonts w:ascii="Amiri" w:hAnsi="Amiri" w:eastAsia="Amiri" w:cs="Amiri"/>
          <w:color w:val="111111"/>
          <w:sz w:val="28"/>
          <w:sz w:val="28"/>
          <w:szCs w:val="28"/>
          <w:rtl w:val="true"/>
          <w:lang w:bidi="ar-SA"/>
        </w:rPr>
        <w:t xml:space="preserve">في عدم الضمان بالنقل مع عدم وجود الأهل في البلد هو الأوّل، و هذا هو الأقوى إذا فرضنا القول بالمنع؛ للروايتين المتقدمتين، و ما سيجي‌ء من الأخبار في جواز البعث مع عدم وجود أهل الولاية في بلد الزكاة، مضافا إلى عموم رواية ابن أبي حمزة المتقدمة </w:t>
      </w:r>
      <w:r>
        <w:rPr>
          <w:rStyle w:val="FootnoteAnchor"/>
          <w:rtl w:val="true"/>
        </w:rPr>
        <w:footnoteReference w:id="2362"/>
      </w:r>
      <w:r>
        <w:rPr>
          <w:rFonts w:ascii="Amiri" w:hAnsi="Amiri" w:eastAsia="Amiri" w:cs="Amiri"/>
          <w:color w:val="111111"/>
          <w:sz w:val="28"/>
          <w:sz w:val="28"/>
          <w:szCs w:val="28"/>
          <w:rtl w:val="true"/>
          <w:lang w:bidi="ar-SA"/>
        </w:rPr>
        <w:t xml:space="preserve">في جواز النقل، خرج منها على القول بالمنع القدر المتيقن </w:t>
      </w:r>
      <w:r>
        <w:rPr>
          <w:rStyle w:val="FootnoteAnchor"/>
          <w:rtl w:val="true"/>
        </w:rPr>
        <w:footnoteReference w:id="2363"/>
      </w:r>
      <w:r>
        <w:rPr>
          <w:rFonts w:ascii="Amiri" w:hAnsi="Amiri" w:eastAsia="Amiri" w:cs="Amiri"/>
          <w:color w:val="111111"/>
          <w:sz w:val="28"/>
          <w:sz w:val="28"/>
          <w:szCs w:val="28"/>
          <w:rtl w:val="true"/>
          <w:lang w:bidi="ar-SA"/>
        </w:rPr>
        <w:t>من كلمات الأصحاب و معقد 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النقل حينئذ؟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من مقدّمات الدفع الواجب، و من منع وجوب الدفع فورا مطلقا؛ إنما الواجب الدفع إلى المستحقّ على النحو المتعارف، و هو مشروط بوجود المستحقّ في البلد، فله حينئذ أن يحفظه و ينتظر به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 هذا بمنع تقييد أدلّة الدفع بصورة وجود المستحق في البلد، نعم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إذا لم يصب لها أحدا ينتظر بها سنة إلى سنتين إلى أربع سنين، فإن وجد و إلّا فليجعلها في حرز و يطرحها في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حرّم</w:t>
      </w:r>
    </w:p>
    <w:p>
      <w:pPr>
        <w:pStyle w:val="BookText"/>
        <w:rPr/>
      </w:pPr>
      <w:r>
        <w:rPr>
          <w:rFonts w:ascii="Amiri" w:hAnsi="Amiri" w:eastAsia="Amiri" w:cs="Amiri"/>
          <w:color w:val="111111"/>
          <w:sz w:val="28"/>
          <w:sz w:val="28"/>
          <w:szCs w:val="28"/>
          <w:rtl w:val="true"/>
          <w:lang w:bidi="ar-SA"/>
        </w:rPr>
        <w:t>أموالنا و أموال شيعتنا على عدوّنا</w:t>
      </w:r>
      <w:r>
        <w:rPr>
          <w:rFonts w:eastAsia="Amiri" w:cs="Amiri" w:ascii="Amiri" w:hAnsi="Amiri"/>
          <w:color w:val="111111"/>
          <w:sz w:val="28"/>
          <w:szCs w:val="28"/>
          <w:rtl w:val="true"/>
          <w:lang w:bidi="ar-SA"/>
        </w:rPr>
        <w:t xml:space="preserve">»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الرواية ضعف سندا و دلالة، و يمكن حملها على صورة تعذّر الإيصال و لو بالنقل، إذ لا يرتاب أحد في تقديم النقل على الطرح في البحر،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المراد حقيقة </w:t>
      </w:r>
      <w:r>
        <w:rPr>
          <w:rStyle w:val="FootnoteAnchor"/>
          <w:rtl w:val="true"/>
        </w:rPr>
        <w:footnoteReference w:id="2365"/>
      </w:r>
      <w:r>
        <w:rPr>
          <w:rFonts w:ascii="Amiri" w:hAnsi="Amiri" w:eastAsia="Amiri" w:cs="Amiri"/>
          <w:color w:val="111111"/>
          <w:sz w:val="28"/>
          <w:sz w:val="28"/>
          <w:szCs w:val="28"/>
          <w:rtl w:val="true"/>
          <w:lang w:bidi="ar-SA"/>
        </w:rPr>
        <w:t>، بل هو من باب الإحالة على المحال؛ فإنّ عدم وجدان المصرف في أربع سنين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فالتمسّك بهذه الرواية على عدم وجوب النقل ضعيف جدّا، كالتمسّك على وجوبه بما ظاهره وجوب البعث إلى الشيعة، في مقابلة حرمة الدفع إلى المخالفين، نحو رواية ضريس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المدائني أبا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زكاة نخرجها من أموالنا ففيمن نضعها؟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ولايتك،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بلد و ليس فيها أحد من أوليائك؟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إلى بلدهم فتدفع إليهم، و لا تدفعها إلى قوم إن دعوتهم إلى أمرك لم يجيبوك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رواية شعيب </w:t>
      </w:r>
      <w:r>
        <w:rPr>
          <w:rStyle w:val="FootnoteAnchor"/>
          <w:rtl w:val="true"/>
        </w:rPr>
        <w:footnoteReference w:id="2367"/>
      </w:r>
      <w:r>
        <w:rPr>
          <w:rFonts w:ascii="Amiri" w:hAnsi="Amiri" w:eastAsia="Amiri" w:cs="Amiri"/>
          <w:color w:val="111111"/>
          <w:sz w:val="28"/>
          <w:sz w:val="28"/>
          <w:szCs w:val="28"/>
          <w:rtl w:val="true"/>
          <w:lang w:bidi="ar-SA"/>
        </w:rPr>
        <w:t xml:space="preserve">، إذ الظاهر أن المراد هنا بيان المصرف و أنه مختص بأهل الولاية و إن لم يكونوا في بلد الزكاة و وجد غيرهم، فإن وجود غيرهم كعدمه لا يسوغ الدفع إليه بمجرّد عدم حضور أهل الولاية؛ فإنّ ذلك لا يصير عذرا في الدفع إلى غيرهم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اختصاص الخلاف بجواز النقل، فلا إشكال في أداء المثل أو القيمة في بلد آخر، و إن كان الأفضل الصرف في بلد الزكاة، و ما ذكره في الروضة من احتمال عدم الإجزاء لو نقل جملة من ماله الزكوي من غير عزل فصرفها</w:t>
      </w:r>
    </w:p>
    <w:p>
      <w:pPr>
        <w:pStyle w:val="BookText"/>
        <w:rPr/>
      </w:pPr>
      <w:r>
        <w:rPr>
          <w:rFonts w:ascii="Amiri" w:hAnsi="Amiri" w:eastAsia="Amiri" w:cs="Amiri"/>
          <w:color w:val="111111"/>
          <w:sz w:val="28"/>
          <w:sz w:val="28"/>
          <w:szCs w:val="28"/>
          <w:rtl w:val="true"/>
          <w:lang w:bidi="ar-SA"/>
        </w:rPr>
        <w:t xml:space="preserve">في بلد آخر </w:t>
      </w:r>
      <w:r>
        <w:rPr>
          <w:rStyle w:val="FootnoteAnchor"/>
          <w:rtl w:val="true"/>
        </w:rPr>
        <w:footnoteReference w:id="2369"/>
      </w:r>
      <w:r>
        <w:rPr>
          <w:rFonts w:ascii="Amiri" w:hAnsi="Amiri" w:eastAsia="Amiri" w:cs="Amiri"/>
          <w:color w:val="111111"/>
          <w:sz w:val="28"/>
          <w:sz w:val="28"/>
          <w:szCs w:val="28"/>
          <w:rtl w:val="true"/>
          <w:lang w:bidi="ar-SA"/>
        </w:rPr>
        <w:t>، ضعيف جدّا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بالضمان هنا بقاء التكليف بالزكاة، فلا يتعيّن دفع القيمة إذا تلف الغنم المنقول، بل له دفع المثل من باقي المال الزكوي و من غيره، و دفع القيمة، و لو تلف من يد غير المالك، فالظاهر ضمان القيمي بالقيمة؛ لأنّه الأصل في ذوات القيم، و دفع المثل من المالك ليس للضمان بل لأنّه أحد أفراد الواجب عليه سابقا قبل التلف أيضا</w:t>
      </w:r>
      <w:r>
        <w:rPr>
          <w:rFonts w:eastAsia="Amiri" w:cs="Amiri" w:ascii="Amiri" w:hAnsi="Amiri"/>
          <w:color w:val="111111"/>
          <w:sz w:val="28"/>
          <w:szCs w:val="28"/>
          <w:rtl w:val="true"/>
          <w:lang w:bidi="ar-SA"/>
        </w:rPr>
        <w:t>.</w:t>
      </w:r>
      <w:bookmarkStart w:id="153" w:name="pg19722_766437"/>
    </w:p>
    <w:p>
      <w:pPr>
        <w:pStyle w:val="Heading4"/>
        <w:numPr>
          <w:ilvl w:val="3"/>
          <w:numId w:val="1"/>
        </w:numPr>
        <w:rPr/>
      </w:pPr>
      <w:bookmarkStart w:id="154" w:name="__RefHeading___Toc2136382_2314609296"/>
      <w:bookmarkStart w:id="155" w:name="_Toc53"/>
      <w:bookmarkEnd w:id="153"/>
      <w:bookmarkEnd w:id="154"/>
      <w:r>
        <w:rPr>
          <w:rtl w:val="true"/>
        </w:rPr>
        <w:t xml:space="preserve">مسألة </w:t>
      </w:r>
      <w:r>
        <w:rPr>
          <w:rtl w:val="true"/>
        </w:rPr>
        <w:t>[</w:t>
      </w:r>
      <w:r>
        <w:rPr/>
        <w:t>44</w:t>
      </w:r>
      <w:r>
        <w:rPr>
          <w:rtl w:val="true"/>
        </w:rPr>
        <w:t>]</w:t>
      </w:r>
      <w:bookmarkEnd w:id="155"/>
    </w:p>
    <w:p>
      <w:pPr>
        <w:pStyle w:val="BookText"/>
        <w:rPr/>
      </w:pPr>
      <w:r>
        <w:rPr>
          <w:rFonts w:ascii="Amiri" w:hAnsi="Amiri" w:eastAsia="Amiri" w:cs="Amiri"/>
          <w:color w:val="111111"/>
          <w:sz w:val="28"/>
          <w:sz w:val="28"/>
          <w:szCs w:val="28"/>
          <w:rtl w:val="true"/>
          <w:lang w:bidi="ar-SA"/>
        </w:rPr>
        <w:t xml:space="preserve">لا إشكال في جواز عزل الزكاة في الجملة، و إنما الخلاف في صحته مع وجود المستحق، و ظاهر إطلاق الأخبار </w:t>
      </w:r>
      <w:r>
        <w:rPr>
          <w:rStyle w:val="FootnoteAnchor"/>
          <w:rtl w:val="true"/>
        </w:rPr>
        <w:footnoteReference w:id="2370"/>
      </w:r>
      <w:r>
        <w:rPr>
          <w:rFonts w:ascii="Amiri" w:hAnsi="Amiri" w:eastAsia="Amiri" w:cs="Amiri"/>
          <w:color w:val="111111"/>
          <w:sz w:val="28"/>
          <w:sz w:val="28"/>
          <w:szCs w:val="28"/>
          <w:rtl w:val="true"/>
          <w:lang w:bidi="ar-SA"/>
        </w:rPr>
        <w:t xml:space="preserve">الصحة، و لو ادعى انصرافها إلى صورة العدم لزم الاقتصار في العزل المخالف للأصل على المتيقّن و لا بعد أن يكون ولي الفقراء بمنزلتهم في اعتبار عدم التمكن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2371"/>
      </w:r>
      <w:r>
        <w:rPr>
          <w:rFonts w:ascii="Amiri" w:hAnsi="Amiri" w:eastAsia="Amiri" w:cs="Amiri"/>
          <w:color w:val="111111"/>
          <w:sz w:val="28"/>
          <w:sz w:val="28"/>
          <w:szCs w:val="28"/>
          <w:rtl w:val="true"/>
          <w:lang w:bidi="ar-SA"/>
        </w:rPr>
        <w:t>في صحة العزل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العزل على ما ذكروا </w:t>
      </w:r>
      <w:r>
        <w:rPr>
          <w:rStyle w:val="FootnoteAnchor"/>
          <w:rtl w:val="true"/>
        </w:rPr>
        <w:footnoteReference w:id="2372"/>
      </w:r>
      <w:r>
        <w:rPr>
          <w:rFonts w:ascii="Amiri" w:hAnsi="Amiri" w:eastAsia="Amiri" w:cs="Amiri"/>
          <w:color w:val="111111"/>
          <w:sz w:val="28"/>
          <w:sz w:val="28"/>
          <w:szCs w:val="28"/>
          <w:rtl w:val="true"/>
          <w:lang w:bidi="ar-SA"/>
        </w:rPr>
        <w:t>تعيين الزكاة في مال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Style w:val="FootnoteAnchor"/>
          <w:rtl w:val="true"/>
        </w:rPr>
        <w:footnoteReference w:id="2373"/>
      </w:r>
      <w:r>
        <w:rPr>
          <w:rFonts w:ascii="Amiri" w:hAnsi="Amiri" w:eastAsia="Amiri" w:cs="Amiri"/>
          <w:color w:val="111111"/>
          <w:sz w:val="28"/>
          <w:sz w:val="28"/>
          <w:szCs w:val="28"/>
          <w:rtl w:val="true"/>
          <w:lang w:bidi="ar-SA"/>
        </w:rPr>
        <w:t>فليس له الإبدال و لا يضمنه إلا</w:t>
      </w:r>
      <w:r>
        <w:rPr>
          <w:rFonts w:eastAsia="Amiri" w:cs="Amiri" w:ascii="Amiri" w:hAnsi="Amiri"/>
          <w:color w:val="111111"/>
          <w:sz w:val="28"/>
          <w:szCs w:val="28"/>
          <w:rtl w:val="true"/>
          <w:lang w:bidi="ar-SA"/>
        </w:rPr>
        <w:t xml:space="preserve">] </w:t>
      </w:r>
      <w:r>
        <w:rPr>
          <w:rStyle w:val="FootnoteAnchor"/>
          <w:rtl w:val="true"/>
        </w:rPr>
        <w:footnoteReference w:id="2374"/>
      </w:r>
      <w:r>
        <w:rPr>
          <w:rFonts w:ascii="Amiri" w:hAnsi="Amiri" w:eastAsia="Amiri" w:cs="Amiri"/>
          <w:color w:val="111111"/>
          <w:sz w:val="28"/>
          <w:sz w:val="28"/>
          <w:szCs w:val="28"/>
          <w:rtl w:val="true"/>
          <w:lang w:bidi="ar-SA"/>
        </w:rPr>
        <w:t>بالتفريط أو تأخير الإخراج مع التمكن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جماعة </w:t>
      </w:r>
      <w:r>
        <w:rPr>
          <w:rStyle w:val="FootnoteAnchor"/>
          <w:rtl w:val="true"/>
        </w:rPr>
        <w:footnoteReference w:id="2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نماء المعزول تابع له و لو كان منفصلا، و قال في الدروس بعد الحكم بعدم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نما كان له </w:t>
      </w:r>
      <w:r>
        <w:rPr>
          <w:rStyle w:val="FootnoteAnchor"/>
          <w:rtl w:val="true"/>
        </w:rPr>
        <w:footnoteReference w:id="2376"/>
      </w:r>
      <w:r>
        <w:rPr>
          <w:rFonts w:ascii="Amiri" w:hAnsi="Amiri" w:eastAsia="Amiri" w:cs="Amiri"/>
          <w:color w:val="111111"/>
          <w:sz w:val="28"/>
          <w:sz w:val="28"/>
          <w:szCs w:val="28"/>
          <w:rtl w:val="true"/>
          <w:lang w:bidi="ar-SA"/>
        </w:rPr>
        <w:t>، يعني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إفراز الزكاة في الجملة فيدلّ عليه أخبار الإخراج و العزل، و كذا عدم ضمانه لو تلف بغير تفريط و لا تأخير </w:t>
      </w:r>
      <w:r>
        <w:rPr>
          <w:rStyle w:val="FootnoteAnchor"/>
          <w:rtl w:val="true"/>
        </w:rPr>
        <w:footnoteReference w:id="2377"/>
      </w:r>
      <w:r>
        <w:rPr>
          <w:rFonts w:ascii="Amiri" w:hAnsi="Amiri" w:eastAsia="Amiri" w:cs="Amiri"/>
          <w:color w:val="111111"/>
          <w:sz w:val="28"/>
          <w:sz w:val="28"/>
          <w:szCs w:val="28"/>
          <w:rtl w:val="true"/>
          <w:lang w:bidi="ar-SA"/>
        </w:rPr>
        <w:t xml:space="preserve">مع التمكن، كما يدلّ عليه المستفيضة </w:t>
      </w:r>
      <w:r>
        <w:rPr>
          <w:rStyle w:val="FootnoteAnchor"/>
          <w:rtl w:val="true"/>
        </w:rPr>
        <w:footnoteReference w:id="2378"/>
      </w:r>
      <w:r>
        <w:rPr>
          <w:rFonts w:ascii="Amiri" w:hAnsi="Amiri" w:eastAsia="Amiri" w:cs="Amiri"/>
          <w:color w:val="111111"/>
          <w:sz w:val="28"/>
          <w:sz w:val="28"/>
          <w:szCs w:val="28"/>
          <w:rtl w:val="true"/>
          <w:lang w:bidi="ar-SA"/>
        </w:rPr>
        <w:t>، فإنه لو لا التعيّن بالتعيين كان كحالة عدم التعيين في أنه لا يحتسب من الزكاة إلّا ما يخصّ التالف بنسبته إلى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جواز الإبدال؛ فلأنّه لو جاز له الإبدال كان الواجب الكلّي المردّد بين المفروز </w:t>
      </w:r>
      <w:r>
        <w:rPr>
          <w:rStyle w:val="FootnoteAnchor"/>
          <w:rtl w:val="true"/>
        </w:rPr>
        <w:footnoteReference w:id="2379"/>
      </w:r>
      <w:r>
        <w:rPr>
          <w:rFonts w:ascii="Amiri" w:hAnsi="Amiri" w:eastAsia="Amiri" w:cs="Amiri"/>
          <w:color w:val="111111"/>
          <w:sz w:val="28"/>
          <w:sz w:val="28"/>
          <w:szCs w:val="28"/>
          <w:rtl w:val="true"/>
          <w:lang w:bidi="ar-SA"/>
        </w:rPr>
        <w:t xml:space="preserve">و غيره، فلا يسقط بتلف خصوص المفروز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لو فرضنا منع خروجه عن الملك بالإفراز، و إلّا فلا إشكال في عدم الجواز؛ لاحتياج الجواز إلى ثبوت ولاية منتفية </w:t>
      </w:r>
      <w:r>
        <w:rPr>
          <w:rStyle w:val="FootnoteAnchor"/>
          <w:rtl w:val="true"/>
        </w:rPr>
        <w:footnoteReference w:id="2381"/>
      </w:r>
      <w:r>
        <w:rPr>
          <w:rFonts w:ascii="Amiri" w:hAnsi="Amiri" w:eastAsia="Amiri" w:cs="Amiri"/>
          <w:color w:val="111111"/>
          <w:sz w:val="28"/>
          <w:sz w:val="28"/>
          <w:szCs w:val="28"/>
          <w:rtl w:val="true"/>
          <w:lang w:bidi="ar-SA"/>
        </w:rPr>
        <w:t>عن المالك بعد العزل، و إن كان مخيرا في صرفه في أيّ المصارف، و لا يوجب هذا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ملكه للنماء المتصل؛ فلأنه يتبع العين في وجوب الدفع لأنّه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المنفصل فهو مبني على خروجه عن ملك المالك، و الإنصاف انّه لم يظهر ذلك من أدلّة العزل على وجه تطمئنّ به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يمكن أن يقال باستفادة ذلك مما ورد في النصوص و الفتاوى من عنواني الإخراج و العزل، حيث انّهما يدلّان على أنّ </w:t>
      </w:r>
      <w:r>
        <w:rPr>
          <w:rStyle w:val="FootnoteAnchor"/>
          <w:rtl w:val="true"/>
        </w:rPr>
        <w:footnoteReference w:id="2382"/>
      </w:r>
      <w:r>
        <w:rPr>
          <w:rFonts w:ascii="Amiri" w:hAnsi="Amiri" w:eastAsia="Amiri" w:cs="Amiri"/>
          <w:color w:val="111111"/>
          <w:sz w:val="28"/>
          <w:sz w:val="28"/>
          <w:szCs w:val="28"/>
          <w:rtl w:val="true"/>
          <w:lang w:bidi="ar-SA"/>
        </w:rPr>
        <w:t>المخرج و المعزول زكاة، و من حكم الزكاة خروجها عن ملك المالك، و كذلك الحكم بالضمان في الأخبار عند التلف بعد التمكن من الدفع، فإنّ الضمان ظاهر في كونه خارجا عن ملكه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أخبار العزل و الإخراج 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القسمة بين</w:t>
      </w:r>
    </w:p>
    <w:p>
      <w:pPr>
        <w:pStyle w:val="BookText"/>
        <w:rPr/>
      </w:pPr>
      <w:r>
        <w:rPr>
          <w:rFonts w:ascii="Amiri" w:hAnsi="Amiri" w:eastAsia="Amiri" w:cs="Amiri"/>
          <w:color w:val="111111"/>
          <w:sz w:val="28"/>
          <w:sz w:val="28"/>
          <w:szCs w:val="28"/>
          <w:rtl w:val="true"/>
          <w:lang w:bidi="ar-SA"/>
        </w:rPr>
        <w:t>المالك و الفقراء بولاية من المالك، و يؤيّده قاعدة تلازم كون تلف شي‌ء من شخص و كون نمائه له المستفادة من الأخبار، مثل ما ورد في بيع الخيار من حكم الإمام عليه السلام بكون غلّة المبيعة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أنّها لو احترقت كان من ماله</w:t>
      </w:r>
      <w:r>
        <w:rPr>
          <w:rFonts w:eastAsia="Amiri" w:cs="Amiri" w:ascii="Amiri" w:hAnsi="Amiri"/>
          <w:color w:val="111111"/>
          <w:sz w:val="28"/>
          <w:szCs w:val="28"/>
          <w:rtl w:val="true"/>
          <w:lang w:bidi="ar-SA"/>
        </w:rPr>
        <w:t xml:space="preserve">» </w:t>
      </w:r>
      <w:r>
        <w:rPr>
          <w:rStyle w:val="FootnoteAnchor"/>
          <w:rtl w:val="true"/>
        </w:rPr>
        <w:footnoteReference w:id="2383"/>
      </w:r>
      <w:r>
        <w:rPr>
          <w:rFonts w:ascii="Amiri" w:hAnsi="Amiri" w:eastAsia="Amiri" w:cs="Amiri"/>
          <w:color w:val="111111"/>
          <w:sz w:val="28"/>
          <w:sz w:val="28"/>
          <w:szCs w:val="28"/>
          <w:rtl w:val="true"/>
          <w:lang w:bidi="ar-SA"/>
        </w:rPr>
        <w:t>، فاستشهد على ملكية النماء بكون التلف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أيضا، بل يدلّ عليه رواية الثمالي،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يجب عليّ في موضع لا يمكنني أن أؤدّيها؟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اعزلها فإن اتجرت بها فأنت لها ضامن و لها الربح، فإن تويت </w:t>
      </w:r>
      <w:r>
        <w:rPr>
          <w:rStyle w:val="FootnoteAnchor"/>
          <w:rtl w:val="true"/>
        </w:rPr>
        <w:footnoteReference w:id="2384"/>
      </w:r>
      <w:r>
        <w:rPr>
          <w:rFonts w:ascii="Amiri" w:hAnsi="Amiri" w:eastAsia="Amiri" w:cs="Amiri"/>
          <w:color w:val="111111"/>
          <w:sz w:val="28"/>
          <w:sz w:val="28"/>
          <w:szCs w:val="28"/>
          <w:rtl w:val="true"/>
          <w:lang w:bidi="ar-SA"/>
        </w:rPr>
        <w:t>في حال ما عزلتها من غير أن تشغلها في تجارة، فليس عليك، و إن لم تعزلها و اتجرت بها في جملة مالك فلها بقسطها من الربح و لا وضيعة عليها</w:t>
      </w:r>
      <w:r>
        <w:rPr>
          <w:rFonts w:eastAsia="Amiri" w:cs="Amiri" w:ascii="Amiri" w:hAnsi="Amiri"/>
          <w:color w:val="111111"/>
          <w:sz w:val="28"/>
          <w:szCs w:val="28"/>
          <w:rtl w:val="true"/>
          <w:lang w:bidi="ar-SA"/>
        </w:rPr>
        <w:t xml:space="preserve">»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الرواية ضعيفة </w:t>
      </w:r>
      <w:r>
        <w:rPr>
          <w:rStyle w:val="FootnoteAnchor"/>
          <w:rtl w:val="true"/>
        </w:rPr>
        <w:footnoteReference w:id="2386"/>
      </w:r>
      <w:r>
        <w:rPr>
          <w:rFonts w:ascii="Amiri" w:hAnsi="Amiri" w:eastAsia="Amiri" w:cs="Amiri"/>
          <w:color w:val="111111"/>
          <w:sz w:val="28"/>
          <w:sz w:val="28"/>
          <w:szCs w:val="28"/>
          <w:rtl w:val="true"/>
          <w:lang w:bidi="ar-SA"/>
        </w:rPr>
        <w:t>سندا، بل و دلالة من حيث دلالتها على استحقاق الربح عند الاتجار بها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ندرة التجارة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بالذمّة و دفع العين عوضا، أو في الأعمّ منها و من التجارة بالعين، و إن كان ظاهر اللفظ من حيث الوضع الاتّجار بالعين، إلّا أنّه قد بلغ استعماله في الأعمّ إلى حيث يكون هو المتبادر كما لا يخفى، و هذا خلاف المعروف، إلّا أن يخصّ ذلك بالتجارات العدوانية كالمغصوب و مال الطفل بالنسبة إلى غير من يجوز له التصرّف</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الكلّ روايات، لكنّ المشهور لم يعملوا بإطلاقها، مع انّه بعد تسليم ظهور الرواية في الاتّجار بالعين لا بدّ إمّا من إدراج ذلك في التجارة المغصوبة </w:t>
      </w:r>
      <w:r>
        <w:rPr>
          <w:rStyle w:val="FootnoteAnchor"/>
          <w:rtl w:val="true"/>
        </w:rPr>
        <w:footnoteReference w:id="2387"/>
      </w:r>
      <w:r>
        <w:rPr>
          <w:rFonts w:ascii="Amiri" w:hAnsi="Amiri" w:eastAsia="Amiri" w:cs="Amiri"/>
          <w:color w:val="111111"/>
          <w:sz w:val="28"/>
          <w:sz w:val="28"/>
          <w:szCs w:val="28"/>
          <w:rtl w:val="true"/>
          <w:lang w:bidi="ar-SA"/>
        </w:rPr>
        <w:t xml:space="preserve">، و يقيّد </w:t>
      </w:r>
      <w:r>
        <w:rPr>
          <w:rStyle w:val="FootnoteAnchor"/>
          <w:rtl w:val="true"/>
        </w:rPr>
        <w:footnoteReference w:id="2388"/>
      </w:r>
      <w:r>
        <w:rPr>
          <w:rFonts w:ascii="Amiri" w:hAnsi="Amiri" w:eastAsia="Amiri" w:cs="Amiri"/>
          <w:color w:val="111111"/>
          <w:sz w:val="28"/>
          <w:sz w:val="28"/>
          <w:szCs w:val="28"/>
          <w:rtl w:val="true"/>
          <w:lang w:bidi="ar-SA"/>
        </w:rPr>
        <w:t>تبعية الربح بصورة إجازة وليّ الزكوات، أعني الإمام عليه السلام</w:t>
      </w:r>
    </w:p>
    <w:p>
      <w:pPr>
        <w:pStyle w:val="BookText"/>
        <w:rPr/>
      </w:pPr>
      <w:r>
        <w:rPr>
          <w:rFonts w:ascii="IRNazanin" w:hAnsi="IRNazanin" w:eastAsia="IRNazanin"/>
          <w:color w:val="111111"/>
          <w:sz w:val="28"/>
          <w:sz w:val="28"/>
          <w:szCs w:val="28"/>
          <w:rtl w:val="true"/>
          <w:lang w:bidi="fa-IR"/>
        </w:rPr>
        <w:t xml:space="preserve">أو نائبه، و إمّا من إخراجه </w:t>
      </w:r>
      <w:r>
        <w:rPr>
          <w:rStyle w:val="FootnoteAnchor"/>
          <w:rtl w:val="true"/>
        </w:rPr>
        <w:footnoteReference w:id="2389"/>
      </w:r>
      <w:r>
        <w:rPr>
          <w:rFonts w:ascii="Amiri" w:hAnsi="Amiri" w:eastAsia="Amiri" w:cs="Amiri"/>
          <w:color w:val="111111"/>
          <w:sz w:val="28"/>
          <w:sz w:val="28"/>
          <w:szCs w:val="28"/>
          <w:rtl w:val="true"/>
          <w:lang w:bidi="ar-SA"/>
        </w:rPr>
        <w:t>منها بجعل المعاملات العدوانية محكومة بحكم على حدة و هو ثبوت الربح لربّ المال و الوضيعة 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مع أنّه مستلزم لتقييد استحقاق الربح بصورة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كمال بعده عن سياق الرواية و أمثالها الواردة في التجارة بالمغصوب و مال الطفل، لا يلائم كون الوضيعة على العامل، لأنّ الولي إن أجاز المعاملة المشتملة على الوضيعة فالوضيعة على المال، و إلّا فليس له أخذ ما انتقل بالمعاملة؛ لفساد البيع و رجوع المبيع إلى ملك مالكه، و حينئذ فإن تمكّن الوليّ من الرجوع إلى البائع بالثمن فيستردّه منه و لا وضيعة </w:t>
      </w:r>
      <w:r>
        <w:rPr>
          <w:rStyle w:val="FootnoteAnchor"/>
          <w:rtl w:val="true"/>
        </w:rPr>
        <w:footnoteReference w:id="2390"/>
      </w:r>
      <w:r>
        <w:rPr>
          <w:rFonts w:ascii="Amiri" w:hAnsi="Amiri" w:eastAsia="Amiri" w:cs="Amiri"/>
          <w:color w:val="111111"/>
          <w:sz w:val="28"/>
          <w:sz w:val="28"/>
          <w:szCs w:val="28"/>
          <w:rtl w:val="true"/>
          <w:lang w:bidi="ar-SA"/>
        </w:rPr>
        <w:t>على العامل، و إن لم يتمكّن منه فالظاهر الرجوع إلى العامل بمجموع الثمن؛ لأنّه حائل بينه و بين أربابه، و لا معنى لكون الوضيعة عليه، إذ الظاهر من كون الوضيعة على العامل الرجوع عليه بالتفاوت بين الثمن و بين قيمة المتاع المنتقل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فالتمسّك بالرواية في غاية الإشكال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الوجه السابق عليها من أنّ كون التلف من شخص مستلزم لكون الربح له فهو مسلّم إذا ثبت أنّ تلف المعزول في المقام من مال الفقير، لم لا يجوز أن يكون التالف مملوكا لربّ المال، و إنّما سقط وجوب الزكاة عنه؛ لأنّ التكليف الذي صار متعينا عليه في ضمن العين الخاصّ قد انتفى بانتفاء موضوعه، نظير تلف المال المعين الذي نذر أن يتصدّق به، فإنه مع كونه من مال الناذر يسقط التكليف، فالعمدة في إثبات خروج المعزول عن الملكية هي أخبار المسألة المشتملة على عنواني الإخراج و العزل؛ فإنّ الظاهر منها </w:t>
      </w:r>
      <w:r>
        <w:rPr>
          <w:rStyle w:val="FootnoteAnchor"/>
          <w:rtl w:val="true"/>
        </w:rPr>
        <w:footnoteReference w:id="2391"/>
      </w:r>
      <w:r>
        <w:rPr>
          <w:rFonts w:ascii="Amiri" w:hAnsi="Amiri" w:eastAsia="Amiri" w:cs="Amiri"/>
          <w:color w:val="111111"/>
          <w:sz w:val="28"/>
          <w:sz w:val="28"/>
          <w:szCs w:val="28"/>
          <w:rtl w:val="true"/>
          <w:lang w:bidi="ar-SA"/>
        </w:rPr>
        <w:t>هو الخروج عن الملك</w:t>
      </w:r>
    </w:p>
    <w:p>
      <w:pPr>
        <w:pStyle w:val="BookText"/>
        <w:rPr/>
      </w:pPr>
      <w:r>
        <w:rPr>
          <w:rFonts w:ascii="Amiri" w:hAnsi="Amiri" w:eastAsia="Amiri" w:cs="Amiri"/>
          <w:color w:val="111111"/>
          <w:sz w:val="28"/>
          <w:sz w:val="28"/>
          <w:szCs w:val="28"/>
          <w:rtl w:val="true"/>
          <w:lang w:bidi="ar-SA"/>
        </w:rPr>
        <w:t xml:space="preserve">و صيرورة المخرج و المعزول زكاة حقيقة، و يؤيدها </w:t>
      </w:r>
      <w:r>
        <w:rPr>
          <w:rStyle w:val="FootnoteAnchor"/>
          <w:rtl w:val="true"/>
        </w:rPr>
        <w:footnoteReference w:id="2392"/>
      </w:r>
      <w:r>
        <w:rPr>
          <w:rFonts w:ascii="Amiri" w:hAnsi="Amiri" w:eastAsia="Amiri" w:cs="Amiri"/>
          <w:color w:val="111111"/>
          <w:sz w:val="28"/>
          <w:sz w:val="28"/>
          <w:szCs w:val="28"/>
          <w:rtl w:val="true"/>
          <w:lang w:bidi="ar-SA"/>
        </w:rPr>
        <w:t>الحكم بالضمان الظاهر في خروج المضمون عن مال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منع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الروضة </w:t>
      </w:r>
      <w:r>
        <w:rPr>
          <w:rStyle w:val="FootnoteAnchor"/>
          <w:rtl w:val="true"/>
        </w:rPr>
        <w:footnoteReference w:id="2393"/>
      </w:r>
      <w:r>
        <w:rPr>
          <w:rFonts w:ascii="Amiri" w:hAnsi="Amiri" w:eastAsia="Amiri" w:cs="Amiri"/>
          <w:color w:val="111111"/>
          <w:sz w:val="28"/>
          <w:sz w:val="28"/>
          <w:szCs w:val="28"/>
          <w:rtl w:val="true"/>
          <w:lang w:bidi="ar-SA"/>
        </w:rPr>
        <w:t>، بل منع عدم جواز الإبدال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بين أن يكون العزل من عين النصاب أو من مال خارجي، كما يستفاد من الشهيدين </w:t>
      </w:r>
      <w:r>
        <w:rPr>
          <w:rStyle w:val="FootnoteAnchor"/>
          <w:rtl w:val="true"/>
        </w:rPr>
        <w:footnoteReference w:id="2394"/>
      </w:r>
      <w:r>
        <w:rPr>
          <w:rFonts w:ascii="Amiri" w:hAnsi="Amiri" w:eastAsia="Amiri" w:cs="Amiri"/>
          <w:color w:val="111111"/>
          <w:sz w:val="28"/>
          <w:sz w:val="28"/>
          <w:szCs w:val="28"/>
          <w:rtl w:val="true"/>
          <w:lang w:bidi="ar-SA"/>
        </w:rPr>
        <w:t xml:space="preserve">و جماعة </w:t>
      </w:r>
      <w:r>
        <w:rPr>
          <w:rStyle w:val="FootnoteAnchor"/>
          <w:rtl w:val="true"/>
        </w:rPr>
        <w:footnoteReference w:id="2395"/>
      </w:r>
      <w:r>
        <w:rPr>
          <w:rFonts w:ascii="Amiri" w:hAnsi="Amiri" w:eastAsia="Amiri" w:cs="Amiri"/>
          <w:color w:val="111111"/>
          <w:sz w:val="28"/>
          <w:sz w:val="28"/>
          <w:szCs w:val="28"/>
          <w:rtl w:val="true"/>
          <w:lang w:bidi="ar-SA"/>
        </w:rPr>
        <w:t>و إن كان ربما يوهم ظاهر الأخبار الاختصاص بالأوّل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في العزل النية كما لا يخفى</w:t>
      </w:r>
      <w:r>
        <w:rPr>
          <w:rFonts w:eastAsia="Amiri" w:cs="Amiri" w:ascii="Amiri" w:hAnsi="Amiri"/>
          <w:color w:val="111111"/>
          <w:sz w:val="28"/>
          <w:szCs w:val="28"/>
          <w:rtl w:val="true"/>
          <w:lang w:bidi="ar-SA"/>
        </w:rPr>
        <w:t>.</w:t>
      </w:r>
      <w:bookmarkStart w:id="156" w:name="pg19722_766442"/>
    </w:p>
    <w:p>
      <w:pPr>
        <w:pStyle w:val="Heading4"/>
        <w:numPr>
          <w:ilvl w:val="3"/>
          <w:numId w:val="1"/>
        </w:numPr>
        <w:rPr/>
      </w:pPr>
      <w:bookmarkStart w:id="157" w:name="__RefHeading___Toc2136384_2314609296"/>
      <w:bookmarkStart w:id="158" w:name="_Toc54"/>
      <w:bookmarkEnd w:id="156"/>
      <w:bookmarkEnd w:id="157"/>
      <w:r>
        <w:rPr>
          <w:rtl w:val="true"/>
        </w:rPr>
        <w:t xml:space="preserve">مسألة </w:t>
      </w:r>
      <w:r>
        <w:rPr>
          <w:rtl w:val="true"/>
        </w:rPr>
        <w:t>[</w:t>
      </w:r>
      <w:r>
        <w:rPr/>
        <w:t>45</w:t>
      </w:r>
      <w:r>
        <w:rPr>
          <w:rtl w:val="true"/>
        </w:rPr>
        <w:t>]</w:t>
      </w:r>
      <w:bookmarkEnd w:id="158"/>
    </w:p>
    <w:p>
      <w:pPr>
        <w:pStyle w:val="BookText"/>
        <w:rPr/>
      </w:pPr>
      <w:r>
        <w:rPr>
          <w:rFonts w:ascii="Amiri" w:hAnsi="Amiri" w:eastAsia="Amiri" w:cs="Amiri"/>
          <w:color w:val="111111"/>
          <w:sz w:val="28"/>
          <w:sz w:val="28"/>
          <w:szCs w:val="28"/>
          <w:rtl w:val="true"/>
          <w:lang w:bidi="ar-SA"/>
        </w:rPr>
        <w:t xml:space="preserve">المحكي </w:t>
      </w:r>
      <w:r>
        <w:rPr>
          <w:rStyle w:val="FootnoteAnchor"/>
          <w:rtl w:val="true"/>
        </w:rPr>
        <w:footnoteReference w:id="2396"/>
      </w:r>
      <w:r>
        <w:rPr>
          <w:rFonts w:ascii="Amiri" w:hAnsi="Amiri" w:eastAsia="Amiri" w:cs="Amiri"/>
          <w:color w:val="111111"/>
          <w:sz w:val="28"/>
          <w:sz w:val="28"/>
          <w:szCs w:val="28"/>
          <w:rtl w:val="true"/>
          <w:lang w:bidi="ar-SA"/>
        </w:rPr>
        <w:t xml:space="preserve">عن الأكثر المنع من تأخير دفع الزكاة عن وقت إخراجها المتقدم بيانه في بيان وقت تعلّق الوجوب </w:t>
      </w:r>
      <w:r>
        <w:rPr>
          <w:rStyle w:val="FootnoteAnchor"/>
          <w:rtl w:val="true"/>
        </w:rPr>
        <w:footnoteReference w:id="2397"/>
      </w:r>
      <w:r>
        <w:rPr>
          <w:rFonts w:ascii="Amiri" w:hAnsi="Amiri" w:eastAsia="Amiri" w:cs="Amiri"/>
          <w:color w:val="111111"/>
          <w:sz w:val="28"/>
          <w:sz w:val="28"/>
          <w:szCs w:val="28"/>
          <w:rtl w:val="true"/>
          <w:lang w:bidi="ar-SA"/>
        </w:rPr>
        <w:t>مع الإمكان و عدم العذر، لأن المستحق مطالب 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w:t>
      </w:r>
      <w:r>
        <w:rPr>
          <w:rStyle w:val="FootnoteAnchor"/>
          <w:rtl w:val="true"/>
        </w:rPr>
        <w:footnoteReference w:id="2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وليه و هو الشارع طالب بالمقال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الإيضاح </w:t>
      </w:r>
      <w:r>
        <w:rPr>
          <w:rStyle w:val="FootnoteAnchor"/>
          <w:rtl w:val="true"/>
        </w:rPr>
        <w:footnoteReference w:id="2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لصحيحة سعد بن سعد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عليه السلام عن الرجل تحل عليه الزكاة في السنة في ثلاث أوقات، أ يؤخّرها حتّى يدفعها في وقت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حلّت أخرجها</w:t>
      </w:r>
      <w:r>
        <w:rPr>
          <w:rFonts w:eastAsia="Amiri" w:cs="Amiri" w:ascii="Amiri" w:hAnsi="Amiri"/>
          <w:color w:val="111111"/>
          <w:sz w:val="28"/>
          <w:szCs w:val="28"/>
          <w:rtl w:val="true"/>
          <w:lang w:bidi="ar-SA"/>
        </w:rPr>
        <w:t xml:space="preserve">»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المحكية عن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تعطي زكاتك قبل حلّها بشهر أو شهرين فلا بأس، و ليس لك أن تؤخّرها بعد حلّها</w:t>
      </w:r>
      <w:r>
        <w:rPr>
          <w:rFonts w:eastAsia="Amiri" w:cs="Amiri" w:ascii="Amiri" w:hAnsi="Amiri"/>
          <w:color w:val="111111"/>
          <w:sz w:val="28"/>
          <w:szCs w:val="28"/>
          <w:rtl w:val="true"/>
          <w:lang w:bidi="ar-SA"/>
        </w:rPr>
        <w:t xml:space="preserve">»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يؤيّدهما ما تقدّم في مسألة النقل من أخبار الضمان إذا وجد المستحقّ</w:t>
      </w:r>
    </w:p>
    <w:p>
      <w:pPr>
        <w:pStyle w:val="BookText"/>
        <w:rPr/>
      </w:pPr>
      <w:r>
        <w:rPr>
          <w:rFonts w:ascii="Amiri" w:hAnsi="Amiri" w:eastAsia="Amiri" w:cs="Amiri"/>
          <w:color w:val="111111"/>
          <w:sz w:val="28"/>
          <w:sz w:val="28"/>
          <w:szCs w:val="28"/>
          <w:rtl w:val="true"/>
          <w:lang w:bidi="ar-SA"/>
        </w:rPr>
        <w:t xml:space="preserve">فلم يدفعها إليه </w:t>
      </w:r>
      <w:r>
        <w:rPr>
          <w:rStyle w:val="FootnoteAnchor"/>
          <w:rtl w:val="true"/>
        </w:rPr>
        <w:footnoteReference w:id="2402"/>
      </w:r>
      <w:r>
        <w:rPr>
          <w:rFonts w:ascii="Amiri" w:hAnsi="Amiri" w:eastAsia="Amiri" w:cs="Amiri"/>
          <w:color w:val="111111"/>
          <w:sz w:val="28"/>
          <w:sz w:val="28"/>
          <w:szCs w:val="28"/>
          <w:rtl w:val="true"/>
          <w:lang w:bidi="ar-SA"/>
        </w:rPr>
        <w:t>، فيكشف عن عدم الإذن في التأخير؛ لأنّ الغالب في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القاعدة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مع الإذن الشرعي سيّما فيما نحن فيه؛ حيث انّ تسلّط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لكيفية تكليف الشارع في التوسعة و التضييق، لا العكس كما في مثل الوديعة،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المنافي للضمان هو الإذن المالكية لا الشرعية، و لذا يحكم بالضمان مع الإذن الشرعي في موارد كثيرة، و حينئذ فالحكم بالضمان كاشف عن ثبوت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لا يخلو عن نظر، أما ما في المعتبر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مطالبة جميع الفقراء أو كفاية </w:t>
      </w:r>
      <w:r>
        <w:rPr>
          <w:rStyle w:val="FootnoteAnchor"/>
          <w:rtl w:val="true"/>
        </w:rPr>
        <w:footnoteReference w:id="2403"/>
      </w:r>
      <w:r>
        <w:rPr>
          <w:rFonts w:ascii="Amiri" w:hAnsi="Amiri" w:eastAsia="Amiri" w:cs="Amiri"/>
          <w:color w:val="111111"/>
          <w:sz w:val="28"/>
          <w:sz w:val="28"/>
          <w:szCs w:val="28"/>
          <w:rtl w:val="true"/>
          <w:lang w:bidi="ar-SA"/>
        </w:rPr>
        <w:t>مطالبة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مطالبتهم إنما توجب فورية الدفع إذا تعيّن صرف الزكاة فيهم، و هو غير لازم قطعا،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الأخبار الكثيرة </w:t>
      </w:r>
      <w:r>
        <w:rPr>
          <w:rStyle w:val="FootnoteAnchor"/>
          <w:rtl w:val="true"/>
        </w:rPr>
        <w:footnoteReference w:id="2404"/>
      </w:r>
      <w:r>
        <w:rPr>
          <w:rFonts w:ascii="Amiri" w:hAnsi="Amiri" w:eastAsia="Amiri" w:cs="Amiri"/>
          <w:color w:val="111111"/>
          <w:sz w:val="28"/>
          <w:sz w:val="28"/>
          <w:szCs w:val="28"/>
          <w:rtl w:val="true"/>
          <w:lang w:bidi="ar-SA"/>
        </w:rPr>
        <w:t xml:space="preserve">كون الزكاة موضوعة لقوت الفقراء، بل ملكا لهم، و الآية </w:t>
      </w:r>
      <w:r>
        <w:rPr>
          <w:rStyle w:val="FootnoteAnchor"/>
          <w:rtl w:val="true"/>
        </w:rPr>
        <w:footnoteReference w:id="2405"/>
      </w:r>
      <w:r>
        <w:rPr>
          <w:rFonts w:ascii="Amiri" w:hAnsi="Amiri" w:eastAsia="Amiri" w:cs="Amiri"/>
          <w:color w:val="111111"/>
          <w:sz w:val="28"/>
          <w:sz w:val="28"/>
          <w:szCs w:val="28"/>
          <w:rtl w:val="true"/>
          <w:lang w:bidi="ar-SA"/>
        </w:rPr>
        <w:t>لا تدلّ إلّا على حصر مصارف الزكاة في مقابل من لا يستحقّها ممن كان يلمز النبي صلّى اللّٰه عليه و آله و سلم في الصدقات و لا يستحقّها، فهي في مقام بيان الاشتراك في المصرف لا المشاركة في الملك، فهي و ما يشبهها من الروايات لا ينافي اختصاص ملكية الفقراء بالفقراء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 على استحقاق رجحان صرفها في الأصناف الثمانية من الآية و الرواية لا ينافي ذلك</w:t>
      </w:r>
      <w:r>
        <w:rPr>
          <w:rFonts w:eastAsia="Amiri" w:cs="Amiri" w:ascii="Amiri" w:hAnsi="Amiri"/>
          <w:color w:val="111111"/>
          <w:sz w:val="28"/>
          <w:szCs w:val="28"/>
          <w:rtl w:val="true"/>
          <w:lang w:bidi="ar-SA"/>
        </w:rPr>
        <w:t xml:space="preserve">] </w:t>
      </w:r>
      <w:r>
        <w:rPr>
          <w:rStyle w:val="FootnoteAnchor"/>
          <w:rtl w:val="true"/>
        </w:rPr>
        <w:footnoteReference w:id="2406"/>
      </w:r>
      <w:r>
        <w:rPr>
          <w:rFonts w:ascii="Amiri" w:hAnsi="Amiri" w:eastAsia="Amiri" w:cs="Amiri"/>
          <w:color w:val="111111"/>
          <w:sz w:val="28"/>
          <w:sz w:val="28"/>
          <w:szCs w:val="28"/>
          <w:rtl w:val="true"/>
          <w:lang w:bidi="ar-SA"/>
        </w:rPr>
        <w:t>لجواز دفع مال الفقراء إلى مصالح خصوص الفقراء، أو عامّة المسلمين بإذن الشارع، و حينئذ فمع فرض مطالبة الفقراء لو لم يصرفها</w:t>
      </w:r>
    </w:p>
    <w:p>
      <w:pPr>
        <w:pStyle w:val="BookText"/>
        <w:rPr/>
      </w:pPr>
      <w:r>
        <w:rPr>
          <w:rFonts w:ascii="Amiri" w:hAnsi="Amiri" w:eastAsia="Amiri" w:cs="Amiri"/>
          <w:color w:val="111111"/>
          <w:sz w:val="28"/>
          <w:sz w:val="28"/>
          <w:szCs w:val="28"/>
          <w:rtl w:val="true"/>
          <w:lang w:bidi="ar-SA"/>
        </w:rPr>
        <w:t>في المصارف المسقطة للدفع إليهم كان إمساكه ظلما، لكن هذا إنّما يتمّ إذا كان التكليف بدفع الزكاة تابعا لمطالبة أربابها نظير الوديعة و الدين، و أمّا إذا لم يكن كذلك بل كان الأمر بالعكس كما هو الظاهر في المقام كان حقّ المطالبة للفقراء تابعا في التوسعة و التضييق لكيفية التكليف، ألا ترى أنّه لو قلنا بالتوسعة لم يكن للفقراء و لا لوليّهم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من تفريع </w:t>
      </w:r>
      <w:r>
        <w:rPr>
          <w:rStyle w:val="FootnoteAnchor"/>
          <w:rtl w:val="true"/>
        </w:rPr>
        <w:footnoteReference w:id="2407"/>
      </w:r>
      <w:r>
        <w:rPr>
          <w:rFonts w:ascii="Amiri" w:hAnsi="Amiri" w:eastAsia="Amiri" w:cs="Amiri"/>
          <w:color w:val="111111"/>
          <w:sz w:val="28"/>
          <w:sz w:val="28"/>
          <w:szCs w:val="28"/>
          <w:rtl w:val="true"/>
          <w:lang w:bidi="ar-SA"/>
        </w:rPr>
        <w:t>ثبوت حقّ المطالبة لهم على تكليف الشارع لا العكس كما في الوديعة و الدين، يظهر الجواب عمّا تقدّم من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بعد تسليم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وليّ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رخّصنا بمقتضى إطلاق أمره في تأخير الزكاة، لم يكن التأخير عدوانا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الروايتان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الثانية بالجوهري و البطائني، و عدم </w:t>
      </w:r>
      <w:r>
        <w:rPr>
          <w:rStyle w:val="FootnoteAnchor"/>
          <w:rtl w:val="true"/>
        </w:rPr>
        <w:footnoteReference w:id="2408"/>
      </w:r>
      <w:r>
        <w:rPr>
          <w:rFonts w:ascii="Amiri" w:hAnsi="Amiri" w:eastAsia="Amiri" w:cs="Amiri"/>
          <w:color w:val="111111"/>
          <w:sz w:val="28"/>
          <w:sz w:val="28"/>
          <w:szCs w:val="28"/>
          <w:rtl w:val="true"/>
          <w:lang w:bidi="ar-SA"/>
        </w:rPr>
        <w:t>دلالة الأولى إلّا على فورية العزل لا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معارضتان بروايات، منها رواية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زكاتي تحلّ عليّ في شهر رمضان أ يصلح لي أن أحبس منها شيئا مخافة أن يجيئني من يسألني؟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فأخرجها من مالك و لا تخلطها بشي‌ء، ثمّ أعطها كيف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أنا كتبتها و أثبتّها يستقيم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w:t>
      </w:r>
      <w:r>
        <w:rPr>
          <w:rFonts w:eastAsia="Amiri" w:cs="Amiri" w:ascii="Amiri" w:hAnsi="Amiri"/>
          <w:color w:val="111111"/>
          <w:sz w:val="28"/>
          <w:szCs w:val="28"/>
          <w:rtl w:val="true"/>
          <w:lang w:bidi="ar-SA"/>
        </w:rPr>
        <w:t xml:space="preserve">»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بتعجيل الزكاة شهرين، و تأخيرها شهرين</w:t>
      </w:r>
      <w:r>
        <w:rPr>
          <w:rFonts w:eastAsia="Amiri" w:cs="Amiri" w:ascii="Amiri" w:hAnsi="Amiri"/>
          <w:color w:val="111111"/>
          <w:sz w:val="28"/>
          <w:szCs w:val="28"/>
          <w:rtl w:val="true"/>
          <w:lang w:bidi="ar-SA"/>
        </w:rPr>
        <w:t xml:space="preserve">»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تحلّ عليه الزكاة في شهر رمضان فيؤخّرها إلى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تحلّ عليه إلّا في المحرم، فيعجّلها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بعدم كون التكليف بالزكاة من الواجبات التي وقتها العمر، و بعد ما يظهر من السيرة و الأخبار من عدم </w:t>
      </w:r>
      <w:r>
        <w:rPr>
          <w:rStyle w:val="FootnoteAnchor"/>
          <w:rtl w:val="true"/>
        </w:rPr>
        <w:footnoteReference w:id="2412"/>
      </w:r>
      <w:r>
        <w:rPr>
          <w:rFonts w:ascii="Amiri" w:hAnsi="Amiri" w:eastAsia="Amiri" w:cs="Amiri"/>
          <w:color w:val="111111"/>
          <w:sz w:val="28"/>
          <w:sz w:val="28"/>
          <w:szCs w:val="28"/>
          <w:rtl w:val="true"/>
          <w:lang w:bidi="ar-SA"/>
        </w:rPr>
        <w:t>الفورية بحيث لا يباح تأخيرها إلّا للضرورات المبيحة للمحظورات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الفورية، بمعنى عدم المسامحة و الإهمال في تركها بحيث يعدّ الرجل حابسا لها،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ثبوت مطالبة المستحقّين بشاهد الحال على هذا الوجه فيجب الأداء حينئذ </w:t>
      </w:r>
      <w:r>
        <w:rPr>
          <w:rStyle w:val="FootnoteAnchor"/>
          <w:rtl w:val="true"/>
        </w:rPr>
        <w:footnoteReference w:id="2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جعل الزكاة قوتا للفقراء و معونة لهم </w:t>
      </w:r>
      <w:r>
        <w:rPr>
          <w:rStyle w:val="FootnoteAnchor"/>
          <w:rtl w:val="true"/>
        </w:rPr>
        <w:footnoteReference w:id="2414"/>
      </w:r>
      <w:r>
        <w:rPr>
          <w:rFonts w:ascii="Amiri" w:hAnsi="Amiri" w:eastAsia="Amiri" w:cs="Amiri"/>
          <w:color w:val="111111"/>
          <w:sz w:val="28"/>
          <w:sz w:val="28"/>
          <w:szCs w:val="28"/>
          <w:rtl w:val="true"/>
          <w:lang w:bidi="ar-SA"/>
        </w:rPr>
        <w:t xml:space="preserve">، منضمّا إلى ما يستفاد من السيرة، و كثير من الروايات من تشريع التأخير </w:t>
      </w:r>
      <w:r>
        <w:rPr>
          <w:rStyle w:val="FootnoteAnchor"/>
          <w:rtl w:val="true"/>
        </w:rPr>
        <w:footnoteReference w:id="2415"/>
      </w:r>
      <w:r>
        <w:rPr>
          <w:rFonts w:ascii="Amiri" w:hAnsi="Amiri" w:eastAsia="Amiri" w:cs="Amiri"/>
          <w:color w:val="111111"/>
          <w:sz w:val="28"/>
          <w:sz w:val="28"/>
          <w:szCs w:val="28"/>
          <w:rtl w:val="true"/>
          <w:lang w:bidi="ar-SA"/>
        </w:rPr>
        <w:t xml:space="preserve">للأعذار العرفيّة، مثل خوف مجي‌ء السائل مطلقا، أو من اعتبار الأخذ مطلقا </w:t>
      </w:r>
      <w:r>
        <w:rPr>
          <w:rStyle w:val="FootnoteAnchor"/>
          <w:rtl w:val="true"/>
        </w:rPr>
        <w:footnoteReference w:id="2416"/>
      </w:r>
      <w:r>
        <w:rPr>
          <w:rFonts w:ascii="Amiri" w:hAnsi="Amiri" w:eastAsia="Amiri" w:cs="Amiri"/>
          <w:color w:val="111111"/>
          <w:sz w:val="28"/>
          <w:sz w:val="28"/>
          <w:szCs w:val="28"/>
          <w:rtl w:val="true"/>
          <w:lang w:bidi="ar-SA"/>
        </w:rPr>
        <w:t>كما في رواية يونس المتقدّمة، فقوله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أعطها كيف شئت</w:t>
      </w:r>
      <w:r>
        <w:rPr>
          <w:rFonts w:eastAsia="Amiri" w:cs="Amiri" w:ascii="Amiri" w:hAnsi="Amiri"/>
          <w:color w:val="111111"/>
          <w:sz w:val="28"/>
          <w:szCs w:val="28"/>
          <w:rtl w:val="true"/>
          <w:lang w:bidi="ar-SA"/>
        </w:rPr>
        <w:t xml:space="preserve">» </w:t>
      </w:r>
      <w:r>
        <w:rPr>
          <w:rStyle w:val="FootnoteAnchor"/>
          <w:rtl w:val="true"/>
        </w:rPr>
        <w:footnoteReference w:id="2417"/>
      </w:r>
      <w:r>
        <w:rPr>
          <w:rFonts w:ascii="Amiri" w:hAnsi="Amiri" w:eastAsia="Amiri" w:cs="Amiri"/>
          <w:color w:val="111111"/>
          <w:sz w:val="28"/>
          <w:sz w:val="28"/>
          <w:szCs w:val="28"/>
          <w:rtl w:val="true"/>
          <w:lang w:bidi="ar-SA"/>
        </w:rPr>
        <w:t>أي على ما تريد بحسب مصالح نفسك من الدفعة و التدريج، و ليس المراد الرخصة في التأخير المطلق، و لهذا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متى شئت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صحيحة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يخرج زكاته فيقسم بعضها و يبقي بعض يلتمس لها الموضع، فيكون بين أوّله و آخره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التماس الموضع هو التماس موضع خاصّ يطلبه المالك لمصلحة دينية أو دنيوية، لا التماس مطلق</w:t>
      </w:r>
    </w:p>
    <w:p>
      <w:pPr>
        <w:pStyle w:val="BookText"/>
        <w:rPr/>
      </w:pPr>
      <w:r>
        <w:rPr>
          <w:rFonts w:ascii="Amiri" w:hAnsi="Amiri" w:eastAsia="Amiri" w:cs="Amiri"/>
          <w:color w:val="111111"/>
          <w:sz w:val="28"/>
          <w:sz w:val="28"/>
          <w:szCs w:val="28"/>
          <w:rtl w:val="true"/>
          <w:lang w:bidi="ar-SA"/>
        </w:rPr>
        <w:t xml:space="preserve">الموضع، فإنّه ليس بعزيز حتّى يكون محلّلا </w:t>
      </w:r>
      <w:r>
        <w:rPr>
          <w:rStyle w:val="FootnoteAnchor"/>
          <w:rtl w:val="true"/>
        </w:rPr>
        <w:footnoteReference w:id="2419"/>
      </w:r>
      <w:r>
        <w:rPr>
          <w:rFonts w:ascii="Amiri" w:hAnsi="Amiri" w:eastAsia="Amiri" w:cs="Amiri"/>
          <w:color w:val="111111"/>
          <w:sz w:val="28"/>
          <w:sz w:val="28"/>
          <w:szCs w:val="28"/>
          <w:rtl w:val="true"/>
          <w:lang w:bidi="ar-SA"/>
        </w:rPr>
        <w:t>للالتماس و الطلب، سيّما على القول المشهور من تعميم سبيل اللّٰه، سيّما مع عدم التحديد في طرف الكثرة، فيجوز دفعها إلى فقير واحد، مع أنّ السائل قد قسّم البعض و بنى على قسمة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العذر الغير البالغ حدّ إباحة المحظور كعدم المستحقّ، أو الخوف من الدفع إليه ليس مسوّغا للتأخير المطلق، فلا يجوز تأخير الزكاة سنتين أو أربع سنين لانتظار الأفضل، أو </w:t>
      </w:r>
      <w:r>
        <w:rPr>
          <w:rStyle w:val="FootnoteAnchor"/>
          <w:rtl w:val="true"/>
        </w:rPr>
        <w:footnoteReference w:id="2420"/>
      </w:r>
      <w:r>
        <w:rPr>
          <w:rFonts w:ascii="Amiri" w:hAnsi="Amiri" w:eastAsia="Amiri" w:cs="Amiri"/>
          <w:color w:val="111111"/>
          <w:sz w:val="28"/>
          <w:sz w:val="28"/>
          <w:szCs w:val="28"/>
          <w:rtl w:val="true"/>
          <w:lang w:bidi="ar-SA"/>
        </w:rPr>
        <w:t xml:space="preserve">للتعميم، أو نحو ذلك من الأمور الراجحة شرعا أو عرفا، بل غاية ما يمكن أن يجوز </w:t>
      </w:r>
      <w:r>
        <w:rPr>
          <w:rStyle w:val="FootnoteAnchor"/>
          <w:rtl w:val="true"/>
        </w:rPr>
        <w:footnoteReference w:id="2421"/>
      </w:r>
      <w:r>
        <w:rPr>
          <w:rFonts w:ascii="Amiri" w:hAnsi="Amiri" w:eastAsia="Amiri" w:cs="Amiri"/>
          <w:color w:val="111111"/>
          <w:sz w:val="28"/>
          <w:sz w:val="28"/>
          <w:szCs w:val="28"/>
          <w:rtl w:val="true"/>
          <w:lang w:bidi="ar-SA"/>
        </w:rPr>
        <w:t>بإطلاق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إلى قريب السنة الآتية، و إلّا فظاهر روايات وضع الزكاة، و أنّه جعل للفقراء في أموال الأغنياء ما يكفيهم </w:t>
      </w:r>
      <w:r>
        <w:rPr>
          <w:rStyle w:val="FootnoteAnchor"/>
          <w:rtl w:val="true"/>
        </w:rPr>
        <w:footnoteReference w:id="2422"/>
      </w:r>
      <w:r>
        <w:rPr>
          <w:rFonts w:ascii="Amiri" w:hAnsi="Amiri" w:eastAsia="Amiri" w:cs="Amiri"/>
          <w:color w:val="111111"/>
          <w:sz w:val="28"/>
          <w:sz w:val="28"/>
          <w:szCs w:val="28"/>
          <w:rtl w:val="true"/>
          <w:lang w:bidi="ar-SA"/>
        </w:rPr>
        <w:t xml:space="preserve">، و أنه لو أدّى الناس الزكاة ما بقي محتاج </w:t>
      </w:r>
      <w:r>
        <w:rPr>
          <w:rStyle w:val="FootnoteAnchor"/>
          <w:rtl w:val="true"/>
        </w:rPr>
        <w:footnoteReference w:id="2423"/>
      </w:r>
      <w:r>
        <w:rPr>
          <w:rFonts w:ascii="Amiri" w:hAnsi="Amiri" w:eastAsia="Amiri" w:cs="Amiri"/>
          <w:color w:val="111111"/>
          <w:sz w:val="28"/>
          <w:sz w:val="28"/>
          <w:szCs w:val="28"/>
          <w:rtl w:val="true"/>
          <w:lang w:bidi="ar-SA"/>
        </w:rPr>
        <w:t>، هو عدم جواز التأخير من سنة الوجوب قطعا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حيث جاز التأخير فإن كان لضرورة كعدم المستحق أو عدم التمكّن من الدفع، فلا إشكال في عدم الضمان و لا خلاف فيه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غير ذلك من الأعذار المسوّغة للتأخير كالتعميم أو انتظار المستحقّ، فالظاهر ثبوت الضمان، و إن كان القاعدة تقتضي عدم الضمان مع أمر الشارع و لو استحبابا، لكشفه عن إلغاء جانب المالك فهو أولى بالمالك و ملكه من نفسه، فيكون بمنزلة إذن نفس المالك، فيدل عليه ما دلّ على نفي الضمان عن الأمين، إلّا أنّ ما تقدّم من حسنة ابن مسلم و صحيحة زرارة يكفي للضمان، مضافا إلى ما عن المنتهى </w:t>
      </w:r>
      <w:r>
        <w:rPr>
          <w:rStyle w:val="FootnoteAnchor"/>
          <w:rtl w:val="true"/>
        </w:rPr>
        <w:footnoteReference w:id="2424"/>
      </w:r>
      <w:r>
        <w:rPr>
          <w:rFonts w:ascii="Amiri" w:hAnsi="Amiri" w:eastAsia="Amiri" w:cs="Amiri"/>
          <w:color w:val="111111"/>
          <w:sz w:val="28"/>
          <w:sz w:val="28"/>
          <w:szCs w:val="28"/>
          <w:rtl w:val="true"/>
          <w:lang w:bidi="ar-SA"/>
        </w:rPr>
        <w:t xml:space="preserve">و التذكرة </w:t>
      </w:r>
      <w:r>
        <w:rPr>
          <w:rStyle w:val="FootnoteAnchor"/>
          <w:rtl w:val="true"/>
        </w:rPr>
        <w:footnoteReference w:id="2425"/>
      </w:r>
      <w:r>
        <w:rPr>
          <w:rFonts w:ascii="IRNazanin" w:hAnsi="IRNazanin" w:eastAsia="IRNazanin"/>
          <w:color w:val="111111"/>
          <w:sz w:val="28"/>
          <w:sz w:val="28"/>
          <w:szCs w:val="28"/>
          <w:rtl w:val="true"/>
          <w:lang w:bidi="fa-IR"/>
        </w:rPr>
        <w:t>من إطلاق دعوى الإجماع على الضمان بمجرّد</w:t>
      </w:r>
    </w:p>
    <w:p>
      <w:pPr>
        <w:pStyle w:val="BookText"/>
        <w:rPr/>
      </w:pPr>
      <w:r>
        <w:rPr>
          <w:rFonts w:ascii="Amiri" w:hAnsi="Amiri" w:eastAsia="Amiri" w:cs="Amiri"/>
          <w:color w:val="111111"/>
          <w:sz w:val="28"/>
          <w:sz w:val="28"/>
          <w:szCs w:val="28"/>
          <w:rtl w:val="true"/>
          <w:lang w:bidi="ar-SA"/>
        </w:rPr>
        <w:t xml:space="preserve">التمكّن من الأداء، و ظاهرهما نفي الضمان مع عدم وجدان المستحقّ، و إن تمكّن من الصرف في سبيل اللّٰه؛ لأنّ حملهما </w:t>
      </w:r>
      <w:r>
        <w:rPr>
          <w:rStyle w:val="FootnoteAnchor"/>
          <w:rtl w:val="true"/>
        </w:rPr>
        <w:footnoteReference w:id="2426"/>
      </w:r>
      <w:r>
        <w:rPr>
          <w:rFonts w:ascii="Amiri" w:hAnsi="Amiri" w:eastAsia="Amiri" w:cs="Amiri"/>
          <w:color w:val="111111"/>
          <w:sz w:val="28"/>
          <w:sz w:val="28"/>
          <w:szCs w:val="28"/>
          <w:rtl w:val="true"/>
          <w:lang w:bidi="ar-SA"/>
        </w:rPr>
        <w:t>على صورة عدم التمكّن من مطلق الصرف و لو في سبيل اللّٰه يوجب ندرة مورد إطلاق نفي الضمان، بل عدم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وجه </w:t>
      </w:r>
      <w:r>
        <w:rPr>
          <w:rStyle w:val="FootnoteAnchor"/>
          <w:rtl w:val="true"/>
        </w:rPr>
        <w:footnoteReference w:id="2427"/>
      </w:r>
      <w:r>
        <w:rPr>
          <w:rFonts w:ascii="Amiri" w:hAnsi="Amiri" w:eastAsia="Amiri" w:cs="Amiri"/>
          <w:color w:val="111111"/>
          <w:sz w:val="28"/>
          <w:sz w:val="28"/>
          <w:szCs w:val="28"/>
          <w:rtl w:val="true"/>
          <w:lang w:bidi="ar-SA"/>
        </w:rPr>
        <w:t xml:space="preserve">التمسّك بما تقدّم </w:t>
      </w:r>
      <w:r>
        <w:rPr>
          <w:rStyle w:val="FootnoteAnchor"/>
          <w:rtl w:val="true"/>
        </w:rPr>
        <w:footnoteReference w:id="2428"/>
      </w:r>
      <w:r>
        <w:rPr>
          <w:rFonts w:ascii="Amiri" w:hAnsi="Amiri" w:eastAsia="Amiri" w:cs="Amiri"/>
          <w:color w:val="111111"/>
          <w:sz w:val="28"/>
          <w:sz w:val="28"/>
          <w:szCs w:val="28"/>
          <w:rtl w:val="true"/>
          <w:lang w:bidi="ar-SA"/>
        </w:rPr>
        <w:t>من الأخبار النافية للضمان عنه إذا بعثها إلى بلد آخر فقطع عليه الطريق أو سرق، المحمولة على صورة عدم التمكّن من الدفع إلى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الإجماع المتقدّم المحكي عن المنتهى و التذكرة، من أنّ التمكّن من الأداء معتبر في الضمان، و انه لو تمكّن فلم يفعل ضمن، هو شموله لصورة التمكّن من الصرف في سبيل اللّٰه، إلّا أنّ الظاهر أنّ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الأداء إلى المستحقّ، لا مجرّد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بذلك لفظ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2429"/>
      </w:r>
      <w:r>
        <w:rPr>
          <w:rFonts w:ascii="Amiri" w:hAnsi="Amiri" w:eastAsia="Amiri" w:cs="Amiri"/>
          <w:color w:val="111111"/>
          <w:sz w:val="28"/>
          <w:sz w:val="28"/>
          <w:szCs w:val="28"/>
          <w:rtl w:val="true"/>
          <w:lang w:bidi="ar-SA"/>
        </w:rPr>
        <w:t xml:space="preserve">الظاهر أنّه لا فرق بين الفقراء و غيرهم، فالتمكّن من الأداء إلى أيّ صنف كان يكفي في الضمان، فلو أراد البسط و أعطى نصيب الموجودين و لم يتمكّن من دفع الباقي إلى الأصناف الباقية فلا يبعد الضمان وفاقا للمحكي عن ابن فهد </w:t>
      </w:r>
      <w:r>
        <w:rPr>
          <w:rStyle w:val="FootnoteAnchor"/>
          <w:rtl w:val="true"/>
        </w:rPr>
        <w:footnoteReference w:id="2430"/>
      </w:r>
      <w:r>
        <w:rPr>
          <w:rFonts w:ascii="Amiri" w:hAnsi="Amiri" w:eastAsia="Amiri" w:cs="Amiri"/>
          <w:color w:val="111111"/>
          <w:sz w:val="28"/>
          <w:sz w:val="28"/>
          <w:szCs w:val="28"/>
          <w:rtl w:val="true"/>
          <w:lang w:bidi="ar-SA"/>
        </w:rPr>
        <w:t>لإطلاق أدلّة الضمان المتقدّمة، 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كثر المستحقّون و تمكّن من الدفع إليهم جاز له التأخير في الإعطاء لكلّ واحد بمقدار ما يعطى غيره، و في الضمان حينئذ تردّد </w:t>
      </w:r>
      <w:r>
        <w:rPr>
          <w:rStyle w:val="FootnoteAnchor"/>
          <w:rtl w:val="true"/>
        </w:rPr>
        <w:footnoteReference w:id="2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عدم الضمان هنا، وفاقا للمدارك </w:t>
      </w:r>
      <w:r>
        <w:rPr>
          <w:rStyle w:val="FootnoteAnchor"/>
          <w:rtl w:val="true"/>
        </w:rPr>
        <w:footnoteReference w:id="2432"/>
      </w:r>
      <w:r>
        <w:rPr>
          <w:rFonts w:ascii="Amiri" w:hAnsi="Amiri" w:eastAsia="Amiri" w:cs="Amiri"/>
          <w:color w:val="111111"/>
          <w:sz w:val="28"/>
          <w:sz w:val="28"/>
          <w:szCs w:val="28"/>
          <w:rtl w:val="true"/>
          <w:lang w:bidi="ar-SA"/>
        </w:rPr>
        <w:t>لأنّه لم يؤخّر في أصل الدفع، و إنّما اقتضى هذا النحو من الدفع طول الزمان، و ظاهر ما دلّ على الضمان المخالف للأصل مع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بصورة التأخير في أصل الدفع</w:t>
      </w:r>
      <w:r>
        <w:rPr>
          <w:rFonts w:eastAsia="Amiri" w:cs="Amiri" w:ascii="Amiri" w:hAnsi="Amiri"/>
          <w:color w:val="111111"/>
          <w:sz w:val="28"/>
          <w:szCs w:val="28"/>
          <w:rtl w:val="true"/>
          <w:lang w:bidi="ar-SA"/>
        </w:rPr>
        <w:t>.</w:t>
      </w:r>
      <w:bookmarkStart w:id="159" w:name="pg19722_766448"/>
    </w:p>
    <w:p>
      <w:pPr>
        <w:pStyle w:val="Heading4"/>
        <w:numPr>
          <w:ilvl w:val="3"/>
          <w:numId w:val="1"/>
        </w:numPr>
        <w:rPr/>
      </w:pPr>
      <w:bookmarkStart w:id="160" w:name="__RefHeading___Toc2136386_2314609296"/>
      <w:bookmarkStart w:id="161" w:name="_Toc55"/>
      <w:bookmarkEnd w:id="159"/>
      <w:bookmarkEnd w:id="160"/>
      <w:r>
        <w:rPr>
          <w:rtl w:val="true"/>
        </w:rPr>
        <w:t xml:space="preserve">مسألة </w:t>
      </w:r>
      <w:r>
        <w:rPr>
          <w:rtl w:val="true"/>
        </w:rPr>
        <w:t>[</w:t>
      </w:r>
      <w:r>
        <w:rPr/>
        <w:t>46</w:t>
      </w:r>
      <w:r>
        <w:rPr>
          <w:rtl w:val="true"/>
        </w:rPr>
        <w:t>]</w:t>
      </w:r>
      <w:bookmarkEnd w:id="161"/>
    </w:p>
    <w:p>
      <w:pPr>
        <w:pStyle w:val="BookText"/>
        <w:rPr/>
      </w:pPr>
      <w:r>
        <w:rPr>
          <w:rFonts w:ascii="Amiri" w:hAnsi="Amiri" w:eastAsia="Amiri" w:cs="Amiri"/>
          <w:color w:val="111111"/>
          <w:sz w:val="28"/>
          <w:sz w:val="28"/>
          <w:szCs w:val="28"/>
          <w:rtl w:val="true"/>
          <w:lang w:bidi="ar-SA"/>
        </w:rPr>
        <w:t>المشهور عدم جواز تعجيل الزكاة قبل وقت الوجوب؛ لأنّ المدفوع إن كان متّصفا بصفة الوجوب لم يكن الحول شرطا، و المفروض خلافه، و إن كان متّصفا بصفة الاستحباب لم يكن امتثالا لأدلّة الزكاة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الدليل على جواز التعجيل يكون ما يعجّله زكاة، لكن لا يجب دفعها الآن، و لا يكون امتثالا لأوامر الزكاة إلّا أنّها مسقطة عن الواجب في علم اللّٰه، نظير الدفع عند إهلال الثاني عشر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فالعمدة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الأخبار المانعة عنه، ففي حسنة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المال، أ يزكّيه إذا مضى نصف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حتّى يحول عليه الحول و يحلّ عليه، انه ليس لأحد أن يصلّي صلاة إلّا لوقتها، و كذلك الزكاة، و لا يصوم أحد شهر رمضان إلّا في شهره إلّا قضاء، و كلّ فريضة إنّما تؤدّى إذا حلّت</w:t>
      </w:r>
      <w:r>
        <w:rPr>
          <w:rFonts w:eastAsia="Amiri" w:cs="Amiri" w:ascii="Amiri" w:hAnsi="Amiri"/>
          <w:color w:val="111111"/>
          <w:sz w:val="28"/>
          <w:szCs w:val="28"/>
          <w:rtl w:val="true"/>
          <w:lang w:bidi="ar-SA"/>
        </w:rPr>
        <w:t xml:space="preserve">»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حسنة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 يزكّي الرجل ماله إذا</w:t>
      </w:r>
    </w:p>
    <w:p>
      <w:pPr>
        <w:pStyle w:val="BookText"/>
        <w:rPr/>
      </w:pPr>
      <w:r>
        <w:rPr>
          <w:rFonts w:ascii="Amiri" w:hAnsi="Amiri" w:eastAsia="Amiri" w:cs="Amiri"/>
          <w:color w:val="111111"/>
          <w:sz w:val="28"/>
          <w:sz w:val="28"/>
          <w:szCs w:val="28"/>
          <w:rtl w:val="true"/>
          <w:lang w:bidi="ar-SA"/>
        </w:rPr>
        <w:t>مضى ثلث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 يصلي </w:t>
      </w:r>
      <w:r>
        <w:rPr>
          <w:rStyle w:val="FootnoteAnchor"/>
          <w:rtl w:val="true"/>
        </w:rPr>
        <w:footnoteReference w:id="2434"/>
      </w:r>
      <w:r>
        <w:rPr>
          <w:rFonts w:ascii="IRNazanin" w:hAnsi="IRNazanin" w:eastAsia="IRNazanin"/>
          <w:color w:val="111111"/>
          <w:sz w:val="28"/>
          <w:sz w:val="28"/>
          <w:szCs w:val="28"/>
          <w:rtl w:val="true"/>
          <w:lang w:bidi="fa-IR"/>
        </w:rPr>
        <w:t>الاولى قبل الزوال؟</w:t>
      </w:r>
      <w:r>
        <w:rPr>
          <w:rFonts w:eastAsia="IRNazanin" w:cs="IRNazanin"/>
          <w:color w:val="111111"/>
          <w:sz w:val="28"/>
          <w:szCs w:val="28"/>
          <w:rtl w:val="true"/>
          <w:lang w:bidi="fa-IR"/>
        </w:rPr>
        <w:t xml:space="preserve">»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أيضا بما دلّ على اعتبار حلول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اعتباره إنّما هو في الوجوب، و الكلام في جواز التعجيل الذي هو بمعنى فعل الشي‌ء قبل وقته، نظير تعجيل الفطرة الذي قال به جماعة كثيرة، فتسميته تعجيلا لمراعاة أدلّة اشتراط الحول، فكيف ينافيها؟ نعم مقتضى تلك الأدلّة عدم الأمر قبله فتحتاج العبادة </w:t>
      </w:r>
      <w:r>
        <w:rPr>
          <w:rStyle w:val="FootnoteAnchor"/>
          <w:rtl w:val="true"/>
        </w:rPr>
        <w:footnoteReference w:id="2436"/>
      </w:r>
      <w:r>
        <w:rPr>
          <w:rFonts w:ascii="Amiri" w:hAnsi="Amiri" w:eastAsia="Amiri" w:cs="Amiri"/>
          <w:color w:val="111111"/>
          <w:sz w:val="28"/>
          <w:sz w:val="28"/>
          <w:szCs w:val="28"/>
          <w:rtl w:val="true"/>
          <w:lang w:bidi="ar-SA"/>
        </w:rPr>
        <w:t>إلى دليل، و هو راجع إلى ما ذكرنا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فهنا أخبار مستفيضة </w:t>
      </w:r>
      <w:r>
        <w:rPr>
          <w:rStyle w:val="FootnoteAnchor"/>
          <w:rtl w:val="true"/>
        </w:rPr>
        <w:footnoteReference w:id="2437"/>
      </w:r>
      <w:r>
        <w:rPr>
          <w:rFonts w:ascii="Amiri" w:hAnsi="Amiri" w:eastAsia="Amiri" w:cs="Amiri"/>
          <w:color w:val="111111"/>
          <w:sz w:val="28"/>
          <w:sz w:val="28"/>
          <w:szCs w:val="28"/>
          <w:rtl w:val="true"/>
          <w:lang w:bidi="ar-SA"/>
        </w:rPr>
        <w:t xml:space="preserve">، بل عن العماني </w:t>
      </w:r>
      <w:r>
        <w:rPr>
          <w:rStyle w:val="FootnoteAnchor"/>
          <w:rtl w:val="true"/>
        </w:rPr>
        <w:footnoteReference w:id="2438"/>
      </w:r>
      <w:r>
        <w:rPr>
          <w:rFonts w:ascii="Amiri" w:hAnsi="Amiri" w:eastAsia="Amiri" w:cs="Amiri"/>
          <w:color w:val="111111"/>
          <w:sz w:val="28"/>
          <w:sz w:val="28"/>
          <w:szCs w:val="28"/>
          <w:rtl w:val="true"/>
          <w:lang w:bidi="ar-SA"/>
        </w:rPr>
        <w:t>دعوى تواترها في جواز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عمار </w:t>
      </w:r>
      <w:r>
        <w:rPr>
          <w:rStyle w:val="FootnoteAnchor"/>
          <w:rtl w:val="true"/>
        </w:rPr>
        <w:footnoteReference w:id="2439"/>
      </w:r>
      <w:r>
        <w:rPr>
          <w:rFonts w:ascii="Amiri" w:hAnsi="Amiri" w:eastAsia="Amiri" w:cs="Amiri"/>
          <w:color w:val="111111"/>
          <w:sz w:val="28"/>
          <w:sz w:val="28"/>
          <w:szCs w:val="28"/>
          <w:rtl w:val="true"/>
          <w:lang w:bidi="ar-SA"/>
        </w:rPr>
        <w:t xml:space="preserve">و رواية حماد بن عثمان </w:t>
      </w:r>
      <w:r>
        <w:rPr>
          <w:rStyle w:val="FootnoteAnchor"/>
          <w:rtl w:val="true"/>
        </w:rPr>
        <w:footnoteReference w:id="2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المتقدمتين في مسألة الفورية </w:t>
      </w:r>
      <w:r>
        <w:rPr>
          <w:rStyle w:val="FootnoteAnchor"/>
          <w:rtl w:val="true"/>
        </w:rPr>
        <w:footnoteReference w:id="2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صحيحة الأحول،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عجّل زكاة ماله ثم أيسر المعطى قبل رأس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المعطي زكاته</w:t>
      </w:r>
      <w:r>
        <w:rPr>
          <w:rFonts w:eastAsia="Amiri" w:cs="Amiri" w:ascii="Amiri" w:hAnsi="Amiri"/>
          <w:color w:val="111111"/>
          <w:sz w:val="28"/>
          <w:szCs w:val="28"/>
          <w:rtl w:val="true"/>
          <w:lang w:bidi="ar-SA"/>
        </w:rPr>
        <w:t xml:space="preserve">»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بصير المرسلة، عن أبي سعيد المكاري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يعجّل زكاته قبل المحلّ </w:t>
      </w:r>
      <w:r>
        <w:rPr>
          <w:rStyle w:val="FootnoteAnchor"/>
          <w:rtl w:val="true"/>
        </w:rPr>
        <w:footnoteReference w:id="24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خمسة أشهر فلا بأس</w:t>
      </w:r>
      <w:r>
        <w:rPr>
          <w:rFonts w:eastAsia="Amiri" w:cs="Amiri" w:ascii="Amiri" w:hAnsi="Amiri"/>
          <w:color w:val="111111"/>
          <w:sz w:val="28"/>
          <w:szCs w:val="28"/>
          <w:rtl w:val="true"/>
          <w:lang w:bidi="ar-SA"/>
        </w:rPr>
        <w:t xml:space="preserve">»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مرسلة الحسين بن عثمان عن رجل يأتيه المحتاج فيعطيه من زكاته في أوّل السنة،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محتاجا فلا بأس</w:t>
      </w:r>
      <w:r>
        <w:rPr>
          <w:rFonts w:eastAsia="Amiri" w:cs="Amiri" w:ascii="Amiri" w:hAnsi="Amiri"/>
          <w:color w:val="111111"/>
          <w:sz w:val="28"/>
          <w:szCs w:val="28"/>
          <w:rtl w:val="true"/>
          <w:lang w:bidi="ar-SA"/>
        </w:rPr>
        <w:t xml:space="preserve">»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التي يظهر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التعجيل حيث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ذلك</w:t>
      </w:r>
      <w:r>
        <w:rPr>
          <w:rFonts w:eastAsia="Amiri" w:cs="Amiri" w:ascii="Amiri" w:hAnsi="Amiri"/>
          <w:color w:val="111111"/>
          <w:sz w:val="28"/>
          <w:szCs w:val="28"/>
          <w:rtl w:val="true"/>
          <w:lang w:bidi="ar-SA"/>
        </w:rPr>
        <w:t xml:space="preserve">» </w:t>
      </w:r>
      <w:r>
        <w:rPr>
          <w:rStyle w:val="FootnoteAnchor"/>
          <w:rtl w:val="true"/>
        </w:rPr>
        <w:footnoteReference w:id="2446"/>
      </w:r>
      <w:r>
        <w:rPr>
          <w:rFonts w:ascii="Amiri" w:hAnsi="Amiri" w:eastAsia="Amiri" w:cs="Amiri"/>
          <w:color w:val="111111"/>
          <w:sz w:val="28"/>
          <w:sz w:val="28"/>
          <w:szCs w:val="28"/>
          <w:rtl w:val="true"/>
          <w:lang w:bidi="ar-SA"/>
        </w:rPr>
        <w:t>، مشيرا إلى تعجيل الزكاة عند مضيّ نصف السنة، و حملها على القرض ثم 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لظاهر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يأباه التقييد في أكثرها بمدّة معينة، فإنّ التعجيل على وجه القرض يجوز قبل سنين، فالأولى حملها على التقيّة؛ لأنّه </w:t>
      </w:r>
      <w:r>
        <w:rPr>
          <w:rStyle w:val="FootnoteAnchor"/>
          <w:rtl w:val="true"/>
        </w:rPr>
        <w:footnoteReference w:id="2447"/>
      </w:r>
      <w:r>
        <w:rPr>
          <w:rFonts w:ascii="Amiri" w:hAnsi="Amiri" w:eastAsia="Amiri" w:cs="Amiri"/>
          <w:color w:val="111111"/>
          <w:sz w:val="28"/>
          <w:sz w:val="28"/>
          <w:szCs w:val="28"/>
          <w:rtl w:val="true"/>
          <w:lang w:bidi="ar-SA"/>
        </w:rPr>
        <w:t xml:space="preserve">المحكي عن جماعة كثيرة </w:t>
      </w:r>
      <w:r>
        <w:rPr>
          <w:rStyle w:val="FootnoteAnchor"/>
          <w:rtl w:val="true"/>
        </w:rPr>
        <w:footnoteReference w:id="2448"/>
      </w:r>
      <w:r>
        <w:rPr>
          <w:rFonts w:ascii="Amiri" w:hAnsi="Amiri" w:eastAsia="Amiri" w:cs="Amiri"/>
          <w:color w:val="111111"/>
          <w:sz w:val="28"/>
          <w:sz w:val="28"/>
          <w:szCs w:val="28"/>
          <w:rtl w:val="true"/>
          <w:lang w:bidi="ar-SA"/>
        </w:rPr>
        <w:t xml:space="preserve">، لكنّ المحكيّ عنهم إطلاق التقديم، فلا يلائمه الأخبار المقيّدة بالشهر و الشهرين و الأربعة و الخمسة، إلّا على مذهب صاحب الحدائق </w:t>
      </w:r>
      <w:r>
        <w:rPr>
          <w:rStyle w:val="FootnoteAnchor"/>
          <w:rtl w:val="true"/>
        </w:rPr>
        <w:footnoteReference w:id="2449"/>
      </w:r>
      <w:r>
        <w:rPr>
          <w:rFonts w:ascii="Amiri" w:hAnsi="Amiri" w:eastAsia="Amiri" w:cs="Amiri"/>
          <w:color w:val="111111"/>
          <w:sz w:val="28"/>
          <w:sz w:val="28"/>
          <w:szCs w:val="28"/>
          <w:rtl w:val="true"/>
          <w:lang w:bidi="ar-SA"/>
        </w:rPr>
        <w:t xml:space="preserve">من عدم اعتبار مطابقة </w:t>
      </w:r>
      <w:r>
        <w:rPr>
          <w:rStyle w:val="FootnoteAnchor"/>
          <w:rtl w:val="true"/>
        </w:rPr>
        <w:footnoteReference w:id="2450"/>
      </w:r>
      <w:r>
        <w:rPr>
          <w:rFonts w:ascii="Amiri" w:hAnsi="Amiri" w:eastAsia="Amiri" w:cs="Amiri"/>
          <w:color w:val="111111"/>
          <w:sz w:val="28"/>
          <w:sz w:val="28"/>
          <w:szCs w:val="28"/>
          <w:rtl w:val="true"/>
          <w:lang w:bidi="ar-SA"/>
        </w:rPr>
        <w:t>مذهب العامّة في 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ما عليه المشهور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التعجيل فلا إشكال في أنّه مراعى ببقاء الدافع و المال على الشروط إلى تمام الحول، و في المدارك دعوى الاتّفاق عليه </w:t>
      </w:r>
      <w:r>
        <w:rPr>
          <w:rStyle w:val="FootnoteAnchor"/>
          <w:rtl w:val="true"/>
        </w:rPr>
        <w:footnoteReference w:id="2451"/>
      </w:r>
      <w:r>
        <w:rPr>
          <w:rFonts w:ascii="Amiri" w:hAnsi="Amiri" w:eastAsia="Amiri" w:cs="Amiri"/>
          <w:color w:val="111111"/>
          <w:sz w:val="28"/>
          <w:sz w:val="28"/>
          <w:szCs w:val="28"/>
          <w:rtl w:val="true"/>
          <w:lang w:bidi="ar-SA"/>
        </w:rPr>
        <w:t xml:space="preserve">لأنّ تخلّف بعضها يكشف عن عدم كون المدفوع زكاة، لأن المفروض كونها مشروطا </w:t>
      </w:r>
      <w:r>
        <w:rPr>
          <w:rStyle w:val="FootnoteAnchor"/>
          <w:rtl w:val="true"/>
        </w:rPr>
        <w:footnoteReference w:id="2452"/>
      </w:r>
      <w:r>
        <w:rPr>
          <w:rFonts w:ascii="Amiri" w:hAnsi="Amiri" w:eastAsia="Amiri" w:cs="Amiri"/>
          <w:color w:val="111111"/>
          <w:sz w:val="28"/>
          <w:sz w:val="28"/>
          <w:szCs w:val="28"/>
          <w:rtl w:val="true"/>
          <w:lang w:bidi="ar-SA"/>
        </w:rPr>
        <w:t xml:space="preserve">، و هل يراعى ببقاء القابض على الوصف؟ حكي عن المنتهى القطع به </w:t>
      </w:r>
      <w:r>
        <w:rPr>
          <w:rStyle w:val="FootnoteAnchor"/>
          <w:rtl w:val="true"/>
        </w:rPr>
        <w:footnoteReference w:id="2453"/>
      </w:r>
      <w:r>
        <w:rPr>
          <w:rFonts w:ascii="Amiri" w:hAnsi="Amiri" w:eastAsia="Amiri" w:cs="Amiri"/>
          <w:color w:val="111111"/>
          <w:sz w:val="28"/>
          <w:sz w:val="28"/>
          <w:szCs w:val="28"/>
          <w:rtl w:val="true"/>
          <w:lang w:bidi="ar-SA"/>
        </w:rPr>
        <w:t>، و استدلّ عليه</w:t>
      </w:r>
    </w:p>
    <w:p>
      <w:pPr>
        <w:pStyle w:val="BookText"/>
        <w:rPr/>
      </w:pPr>
      <w:r>
        <w:rPr>
          <w:rFonts w:ascii="Amiri" w:hAnsi="Amiri" w:eastAsia="Amiri" w:cs="Amiri"/>
          <w:color w:val="111111"/>
          <w:sz w:val="28"/>
          <w:sz w:val="28"/>
          <w:szCs w:val="28"/>
          <w:rtl w:val="true"/>
          <w:lang w:bidi="ar-SA"/>
        </w:rPr>
        <w:t xml:space="preserve">بصحيحة الأحوال المتقدمة </w:t>
      </w:r>
      <w:r>
        <w:rPr>
          <w:rStyle w:val="FootnoteAnchor"/>
          <w:rtl w:val="true"/>
        </w:rPr>
        <w:footnoteReference w:id="2454"/>
      </w:r>
      <w:r>
        <w:rPr>
          <w:rFonts w:ascii="Amiri" w:hAnsi="Amiri" w:eastAsia="Amiri" w:cs="Amiri"/>
          <w:color w:val="111111"/>
          <w:sz w:val="28"/>
          <w:sz w:val="28"/>
          <w:szCs w:val="28"/>
          <w:rtl w:val="true"/>
          <w:lang w:bidi="ar-SA"/>
        </w:rPr>
        <w:t xml:space="preserve">، و بثبوت المراعاة في جانب الدافع اتفاقا، فكذا القابض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المراعاة في جانب الدافع لأجل اعتبار استجماع الشروط </w:t>
      </w:r>
      <w:r>
        <w:rPr>
          <w:rStyle w:val="FootnoteAnchor"/>
          <w:rtl w:val="true"/>
        </w:rPr>
        <w:footnoteReference w:id="2456"/>
      </w:r>
      <w:r>
        <w:rPr>
          <w:rFonts w:ascii="Amiri" w:hAnsi="Amiri" w:eastAsia="Amiri" w:cs="Amiri"/>
          <w:color w:val="111111"/>
          <w:sz w:val="28"/>
          <w:sz w:val="28"/>
          <w:szCs w:val="28"/>
          <w:rtl w:val="true"/>
          <w:lang w:bidi="ar-SA"/>
        </w:rPr>
        <w:t xml:space="preserve">في تمام </w:t>
      </w:r>
      <w:r>
        <w:rPr>
          <w:rStyle w:val="FootnoteAnchor"/>
          <w:rtl w:val="true"/>
        </w:rPr>
        <w:footnoteReference w:id="2457"/>
      </w:r>
      <w:r>
        <w:rPr>
          <w:rFonts w:ascii="Amiri" w:hAnsi="Amiri" w:eastAsia="Amiri" w:cs="Amiri"/>
          <w:color w:val="111111"/>
          <w:sz w:val="28"/>
          <w:sz w:val="28"/>
          <w:szCs w:val="28"/>
          <w:rtl w:val="true"/>
          <w:lang w:bidi="ar-SA"/>
        </w:rPr>
        <w:t>الحول اتّفاقا، فعدمه كاشف عن عدم كون المدفوع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القابض، فلمّا لم يشترط فيه صفة </w:t>
      </w:r>
      <w:r>
        <w:rPr>
          <w:rStyle w:val="FootnoteAnchor"/>
          <w:rtl w:val="true"/>
        </w:rPr>
        <w:footnoteReference w:id="2458"/>
      </w:r>
      <w:r>
        <w:rPr>
          <w:rFonts w:ascii="Amiri" w:hAnsi="Amiri" w:eastAsia="Amiri" w:cs="Amiri"/>
          <w:color w:val="111111"/>
          <w:sz w:val="28"/>
          <w:sz w:val="28"/>
          <w:szCs w:val="28"/>
          <w:rtl w:val="true"/>
          <w:lang w:bidi="ar-SA"/>
        </w:rPr>
        <w:t>الاستحقاق إلّا عند قبض الزكاة الواقعي، و المفروض أنّ بقاء الدافع و المال على الشروط يكشف عن كون المدفوع زكاة، و المفروض استحقاق القابض إيّاه حال القبض، فلا يقدح ارتفاعه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ذلك أنّ عدم جواز الرجوع إلى القابض و الاجتزاء بما دفع إليه لو ارتفع استحقاقه من لوازم ماهية الزكاة المعجّلة؛ لأنّها زكاة حقيقة لا يغاير الفرد الآخر إلّا في الزمان، شبيه </w:t>
      </w:r>
      <w:r>
        <w:rPr>
          <w:rStyle w:val="FootnoteAnchor"/>
          <w:rtl w:val="true"/>
        </w:rPr>
        <w:footnoteReference w:id="2459"/>
      </w:r>
      <w:r>
        <w:rPr>
          <w:rFonts w:ascii="Amiri" w:hAnsi="Amiri" w:eastAsia="Amiri" w:cs="Amiri"/>
          <w:color w:val="111111"/>
          <w:sz w:val="28"/>
          <w:sz w:val="28"/>
          <w:szCs w:val="28"/>
          <w:rtl w:val="true"/>
          <w:lang w:bidi="ar-SA"/>
        </w:rPr>
        <w:t>العبادة المقضية التي لا تغاير الفائتة إلّا في الوقت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عدم جواز التمسّك بصحيحة الأحول؛ لأنّ وجوب الإعادة فيها يكشف عن عدم كون المدفوع زكاة حقيقة، فيحمل تعجيل الزكاة في تلك الصحيحة على القرض، كما فعله الشيخ جامعا بها بين روايات المنع و الجواز، حيث قال في وجه الاستشهاد بالصحيحة على أنّ المراد بالتعجيل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 xml:space="preserve">لو جاز التقديم على كلّ حال لما وجب عليه الإعادة إذا أيسر المعطى عند حلول الوقت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اعترضه في المعتبر بجواز التزام المجوّز للتعجيل بذلك </w:t>
      </w:r>
      <w:r>
        <w:rPr>
          <w:rStyle w:val="FootnoteAnchor"/>
          <w:rtl w:val="true"/>
        </w:rPr>
        <w:footnoteReference w:id="2461"/>
      </w:r>
      <w:r>
        <w:rPr>
          <w:rFonts w:ascii="Amiri" w:hAnsi="Amiri" w:eastAsia="Amiri" w:cs="Amiri"/>
          <w:color w:val="111111"/>
          <w:sz w:val="28"/>
          <w:sz w:val="28"/>
          <w:szCs w:val="28"/>
          <w:rtl w:val="true"/>
          <w:lang w:bidi="ar-SA"/>
        </w:rPr>
        <w:t xml:space="preserve">بالشروط المعهودة؛ فإنّ تعجيل زكاة الحول باجتماع شروطه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الأقوى مع ذلك صحة ما اعترضه المحقّق، و يمكن توجيه الاعتراض بأنّا نمنع أنّ لازم ماهية تعجيل الزكاة عدم لزوم الإعادة إذا زال القابض عن الاستحقاق؛ لأنّ المدفوع حينئذ ليس زكاة حقيقة، بل يمنع </w:t>
      </w:r>
      <w:r>
        <w:rPr>
          <w:rStyle w:val="FootnoteAnchor"/>
          <w:rtl w:val="true"/>
        </w:rPr>
        <w:footnoteReference w:id="2463"/>
      </w:r>
      <w:r>
        <w:rPr>
          <w:rFonts w:ascii="Amiri" w:hAnsi="Amiri" w:eastAsia="Amiri" w:cs="Amiri"/>
          <w:color w:val="111111"/>
          <w:sz w:val="28"/>
          <w:sz w:val="28"/>
          <w:szCs w:val="28"/>
          <w:rtl w:val="true"/>
          <w:lang w:bidi="ar-SA"/>
        </w:rPr>
        <w:t>الرجوع بها على الفقير بعد زوال صفة الوجه؛ لجواز الدفع، كيف و الزكاة الحقيقية لا تتحقّق و لا تحدث في العين و لا في الذمّة إلّا بعد تحقّق الشرائط، و المشروط لا يتقدّم على الشرط، بل هي في الحقيقة صدقة مستقلّة أسقط الشارع بها الزكاة عند حلول الحول، و ليس الإسقاط بحكم كونه زكاة، بل هو تعبّد شرعيّ، فيمكن أن يشترط فيه بقاء القابض على الوصف المعتبر في جواز قبضه، كما يعتبر بقاء الدافع على الوصف المعتبر في وجوب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يندفع بأن ظاهر النصّ و الفتوى من المانعين و المجوّزين هو كون المعجّلة زكاة، و لذا اتّفقوا ظاهرا على استرداد العين أو بدلها لو لم يبق الدافع على الشرائط؛ لكشف ذلك عن عدم كون المدفوع زكاة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اشتراط حدوث تعلّق الزكاة في الذمة أو العين بشروط غير</w:t>
      </w:r>
    </w:p>
    <w:p>
      <w:pPr>
        <w:pStyle w:val="BookText"/>
        <w:rPr/>
      </w:pPr>
      <w:r>
        <w:rPr>
          <w:rFonts w:ascii="Amiri" w:hAnsi="Amiri" w:eastAsia="Amiri" w:cs="Amiri"/>
          <w:color w:val="111111"/>
          <w:sz w:val="28"/>
          <w:sz w:val="28"/>
          <w:szCs w:val="28"/>
          <w:rtl w:val="true"/>
          <w:lang w:bidi="ar-SA"/>
        </w:rPr>
        <w:t>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تقدّم المشروط على الشرط </w:t>
      </w:r>
      <w:r>
        <w:rPr>
          <w:rStyle w:val="FootnoteAnchor"/>
          <w:rtl w:val="true"/>
        </w:rPr>
        <w:footnoteReference w:id="2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إلّا أنّه قد ورد نظير ذلك في الشرعيات، كما في تقديم غسل الجمعة عليها، و تقديم صلاة الليل على الانتصاف، و مرجع الجميع إلى الرخصة في إتيان الموقّت قبل وقته المضروب له بالجعل الأوّلي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انّه لا يمتنع أن يخصّ الشارع هذه الرخصة بما إذا وقع الدفع إلى من بقي على الاستحقاق إلى تمام الحول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صحيحة الأحول</w:t>
      </w:r>
      <w:r>
        <w:rPr>
          <w:rFonts w:eastAsia="Amiri" w:cs="Amiri" w:ascii="Amiri" w:hAnsi="Amiri"/>
          <w:color w:val="111111"/>
          <w:sz w:val="28"/>
          <w:szCs w:val="28"/>
          <w:rtl w:val="true"/>
          <w:lang w:bidi="ar-SA"/>
        </w:rPr>
        <w:t xml:space="preserve">] </w:t>
      </w:r>
      <w:r>
        <w:rPr>
          <w:rStyle w:val="FootnoteAnchor"/>
          <w:rtl w:val="true"/>
        </w:rPr>
        <w:footnoteReference w:id="2465"/>
      </w:r>
      <w:r>
        <w:rPr>
          <w:rFonts w:ascii="Amiri" w:hAnsi="Amiri" w:eastAsia="Amiri" w:cs="Amiri"/>
          <w:color w:val="111111"/>
          <w:sz w:val="28"/>
          <w:sz w:val="28"/>
          <w:szCs w:val="28"/>
          <w:rtl w:val="true"/>
          <w:lang w:bidi="ar-SA"/>
        </w:rPr>
        <w:t>دليلا على هذا التخصيص، فكلام المحقّق لا يخلو عن وجه</w:t>
      </w:r>
      <w:r>
        <w:rPr>
          <w:rFonts w:eastAsia="Amiri" w:cs="Amiri" w:ascii="Amiri" w:hAnsi="Amiri"/>
          <w:color w:val="111111"/>
          <w:sz w:val="28"/>
          <w:szCs w:val="28"/>
          <w:rtl w:val="true"/>
          <w:lang w:bidi="ar-SA"/>
        </w:rPr>
        <w:t>.</w:t>
      </w:r>
      <w:bookmarkStart w:id="162" w:name="pg19722_766454"/>
    </w:p>
    <w:p>
      <w:pPr>
        <w:pStyle w:val="Heading4"/>
        <w:numPr>
          <w:ilvl w:val="3"/>
          <w:numId w:val="1"/>
        </w:numPr>
        <w:rPr/>
      </w:pPr>
      <w:bookmarkStart w:id="163" w:name="__RefHeading___Toc2136388_2314609296"/>
      <w:bookmarkStart w:id="164" w:name="_Toc56"/>
      <w:bookmarkEnd w:id="162"/>
      <w:bookmarkEnd w:id="163"/>
      <w:r>
        <w:rPr>
          <w:rtl w:val="true"/>
        </w:rPr>
        <w:t xml:space="preserve">مسألة </w:t>
      </w:r>
      <w:r>
        <w:rPr>
          <w:rtl w:val="true"/>
        </w:rPr>
        <w:t>[</w:t>
      </w:r>
      <w:r>
        <w:rPr/>
        <w:t>47</w:t>
      </w:r>
      <w:r>
        <w:rPr>
          <w:rtl w:val="true"/>
        </w:rPr>
        <w:t>]</w:t>
      </w:r>
      <w:bookmarkEnd w:id="164"/>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نذر أن يتصدّق بعين النصاب في وقت معيّن قبل الحول، فإن وفى بالنذر فلا اشكال، و إن عصى فإن قلنا بوجوب القضاء كان كذلك و ليس له إخراج الزكاة؛ لأنّه مأمور بالوفاء بالنذر، و إن قلنا بعدم القضاء و حال الحول فهل يجب الزكاة من أجل حلول الحول على ملكه، أو لا يجب من جهة انقطاع الحول بمجرّد تكليفه بالتصدّق، فإنّه غير متمكن شرعا من التصرّف؟</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نذر التصدّق بها بعد الحول، فإن منعنا في النذر الموقّت عن إتلاف المنذور قبل وقته، فلا يتعلّق به الزكاة للمنع عن التصرّف منه،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النذر إذا تعلّق بالتصدّق بعد الحول فإنّما وجب عليه التصدّق بما يبقى بعد إخراج الزكاة لأنّ من حكم حلول الحول وجوب الإخراج، فالنذر إنما ورد على التصدّق بما عدا ما يقتضيه حلول الحول، و هو ضعيف؛ لتعلّق الوجوب بهذا الفعل الموقّت بمجرد صيغة النذر لا بعد دخول </w:t>
      </w:r>
      <w:r>
        <w:rPr>
          <w:rStyle w:val="FootnoteAnchor"/>
          <w:rtl w:val="true"/>
        </w:rPr>
        <w:footnoteReference w:id="2467"/>
      </w:r>
      <w:r>
        <w:rPr>
          <w:rFonts w:ascii="Amiri" w:hAnsi="Amiri" w:eastAsia="Amiri" w:cs="Amiri"/>
          <w:color w:val="111111"/>
          <w:sz w:val="28"/>
          <w:sz w:val="28"/>
          <w:szCs w:val="28"/>
          <w:rtl w:val="true"/>
          <w:lang w:bidi="ar-SA"/>
        </w:rPr>
        <w:t>الوقت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الوفاء مؤخر</w:t>
      </w:r>
    </w:p>
    <w:p>
      <w:pPr>
        <w:pStyle w:val="BookText"/>
        <w:rPr/>
      </w:pPr>
      <w:r>
        <w:rPr>
          <w:rFonts w:ascii="Amiri" w:hAnsi="Amiri" w:eastAsia="Amiri" w:cs="Amiri"/>
          <w:color w:val="111111"/>
          <w:sz w:val="28"/>
          <w:sz w:val="28"/>
          <w:szCs w:val="28"/>
          <w:rtl w:val="true"/>
          <w:lang w:bidi="ar-SA"/>
        </w:rPr>
        <w:t xml:space="preserve">عن وجوب الزكاة، فإذا كان وجوب الوفاء بالنذر منجّزا بمجرّد النذر، و المفروض أنّ النذر إنّما تعلّق بالتصدّق بالمجموع، فمقتضاه وجوب الوفاء </w:t>
      </w:r>
      <w:r>
        <w:rPr>
          <w:rStyle w:val="FootnoteAnchor"/>
          <w:rtl w:val="true"/>
        </w:rPr>
        <w:footnoteReference w:id="2468"/>
      </w:r>
      <w:r>
        <w:rPr>
          <w:rFonts w:ascii="Amiri" w:hAnsi="Amiri" w:eastAsia="Amiri" w:cs="Amiri"/>
          <w:color w:val="111111"/>
          <w:sz w:val="28"/>
          <w:sz w:val="28"/>
          <w:szCs w:val="28"/>
          <w:rtl w:val="true"/>
          <w:lang w:bidi="ar-SA"/>
        </w:rPr>
        <w:t>، فوجوب الوفاء إنّما تعلّق في حال سليم عن المزاحم، فلا يتعلّق به وجوب الزكاة الذي لا يحدث إلّا بعد حلول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التصدّق بجميع النصاب بعد الحول مع قطع النظر عن النذر غير مشروع؛ لأنّه تصرّف في حقّ الفقراء، فلا يتعلّق به النذر، و مشروعيته بواسطة منع النذر عن الزكاة إنما هو بعد إحراز صحّة النذر </w:t>
      </w:r>
      <w:r>
        <w:rPr>
          <w:rStyle w:val="FootnoteAnchor"/>
          <w:rtl w:val="true"/>
        </w:rPr>
        <w:footnoteReference w:id="2469"/>
      </w:r>
      <w:r>
        <w:rPr>
          <w:rFonts w:ascii="Amiri" w:hAnsi="Amiri" w:eastAsia="Amiri" w:cs="Amiri"/>
          <w:color w:val="111111"/>
          <w:sz w:val="28"/>
          <w:sz w:val="28"/>
          <w:szCs w:val="28"/>
          <w:rtl w:val="true"/>
          <w:lang w:bidi="ar-SA"/>
        </w:rPr>
        <w:t xml:space="preserve">، و المفروض أن إحراز صحّة النذر موقوف على مشروعية أصل الفعل، و هو التصرّف في مجموع </w:t>
      </w:r>
      <w:r>
        <w:rPr>
          <w:rStyle w:val="FootnoteAnchor"/>
          <w:rtl w:val="true"/>
        </w:rPr>
        <w:footnoteReference w:id="2470"/>
      </w:r>
      <w:r>
        <w:rPr>
          <w:rFonts w:ascii="Amiri" w:hAnsi="Amiri" w:eastAsia="Amiri" w:cs="Amiri"/>
          <w:color w:val="111111"/>
          <w:sz w:val="28"/>
          <w:sz w:val="28"/>
          <w:szCs w:val="28"/>
          <w:rtl w:val="true"/>
          <w:lang w:bidi="ar-SA"/>
        </w:rPr>
        <w:t>النصاب بعد الحول، فلا يمكن إثبات مشروعيته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نفس التصدّق بجميع النصاب بعد الحول الغير المشروع التصدّق بمجموع النصاب الزكوي، أي ما يجب فيه الزكاة فعلا، و ثبوت هذه الصفة للنصاب بعد إثبات وجوب الزكاة فيه، و هو موقوف على عدم صحّة النذر، و قد أثبتنا صحّة النذر قبل ملاحظة وجوب الزكاة، فلا يجب الزكاة بعد صحّة النذر على الفرض السابق من تحقق الوجوب بمجرد الصيغة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ان ذات التصدّق بالمال </w:t>
      </w:r>
      <w:r>
        <w:rPr>
          <w:rStyle w:val="FootnoteAnchor"/>
          <w:rtl w:val="true"/>
        </w:rPr>
        <w:footnoteReference w:id="2471"/>
      </w:r>
      <w:r>
        <w:rPr>
          <w:rFonts w:ascii="Amiri" w:hAnsi="Amiri" w:eastAsia="Amiri" w:cs="Amiri"/>
          <w:color w:val="111111"/>
          <w:sz w:val="28"/>
          <w:sz w:val="28"/>
          <w:szCs w:val="28"/>
          <w:rtl w:val="true"/>
          <w:lang w:bidi="ar-SA"/>
        </w:rPr>
        <w:t>المعيّن بعد الحول من حيث هو مشروع إلّا إذا تعلّق به الزكاة فيجوز نذره فلا يجب فيه الزكاة، نعم لو كان وجوب الزكاة فيه لازما لذاته لم يتعلّق به النذر</w:t>
      </w:r>
      <w:r>
        <w:rPr>
          <w:rFonts w:eastAsia="Amiri" w:cs="Amiri" w:ascii="Amiri" w:hAnsi="Amiri"/>
          <w:color w:val="111111"/>
          <w:sz w:val="28"/>
          <w:szCs w:val="28"/>
          <w:rtl w:val="true"/>
          <w:lang w:bidi="ar-SA"/>
        </w:rPr>
        <w:t>.</w:t>
      </w:r>
      <w:bookmarkStart w:id="165" w:name="pg19722_766456"/>
    </w:p>
    <w:p>
      <w:pPr>
        <w:pStyle w:val="Heading4"/>
        <w:numPr>
          <w:ilvl w:val="3"/>
          <w:numId w:val="1"/>
        </w:numPr>
        <w:rPr/>
      </w:pPr>
      <w:bookmarkStart w:id="166" w:name="__RefHeading___Toc2136390_2314609296"/>
      <w:bookmarkStart w:id="167" w:name="_Toc57"/>
      <w:bookmarkEnd w:id="165"/>
      <w:bookmarkEnd w:id="166"/>
      <w:r>
        <w:rPr>
          <w:rtl w:val="true"/>
        </w:rPr>
        <w:t xml:space="preserve">مسألة </w:t>
      </w:r>
      <w:r>
        <w:rPr>
          <w:rtl w:val="true"/>
        </w:rPr>
        <w:t>[</w:t>
      </w:r>
      <w:r>
        <w:rPr/>
        <w:t>48</w:t>
      </w:r>
      <w:r>
        <w:rPr>
          <w:rtl w:val="true"/>
        </w:rPr>
        <w:t>]</w:t>
      </w:r>
      <w:bookmarkEnd w:id="167"/>
    </w:p>
    <w:p>
      <w:pPr>
        <w:pStyle w:val="BookText"/>
        <w:rPr/>
      </w:pPr>
      <w:r>
        <w:rPr>
          <w:rFonts w:ascii="Amiri" w:hAnsi="Amiri" w:eastAsia="Amiri" w:cs="Amiri"/>
          <w:color w:val="111111"/>
          <w:sz w:val="28"/>
          <w:sz w:val="28"/>
          <w:szCs w:val="28"/>
          <w:rtl w:val="true"/>
          <w:lang w:bidi="ar-SA"/>
        </w:rPr>
        <w:t>لو نذر الصدقة بعين، فإمّا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تكون هذه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فالظاهر حينئذ عدم خروج العين بذلك عن ملك الناذر؛ لعدم دلالة الكلام لغة و عرفا إلّا على إيجاب التصدّق على نفسه، فما لم يوجده فهو باق في عهدة الوفاء، و لازمة عدم حصول ماهية التصدّق بمجرّد الصيغة، فيسقط دعوى كون هذا الكلام في معنى إنشاء التصدّق للمستحقين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يفصّل </w:t>
      </w:r>
      <w:r>
        <w:rPr>
          <w:rStyle w:val="FootnoteAnchor"/>
          <w:rtl w:val="true"/>
        </w:rPr>
        <w:footnoteReference w:id="2473"/>
      </w:r>
      <w:r>
        <w:rPr>
          <w:rFonts w:ascii="Amiri" w:hAnsi="Amiri" w:eastAsia="Amiri" w:cs="Amiri"/>
          <w:color w:val="111111"/>
          <w:sz w:val="28"/>
          <w:sz w:val="28"/>
          <w:szCs w:val="28"/>
          <w:rtl w:val="true"/>
          <w:lang w:bidi="ar-SA"/>
        </w:rPr>
        <w:t>بأنّه إن قصد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أجعله صدقة، فلا يخرج عن ملكه إلّا بأن يجعله بعد النذر صدقة على الوجه المعهود في الشرع، و إن قصد نذر فعل التصدّق بأن يعطيه للمستحقين بهذه النيّة خرج عن ملكه بذلك، و وجب إيصاله إلى أربابه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الزكاة</w:t>
      </w:r>
      <w:r>
        <w:rPr>
          <w:rFonts w:eastAsia="Amiri" w:cs="Amiri" w:ascii="Amiri" w:hAnsi="Amiri"/>
          <w:color w:val="111111"/>
          <w:sz w:val="28"/>
          <w:szCs w:val="28"/>
          <w:rtl w:val="true"/>
          <w:lang w:bidi="ar-SA"/>
        </w:rPr>
        <w:t xml:space="preserve">» </w:t>
      </w:r>
      <w:r>
        <w:rPr>
          <w:rStyle w:val="FootnoteAnchor"/>
          <w:rtl w:val="true"/>
        </w:rPr>
        <w:footnoteReference w:id="247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استدل </w:t>
      </w:r>
      <w:r>
        <w:rPr>
          <w:rStyle w:val="FootnoteAnchor"/>
          <w:rtl w:val="true"/>
        </w:rPr>
        <w:footnoteReference w:id="2475"/>
      </w:r>
      <w:r>
        <w:rPr>
          <w:rFonts w:ascii="Amiri" w:hAnsi="Amiri" w:eastAsia="Amiri" w:cs="Amiri"/>
          <w:color w:val="111111"/>
          <w:sz w:val="28"/>
          <w:sz w:val="28"/>
          <w:szCs w:val="28"/>
          <w:rtl w:val="true"/>
          <w:lang w:bidi="ar-SA"/>
        </w:rPr>
        <w:t>بما رواه الكليني في آخر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نذر أن يتصدّق بجميع ماله </w:t>
      </w:r>
      <w:r>
        <w:rPr>
          <w:rStyle w:val="FootnoteAnchor"/>
          <w:rtl w:val="true"/>
        </w:rPr>
        <w:footnoteReference w:id="2476"/>
      </w:r>
      <w:r>
        <w:rPr>
          <w:rFonts w:ascii="Amiri" w:hAnsi="Amiri" w:eastAsia="Amiri" w:cs="Amiri"/>
          <w:color w:val="111111"/>
          <w:sz w:val="28"/>
          <w:sz w:val="28"/>
          <w:szCs w:val="28"/>
          <w:rtl w:val="true"/>
          <w:lang w:bidi="ar-SA"/>
        </w:rPr>
        <w:t>، و بما رواه علي بن جعفر، عن أخيه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الصدقة تجعل للّٰه مبتوتة </w:t>
      </w:r>
      <w:r>
        <w:rPr>
          <w:rStyle w:val="FootnoteAnchor"/>
          <w:rtl w:val="true"/>
        </w:rPr>
        <w:footnoteReference w:id="2477"/>
      </w:r>
      <w:r>
        <w:rPr>
          <w:rFonts w:ascii="Amiri" w:hAnsi="Amiri" w:eastAsia="Amiri" w:cs="Amiri"/>
          <w:color w:val="111111"/>
          <w:sz w:val="28"/>
          <w:sz w:val="28"/>
          <w:szCs w:val="28"/>
          <w:rtl w:val="true"/>
          <w:lang w:bidi="ar-SA"/>
        </w:rPr>
        <w:t>هل له أن يرجع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جعلها للّٰه فهي للمساكين و ابن السبيل، فليس له أن يرجع فيها</w:t>
      </w:r>
      <w:r>
        <w:rPr>
          <w:rFonts w:eastAsia="Amiri" w:cs="Amiri" w:ascii="Amiri" w:hAnsi="Amiri"/>
          <w:color w:val="111111"/>
          <w:sz w:val="28"/>
          <w:szCs w:val="28"/>
          <w:rtl w:val="true"/>
          <w:lang w:bidi="ar-SA"/>
        </w:rPr>
        <w:t xml:space="preserve">»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خبير بما في هذا التفصيل و أدلّته </w:t>
      </w:r>
      <w:r>
        <w:rPr>
          <w:rStyle w:val="FootnoteAnchor"/>
          <w:rtl w:val="true"/>
        </w:rPr>
        <w:footnoteReference w:id="2479"/>
      </w:r>
      <w:r>
        <w:rPr>
          <w:rFonts w:ascii="Amiri" w:hAnsi="Amiri" w:eastAsia="Amiri" w:cs="Amiri"/>
          <w:color w:val="111111"/>
          <w:sz w:val="28"/>
          <w:sz w:val="28"/>
          <w:szCs w:val="28"/>
          <w:rtl w:val="true"/>
          <w:lang w:bidi="ar-SA"/>
        </w:rPr>
        <w:t>لأنّ التصدّق إمّا أن يراد به العقدي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لك كذا قربة إلى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إمّا أن يراد به الفعلي، المتعارف إطلاق التصدّق عليه عند أهل العرف،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إقباض المال للتصدّق عليه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فقبل وقوع العقد أو الفعل لا يخرج عن ملك المالك بدونه، نعم هنا إعطاء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على الناذر بعد خروج المنذور عن ملكه بسبب سابق، و لا ريب أنّ هذا المعنى لا يصدق عليه التصدّق، بل و لا يعتبر فيه قصد القربة؛ لأنّ القربة إنما تعتبر في تمليك الصدقة لا في إخراجها إلى مستحقّها بعد استحقاقه لها و تملكه إياها؛ لأنه حينئذ كأداء الأمانة و ردّ الوديعة، و أمّا وجوب القربة في إقباض الزكاة، فلتحصيل التصدّق المأمور بها على وجه التعبّد دون التوصّل كأداء الدين، فالزكاة حينئذ يتعلق في العين </w:t>
      </w:r>
      <w:r>
        <w:rPr>
          <w:rStyle w:val="FootnoteAnchor"/>
          <w:rtl w:val="true"/>
        </w:rPr>
        <w:footnoteReference w:id="2480"/>
      </w:r>
      <w:r>
        <w:rPr>
          <w:rFonts w:ascii="Amiri" w:hAnsi="Amiri" w:eastAsia="Amiri" w:cs="Amiri"/>
          <w:color w:val="111111"/>
          <w:sz w:val="28"/>
          <w:sz w:val="28"/>
          <w:szCs w:val="28"/>
          <w:rtl w:val="true"/>
          <w:lang w:bidi="ar-SA"/>
        </w:rPr>
        <w:t>بجعل لا يبرأ ذمة المكلّف إلّا بأدائها من العين، أو من غيرها على وجه القربة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المالك الحقيقي بدفع العين إلى الغير يدلّ على</w:t>
      </w:r>
    </w:p>
    <w:p>
      <w:pPr>
        <w:pStyle w:val="BookText"/>
        <w:rPr/>
      </w:pPr>
      <w:r>
        <w:rPr>
          <w:rFonts w:ascii="Amiri" w:hAnsi="Amiri" w:eastAsia="Amiri" w:cs="Amiri"/>
          <w:color w:val="111111"/>
          <w:sz w:val="28"/>
          <w:sz w:val="28"/>
          <w:szCs w:val="28"/>
          <w:rtl w:val="true"/>
          <w:lang w:bidi="ar-SA"/>
        </w:rPr>
        <w:t xml:space="preserve">خروجه عن ملكية المأمور، و إنّ الشارع لم يقرّره على تملّك هذا المال، و لهذا وجب الزكاة في العين بعد أمر الشارع بدفع حصة منها إلى الفقراء، و إلّا فلم يرد حكم وضعي في تملّك الفقراء لحصة من العين، و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شرّك بين الأغنياء و الفقراء</w:t>
      </w:r>
      <w:r>
        <w:rPr>
          <w:rFonts w:eastAsia="Amiri" w:cs="Amiri" w:ascii="Amiri" w:hAnsi="Amiri"/>
          <w:color w:val="111111"/>
          <w:sz w:val="28"/>
          <w:szCs w:val="28"/>
          <w:rtl w:val="true"/>
          <w:lang w:bidi="ar-SA"/>
        </w:rPr>
        <w:t xml:space="preserve">» </w:t>
      </w:r>
      <w:r>
        <w:rPr>
          <w:rStyle w:val="FootnoteAnchor"/>
          <w:rtl w:val="true"/>
        </w:rPr>
        <w:footnoteReference w:id="24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جعل للفقراء في أموال الأغنياء ما يسعهم</w:t>
      </w:r>
      <w:r>
        <w:rPr>
          <w:rFonts w:eastAsia="Amiri" w:cs="Amiri" w:ascii="Amiri" w:hAnsi="Amiri"/>
          <w:color w:val="111111"/>
          <w:sz w:val="28"/>
          <w:szCs w:val="28"/>
          <w:rtl w:val="true"/>
          <w:lang w:bidi="ar-SA"/>
        </w:rPr>
        <w:t xml:space="preserve">» </w:t>
      </w:r>
      <w:r>
        <w:rPr>
          <w:rStyle w:val="FootnoteAnchor"/>
          <w:rtl w:val="true"/>
        </w:rPr>
        <w:footnoteReference w:id="2482"/>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ناظر الى تكليفه تعالى الأغنياء بدفع شي‌ء من أموالهم، لا أنّه تعالى ملّك الفقراء حصّة الزكاة بحكم وضعي، ثمّ كلّف الأغنياء بدفع حصّتهم إليهم، فالحكم بالتشريك و الجعل إنما أخذه الإمام عليه السلام من الحكم التكليفي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يتحقّق التملّك سابقا ثمّ يتفرّع عليه وجوب الأداء، كما في التكليف بأداء الدين و ردّ الوديعة، و قد يثبت أوّلا التكليف بالدفع و يتفرّع عليه استحقاق المدفوع إليه و ثبوت حقّه في العين كلّا أو بعضا، و الظاهر أنّ الزكاة من هذا القبيل، و أمّا الكفّارات فهي غير متعلّقة بالعين إلّا بعد موت 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الناذر بالتصدّق </w:t>
      </w:r>
      <w:r>
        <w:rPr>
          <w:rStyle w:val="FootnoteAnchor"/>
          <w:rtl w:val="true"/>
        </w:rPr>
        <w:footnoteReference w:id="2483"/>
      </w:r>
      <w:r>
        <w:rPr>
          <w:rFonts w:ascii="Amiri" w:hAnsi="Amiri" w:eastAsia="Amiri" w:cs="Amiri"/>
          <w:color w:val="111111"/>
          <w:sz w:val="28"/>
          <w:sz w:val="28"/>
          <w:szCs w:val="28"/>
          <w:rtl w:val="true"/>
          <w:lang w:bidi="ar-SA"/>
        </w:rPr>
        <w:t>المنذور، نقل المال عن ملكه إلى ملك المستحقّ، فالواجب عليه بعد النذر هو النقل، و لازم ذلك عدم خروج العين عن ملكه بمجرّد النذر، و إلّا لم يعقل وجوب النقل بعد النذر، و إن أراد بالتصدّق دفع المال إلى المستحقّ فهو مأمور بالدفع، فيجب عليه دفعه إلى المستحقّ، فيكون كالزكاة الواجب دفعها إلى المستحقين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الدفع إذا أمر به ابتداء من قبل الشارع، فهو ظاهر في كون الحكمة فيه استحقاق المدفوع إليه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أمر به من جهة التزام</w:t>
      </w:r>
    </w:p>
    <w:p>
      <w:pPr>
        <w:pStyle w:val="BookText"/>
        <w:rPr/>
      </w:pP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أنّ الناذر التزم بدفعه على </w:t>
      </w:r>
      <w:r>
        <w:rPr>
          <w:rStyle w:val="FootnoteAnchor"/>
          <w:rtl w:val="true"/>
        </w:rPr>
        <w:footnoteReference w:id="2484"/>
      </w:r>
      <w:r>
        <w:rPr>
          <w:rFonts w:ascii="Amiri" w:hAnsi="Amiri" w:eastAsia="Amiri" w:cs="Amiri"/>
          <w:color w:val="111111"/>
          <w:sz w:val="28"/>
          <w:sz w:val="28"/>
          <w:szCs w:val="28"/>
          <w:rtl w:val="true"/>
          <w:lang w:bidi="ar-SA"/>
        </w:rPr>
        <w:t>وجه إحداث الملكية له لفرض كونه في ملكه قبل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الدفع على هذا الوجه، و لازم وجوب الدفع على وجه التمليك كونه باقيا في ملكه بعد النذر حتّى يعقل وجوبه عليه، إذ لو خرج عن ملكه بالنذر لم يعقل وجوب الدفع على وجه </w:t>
      </w:r>
      <w:r>
        <w:rPr>
          <w:rStyle w:val="FootnoteAnchor"/>
          <w:rtl w:val="true"/>
        </w:rPr>
        <w:footnoteReference w:id="2485"/>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الرواية الاولى </w:t>
      </w:r>
      <w:r>
        <w:rPr>
          <w:rStyle w:val="FootnoteAnchor"/>
          <w:rtl w:val="true"/>
        </w:rPr>
        <w:footnoteReference w:id="2486"/>
      </w:r>
      <w:r>
        <w:rPr>
          <w:rFonts w:ascii="Amiri" w:hAnsi="Amiri" w:eastAsia="Amiri" w:cs="Amiri"/>
          <w:color w:val="111111"/>
          <w:sz w:val="28"/>
          <w:sz w:val="28"/>
          <w:szCs w:val="28"/>
          <w:rtl w:val="true"/>
          <w:lang w:bidi="ar-SA"/>
        </w:rPr>
        <w:t>من الروايتين فلا تدلّ إلّا على وجوب التصدّق، و لذا خرج الرجل عن داره و ما فيها ليبيعها و يتصدّق بثمنها، لا لخروجها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الثانية </w:t>
      </w:r>
      <w:r>
        <w:rPr>
          <w:rStyle w:val="FootnoteAnchor"/>
          <w:rtl w:val="true"/>
        </w:rPr>
        <w:footnoteReference w:id="2487"/>
      </w:r>
      <w:r>
        <w:rPr>
          <w:rFonts w:ascii="Amiri" w:hAnsi="Amiri" w:eastAsia="Amiri" w:cs="Amiri"/>
          <w:color w:val="111111"/>
          <w:sz w:val="28"/>
          <w:sz w:val="28"/>
          <w:szCs w:val="28"/>
          <w:rtl w:val="true"/>
          <w:lang w:bidi="ar-SA"/>
        </w:rPr>
        <w:t xml:space="preserve">ففي شمولها </w:t>
      </w:r>
      <w:r>
        <w:rPr>
          <w:rStyle w:val="FootnoteAnchor"/>
          <w:rtl w:val="true"/>
        </w:rPr>
        <w:footnoteReference w:id="2488"/>
      </w:r>
      <w:r>
        <w:rPr>
          <w:rFonts w:ascii="Amiri" w:hAnsi="Amiri" w:eastAsia="Amiri" w:cs="Amiri"/>
          <w:color w:val="111111"/>
          <w:sz w:val="28"/>
          <w:sz w:val="28"/>
          <w:szCs w:val="28"/>
          <w:rtl w:val="true"/>
          <w:lang w:bidi="ar-SA"/>
        </w:rPr>
        <w:t>لما نحن فيه إشكال؛ لعدم تحقّق صدقة حتى يحكم بكونها للمساكين، بل هي ظاهرة في الصدقة بالمعنى الأعمّ الشامل للوقف؛ لأنّ مفهوم الرجوع إنّما يتحقّق بعد التمليك، و لا ينافيه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العين لا ينتقل في الوقف؛ لأنّ المراد اختصاصهم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نذر التصدّق، و في معناه نذر الإهداء إلى بيت اللّٰه، و أمّا نذر التمليك و الوقف و الهبة و الإبراء و نحوها، فلا ريب في عدم كونها مخرجا للملك بمجرّده، بل لا بد من وقوع هذه الأسباب؛ لأنّ هذه المسببات الواجبة يتوقف شرعا على إيجاد أسبابها، و تظهر الثمرة في النماء، و في ضمانه لو تلف بتفريط، فإنّه يجب الكفارة لترك الدفع و الضمان لمال الغير، و لو قلنا بعدم الخروج فلا ضمان، بل الكفّارة خاصّة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عدم الخروج؛ فالظاهر أنّه لا يجوز للناذر التصرفات المنافية لصرفه إلى المستحقّ، كنقله إلى غيره، بل الظاهر بطلان تلك التصرّفات؛ فلو</w:t>
      </w:r>
    </w:p>
    <w:p>
      <w:pPr>
        <w:pStyle w:val="BookText"/>
        <w:rPr/>
      </w:pPr>
      <w:r>
        <w:rPr>
          <w:rFonts w:ascii="IRNazanin" w:hAnsi="IRNazanin" w:eastAsia="IRNazanin"/>
          <w:color w:val="111111"/>
          <w:sz w:val="28"/>
          <w:sz w:val="28"/>
          <w:szCs w:val="28"/>
          <w:rtl w:val="true"/>
          <w:lang w:bidi="fa-IR"/>
        </w:rPr>
        <w:t xml:space="preserve">باعه </w:t>
      </w:r>
      <w:r>
        <w:rPr>
          <w:rStyle w:val="FootnoteAnchor"/>
          <w:rtl w:val="true"/>
        </w:rPr>
        <w:footnoteReference w:id="2489"/>
      </w:r>
      <w:r>
        <w:rPr>
          <w:rFonts w:ascii="IRNazanin" w:hAnsi="IRNazanin" w:eastAsia="IRNazanin"/>
          <w:color w:val="111111"/>
          <w:sz w:val="28"/>
          <w:sz w:val="28"/>
          <w:szCs w:val="28"/>
          <w:rtl w:val="true"/>
          <w:lang w:bidi="fa-IR"/>
        </w:rPr>
        <w:t xml:space="preserve">بطل </w:t>
      </w:r>
      <w:r>
        <w:rPr>
          <w:rStyle w:val="FootnoteAnchor"/>
          <w:rtl w:val="true"/>
        </w:rPr>
        <w:footnoteReference w:id="2490"/>
      </w:r>
      <w:r>
        <w:rPr>
          <w:rFonts w:ascii="Amiri" w:hAnsi="Amiri" w:eastAsia="Amiri" w:cs="Amiri"/>
          <w:color w:val="111111"/>
          <w:sz w:val="28"/>
          <w:sz w:val="28"/>
          <w:szCs w:val="28"/>
          <w:rtl w:val="true"/>
          <w:lang w:bidi="ar-SA"/>
        </w:rPr>
        <w:t xml:space="preserve">البيع، لا لأنّ النهي يدلّ على فساد المعاملة؛ و لذا لو حلف على ترك البيع فباع، يحكم بالصحة و الحنث كما صرّح به الشهيد الثاني في الروضة </w:t>
      </w:r>
      <w:r>
        <w:rPr>
          <w:rStyle w:val="FootnoteAnchor"/>
          <w:rtl w:val="true"/>
        </w:rPr>
        <w:footnoteReference w:id="2491"/>
      </w:r>
      <w:r>
        <w:rPr>
          <w:rFonts w:ascii="Amiri" w:hAnsi="Amiri" w:eastAsia="Amiri" w:cs="Amiri"/>
          <w:color w:val="111111"/>
          <w:sz w:val="28"/>
          <w:sz w:val="28"/>
          <w:szCs w:val="28"/>
          <w:rtl w:val="true"/>
          <w:lang w:bidi="ar-SA"/>
        </w:rPr>
        <w:t>فيما نحن فيه، بل لأنّ وجوب الوفاء بالنذر على الإطلاق ينافي صحّة البيع، بل لا بد إمّا من فساد البيع، أو تقييد إطلاق الأمر بالوفاء، و المفروض عدم ثبوت التقييد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باع الناذر،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وجوب الوفاء عليه انّه يجب عليه بعد البيع أيضا صرف المال إلى النذر، و لازم بقاء الوجوب عليه حينئذ فساد البيع، إذ لو صحّ لم يجب الوفاء حينئذ، و هذا خلاف الإطلاق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واجب ما دام الملك باقيا، فإذا فرض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عدم ثبوت حظر و منع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موضوع النذر، فيتحقق الحنث و يتعلّق الكفّارة، و لو كان نسيانا صحّ و لا كفّارة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واجب ما دام ممكنا عقلا و شرعا، و المفروض أن الوفاء بعد البيع ممكن عقلا و كذا شرعا إذ لا مانع منه شرعا إلّا انتقال </w:t>
      </w:r>
      <w:r>
        <w:rPr>
          <w:rStyle w:val="FootnoteAnchor"/>
          <w:rtl w:val="true"/>
        </w:rPr>
        <w:footnoteReference w:id="2492"/>
      </w:r>
      <w:r>
        <w:rPr>
          <w:rFonts w:ascii="Amiri" w:hAnsi="Amiri" w:eastAsia="Amiri" w:cs="Amiri"/>
          <w:color w:val="111111"/>
          <w:sz w:val="28"/>
          <w:sz w:val="28"/>
          <w:szCs w:val="28"/>
          <w:rtl w:val="true"/>
          <w:lang w:bidi="ar-SA"/>
        </w:rPr>
        <w:t xml:space="preserve">المال إلى الغير، و هو فرع صحّة البيع، و هي أوّل الدعوى، فإنّ صحّة بلوغه </w:t>
      </w:r>
      <w:r>
        <w:rPr>
          <w:rStyle w:val="FootnoteAnchor"/>
          <w:rtl w:val="true"/>
        </w:rPr>
        <w:footnoteReference w:id="2493"/>
      </w:r>
      <w:r>
        <w:rPr>
          <w:rFonts w:ascii="Amiri" w:hAnsi="Amiri" w:eastAsia="Amiri" w:cs="Amiri"/>
          <w:color w:val="111111"/>
          <w:sz w:val="28"/>
          <w:sz w:val="28"/>
          <w:szCs w:val="28"/>
          <w:rtl w:val="true"/>
          <w:lang w:bidi="ar-SA"/>
        </w:rPr>
        <w:t xml:space="preserve">حيث ينافي إطلاق وجوب الوفاء، بل مقتضى هذا الإطلاق فساده، و أدلة صحّة بيع المالك،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2494"/>
      </w:r>
      <w:r>
        <w:rPr>
          <w:rFonts w:ascii="Amiri" w:hAnsi="Amiri" w:eastAsia="Amiri" w:cs="Amiri"/>
          <w:color w:val="111111"/>
          <w:sz w:val="28"/>
          <w:sz w:val="28"/>
          <w:szCs w:val="28"/>
          <w:rtl w:val="true"/>
          <w:lang w:bidi="ar-SA"/>
        </w:rPr>
        <w:t>لا تجري بعد النذر، لورود أدلّة الوفاء بالنذر على الأحكام الأوّلية الثابتة للموضوعات قبل النذر، و لذا حرم التصرف المذكور</w:t>
      </w:r>
    </w:p>
    <w:p>
      <w:pPr>
        <w:pStyle w:val="BookText"/>
        <w:rPr/>
      </w:pPr>
      <w:r>
        <w:rPr>
          <w:rFonts w:ascii="Amiri" w:hAnsi="Amiri" w:eastAsia="Amiri" w:cs="Amiri"/>
          <w:color w:val="111111"/>
          <w:sz w:val="28"/>
          <w:sz w:val="28"/>
          <w:szCs w:val="28"/>
          <w:rtl w:val="true"/>
          <w:lang w:bidi="ar-SA"/>
        </w:rPr>
        <w:t>اتفاقا مع وجود أدلّة حلّ البيع، و تسلّط الناس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أدلّة وجوب الوفاء تدلّ على وجوب الوفاء ما لم يتلف العين المنذورة، و إن شئت أوضح من ذلك، فقس حال إثبات بقاء الملك و عدم تأثير العقود الناقلة فيما نحن فيه بأدلة الوفاء بالنذر على إثبات لزوم العقود و بقاء ملك المشتري و عدم تأثير العقود الناقلة بأدلّة الوفاء بالعقود، فكما أنّ وجوب الوفاء بما أنشأه البائع و حرمة نقضه على الإطلاق يدلّ على بطلان ما يوقعه من النواقل بعد نقضه للبيع الأول، من جهة شمول الإطلاق لما بعد إيقاع النواقل، و إلّا فحرمة النقض و وجوب الوفاء غاية </w:t>
      </w:r>
      <w:r>
        <w:rPr>
          <w:rStyle w:val="FootnoteAnchor"/>
          <w:rtl w:val="true"/>
        </w:rPr>
        <w:footnoteReference w:id="2495"/>
      </w:r>
      <w:r>
        <w:rPr>
          <w:rFonts w:ascii="Amiri" w:hAnsi="Amiri" w:eastAsia="Amiri" w:cs="Amiri"/>
          <w:color w:val="111111"/>
          <w:sz w:val="28"/>
          <w:sz w:val="28"/>
          <w:szCs w:val="28"/>
          <w:rtl w:val="true"/>
          <w:lang w:bidi="ar-SA"/>
        </w:rPr>
        <w:t>ثبوت الإثم، و استحقاق العقاب، فكذلك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ظهر الفرق بين نذر التصدّق الذي ينافيه البيع، و بين نذر ترك البيع، فإنّ الثاني لا يوجب بطلان البيع قطعا، لتعلق النهي بأمر خارج كما في البيع وقت النداء، و أما الفساد فليس للنهي، بل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يؤيّد ذلك بما اتّفق عليه ظاهرا من عدم ورود الملك القهري عليه، أعني الإرث بعد موت المالك مع كون الوارث غير مكلّف بالوفاء بالنذر، فعدم طرو الملك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يشتريه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بعدم الجواز،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يستأنس له بما دلّ على أنّ المسلمين عند شروطهم </w:t>
      </w:r>
      <w:r>
        <w:rPr>
          <w:rStyle w:val="FootnoteAnchor"/>
          <w:rtl w:val="true"/>
        </w:rPr>
        <w:footnoteReference w:id="2496"/>
      </w:r>
      <w:r>
        <w:rPr>
          <w:rFonts w:ascii="Amiri" w:hAnsi="Amiri" w:eastAsia="Amiri" w:cs="Amiri"/>
          <w:color w:val="111111"/>
          <w:sz w:val="28"/>
          <w:sz w:val="28"/>
          <w:szCs w:val="28"/>
          <w:rtl w:val="true"/>
          <w:lang w:bidi="ar-SA"/>
        </w:rPr>
        <w:t>، بناء على أنّ النذر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المشروط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عرفا؛ لأنّه إمّا مطلق الالتزام، أو الالتزام المعلّق، و قد تحقّق في محلّه أنّ شرط ما ينافيه النقل مبطل للنقل، فتأمّل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يكون هذا المال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هذا النذر إشكال من حيث إنّ نذر الغايات بنفسها لا يحسن</w:t>
      </w:r>
    </w:p>
    <w:p>
      <w:pPr>
        <w:pStyle w:val="BookText"/>
        <w:rPr/>
      </w:pPr>
      <w:r>
        <w:rPr>
          <w:rFonts w:ascii="IRNazanin" w:hAnsi="IRNazanin" w:eastAsia="IRNazanin"/>
          <w:color w:val="111111"/>
          <w:sz w:val="28"/>
          <w:sz w:val="28"/>
          <w:szCs w:val="28"/>
          <w:rtl w:val="true"/>
          <w:lang w:bidi="fa-IR"/>
        </w:rPr>
        <w:t xml:space="preserve">إلّا إذا أرجعت </w:t>
      </w:r>
      <w:r>
        <w:rPr>
          <w:rStyle w:val="FootnoteAnchor"/>
          <w:rtl w:val="true"/>
        </w:rPr>
        <w:footnoteReference w:id="2497"/>
      </w:r>
      <w:r>
        <w:rPr>
          <w:rFonts w:ascii="Amiri" w:hAnsi="Amiri" w:eastAsia="Amiri" w:cs="Amiri"/>
          <w:color w:val="111111"/>
          <w:sz w:val="28"/>
          <w:sz w:val="28"/>
          <w:szCs w:val="28"/>
          <w:rtl w:val="true"/>
          <w:lang w:bidi="ar-SA"/>
        </w:rPr>
        <w:t xml:space="preserve">إلى إيجاد أسبابها، فالحكم بالخروج عن الملك بمجرّد النذر كما صرّحوا به </w:t>
      </w:r>
      <w:r>
        <w:rPr>
          <w:rStyle w:val="FootnoteAnchor"/>
          <w:rtl w:val="true"/>
        </w:rPr>
        <w:footnoteReference w:id="2498"/>
      </w:r>
      <w:r>
        <w:rPr>
          <w:rFonts w:ascii="Amiri" w:hAnsi="Amiri" w:eastAsia="Amiri" w:cs="Amiri"/>
          <w:color w:val="111111"/>
          <w:sz w:val="28"/>
          <w:sz w:val="28"/>
          <w:szCs w:val="28"/>
          <w:rtl w:val="true"/>
          <w:lang w:bidi="ar-SA"/>
        </w:rPr>
        <w:t xml:space="preserve">في نذر الصدقة و الأضحية و الهدي، و ادّعى بعضهم الاتّفاق في الأخيرين، و نسبه صاحب المدارك </w:t>
      </w:r>
      <w:r>
        <w:rPr>
          <w:rStyle w:val="FootnoteAnchor"/>
          <w:rtl w:val="true"/>
        </w:rPr>
        <w:footnoteReference w:id="2499"/>
      </w:r>
      <w:r>
        <w:rPr>
          <w:rFonts w:ascii="Amiri" w:hAnsi="Amiri" w:eastAsia="Amiri" w:cs="Amiri"/>
          <w:color w:val="111111"/>
          <w:sz w:val="28"/>
          <w:sz w:val="28"/>
          <w:szCs w:val="28"/>
          <w:rtl w:val="true"/>
          <w:lang w:bidi="ar-SA"/>
        </w:rPr>
        <w:t>الى قطع الأصحاب في الأوّلين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أشكل منه ما صرّح به ثاني الشهيدين </w:t>
      </w:r>
      <w:r>
        <w:rPr>
          <w:rStyle w:val="FootnoteAnchor"/>
          <w:rtl w:val="true"/>
        </w:rPr>
        <w:footnoteReference w:id="2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دخوله في ملك زيد قهرا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عليّ أن يكون هذا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في توجيه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الوفاء بالنذر في ذلك ترتيب آثار ما نذره، فإذا وجب عليه ذلك لزمه الخروج عن ملكه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النذر لا يتعلّق إلّا بفعل مقدور، فلا بد أن يراد من الغاية سببها، فلا يخرج عن الملك قبل إيجاد السبب، أو يبطل النذر لو أراد حصول نفس الغاية بنفسها من دون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بمنع انحصار تعلّق </w:t>
      </w:r>
      <w:r>
        <w:rPr>
          <w:rStyle w:val="FootnoteAnchor"/>
          <w:rtl w:val="true"/>
        </w:rPr>
        <w:footnoteReference w:id="2501"/>
      </w:r>
      <w:r>
        <w:rPr>
          <w:rFonts w:ascii="IRNazanin" w:hAnsi="IRNazanin" w:eastAsia="IRNazanin"/>
          <w:color w:val="111111"/>
          <w:sz w:val="28"/>
          <w:sz w:val="28"/>
          <w:szCs w:val="28"/>
          <w:rtl w:val="true"/>
          <w:lang w:bidi="fa-IR"/>
        </w:rPr>
        <w:t xml:space="preserve">النذر بالأفعال </w:t>
      </w:r>
      <w:r>
        <w:rPr>
          <w:rStyle w:val="FootnoteAnchor"/>
          <w:rtl w:val="true"/>
        </w:rPr>
        <w:footnoteReference w:id="2502"/>
      </w:r>
      <w:r>
        <w:rPr>
          <w:rFonts w:ascii="Amiri" w:hAnsi="Amiri" w:eastAsia="Amiri" w:cs="Amiri"/>
          <w:color w:val="111111"/>
          <w:sz w:val="28"/>
          <w:sz w:val="28"/>
          <w:szCs w:val="28"/>
          <w:rtl w:val="true"/>
          <w:lang w:bidi="ar-SA"/>
        </w:rPr>
        <w:t>الاختيارية، نعم الحنث لا يكون إلّا في الاختياريّات المنذورة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يمنع أنّ كلّ نذر قابل للحنث، فإذا تعلّق النذر بالملكية فوجوب الوفاء به يرجع إلى وجوب ترتيب آثار الملكيّة، نعم فيما يعتبر فيه قبول خاصّ كزيد و عمرو فالظاهر احتياج التملّك إلى قبوله كما ذكره في القواعد </w:t>
      </w:r>
      <w:r>
        <w:rPr>
          <w:rStyle w:val="FootnoteAnchor"/>
          <w:rtl w:val="true"/>
        </w:rPr>
        <w:footnoteReference w:id="2503"/>
      </w:r>
      <w:r>
        <w:rPr>
          <w:rFonts w:ascii="Amiri" w:hAnsi="Amiri" w:eastAsia="Amiri" w:cs="Amiri"/>
          <w:color w:val="111111"/>
          <w:sz w:val="28"/>
          <w:sz w:val="28"/>
          <w:szCs w:val="28"/>
          <w:rtl w:val="true"/>
          <w:lang w:bidi="ar-SA"/>
        </w:rPr>
        <w:t xml:space="preserve">و حكي عن ولده </w:t>
      </w:r>
      <w:r>
        <w:rPr>
          <w:rStyle w:val="FootnoteAnchor"/>
          <w:rtl w:val="true"/>
        </w:rPr>
        <w:footnoteReference w:id="2504"/>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bookmarkStart w:id="168" w:name="pg19722_766463"/>
    </w:p>
    <w:p>
      <w:pPr>
        <w:pStyle w:val="Heading3"/>
        <w:numPr>
          <w:ilvl w:val="2"/>
          <w:numId w:val="1"/>
        </w:numPr>
        <w:rPr/>
      </w:pPr>
      <w:bookmarkStart w:id="169" w:name="__RefHeading___Toc2136392_2314609296"/>
      <w:bookmarkStart w:id="170" w:name="_Toc58"/>
      <w:bookmarkEnd w:id="168"/>
      <w:bookmarkEnd w:id="169"/>
      <w:r>
        <w:rPr>
          <w:rtl w:val="true"/>
        </w:rPr>
        <w:t>المقصد الثّاني في زكاة الفطرة</w:t>
      </w:r>
      <w:bookmarkEnd w:id="17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 w:name="__RefHeading___Toc2136394_2314609296"/>
      <w:bookmarkStart w:id="172" w:name="_Toc59"/>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الفطرة و يطلق عليها الفطرة، و الإضافة للملابسة، و يحتمل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الفطرة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الخلقة، و هي الهيئة الحاصلة للمخلوق من خلقه كالجلسة و الخمرة و القبلة </w:t>
      </w:r>
      <w:r>
        <w:rPr>
          <w:rStyle w:val="FootnoteAnchor"/>
          <w:rtl w:val="true"/>
        </w:rPr>
        <w:footnoteReference w:id="2506"/>
      </w:r>
      <w:r>
        <w:rPr>
          <w:rFonts w:ascii="Amiri" w:hAnsi="Amiri" w:eastAsia="Amiri" w:cs="Amiri"/>
          <w:color w:val="111111"/>
          <w:sz w:val="28"/>
          <w:sz w:val="28"/>
          <w:szCs w:val="28"/>
          <w:rtl w:val="true"/>
          <w:lang w:bidi="ar-SA"/>
        </w:rPr>
        <w:t xml:space="preserve">، و بهذا الاعتبار يقال لها زكاة الأبدان، و انّ بتركها </w:t>
      </w:r>
      <w:r>
        <w:rPr>
          <w:rStyle w:val="FootnoteAnchor"/>
          <w:rtl w:val="true"/>
        </w:rPr>
        <w:footnoteReference w:id="2507"/>
      </w:r>
      <w:r>
        <w:rPr>
          <w:rFonts w:ascii="Amiri" w:hAnsi="Amiri" w:eastAsia="Amiri" w:cs="Amiri"/>
          <w:color w:val="111111"/>
          <w:sz w:val="28"/>
          <w:sz w:val="28"/>
          <w:szCs w:val="28"/>
          <w:rtl w:val="true"/>
          <w:lang w:bidi="ar-SA"/>
        </w:rPr>
        <w:t>يخاف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واحد من الأخبار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إمّا الإسلام؛ و استعمال الفطرة في الإسلام لكونه الحال التي عليها المخلوق، و المناسبة حينئذ كونها من أركانه و من شعائره، لا اختصاصه بالمسلم عند الهلال كما يستفاد من ظاهر الروضة </w:t>
      </w:r>
      <w:r>
        <w:rPr>
          <w:rStyle w:val="FootnoteAnchor"/>
          <w:rtl w:val="true"/>
        </w:rPr>
        <w:footnoteReference w:id="2509"/>
      </w:r>
      <w:r>
        <w:rPr>
          <w:rFonts w:ascii="Amiri" w:hAnsi="Amiri" w:eastAsia="Amiri" w:cs="Amiri"/>
          <w:color w:val="111111"/>
          <w:sz w:val="28"/>
          <w:sz w:val="28"/>
          <w:szCs w:val="28"/>
          <w:rtl w:val="true"/>
          <w:lang w:bidi="ar-SA"/>
        </w:rPr>
        <w:t>للإجماع على اشتراك الكفّارة في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أسلم بعد الهلال يسقط عنه، كغيرها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من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المناسبة ما ورد في غير واحد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بها يقبل الصوم، كما أنّ بالصلاة على النبي و آله صلوات اللّٰه عليهم تقبل</w:t>
      </w:r>
    </w:p>
    <w:p>
      <w:pPr>
        <w:pStyle w:val="BookText"/>
        <w:rPr/>
      </w:pPr>
      <w:r>
        <w:rPr>
          <w:rFonts w:ascii="Amiri" w:hAnsi="Amiri" w:eastAsia="Amiri" w:cs="Amiri"/>
          <w:color w:val="111111"/>
          <w:sz w:val="28"/>
          <w:sz w:val="28"/>
          <w:szCs w:val="28"/>
          <w:rtl w:val="true"/>
          <w:lang w:bidi="ar-SA"/>
        </w:rPr>
        <w:t xml:space="preserve">الصلاة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فوجوبها كاد يعدّ من الضروريات، بل هو منها، و قد دلّ عليه الثلاثة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يشترط في وجوب أدائها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فلا تجب على الصغير لأجل </w:t>
      </w:r>
      <w:r>
        <w:rPr>
          <w:rStyle w:val="FootnoteAnchor"/>
          <w:rtl w:val="true"/>
        </w:rPr>
        <w:footnoteReference w:id="2512"/>
      </w:r>
      <w:r>
        <w:rPr>
          <w:rFonts w:ascii="IRNazanin" w:hAnsi="IRNazanin" w:eastAsia="IRNazanin"/>
          <w:color w:val="111111"/>
          <w:sz w:val="28"/>
          <w:sz w:val="28"/>
          <w:szCs w:val="28"/>
          <w:rtl w:val="true"/>
          <w:lang w:bidi="fa-IR"/>
        </w:rPr>
        <w:t xml:space="preserve">نفسه فضلا عن </w:t>
      </w:r>
      <w:r>
        <w:rPr>
          <w:rStyle w:val="FootnoteAnchor"/>
          <w:rtl w:val="true"/>
        </w:rPr>
        <w:footnoteReference w:id="2513"/>
      </w:r>
      <w:r>
        <w:rPr>
          <w:rFonts w:ascii="Amiri" w:hAnsi="Amiri" w:eastAsia="Amiri" w:cs="Amiri"/>
          <w:color w:val="111111"/>
          <w:sz w:val="28"/>
          <w:sz w:val="28"/>
          <w:szCs w:val="28"/>
          <w:rtl w:val="true"/>
          <w:lang w:bidi="ar-SA"/>
        </w:rPr>
        <w:t xml:space="preserve">عياله، بلا خلاف، و عن غير واحد الإجماع عليه </w:t>
      </w:r>
      <w:r>
        <w:rPr>
          <w:rStyle w:val="FootnoteAnchor"/>
          <w:rtl w:val="true"/>
        </w:rPr>
        <w:footnoteReference w:id="2514"/>
      </w:r>
      <w:r>
        <w:rPr>
          <w:rFonts w:ascii="Amiri" w:hAnsi="Amiri" w:eastAsia="Amiri" w:cs="Amiri"/>
          <w:color w:val="111111"/>
          <w:sz w:val="28"/>
          <w:sz w:val="28"/>
          <w:szCs w:val="28"/>
          <w:rtl w:val="true"/>
          <w:lang w:bidi="ar-SA"/>
        </w:rPr>
        <w:t>، و بذلك ينجبر المرفوع المحكي عن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الفطرة على كل من تجب عليه الزكاة</w:t>
      </w:r>
      <w:r>
        <w:rPr>
          <w:rFonts w:eastAsia="Amiri" w:cs="Amiri" w:ascii="Amiri" w:hAnsi="Amiri"/>
          <w:color w:val="111111"/>
          <w:sz w:val="28"/>
          <w:szCs w:val="28"/>
          <w:rtl w:val="true"/>
          <w:lang w:bidi="ar-SA"/>
        </w:rPr>
        <w:t xml:space="preserve">» </w:t>
      </w:r>
      <w:r>
        <w:rPr>
          <w:rStyle w:val="FootnoteAnchor"/>
          <w:rtl w:val="true"/>
        </w:rPr>
        <w:footnoteReference w:id="2515"/>
      </w:r>
      <w:r>
        <w:rPr>
          <w:rFonts w:ascii="Amiri" w:hAnsi="Amiri" w:eastAsia="Amiri" w:cs="Amiri"/>
          <w:color w:val="111111"/>
          <w:sz w:val="28"/>
          <w:sz w:val="28"/>
          <w:szCs w:val="28"/>
          <w:rtl w:val="true"/>
          <w:lang w:bidi="ar-SA"/>
        </w:rPr>
        <w:t xml:space="preserve">، و قد بينا سابقا عدم وجوب زكاة المال عليه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 التمسك هنا بمفهوم الوصف، لا يقدح؛ لأنّ المقام مقام بيان الضابط فلا بد من الاطّراد و الانعكاس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رواية محمد بن القاسم بن الفضيل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أسأله عن الوصي يزكّي زكاة الفطرة عن اليتامى إذا كان لهم مال؟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المملوك يموت مولاه و هو عنه غائب في بلد آخر و في يده مال لمولاه و يحضر الفطرة أ يزكّي عن نفسه من مال مولاه و قد صار لليتامى؟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 xml:space="preserve">و ظاهر ذيلها عدم سقوط الفطرة عن مملوك الصغير، و حمله في الوسائل على ما إذا مات المولى بعد الهلال </w:t>
      </w:r>
      <w:r>
        <w:rPr>
          <w:rStyle w:val="FootnoteAnchor"/>
          <w:rtl w:val="true"/>
        </w:rPr>
        <w:footnoteReference w:id="2518"/>
      </w:r>
      <w:r>
        <w:rPr>
          <w:rFonts w:ascii="Amiri" w:hAnsi="Amiri" w:eastAsia="Amiri" w:cs="Amiri"/>
          <w:color w:val="111111"/>
          <w:sz w:val="28"/>
          <w:sz w:val="28"/>
          <w:szCs w:val="28"/>
          <w:rtl w:val="true"/>
          <w:lang w:bidi="ar-SA"/>
        </w:rPr>
        <w:t>، و هو مع بعده لا بأس به بالنسبة إلى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فلا تجب على المجنون بلا خلاف ظاهر، بل بالإجماع كما عن غير واحد </w:t>
      </w:r>
      <w:r>
        <w:rPr>
          <w:rStyle w:val="FootnoteAnchor"/>
          <w:rtl w:val="true"/>
        </w:rPr>
        <w:footnoteReference w:id="2519"/>
      </w:r>
      <w:r>
        <w:rPr>
          <w:rFonts w:ascii="Amiri" w:hAnsi="Amiri" w:eastAsia="Amiri" w:cs="Amiri"/>
          <w:color w:val="111111"/>
          <w:sz w:val="28"/>
          <w:sz w:val="28"/>
          <w:szCs w:val="28"/>
          <w:rtl w:val="true"/>
          <w:lang w:bidi="ar-SA"/>
        </w:rPr>
        <w:t xml:space="preserve">، و للمرفوعة المتقدمة </w:t>
      </w:r>
      <w:r>
        <w:rPr>
          <w:rStyle w:val="FootnoteAnchor"/>
          <w:rtl w:val="true"/>
        </w:rPr>
        <w:footnoteReference w:id="2520"/>
      </w:r>
      <w:r>
        <w:rPr>
          <w:rFonts w:ascii="Amiri" w:hAnsi="Amiri" w:eastAsia="Amiri" w:cs="Amiri"/>
          <w:color w:val="111111"/>
          <w:sz w:val="28"/>
          <w:sz w:val="28"/>
          <w:szCs w:val="28"/>
          <w:rtl w:val="true"/>
          <w:lang w:bidi="ar-SA"/>
        </w:rPr>
        <w:t>بالتقريب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صرّح المعظم </w:t>
      </w:r>
      <w:r>
        <w:rPr>
          <w:rStyle w:val="FootnoteAnchor"/>
          <w:rtl w:val="true"/>
        </w:rPr>
        <w:footnoteReference w:id="2521"/>
      </w:r>
      <w:r>
        <w:rPr>
          <w:rFonts w:ascii="Amiri" w:hAnsi="Amiri" w:eastAsia="Amiri" w:cs="Amiri"/>
          <w:color w:val="111111"/>
          <w:sz w:val="28"/>
          <w:sz w:val="28"/>
          <w:szCs w:val="28"/>
          <w:rtl w:val="true"/>
          <w:lang w:bidi="ar-SA"/>
        </w:rPr>
        <w:t>بأنّ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المغمى عليه، و استشكله في المدارك بعدم الدليل و عدم الفرق بينه و بين النوم إلا إذا استوعب وقت الوجوب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المشهور في مواضع كقضاء الصلاة و الصوم و زكاة المال،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المغمى عليه ليس أهلا للتكليف، بمعنى عدم تعلّق الحكم التكليفي به </w:t>
      </w:r>
      <w:r>
        <w:rPr>
          <w:rStyle w:val="FootnoteAnchor"/>
          <w:rtl w:val="true"/>
        </w:rPr>
        <w:footnoteReference w:id="2523"/>
      </w:r>
      <w:r>
        <w:rPr>
          <w:rFonts w:ascii="Amiri" w:hAnsi="Amiri" w:eastAsia="Amiri" w:cs="Amiri"/>
          <w:color w:val="111111"/>
          <w:sz w:val="28"/>
          <w:sz w:val="28"/>
          <w:szCs w:val="28"/>
          <w:rtl w:val="true"/>
          <w:lang w:bidi="ar-SA"/>
        </w:rPr>
        <w:t>و لو بالقوّة كما يتعلّق بالنائم و الناسي، فالمغمى عليه مقطوع النظر في نظر الشارع في مقام الأحكام التكليفية بخلاف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يكتفون بذكر قيد العقل أو التكليف في الاحتراز عنه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عدم ظهور الخلاف بينهم في بطلان الوكالة إذا عرض الإغماء للموكّل أو الوكيل، و ربما يومئ إلى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كثيرة، في مقام تعليل نفي القضاء على المغمى عليه في الصوم و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غلب اللّٰه عليه فاللّه أولى بالعذر</w:t>
      </w:r>
      <w:r>
        <w:rPr>
          <w:rFonts w:eastAsia="Amiri" w:cs="Amiri" w:ascii="Amiri" w:hAnsi="Amiri"/>
          <w:color w:val="111111"/>
          <w:sz w:val="28"/>
          <w:szCs w:val="28"/>
          <w:rtl w:val="true"/>
          <w:lang w:bidi="ar-SA"/>
        </w:rPr>
        <w:t xml:space="preserve">» </w:t>
      </w:r>
      <w:r>
        <w:rPr>
          <w:rStyle w:val="FootnoteAnchor"/>
          <w:rtl w:val="true"/>
        </w:rPr>
        <w:footnoteReference w:id="2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الإغماء ليس في وقت القضاء حتّى يكون عذرا فيه، فالمراد العذر في الأداء، و من البيّن أنّ المعذورية في الأداء لا يوجب نفي القضاء كما في</w:t>
      </w:r>
    </w:p>
    <w:p>
      <w:pPr>
        <w:pStyle w:val="BookText"/>
        <w:rPr/>
      </w:pPr>
      <w:r>
        <w:rPr>
          <w:rFonts w:ascii="Amiri" w:hAnsi="Amiri" w:eastAsia="Amiri" w:cs="Amiri"/>
          <w:color w:val="111111"/>
          <w:sz w:val="28"/>
          <w:sz w:val="28"/>
          <w:szCs w:val="28"/>
          <w:rtl w:val="true"/>
          <w:lang w:bidi="ar-SA"/>
        </w:rPr>
        <w:t>النائم و الناسي، فالمراد من المعذورية هو عدم تعلّق الحكم الواقعي الشأني،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بالمغمى عليه، فيلزمه عدم القضاء؛ لأنه حقيقة تدارك ما فات، و لا فوت مع عدم المطلوبية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المشهور من كون المغمى عليه بمنزلة الصبيّ و المجنون، قد قطع الشارع النظر عنه في مقام إنشاء التكاليف </w:t>
      </w:r>
      <w:r>
        <w:rPr>
          <w:rStyle w:val="FootnoteAnchor"/>
          <w:rtl w:val="true"/>
        </w:rPr>
        <w:footnoteReference w:id="2525"/>
      </w:r>
      <w:r>
        <w:rPr>
          <w:rFonts w:ascii="Amiri" w:hAnsi="Amiri" w:eastAsia="Amiri" w:cs="Amiri"/>
          <w:color w:val="111111"/>
          <w:sz w:val="28"/>
          <w:sz w:val="28"/>
          <w:szCs w:val="28"/>
          <w:rtl w:val="true"/>
          <w:lang w:bidi="ar-SA"/>
        </w:rPr>
        <w:t>،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الفرق أنّ عدم التكليف في المغمى عليه كالصبي و المجنون لعدم المقتضي، و في النائم و الناسي </w:t>
      </w:r>
      <w:r>
        <w:rPr>
          <w:rStyle w:val="FootnoteAnchor"/>
          <w:rtl w:val="true"/>
        </w:rPr>
        <w:footnoteReference w:id="2526"/>
      </w:r>
      <w:r>
        <w:rPr>
          <w:rFonts w:ascii="Amiri" w:hAnsi="Amiri" w:eastAsia="Amiri" w:cs="Amiri"/>
          <w:color w:val="111111"/>
          <w:sz w:val="28"/>
          <w:sz w:val="28"/>
          <w:szCs w:val="28"/>
          <w:rtl w:val="true"/>
          <w:lang w:bidi="ar-SA"/>
        </w:rPr>
        <w:t xml:space="preserve">للمانع، فتأمّل فإنّ إتمام ما ذكر لا يخلو عن إشكال، و لذا استوجه في المدارك عدم مانعية الإغماء إلّا إذا استوعب وقت الوجوب </w:t>
      </w:r>
      <w:r>
        <w:rPr>
          <w:rStyle w:val="FootnoteAnchor"/>
          <w:rtl w:val="true"/>
        </w:rPr>
        <w:footnoteReference w:id="2527"/>
      </w:r>
      <w:r>
        <w:rPr>
          <w:rFonts w:ascii="Amiri" w:hAnsi="Amiri" w:eastAsia="Amiri" w:cs="Amiri"/>
          <w:color w:val="111111"/>
          <w:sz w:val="28"/>
          <w:sz w:val="28"/>
          <w:szCs w:val="28"/>
          <w:rtl w:val="true"/>
          <w:lang w:bidi="ar-SA"/>
        </w:rPr>
        <w:t>نظرا الى عدم الدليل على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بعض المعاصرين بأن الدليل هو الأصل بعد ظهور الأدلة في اعتبار اجتماع الشرائط عند الهلال </w:t>
      </w:r>
      <w:r>
        <w:rPr>
          <w:rStyle w:val="FootnoteAnchor"/>
          <w:rtl w:val="true"/>
        </w:rPr>
        <w:footnoteReference w:id="2528"/>
      </w:r>
      <w:r>
        <w:rPr>
          <w:rFonts w:ascii="Amiri" w:hAnsi="Amiri" w:eastAsia="Amiri" w:cs="Amiri"/>
          <w:color w:val="111111"/>
          <w:sz w:val="28"/>
          <w:sz w:val="28"/>
          <w:szCs w:val="28"/>
          <w:rtl w:val="true"/>
          <w:lang w:bidi="ar-SA"/>
        </w:rPr>
        <w:t>، إذ فيه انّه إن أريد بالشرائط شرائط تنجز التكليف فهو مما لم يقل به أحد، و إلّا لمنع النوم و النسيان و الغفلة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أريد 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 xml:space="preserve">] </w:t>
      </w:r>
      <w:r>
        <w:rPr>
          <w:rStyle w:val="FootnoteAnchor"/>
          <w:rtl w:val="true"/>
        </w:rPr>
        <w:footnoteReference w:id="2529"/>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Style w:val="FootnoteAnchor"/>
          <w:rtl w:val="true"/>
        </w:rPr>
        <w:footnoteReference w:id="2530"/>
      </w:r>
      <w:r>
        <w:rPr>
          <w:rFonts w:ascii="Amiri" w:hAnsi="Amiri" w:eastAsia="Amiri" w:cs="Amiri"/>
          <w:color w:val="111111"/>
          <w:sz w:val="28"/>
          <w:sz w:val="28"/>
          <w:szCs w:val="28"/>
          <w:rtl w:val="true"/>
          <w:lang w:bidi="ar-SA"/>
        </w:rPr>
        <w:t>شوال للوجوب،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عدم الإغماء منها عين محلّ الكلام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استثناء صاحب المدارك </w:t>
      </w:r>
      <w:r>
        <w:rPr>
          <w:rStyle w:val="FootnoteAnchor"/>
          <w:rtl w:val="true"/>
        </w:rPr>
        <w:footnoteReference w:id="2531"/>
      </w:r>
      <w:r>
        <w:rPr>
          <w:rFonts w:ascii="Amiri" w:hAnsi="Amiri" w:eastAsia="Amiri" w:cs="Amiri"/>
          <w:color w:val="111111"/>
          <w:sz w:val="28"/>
          <w:sz w:val="28"/>
          <w:szCs w:val="28"/>
          <w:rtl w:val="true"/>
          <w:lang w:bidi="ar-SA"/>
        </w:rPr>
        <w:t xml:space="preserve">لصورة الاستيعاب ليس لتسليم ما أنكره </w:t>
      </w:r>
      <w:r>
        <w:rPr>
          <w:rStyle w:val="FootnoteAnchor"/>
          <w:rtl w:val="true"/>
        </w:rPr>
        <w:footnoteReference w:id="2532"/>
      </w:r>
      <w:r>
        <w:rPr>
          <w:rFonts w:ascii="Amiri" w:hAnsi="Amiri" w:eastAsia="Amiri" w:cs="Amiri"/>
          <w:color w:val="111111"/>
          <w:sz w:val="28"/>
          <w:sz w:val="28"/>
          <w:szCs w:val="28"/>
          <w:rtl w:val="true"/>
          <w:lang w:bidi="ar-SA"/>
        </w:rPr>
        <w:t>في غيرها من كون عدم الإغماء شرطا لسببية السبب حتّى يرد بما دلّ على اعتبار الشرائط عند الهلال، بل لأنّ اجتماع جميع شروط تنجّز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القدرة</w:t>
      </w:r>
    </w:p>
    <w:p>
      <w:pPr>
        <w:pStyle w:val="BookText"/>
        <w:rPr/>
      </w:pPr>
      <w:r>
        <w:rPr>
          <w:rFonts w:ascii="Amiri" w:hAnsi="Amiri" w:eastAsia="Amiri" w:cs="Amiri"/>
          <w:color w:val="111111"/>
          <w:sz w:val="28"/>
          <w:sz w:val="28"/>
          <w:szCs w:val="28"/>
          <w:rtl w:val="true"/>
          <w:lang w:bidi="ar-SA"/>
        </w:rPr>
        <w:t>و الالتفات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 الاعتبار في جزء من وقت الوجوب، فالإغماء المستوعب كالنوم المستوعب </w:t>
      </w:r>
      <w:r>
        <w:rPr>
          <w:rStyle w:val="FootnoteAnchor"/>
          <w:rtl w:val="true"/>
        </w:rPr>
        <w:footnoteReference w:id="2533"/>
      </w:r>
      <w:r>
        <w:rPr>
          <w:rFonts w:ascii="Amiri" w:hAnsi="Amiri" w:eastAsia="Amiri" w:cs="Amiri"/>
          <w:color w:val="111111"/>
          <w:sz w:val="28"/>
          <w:sz w:val="28"/>
          <w:szCs w:val="28"/>
          <w:rtl w:val="true"/>
          <w:lang w:bidi="ar-SA"/>
        </w:rPr>
        <w:t>مانع عن توجّه الخطاب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فلا تجب على المملوك بلا خلاف، و نسبه في المعتبر </w:t>
      </w:r>
      <w:r>
        <w:rPr>
          <w:rStyle w:val="FootnoteAnchor"/>
          <w:rtl w:val="true"/>
        </w:rPr>
        <w:footnoteReference w:id="2534"/>
      </w:r>
      <w:r>
        <w:rPr>
          <w:rFonts w:ascii="Amiri" w:hAnsi="Amiri" w:eastAsia="Amiri" w:cs="Amiri"/>
          <w:color w:val="111111"/>
          <w:sz w:val="28"/>
          <w:sz w:val="28"/>
          <w:szCs w:val="28"/>
          <w:rtl w:val="true"/>
          <w:lang w:bidi="ar-SA"/>
        </w:rPr>
        <w:t>إلى علمائنا، و عن غير واحد الإجماع عليه</w:t>
      </w:r>
      <w:r>
        <w:rPr>
          <w:rFonts w:eastAsia="Amiri" w:cs="Amiri" w:ascii="Amiri" w:hAnsi="Amiri"/>
          <w:color w:val="111111"/>
          <w:sz w:val="28"/>
          <w:szCs w:val="28"/>
          <w:rtl w:val="true"/>
          <w:lang w:bidi="ar-SA"/>
        </w:rPr>
        <w:t xml:space="preserve">. </w:t>
      </w:r>
      <w:r>
        <w:rPr>
          <w:rStyle w:val="FootnoteAnchor"/>
          <w:rtl w:val="true"/>
        </w:rPr>
        <w:footnoteReference w:id="2535"/>
      </w:r>
      <w:r>
        <w:rPr>
          <w:rFonts w:ascii="Amiri" w:hAnsi="Amiri" w:eastAsia="Amiri" w:cs="Amiri"/>
          <w:color w:val="111111"/>
          <w:sz w:val="28"/>
          <w:sz w:val="28"/>
          <w:szCs w:val="28"/>
          <w:rtl w:val="true"/>
          <w:lang w:bidi="ar-SA"/>
        </w:rPr>
        <w:t xml:space="preserve">و يدلّ عليه المرفوعة المتقدّمة </w:t>
      </w:r>
      <w:r>
        <w:rPr>
          <w:rStyle w:val="FootnoteAnchor"/>
          <w:rtl w:val="true"/>
        </w:rPr>
        <w:footnoteReference w:id="2536"/>
      </w:r>
      <w:r>
        <w:rPr>
          <w:rFonts w:ascii="Amiri" w:hAnsi="Amiri" w:eastAsia="Amiri" w:cs="Amiri"/>
          <w:color w:val="111111"/>
          <w:sz w:val="28"/>
          <w:sz w:val="28"/>
          <w:szCs w:val="28"/>
          <w:rtl w:val="true"/>
          <w:lang w:bidi="ar-SA"/>
        </w:rPr>
        <w:t xml:space="preserve">بالتقريب المتقدّم، مضافا إلى انه إن قلنا بعدم ملكه فلا إشكال في الحكم و في </w:t>
      </w:r>
      <w:r>
        <w:rPr>
          <w:rStyle w:val="FootnoteAnchor"/>
          <w:rtl w:val="true"/>
        </w:rPr>
        <w:footnoteReference w:id="2537"/>
      </w:r>
      <w:r>
        <w:rPr>
          <w:rFonts w:ascii="Amiri" w:hAnsi="Amiri" w:eastAsia="Amiri" w:cs="Amiri"/>
          <w:color w:val="111111"/>
          <w:sz w:val="28"/>
          <w:sz w:val="28"/>
          <w:szCs w:val="28"/>
          <w:rtl w:val="true"/>
          <w:lang w:bidi="ar-SA"/>
        </w:rPr>
        <w:t xml:space="preserve">كونه فقيرا لا يقدر على شي‌ء، بل زكاته على مولاه إذا لم يعله غيره؛ لأن مئونته عليه و إن كان من كسبه؛ فإن قلنا بملكه فهو محجور حتى المكاتب، حيث ورد أنّه لا يصلح أن يحدث في ماله إلّا الأكلة من الطعام </w:t>
      </w:r>
      <w:r>
        <w:rPr>
          <w:rStyle w:val="FootnoteAnchor"/>
          <w:rtl w:val="true"/>
        </w:rPr>
        <w:footnoteReference w:id="2538"/>
      </w:r>
      <w:r>
        <w:rPr>
          <w:rFonts w:ascii="IRNazanin" w:hAnsi="IRNazanin" w:eastAsia="IRNazanin"/>
          <w:color w:val="111111"/>
          <w:sz w:val="28"/>
          <w:sz w:val="28"/>
          <w:szCs w:val="28"/>
          <w:rtl w:val="true"/>
          <w:lang w:bidi="fa-IR"/>
        </w:rPr>
        <w:t xml:space="preserve">مضافا إلى </w:t>
      </w:r>
      <w:r>
        <w:rPr>
          <w:rStyle w:val="FootnoteAnchor"/>
          <w:rtl w:val="true"/>
        </w:rPr>
        <w:footnoteReference w:id="2539"/>
      </w:r>
      <w:r>
        <w:rPr>
          <w:rFonts w:ascii="Amiri" w:hAnsi="Amiri" w:eastAsia="Amiri" w:cs="Amiri"/>
          <w:color w:val="111111"/>
          <w:sz w:val="28"/>
          <w:sz w:val="28"/>
          <w:szCs w:val="28"/>
          <w:rtl w:val="true"/>
          <w:lang w:bidi="ar-SA"/>
        </w:rPr>
        <w:t xml:space="preserve">غيره، إلّا </w:t>
      </w:r>
      <w:r>
        <w:rPr>
          <w:rStyle w:val="FootnoteAnchor"/>
          <w:rtl w:val="true"/>
        </w:rPr>
        <w:footnoteReference w:id="2540"/>
      </w:r>
      <w:r>
        <w:rPr>
          <w:rFonts w:ascii="Amiri" w:hAnsi="Amiri" w:eastAsia="Amiri" w:cs="Amiri"/>
          <w:color w:val="111111"/>
          <w:sz w:val="28"/>
          <w:sz w:val="28"/>
          <w:szCs w:val="28"/>
          <w:rtl w:val="true"/>
          <w:lang w:bidi="ar-SA"/>
        </w:rPr>
        <w:t>أنّ إذن المولى له في الإنفاق على نفسه من ماله على القول بملكه إنفاق له في الحقيقة، فيدخل في من ينفق عليه و من يمان، بل و في العيال، فتجب نفقته على المولى، فيسقط عنه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جميع ما ذكرنا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المكاتب و غيره، خلافا في المكاتب للمحكي عن الصدوق فأوجبها عليه </w:t>
      </w:r>
      <w:r>
        <w:rPr>
          <w:rStyle w:val="FootnoteAnchor"/>
          <w:rtl w:val="true"/>
        </w:rPr>
        <w:footnoteReference w:id="2541"/>
      </w:r>
      <w:r>
        <w:rPr>
          <w:rFonts w:ascii="Amiri" w:hAnsi="Amiri" w:eastAsia="Amiri" w:cs="Amiri"/>
          <w:color w:val="111111"/>
          <w:sz w:val="28"/>
          <w:sz w:val="28"/>
          <w:szCs w:val="28"/>
          <w:rtl w:val="true"/>
          <w:lang w:bidi="ar-SA"/>
        </w:rPr>
        <w:t>لأنّه مالك، و لا دليل على الحجر عليه في الواجبات القهرية؛ لأنّ أدلّة حجره معارضة بأدلّة وجوب الفطرة، و لخصوص صحيحة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المكاتب هل</w:t>
      </w:r>
    </w:p>
    <w:p>
      <w:pPr>
        <w:pStyle w:val="BookText"/>
        <w:rPr/>
      </w:pPr>
      <w:r>
        <w:rPr>
          <w:rFonts w:ascii="Amiri" w:hAnsi="Amiri" w:eastAsia="Amiri" w:cs="Amiri"/>
          <w:color w:val="111111"/>
          <w:sz w:val="28"/>
          <w:sz w:val="28"/>
          <w:szCs w:val="28"/>
          <w:rtl w:val="true"/>
          <w:lang w:bidi="ar-SA"/>
        </w:rPr>
        <w:t>عليه فطرة شهر رمضان أو على من كاتبه، و هل 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عليه و لا تجوز شهادته</w:t>
      </w:r>
      <w:r>
        <w:rPr>
          <w:rFonts w:eastAsia="Amiri" w:cs="Amiri" w:ascii="Amiri" w:hAnsi="Amiri"/>
          <w:color w:val="111111"/>
          <w:sz w:val="28"/>
          <w:szCs w:val="28"/>
          <w:rtl w:val="true"/>
          <w:lang w:bidi="ar-SA"/>
        </w:rPr>
        <w:t xml:space="preserve">» </w:t>
      </w:r>
      <w:r>
        <w:rPr>
          <w:rStyle w:val="FootnoteAnchor"/>
          <w:rtl w:val="true"/>
        </w:rPr>
        <w:footnoteReference w:id="2542"/>
      </w:r>
      <w:r>
        <w:rPr>
          <w:rFonts w:ascii="Amiri" w:hAnsi="Amiri" w:eastAsia="Amiri" w:cs="Amiri"/>
          <w:color w:val="111111"/>
          <w:sz w:val="28"/>
          <w:sz w:val="28"/>
          <w:szCs w:val="28"/>
          <w:rtl w:val="true"/>
          <w:lang w:bidi="ar-SA"/>
        </w:rPr>
        <w:t xml:space="preserve">، و ذكر الصدوق </w:t>
      </w:r>
      <w:r>
        <w:rPr>
          <w:rStyle w:val="FootnoteAnchor"/>
          <w:rtl w:val="true"/>
        </w:rPr>
        <w:footnoteReference w:id="2543"/>
      </w:r>
      <w:r>
        <w:rPr>
          <w:rFonts w:ascii="Amiri" w:hAnsi="Amiri" w:eastAsia="Amiri" w:cs="Amiri"/>
          <w:color w:val="111111"/>
          <w:sz w:val="28"/>
          <w:sz w:val="28"/>
          <w:szCs w:val="28"/>
          <w:rtl w:val="true"/>
          <w:lang w:bidi="ar-SA"/>
        </w:rPr>
        <w:t>أنّ الرواية محمولة على الإنكار ردّا على العامّة، يريد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تجب عليه الفطرة و لا تجوز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شهادته جائزة و الفطرة عليه واجبة، و استجوده في المدارك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يستدلّ للمشهور بما دلّ على وجوب زكاة المملوك على المولى </w:t>
      </w:r>
      <w:r>
        <w:rPr>
          <w:rStyle w:val="FootnoteAnchor"/>
          <w:rtl w:val="true"/>
        </w:rPr>
        <w:footnoteReference w:id="2545"/>
      </w:r>
      <w:r>
        <w:rPr>
          <w:rFonts w:ascii="Amiri" w:hAnsi="Amiri" w:eastAsia="Amiri" w:cs="Amiri"/>
          <w:color w:val="111111"/>
          <w:sz w:val="28"/>
          <w:sz w:val="28"/>
          <w:szCs w:val="28"/>
          <w:rtl w:val="true"/>
          <w:lang w:bidi="ar-SA"/>
        </w:rPr>
        <w:t>، و بخصوص رواية حمّاد بن عيسى،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الرجل زكاة الفطرة عن مكاتبه و رقيق امرأته و عبده النصراني و المجوسي و ما أغلق عليه بابه</w:t>
      </w:r>
      <w:r>
        <w:rPr>
          <w:rFonts w:eastAsia="Amiri" w:cs="Amiri" w:ascii="Amiri" w:hAnsi="Amiri"/>
          <w:color w:val="111111"/>
          <w:sz w:val="28"/>
          <w:szCs w:val="28"/>
          <w:rtl w:val="true"/>
          <w:lang w:bidi="ar-SA"/>
        </w:rPr>
        <w:t xml:space="preserve">» </w:t>
      </w:r>
      <w:r>
        <w:rPr>
          <w:rStyle w:val="FootnoteAnchor"/>
          <w:rtl w:val="true"/>
        </w:rPr>
        <w:footnoteReference w:id="2546"/>
      </w:r>
      <w:r>
        <w:rPr>
          <w:rFonts w:ascii="Amiri" w:hAnsi="Amiri" w:eastAsia="Amiri" w:cs="Amiri"/>
          <w:color w:val="111111"/>
          <w:sz w:val="28"/>
          <w:sz w:val="28"/>
          <w:szCs w:val="28"/>
          <w:rtl w:val="true"/>
          <w:lang w:bidi="ar-SA"/>
        </w:rPr>
        <w:t xml:space="preserve">و نحوها مرفوعة محمّد بن أحمد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 ظاهر في المملوك الذي يعوله المولى، فإن ثبت أنّ المكاتب من عياله من جهة أنّ </w:t>
      </w:r>
      <w:r>
        <w:rPr>
          <w:rStyle w:val="FootnoteAnchor"/>
          <w:rtl w:val="true"/>
        </w:rPr>
        <w:footnoteReference w:id="2548"/>
      </w:r>
      <w:r>
        <w:rPr>
          <w:rFonts w:ascii="Amiri" w:hAnsi="Amiri" w:eastAsia="Amiri" w:cs="Amiri"/>
          <w:color w:val="111111"/>
          <w:sz w:val="28"/>
          <w:sz w:val="28"/>
          <w:szCs w:val="28"/>
          <w:rtl w:val="true"/>
          <w:lang w:bidi="ar-SA"/>
        </w:rPr>
        <w:t xml:space="preserve">ما في يده ملك للمولى، فلا كلام في وجوب فطرته عليه، و إلّا فهذه الأخبار لا تنفع في المطلوب </w:t>
      </w:r>
      <w:r>
        <w:rPr>
          <w:rStyle w:val="FootnoteAnchor"/>
          <w:rtl w:val="true"/>
        </w:rPr>
        <w:footnoteReference w:id="2549"/>
      </w:r>
      <w:r>
        <w:rPr>
          <w:rFonts w:ascii="IRNazanin" w:hAnsi="IRNazanin" w:eastAsia="IRNazanin"/>
          <w:color w:val="111111"/>
          <w:sz w:val="28"/>
          <w:sz w:val="28"/>
          <w:szCs w:val="28"/>
          <w:rtl w:val="true"/>
          <w:lang w:bidi="fa-IR"/>
        </w:rPr>
        <w:t>بمقتضى الإنصاف</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المكاتب المشروط أو المطلق الذي لم يتحرّر منه شي‌ء، و أمّا المبعّض، فالمحكيّ عن الأكثر </w:t>
      </w:r>
      <w:r>
        <w:rPr>
          <w:rStyle w:val="FootnoteAnchor"/>
          <w:rtl w:val="true"/>
        </w:rPr>
        <w:footnoteReference w:id="2550"/>
      </w:r>
      <w:r>
        <w:rPr>
          <w:rFonts w:ascii="Amiri" w:hAnsi="Amiri" w:eastAsia="Amiri" w:cs="Amiri"/>
          <w:color w:val="111111"/>
          <w:sz w:val="28"/>
          <w:sz w:val="28"/>
          <w:szCs w:val="28"/>
          <w:rtl w:val="true"/>
          <w:lang w:bidi="ar-SA"/>
        </w:rPr>
        <w:t>وجوب فطرته على نفسه و على المولى بنسبة الحصة إن لم يعله المولى أو غيره، و إلّا فعلى المعيل، و لعلّه لأنّ الاشتراك في العيلة</w:t>
      </w:r>
    </w:p>
    <w:p>
      <w:pPr>
        <w:pStyle w:val="BookText"/>
        <w:rPr/>
      </w:pPr>
      <w:r>
        <w:rPr>
          <w:rFonts w:ascii="Amiri" w:hAnsi="Amiri" w:eastAsia="Amiri" w:cs="Amiri"/>
          <w:color w:val="111111"/>
          <w:sz w:val="28"/>
          <w:sz w:val="28"/>
          <w:szCs w:val="28"/>
          <w:rtl w:val="true"/>
          <w:lang w:bidi="ar-SA"/>
        </w:rPr>
        <w:t>أو الاشتراك في الملك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لأنّ الاشتراك في العيلة لو سلّم اقتضاؤه التشريك فإنما يقتضيه إذا كان ذلك من الأجنبيين </w:t>
      </w:r>
      <w:r>
        <w:rPr>
          <w:rStyle w:val="FootnoteAnchor"/>
          <w:rtl w:val="true"/>
        </w:rPr>
        <w:footnoteReference w:id="2551"/>
      </w:r>
      <w:r>
        <w:rPr>
          <w:rFonts w:ascii="Amiri" w:hAnsi="Amiri" w:eastAsia="Amiri" w:cs="Amiri"/>
          <w:color w:val="111111"/>
          <w:sz w:val="28"/>
          <w:sz w:val="28"/>
          <w:szCs w:val="28"/>
          <w:rtl w:val="true"/>
          <w:lang w:bidi="ar-SA"/>
        </w:rPr>
        <w:t xml:space="preserve">و أما إذا اشترك أجنبي </w:t>
      </w:r>
      <w:r>
        <w:rPr>
          <w:rStyle w:val="FootnoteAnchor"/>
          <w:rtl w:val="true"/>
        </w:rPr>
        <w:footnoteReference w:id="2552"/>
      </w:r>
      <w:r>
        <w:rPr>
          <w:rFonts w:ascii="Amiri" w:hAnsi="Amiri" w:eastAsia="Amiri" w:cs="Amiri"/>
          <w:color w:val="111111"/>
          <w:sz w:val="28"/>
          <w:sz w:val="28"/>
          <w:szCs w:val="28"/>
          <w:rtl w:val="true"/>
          <w:lang w:bidi="ar-SA"/>
        </w:rPr>
        <w:t>مع نفسه فلا نسلم الاشتراك، بل مقتضى العمومات السليمة عن معارضة أدلّة العيلة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المختصة </w:t>
      </w:r>
      <w:r>
        <w:rPr>
          <w:rStyle w:val="FootnoteAnchor"/>
          <w:rtl w:val="true"/>
        </w:rPr>
        <w:footnoteReference w:id="2553"/>
      </w:r>
      <w:r>
        <w:rPr>
          <w:rFonts w:ascii="Amiri" w:hAnsi="Amiri" w:eastAsia="Amiri" w:cs="Amiri"/>
          <w:color w:val="111111"/>
          <w:sz w:val="28"/>
          <w:sz w:val="28"/>
          <w:szCs w:val="28"/>
          <w:rtl w:val="true"/>
          <w:lang w:bidi="ar-SA"/>
        </w:rPr>
        <w:t>بصورة استقلال المعيل الأجنبي بالإنفاق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على نفسه، و كذا الكلام في الاشتراك في الملكية فإنّ المسلم منه ما لو تعدّد المالك لا ما لو تبعّض في الرقيّة، 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على نفسه لو استجمع سائر الشرائط، و إلّا فالسقوط عنه و عن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فللعمومات السليمة عن المخصّص، و للمرفوعة المتقدّمة بالتقريب المتقدّم، حيث انّ المبعّض لو ملك النصاب بجزئه الحر وجب عليه الزكاة، فيجب عليه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بما سيجي‌ء من رواية الصدوق في الفقيه، عن العيّاشي النافية للزكاة في العبد المشترك بين شريكين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لكلّ إنسان منهم أقل من رأس فلا شي‌ء عليهم</w:t>
      </w:r>
      <w:r>
        <w:rPr>
          <w:rFonts w:eastAsia="Amiri" w:cs="Amiri" w:ascii="Amiri" w:hAnsi="Amiri"/>
          <w:color w:val="111111"/>
          <w:sz w:val="28"/>
          <w:szCs w:val="28"/>
          <w:rtl w:val="true"/>
          <w:lang w:bidi="ar-SA"/>
        </w:rPr>
        <w:t xml:space="preserve">»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و هو أن يملك قوت السنة لنفسه و عياله الواجبي النفقة؛ لأنّ غير المالك لذلك تحلّ له الزكاة كما تقدّم، و قد دلّت الأخبار المستفيضة على نفي الفطرة عمن يأخذ الصدقة </w:t>
      </w:r>
      <w:r>
        <w:rPr>
          <w:rStyle w:val="FootnoteAnchor"/>
          <w:rtl w:val="true"/>
        </w:rPr>
        <w:footnoteReference w:id="2555"/>
      </w:r>
      <w:r>
        <w:rPr>
          <w:rFonts w:ascii="Amiri" w:hAnsi="Amiri" w:eastAsia="Amiri" w:cs="Amiri"/>
          <w:color w:val="111111"/>
          <w:sz w:val="28"/>
          <w:sz w:val="28"/>
          <w:szCs w:val="28"/>
          <w:rtl w:val="true"/>
          <w:lang w:bidi="ar-SA"/>
        </w:rPr>
        <w:t xml:space="preserve">،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حلّت له لم تحلّ عليه و من حلّت عليه لم تحلّ له</w:t>
      </w:r>
      <w:r>
        <w:rPr>
          <w:rFonts w:eastAsia="Amiri" w:cs="Amiri" w:ascii="Amiri" w:hAnsi="Amiri"/>
          <w:color w:val="111111"/>
          <w:sz w:val="28"/>
          <w:szCs w:val="28"/>
          <w:rtl w:val="true"/>
          <w:lang w:bidi="ar-SA"/>
        </w:rPr>
        <w:t xml:space="preserve">» </w:t>
      </w:r>
      <w:r>
        <w:rPr>
          <w:rStyle w:val="FootnoteAnchor"/>
          <w:rtl w:val="true"/>
        </w:rPr>
        <w:footnoteReference w:id="2556"/>
      </w:r>
      <w:r>
        <w:rPr>
          <w:rFonts w:ascii="Amiri" w:hAnsi="Amiri" w:eastAsia="Amiri" w:cs="Amiri"/>
          <w:color w:val="111111"/>
          <w:sz w:val="28"/>
          <w:sz w:val="28"/>
          <w:szCs w:val="28"/>
          <w:rtl w:val="true"/>
          <w:lang w:bidi="ar-SA"/>
        </w:rPr>
        <w:t xml:space="preserve">، و اقتصر الإسكافي </w:t>
      </w:r>
      <w:r>
        <w:rPr>
          <w:rStyle w:val="FootnoteAnchor"/>
          <w:rtl w:val="true"/>
        </w:rPr>
        <w:footnoteReference w:id="2557"/>
      </w:r>
      <w:r>
        <w:rPr>
          <w:rFonts w:ascii="Amiri" w:hAnsi="Amiri" w:eastAsia="Amiri" w:cs="Amiri"/>
          <w:color w:val="111111"/>
          <w:sz w:val="28"/>
          <w:sz w:val="28"/>
          <w:szCs w:val="28"/>
          <w:rtl w:val="true"/>
          <w:lang w:bidi="ar-SA"/>
        </w:rPr>
        <w:t>على ملك قوت يوم و ليلة و زيادة الفطرة</w:t>
      </w:r>
    </w:p>
    <w:p>
      <w:pPr>
        <w:pStyle w:val="BookText"/>
        <w:rPr/>
      </w:pPr>
      <w:r>
        <w:rPr>
          <w:rFonts w:ascii="Amiri" w:hAnsi="Amiri" w:eastAsia="Amiri" w:cs="Amiri"/>
          <w:color w:val="111111"/>
          <w:sz w:val="28"/>
          <w:sz w:val="28"/>
          <w:szCs w:val="28"/>
          <w:rtl w:val="true"/>
          <w:lang w:bidi="ar-SA"/>
        </w:rPr>
        <w:t xml:space="preserve">لأخبار كثيرة </w:t>
      </w:r>
      <w:r>
        <w:rPr>
          <w:rStyle w:val="FootnoteAnchor"/>
          <w:rtl w:val="true"/>
        </w:rPr>
        <w:footnoteReference w:id="2558"/>
      </w:r>
      <w:r>
        <w:rPr>
          <w:rFonts w:ascii="Amiri" w:hAnsi="Amiri" w:eastAsia="Amiri" w:cs="Amiri"/>
          <w:color w:val="111111"/>
          <w:sz w:val="28"/>
          <w:sz w:val="28"/>
          <w:szCs w:val="28"/>
          <w:rtl w:val="true"/>
          <w:lang w:bidi="ar-SA"/>
        </w:rPr>
        <w:t xml:space="preserve">ظاهرة في وجوبها على مطلق الفقير، و أنّه يتصدّق ممّا </w:t>
      </w:r>
      <w:r>
        <w:rPr>
          <w:rStyle w:val="FootnoteAnchor"/>
          <w:rtl w:val="true"/>
        </w:rPr>
        <w:footnoteReference w:id="2559"/>
      </w:r>
      <w:r>
        <w:rPr>
          <w:rFonts w:ascii="Amiri" w:hAnsi="Amiri" w:eastAsia="Amiri" w:cs="Amiri"/>
          <w:color w:val="111111"/>
          <w:sz w:val="28"/>
          <w:sz w:val="28"/>
          <w:szCs w:val="28"/>
          <w:rtl w:val="true"/>
          <w:lang w:bidi="ar-SA"/>
        </w:rPr>
        <w:t>يتصدّق به عليه، و يتعيّن حملها على الاستحباب مع أنه ليس فيها اعتبار ملك قوت اليوم 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جماعة منهم الشيخ </w:t>
      </w:r>
      <w:r>
        <w:rPr>
          <w:rStyle w:val="FootnoteAnchor"/>
          <w:rtl w:val="true"/>
        </w:rPr>
        <w:footnoteReference w:id="2560"/>
      </w:r>
      <w:r>
        <w:rPr>
          <w:rFonts w:ascii="Amiri" w:hAnsi="Amiri" w:eastAsia="Amiri" w:cs="Amiri"/>
          <w:color w:val="111111"/>
          <w:sz w:val="28"/>
          <w:sz w:val="28"/>
          <w:szCs w:val="28"/>
          <w:rtl w:val="true"/>
          <w:lang w:bidi="ar-SA"/>
        </w:rPr>
        <w:t xml:space="preserve">و الحلي </w:t>
      </w:r>
      <w:r>
        <w:rPr>
          <w:rStyle w:val="FootnoteAnchor"/>
          <w:rtl w:val="true"/>
        </w:rPr>
        <w:footnoteReference w:id="2561"/>
      </w:r>
      <w:r>
        <w:rPr>
          <w:rFonts w:ascii="Amiri" w:hAnsi="Amiri" w:eastAsia="Amiri" w:cs="Amiri"/>
          <w:color w:val="111111"/>
          <w:sz w:val="28"/>
          <w:sz w:val="28"/>
          <w:szCs w:val="28"/>
          <w:rtl w:val="true"/>
          <w:lang w:bidi="ar-SA"/>
        </w:rPr>
        <w:t xml:space="preserve">ان الغنى يتحقق بتملك </w:t>
      </w:r>
      <w:r>
        <w:rPr>
          <w:rStyle w:val="FootnoteAnchor"/>
          <w:rtl w:val="true"/>
        </w:rPr>
        <w:footnoteReference w:id="2562"/>
      </w:r>
      <w:r>
        <w:rPr>
          <w:rFonts w:ascii="Amiri" w:hAnsi="Amiri" w:eastAsia="Amiri" w:cs="Amiri"/>
          <w:color w:val="111111"/>
          <w:sz w:val="28"/>
          <w:sz w:val="28"/>
          <w:szCs w:val="28"/>
          <w:rtl w:val="true"/>
          <w:lang w:bidi="ar-SA"/>
        </w:rPr>
        <w:t xml:space="preserve">نصاب من النصب الزكويّة، و عن الشيخ </w:t>
      </w:r>
      <w:r>
        <w:rPr>
          <w:rStyle w:val="FootnoteAnchor"/>
          <w:rtl w:val="true"/>
        </w:rPr>
        <w:footnoteReference w:id="2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قيمتها، و ظاهر الحلّي </w:t>
      </w:r>
      <w:r>
        <w:rPr>
          <w:rStyle w:val="FootnoteAnchor"/>
          <w:rtl w:val="true"/>
        </w:rPr>
        <w:footnoteReference w:id="2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ما ادّعاه،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حجّة و لا قائل من قدمائنا </w:t>
      </w:r>
      <w:r>
        <w:rPr>
          <w:rStyle w:val="FootnoteAnchor"/>
          <w:rtl w:val="true"/>
        </w:rPr>
        <w:footnoteReference w:id="2565"/>
      </w:r>
      <w:r>
        <w:rPr>
          <w:rFonts w:ascii="Amiri" w:hAnsi="Amiri" w:eastAsia="Amiri" w:cs="Amiri"/>
          <w:color w:val="111111"/>
          <w:sz w:val="28"/>
          <w:sz w:val="28"/>
          <w:szCs w:val="28"/>
          <w:rtl w:val="true"/>
          <w:lang w:bidi="ar-SA"/>
        </w:rPr>
        <w:t>، و لعله للمرفوعة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الفطرة على من تجب عليه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آخذ الصدقة من أغنيائكم و أدفع إلى فقرائكم</w:t>
      </w:r>
      <w:r>
        <w:rPr>
          <w:rFonts w:eastAsia="Amiri" w:cs="Amiri" w:ascii="Amiri" w:hAnsi="Amiri"/>
          <w:color w:val="111111"/>
          <w:sz w:val="28"/>
          <w:szCs w:val="28"/>
          <w:rtl w:val="true"/>
          <w:lang w:bidi="ar-SA"/>
        </w:rPr>
        <w:t xml:space="preserve">» </w:t>
      </w:r>
      <w:r>
        <w:rPr>
          <w:rStyle w:val="FootnoteAnchor"/>
          <w:rtl w:val="true"/>
        </w:rPr>
        <w:footnoteReference w:id="2566"/>
      </w:r>
      <w:r>
        <w:rPr>
          <w:rFonts w:ascii="Amiri" w:hAnsi="Amiri" w:eastAsia="Amiri" w:cs="Amiri"/>
          <w:color w:val="111111"/>
          <w:sz w:val="28"/>
          <w:sz w:val="28"/>
          <w:szCs w:val="28"/>
          <w:rtl w:val="true"/>
          <w:lang w:bidi="ar-SA"/>
        </w:rPr>
        <w:t>حيث إنّها تدلّ على مقابلة الغني للفقير في الزكاتين، و الغني في زكاة المال يملك أحد النصب فليكن في الفطرة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الوجهين ظاهر لما تقدّم من أنّ المرفوعة في مقام بيان اعتبار شروط وجوب زكاة المال من الحرّيّة و البلوغ و العقل، و النبوي محمول على الغالب</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قوّة ما اخترناه، و عليه فهل يعتبر أن يملك فعلا أو قوّة مع قوت السنة مقدار الفطرة أم لا؟ قولان، أظهرهما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لأنّ المستفاد من الأدلّة أنّ الفقر مانع مطلق عن وجوب الفطرة، فكما أنّ وجوده يمنعه كذلك</w:t>
      </w:r>
    </w:p>
    <w:p>
      <w:pPr>
        <w:pStyle w:val="BookText"/>
        <w:rPr/>
      </w:pPr>
      <w:r>
        <w:rPr>
          <w:rFonts w:ascii="Amiri" w:hAnsi="Amiri" w:eastAsia="Amiri" w:cs="Amiri"/>
          <w:color w:val="111111"/>
          <w:sz w:val="28"/>
          <w:sz w:val="28"/>
          <w:szCs w:val="28"/>
          <w:rtl w:val="true"/>
          <w:lang w:bidi="ar-SA"/>
        </w:rPr>
        <w:t xml:space="preserve">حدوثه بعده، فإنّ الدفع من قوت السنة يوجب حدوث الفقر وفاقا للفاضلين </w:t>
      </w:r>
      <w:r>
        <w:rPr>
          <w:rStyle w:val="FootnoteAnchor"/>
          <w:rtl w:val="true"/>
        </w:rPr>
        <w:footnoteReference w:id="2567"/>
      </w:r>
      <w:r>
        <w:rPr>
          <w:rFonts w:ascii="Amiri" w:hAnsi="Amiri" w:eastAsia="Amiri" w:cs="Amiri"/>
          <w:color w:val="111111"/>
          <w:sz w:val="28"/>
          <w:sz w:val="28"/>
          <w:szCs w:val="28"/>
          <w:rtl w:val="true"/>
          <w:lang w:bidi="ar-SA"/>
        </w:rPr>
        <w:t xml:space="preserve">و الشهيد الأول </w:t>
      </w:r>
      <w:r>
        <w:rPr>
          <w:rStyle w:val="FootnoteAnchor"/>
          <w:rtl w:val="true"/>
        </w:rPr>
        <w:footnoteReference w:id="2568"/>
      </w:r>
      <w:r>
        <w:rPr>
          <w:rFonts w:ascii="Amiri" w:hAnsi="Amiri" w:eastAsia="Amiri" w:cs="Amiri"/>
          <w:color w:val="111111"/>
          <w:sz w:val="28"/>
          <w:sz w:val="28"/>
          <w:szCs w:val="28"/>
          <w:rtl w:val="true"/>
          <w:lang w:bidi="ar-SA"/>
        </w:rPr>
        <w:t xml:space="preserve">و المحقّق الثاني في حاشية الشرائع </w:t>
      </w:r>
      <w:r>
        <w:rPr>
          <w:rStyle w:val="FootnoteAnchor"/>
          <w:rtl w:val="true"/>
        </w:rPr>
        <w:footnoteReference w:id="2569"/>
      </w:r>
      <w:r>
        <w:rPr>
          <w:rFonts w:ascii="Amiri" w:hAnsi="Amiri" w:eastAsia="Amiri" w:cs="Amiri"/>
          <w:color w:val="111111"/>
          <w:sz w:val="28"/>
          <w:sz w:val="28"/>
          <w:szCs w:val="28"/>
          <w:rtl w:val="true"/>
          <w:lang w:bidi="ar-SA"/>
        </w:rPr>
        <w:t xml:space="preserve">و غيرهم، خلافا للمحكي عن الشيخ </w:t>
      </w:r>
      <w:r>
        <w:rPr>
          <w:rStyle w:val="FootnoteAnchor"/>
          <w:rtl w:val="true"/>
        </w:rPr>
        <w:footnoteReference w:id="2570"/>
      </w:r>
      <w:r>
        <w:rPr>
          <w:rFonts w:ascii="Amiri" w:hAnsi="Amiri" w:eastAsia="Amiri" w:cs="Amiri"/>
          <w:color w:val="111111"/>
          <w:sz w:val="28"/>
          <w:sz w:val="28"/>
          <w:szCs w:val="28"/>
          <w:rtl w:val="true"/>
          <w:lang w:bidi="ar-SA"/>
        </w:rPr>
        <w:t xml:space="preserve">و الشهيد الثاني </w:t>
      </w:r>
      <w:r>
        <w:rPr>
          <w:rStyle w:val="FootnoteAnchor"/>
          <w:rtl w:val="true"/>
        </w:rPr>
        <w:footnoteReference w:id="2571"/>
      </w:r>
      <w:r>
        <w:rPr>
          <w:rFonts w:ascii="Amiri" w:hAnsi="Amiri" w:eastAsia="Amiri" w:cs="Amiri"/>
          <w:color w:val="111111"/>
          <w:sz w:val="28"/>
          <w:sz w:val="28"/>
          <w:szCs w:val="28"/>
          <w:rtl w:val="true"/>
          <w:lang w:bidi="ar-SA"/>
        </w:rPr>
        <w:t>و غيرهما؛ للعمومات، خرج منها من لم يقدر على قوت السنة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الاستدلال للمطلوب فيما إذا تعيّن الدفع من القوت بأنّ وجوب الدفع موجب لعدم تمام ملكه لمقدار الفطرة، فلا يبقى ملكه مستقرّا على قوت السنة، فيجوز له أخذ الزكاة، فيجتمع وجوب الدفع مع جواز الأخذ، و قد دلّت الأخبار المتقدمة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Style w:val="FootnoteAnchor"/>
          <w:rtl w:val="true"/>
        </w:rPr>
        <w:footnoteReference w:id="2572"/>
      </w:r>
      <w:r>
        <w:rPr>
          <w:rFonts w:ascii="Amiri" w:hAnsi="Amiri" w:eastAsia="Amiri" w:cs="Amiri"/>
          <w:color w:val="111111"/>
          <w:sz w:val="28"/>
          <w:sz w:val="28"/>
          <w:szCs w:val="28"/>
          <w:rtl w:val="true"/>
          <w:lang w:bidi="ar-SA"/>
        </w:rPr>
        <w:t>على التنافي بين وجوب الدفع و جواز الأخذ</w:t>
      </w:r>
      <w:r>
        <w:rPr>
          <w:rFonts w:eastAsia="Amiri" w:cs="Amiri" w:ascii="Amiri" w:hAnsi="Amiri"/>
          <w:color w:val="111111"/>
          <w:sz w:val="28"/>
          <w:szCs w:val="28"/>
          <w:rtl w:val="true"/>
          <w:lang w:bidi="ar-SA"/>
        </w:rPr>
        <w:t>.</w:t>
      </w:r>
      <w:bookmarkStart w:id="173" w:name="pg19722_766474"/>
    </w:p>
    <w:p>
      <w:pPr>
        <w:pStyle w:val="Heading4"/>
        <w:numPr>
          <w:ilvl w:val="3"/>
          <w:numId w:val="1"/>
        </w:numPr>
        <w:rPr/>
      </w:pPr>
      <w:bookmarkStart w:id="174" w:name="__RefHeading___Toc2136396_2314609296"/>
      <w:bookmarkStart w:id="175" w:name="_Toc60"/>
      <w:bookmarkEnd w:id="173"/>
      <w:bookmarkEnd w:id="174"/>
      <w:r>
        <w:rPr>
          <w:rtl w:val="true"/>
        </w:rPr>
        <w:t xml:space="preserve">مسألة </w:t>
      </w:r>
      <w:r>
        <w:rPr>
          <w:rtl w:val="true"/>
        </w:rPr>
        <w:t>[</w:t>
      </w:r>
      <w:r>
        <w:rPr/>
        <w:t>1</w:t>
      </w:r>
      <w:r>
        <w:rPr>
          <w:rtl w:val="true"/>
        </w:rPr>
        <w:t>]</w:t>
      </w:r>
      <w:bookmarkEnd w:id="175"/>
    </w:p>
    <w:p>
      <w:pPr>
        <w:pStyle w:val="BookText"/>
        <w:rPr/>
      </w:pPr>
      <w:r>
        <w:rPr>
          <w:rFonts w:ascii="Amiri" w:hAnsi="Amiri" w:eastAsia="Amiri" w:cs="Amiri"/>
          <w:color w:val="111111"/>
          <w:sz w:val="28"/>
          <w:sz w:val="28"/>
          <w:szCs w:val="28"/>
          <w:rtl w:val="true"/>
          <w:lang w:bidi="ar-SA"/>
        </w:rPr>
        <w:t xml:space="preserve">يجب مع اجتماع الشروط </w:t>
      </w:r>
      <w:r>
        <w:rPr>
          <w:rStyle w:val="FootnoteAnchor"/>
          <w:rtl w:val="true"/>
        </w:rPr>
        <w:footnoteReference w:id="2573"/>
      </w:r>
      <w:r>
        <w:rPr>
          <w:rFonts w:ascii="Amiri" w:hAnsi="Amiri" w:eastAsia="Amiri" w:cs="Amiri"/>
          <w:color w:val="111111"/>
          <w:sz w:val="28"/>
          <w:sz w:val="28"/>
          <w:szCs w:val="28"/>
          <w:rtl w:val="true"/>
          <w:lang w:bidi="ar-SA"/>
        </w:rPr>
        <w:t xml:space="preserve">إخراج الفطرة عن نفسه و عن كلّ من يعوله وجوبا أو استحبابا أو كراهة بل و لو تحريما؛ للإجماع و الأخبار المستفيضة، بل المتواترة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تحمّل معاشه، ففي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علته شهرا إذا تحملت معاشه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الفطرة على كلّ صغير و كبير، حرّ أو عبد، عن كلّ من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تنفق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من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أخرى 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و سلم فرض صدقة الفطرة على الصغير و الكبير و الحرّ و العبد و الذكر و الأنثى ممن تمونون</w:t>
      </w:r>
      <w:r>
        <w:rPr>
          <w:rFonts w:eastAsia="Amiri" w:cs="Amiri" w:ascii="Amiri" w:hAnsi="Amiri"/>
          <w:color w:val="111111"/>
          <w:sz w:val="28"/>
          <w:szCs w:val="28"/>
          <w:rtl w:val="true"/>
          <w:lang w:bidi="ar-SA"/>
        </w:rPr>
        <w:t xml:space="preserve">»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الهّٰ عليه السلام عن</w:t>
      </w:r>
    </w:p>
    <w:p>
      <w:pPr>
        <w:pStyle w:val="BookText"/>
        <w:rPr/>
      </w:pPr>
      <w:r>
        <w:rPr>
          <w:rFonts w:ascii="Amiri" w:hAnsi="Amiri" w:eastAsia="Amiri" w:cs="Amiri"/>
          <w:color w:val="111111"/>
          <w:sz w:val="28"/>
          <w:sz w:val="28"/>
          <w:szCs w:val="28"/>
          <w:rtl w:val="true"/>
          <w:lang w:bidi="ar-SA"/>
        </w:rPr>
        <w:t>الرجل يكون عنده الضيف من إخوانه فيحضر يوم الفطرة فيؤدّي عنه الفطرة؟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الفطرة واجبة على كلّ من يعول من ذكر أو أنثى صغير أو كبير حرّ أو مملوك</w:t>
      </w:r>
      <w:r>
        <w:rPr>
          <w:rFonts w:eastAsia="Amiri" w:cs="Amiri" w:ascii="Amiri" w:hAnsi="Amiri"/>
          <w:color w:val="111111"/>
          <w:sz w:val="28"/>
          <w:szCs w:val="28"/>
          <w:rtl w:val="true"/>
          <w:lang w:bidi="ar-SA"/>
        </w:rPr>
        <w:t xml:space="preserve">»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على وجوب فطرة الضيف من حيث كونه ممن يعال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كون الجملة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انّها خلاف الظاهر؛ لظهور كونها هي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لأنها لو لم يكن نفس الجواب فلا محالة تكون جملة مستأنفة مسوقة لبيان ضابط من تجب عنه الفطرة مطرد و منعكس، بحيث يدخل فيها </w:t>
      </w:r>
      <w:r>
        <w:rPr>
          <w:rStyle w:val="FootnoteAnchor"/>
          <w:rtl w:val="true"/>
        </w:rPr>
        <w:footnoteReference w:id="2579"/>
      </w:r>
      <w:r>
        <w:rPr>
          <w:rFonts w:ascii="Amiri" w:hAnsi="Amiri" w:eastAsia="Amiri" w:cs="Amiri"/>
          <w:color w:val="111111"/>
          <w:sz w:val="28"/>
          <w:sz w:val="28"/>
          <w:szCs w:val="28"/>
          <w:rtl w:val="true"/>
          <w:lang w:bidi="ar-SA"/>
        </w:rPr>
        <w:t xml:space="preserve">الضيف، إذ كونها قاعدة أجنبية خرج عنها الضيف حيث إنّ زكاتها؟ </w:t>
      </w:r>
      <w:r>
        <w:rPr>
          <w:rStyle w:val="FootnoteAnchor"/>
          <w:rtl w:val="true"/>
        </w:rPr>
        <w:footnoteReference w:id="2580"/>
      </w:r>
      <w:r>
        <w:rPr>
          <w:rFonts w:ascii="Amiri" w:hAnsi="Amiri" w:eastAsia="Amiri" w:cs="Amiri"/>
          <w:color w:val="111111"/>
          <w:sz w:val="28"/>
          <w:sz w:val="28"/>
          <w:szCs w:val="28"/>
          <w:rtl w:val="true"/>
          <w:lang w:bidi="ar-SA"/>
        </w:rPr>
        <w:t>تجب لا من حيث 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بشاعته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الأخبار المستفيضة </w:t>
      </w:r>
      <w:r>
        <w:rPr>
          <w:rStyle w:val="FootnoteAnchor"/>
          <w:rtl w:val="true"/>
        </w:rPr>
        <w:footnoteReference w:id="2581"/>
      </w:r>
      <w:r>
        <w:rPr>
          <w:rFonts w:ascii="Amiri" w:hAnsi="Amiri" w:eastAsia="Amiri" w:cs="Amiri"/>
          <w:color w:val="111111"/>
          <w:sz w:val="28"/>
          <w:sz w:val="28"/>
          <w:szCs w:val="28"/>
          <w:rtl w:val="true"/>
          <w:lang w:bidi="ar-SA"/>
        </w:rPr>
        <w:t>الظاهرة في إناطة الوجوب طردا و عكسا مع العيلولة كافية في نفي كون فطرة الضيف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سيجي‌ء الخلاف فيه كالزوجة و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من حيث هي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 الظاهر من عنوان من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الفطرة تلبسه بذلك</w:t>
      </w:r>
      <w:r>
        <w:rPr>
          <w:rFonts w:eastAsia="Amiri" w:cs="Amiri" w:ascii="Amiri" w:hAnsi="Amiri"/>
          <w:color w:val="111111"/>
          <w:sz w:val="28"/>
          <w:szCs w:val="28"/>
          <w:rtl w:val="true"/>
          <w:lang w:bidi="ar-SA"/>
        </w:rPr>
        <w:t xml:space="preserve">] </w:t>
      </w:r>
      <w:r>
        <w:rPr>
          <w:rStyle w:val="FootnoteAnchor"/>
          <w:rtl w:val="true"/>
        </w:rPr>
        <w:footnoteReference w:id="2582"/>
      </w:r>
      <w:r>
        <w:rPr>
          <w:rFonts w:ascii="Amiri" w:hAnsi="Amiri" w:eastAsia="Amiri" w:cs="Amiri"/>
          <w:color w:val="111111"/>
          <w:sz w:val="28"/>
          <w:sz w:val="28"/>
          <w:szCs w:val="28"/>
          <w:rtl w:val="true"/>
          <w:lang w:bidi="ar-SA"/>
        </w:rPr>
        <w:t>العنوان في زمان تعلّق الوجوب، اعتبر تحقّق العيلولة في ذلك الزمان، سواء بقي بعد ذلك أو ارتفع، و سواء وجد قبل ذلك أم لا، و حينئذ فالمعيار كونه عيالا حين هلال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اختار من تأخّر </w:t>
      </w:r>
      <w:r>
        <w:rPr>
          <w:rStyle w:val="FootnoteAnchor"/>
          <w:rtl w:val="true"/>
        </w:rPr>
        <w:footnoteReference w:id="2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صدق الضيف في أوّل الهلال المستلزم لصدق أنّه يعال و إن لم يصدق عليه العيال الظاهر فيما إذا كان لعيلولته استمرار، بل الظاهر كفاية صدق أنّه ضمّه إلى عياله كما دلّت عليه رواية عبد</w:t>
      </w:r>
    </w:p>
    <w:p>
      <w:pPr>
        <w:pStyle w:val="BookText"/>
        <w:rPr/>
      </w:pPr>
      <w:r>
        <w:rPr>
          <w:rFonts w:ascii="Amiri" w:hAnsi="Amiri" w:eastAsia="Amiri" w:cs="Amiri"/>
          <w:color w:val="111111"/>
          <w:sz w:val="28"/>
          <w:sz w:val="28"/>
          <w:szCs w:val="28"/>
          <w:rtl w:val="true"/>
          <w:lang w:bidi="ar-SA"/>
        </w:rPr>
        <w:t>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ضممت الى عيالك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2584"/>
      </w:r>
      <w:r>
        <w:rPr>
          <w:rFonts w:ascii="Amiri" w:hAnsi="Amiri" w:eastAsia="Amiri" w:cs="Amiri"/>
          <w:color w:val="111111"/>
          <w:sz w:val="28"/>
          <w:sz w:val="28"/>
          <w:szCs w:val="28"/>
          <w:rtl w:val="true"/>
          <w:lang w:bidi="ar-SA"/>
        </w:rPr>
        <w:t>فالمدار على صدق الانضمام إلى العيال لا على صدق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أنّ الأجير المشترط نفقته على المستأجر منضم إلى العيال، وفاقا لغير واحد من المعاصرين </w:t>
      </w:r>
      <w:r>
        <w:rPr>
          <w:rStyle w:val="FootnoteAnchor"/>
          <w:rtl w:val="true"/>
        </w:rPr>
        <w:footnoteReference w:id="2585"/>
      </w:r>
      <w:r>
        <w:rPr>
          <w:rFonts w:ascii="Amiri" w:hAnsi="Amiri" w:eastAsia="Amiri" w:cs="Amiri"/>
          <w:color w:val="111111"/>
          <w:sz w:val="28"/>
          <w:sz w:val="28"/>
          <w:szCs w:val="28"/>
          <w:rtl w:val="true"/>
          <w:lang w:bidi="ar-SA"/>
        </w:rPr>
        <w:t xml:space="preserve">خلافا للفاضلين </w:t>
      </w:r>
      <w:r>
        <w:rPr>
          <w:rStyle w:val="FootnoteAnchor"/>
          <w:rtl w:val="true"/>
        </w:rPr>
        <w:footnoteReference w:id="2586"/>
      </w:r>
      <w:r>
        <w:rPr>
          <w:rFonts w:ascii="Amiri" w:hAnsi="Amiri" w:eastAsia="Amiri" w:cs="Amiri"/>
          <w:color w:val="111111"/>
          <w:sz w:val="28"/>
          <w:sz w:val="28"/>
          <w:szCs w:val="28"/>
          <w:rtl w:val="true"/>
          <w:lang w:bidi="ar-SA"/>
        </w:rPr>
        <w:t xml:space="preserve">و شيخنا في المسالك </w:t>
      </w:r>
      <w:r>
        <w:rPr>
          <w:rStyle w:val="FootnoteAnchor"/>
          <w:rtl w:val="true"/>
        </w:rPr>
        <w:footnoteReference w:id="2587"/>
      </w:r>
      <w:r>
        <w:rPr>
          <w:rFonts w:ascii="Amiri" w:hAnsi="Amiri" w:eastAsia="Amiri" w:cs="Amiri"/>
          <w:color w:val="111111"/>
          <w:sz w:val="28"/>
          <w:sz w:val="28"/>
          <w:szCs w:val="28"/>
          <w:rtl w:val="true"/>
          <w:lang w:bidi="ar-SA"/>
        </w:rPr>
        <w:t>فجعلوه من قبيل الأجرة،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يلزم من ذلك عدم الوجوب بعد صدق الانضمام إلى العيال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المدعوّ إلى مكان الداعي ليأكل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يطلق عليه الضيف في عرف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فيه الحكم؛ من جهة صدق كونه ضيفا، و من عدم اندراجه في من انضمّ إلى العيال، إذ المراد الانضمام في العول و هو الإنفاق، و صدقه مشكل</w:t>
      </w:r>
      <w:r>
        <w:rPr>
          <w:rFonts w:eastAsia="Amiri" w:cs="Amiri" w:ascii="Amiri" w:hAnsi="Amiri"/>
          <w:color w:val="111111"/>
          <w:sz w:val="28"/>
          <w:szCs w:val="28"/>
          <w:rtl w:val="true"/>
          <w:lang w:bidi="ar-SA"/>
        </w:rPr>
        <w:t>.</w:t>
      </w:r>
      <w:bookmarkStart w:id="176" w:name="pg19722_766477"/>
    </w:p>
    <w:p>
      <w:pPr>
        <w:pStyle w:val="Heading4"/>
        <w:numPr>
          <w:ilvl w:val="3"/>
          <w:numId w:val="1"/>
        </w:numPr>
        <w:rPr/>
      </w:pPr>
      <w:bookmarkStart w:id="177" w:name="__RefHeading___Toc2136398_2314609296"/>
      <w:bookmarkStart w:id="178" w:name="_Toc61"/>
      <w:bookmarkEnd w:id="176"/>
      <w:bookmarkEnd w:id="177"/>
      <w:r>
        <w:rPr>
          <w:rtl w:val="true"/>
        </w:rPr>
        <w:t xml:space="preserve">مسألة </w:t>
      </w:r>
      <w:r>
        <w:rPr>
          <w:rtl w:val="true"/>
        </w:rPr>
        <w:t>[</w:t>
      </w:r>
      <w:r>
        <w:rPr/>
        <w:t>2</w:t>
      </w:r>
      <w:r>
        <w:rPr>
          <w:rtl w:val="true"/>
        </w:rPr>
        <w:t>]</w:t>
      </w:r>
      <w:bookmarkEnd w:id="178"/>
    </w:p>
    <w:p>
      <w:pPr>
        <w:pStyle w:val="BookText"/>
        <w:rPr/>
      </w:pPr>
      <w:r>
        <w:rPr>
          <w:rFonts w:ascii="Amiri" w:hAnsi="Amiri" w:eastAsia="Amiri" w:cs="Amiri"/>
          <w:color w:val="111111"/>
          <w:sz w:val="28"/>
          <w:sz w:val="28"/>
          <w:szCs w:val="28"/>
          <w:rtl w:val="true"/>
          <w:lang w:bidi="ar-SA"/>
        </w:rPr>
        <w:t xml:space="preserve">المشهور كما قيل </w:t>
      </w:r>
      <w:r>
        <w:rPr>
          <w:rStyle w:val="FootnoteAnchor"/>
          <w:rtl w:val="true"/>
        </w:rPr>
        <w:footnoteReference w:id="2588"/>
      </w:r>
      <w:r>
        <w:rPr>
          <w:rFonts w:ascii="Amiri" w:hAnsi="Amiri" w:eastAsia="Amiri" w:cs="Amiri"/>
          <w:color w:val="111111"/>
          <w:sz w:val="28"/>
          <w:sz w:val="28"/>
          <w:szCs w:val="28"/>
          <w:rtl w:val="true"/>
          <w:lang w:bidi="ar-SA"/>
        </w:rPr>
        <w:t xml:space="preserve">وجوب فطرة المملوك و الزوجة الواجب النفقة على المولى و الزوج إذا لم يعلهما غيرهما، من غير اعتبار فعلية العيلولة، بل أفرط الحلي </w:t>
      </w:r>
      <w:r>
        <w:rPr>
          <w:rStyle w:val="FootnoteAnchor"/>
          <w:rtl w:val="true"/>
        </w:rPr>
        <w:footnoteReference w:id="2589"/>
      </w:r>
      <w:r>
        <w:rPr>
          <w:rFonts w:ascii="Amiri" w:hAnsi="Amiri" w:eastAsia="Amiri" w:cs="Amiri"/>
          <w:color w:val="111111"/>
          <w:sz w:val="28"/>
          <w:sz w:val="28"/>
          <w:szCs w:val="28"/>
          <w:rtl w:val="true"/>
          <w:lang w:bidi="ar-SA"/>
        </w:rPr>
        <w:t xml:space="preserve">فأوجبها على الزوج لزوجته الناشزة و الصغيرة و غير المدخول بها، لعدم تمكينها، مدّعيا في ذلك الإجماع و العمومات و إن طعن عليه في المعتبر </w:t>
      </w:r>
      <w:r>
        <w:rPr>
          <w:rStyle w:val="FootnoteAnchor"/>
          <w:rtl w:val="true"/>
        </w:rPr>
        <w:footnoteReference w:id="2590"/>
      </w:r>
      <w:r>
        <w:rPr>
          <w:rFonts w:ascii="Amiri" w:hAnsi="Amiri" w:eastAsia="Amiri" w:cs="Amiri"/>
          <w:color w:val="111111"/>
          <w:sz w:val="28"/>
          <w:sz w:val="28"/>
          <w:szCs w:val="28"/>
          <w:rtl w:val="true"/>
          <w:lang w:bidi="ar-SA"/>
        </w:rPr>
        <w:t xml:space="preserve">بأن ذلك لا يعرف له قائل </w:t>
      </w:r>
      <w:r>
        <w:rPr>
          <w:rStyle w:val="FootnoteAnchor"/>
          <w:rtl w:val="true"/>
        </w:rPr>
        <w:footnoteReference w:id="2591"/>
      </w:r>
      <w:r>
        <w:rPr>
          <w:rFonts w:ascii="Amiri" w:hAnsi="Amiri" w:eastAsia="Amiri" w:cs="Amiri"/>
          <w:color w:val="111111"/>
          <w:sz w:val="28"/>
          <w:sz w:val="28"/>
          <w:szCs w:val="28"/>
          <w:rtl w:val="true"/>
          <w:lang w:bidi="ar-SA"/>
        </w:rPr>
        <w:t xml:space="preserve">من فقهاء الإسلام، و قريب منه ما في المنتهى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فالظاهر أنّ مستند المشهور إطلاقات وجوب الفطرة عنهما من غير اعتبار لفعلية العيلولة،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طعن عليهم جماعة من المتأخرين </w:t>
      </w:r>
      <w:r>
        <w:rPr>
          <w:rStyle w:val="FootnoteAnchor"/>
          <w:rtl w:val="true"/>
        </w:rPr>
        <w:footnoteReference w:id="2593"/>
      </w:r>
      <w:r>
        <w:rPr>
          <w:rFonts w:ascii="Amiri" w:hAnsi="Amiri" w:eastAsia="Amiri" w:cs="Amiri"/>
          <w:color w:val="111111"/>
          <w:sz w:val="28"/>
          <w:sz w:val="28"/>
          <w:szCs w:val="28"/>
          <w:rtl w:val="true"/>
          <w:lang w:bidi="ar-SA"/>
        </w:rPr>
        <w:t>بإنكار ذلك، و ان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المشتمل منها على ذكر الزوجة و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اعتبار فعليه العيلولة</w:t>
      </w:r>
      <w:r>
        <w:rPr>
          <w:rFonts w:eastAsia="Amiri" w:cs="Amiri" w:ascii="Amiri" w:hAnsi="Amiri"/>
          <w:color w:val="111111"/>
          <w:sz w:val="28"/>
          <w:szCs w:val="28"/>
          <w:rtl w:val="true"/>
          <w:lang w:bidi="ar-SA"/>
        </w:rPr>
        <w:t xml:space="preserve">]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الخالي منها عن هذا القيد محمول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بوجوب نفقة المملوك و الزوجة من حيث هما إن خص الحكم بهما من بين واجبي النفقة، فالظاهر أنّه لا وجه لذلك؛ لأنّهما لم يذكرا بأنفسهما في خبر حتّى يمكن التمسّك بإطلاقه على ذلك، و إنّما ذكرا إمّا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إمّا بأنفسهما منضمّين إلى سائر واجبي النفقة، فلا وجه للاختصاص و إن طرّد الحكم في مطلق واجبي النفقة كالأبوين و الأولاد على ما يظهر من الشيخ في المبسوط </w:t>
      </w:r>
      <w:r>
        <w:rPr>
          <w:rStyle w:val="FootnoteAnchor"/>
          <w:rtl w:val="true"/>
        </w:rPr>
        <w:footnoteReference w:id="2595"/>
      </w:r>
      <w:r>
        <w:rPr>
          <w:rFonts w:ascii="Amiri" w:hAnsi="Amiri" w:eastAsia="Amiri" w:cs="Amiri"/>
          <w:color w:val="111111"/>
          <w:sz w:val="28"/>
          <w:sz w:val="28"/>
          <w:szCs w:val="28"/>
          <w:rtl w:val="true"/>
          <w:lang w:bidi="ar-SA"/>
        </w:rPr>
        <w:t xml:space="preserve">و المحقق في المعتبر </w:t>
      </w:r>
      <w:r>
        <w:rPr>
          <w:rStyle w:val="FootnoteAnchor"/>
          <w:rtl w:val="true"/>
        </w:rPr>
        <w:footnoteReference w:id="2596"/>
      </w:r>
      <w:r>
        <w:rPr>
          <w:rFonts w:ascii="Amiri" w:hAnsi="Amiri" w:eastAsia="Amiri" w:cs="Amiri"/>
          <w:color w:val="111111"/>
          <w:sz w:val="28"/>
          <w:sz w:val="28"/>
          <w:szCs w:val="28"/>
          <w:rtl w:val="true"/>
          <w:lang w:bidi="ar-SA"/>
        </w:rPr>
        <w:t>، فيمكن الاستشهاد له بمثل رواية صفوان، عن إسحاق بن عمّار،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أن تعطي عن نفسك و أبيك و أمك و امرأتك و خادمك</w:t>
      </w:r>
      <w:r>
        <w:rPr>
          <w:rFonts w:eastAsia="Amiri" w:cs="Amiri" w:ascii="Amiri" w:hAnsi="Amiri"/>
          <w:color w:val="111111"/>
          <w:sz w:val="28"/>
          <w:szCs w:val="28"/>
          <w:rtl w:val="true"/>
          <w:lang w:bidi="ar-SA"/>
        </w:rPr>
        <w:t xml:space="preserve">»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منها رواية أخرى لصفوان، عن عبد الرحمن بن الحجّاج، 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العيال الولد و المملوك و الزوجة و أم الولد</w:t>
      </w:r>
      <w:r>
        <w:rPr>
          <w:rFonts w:eastAsia="Amiri" w:cs="Amiri" w:ascii="Amiri" w:hAnsi="Amiri"/>
          <w:color w:val="111111"/>
          <w:sz w:val="28"/>
          <w:szCs w:val="28"/>
          <w:rtl w:val="true"/>
          <w:lang w:bidi="ar-SA"/>
        </w:rPr>
        <w:t xml:space="preserve">» </w:t>
      </w:r>
      <w:r>
        <w:rPr>
          <w:rStyle w:val="FootnoteAnchor"/>
          <w:rtl w:val="true"/>
        </w:rPr>
        <w:footnoteReference w:id="2598"/>
      </w:r>
      <w:r>
        <w:rPr>
          <w:rFonts w:ascii="Amiri" w:hAnsi="Amiri" w:eastAsia="Amiri" w:cs="Amiri"/>
          <w:color w:val="111111"/>
          <w:sz w:val="28"/>
          <w:sz w:val="28"/>
          <w:szCs w:val="28"/>
          <w:rtl w:val="true"/>
          <w:lang w:bidi="ar-SA"/>
        </w:rPr>
        <w:t>، و ترك الأبوين للاقتصار على ذكر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ذلك ما دلّ </w:t>
      </w:r>
      <w:r>
        <w:rPr>
          <w:rStyle w:val="FootnoteAnchor"/>
          <w:rtl w:val="true"/>
        </w:rPr>
        <w:footnoteReference w:id="2599"/>
      </w:r>
      <w:r>
        <w:rPr>
          <w:rFonts w:ascii="Amiri" w:hAnsi="Amiri" w:eastAsia="Amiri" w:cs="Amiri"/>
          <w:color w:val="111111"/>
          <w:sz w:val="28"/>
          <w:sz w:val="28"/>
          <w:szCs w:val="28"/>
          <w:rtl w:val="true"/>
          <w:lang w:bidi="ar-SA"/>
        </w:rPr>
        <w:t>على إناطة الوجوب بالعول و الإنفاق الظاهر في الفعلية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فلأنّ ذكر هذا الضابط مسوق لبيان عدم الاختصاص بمن يجب نفقته ممن ينفق عليه فعلا، فهذه ضابطة في مقام العكس لا الطرد، و لذا أكّده الإمام عليه السلام في مقام </w:t>
      </w:r>
      <w:r>
        <w:rPr>
          <w:rStyle w:val="FootnoteAnchor"/>
          <w:rtl w:val="true"/>
        </w:rPr>
        <w:footnoteReference w:id="2600"/>
      </w:r>
      <w:r>
        <w:rPr>
          <w:rFonts w:ascii="Amiri" w:hAnsi="Amiri" w:eastAsia="Amiri" w:cs="Amiri"/>
          <w:color w:val="111111"/>
          <w:sz w:val="28"/>
          <w:sz w:val="28"/>
          <w:szCs w:val="28"/>
          <w:rtl w:val="true"/>
          <w:lang w:bidi="ar-SA"/>
        </w:rPr>
        <w:t>الإجمال بعد التفصيل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w:t>
      </w:r>
    </w:p>
    <w:p>
      <w:pPr>
        <w:pStyle w:val="BookText"/>
        <w:rPr/>
      </w:pPr>
      <w:r>
        <w:rPr>
          <w:rFonts w:ascii="Amiri" w:hAnsi="Amiri" w:eastAsia="Amiri" w:cs="Amiri"/>
          <w:color w:val="111111"/>
          <w:sz w:val="28"/>
          <w:sz w:val="28"/>
          <w:szCs w:val="28"/>
          <w:rtl w:val="true"/>
          <w:lang w:bidi="ar-SA"/>
        </w:rPr>
        <w:t>أغلق عليه بابه</w:t>
      </w:r>
      <w:r>
        <w:rPr>
          <w:rFonts w:eastAsia="Amiri" w:cs="Amiri" w:ascii="Amiri" w:hAnsi="Amiri"/>
          <w:color w:val="111111"/>
          <w:sz w:val="28"/>
          <w:szCs w:val="28"/>
          <w:rtl w:val="true"/>
          <w:lang w:bidi="ar-SA"/>
        </w:rPr>
        <w:t xml:space="preserve">» </w:t>
      </w:r>
      <w:r>
        <w:rPr>
          <w:rStyle w:val="FootnoteAnchor"/>
          <w:rtl w:val="true"/>
        </w:rPr>
        <w:footnoteReference w:id="2601"/>
      </w:r>
      <w:r>
        <w:rPr>
          <w:rFonts w:ascii="Amiri" w:hAnsi="Amiri" w:eastAsia="Amiri" w:cs="Amiri"/>
          <w:color w:val="111111"/>
          <w:sz w:val="28"/>
          <w:sz w:val="28"/>
          <w:szCs w:val="28"/>
          <w:rtl w:val="true"/>
          <w:lang w:bidi="ar-SA"/>
        </w:rPr>
        <w:t>، و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ضممت إليك</w:t>
      </w:r>
      <w:r>
        <w:rPr>
          <w:rFonts w:eastAsia="Amiri" w:cs="Amiri" w:ascii="Amiri" w:hAnsi="Amiri"/>
          <w:color w:val="111111"/>
          <w:sz w:val="28"/>
          <w:szCs w:val="28"/>
          <w:rtl w:val="true"/>
          <w:lang w:bidi="ar-SA"/>
        </w:rPr>
        <w:t xml:space="preserve">»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ذكرناه واضح على المنصف المتأمّل فيكون العيلولة سببا، و وجوب الإنفاق سببا آخر، مع أنّ من </w:t>
      </w:r>
      <w:r>
        <w:rPr>
          <w:rStyle w:val="FootnoteAnchor"/>
          <w:rtl w:val="true"/>
        </w:rPr>
        <w:footnoteReference w:id="2603"/>
      </w:r>
      <w:r>
        <w:rPr>
          <w:rFonts w:ascii="Amiri" w:hAnsi="Amiri" w:eastAsia="Amiri" w:cs="Amiri"/>
          <w:color w:val="111111"/>
          <w:sz w:val="28"/>
          <w:sz w:val="28"/>
          <w:szCs w:val="28"/>
          <w:rtl w:val="true"/>
          <w:lang w:bidi="ar-SA"/>
        </w:rPr>
        <w:t>المحتمل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الفطرة مئونة من المئونات التي يجب على المنفق تحمّلها عن واجبي النفقة، حيث انها زكاة البدن و يخاف بتركها الموت، فتجب كما تجب النفقة، فتشبه بذل المال لثمن ماء الطهارة أو الساتر في عدها عرفا من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كونها من المؤن فرع وجوبها، و الكلام فيه مدفوع بالأدلّة الدالّة على استقرار الفطرة على كلّ أحد و عدم سقوطها إلّا لمانع، لا لعدم المقتضي</w:t>
      </w:r>
      <w:r>
        <w:rPr>
          <w:rFonts w:eastAsia="Amiri" w:cs="Amiri" w:ascii="Amiri" w:hAnsi="Amiri"/>
          <w:color w:val="111111"/>
          <w:sz w:val="28"/>
          <w:szCs w:val="28"/>
          <w:rtl w:val="true"/>
          <w:lang w:bidi="ar-SA"/>
        </w:rPr>
        <w:t>.</w:t>
      </w:r>
      <w:bookmarkStart w:id="179" w:name="pg19722_766480"/>
    </w:p>
    <w:p>
      <w:pPr>
        <w:pStyle w:val="Heading4"/>
        <w:numPr>
          <w:ilvl w:val="3"/>
          <w:numId w:val="1"/>
        </w:numPr>
        <w:rPr/>
      </w:pPr>
      <w:bookmarkStart w:id="180" w:name="__RefHeading___Toc2136400_2314609296"/>
      <w:bookmarkStart w:id="181" w:name="_Toc62"/>
      <w:bookmarkEnd w:id="179"/>
      <w:bookmarkEnd w:id="180"/>
      <w:r>
        <w:rPr>
          <w:rtl w:val="true"/>
        </w:rPr>
        <w:t xml:space="preserve">مسألة </w:t>
      </w:r>
      <w:r>
        <w:rPr>
          <w:rtl w:val="true"/>
        </w:rPr>
        <w:t>[</w:t>
      </w:r>
      <w:r>
        <w:rPr/>
        <w:t>3</w:t>
      </w:r>
      <w:r>
        <w:rPr>
          <w:rtl w:val="true"/>
        </w:rPr>
        <w:t>]</w:t>
      </w:r>
      <w:bookmarkEnd w:id="181"/>
    </w:p>
    <w:p>
      <w:pPr>
        <w:pStyle w:val="BookText"/>
        <w:rPr/>
      </w:pPr>
      <w:r>
        <w:rPr>
          <w:rFonts w:ascii="Amiri" w:hAnsi="Amiri" w:eastAsia="Amiri" w:cs="Amiri"/>
          <w:color w:val="111111"/>
          <w:sz w:val="28"/>
          <w:sz w:val="28"/>
          <w:szCs w:val="28"/>
          <w:rtl w:val="true"/>
          <w:lang w:bidi="ar-SA"/>
        </w:rPr>
        <w:t xml:space="preserve">من وجبت فطرته على غيره بالعيلولة </w:t>
      </w:r>
      <w:r>
        <w:rPr>
          <w:rStyle w:val="FootnoteAnchor"/>
          <w:rtl w:val="true"/>
        </w:rPr>
        <w:footnoteReference w:id="2604"/>
      </w:r>
      <w:r>
        <w:rPr>
          <w:rFonts w:ascii="Amiri" w:hAnsi="Amiri" w:eastAsia="Amiri" w:cs="Amiri"/>
          <w:color w:val="111111"/>
          <w:sz w:val="28"/>
          <w:sz w:val="28"/>
          <w:szCs w:val="28"/>
          <w:rtl w:val="true"/>
          <w:lang w:bidi="ar-SA"/>
        </w:rPr>
        <w:t xml:space="preserve">أو وجوب النفقة، سقط عنه بلا خلاف ظاهرا إلّا عن الحلّي </w:t>
      </w:r>
      <w:r>
        <w:rPr>
          <w:rStyle w:val="FootnoteAnchor"/>
          <w:rtl w:val="true"/>
        </w:rPr>
        <w:footnoteReference w:id="2605"/>
      </w:r>
      <w:r>
        <w:rPr>
          <w:rFonts w:ascii="Amiri" w:hAnsi="Amiri" w:eastAsia="Amiri" w:cs="Amiri"/>
          <w:color w:val="111111"/>
          <w:sz w:val="28"/>
          <w:sz w:val="28"/>
          <w:szCs w:val="28"/>
          <w:rtl w:val="true"/>
          <w:lang w:bidi="ar-SA"/>
        </w:rPr>
        <w:t>من وجوب الفطرة على الضيف و المضيف، و ردّ بعموم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يثنّى في صدقة</w:t>
      </w:r>
      <w:r>
        <w:rPr>
          <w:rFonts w:eastAsia="Amiri" w:cs="Amiri" w:ascii="Amiri" w:hAnsi="Amiri"/>
          <w:color w:val="111111"/>
          <w:sz w:val="28"/>
          <w:szCs w:val="28"/>
          <w:rtl w:val="true"/>
          <w:lang w:bidi="ar-SA"/>
        </w:rPr>
        <w:t xml:space="preserve">» </w:t>
      </w:r>
      <w:r>
        <w:rPr>
          <w:rStyle w:val="FootnoteAnchor"/>
          <w:rtl w:val="true"/>
        </w:rPr>
        <w:footnoteReference w:id="2606"/>
      </w:r>
      <w:r>
        <w:rPr>
          <w:rFonts w:ascii="Amiri" w:hAnsi="Amiri" w:eastAsia="Amiri" w:cs="Amiri"/>
          <w:color w:val="111111"/>
          <w:sz w:val="28"/>
          <w:sz w:val="28"/>
          <w:szCs w:val="28"/>
          <w:rtl w:val="true"/>
          <w:lang w:bidi="ar-SA"/>
        </w:rPr>
        <w:t>، و الأولى دفعه بنفس ما دلّ على وجوب أداء الفطرة عنه، فإنّ قوله عليه السلام في رواية الضيف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عنه</w:t>
      </w:r>
      <w:r>
        <w:rPr>
          <w:rFonts w:eastAsia="Amiri" w:cs="Amiri" w:ascii="Amiri" w:hAnsi="Amiri"/>
          <w:color w:val="111111"/>
          <w:sz w:val="28"/>
          <w:szCs w:val="28"/>
          <w:rtl w:val="true"/>
          <w:lang w:bidi="ar-SA"/>
        </w:rPr>
        <w:t xml:space="preserve">» </w:t>
      </w:r>
      <w:r>
        <w:rPr>
          <w:rStyle w:val="FootnoteAnchor"/>
          <w:rtl w:val="true"/>
        </w:rPr>
        <w:footnoteReference w:id="2607"/>
      </w:r>
      <w:r>
        <w:rPr>
          <w:rFonts w:ascii="Amiri" w:hAnsi="Amiri" w:eastAsia="Amiri" w:cs="Amiri"/>
          <w:color w:val="111111"/>
          <w:sz w:val="28"/>
          <w:sz w:val="28"/>
          <w:szCs w:val="28"/>
          <w:rtl w:val="true"/>
          <w:lang w:bidi="ar-SA"/>
        </w:rPr>
        <w:t>ظاهر في وحدة الفطرة، و كون المضيف كالمتحمّل لها عن الضيف و إن لم يكن تحمّلا حقيقيا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تجب فطرته على الغير لإعساره مثلا، فإن كان ممن لا يجب على نفسه الفطرة لو انفرد لكونه صغيرا أو مملوكا أو فقيرا، فلا إشكال في سقوط فطرته عن نفسه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ممن تجب على نفسه لو انفرد كالضيف الموسر و الزوجة الموسرة،</w:t>
      </w:r>
    </w:p>
    <w:p>
      <w:pPr>
        <w:pStyle w:val="BookText"/>
        <w:rPr/>
      </w:pPr>
      <w:r>
        <w:rPr>
          <w:rFonts w:ascii="Amiri" w:hAnsi="Amiri" w:eastAsia="Amiri" w:cs="Amiri"/>
          <w:color w:val="111111"/>
          <w:sz w:val="28"/>
          <w:sz w:val="28"/>
          <w:szCs w:val="28"/>
          <w:rtl w:val="true"/>
          <w:lang w:bidi="ar-SA"/>
        </w:rPr>
        <w:t xml:space="preserve">فهل تجب عليه </w:t>
      </w:r>
      <w:r>
        <w:rPr>
          <w:rStyle w:val="FootnoteAnchor"/>
          <w:rtl w:val="true"/>
        </w:rPr>
        <w:footnoteReference w:id="2608"/>
      </w:r>
      <w:r>
        <w:rPr>
          <w:rFonts w:ascii="Amiri" w:hAnsi="Amiri" w:eastAsia="Amiri" w:cs="Amiri"/>
          <w:color w:val="111111"/>
          <w:sz w:val="28"/>
          <w:sz w:val="28"/>
          <w:szCs w:val="28"/>
          <w:rtl w:val="true"/>
          <w:lang w:bidi="ar-SA"/>
        </w:rPr>
        <w:t>أم لا؟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لعموم ما دلّ على وجوب الفطرة على كلّ أحد جامع للشروط، خرج منها من يخرج عنه الغير، و بقي الباقي خلافا للشيخ </w:t>
      </w:r>
      <w:r>
        <w:rPr>
          <w:rStyle w:val="FootnoteAnchor"/>
          <w:rtl w:val="true"/>
        </w:rPr>
        <w:footnoteReference w:id="2609"/>
      </w:r>
      <w:r>
        <w:rPr>
          <w:rFonts w:ascii="Amiri" w:hAnsi="Amiri" w:eastAsia="Amiri" w:cs="Amiri"/>
          <w:color w:val="111111"/>
          <w:sz w:val="28"/>
          <w:sz w:val="28"/>
          <w:szCs w:val="28"/>
          <w:rtl w:val="true"/>
          <w:lang w:bidi="ar-SA"/>
        </w:rPr>
        <w:t xml:space="preserve">رحمه اللّٰه فأسقطها عن الزوجة الموسرة، و قوّاه الفخر في الإيضاح </w:t>
      </w:r>
      <w:r>
        <w:rPr>
          <w:rStyle w:val="FootnoteAnchor"/>
          <w:rtl w:val="true"/>
        </w:rPr>
        <w:footnoteReference w:id="2610"/>
      </w:r>
      <w:r>
        <w:rPr>
          <w:rFonts w:ascii="Amiri" w:hAnsi="Amiri" w:eastAsia="Amiri" w:cs="Amiri"/>
          <w:color w:val="111111"/>
          <w:sz w:val="28"/>
          <w:sz w:val="28"/>
          <w:szCs w:val="28"/>
          <w:rtl w:val="true"/>
          <w:lang w:bidi="ar-SA"/>
        </w:rPr>
        <w:t>، لسقوطها عن الزوج بالإعسار و عدم الدليل على تعلّقها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العمومات السليمة عن المخصّص هي الدليل على الوجوب عليها،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الوجوب على الزوج ليس المراد منها خصوص الوجوب الفعلي حتّى ينتفي التخصيص مع انتفائه بإعسار الزوج، بل المراد منها أنّ زكاة الزوجة جعلت بحسب أصل الحكم </w:t>
      </w:r>
      <w:r>
        <w:rPr>
          <w:rStyle w:val="FootnoteAnchor"/>
          <w:rtl w:val="true"/>
        </w:rPr>
        <w:footnoteReference w:id="2611"/>
      </w:r>
      <w:r>
        <w:rPr>
          <w:rFonts w:ascii="Amiri" w:hAnsi="Amiri" w:eastAsia="Amiri" w:cs="Amiri"/>
          <w:color w:val="111111"/>
          <w:sz w:val="28"/>
          <w:sz w:val="28"/>
          <w:szCs w:val="28"/>
          <w:rtl w:val="true"/>
          <w:lang w:bidi="ar-SA"/>
        </w:rPr>
        <w:t>الشرعي على الزوج، فالزوجة خارجة عن عمومات وجوب الفطرة بأصل الشرع، أدّى الزوج عنها أم لم يؤدّ، عذرا أو عمدا، و هو لا يخلو عن اشكال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القول بالسقوط مع ترك الزوج عصيانا من جهة دخول المورد حينئذ تحت عموم المخصّص، أعني ما دلّ على وجوب فطرة الزوجة على الزوج الموسر،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وجوبها عليه لا يوجب السقوط عنها، و لا نسلّم تخصيص عموم ما دلّ على ثبوت الفطرة على كلّ أحد بما دلّ على ثبوت فطرة الزوجة على الزوج الموسر، لإمكان ثبوته على العيال إلّا </w:t>
      </w:r>
      <w:r>
        <w:rPr>
          <w:rStyle w:val="FootnoteAnchor"/>
          <w:rtl w:val="true"/>
        </w:rPr>
        <w:footnoteReference w:id="2612"/>
      </w:r>
      <w:r>
        <w:rPr>
          <w:rFonts w:ascii="Amiri" w:hAnsi="Amiri" w:eastAsia="Amiri" w:cs="Amiri"/>
          <w:color w:val="111111"/>
          <w:sz w:val="28"/>
          <w:sz w:val="28"/>
          <w:szCs w:val="28"/>
          <w:rtl w:val="true"/>
          <w:lang w:bidi="ar-SA"/>
        </w:rPr>
        <w:t>أن يسقطها عنه المعيل، كما إذا وجب على شخص أداء دين غيره</w:t>
      </w:r>
      <w:r>
        <w:rPr>
          <w:rFonts w:eastAsia="Amiri" w:cs="Amiri" w:ascii="Amiri" w:hAnsi="Amiri"/>
          <w:color w:val="111111"/>
          <w:sz w:val="28"/>
          <w:szCs w:val="28"/>
          <w:rtl w:val="true"/>
          <w:lang w:bidi="ar-SA"/>
        </w:rPr>
        <w:t>.</w:t>
      </w:r>
      <w:bookmarkStart w:id="182" w:name="pg19722_766482"/>
    </w:p>
    <w:p>
      <w:pPr>
        <w:pStyle w:val="Heading4"/>
        <w:numPr>
          <w:ilvl w:val="3"/>
          <w:numId w:val="1"/>
        </w:numPr>
        <w:rPr/>
      </w:pPr>
      <w:bookmarkStart w:id="183" w:name="__RefHeading___Toc2136402_2314609296"/>
      <w:bookmarkStart w:id="184" w:name="_Toc63"/>
      <w:bookmarkEnd w:id="182"/>
      <w:bookmarkEnd w:id="183"/>
      <w:r>
        <w:rPr>
          <w:rtl w:val="true"/>
        </w:rPr>
        <w:t xml:space="preserve">مسألة </w:t>
      </w:r>
      <w:r>
        <w:rPr>
          <w:rtl w:val="true"/>
        </w:rPr>
        <w:t>[</w:t>
      </w:r>
      <w:r>
        <w:rPr/>
        <w:t>4</w:t>
      </w:r>
      <w:r>
        <w:rPr>
          <w:rtl w:val="true"/>
        </w:rPr>
        <w:t>]</w:t>
      </w:r>
      <w:bookmarkEnd w:id="184"/>
    </w:p>
    <w:p>
      <w:pPr>
        <w:pStyle w:val="BookText"/>
        <w:rPr/>
      </w:pPr>
      <w:r>
        <w:rPr>
          <w:rFonts w:ascii="Amiri" w:hAnsi="Amiri" w:eastAsia="Amiri" w:cs="Amiri"/>
          <w:color w:val="111111"/>
          <w:sz w:val="28"/>
          <w:sz w:val="28"/>
          <w:szCs w:val="28"/>
          <w:rtl w:val="true"/>
          <w:lang w:bidi="ar-SA"/>
        </w:rPr>
        <w:t xml:space="preserve">العبرة في وجوب أداء الفطرة على الشخص عن نفسه أو عن غيره باستجماعه الشرائط عند هلال شوّال، فلا عبرة بحدوثها بعده كما لا عبرة باختلالها، فلو كان عند الهلال عبدا أو فقيرا أو ناقصا، أو غير معيل لشخص لم يجب عليه و إن حدث الشروط بعده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مضافا إلى الإجماع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مولود ولد ليلة الفطر، أ عليه فطرة؟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قد خرج الشهر، و سألته عن يهوديّ أسلم ليلة الفطر، عليه فطرة؟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أنّ العلّة في عدم حدوث وجوب الفطرة للمولود هي خروج شهر رمضان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على المتأمّل أنّ المراد من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واحد كما في الرواية الآتية، و هو مجرد تعلّق الفطرة به </w:t>
      </w:r>
      <w:r>
        <w:rPr>
          <w:rStyle w:val="FootnoteAnchor"/>
          <w:rtl w:val="true"/>
        </w:rPr>
        <w:footnoteReference w:id="2615"/>
      </w:r>
      <w:r>
        <w:rPr>
          <w:rFonts w:ascii="Amiri" w:hAnsi="Amiri" w:eastAsia="Amiri" w:cs="Amiri"/>
          <w:color w:val="111111"/>
          <w:sz w:val="28"/>
          <w:sz w:val="28"/>
          <w:szCs w:val="28"/>
          <w:rtl w:val="true"/>
          <w:lang w:bidi="ar-SA"/>
        </w:rPr>
        <w:t xml:space="preserve">أعمّ من كونه مخرجا أو مخرجا عنه، و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w:t>
      </w:r>
    </w:p>
    <w:p>
      <w:pPr>
        <w:pStyle w:val="BookText"/>
        <w:rPr/>
      </w:pPr>
      <w:r>
        <w:rPr>
          <w:rFonts w:ascii="Amiri" w:hAnsi="Amiri" w:eastAsia="Amiri" w:cs="Amiri"/>
          <w:color w:val="111111"/>
          <w:sz w:val="28"/>
          <w:sz w:val="28"/>
          <w:szCs w:val="28"/>
          <w:rtl w:val="true"/>
          <w:lang w:bidi="ar-SA"/>
        </w:rPr>
        <w:t xml:space="preserve">الفطرة باستعمال واحد بالنسبة إلى المخرج و المخرج عنه في غاية الكثرة، و المراد به ما ذكرنا من المعنى الأعمّ، فالمنفي هو هذا المعنى المشترك، و التعليل راجع إلى نفيه </w:t>
      </w:r>
      <w:r>
        <w:rPr>
          <w:rStyle w:val="FootnoteAnchor"/>
          <w:rtl w:val="true"/>
        </w:rPr>
        <w:footnoteReference w:id="2616"/>
      </w:r>
      <w:r>
        <w:rPr>
          <w:rFonts w:ascii="Amiri" w:hAnsi="Amiri" w:eastAsia="Amiri" w:cs="Amiri"/>
          <w:color w:val="111111"/>
          <w:sz w:val="28"/>
          <w:sz w:val="28"/>
          <w:szCs w:val="28"/>
          <w:rtl w:val="true"/>
          <w:lang w:bidi="ar-SA"/>
        </w:rPr>
        <w:t>فمفاد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كلّما خرج الشهر فلا يحدث تعلّق الفطرة بالشخص، لا وجوب الإخراج و لا وجوب الإخراج عنه، فلا يتوهّم أنّ العلّة راجعة إلى نفي وجوب الفطرة عن شخص، فلا يدلّ على حكم حدوث شروط وجوب الأداء بعد الهلال، مع أنّ ظاهر ذيل الرواية بمقتضى الذوق السليم هو كون حكمه عليه السلام بعدم الوجوب على المسلم أيضا متفرّعا على خروج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رواية الفقيه، عن علي بن أبي حمزة،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المولود يولد ليلة الفطر، و اليهودي و النصراني يسلمان ليلة الفطر؟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عليهم فطرة، ليس الفطرة إلّا على من أدرك الشهر</w:t>
      </w:r>
      <w:r>
        <w:rPr>
          <w:rFonts w:eastAsia="Amiri" w:cs="Amiri" w:ascii="Amiri" w:hAnsi="Amiri"/>
          <w:color w:val="111111"/>
          <w:sz w:val="28"/>
          <w:szCs w:val="28"/>
          <w:rtl w:val="true"/>
          <w:lang w:bidi="ar-SA"/>
        </w:rPr>
        <w:t xml:space="preserve">» </w:t>
      </w:r>
      <w:r>
        <w:rPr>
          <w:rStyle w:val="FootnoteAnchor"/>
          <w:rtl w:val="true"/>
        </w:rPr>
        <w:footnoteReference w:id="2617"/>
      </w:r>
      <w:r>
        <w:rPr>
          <w:rFonts w:ascii="Amiri" w:hAnsi="Amiri" w:eastAsia="Amiri" w:cs="Amiri"/>
          <w:color w:val="111111"/>
          <w:sz w:val="28"/>
          <w:sz w:val="28"/>
          <w:szCs w:val="28"/>
          <w:rtl w:val="true"/>
          <w:lang w:bidi="ar-SA"/>
        </w:rPr>
        <w:t xml:space="preserve">دلت على انحصار تعلق الفطرة بالإنسان من حيث الإخراج أو الإخراج عنه فيمن أدرك الشهر، و الكافر و إن كان قد أدرك الشهر جامعا لشرائط الوجوب إلّا أنّه لما جبّ بالإسلام </w:t>
      </w:r>
      <w:r>
        <w:rPr>
          <w:rStyle w:val="FootnoteAnchor"/>
          <w:rtl w:val="true"/>
        </w:rPr>
        <w:footnoteReference w:id="2618"/>
      </w:r>
      <w:r>
        <w:rPr>
          <w:rFonts w:ascii="Amiri" w:hAnsi="Amiri" w:eastAsia="Amiri" w:cs="Amiri"/>
          <w:color w:val="111111"/>
          <w:sz w:val="28"/>
          <w:sz w:val="28"/>
          <w:szCs w:val="28"/>
          <w:rtl w:val="true"/>
          <w:lang w:bidi="ar-SA"/>
        </w:rPr>
        <w:t>لم يحدث تكليف آخر عليه؛ لكونه معلّقا على إدراك شهر رمضان الممتنع في حقه، و هو غير متحقّق في هذا الوجوب الحادث</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فدلت الرواية على أنّ الوجوب معلّق على إدراك الشهر و لا ينفكّ عنه، فمن لم يجب الفطر عليه أو عنه إدراك الشهر، أو وجب ثمّ سقط بالإسلام فلا يحدث عليه الوجوب بعد ذلك، و إلّا لم يكن الوجوب معلّقا على إدراك </w:t>
      </w:r>
      <w:r>
        <w:rPr>
          <w:rStyle w:val="FootnoteAnchor"/>
          <w:rtl w:val="true"/>
        </w:rPr>
        <w:footnoteReference w:id="2619"/>
      </w:r>
      <w:r>
        <w:rPr>
          <w:rFonts w:ascii="IRNazanin" w:hAnsi="IRNazanin" w:eastAsia="IRNazanin"/>
          <w:color w:val="111111"/>
          <w:sz w:val="28"/>
          <w:sz w:val="28"/>
          <w:szCs w:val="28"/>
          <w:rtl w:val="true"/>
          <w:lang w:bidi="fa-IR"/>
        </w:rPr>
        <w:t xml:space="preserve">الشهر، فمرجع </w:t>
      </w:r>
      <w:r>
        <w:rPr>
          <w:rStyle w:val="FootnoteAnchor"/>
          <w:rtl w:val="true"/>
        </w:rPr>
        <w:footnoteReference w:id="2620"/>
      </w:r>
      <w:r>
        <w:rPr>
          <w:rFonts w:ascii="Amiri" w:hAnsi="Amiri" w:eastAsia="Amiri" w:cs="Amiri"/>
          <w:color w:val="111111"/>
          <w:sz w:val="28"/>
          <w:sz w:val="28"/>
          <w:szCs w:val="28"/>
          <w:rtl w:val="true"/>
          <w:lang w:bidi="ar-SA"/>
        </w:rPr>
        <w:t>الرواية إلى مفاد الصحيحة السابقة الدالّة على أنّ خروج</w:t>
      </w:r>
    </w:p>
    <w:p>
      <w:pPr>
        <w:pStyle w:val="BookText"/>
        <w:rPr/>
      </w:pPr>
      <w:r>
        <w:rPr>
          <w:rFonts w:ascii="Amiri" w:hAnsi="Amiri" w:eastAsia="Amiri" w:cs="Amiri"/>
          <w:color w:val="111111"/>
          <w:sz w:val="28"/>
          <w:sz w:val="28"/>
          <w:szCs w:val="28"/>
          <w:rtl w:val="true"/>
          <w:lang w:bidi="ar-SA"/>
        </w:rPr>
        <w:t>الشهر علّة لعدم حدوث تعلّق الفطرة بمن لم يتعلّق عليه في آخر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2621"/>
      </w:r>
      <w:r>
        <w:rPr>
          <w:rFonts w:ascii="Amiri" w:hAnsi="Amiri" w:eastAsia="Amiri" w:cs="Amiri"/>
          <w:color w:val="111111"/>
          <w:sz w:val="28"/>
          <w:sz w:val="28"/>
          <w:szCs w:val="28"/>
          <w:rtl w:val="true"/>
          <w:lang w:bidi="ar-SA"/>
        </w:rPr>
        <w:t>يعلم أنّ وقت أداء الفطر ليس نظير وقت أداء الظهرين مثلا، فإنّ كلّ جزء من الوقت يسع الصلاتين سبب لوجوبهما يكفي في تعلّق التكليف بالشخص استجماعه للشرائط في ذلك الجزء، بخلاف الوقت هنا، فإنّ السبب إما خارج عنه بالمرّة، و إمّا أوّل جزء من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الآتي في مبدأ وقت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الوجوب المعلّق على إدراك الشهر كما يظهر من الروايتين هو الوجوب الواقعي، بل مطلق تعلّق الفطرة أعمّ من الإخراج و الإخراج عنه، لا تنجّز التكليف و فعليته، فلو كان عند الهلال نائما، أو غير ملتفت إلى وجوب الفطرة، أو معتقدا لعدمه في بعض موارد الخلاف اجتهادا أو تقليدا أو لشبهة في الموضوع كعدم التولّد، أو عدم كونه ولدا أو مملوكا أو زوجة له، لم يقدح ذلك كلّه في حدوث التنجز عليه عند التنبّه ما بين الهلال و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يعلم أنّ التمسّك في نفي الوجوب عن المغمى عليه عند الهلال بكونه غير قابل للتكليف حينئذ فلا يحدث بعد خروج الشهر، إن أريد به عدم قابليته لتنجّز التكليف عليه عقلا؛ لعدم شعوره، فقد عرفت أنّه غير معتبر كما في النائم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أريد به عدم قابليته لتعلّق الوجوب الواقعي كما في الصبي و المجنون، فهو حسن، إلّا أنّه يحتاج إلى إثبات كونه كذلك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المنفي في الروايتين </w:t>
      </w:r>
      <w:r>
        <w:rPr>
          <w:rStyle w:val="FootnoteAnchor"/>
          <w:rtl w:val="true"/>
        </w:rPr>
        <w:footnoteReference w:id="2623"/>
      </w:r>
      <w:r>
        <w:rPr>
          <w:rFonts w:ascii="Amiri" w:hAnsi="Amiri" w:eastAsia="Amiri" w:cs="Amiri"/>
          <w:color w:val="111111"/>
          <w:sz w:val="28"/>
          <w:sz w:val="28"/>
          <w:szCs w:val="28"/>
          <w:rtl w:val="true"/>
          <w:lang w:bidi="ar-SA"/>
        </w:rPr>
        <w:t>هو تنجّز التكليف، فتدلّان على أنّ كلّ من لم يكلّف و لم يخاطب فعلا عقلا أو شرعا بوجوب الفطرة عند الهلال فلا</w:t>
      </w:r>
    </w:p>
    <w:p>
      <w:pPr>
        <w:pStyle w:val="BookText"/>
        <w:rPr/>
      </w:pPr>
      <w:r>
        <w:rPr>
          <w:rFonts w:ascii="Amiri" w:hAnsi="Amiri" w:eastAsia="Amiri" w:cs="Amiri"/>
          <w:color w:val="111111"/>
          <w:sz w:val="28"/>
          <w:sz w:val="28"/>
          <w:szCs w:val="28"/>
          <w:rtl w:val="true"/>
          <w:lang w:bidi="ar-SA"/>
        </w:rPr>
        <w:t xml:space="preserve">يحدث الوجوب عليه بعد ذلك، خرج منه النائم و أشباهه و بقي المغمى عليه، ففاسدة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w:t>
      </w:r>
      <w:r>
        <w:rPr>
          <w:rStyle w:val="FootnoteAnchor"/>
          <w:rtl w:val="true"/>
        </w:rPr>
        <w:footnoteReference w:id="2625"/>
      </w:r>
      <w:r>
        <w:rPr>
          <w:rFonts w:ascii="Amiri" w:hAnsi="Amiri" w:eastAsia="Amiri" w:cs="Amiri"/>
          <w:color w:val="111111"/>
          <w:sz w:val="28"/>
          <w:sz w:val="28"/>
          <w:szCs w:val="28"/>
          <w:rtl w:val="true"/>
          <w:lang w:bidi="ar-SA"/>
        </w:rPr>
        <w:t xml:space="preserve">من أنّ المنفي هو تعلّق المشترك بين الوجوب عنه، و عليه، و هذا المقدار من التعلّق ليس منفيا عن النائم و المغمى عليه عقلا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اللازم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التماس دليل خارجي على تكليف النائم و أشباهه بالفطرة؛ لأنّ مقتضى الروايتين هو عدم</w:t>
      </w:r>
      <w:r>
        <w:rPr>
          <w:rFonts w:eastAsia="Amiri" w:cs="Amiri" w:ascii="Amiri" w:hAnsi="Amiri"/>
          <w:color w:val="111111"/>
          <w:sz w:val="28"/>
          <w:szCs w:val="28"/>
          <w:rtl w:val="true"/>
          <w:lang w:bidi="ar-SA"/>
        </w:rPr>
        <w:t xml:space="preserve">] </w:t>
      </w:r>
      <w:r>
        <w:rPr>
          <w:rStyle w:val="FootnoteAnchor"/>
          <w:rtl w:val="true"/>
        </w:rPr>
        <w:footnoteReference w:id="2627"/>
      </w:r>
      <w:r>
        <w:rPr>
          <w:rFonts w:ascii="Amiri" w:hAnsi="Amiri" w:eastAsia="Amiri" w:cs="Amiri"/>
          <w:color w:val="111111"/>
          <w:sz w:val="28"/>
          <w:sz w:val="28"/>
          <w:szCs w:val="28"/>
          <w:rtl w:val="true"/>
          <w:lang w:bidi="ar-SA"/>
        </w:rPr>
        <w:t xml:space="preserve">حدوث التكليف على من لم يكلّف </w:t>
      </w:r>
      <w:r>
        <w:rPr>
          <w:rStyle w:val="FootnoteAnchor"/>
          <w:rtl w:val="true"/>
        </w:rPr>
        <w:footnoteReference w:id="2628"/>
      </w:r>
      <w:r>
        <w:rPr>
          <w:rFonts w:ascii="Amiri" w:hAnsi="Amiri" w:eastAsia="Amiri" w:cs="Amiri"/>
          <w:color w:val="111111"/>
          <w:sz w:val="28"/>
          <w:sz w:val="28"/>
          <w:szCs w:val="28"/>
          <w:rtl w:val="true"/>
          <w:lang w:bidi="ar-SA"/>
        </w:rPr>
        <w:t>عند الهلال على وجه يكون المعيار و المدار في التكليف هو إدراك الهلال، و هذا المعنى غير قابل للتخصيص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ما دلّت عليه الروايتان من إناطة وجوب الفطرة بإدراك الشهر جامعا للشرائط، الظاهر أنّه غير مبنيّ على توقيت الفطر بهلال شوال، كما هو أحد القولين في مسألة وقت الفطر، فليس من يقول بأنّ وقتها طلوع الفجر قائلا باعتبار اجتماع هذه الشرائط في آخر الليل بحيث يدرك جزء من يوم العيد على الشرائط و إن فقدها عند هلال شوّال، بل هؤلاء أيضا قائلون باعتبار اجتماع الشرائط عند الهلال أيضا و إن فقدها بعد ذلك؛ و لهذا ادّعى في المدارك </w:t>
      </w:r>
      <w:r>
        <w:rPr>
          <w:rStyle w:val="FootnoteAnchor"/>
          <w:rtl w:val="true"/>
        </w:rPr>
        <w:footnoteReference w:id="2629"/>
      </w:r>
      <w:r>
        <w:rPr>
          <w:rFonts w:ascii="Amiri" w:hAnsi="Amiri" w:eastAsia="Amiri" w:cs="Amiri"/>
          <w:color w:val="111111"/>
          <w:sz w:val="28"/>
          <w:sz w:val="28"/>
          <w:szCs w:val="28"/>
          <w:rtl w:val="true"/>
          <w:lang w:bidi="ar-SA"/>
        </w:rPr>
        <w:t>الإجماع على مسألة اعتبار الاجتماع عند الهلال مع وقوع الخلاف العظيم في المسألة كما يأتي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أيضا ابتناء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اعتبار الاجتماع عند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بتوقيت الفطرة بدخول الهلال، فكلّ من يقول بأن وقتها طلوع الفجر</w:t>
      </w:r>
    </w:p>
    <w:p>
      <w:pPr>
        <w:pStyle w:val="BookText"/>
        <w:rPr/>
      </w:pPr>
      <w:r>
        <w:rPr>
          <w:rFonts w:ascii="Amiri" w:hAnsi="Amiri" w:eastAsia="Amiri" w:cs="Amiri"/>
          <w:color w:val="111111"/>
          <w:sz w:val="28"/>
          <w:sz w:val="28"/>
          <w:szCs w:val="28"/>
          <w:rtl w:val="true"/>
          <w:lang w:bidi="ar-SA"/>
        </w:rPr>
        <w:t xml:space="preserve">يعتبر الشرائط عند الطلوع، و لذا قال في المختلف </w:t>
      </w:r>
      <w:r>
        <w:rPr>
          <w:rStyle w:val="FootnoteAnchor"/>
          <w:rtl w:val="true"/>
        </w:rPr>
        <w:footnoteReference w:id="2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الشيخ في النهاية </w:t>
      </w:r>
      <w:r>
        <w:rPr>
          <w:rStyle w:val="FootnoteAnchor"/>
          <w:rtl w:val="true"/>
        </w:rPr>
        <w:footnoteReference w:id="2631"/>
      </w:r>
      <w:r>
        <w:rPr>
          <w:rFonts w:ascii="IRNazanin" w:hAnsi="IRNazanin" w:eastAsia="IRNazanin"/>
          <w:color w:val="111111"/>
          <w:sz w:val="28"/>
          <w:sz w:val="28"/>
          <w:szCs w:val="28"/>
          <w:rtl w:val="true"/>
          <w:lang w:bidi="fa-IR"/>
        </w:rPr>
        <w:t xml:space="preserve">و المبسوط </w:t>
      </w:r>
      <w:r>
        <w:rPr>
          <w:rStyle w:val="FootnoteAnchor"/>
          <w:rtl w:val="true"/>
        </w:rPr>
        <w:footnoteReference w:id="2632"/>
      </w:r>
      <w:r>
        <w:rPr>
          <w:rFonts w:ascii="IRNazanin" w:hAnsi="IRNazanin" w:eastAsia="IRNazanin"/>
          <w:color w:val="111111"/>
          <w:sz w:val="28"/>
          <w:sz w:val="28"/>
          <w:szCs w:val="28"/>
          <w:rtl w:val="true"/>
          <w:lang w:bidi="fa-IR"/>
        </w:rPr>
        <w:t xml:space="preserve">و الخلاف </w:t>
      </w:r>
      <w:r>
        <w:rPr>
          <w:rStyle w:val="FootnoteAnchor"/>
          <w:rtl w:val="true"/>
        </w:rPr>
        <w:footnoteReference w:id="2633"/>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وقتها طلوع الفجر، و عنه في الجمل </w:t>
      </w:r>
      <w:r>
        <w:rPr>
          <w:rStyle w:val="FootnoteAnchor"/>
          <w:rtl w:val="true"/>
        </w:rPr>
        <w:footnoteReference w:id="2634"/>
      </w:r>
      <w:r>
        <w:rPr>
          <w:rFonts w:ascii="IRNazanin" w:hAnsi="IRNazanin" w:eastAsia="IRNazanin"/>
          <w:color w:val="111111"/>
          <w:sz w:val="28"/>
          <w:sz w:val="28"/>
          <w:szCs w:val="28"/>
          <w:rtl w:val="true"/>
          <w:lang w:bidi="fa-IR"/>
        </w:rPr>
        <w:t xml:space="preserve">و الاقتصاد </w:t>
      </w:r>
      <w:r>
        <w:rPr>
          <w:rStyle w:val="FootnoteAnchor"/>
          <w:rtl w:val="true"/>
        </w:rPr>
        <w:footnoteReference w:id="2635"/>
      </w:r>
      <w:r>
        <w:rPr>
          <w:rFonts w:ascii="Amiri" w:hAnsi="Amiri" w:eastAsia="Amiri" w:cs="Amiri"/>
          <w:color w:val="111111"/>
          <w:sz w:val="28"/>
          <w:sz w:val="28"/>
          <w:szCs w:val="28"/>
          <w:rtl w:val="true"/>
          <w:lang w:bidi="ar-SA"/>
        </w:rPr>
        <w:t>انّ وقتها هلال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في النهاية </w:t>
      </w:r>
      <w:r>
        <w:rPr>
          <w:rStyle w:val="FootnoteAnchor"/>
          <w:rtl w:val="true"/>
        </w:rPr>
        <w:footnoteReference w:id="2636"/>
      </w:r>
      <w:r>
        <w:rPr>
          <w:rFonts w:ascii="IRNazanin" w:hAnsi="IRNazanin" w:eastAsia="IRNazanin"/>
          <w:color w:val="111111"/>
          <w:sz w:val="28"/>
          <w:sz w:val="28"/>
          <w:szCs w:val="28"/>
          <w:rtl w:val="true"/>
          <w:lang w:bidi="fa-IR"/>
        </w:rPr>
        <w:t xml:space="preserve">و المبسوط </w:t>
      </w:r>
      <w:r>
        <w:rPr>
          <w:rStyle w:val="FootnoteAnchor"/>
          <w:rtl w:val="true"/>
        </w:rPr>
        <w:footnoteReference w:id="2637"/>
      </w:r>
      <w:r>
        <w:rPr>
          <w:rFonts w:ascii="IRNazanin" w:hAnsi="IRNazanin" w:eastAsia="IRNazanin"/>
          <w:color w:val="111111"/>
          <w:sz w:val="28"/>
          <w:sz w:val="28"/>
          <w:szCs w:val="28"/>
          <w:rtl w:val="true"/>
          <w:lang w:bidi="fa-IR"/>
        </w:rPr>
        <w:t xml:space="preserve">و الخلاف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9"/>
      </w:r>
      <w:r>
        <w:rPr>
          <w:rFonts w:ascii="Amiri" w:hAnsi="Amiri" w:eastAsia="Amiri" w:cs="Amiri"/>
          <w:color w:val="111111"/>
          <w:sz w:val="28"/>
          <w:sz w:val="28"/>
          <w:szCs w:val="28"/>
          <w:rtl w:val="true"/>
          <w:lang w:bidi="ar-SA"/>
        </w:rPr>
        <w:t>من انه إذا وهب له عبد أو ولد له أو أسلم أو ملك مالا قبل الهلال وجب الزكاة، و ان كان بعده استحبّ إلى الزوال، مشعر بما اختاره في الجمل و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عدم الابتناء، و لذلك لم يحكم في المختلف بصراحة الفروع المذكورة في كتب الشيخ بما اختاره في الجمل و الاقتصاد، بل استشعر منها </w:t>
      </w:r>
      <w:r>
        <w:rPr>
          <w:rStyle w:val="FootnoteAnchor"/>
          <w:rtl w:val="true"/>
        </w:rPr>
        <w:footnoteReference w:id="2640"/>
      </w:r>
      <w:r>
        <w:rPr>
          <w:rFonts w:ascii="Amiri" w:hAnsi="Amiri" w:eastAsia="Amiri" w:cs="Amiri"/>
          <w:color w:val="111111"/>
          <w:sz w:val="28"/>
          <w:sz w:val="28"/>
          <w:szCs w:val="28"/>
          <w:rtl w:val="true"/>
          <w:lang w:bidi="ar-SA"/>
        </w:rPr>
        <w:t>ذلك، فالظاهر عدم الابتناء كما يشهد به ذكر الشيخ للفروع المذكورة في كتبه التي اختار فيها التوقيت بطلوع الفجر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أيضا بل يشهد له أنّ أحدا من الفقهاء لم يعتبر في الضيف بقاء عنوان الضيافة فيه إلى طلوع الفجر من يوم العيد، مع استنادهم في وجوب الفطرة عن الضيف بما ورد من وجوب الفطرة عن الضيف و عن العيال و من ضمّ</w:t>
      </w:r>
    </w:p>
    <w:p>
      <w:pPr>
        <w:pStyle w:val="BookText"/>
        <w:rPr/>
      </w:pPr>
      <w:r>
        <w:rPr>
          <w:rFonts w:ascii="Amiri" w:hAnsi="Amiri" w:eastAsia="Amiri" w:cs="Amiri"/>
          <w:color w:val="111111"/>
          <w:sz w:val="28"/>
          <w:sz w:val="28"/>
          <w:szCs w:val="28"/>
          <w:rtl w:val="true"/>
          <w:lang w:bidi="ar-SA"/>
        </w:rPr>
        <w:t>إليهم فلو كان العبرة باجتماع الشرائط عند الطلوع لم يكن بدّ من اعتبار الضيافة عند الطلوع؛ ليتحقّق صدق عنوان الضيف و العيال في وقت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عدم المنافاة بين الاتّفاق على اعتبار الشروط عند الهلال، و الخلاف في وقت الفطرة، فالكلام هنا في وقت الوجوب، و الخلاف فيما سيأتي في وقت الواجب و هو الإخراج، و حينئذ فيكون استدلال بعض القائلين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الوقت هلال شوّال بما تقدّم من روايتي معاوية بن عمّار </w:t>
      </w:r>
      <w:r>
        <w:rPr>
          <w:rStyle w:val="FootnoteAnchor"/>
          <w:rtl w:val="true"/>
        </w:rPr>
        <w:footnoteReference w:id="2641"/>
      </w:r>
      <w:r>
        <w:rPr>
          <w:rFonts w:ascii="Amiri" w:hAnsi="Amiri" w:eastAsia="Amiri" w:cs="Amiri"/>
          <w:color w:val="111111"/>
          <w:sz w:val="28"/>
          <w:sz w:val="28"/>
          <w:szCs w:val="28"/>
          <w:rtl w:val="true"/>
          <w:lang w:bidi="ar-SA"/>
        </w:rPr>
        <w:t xml:space="preserve">بناء على أنّ الأصل و الظاهر فيما ثبت وجوب شي‌ء في زمان كون الزمان لنفس الواجب أيضا كما لا يخفى، فتخطئة شارح الروضة </w:t>
      </w:r>
      <w:r>
        <w:rPr>
          <w:rStyle w:val="FootnoteAnchor"/>
          <w:rtl w:val="true"/>
        </w:rPr>
        <w:footnoteReference w:id="2642"/>
      </w:r>
      <w:r>
        <w:rPr>
          <w:rFonts w:ascii="Amiri" w:hAnsi="Amiri" w:eastAsia="Amiri" w:cs="Amiri"/>
          <w:color w:val="111111"/>
          <w:sz w:val="28"/>
          <w:sz w:val="28"/>
          <w:szCs w:val="28"/>
          <w:rtl w:val="true"/>
          <w:lang w:bidi="ar-SA"/>
        </w:rPr>
        <w:t xml:space="preserve">لمثل الفاضلين </w:t>
      </w:r>
      <w:r>
        <w:rPr>
          <w:rStyle w:val="FootnoteAnchor"/>
          <w:rtl w:val="true"/>
        </w:rPr>
        <w:footnoteReference w:id="2643"/>
      </w:r>
      <w:r>
        <w:rPr>
          <w:rFonts w:ascii="Amiri" w:hAnsi="Amiri" w:eastAsia="Amiri" w:cs="Amiri"/>
          <w:color w:val="111111"/>
          <w:sz w:val="28"/>
          <w:sz w:val="28"/>
          <w:szCs w:val="28"/>
          <w:rtl w:val="true"/>
          <w:lang w:bidi="ar-SA"/>
        </w:rPr>
        <w:t>في تمسّكهما بالروايتين في تلك المسألة بأنّهما تدلّان على وقت الوجوب لا الواجب في محلّه؛ لأنّ الأصل و الظاهر اتّحاد زمان الواجب و الوجوب، لكن يبعد ما ذكرنا تصريح القائلين بكون وقت الفطرة طلوع الفجر، انّه وقت وجوبها فيحتمل لأجل ذلك أن يكون اجتماع الشرائط عند الهلال سببا لثبوت الوجوب عند الطلوع و إن لم يكن وقتا 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يبعّده استدلالهم بأدلّة وجوب الإخراج عن الضيف، و العيال باعتبار الضيافة طول الشهر، أو في النصف الأخير </w:t>
      </w:r>
      <w:r>
        <w:rPr>
          <w:rStyle w:val="FootnoteAnchor"/>
          <w:rtl w:val="true"/>
        </w:rPr>
        <w:footnoteReference w:id="2644"/>
      </w:r>
      <w:r>
        <w:rPr>
          <w:rFonts w:ascii="Amiri" w:hAnsi="Amiri" w:eastAsia="Amiri" w:cs="Amiri"/>
          <w:color w:val="111111"/>
          <w:sz w:val="28"/>
          <w:sz w:val="28"/>
          <w:szCs w:val="28"/>
          <w:rtl w:val="true"/>
          <w:lang w:bidi="ar-SA"/>
        </w:rPr>
        <w:t>أو غير ذلك؛ فإنّ مقتضى الوجوب عن العيال و الضيف تحقّق العنوان في وقت الوجوب، و كذا حكمهم بوجوب الفطرة على من مات عند الطلوع أو افتقر، اللّهم إلّا أن يقال بكفاية السبب قبل وقت الوجوب في اشتغال الذمّة، نظير أسباب الضمان للطفل و المجنون، فتأمّل جدّا</w:t>
      </w:r>
      <w:r>
        <w:rPr>
          <w:rFonts w:eastAsia="Amiri" w:cs="Amiri" w:ascii="Amiri" w:hAnsi="Amiri"/>
          <w:color w:val="111111"/>
          <w:sz w:val="28"/>
          <w:szCs w:val="28"/>
          <w:rtl w:val="true"/>
          <w:lang w:bidi="ar-SA"/>
        </w:rPr>
        <w:t>.</w:t>
      </w:r>
      <w:bookmarkStart w:id="185" w:name="pg19722_766488"/>
    </w:p>
    <w:p>
      <w:pPr>
        <w:pStyle w:val="Heading4"/>
        <w:numPr>
          <w:ilvl w:val="3"/>
          <w:numId w:val="1"/>
        </w:numPr>
        <w:rPr/>
      </w:pPr>
      <w:bookmarkStart w:id="186" w:name="__RefHeading___Toc2136404_2314609296"/>
      <w:bookmarkStart w:id="187" w:name="_Toc64"/>
      <w:bookmarkEnd w:id="185"/>
      <w:bookmarkEnd w:id="186"/>
      <w:r>
        <w:rPr>
          <w:rtl w:val="true"/>
        </w:rPr>
        <w:t xml:space="preserve">مسألة </w:t>
      </w:r>
      <w:r>
        <w:rPr>
          <w:rtl w:val="true"/>
        </w:rPr>
        <w:t>[</w:t>
      </w:r>
      <w:r>
        <w:rPr/>
        <w:t>5</w:t>
      </w:r>
      <w:r>
        <w:rPr>
          <w:rtl w:val="true"/>
        </w:rPr>
        <w:t>]</w:t>
      </w:r>
      <w:bookmarkEnd w:id="187"/>
    </w:p>
    <w:p>
      <w:pPr>
        <w:pStyle w:val="BookText"/>
        <w:rPr/>
      </w:pPr>
      <w:r>
        <w:rPr>
          <w:rFonts w:ascii="Amiri" w:hAnsi="Amiri" w:eastAsia="Amiri" w:cs="Amiri"/>
          <w:color w:val="111111"/>
          <w:sz w:val="28"/>
          <w:sz w:val="28"/>
          <w:szCs w:val="28"/>
          <w:rtl w:val="true"/>
          <w:lang w:bidi="ar-SA"/>
        </w:rPr>
        <w:t xml:space="preserve">إذا كان العبد بين شريكين، فالمحكيّ عن الأكثر وجوب فطرته عليهما بالاشتراك </w:t>
      </w:r>
      <w:r>
        <w:rPr>
          <w:rStyle w:val="FootnoteAnchor"/>
          <w:rtl w:val="true"/>
        </w:rPr>
        <w:footnoteReference w:id="2645"/>
      </w:r>
      <w:r>
        <w:rPr>
          <w:rFonts w:ascii="Amiri" w:hAnsi="Amiri" w:eastAsia="Amiri" w:cs="Amiri"/>
          <w:color w:val="111111"/>
          <w:sz w:val="28"/>
          <w:sz w:val="28"/>
          <w:szCs w:val="28"/>
          <w:rtl w:val="true"/>
          <w:lang w:bidi="ar-SA"/>
        </w:rPr>
        <w:t>،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ما دلّ على ثبوت الفطرة على كلّ إنسان، إما على نفسه أو على غيره </w:t>
      </w:r>
      <w:r>
        <w:rPr>
          <w:rStyle w:val="FootnoteAnchor"/>
          <w:rtl w:val="true"/>
        </w:rPr>
        <w:footnoteReference w:id="2646"/>
      </w:r>
      <w:r>
        <w:rPr>
          <w:rFonts w:ascii="Amiri" w:hAnsi="Amiri" w:eastAsia="Amiri" w:cs="Amiri"/>
          <w:color w:val="111111"/>
          <w:sz w:val="28"/>
          <w:sz w:val="28"/>
          <w:szCs w:val="28"/>
          <w:rtl w:val="true"/>
          <w:lang w:bidi="ar-SA"/>
        </w:rPr>
        <w:t>، خرج منه فاقد الشروط الذي لا يعوله واجدها، و بقي الباقي، 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كون المالكية سببا لوجوب الفطرة إمّا بنفسها؛ بناء على كون فطرة المملوك من حيث هو، و امّا عنوان العيلولة، بناء على القول الآخر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التقديرين فلا فرق في نظر الشارع ظاهرا بين قيام السبب أعني الملكية؛ أو العيلولة بواحد أو بأكثر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مرّ من مكاتبة ابن الفضيل، عن الرضا عليه السلام في ثبوت الفطرة على مملوك مات مولاه و صار لليتامى </w:t>
      </w:r>
      <w:r>
        <w:rPr>
          <w:rStyle w:val="FootnoteAnchor"/>
          <w:rtl w:val="true"/>
        </w:rPr>
        <w:footnoteReference w:id="2647"/>
      </w:r>
      <w:r>
        <w:rPr>
          <w:rFonts w:ascii="Amiri" w:hAnsi="Amiri" w:eastAsia="Amiri" w:cs="Amiri"/>
          <w:color w:val="111111"/>
          <w:sz w:val="28"/>
          <w:sz w:val="28"/>
          <w:szCs w:val="28"/>
          <w:rtl w:val="true"/>
          <w:lang w:bidi="ar-SA"/>
        </w:rPr>
        <w:t xml:space="preserve">، سواء حمل الحديث على ظاهره، أو أوّل بما لا ينافي مذهب المشهور بأن يراد ما ذكره في الوسائل من كون موت المولى بعد الهلال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الفطرة لمثل هذا العبد المشترك، لما رواه في الفقيه، عن تفسير العيّاشي </w:t>
      </w:r>
      <w:r>
        <w:rPr>
          <w:rStyle w:val="FootnoteAnchor"/>
          <w:rtl w:val="true"/>
        </w:rPr>
        <w:footnoteReference w:id="2649"/>
      </w:r>
      <w:r>
        <w:rPr>
          <w:rFonts w:ascii="Amiri" w:hAnsi="Amiri" w:eastAsia="Amiri" w:cs="Amiri"/>
          <w:color w:val="111111"/>
          <w:sz w:val="28"/>
          <w:sz w:val="28"/>
          <w:szCs w:val="28"/>
          <w:rtl w:val="true"/>
          <w:lang w:bidi="ar-SA"/>
        </w:rPr>
        <w:t>، و فيه ضعف سندا بل و دلالة، حيث إنّ الظاهر منها عدم وجوب الفطرة على من ملك أقلّ من رأس، فلا ينافي وجوب الفطرة للبعض إذا ملك مع عبد تام كثلاثة عبيد بين رجلين، فلا يدلّ على نفي الفطرة للكسر، بل على نفيها عمن ملك دون الواحد، و كيف كان فلا يعارض ما تقدّم</w:t>
      </w:r>
      <w:r>
        <w:rPr>
          <w:rFonts w:eastAsia="Amiri" w:cs="Amiri" w:ascii="Amiri" w:hAnsi="Amiri"/>
          <w:color w:val="111111"/>
          <w:sz w:val="28"/>
          <w:szCs w:val="28"/>
          <w:rtl w:val="true"/>
          <w:lang w:bidi="ar-SA"/>
        </w:rPr>
        <w:t>.</w:t>
      </w:r>
      <w:bookmarkStart w:id="188" w:name="pg19722_766490"/>
    </w:p>
    <w:p>
      <w:pPr>
        <w:pStyle w:val="Heading4"/>
        <w:numPr>
          <w:ilvl w:val="3"/>
          <w:numId w:val="1"/>
        </w:numPr>
        <w:rPr/>
      </w:pPr>
      <w:bookmarkStart w:id="189" w:name="__RefHeading___Toc2136406_2314609296"/>
      <w:bookmarkStart w:id="190" w:name="_Toc65"/>
      <w:bookmarkEnd w:id="188"/>
      <w:bookmarkEnd w:id="189"/>
      <w:r>
        <w:rPr>
          <w:rtl w:val="true"/>
        </w:rPr>
        <w:t xml:space="preserve">مسألة </w:t>
      </w:r>
      <w:r>
        <w:rPr>
          <w:rtl w:val="true"/>
        </w:rPr>
        <w:t>[</w:t>
      </w:r>
      <w:r>
        <w:rPr/>
        <w:t>6</w:t>
      </w:r>
      <w:r>
        <w:rPr>
          <w:rtl w:val="true"/>
        </w:rPr>
        <w:t>]</w:t>
      </w:r>
      <w:bookmarkEnd w:id="190"/>
    </w:p>
    <w:p>
      <w:pPr>
        <w:pStyle w:val="BookText"/>
        <w:rPr/>
      </w:pPr>
      <w:r>
        <w:rPr>
          <w:rFonts w:ascii="Amiri" w:hAnsi="Amiri" w:eastAsia="Amiri" w:cs="Amiri"/>
          <w:color w:val="111111"/>
          <w:sz w:val="28"/>
          <w:sz w:val="28"/>
          <w:szCs w:val="28"/>
          <w:rtl w:val="true"/>
          <w:lang w:bidi="ar-SA"/>
        </w:rPr>
        <w:t>إذا أوصي له بعبد فقبل بعد موت الموصي و قبل الهلال، فلا إشكال في وجوب فطرته عليه، و لو قبل بعد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يجعل القبول كاشفا، أو ناقلا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يحتمل على الموصى له لكشفه عن كونه مالكا عند الهلال، و يحتمل عدمه؛ لأنّه لم يكن عالما، و يندفع بما تقدّم من أنّ تعلّق الوجوب الواقعي الشأني كاف، و لا يشترط التنجّز عند الهلال كما لو ولد له ولد و لم يعلم به، و يحتمل الفرق بين وقوع القبول في الوقت فيجب، و بين وقوعه في خارجه فلا يجب القضاء</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فيحتمل الوجوب على الوارث، لأنّه ملكه قبل قبول الموصى له، و يحتمل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ملكه متزلزل في معرض الزوال كما ذكره المحقّق الثاني في حاشية الشرائع </w:t>
      </w:r>
      <w:r>
        <w:rPr>
          <w:rStyle w:val="FootnoteAnchor"/>
          <w:rtl w:val="true"/>
        </w:rPr>
        <w:footnoteReference w:id="2650"/>
      </w:r>
      <w:r>
        <w:rPr>
          <w:rFonts w:ascii="Amiri" w:hAnsi="Amiri" w:eastAsia="Amiri" w:cs="Amiri"/>
          <w:color w:val="111111"/>
          <w:sz w:val="28"/>
          <w:sz w:val="28"/>
          <w:szCs w:val="28"/>
          <w:rtl w:val="true"/>
          <w:lang w:bidi="ar-SA"/>
        </w:rPr>
        <w:t>، و فيه نظر ظاهر، و إمّا لأنّ الوصية لا تدخل في ملك الوارث، بل على حكم مال الميّت حتّى يقبل الموصى له</w:t>
      </w:r>
      <w:r>
        <w:rPr>
          <w:rFonts w:eastAsia="Amiri" w:cs="Amiri" w:ascii="Amiri" w:hAnsi="Amiri"/>
          <w:color w:val="111111"/>
          <w:sz w:val="28"/>
          <w:szCs w:val="28"/>
          <w:rtl w:val="true"/>
          <w:lang w:bidi="ar-SA"/>
        </w:rPr>
        <w:t>.</w:t>
      </w:r>
      <w:bookmarkStart w:id="191" w:name="pg19722_766491"/>
    </w:p>
    <w:p>
      <w:pPr>
        <w:pStyle w:val="Heading4"/>
        <w:numPr>
          <w:ilvl w:val="3"/>
          <w:numId w:val="1"/>
        </w:numPr>
        <w:rPr/>
      </w:pPr>
      <w:bookmarkStart w:id="192" w:name="__RefHeading___Toc2136408_2314609296"/>
      <w:bookmarkStart w:id="193" w:name="_Toc66"/>
      <w:bookmarkEnd w:id="191"/>
      <w:bookmarkEnd w:id="192"/>
      <w:r>
        <w:rPr>
          <w:rtl w:val="true"/>
        </w:rPr>
        <w:t xml:space="preserve">مسألة </w:t>
      </w:r>
      <w:r>
        <w:rPr>
          <w:rtl w:val="true"/>
        </w:rPr>
        <w:t>[</w:t>
      </w:r>
      <w:r>
        <w:rPr/>
        <w:t>7</w:t>
      </w:r>
      <w:r>
        <w:rPr>
          <w:rtl w:val="true"/>
        </w:rPr>
        <w:t>]</w:t>
      </w:r>
      <w:bookmarkEnd w:id="193"/>
    </w:p>
    <w:p>
      <w:pPr>
        <w:pStyle w:val="BookText"/>
        <w:rPr/>
      </w:pPr>
      <w:r>
        <w:rPr>
          <w:rFonts w:ascii="Amiri" w:hAnsi="Amiri" w:eastAsia="Amiri" w:cs="Amiri"/>
          <w:color w:val="111111"/>
          <w:sz w:val="28"/>
          <w:sz w:val="28"/>
          <w:szCs w:val="28"/>
          <w:rtl w:val="true"/>
          <w:lang w:bidi="ar-SA"/>
        </w:rPr>
        <w:t xml:space="preserve">ظاهر المحكي عن الصدوقين </w:t>
      </w:r>
      <w:r>
        <w:rPr>
          <w:rStyle w:val="FootnoteAnchor"/>
          <w:rtl w:val="true"/>
        </w:rPr>
        <w:footnoteReference w:id="2651"/>
      </w:r>
      <w:r>
        <w:rPr>
          <w:rFonts w:ascii="Amiri" w:hAnsi="Amiri" w:eastAsia="Amiri" w:cs="Amiri"/>
          <w:color w:val="111111"/>
          <w:sz w:val="28"/>
          <w:sz w:val="28"/>
          <w:szCs w:val="28"/>
          <w:rtl w:val="true"/>
          <w:lang w:bidi="ar-SA"/>
        </w:rPr>
        <w:t xml:space="preserve">و العماني </w:t>
      </w:r>
      <w:r>
        <w:rPr>
          <w:rStyle w:val="FootnoteAnchor"/>
          <w:rtl w:val="true"/>
        </w:rPr>
        <w:footnoteReference w:id="2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في جنس الفطرة على الغلّات الأربع، و زاد في المدارك </w:t>
      </w:r>
      <w:r>
        <w:rPr>
          <w:rStyle w:val="FootnoteAnchor"/>
          <w:rtl w:val="true"/>
        </w:rPr>
        <w:footnoteReference w:id="2653"/>
      </w:r>
      <w:r>
        <w:rPr>
          <w:rFonts w:ascii="Amiri" w:hAnsi="Amiri" w:eastAsia="Amiri" w:cs="Amiri"/>
          <w:color w:val="111111"/>
          <w:sz w:val="28"/>
          <w:sz w:val="28"/>
          <w:szCs w:val="28"/>
          <w:rtl w:val="true"/>
          <w:lang w:bidi="ar-SA"/>
        </w:rPr>
        <w:t xml:space="preserve">عليها الأقط، و زاد الشيخ </w:t>
      </w:r>
      <w:r>
        <w:rPr>
          <w:rStyle w:val="FootnoteAnchor"/>
          <w:rtl w:val="true"/>
        </w:rPr>
        <w:footnoteReference w:id="2654"/>
      </w:r>
      <w:r>
        <w:rPr>
          <w:rFonts w:ascii="Amiri" w:hAnsi="Amiri" w:eastAsia="Amiri" w:cs="Amiri"/>
          <w:color w:val="111111"/>
          <w:sz w:val="28"/>
          <w:sz w:val="28"/>
          <w:szCs w:val="28"/>
          <w:rtl w:val="true"/>
          <w:lang w:bidi="ar-SA"/>
        </w:rPr>
        <w:t>عليها الأرز و الأقط و اللبن، مدّعيا ثبوت الإجماع على إجزاء السبعة، و عدم الدليل على إجزاء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الأكثر الاقتصار على هذه السبع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الضابط ما كان قوتا غالبا كالحنطة و الشعير و التمر و الزبيب و الأرز و الأقط و اللبن، و هو مذهب علمائنا </w:t>
      </w:r>
      <w:r>
        <w:rPr>
          <w:rStyle w:val="FootnoteAnchor"/>
          <w:rtl w:val="true"/>
        </w:rPr>
        <w:footnoteReference w:id="2656"/>
      </w:r>
      <w:r>
        <w:rPr>
          <w:rFonts w:ascii="Amiri" w:hAnsi="Amiri" w:eastAsia="Amiri" w:cs="Amiri"/>
          <w:color w:val="111111"/>
          <w:sz w:val="28"/>
          <w:sz w:val="28"/>
          <w:szCs w:val="28"/>
          <w:rtl w:val="true"/>
          <w:lang w:bidi="ar-SA"/>
        </w:rPr>
        <w:t xml:space="preserve">، و نحوه في دعوى الاتّفاق ما عن المنتهى </w:t>
      </w:r>
      <w:r>
        <w:rPr>
          <w:rStyle w:val="FootnoteAnchor"/>
          <w:rtl w:val="true"/>
        </w:rPr>
        <w:footnoteReference w:id="2657"/>
      </w:r>
      <w:r>
        <w:rPr>
          <w:rFonts w:ascii="Amiri" w:hAnsi="Amiri" w:eastAsia="Amiri" w:cs="Amiri"/>
          <w:color w:val="111111"/>
          <w:sz w:val="28"/>
          <w:sz w:val="28"/>
          <w:szCs w:val="28"/>
          <w:rtl w:val="true"/>
          <w:lang w:bidi="ar-SA"/>
        </w:rPr>
        <w:t xml:space="preserve">، و نسب هذا إلى المشهور بين المتأخرين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فضلة أقوات أهل الأمصار على اختلاف أقواتها في النوع </w:t>
      </w:r>
      <w:r>
        <w:rPr>
          <w:rStyle w:val="FootnoteAnchor"/>
          <w:rtl w:val="true"/>
        </w:rPr>
        <w:footnoteReference w:id="2659"/>
      </w:r>
      <w:r>
        <w:rPr>
          <w:rFonts w:ascii="Amiri" w:hAnsi="Amiri" w:eastAsia="Amiri" w:cs="Amiri"/>
          <w:color w:val="111111"/>
          <w:sz w:val="28"/>
          <w:sz w:val="28"/>
          <w:szCs w:val="28"/>
          <w:rtl w:val="true"/>
          <w:lang w:bidi="ar-SA"/>
        </w:rPr>
        <w:t xml:space="preserve">و حكي مثل ذلك عن السيّد </w:t>
      </w:r>
      <w:r>
        <w:rPr>
          <w:rStyle w:val="FootnoteAnchor"/>
          <w:rtl w:val="true"/>
        </w:rPr>
        <w:footnoteReference w:id="2660"/>
      </w:r>
      <w:r>
        <w:rPr>
          <w:rFonts w:ascii="Amiri" w:hAnsi="Amiri" w:eastAsia="Amiri" w:cs="Amiri"/>
          <w:color w:val="111111"/>
          <w:sz w:val="28"/>
          <w:sz w:val="28"/>
          <w:szCs w:val="28"/>
          <w:rtl w:val="true"/>
          <w:lang w:bidi="ar-SA"/>
        </w:rPr>
        <w:t xml:space="preserve">، و عن الإسكافي </w:t>
      </w:r>
      <w:r>
        <w:rPr>
          <w:rStyle w:val="FootnoteAnchor"/>
          <w:rtl w:val="true"/>
        </w:rPr>
        <w:footnoteReference w:id="2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يخرجها من وجبت عليه من أغلب الأشياء على قوته، و حكي عن الحلي </w:t>
      </w:r>
      <w:r>
        <w:rPr>
          <w:rStyle w:val="FootnoteAnchor"/>
          <w:rtl w:val="true"/>
        </w:rPr>
        <w:footnoteReference w:id="2662"/>
      </w:r>
      <w:r>
        <w:rPr>
          <w:rFonts w:ascii="Amiri" w:hAnsi="Amiri" w:eastAsia="Amiri" w:cs="Amiri"/>
          <w:color w:val="111111"/>
          <w:sz w:val="28"/>
          <w:sz w:val="28"/>
          <w:szCs w:val="28"/>
          <w:rtl w:val="true"/>
          <w:lang w:bidi="ar-SA"/>
        </w:rPr>
        <w:t xml:space="preserve">و الحلبي </w:t>
      </w:r>
      <w:r>
        <w:rPr>
          <w:rStyle w:val="FootnoteAnchor"/>
          <w:rtl w:val="true"/>
        </w:rPr>
        <w:footnoteReference w:id="2663"/>
      </w:r>
      <w:r>
        <w:rPr>
          <w:rFonts w:ascii="Amiri" w:hAnsi="Amiri" w:eastAsia="Amiri" w:cs="Amiri"/>
          <w:color w:val="111111"/>
          <w:sz w:val="28"/>
          <w:sz w:val="28"/>
          <w:szCs w:val="28"/>
          <w:rtl w:val="true"/>
          <w:lang w:bidi="ar-SA"/>
        </w:rPr>
        <w:t xml:space="preserve">و قد نسب في المدارك </w:t>
      </w:r>
      <w:r>
        <w:rPr>
          <w:rStyle w:val="FootnoteAnchor"/>
          <w:rtl w:val="true"/>
        </w:rPr>
        <w:footnoteReference w:id="2664"/>
      </w:r>
      <w:r>
        <w:rPr>
          <w:rFonts w:ascii="Amiri" w:hAnsi="Amiri" w:eastAsia="Amiri" w:cs="Amiri"/>
          <w:color w:val="111111"/>
          <w:sz w:val="28"/>
          <w:sz w:val="28"/>
          <w:szCs w:val="28"/>
          <w:rtl w:val="true"/>
          <w:lang w:bidi="ar-SA"/>
        </w:rPr>
        <w:t>الى المحقق و المتأخرين، و فيه نظر، فإنهم إنما عبّروا بما هو قوت غالبا و جعلوا ما يغلب قوت الإنسان أو بلده مستحبا اللهم إلا أن يكون مراد الإسكافي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نفي وجوب الإخراج عن غيره في مقابل غيره من الأقوال المعيّنة لبعض الأقوات، و لذا استدل عليه في المختلف </w:t>
      </w:r>
      <w:r>
        <w:rPr>
          <w:rStyle w:val="FootnoteAnchor"/>
          <w:rtl w:val="true"/>
        </w:rPr>
        <w:footnoteReference w:id="2665"/>
      </w:r>
      <w:r>
        <w:rPr>
          <w:rFonts w:ascii="Amiri" w:hAnsi="Amiri" w:eastAsia="Amiri" w:cs="Amiri"/>
          <w:color w:val="111111"/>
          <w:sz w:val="28"/>
          <w:sz w:val="28"/>
          <w:szCs w:val="28"/>
          <w:rtl w:val="true"/>
          <w:lang w:bidi="ar-SA"/>
        </w:rPr>
        <w:t>بعد ما استقر به بأدلّة،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تكليفه بغير قوته حرج منفيّ و ضرر منفيّ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للصدوقين صحيحة الحلبي </w:t>
      </w:r>
      <w:r>
        <w:rPr>
          <w:rStyle w:val="FootnoteAnchor"/>
          <w:rtl w:val="true"/>
        </w:rPr>
        <w:footnoteReference w:id="2666"/>
      </w:r>
      <w:r>
        <w:rPr>
          <w:rFonts w:ascii="Amiri" w:hAnsi="Amiri" w:eastAsia="Amiri" w:cs="Amiri"/>
          <w:color w:val="111111"/>
          <w:sz w:val="28"/>
          <w:sz w:val="28"/>
          <w:szCs w:val="28"/>
          <w:rtl w:val="true"/>
          <w:lang w:bidi="ar-SA"/>
        </w:rPr>
        <w:t xml:space="preserve">، و لصاحب المدارك مصحّحة عبد اللّٰه بن ميمون </w:t>
      </w:r>
      <w:r>
        <w:rPr>
          <w:rStyle w:val="FootnoteAnchor"/>
          <w:rtl w:val="true"/>
        </w:rPr>
        <w:footnoteReference w:id="2667"/>
      </w:r>
      <w:r>
        <w:rPr>
          <w:rFonts w:ascii="Amiri" w:hAnsi="Amiri" w:eastAsia="Amiri" w:cs="Amiri"/>
          <w:color w:val="111111"/>
          <w:sz w:val="28"/>
          <w:sz w:val="28"/>
          <w:szCs w:val="28"/>
          <w:rtl w:val="true"/>
          <w:lang w:bidi="ar-SA"/>
        </w:rPr>
        <w:t xml:space="preserve">، و للشيخ ذكر الأرز و اللبن في بعض الأخبار </w:t>
      </w:r>
      <w:r>
        <w:rPr>
          <w:rStyle w:val="FootnoteAnchor"/>
          <w:rtl w:val="true"/>
        </w:rPr>
        <w:footnoteReference w:id="2668"/>
      </w:r>
      <w:r>
        <w:rPr>
          <w:rFonts w:ascii="Amiri" w:hAnsi="Amiri" w:eastAsia="Amiri" w:cs="Amiri"/>
          <w:color w:val="111111"/>
          <w:sz w:val="28"/>
          <w:sz w:val="28"/>
          <w:szCs w:val="28"/>
          <w:rtl w:val="true"/>
          <w:lang w:bidi="ar-SA"/>
        </w:rPr>
        <w:t>، و للمفيد و السيّد قول أبي عبد اللّٰه عليه السلام في مرسلة يونس المصحّحة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على كل من اقتات قوتا فعليه أن يؤدّي من ذلك القوت</w:t>
      </w:r>
      <w:r>
        <w:rPr>
          <w:rFonts w:eastAsia="Amiri" w:cs="Amiri" w:ascii="Amiri" w:hAnsi="Amiri"/>
          <w:color w:val="111111"/>
          <w:sz w:val="28"/>
          <w:szCs w:val="28"/>
          <w:rtl w:val="true"/>
          <w:lang w:bidi="ar-SA"/>
        </w:rPr>
        <w:t xml:space="preserve">» </w:t>
      </w:r>
      <w:r>
        <w:rPr>
          <w:rStyle w:val="FootnoteAnchor"/>
          <w:rtl w:val="true"/>
        </w:rPr>
        <w:footnoteReference w:id="2669"/>
      </w:r>
      <w:r>
        <w:rPr>
          <w:rFonts w:ascii="Amiri" w:hAnsi="Amiri" w:eastAsia="Amiri" w:cs="Amiri"/>
          <w:color w:val="111111"/>
          <w:sz w:val="28"/>
          <w:sz w:val="28"/>
          <w:szCs w:val="28"/>
          <w:rtl w:val="true"/>
          <w:lang w:bidi="ar-SA"/>
        </w:rPr>
        <w:t>، و قوله عليه السلام في مصحّحة زرارة و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على كلّ قوم ممّا يغذون عيالاتهم</w:t>
      </w:r>
      <w:r>
        <w:rPr>
          <w:rFonts w:eastAsia="Amiri" w:cs="Amiri" w:ascii="Amiri" w:hAnsi="Amiri"/>
          <w:color w:val="111111"/>
          <w:sz w:val="28"/>
          <w:szCs w:val="28"/>
          <w:rtl w:val="true"/>
          <w:lang w:bidi="ar-SA"/>
        </w:rPr>
        <w:t xml:space="preserve">» </w:t>
      </w:r>
      <w:r>
        <w:rPr>
          <w:rStyle w:val="FootnoteAnchor"/>
          <w:rtl w:val="true"/>
        </w:rPr>
        <w:footnoteReference w:id="2670"/>
      </w:r>
      <w:r>
        <w:rPr>
          <w:rFonts w:ascii="Amiri" w:hAnsi="Amiri" w:eastAsia="Amiri" w:cs="Amiri"/>
          <w:color w:val="111111"/>
          <w:sz w:val="28"/>
          <w:sz w:val="28"/>
          <w:szCs w:val="28"/>
          <w:rtl w:val="true"/>
          <w:lang w:bidi="ar-SA"/>
        </w:rPr>
        <w:t>، و للإسكافي و من تبعه مكاتبة</w:t>
      </w:r>
    </w:p>
    <w:p>
      <w:pPr>
        <w:pStyle w:val="BookText"/>
        <w:rPr/>
      </w:pPr>
      <w:r>
        <w:rPr>
          <w:rFonts w:ascii="Amiri" w:hAnsi="Amiri" w:eastAsia="Amiri" w:cs="Amiri"/>
          <w:color w:val="111111"/>
          <w:sz w:val="28"/>
          <w:sz w:val="28"/>
          <w:szCs w:val="28"/>
          <w:rtl w:val="true"/>
          <w:lang w:bidi="ar-SA"/>
        </w:rPr>
        <w:t xml:space="preserve">الهمداني المرويّة في التهذيب </w:t>
      </w:r>
      <w:r>
        <w:rPr>
          <w:rStyle w:val="FootnoteAnchor"/>
          <w:rtl w:val="true"/>
        </w:rPr>
        <w:footnoteReference w:id="2671"/>
      </w:r>
      <w:r>
        <w:rPr>
          <w:rFonts w:ascii="Amiri" w:hAnsi="Amiri" w:eastAsia="Amiri" w:cs="Amiri"/>
          <w:color w:val="111111"/>
          <w:sz w:val="28"/>
          <w:sz w:val="28"/>
          <w:szCs w:val="28"/>
          <w:rtl w:val="true"/>
          <w:lang w:bidi="ar-SA"/>
        </w:rPr>
        <w:t>، و مستند ما في المعتبر و المنتهى هو الجمع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المسالك </w:t>
      </w:r>
      <w:r>
        <w:rPr>
          <w:rStyle w:val="FootnoteAnchor"/>
          <w:rtl w:val="true"/>
        </w:rPr>
        <w:footnoteReference w:id="2672"/>
      </w:r>
      <w:r>
        <w:rPr>
          <w:rFonts w:ascii="Amiri" w:hAnsi="Amiri" w:eastAsia="Amiri" w:cs="Amiri"/>
          <w:color w:val="111111"/>
          <w:sz w:val="28"/>
          <w:sz w:val="28"/>
          <w:szCs w:val="28"/>
          <w:rtl w:val="true"/>
          <w:lang w:bidi="ar-SA"/>
        </w:rPr>
        <w:t xml:space="preserve">و الروضة </w:t>
      </w:r>
      <w:r>
        <w:rPr>
          <w:rStyle w:val="FootnoteAnchor"/>
          <w:rtl w:val="true"/>
        </w:rPr>
        <w:footnoteReference w:id="2673"/>
      </w:r>
      <w:r>
        <w:rPr>
          <w:rFonts w:ascii="IRNazanin" w:hAnsi="IRNazanin" w:eastAsia="IRNazanin"/>
          <w:color w:val="111111"/>
          <w:sz w:val="28"/>
          <w:sz w:val="28"/>
          <w:szCs w:val="28"/>
          <w:rtl w:val="true"/>
          <w:lang w:bidi="fa-IR"/>
        </w:rPr>
        <w:t xml:space="preserve">و الحدائق </w:t>
      </w:r>
      <w:r>
        <w:rPr>
          <w:rStyle w:val="FootnoteAnchor"/>
          <w:rtl w:val="true"/>
        </w:rPr>
        <w:footnoteReference w:id="2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أحد الأجناس السبعة المذكورة و ان لم يقتت به المخرج، أو ما اقتات به المخرج و إن لم يكن منها كالدخن، و الذرة، فالعبرة بأحد الأمرين، و لعلّه للجمع بين الأخبار المطلقة في إجزاء السبعة، و مصححتي يونس و ابن مسكان المتقدّمتين، و لا يبعد </w:t>
      </w:r>
      <w:r>
        <w:rPr>
          <w:rStyle w:val="FootnoteAnchor"/>
          <w:rtl w:val="true"/>
        </w:rPr>
        <w:footnoteReference w:id="2675"/>
      </w:r>
      <w:r>
        <w:rPr>
          <w:rFonts w:ascii="Amiri" w:hAnsi="Amiri" w:eastAsia="Amiri" w:cs="Amiri"/>
          <w:color w:val="111111"/>
          <w:sz w:val="28"/>
          <w:sz w:val="28"/>
          <w:szCs w:val="28"/>
          <w:rtl w:val="true"/>
          <w:lang w:bidi="ar-SA"/>
        </w:rPr>
        <w:t xml:space="preserve">جواز إخراج ما كان قوتا غالبا، بمعنى انّه يقتات به في غير النادر و لو عند بعض الناس، فلا عبرة بالنادر ككثير مما يقتات به في أيّام الغلاء، و لا يعتبر الأقوات عند عامّة الناس، و لا غالبهم فيكون الدخن و الذرة حينئذ أصلا عند كلّ أحد و إن لم يقتت به كما هو ظاهر الإجماع المتقدّم عن المعتبر </w:t>
      </w:r>
      <w:r>
        <w:rPr>
          <w:rStyle w:val="FootnoteAnchor"/>
          <w:rtl w:val="true"/>
        </w:rPr>
        <w:footnoteReference w:id="2676"/>
      </w:r>
      <w:r>
        <w:rPr>
          <w:rFonts w:ascii="IRNazanin" w:hAnsi="IRNazanin" w:eastAsia="IRNazanin"/>
          <w:color w:val="111111"/>
          <w:sz w:val="28"/>
          <w:sz w:val="28"/>
          <w:szCs w:val="28"/>
          <w:rtl w:val="true"/>
          <w:lang w:bidi="fa-IR"/>
        </w:rPr>
        <w:t xml:space="preserve">و المنتهى </w:t>
      </w:r>
      <w:r>
        <w:rPr>
          <w:rStyle w:val="FootnoteAnchor"/>
          <w:rtl w:val="true"/>
        </w:rPr>
        <w:footnoteReference w:id="2677"/>
      </w:r>
      <w:r>
        <w:rPr>
          <w:rFonts w:ascii="Amiri" w:hAnsi="Amiri" w:eastAsia="Amiri" w:cs="Amiri"/>
          <w:color w:val="111111"/>
          <w:sz w:val="28"/>
          <w:sz w:val="28"/>
          <w:szCs w:val="28"/>
          <w:rtl w:val="true"/>
          <w:lang w:bidi="ar-SA"/>
        </w:rPr>
        <w:t xml:space="preserve">الظاهر فيما ذكرنا، إذ لا معنى لعدّ الأقط بل ما عدا الحنطة و الشعير قوتا غالبا إلّا بالمعنى الذي ذكرنا، مضافا إلى ذكر الذرة في بعض الروايات المعتبرة كرواية الحذّاء المرويّة في التهذيب </w:t>
      </w:r>
      <w:r>
        <w:rPr>
          <w:rStyle w:val="FootnoteAnchor"/>
          <w:rtl w:val="true"/>
        </w:rPr>
        <w:footnoteReference w:id="2678"/>
      </w:r>
      <w:r>
        <w:rPr>
          <w:rFonts w:ascii="Amiri" w:hAnsi="Amiri" w:eastAsia="Amiri" w:cs="Amiri"/>
          <w:color w:val="111111"/>
          <w:sz w:val="28"/>
          <w:sz w:val="28"/>
          <w:szCs w:val="28"/>
          <w:rtl w:val="true"/>
          <w:lang w:bidi="ar-SA"/>
        </w:rPr>
        <w:t>، و إلى المرويّ مرسلا في المعتبر، عن أمير المؤمنين عليه السلام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الفطرة على كل رأس صاع من طعام</w:t>
      </w:r>
      <w:r>
        <w:rPr>
          <w:rFonts w:eastAsia="Amiri" w:cs="Amiri" w:ascii="Amiri" w:hAnsi="Amiri"/>
          <w:color w:val="111111"/>
          <w:sz w:val="28"/>
          <w:szCs w:val="28"/>
          <w:rtl w:val="true"/>
          <w:lang w:bidi="ar-SA"/>
        </w:rPr>
        <w:t xml:space="preserve">»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مرسلة يونس و رواية ابن مسكان المتقدمتين </w:t>
      </w:r>
      <w:r>
        <w:rPr>
          <w:rStyle w:val="FootnoteAnchor"/>
          <w:rtl w:val="true"/>
        </w:rPr>
        <w:footnoteReference w:id="2680"/>
      </w:r>
      <w:r>
        <w:rPr>
          <w:rFonts w:ascii="Amiri" w:hAnsi="Amiri" w:eastAsia="Amiri" w:cs="Amiri"/>
          <w:color w:val="111111"/>
          <w:sz w:val="28"/>
          <w:sz w:val="28"/>
          <w:szCs w:val="28"/>
          <w:rtl w:val="true"/>
          <w:lang w:bidi="ar-SA"/>
        </w:rPr>
        <w:t>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إخراج ما يغلب على قوته كما هو ظاهر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ذلك على عدم تعيّن ما سواه، فيكون الأمر في مقام رفع توهّم الحظر و تعيّن </w:t>
      </w:r>
      <w:r>
        <w:rPr>
          <w:rStyle w:val="FootnoteAnchor"/>
          <w:rtl w:val="true"/>
        </w:rPr>
        <w:footnoteReference w:id="2681"/>
      </w:r>
      <w:r>
        <w:rPr>
          <w:rFonts w:ascii="IRNazanin" w:hAnsi="IRNazanin" w:eastAsia="IRNazanin"/>
          <w:color w:val="111111"/>
          <w:sz w:val="28"/>
          <w:sz w:val="28"/>
          <w:szCs w:val="28"/>
          <w:rtl w:val="true"/>
          <w:lang w:bidi="fa-IR"/>
        </w:rPr>
        <w:t>الغلّات الأربع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على الاستحباب، و الظاهر هو الاحتمال الأوسط، و حينئذ فيدلّ على جواز كلّ ما اقتات به الشخص، لكن لا تدلان على جواز إخراج قوم آخر له، نعم أدلّة جواز الغلّات الأربع مطلق بالنسبة إلى كلّ أحد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الأقط فيظهر من بعض الأخبار اختصاصها بأهل الغنم </w:t>
      </w:r>
      <w:r>
        <w:rPr>
          <w:rStyle w:val="FootnoteAnchor"/>
          <w:rtl w:val="true"/>
        </w:rPr>
        <w:footnoteReference w:id="2682"/>
      </w:r>
      <w:r>
        <w:rPr>
          <w:rFonts w:ascii="Amiri" w:hAnsi="Amiri" w:eastAsia="Amiri" w:cs="Amiri"/>
          <w:color w:val="111111"/>
          <w:sz w:val="28"/>
          <w:sz w:val="28"/>
          <w:szCs w:val="28"/>
          <w:rtl w:val="true"/>
          <w:lang w:bidi="ar-SA"/>
        </w:rPr>
        <w:t xml:space="preserve">، و كذا ما دلّ على الأرز، و هي مكاتبة الهمداني </w:t>
      </w:r>
      <w:r>
        <w:rPr>
          <w:rStyle w:val="FootnoteAnchor"/>
          <w:rtl w:val="true"/>
        </w:rPr>
        <w:footnoteReference w:id="2683"/>
      </w:r>
      <w:r>
        <w:rPr>
          <w:rFonts w:ascii="Amiri" w:hAnsi="Amiri" w:eastAsia="Amiri" w:cs="Amiri"/>
          <w:color w:val="111111"/>
          <w:sz w:val="28"/>
          <w:sz w:val="28"/>
          <w:szCs w:val="28"/>
          <w:rtl w:val="true"/>
          <w:lang w:bidi="ar-SA"/>
        </w:rPr>
        <w:t xml:space="preserve">، و هذا محتمل في رواية الذرة </w:t>
      </w:r>
      <w:r>
        <w:rPr>
          <w:rStyle w:val="FootnoteAnchor"/>
          <w:rtl w:val="true"/>
        </w:rPr>
        <w:footnoteReference w:id="2684"/>
      </w:r>
      <w:r>
        <w:rPr>
          <w:rFonts w:ascii="Amiri" w:hAnsi="Amiri" w:eastAsia="Amiri" w:cs="Amiri"/>
          <w:color w:val="111111"/>
          <w:sz w:val="28"/>
          <w:sz w:val="28"/>
          <w:szCs w:val="28"/>
          <w:rtl w:val="true"/>
          <w:lang w:bidi="ar-SA"/>
        </w:rPr>
        <w:t xml:space="preserve">، فالقدر المتيقّن هو إخراج إحدى الغلّات الأربع مطلقا، أو ما كان قوتا غالبا للشخص كما هو مختار كاشف الغطاء على ما حكي عنه </w:t>
      </w:r>
      <w:r>
        <w:rPr>
          <w:rStyle w:val="FootnoteAnchor"/>
          <w:rtl w:val="true"/>
        </w:rPr>
        <w:footnoteReference w:id="2685"/>
      </w:r>
      <w:r>
        <w:rPr>
          <w:rFonts w:ascii="Amiri" w:hAnsi="Amiri" w:eastAsia="Amiri" w:cs="Amiri"/>
          <w:color w:val="111111"/>
          <w:sz w:val="28"/>
          <w:sz w:val="28"/>
          <w:szCs w:val="28"/>
          <w:rtl w:val="true"/>
          <w:lang w:bidi="ar-SA"/>
        </w:rPr>
        <w:t>، لكن تعميم القوت الغالب للشخص أيضا مشكل، إذ لا يبعد دعوى انصراف القوت في المرسلة، و الموصول في قوله عليه السلام في رواية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يغذون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المتعارف من الأقوات التي يقتات بها بعض طوائف الناس و لو كالأقط و اللبن، فلو فرضنا أنّ قوما اقتاتوا باللحم أو بشي‌ء آخر من الأمور النادرة، فيشكل الحكم بجواز الفطرة منه تمسّكا </w:t>
      </w:r>
      <w:r>
        <w:rPr>
          <w:rStyle w:val="FootnoteAnchor"/>
          <w:rtl w:val="true"/>
        </w:rPr>
        <w:footnoteReference w:id="2686"/>
      </w:r>
      <w:r>
        <w:rPr>
          <w:rFonts w:ascii="Amiri" w:hAnsi="Amiri" w:eastAsia="Amiri" w:cs="Amiri"/>
          <w:color w:val="111111"/>
          <w:sz w:val="28"/>
          <w:sz w:val="28"/>
          <w:szCs w:val="28"/>
          <w:rtl w:val="true"/>
          <w:lang w:bidi="ar-SA"/>
        </w:rPr>
        <w:t xml:space="preserve">بهاتين، لقوّة ورودهما في مقام رفع توهّم تعيّن </w:t>
      </w:r>
      <w:r>
        <w:rPr>
          <w:rStyle w:val="FootnoteAnchor"/>
          <w:rtl w:val="true"/>
        </w:rPr>
        <w:footnoteReference w:id="2687"/>
      </w:r>
      <w:r>
        <w:rPr>
          <w:rFonts w:ascii="Amiri" w:hAnsi="Amiri" w:eastAsia="Amiri" w:cs="Amiri"/>
          <w:color w:val="111111"/>
          <w:sz w:val="28"/>
          <w:sz w:val="28"/>
          <w:szCs w:val="28"/>
          <w:rtl w:val="true"/>
          <w:lang w:bidi="ar-SA"/>
        </w:rPr>
        <w:t>الأجناس المتعارفة</w:t>
      </w:r>
    </w:p>
    <w:p>
      <w:pPr>
        <w:pStyle w:val="BookText"/>
        <w:rPr/>
      </w:pPr>
      <w:r>
        <w:rPr>
          <w:rFonts w:ascii="IRNazanin" w:hAnsi="IRNazanin" w:eastAsia="IRNazanin"/>
          <w:color w:val="111111"/>
          <w:sz w:val="28"/>
          <w:sz w:val="28"/>
          <w:szCs w:val="28"/>
          <w:rtl w:val="true"/>
          <w:lang w:bidi="fa-IR"/>
        </w:rPr>
        <w:t>من الغلّات الأربع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ظاهر مرسلة يونس و مصححة ابن مسكان إجزاء ما صدق عليه القوت على أنّه أصل، و على هذا فالدقيق بل الخبز أصلان، لكن في أصالة الخبز تأمّل؛ لأنّ الظاهر من القوت هو أصل الجنس، بل قد يعلّل ذلك باشتماله على الأجزاء المائية، و فيه نظر، نعم يدلّ على كون الدقيق من باب القيمة مصححة عمر بن يزيد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نعطي الفطرة دقيقا مكان الحنطة؟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يكون أجر طحنه بقدر ما بين الحنطة و الدقيق</w:t>
      </w:r>
      <w:r>
        <w:rPr>
          <w:rFonts w:eastAsia="Amiri" w:cs="Amiri" w:ascii="Amiri" w:hAnsi="Amiri"/>
          <w:color w:val="111111"/>
          <w:sz w:val="28"/>
          <w:szCs w:val="28"/>
          <w:rtl w:val="true"/>
          <w:lang w:bidi="ar-SA"/>
        </w:rPr>
        <w:t xml:space="preserve">» </w:t>
      </w:r>
      <w:r>
        <w:rPr>
          <w:rStyle w:val="FootnoteAnchor"/>
          <w:rtl w:val="true"/>
        </w:rPr>
        <w:footnoteReference w:id="2688"/>
      </w:r>
      <w:r>
        <w:rPr>
          <w:rFonts w:ascii="Amiri" w:hAnsi="Amiri" w:eastAsia="Amiri" w:cs="Amiri"/>
          <w:color w:val="111111"/>
          <w:sz w:val="28"/>
          <w:sz w:val="28"/>
          <w:szCs w:val="28"/>
          <w:rtl w:val="true"/>
          <w:lang w:bidi="ar-SA"/>
        </w:rPr>
        <w:t>، بناء على أنّه عليه السلام جعل اجرة الطحن في مقابل ما تنقص الحنطة من الصاع بعد الطحن، إذ لو كان أصلا لم يجز منه النقص من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المشهور، بل المعروف من غير خلاف جواز إخراج القيمة، و ظاهر كلامهم بل صريح بعضهم </w:t>
      </w:r>
      <w:r>
        <w:rPr>
          <w:rStyle w:val="FootnoteAnchor"/>
          <w:rtl w:val="true"/>
        </w:rPr>
        <w:footnoteReference w:id="2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القيمة بين النقدين و غيرهما، و الأخبار مختصة بالدرهم إلّا موثقة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بالقيمة في الفطرة</w:t>
      </w:r>
      <w:r>
        <w:rPr>
          <w:rFonts w:eastAsia="Amiri" w:cs="Amiri" w:ascii="Amiri" w:hAnsi="Amiri"/>
          <w:color w:val="111111"/>
          <w:sz w:val="28"/>
          <w:szCs w:val="28"/>
          <w:rtl w:val="true"/>
          <w:lang w:bidi="ar-SA"/>
        </w:rPr>
        <w:t xml:space="preserve">» </w:t>
      </w:r>
      <w:r>
        <w:rPr>
          <w:rStyle w:val="FootnoteAnchor"/>
          <w:rtl w:val="true"/>
        </w:rPr>
        <w:footnoteReference w:id="2690"/>
      </w:r>
      <w:r>
        <w:rPr>
          <w:rFonts w:ascii="Amiri" w:hAnsi="Amiri" w:eastAsia="Amiri" w:cs="Amiri"/>
          <w:color w:val="111111"/>
          <w:sz w:val="28"/>
          <w:sz w:val="28"/>
          <w:szCs w:val="28"/>
          <w:rtl w:val="true"/>
          <w:lang w:bidi="ar-SA"/>
        </w:rPr>
        <w:t>، و الظاهر انّه كاف لمذهب المشهور نظرا إلى أنّ الظاهر منه إخراج الشي‌ء بقيمة الأصول لا إخراج نفس القيمة، هذا إن سلّم تبادر النقدين من لفظ القيمة وضعا أو انصرافا، و إلّا فلا إشكال في الاستدلال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حمل الرواية على الأخبار المقيّدة بالدرهم فلا وجه له لعدم التنافي، و يؤيد ما ذكرنا مصححة عمر بن يزيد المتقدمة</w:t>
      </w:r>
      <w:r>
        <w:rPr>
          <w:rFonts w:eastAsia="Amiri" w:cs="Amiri" w:ascii="Amiri" w:hAnsi="Amiri"/>
          <w:color w:val="111111"/>
          <w:sz w:val="28"/>
          <w:szCs w:val="28"/>
          <w:rtl w:val="true"/>
          <w:lang w:bidi="ar-SA"/>
        </w:rPr>
        <w:t>.</w:t>
      </w:r>
      <w:bookmarkStart w:id="194" w:name="pg19722_766496"/>
    </w:p>
    <w:p>
      <w:pPr>
        <w:pStyle w:val="Heading4"/>
        <w:numPr>
          <w:ilvl w:val="3"/>
          <w:numId w:val="1"/>
        </w:numPr>
        <w:rPr/>
      </w:pPr>
      <w:bookmarkStart w:id="195" w:name="__RefHeading___Toc2136410_2314609296"/>
      <w:bookmarkStart w:id="196" w:name="_Toc67"/>
      <w:bookmarkEnd w:id="194"/>
      <w:bookmarkEnd w:id="195"/>
      <w:r>
        <w:rPr>
          <w:rtl w:val="true"/>
        </w:rPr>
        <w:t xml:space="preserve">مسألة </w:t>
      </w:r>
      <w:r>
        <w:rPr>
          <w:rtl w:val="true"/>
        </w:rPr>
        <w:t>[</w:t>
      </w:r>
      <w:r>
        <w:rPr/>
        <w:t>8</w:t>
      </w:r>
      <w:r>
        <w:rPr>
          <w:rtl w:val="true"/>
        </w:rPr>
        <w:t>]</w:t>
      </w:r>
      <w:bookmarkEnd w:id="196"/>
    </w:p>
    <w:p>
      <w:pPr>
        <w:pStyle w:val="BookText"/>
        <w:rPr/>
      </w:pPr>
      <w:r>
        <w:rPr>
          <w:rFonts w:ascii="Amiri" w:hAnsi="Amiri" w:eastAsia="Amiri" w:cs="Amiri"/>
          <w:color w:val="111111"/>
          <w:sz w:val="28"/>
          <w:sz w:val="28"/>
          <w:szCs w:val="28"/>
          <w:rtl w:val="true"/>
          <w:lang w:bidi="ar-SA"/>
        </w:rPr>
        <w:t xml:space="preserve">المحكي </w:t>
      </w:r>
      <w:r>
        <w:rPr>
          <w:rStyle w:val="FootnoteAnchor"/>
          <w:rtl w:val="true"/>
        </w:rPr>
        <w:footnoteReference w:id="2691"/>
      </w:r>
      <w:r>
        <w:rPr>
          <w:rFonts w:ascii="Amiri" w:hAnsi="Amiri" w:eastAsia="Amiri" w:cs="Amiri"/>
          <w:color w:val="111111"/>
          <w:sz w:val="28"/>
          <w:sz w:val="28"/>
          <w:szCs w:val="28"/>
          <w:rtl w:val="true"/>
          <w:lang w:bidi="ar-SA"/>
        </w:rPr>
        <w:t xml:space="preserve">عن الإسكافي و المفيد </w:t>
      </w:r>
      <w:r>
        <w:rPr>
          <w:rStyle w:val="FootnoteAnchor"/>
          <w:rtl w:val="true"/>
        </w:rPr>
        <w:footnoteReference w:id="2692"/>
      </w:r>
      <w:r>
        <w:rPr>
          <w:rFonts w:ascii="Amiri" w:hAnsi="Amiri" w:eastAsia="Amiri" w:cs="Amiri"/>
          <w:color w:val="111111"/>
          <w:sz w:val="28"/>
          <w:sz w:val="28"/>
          <w:szCs w:val="28"/>
          <w:rtl w:val="true"/>
          <w:lang w:bidi="ar-SA"/>
        </w:rPr>
        <w:t xml:space="preserve">، و السيّد </w:t>
      </w:r>
      <w:r>
        <w:rPr>
          <w:rStyle w:val="FootnoteAnchor"/>
          <w:rtl w:val="true"/>
        </w:rPr>
        <w:footnoteReference w:id="2693"/>
      </w:r>
      <w:r>
        <w:rPr>
          <w:rFonts w:ascii="Amiri" w:hAnsi="Amiri" w:eastAsia="Amiri" w:cs="Amiri"/>
          <w:color w:val="111111"/>
          <w:sz w:val="28"/>
          <w:sz w:val="28"/>
          <w:szCs w:val="28"/>
          <w:rtl w:val="true"/>
          <w:lang w:bidi="ar-SA"/>
        </w:rPr>
        <w:t xml:space="preserve">، و الشيخ في المبسوط </w:t>
      </w:r>
      <w:r>
        <w:rPr>
          <w:rStyle w:val="FootnoteAnchor"/>
          <w:rtl w:val="true"/>
        </w:rPr>
        <w:footnoteReference w:id="2694"/>
      </w:r>
      <w:r>
        <w:rPr>
          <w:rFonts w:ascii="IRNazanin" w:hAnsi="IRNazanin" w:eastAsia="IRNazanin"/>
          <w:color w:val="111111"/>
          <w:sz w:val="28"/>
          <w:sz w:val="28"/>
          <w:szCs w:val="28"/>
          <w:rtl w:val="true"/>
          <w:lang w:bidi="fa-IR"/>
        </w:rPr>
        <w:t xml:space="preserve">و الخلاف </w:t>
      </w:r>
      <w:r>
        <w:rPr>
          <w:rStyle w:val="FootnoteAnchor"/>
          <w:rtl w:val="true"/>
        </w:rPr>
        <w:footnoteReference w:id="2695"/>
      </w:r>
      <w:r>
        <w:rPr>
          <w:rFonts w:ascii="Amiri" w:hAnsi="Amiri" w:eastAsia="Amiri" w:cs="Amiri"/>
          <w:color w:val="111111"/>
          <w:sz w:val="28"/>
          <w:sz w:val="28"/>
          <w:szCs w:val="28"/>
          <w:rtl w:val="true"/>
          <w:lang w:bidi="ar-SA"/>
        </w:rPr>
        <w:t xml:space="preserve">و النهاية </w:t>
      </w:r>
      <w:r>
        <w:rPr>
          <w:rStyle w:val="FootnoteAnchor"/>
          <w:rtl w:val="true"/>
        </w:rPr>
        <w:footnoteReference w:id="2696"/>
      </w:r>
      <w:r>
        <w:rPr>
          <w:rFonts w:ascii="Amiri" w:hAnsi="Amiri" w:eastAsia="Amiri" w:cs="Amiri"/>
          <w:color w:val="111111"/>
          <w:sz w:val="28"/>
          <w:sz w:val="28"/>
          <w:szCs w:val="28"/>
          <w:rtl w:val="true"/>
          <w:lang w:bidi="ar-SA"/>
        </w:rPr>
        <w:t xml:space="preserve">، و القاضي </w:t>
      </w:r>
      <w:r>
        <w:rPr>
          <w:rStyle w:val="FootnoteAnchor"/>
          <w:rtl w:val="true"/>
        </w:rPr>
        <w:footnoteReference w:id="2697"/>
      </w:r>
      <w:r>
        <w:rPr>
          <w:rFonts w:ascii="Amiri" w:hAnsi="Amiri" w:eastAsia="Amiri" w:cs="Amiri"/>
          <w:color w:val="111111"/>
          <w:sz w:val="28"/>
          <w:sz w:val="28"/>
          <w:szCs w:val="28"/>
          <w:rtl w:val="true"/>
          <w:lang w:bidi="ar-SA"/>
        </w:rPr>
        <w:t xml:space="preserve">، و الحلبي </w:t>
      </w:r>
      <w:r>
        <w:rPr>
          <w:rStyle w:val="FootnoteAnchor"/>
          <w:rtl w:val="true"/>
        </w:rPr>
        <w:footnoteReference w:id="2698"/>
      </w:r>
      <w:r>
        <w:rPr>
          <w:rFonts w:ascii="Amiri" w:hAnsi="Amiri" w:eastAsia="Amiri" w:cs="Amiri"/>
          <w:color w:val="111111"/>
          <w:sz w:val="28"/>
          <w:sz w:val="28"/>
          <w:szCs w:val="28"/>
          <w:rtl w:val="true"/>
          <w:lang w:bidi="ar-SA"/>
        </w:rPr>
        <w:t xml:space="preserve">و سلّار </w:t>
      </w:r>
      <w:r>
        <w:rPr>
          <w:rStyle w:val="FootnoteAnchor"/>
          <w:rtl w:val="true"/>
        </w:rPr>
        <w:footnoteReference w:id="2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وقت زكاة الفطرة طلوع الفجر يوم العيد، و ظاهر ابن زهرة الإجماع عليه </w:t>
      </w:r>
      <w:r>
        <w:rPr>
          <w:rStyle w:val="FootnoteAnchor"/>
          <w:rtl w:val="true"/>
        </w:rPr>
        <w:footnoteReference w:id="2700"/>
      </w:r>
      <w:r>
        <w:rPr>
          <w:rFonts w:ascii="Amiri" w:hAnsi="Amiri" w:eastAsia="Amiri" w:cs="Amiri"/>
          <w:color w:val="111111"/>
          <w:sz w:val="28"/>
          <w:sz w:val="28"/>
          <w:szCs w:val="28"/>
          <w:rtl w:val="true"/>
          <w:lang w:bidi="ar-SA"/>
        </w:rPr>
        <w:t>و هو الأقوى؛ للأصل و صحيحة العيص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 الفطرة متى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 يوم الفطر، قلت فإن بقي منه شي‌ء بعد الصلاة؟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نحن نعطي عيالنا منه ثم يبقى فنقسمه</w:t>
      </w:r>
      <w:r>
        <w:rPr>
          <w:rFonts w:eastAsia="Amiri" w:cs="Amiri" w:ascii="Amiri" w:hAnsi="Amiri"/>
          <w:color w:val="111111"/>
          <w:sz w:val="28"/>
          <w:szCs w:val="28"/>
          <w:rtl w:val="true"/>
          <w:lang w:bidi="ar-SA"/>
        </w:rPr>
        <w:t xml:space="preserve">» </w:t>
      </w:r>
      <w:r>
        <w:rPr>
          <w:rStyle w:val="FootnoteAnchor"/>
          <w:rtl w:val="true"/>
        </w:rPr>
        <w:footnoteReference w:id="2701"/>
      </w:r>
      <w:r>
        <w:rPr>
          <w:rFonts w:ascii="Amiri" w:hAnsi="Amiri" w:eastAsia="Amiri" w:cs="Amiri"/>
          <w:color w:val="111111"/>
          <w:sz w:val="28"/>
          <w:sz w:val="28"/>
          <w:szCs w:val="28"/>
          <w:rtl w:val="true"/>
          <w:lang w:bidi="ar-SA"/>
        </w:rPr>
        <w:t>دلّت على أنّ ظرفها يوم الفطر، فلا يشرع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الاستدلال مبني على وجوب تقديمها على الصلاة، إذ لو استحبّت تعيّن حمل التوظيف المستفاد من الصحيحة على الاستحباب بالنسبة إلى يوم الفطر أيضا كما لا يخفى، فيسقط الاستدلال كسقوط </w:t>
      </w:r>
      <w:r>
        <w:rPr>
          <w:rStyle w:val="FootnoteAnchor"/>
          <w:rtl w:val="true"/>
        </w:rPr>
        <w:footnoteReference w:id="2702"/>
      </w:r>
      <w:r>
        <w:rPr>
          <w:rFonts w:ascii="Amiri" w:hAnsi="Amiri" w:eastAsia="Amiri" w:cs="Amiri"/>
          <w:color w:val="111111"/>
          <w:sz w:val="28"/>
          <w:sz w:val="28"/>
          <w:szCs w:val="28"/>
          <w:rtl w:val="true"/>
          <w:lang w:bidi="ar-SA"/>
        </w:rPr>
        <w:t>الاستدلال برواية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إن أعطيت قبل أن تخرج إلى العيد فهي فطرة، و إن كان بعد ما يخرج إلى العيد فهي صدقة</w:t>
      </w:r>
      <w:r>
        <w:rPr>
          <w:rFonts w:eastAsia="Amiri" w:cs="Amiri" w:ascii="Amiri" w:hAnsi="Amiri"/>
          <w:color w:val="111111"/>
          <w:sz w:val="28"/>
          <w:szCs w:val="28"/>
          <w:rtl w:val="true"/>
          <w:lang w:bidi="ar-SA"/>
        </w:rPr>
        <w:t xml:space="preserve">» </w:t>
      </w:r>
      <w:r>
        <w:rPr>
          <w:rStyle w:val="FootnoteAnchor"/>
          <w:rtl w:val="true"/>
        </w:rPr>
        <w:footnoteReference w:id="2703"/>
      </w:r>
      <w:r>
        <w:rPr>
          <w:rFonts w:ascii="Amiri" w:hAnsi="Amiri" w:eastAsia="Amiri" w:cs="Amiri"/>
          <w:color w:val="111111"/>
          <w:sz w:val="28"/>
          <w:sz w:val="28"/>
          <w:szCs w:val="28"/>
          <w:rtl w:val="true"/>
          <w:lang w:bidi="ar-SA"/>
        </w:rPr>
        <w:t>، إذ غاية ما يستظهر منها وجوب كون الفطرة قبل الخروج، فإذا حمل على الاستحباب لما سيأتي من انتهاء وقت الفطرة بالزوال سقط الاستدلال به، مع أنّ مجرّد وجوب كونها قبل الخروج لا يدلّ على توقيتها بطلوع الفجر، نعم دلّت على ذلك الصحيحة الاولى من حيث التصريح بوجوب كونها يوم الفطر الذي مبدأه طلوع الفجر، فلا يجزي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تضعيف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قبل الصلاة كما يعمّ عند طلوع الفجر بلا فصل، كذا يعمّ قبله القريب منه، و لا قائل بالفرق، مع انّ المتبادر من السياق أن المراد بالقبليّة إنّما هو المقابل لما بعد الصلاة، لا المتبادر منها إلى الذهن حقيقة، و هو قريب من الصلاة، مع أنّه لا قائل به منّا؛ للاتفاق على كون ما بعد الفجر بلا فصل وقتا، مع أنّه غير متبادر منه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أنت خبير بأنّ هذين التضعيفين </w:t>
      </w:r>
      <w:r>
        <w:rPr>
          <w:rStyle w:val="FootnoteAnchor"/>
          <w:rtl w:val="true"/>
        </w:rPr>
        <w:footnoteReference w:id="2704"/>
      </w:r>
      <w:r>
        <w:rPr>
          <w:rFonts w:ascii="Amiri" w:hAnsi="Amiri" w:eastAsia="Amiri" w:cs="Amiri"/>
          <w:color w:val="111111"/>
          <w:sz w:val="28"/>
          <w:sz w:val="28"/>
          <w:szCs w:val="28"/>
          <w:rtl w:val="true"/>
          <w:lang w:bidi="ar-SA"/>
        </w:rPr>
        <w:t xml:space="preserve">ناظران إلى الاستدلال على التوقيت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كذلك بل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الفطر</w:t>
      </w:r>
      <w:r>
        <w:rPr>
          <w:rFonts w:eastAsia="Amiri" w:cs="Amiri" w:ascii="Amiri" w:hAnsi="Amiri"/>
          <w:color w:val="111111"/>
          <w:sz w:val="28"/>
          <w:szCs w:val="28"/>
          <w:rtl w:val="true"/>
          <w:lang w:bidi="ar-SA"/>
        </w:rPr>
        <w:t xml:space="preserve">» </w:t>
      </w:r>
      <w:r>
        <w:rPr>
          <w:rStyle w:val="FootnoteAnchor"/>
          <w:rtl w:val="true"/>
        </w:rPr>
        <w:footnoteReference w:id="2705"/>
      </w:r>
      <w:r>
        <w:rPr>
          <w:rFonts w:ascii="Amiri" w:hAnsi="Amiri" w:eastAsia="Amiri" w:cs="Amiri"/>
          <w:color w:val="111111"/>
          <w:sz w:val="28"/>
          <w:sz w:val="28"/>
          <w:szCs w:val="28"/>
          <w:rtl w:val="true"/>
          <w:lang w:bidi="ar-SA"/>
        </w:rPr>
        <w:t>حيث إنّها تدلّ على أنّ وقت الفطرة يوم الفطر قبل الصلاة فقبل اليوم لا وقت كما بعد الصلاة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 ذلك حملها على الأفضلية بقرينة قوله عليه السلام في رواية</w:t>
      </w:r>
    </w:p>
    <w:p>
      <w:pPr>
        <w:pStyle w:val="BookText"/>
        <w:rPr/>
      </w:pPr>
      <w:r>
        <w:rPr>
          <w:rFonts w:ascii="Amiri" w:hAnsi="Amiri" w:eastAsia="Amiri" w:cs="Amiri"/>
          <w:color w:val="111111"/>
          <w:sz w:val="28"/>
          <w:sz w:val="28"/>
          <w:szCs w:val="28"/>
          <w:rtl w:val="true"/>
          <w:lang w:bidi="ar-SA"/>
        </w:rPr>
        <w:t>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 يوم الفطر أفضل، و هو في سعة أن يخرجها في أوّل يوم من شهر رمضان</w:t>
      </w:r>
      <w:r>
        <w:rPr>
          <w:rFonts w:eastAsia="Amiri" w:cs="Amiri" w:ascii="Amiri" w:hAnsi="Amiri"/>
          <w:color w:val="111111"/>
          <w:sz w:val="28"/>
          <w:szCs w:val="28"/>
          <w:rtl w:val="true"/>
          <w:lang w:bidi="ar-SA"/>
        </w:rPr>
        <w:t xml:space="preserve">» </w:t>
      </w:r>
      <w:r>
        <w:rPr>
          <w:rStyle w:val="FootnoteAnchor"/>
          <w:rtl w:val="true"/>
        </w:rPr>
        <w:footnoteReference w:id="2706"/>
      </w:r>
      <w:r>
        <w:rPr>
          <w:rFonts w:ascii="Amiri" w:hAnsi="Amiri" w:eastAsia="Amiri" w:cs="Amiri"/>
          <w:color w:val="111111"/>
          <w:sz w:val="28"/>
          <w:sz w:val="28"/>
          <w:szCs w:val="28"/>
          <w:rtl w:val="true"/>
          <w:lang w:bidi="ar-SA"/>
        </w:rPr>
        <w:t>، إذ لا يخفى أنّ سياق الرواية يدلّ على أفضلية الإعطاء يوم الفطرة من التقديم عليه على وجه التعجيل و هو خارج عن المطلوب؛ إذ لا نزاع على القول بجواز التعجيل في جواز إخراجها ليلة الفطر، بل قبلها على وجه التعجيل، بل النزاع في الوقت المضروب بأصل الشرع الذي انحصر القول فيه في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مناص عن العمل بالصحيحة إلّا إذا دلّ الدليل على عدم خروج وقت الفطرة بالصلاة، فالعجب ممن قال هنا بهذا القول متمسّكا بظاهر الصحيحة، مع تقويته في مسألة آخر وقت الفطرة انتهاءه إلى الزوال بل آخر النهار كما اتّفق لصاحب المدارك </w:t>
      </w:r>
      <w:r>
        <w:rPr>
          <w:rStyle w:val="FootnoteAnchor"/>
          <w:rtl w:val="true"/>
        </w:rPr>
        <w:footnoteReference w:id="2707"/>
      </w:r>
      <w:r>
        <w:rPr>
          <w:rFonts w:ascii="Amiri" w:hAnsi="Amiri" w:eastAsia="Amiri" w:cs="Amiri"/>
          <w:color w:val="111111"/>
          <w:sz w:val="28"/>
          <w:sz w:val="28"/>
          <w:szCs w:val="28"/>
          <w:rtl w:val="true"/>
          <w:lang w:bidi="ar-SA"/>
        </w:rPr>
        <w:t>، فإنّ ظاهر الصحيحة إن دلّت على وجوب كون الفطرة قبل الصلاة يوم العيد فلا مناص عن القول بانتهائه بالصلاة، و إن دلّت على مطلق الرجحان فلا يكون دليلا على ابتداء الوقت بطلوع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الرواية تدلّ على أوّل الوقت و آخره بدلالة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فالمخالف فيما ذكرنا أكثر المتأخّرين و جماعة من القدماء كالشيخ في الجمل </w:t>
      </w:r>
      <w:r>
        <w:rPr>
          <w:rStyle w:val="FootnoteAnchor"/>
          <w:rtl w:val="true"/>
        </w:rPr>
        <w:footnoteReference w:id="2708"/>
      </w:r>
      <w:r>
        <w:rPr>
          <w:rFonts w:ascii="IRNazanin" w:hAnsi="IRNazanin" w:eastAsia="IRNazanin"/>
          <w:color w:val="111111"/>
          <w:sz w:val="28"/>
          <w:sz w:val="28"/>
          <w:szCs w:val="28"/>
          <w:rtl w:val="true"/>
          <w:lang w:bidi="fa-IR"/>
        </w:rPr>
        <w:t xml:space="preserve">و الاقتصاد </w:t>
      </w:r>
      <w:r>
        <w:rPr>
          <w:rStyle w:val="FootnoteAnchor"/>
          <w:rtl w:val="true"/>
        </w:rPr>
        <w:footnoteReference w:id="2709"/>
      </w:r>
      <w:r>
        <w:rPr>
          <w:rFonts w:ascii="Amiri" w:hAnsi="Amiri" w:eastAsia="Amiri" w:cs="Amiri"/>
          <w:color w:val="111111"/>
          <w:sz w:val="28"/>
          <w:sz w:val="28"/>
          <w:szCs w:val="28"/>
          <w:rtl w:val="true"/>
          <w:lang w:bidi="ar-SA"/>
        </w:rPr>
        <w:t xml:space="preserve">و ابن حمزة </w:t>
      </w:r>
      <w:r>
        <w:rPr>
          <w:rStyle w:val="FootnoteAnchor"/>
          <w:rtl w:val="true"/>
        </w:rPr>
        <w:footnoteReference w:id="2710"/>
      </w:r>
      <w:r>
        <w:rPr>
          <w:rFonts w:ascii="Amiri" w:hAnsi="Amiri" w:eastAsia="Amiri" w:cs="Amiri"/>
          <w:color w:val="111111"/>
          <w:sz w:val="28"/>
          <w:sz w:val="28"/>
          <w:szCs w:val="28"/>
          <w:rtl w:val="true"/>
          <w:lang w:bidi="ar-SA"/>
        </w:rPr>
        <w:t xml:space="preserve">و الحلّي </w:t>
      </w:r>
      <w:r>
        <w:rPr>
          <w:rStyle w:val="FootnoteAnchor"/>
          <w:rtl w:val="true"/>
        </w:rPr>
        <w:footnoteReference w:id="2711"/>
      </w:r>
      <w:r>
        <w:rPr>
          <w:rFonts w:ascii="Amiri" w:hAnsi="Amiri" w:eastAsia="Amiri" w:cs="Amiri"/>
          <w:color w:val="111111"/>
          <w:sz w:val="28"/>
          <w:sz w:val="28"/>
          <w:szCs w:val="28"/>
          <w:rtl w:val="true"/>
          <w:lang w:bidi="ar-SA"/>
        </w:rPr>
        <w:t>فأوجبوها بهلال شوّال، لما تقدّم من روايتي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المولود يولد ليلة الفطر أ عليه فطرة؟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قد خرج الشهر</w:t>
      </w:r>
      <w:r>
        <w:rPr>
          <w:rFonts w:eastAsia="IRNazanin" w:cs="IRNazanin"/>
          <w:color w:val="111111"/>
          <w:sz w:val="28"/>
          <w:szCs w:val="28"/>
          <w:rtl w:val="true"/>
          <w:lang w:bidi="fa-IR"/>
        </w:rPr>
        <w:t xml:space="preserve">» </w:t>
      </w:r>
      <w:r>
        <w:rPr>
          <w:rStyle w:val="FootnoteAnchor"/>
          <w:rtl w:val="true"/>
        </w:rPr>
        <w:footnoteReference w:id="2712"/>
      </w: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أسلم بعد الهلال، و المولود يولد كذلك؟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فطرة، ليس الفطرة إلّا على من أدرك الشهر</w:t>
      </w:r>
      <w:r>
        <w:rPr>
          <w:rFonts w:eastAsia="Amiri" w:cs="Amiri" w:ascii="Amiri" w:hAnsi="Amiri"/>
          <w:color w:val="111111"/>
          <w:sz w:val="28"/>
          <w:szCs w:val="28"/>
          <w:rtl w:val="true"/>
          <w:lang w:bidi="ar-SA"/>
        </w:rPr>
        <w:t xml:space="preserve">» </w:t>
      </w:r>
      <w:r>
        <w:rPr>
          <w:rStyle w:val="FootnoteAnchor"/>
          <w:rtl w:val="true"/>
        </w:rPr>
        <w:footnoteReference w:id="2713"/>
      </w:r>
      <w:r>
        <w:rPr>
          <w:rFonts w:ascii="IRNazanin" w:hAnsi="IRNazanin" w:eastAsia="IRNazanin"/>
          <w:color w:val="111111"/>
          <w:sz w:val="28"/>
          <w:sz w:val="28"/>
          <w:szCs w:val="28"/>
          <w:rtl w:val="true"/>
          <w:lang w:bidi="fa-IR"/>
        </w:rPr>
        <w:t xml:space="preserve">، بناء على ما عرفت من أنّ مدلولهما عدم حدوث وجوب بعد الهلال </w:t>
      </w:r>
      <w:r>
        <w:rPr>
          <w:rStyle w:val="FootnoteAnchor"/>
          <w:rtl w:val="true"/>
        </w:rPr>
        <w:footnoteReference w:id="2714"/>
      </w:r>
      <w:r>
        <w:rPr>
          <w:rFonts w:ascii="Amiri" w:hAnsi="Amiri" w:eastAsia="Amiri" w:cs="Amiri"/>
          <w:color w:val="111111"/>
          <w:sz w:val="28"/>
          <w:sz w:val="28"/>
          <w:szCs w:val="28"/>
          <w:rtl w:val="true"/>
          <w:lang w:bidi="ar-SA"/>
        </w:rPr>
        <w:t>، فلو لم يجب إلّا بطلوع الفجر لم يكن لإدراك شهر رمضان مدخل في الوجوب، و لا لخروجه مدخل 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التمسّك بهما مشكل؛ لأنّهما مسوقتان لمجرد بيان مدخلية إدراك الشهر في الوجوب في مقام جواب السائل، حيث سأل عن أنّ المولود بعد الهلال، أو المسلم بعده هل يتعلّق بهما الفطرة؟ يعني و لو في الوقت المضروب لها أم لا؟</w:t>
      </w:r>
    </w:p>
    <w:p>
      <w:pPr>
        <w:pStyle w:val="BookText"/>
        <w:rPr/>
      </w:pPr>
      <w:r>
        <w:rPr>
          <w:rFonts w:ascii="Amiri" w:hAnsi="Amiri" w:eastAsia="Amiri" w:cs="Amiri"/>
          <w:color w:val="111111"/>
          <w:sz w:val="28"/>
          <w:sz w:val="28"/>
          <w:szCs w:val="28"/>
          <w:rtl w:val="true"/>
          <w:lang w:bidi="ar-SA"/>
        </w:rPr>
        <w:t>و ليس السؤال عن فعلية التعلّق بهما ليلا، فكان مبدأ التعلّق في السؤال و الجواب مفروغا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يبعد أن يكون إدراك الشهر سببا لحدوث الوجوب بطلوع الفجر بحيث لا يتوجّه الخطاب بهذا الواجب الموقت إلّا على من أدرك الشهر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سلّمنا دلالتهما على حدوث الوجوب بمجرّد الهلال، فلا تنافي توقيت الإخراج بطلوع الفجر، فيتعدد ظرف الوجوب و ظرف الإخراج، و حينئذ فيستقيم ما ذكروه في مقام التفريع على سببيّة إدراك الشهر، بأنّه لو مات المكلّف بعد الهلال وجب الفطرة في ماله، إذ لو لا كونه واجبا لم يخرج من التركة فضلا عن جعلها </w:t>
      </w:r>
      <w:r>
        <w:rPr>
          <w:rStyle w:val="FootnoteAnchor"/>
          <w:rtl w:val="true"/>
        </w:rPr>
        <w:footnoteReference w:id="2715"/>
      </w:r>
      <w:r>
        <w:rPr>
          <w:rFonts w:ascii="Amiri" w:hAnsi="Amiri" w:eastAsia="Amiri" w:cs="Amiri"/>
          <w:color w:val="111111"/>
          <w:sz w:val="28"/>
          <w:sz w:val="28"/>
          <w:szCs w:val="28"/>
          <w:rtl w:val="true"/>
          <w:lang w:bidi="ar-SA"/>
        </w:rPr>
        <w:t>بحيث يتحاص مع الديان، لكن ظاهر أصحاب القول الأوّل حدوث الوجوب بطلوع الفجر فتعيّن الاحتمال الأوّل، و هو مراد صاحب المدارك و مثله، حيث أجاب عن الرواية بأنّها تدلّ على وجوب الإخراج عمّن أدرك الشهر، لا على أنّ أوّل وجوب الإخراج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أحدهما غير الآخر </w:t>
      </w:r>
      <w:r>
        <w:rPr>
          <w:rStyle w:val="FootnoteAnchor"/>
          <w:rtl w:val="true"/>
        </w:rPr>
        <w:footnoteReference w:id="2716"/>
      </w: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 xml:space="preserve">يظنّ به إرادة تغاير وقتي الوجوب و الإخراج، فيورد عليه بأنّه خلاف ظاهر كلماتهم، بل خلاف الأصل؛ حيث إنّ أصالة إطلاق وجوب شي‌ء في </w:t>
      </w:r>
      <w:r>
        <w:rPr>
          <w:rStyle w:val="FootnoteAnchor"/>
          <w:rtl w:val="true"/>
        </w:rPr>
        <w:footnoteReference w:id="2717"/>
      </w:r>
      <w:r>
        <w:rPr>
          <w:rFonts w:ascii="IRNazanin" w:hAnsi="IRNazanin" w:eastAsia="IRNazanin"/>
          <w:color w:val="111111"/>
          <w:sz w:val="28"/>
          <w:sz w:val="28"/>
          <w:szCs w:val="28"/>
          <w:rtl w:val="true"/>
          <w:lang w:bidi="fa-IR"/>
        </w:rPr>
        <w:t>وقت جواز أدائه بعد تحقّق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موقوف على إبطال دليل القول الأوّل الذي كفى به مقيّدا للإطلاق، انّه موقوف على عدم سوق الإطلاق في مقام بيان أصل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حينئذ ما ذكر من مسألة موت المكلّف قبل طلوع الفجر، مع وجوب </w:t>
      </w:r>
      <w:r>
        <w:rPr>
          <w:rStyle w:val="FootnoteAnchor"/>
          <w:rtl w:val="true"/>
        </w:rPr>
        <w:footnoteReference w:id="2718"/>
      </w:r>
      <w:r>
        <w:rPr>
          <w:rFonts w:ascii="Amiri" w:hAnsi="Amiri" w:eastAsia="Amiri" w:cs="Amiri"/>
          <w:color w:val="111111"/>
          <w:sz w:val="28"/>
          <w:sz w:val="28"/>
          <w:szCs w:val="28"/>
          <w:rtl w:val="true"/>
          <w:lang w:bidi="ar-SA"/>
        </w:rPr>
        <w:t>الفطرة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 بأنّ إدراك الشهر سبب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الاستقرار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معنى وجوب الزكاة بعد الحول و قبل التمكّن من الأداء، كما فسّره بذلك في المعتبر </w:t>
      </w:r>
      <w:r>
        <w:rPr>
          <w:rStyle w:val="FootnoteAnchor"/>
          <w:rtl w:val="true"/>
        </w:rPr>
        <w:footnoteReference w:id="2719"/>
      </w:r>
      <w:r>
        <w:rPr>
          <w:rFonts w:ascii="Amiri" w:hAnsi="Amiri" w:eastAsia="Amiri" w:cs="Amiri"/>
          <w:color w:val="111111"/>
          <w:sz w:val="28"/>
          <w:sz w:val="28"/>
          <w:szCs w:val="28"/>
          <w:rtl w:val="true"/>
          <w:lang w:bidi="ar-SA"/>
        </w:rPr>
        <w:t xml:space="preserve">، فلا منافاة بين استقرارها في الذمّة بمجرّد الهلال، و عدم وجوب الأداء إلّا بعد طلوع الفجر، شبيه </w:t>
      </w:r>
      <w:r>
        <w:rPr>
          <w:rStyle w:val="FootnoteAnchor"/>
          <w:rtl w:val="true"/>
        </w:rPr>
        <w:footnoteReference w:id="2720"/>
      </w:r>
      <w:r>
        <w:rPr>
          <w:rFonts w:ascii="Amiri" w:hAnsi="Amiri" w:eastAsia="Amiri" w:cs="Amiri"/>
          <w:color w:val="111111"/>
          <w:sz w:val="28"/>
          <w:sz w:val="28"/>
          <w:szCs w:val="28"/>
          <w:rtl w:val="true"/>
          <w:lang w:bidi="ar-SA"/>
        </w:rPr>
        <w:t>الدين المؤجّل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فدلالة الروايتين على جواز الأداء ليلا في غاية الإشكال، و أصالة التأخّر مع عدم إمكان قصد التقرّب بالفطرة عند الشك، مضافا إلى الاحتياط اللازم مع قطع النظر عن اعتبار القربة من حيث الاشتغال اليقيني يقتضي وجوب الإتيان بعد طلوع الفجر، و لا يتوهّم عدم ثبوت تيقّن الاشتغال بعد الإتيان به ليلا، إذ بعد طلوع الفجر يشكّ في تعلّق التكليف؛ لأنّا نعلم بعد طلوع الفجر أنّه تعلّق به تكليف بالإخراج في زمان فيشكّ في البراءة عن ذلك التكليف المتيقّن، و بعبارة أخرى التكليف متحقّق في زمان يقينا و الشك في الرافع فيستصحب، و لا يعتبر في الاستحصاب معرفة الزمان السابق بالخصوص</w:t>
      </w:r>
      <w:r>
        <w:rPr>
          <w:rFonts w:eastAsia="Amiri" w:cs="Amiri" w:ascii="Amiri" w:hAnsi="Amiri"/>
          <w:color w:val="111111"/>
          <w:sz w:val="28"/>
          <w:szCs w:val="28"/>
          <w:rtl w:val="true"/>
          <w:lang w:bidi="ar-SA"/>
        </w:rPr>
        <w:t>.</w:t>
      </w:r>
      <w:bookmarkStart w:id="197" w:name="pg19722_766501"/>
    </w:p>
    <w:p>
      <w:pPr>
        <w:pStyle w:val="Heading4"/>
        <w:numPr>
          <w:ilvl w:val="3"/>
          <w:numId w:val="1"/>
        </w:numPr>
        <w:rPr/>
      </w:pPr>
      <w:bookmarkStart w:id="198" w:name="__RefHeading___Toc2136412_2314609296"/>
      <w:bookmarkStart w:id="199" w:name="_Toc68"/>
      <w:bookmarkEnd w:id="197"/>
      <w:bookmarkEnd w:id="198"/>
      <w:r>
        <w:rPr>
          <w:rtl w:val="true"/>
        </w:rPr>
        <w:t xml:space="preserve">مسألة </w:t>
      </w:r>
      <w:r>
        <w:rPr>
          <w:rtl w:val="true"/>
        </w:rPr>
        <w:t>[</w:t>
      </w:r>
      <w:r>
        <w:rPr/>
        <w:t>9</w:t>
      </w:r>
      <w:r>
        <w:rPr>
          <w:rtl w:val="true"/>
        </w:rPr>
        <w:t>]</w:t>
      </w:r>
      <w:bookmarkEnd w:id="199"/>
    </w:p>
    <w:p>
      <w:pPr>
        <w:pStyle w:val="BookText"/>
        <w:rPr/>
      </w:pPr>
      <w:r>
        <w:rPr>
          <w:rFonts w:ascii="Amiri" w:hAnsi="Amiri" w:eastAsia="Amiri" w:cs="Amiri"/>
          <w:color w:val="111111"/>
          <w:sz w:val="28"/>
          <w:sz w:val="28"/>
          <w:szCs w:val="28"/>
          <w:rtl w:val="true"/>
          <w:lang w:bidi="ar-SA"/>
        </w:rPr>
        <w:t xml:space="preserve">حكى في الدروس </w:t>
      </w:r>
      <w:r>
        <w:rPr>
          <w:rStyle w:val="FootnoteAnchor"/>
          <w:rtl w:val="true"/>
        </w:rPr>
        <w:footnoteReference w:id="2721"/>
      </w:r>
      <w:r>
        <w:rPr>
          <w:rFonts w:ascii="Amiri" w:hAnsi="Amiri" w:eastAsia="Amiri" w:cs="Amiri"/>
          <w:color w:val="111111"/>
          <w:sz w:val="28"/>
          <w:sz w:val="28"/>
          <w:szCs w:val="28"/>
          <w:rtl w:val="true"/>
          <w:lang w:bidi="ar-SA"/>
        </w:rPr>
        <w:t xml:space="preserve">و المسالك </w:t>
      </w:r>
      <w:r>
        <w:rPr>
          <w:rStyle w:val="FootnoteAnchor"/>
          <w:rtl w:val="true"/>
        </w:rPr>
        <w:footnoteReference w:id="2722"/>
      </w:r>
      <w:r>
        <w:rPr>
          <w:rFonts w:ascii="Amiri" w:hAnsi="Amiri" w:eastAsia="Amiri" w:cs="Amiri"/>
          <w:color w:val="111111"/>
          <w:sz w:val="28"/>
          <w:sz w:val="28"/>
          <w:szCs w:val="28"/>
          <w:rtl w:val="true"/>
          <w:lang w:bidi="ar-SA"/>
        </w:rPr>
        <w:t>عن المشهور جواز تعجيل الفطرة من أوّل شهر رمضان، معتمدين في ذلك على صحيحة الفضلاء المتقدّمة،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في سعة أن يعطيها من أوّل يوم من شهر رمضان</w:t>
      </w:r>
      <w:r>
        <w:rPr>
          <w:rFonts w:eastAsia="Amiri" w:cs="Amiri" w:ascii="Amiri" w:hAnsi="Amiri"/>
          <w:color w:val="111111"/>
          <w:sz w:val="28"/>
          <w:szCs w:val="28"/>
          <w:rtl w:val="true"/>
          <w:lang w:bidi="ar-SA"/>
        </w:rPr>
        <w:t xml:space="preserve">» </w:t>
      </w:r>
      <w:r>
        <w:rPr>
          <w:rStyle w:val="FootnoteAnchor"/>
          <w:rtl w:val="true"/>
        </w:rPr>
        <w:footnoteReference w:id="2723"/>
      </w:r>
      <w:r>
        <w:rPr>
          <w:rFonts w:ascii="Amiri" w:hAnsi="Amiri" w:eastAsia="Amiri" w:cs="Amiri"/>
          <w:color w:val="111111"/>
          <w:sz w:val="28"/>
          <w:sz w:val="28"/>
          <w:szCs w:val="28"/>
          <w:rtl w:val="true"/>
          <w:lang w:bidi="ar-SA"/>
        </w:rPr>
        <w:t>، و حملها على القرض مع تخصيص ذلك برمضان بعيد جدا، سيّما مع أنّ ظاهر الضمير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الرجوع الى نفس الفطرة، و سيما مع جعل الحكم من باب السعة و الرخصة في مقابل الفضيلة، إذ لا ريب في أنّ إقراض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الاحتساب عليه في يوم الفطر قبل الصلاة جامع لفضيلة الإقراض</w:t>
      </w:r>
      <w:r>
        <w:rPr>
          <w:rFonts w:eastAsia="Amiri" w:cs="Amiri" w:ascii="Amiri" w:hAnsi="Amiri"/>
          <w:color w:val="111111"/>
          <w:sz w:val="28"/>
          <w:szCs w:val="28"/>
          <w:rtl w:val="true"/>
          <w:lang w:bidi="ar-SA"/>
        </w:rPr>
        <w:t xml:space="preserve">] </w:t>
      </w:r>
      <w:r>
        <w:rPr>
          <w:rStyle w:val="FootnoteAnchor"/>
          <w:rtl w:val="true"/>
        </w:rPr>
        <w:footnoteReference w:id="2724"/>
      </w:r>
      <w:r>
        <w:rPr>
          <w:rFonts w:ascii="Amiri" w:hAnsi="Amiri" w:eastAsia="Amiri" w:cs="Amiri"/>
          <w:color w:val="111111"/>
          <w:sz w:val="28"/>
          <w:sz w:val="28"/>
          <w:szCs w:val="28"/>
          <w:rtl w:val="true"/>
          <w:lang w:bidi="ar-SA"/>
        </w:rPr>
        <w:t>و أداء الفطرة في وقت الفضيلة، فلا معنى لجعله من باب الرخصة الفاقدة للفضيلة، و كيف كان فحملها على القرض في غاية البعد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اشتمال ذيلها على كفاية نصف صاع المجمع على خلافها فهو غير ضائر، و يدلّ عليها رواية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w:t>
      </w:r>
    </w:p>
    <w:p>
      <w:pPr>
        <w:pStyle w:val="BookText"/>
        <w:rPr/>
      </w:pPr>
      <w:r>
        <w:rPr>
          <w:rFonts w:ascii="Amiri" w:hAnsi="Amiri" w:eastAsia="Amiri" w:cs="Amiri"/>
          <w:color w:val="111111"/>
          <w:sz w:val="28"/>
          <w:sz w:val="28"/>
          <w:szCs w:val="28"/>
          <w:rtl w:val="true"/>
          <w:lang w:bidi="ar-SA"/>
        </w:rPr>
        <w:t xml:space="preserve">تعجيل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725"/>
      </w:r>
      <w:r>
        <w:rPr>
          <w:rFonts w:ascii="Amiri" w:hAnsi="Amiri" w:eastAsia="Amiri" w:cs="Amiri"/>
          <w:color w:val="111111"/>
          <w:sz w:val="28"/>
          <w:sz w:val="28"/>
          <w:szCs w:val="28"/>
          <w:rtl w:val="true"/>
          <w:lang w:bidi="ar-SA"/>
        </w:rPr>
        <w:t>، بناء على عدم القول بالفصل بين اليوم و أزيد منه، و بهما يخصص عموم ما دلّ على توقيت الفطر</w:t>
      </w:r>
      <w:r>
        <w:rPr>
          <w:rFonts w:eastAsia="Amiri" w:cs="Amiri" w:ascii="Amiri" w:hAnsi="Amiri"/>
          <w:color w:val="111111"/>
          <w:sz w:val="28"/>
          <w:szCs w:val="28"/>
          <w:rtl w:val="true"/>
          <w:lang w:bidi="ar-SA"/>
        </w:rPr>
        <w:t xml:space="preserve">] </w:t>
      </w:r>
      <w:r>
        <w:rPr>
          <w:rStyle w:val="FootnoteAnchor"/>
          <w:rtl w:val="true"/>
        </w:rPr>
        <w:footnoteReference w:id="2726"/>
      </w:r>
      <w:r>
        <w:rPr>
          <w:rFonts w:ascii="Amiri" w:hAnsi="Amiri" w:eastAsia="Amiri" w:cs="Amiri"/>
          <w:color w:val="111111"/>
          <w:sz w:val="28"/>
          <w:sz w:val="28"/>
          <w:szCs w:val="28"/>
          <w:rtl w:val="true"/>
          <w:lang w:bidi="ar-SA"/>
        </w:rPr>
        <w:t xml:space="preserve">بيوم العيد، أو بهلال شوّال </w:t>
      </w:r>
      <w:r>
        <w:rPr>
          <w:rStyle w:val="FootnoteAnchor"/>
          <w:rtl w:val="true"/>
        </w:rPr>
        <w:footnoteReference w:id="2727"/>
      </w:r>
      <w:r>
        <w:rPr>
          <w:rFonts w:ascii="Amiri" w:hAnsi="Amiri" w:eastAsia="Amiri" w:cs="Amiri"/>
          <w:color w:val="111111"/>
          <w:sz w:val="28"/>
          <w:sz w:val="28"/>
          <w:szCs w:val="28"/>
          <w:rtl w:val="true"/>
          <w:lang w:bidi="ar-SA"/>
        </w:rPr>
        <w:t>، مع أنّ ذلك العموم في مقام بيان الوقت الأصلي فلا ينافي الرخصة في التقديم، للدليل، نعم يخصّص بهما ما ورد في تعليل المنع عن تعجيل زكاة المال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تصلى الاولى قبل الزوال و إن كان فريضة، إنما تؤدى إذا حلت</w:t>
      </w:r>
      <w:r>
        <w:rPr>
          <w:rFonts w:eastAsia="Amiri" w:cs="Amiri" w:ascii="Amiri" w:hAnsi="Amiri"/>
          <w:color w:val="111111"/>
          <w:sz w:val="28"/>
          <w:szCs w:val="28"/>
          <w:rtl w:val="true"/>
          <w:lang w:bidi="ar-SA"/>
        </w:rPr>
        <w:t xml:space="preserve">»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مرفوعة أحمد بن محمد، عن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للزكاة وقت معلوم تعطى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ليختلف في إصابة الرجل المال، و أمّا الفطرة فإنّها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729"/>
      </w:r>
      <w:r>
        <w:rPr>
          <w:rFonts w:ascii="Amiri" w:hAnsi="Amiri" w:eastAsia="Amiri" w:cs="Amiri"/>
          <w:color w:val="111111"/>
          <w:sz w:val="28"/>
          <w:sz w:val="28"/>
          <w:szCs w:val="28"/>
          <w:rtl w:val="true"/>
          <w:lang w:bidi="ar-SA"/>
        </w:rPr>
        <w:t>فهي أيضا لا تنافي الروايتين؛ لأنّ السؤال فيها عن الوقت الأصلي المضروب</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يؤيّد هذا القول بما تقدّم </w:t>
      </w:r>
      <w:r>
        <w:rPr>
          <w:rStyle w:val="FootnoteAnchor"/>
          <w:rtl w:val="true"/>
        </w:rPr>
        <w:footnoteReference w:id="2730"/>
      </w:r>
      <w:r>
        <w:rPr>
          <w:rFonts w:ascii="Amiri" w:hAnsi="Amiri" w:eastAsia="Amiri" w:cs="Amiri"/>
          <w:color w:val="111111"/>
          <w:sz w:val="28"/>
          <w:sz w:val="28"/>
          <w:szCs w:val="28"/>
          <w:rtl w:val="true"/>
          <w:lang w:bidi="ar-SA"/>
        </w:rPr>
        <w:t>من روايتي معاوية بن عمار الظاهرتين في إناطة الوجوب بإدراك شهر رمضان؛ فإنّ ذلك ظاهر في سببيّة شهر رمضان لوجوب الفطرة، 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أدرك ركعة من الوقت فقد أدرك الوقت </w:t>
      </w:r>
      <w:r>
        <w:rPr>
          <w:rStyle w:val="FootnoteAnchor"/>
          <w:rtl w:val="true"/>
        </w:rPr>
        <w:footnoteReference w:id="27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أدرك الركوع فقد أدرك الركعة</w:t>
      </w:r>
      <w:r>
        <w:rPr>
          <w:rFonts w:eastAsia="Amiri" w:cs="Amiri" w:ascii="Amiri" w:hAnsi="Amiri"/>
          <w:color w:val="111111"/>
          <w:sz w:val="28"/>
          <w:szCs w:val="28"/>
          <w:rtl w:val="true"/>
          <w:lang w:bidi="ar-SA"/>
        </w:rPr>
        <w:t xml:space="preserve">» </w:t>
      </w:r>
      <w:r>
        <w:rPr>
          <w:rStyle w:val="FootnoteAnchor"/>
          <w:rtl w:val="true"/>
        </w:rPr>
        <w:footnoteReference w:id="273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لفظ الإدراك رمزا إلى كونه هي الغاية التي لا بد لها من بداية، و ليست هنا إجماعا إلّا أوّل الشهر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إدراك الشهر إنّما جعل في الروايتين سببا للوجوب مع اجتماع الشرائط فيه من الكمال و الحرية و الغنى، فمفهوم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الفطرة الّا على من أدرك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الفطرة على من أدرك الشهر متّصفا بالشروط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ظاهرهم </w:t>
      </w:r>
      <w:r>
        <w:rPr>
          <w:rStyle w:val="FootnoteAnchor"/>
          <w:rtl w:val="true"/>
        </w:rPr>
        <w:footnoteReference w:id="2734"/>
      </w:r>
      <w:r>
        <w:rPr>
          <w:rFonts w:ascii="Amiri" w:hAnsi="Amiri" w:eastAsia="Amiri" w:cs="Amiri"/>
          <w:color w:val="111111"/>
          <w:sz w:val="28"/>
          <w:sz w:val="28"/>
          <w:szCs w:val="28"/>
          <w:rtl w:val="true"/>
          <w:lang w:bidi="ar-SA"/>
        </w:rPr>
        <w:t>أنّ إدراك ما قبل الآخر من أجزاء الشهر متّصفا بتلك الشروط ليس سببا، و إلّا لوجب على من أدرك بعض الأجزاء بالصفات ثمّ فقدها في الجزء الآخر، و الظاهر عدم الخلاف في عدم الوجوب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إدراك كلّ جزء سبب إلّا أنّه انعقد الإجماع على كونه مشروطا باستجماع </w:t>
      </w:r>
      <w:r>
        <w:rPr>
          <w:rStyle w:val="FootnoteAnchor"/>
          <w:rtl w:val="true"/>
        </w:rPr>
        <w:footnoteReference w:id="2735"/>
      </w:r>
      <w:r>
        <w:rPr>
          <w:rFonts w:ascii="Amiri" w:hAnsi="Amiri" w:eastAsia="Amiri" w:cs="Amiri"/>
          <w:color w:val="111111"/>
          <w:sz w:val="28"/>
          <w:sz w:val="28"/>
          <w:szCs w:val="28"/>
          <w:rtl w:val="true"/>
          <w:lang w:bidi="ar-SA"/>
        </w:rPr>
        <w:t>الشروط في الجزء الآخر فيكون وجوبها عند دخول رمضان متزلزلا غير مستقر إلّا بإدراك الجزء الآخر مستجمعا للشرائط،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Style w:val="FootnoteAnchor"/>
          <w:rtl w:val="true"/>
        </w:rPr>
        <w:footnoteReference w:id="2736"/>
      </w:r>
      <w:r>
        <w:rPr>
          <w:rFonts w:ascii="Amiri" w:hAnsi="Amiri" w:eastAsia="Amiri" w:cs="Amiri"/>
          <w:color w:val="111111"/>
          <w:sz w:val="28"/>
          <w:sz w:val="28"/>
          <w:szCs w:val="28"/>
          <w:rtl w:val="true"/>
          <w:lang w:bidi="ar-SA"/>
        </w:rPr>
        <w:t xml:space="preserve">بأنّ أدلّة اعتبار الشروط في المخرج و المخرج عنه ليس فيها تقييد بوجودها </w:t>
      </w:r>
      <w:r>
        <w:rPr>
          <w:rStyle w:val="FootnoteAnchor"/>
          <w:rtl w:val="true"/>
        </w:rPr>
        <w:footnoteReference w:id="2737"/>
      </w:r>
      <w:r>
        <w:rPr>
          <w:rFonts w:ascii="Amiri" w:hAnsi="Amiri" w:eastAsia="Amiri" w:cs="Amiri"/>
          <w:color w:val="111111"/>
          <w:sz w:val="28"/>
          <w:sz w:val="28"/>
          <w:szCs w:val="28"/>
          <w:rtl w:val="true"/>
          <w:lang w:bidi="ar-SA"/>
        </w:rPr>
        <w:t>في الجزء الآخر، بل مفادها نفي الوجوب عن الفاقد كما هو مدلول قوله عليه السلام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 xml:space="preserve">» </w:t>
      </w:r>
      <w:r>
        <w:rPr>
          <w:rStyle w:val="FootnoteAnchor"/>
          <w:rtl w:val="true"/>
        </w:rPr>
        <w:footnoteReference w:id="273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قبل الزكاة</w:t>
      </w:r>
      <w:r>
        <w:rPr>
          <w:rFonts w:eastAsia="Amiri" w:cs="Amiri" w:ascii="Amiri" w:hAnsi="Amiri"/>
          <w:color w:val="111111"/>
          <w:sz w:val="28"/>
          <w:szCs w:val="28"/>
          <w:rtl w:val="true"/>
          <w:lang w:bidi="ar-SA"/>
        </w:rPr>
        <w:t xml:space="preserve">» </w:t>
      </w:r>
      <w:r>
        <w:rPr>
          <w:rStyle w:val="FootnoteAnchor"/>
          <w:rtl w:val="true"/>
        </w:rPr>
        <w:footnoteReference w:id="273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التصدّق على كل من يعول</w:t>
      </w:r>
      <w:r>
        <w:rPr>
          <w:rFonts w:eastAsia="Amiri" w:cs="Amiri" w:ascii="Amiri" w:hAnsi="Amiri"/>
          <w:color w:val="111111"/>
          <w:sz w:val="28"/>
          <w:szCs w:val="28"/>
          <w:rtl w:val="true"/>
          <w:lang w:bidi="ar-SA"/>
        </w:rPr>
        <w:t xml:space="preserve">» </w:t>
      </w:r>
      <w:r>
        <w:rPr>
          <w:rStyle w:val="FootnoteAnchor"/>
          <w:rtl w:val="true"/>
        </w:rPr>
        <w:footnoteReference w:id="2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اعتبروا وجودها في آخر الشهر من جهة هاتين الروايتين الدالّتين بالتقريب المتقدّم في محلّه على عدم تأخّر حدوث تعلّق الفطر عن الهلال، فإذا كان المراد بالإدراك نظير إدراك ركعة من الوقت، و إدراك الركوع، فإدراك</w:t>
      </w:r>
    </w:p>
    <w:p>
      <w:pPr>
        <w:pStyle w:val="BookText"/>
        <w:rPr/>
      </w:pPr>
      <w:r>
        <w:rPr>
          <w:rFonts w:ascii="Amiri" w:hAnsi="Amiri" w:eastAsia="Amiri" w:cs="Amiri"/>
          <w:color w:val="111111"/>
          <w:sz w:val="28"/>
          <w:sz w:val="28"/>
          <w:szCs w:val="28"/>
          <w:rtl w:val="true"/>
          <w:lang w:bidi="ar-SA"/>
        </w:rPr>
        <w:t>أي جزء من الشهر مع الشرائط لا بد أن يكون سببا و إن فقدت الشرائط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استدلال العلماء على اعتبار اجتماع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هلال شوال إنّما هو بالروايتين؛ لأنّ </w:t>
      </w:r>
      <w:r>
        <w:rPr>
          <w:rStyle w:val="FootnoteAnchor"/>
          <w:rtl w:val="true"/>
        </w:rPr>
        <w:footnoteReference w:id="2741"/>
      </w:r>
      <w:r>
        <w:rPr>
          <w:rFonts w:ascii="Amiri" w:hAnsi="Amiri" w:eastAsia="Amiri" w:cs="Amiri"/>
          <w:color w:val="111111"/>
          <w:sz w:val="28"/>
          <w:sz w:val="28"/>
          <w:szCs w:val="28"/>
          <w:rtl w:val="true"/>
          <w:lang w:bidi="ar-SA"/>
        </w:rPr>
        <w:t>الروايتين تدلّان على سببية إدراك الشهر، و دلّ دليل آخر على اعتبار اجتماع الشرائط</w:t>
      </w:r>
      <w:r>
        <w:rPr>
          <w:rFonts w:eastAsia="Amiri" w:cs="Amiri" w:ascii="Amiri" w:hAnsi="Amiri"/>
          <w:color w:val="111111"/>
          <w:sz w:val="28"/>
          <w:szCs w:val="28"/>
          <w:rtl w:val="true"/>
          <w:lang w:bidi="ar-SA"/>
        </w:rPr>
        <w:t xml:space="preserve">] </w:t>
      </w:r>
      <w:r>
        <w:rPr>
          <w:rStyle w:val="FootnoteAnchor"/>
          <w:rtl w:val="true"/>
        </w:rPr>
        <w:footnoteReference w:id="2742"/>
      </w:r>
      <w:r>
        <w:rPr>
          <w:rFonts w:ascii="Amiri" w:hAnsi="Amiri" w:eastAsia="Amiri" w:cs="Amiri"/>
          <w:color w:val="111111"/>
          <w:sz w:val="28"/>
          <w:sz w:val="28"/>
          <w:szCs w:val="28"/>
          <w:rtl w:val="true"/>
          <w:lang w:bidi="ar-SA"/>
        </w:rPr>
        <w:t xml:space="preserve">في آخره هذا، نعم لو ثبت كفاية اجتماع الشروط في جزء من الشهر كما يستفاد من كلام الفاضل في المختلف، حيث استدلّ على جواز التقديم بأنه أنفع للفقير لأنّه ربما افتقر الدافع، أو مات قبل الوقت فيحرم الفقير </w:t>
      </w:r>
      <w:r>
        <w:rPr>
          <w:rStyle w:val="FootnoteAnchor"/>
          <w:rtl w:val="true"/>
        </w:rPr>
        <w:footnoteReference w:id="2743"/>
      </w:r>
      <w:r>
        <w:rPr>
          <w:rFonts w:ascii="Amiri" w:hAnsi="Amiri" w:eastAsia="Amiri" w:cs="Amiri"/>
          <w:color w:val="111111"/>
          <w:sz w:val="28"/>
          <w:sz w:val="28"/>
          <w:szCs w:val="28"/>
          <w:rtl w:val="true"/>
          <w:lang w:bidi="ar-SA"/>
        </w:rPr>
        <w:t xml:space="preserve">، أمكن ما ذكر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الروايتين لو تمّت دلالتهما على الوجه المذكور دلّتا على أنّ وقت الفطرة المضروب لها بأصل الشرع هو هلال رمضان فلا يكون تعجيلا، نظير زكاة المالية المعجّلة، و تقديم غسل الجمعة يوم الخميس، و صلاة الليل على الانتصاف، و الظاهر عدم الخلاف بين مجوّزي التعجيل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يوهم عبارة المختلف أنّ أوّل الشهر وقته الأصلي، حيث قال في ردّ استدلال المانعين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عبادة موقتة فلا يجوز قبل وقتها إلّا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 بموجبه،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وقتها شهر رمضان؛ لما تلوناه من رواية الفضلاء </w:t>
      </w:r>
      <w:r>
        <w:rPr>
          <w:rStyle w:val="FootnoteAnchor"/>
          <w:rtl w:val="true"/>
        </w:rPr>
        <w:footnoteReference w:id="27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مراده من الوقت هنا، مطلق الزمان المضروب لمشروعية الفعل، و لو من باب الرخصة في التعجيل، و يشهد له أن الوقت في كلام المانع هو ما يعمّ هذا؛ و لذا ادّعى أنّ التقديم منحصر في القرض </w:t>
      </w:r>
      <w:r>
        <w:rPr>
          <w:rStyle w:val="FootnoteAnchor"/>
          <w:rtl w:val="true"/>
        </w:rPr>
        <w:footnoteReference w:id="2746"/>
      </w:r>
      <w:r>
        <w:rPr>
          <w:rFonts w:ascii="Amiri" w:hAnsi="Amiri" w:eastAsia="Amiri" w:cs="Amiri"/>
          <w:color w:val="111111"/>
          <w:sz w:val="28"/>
          <w:sz w:val="28"/>
          <w:szCs w:val="28"/>
          <w:rtl w:val="true"/>
          <w:lang w:bidi="ar-SA"/>
        </w:rPr>
        <w:t>، و يشهد له أيضا ردّ دليلهم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لو جاز في شهر رمضان لجاز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السبب فيه الصوم و الفطر، فيجوز</w:t>
      </w:r>
    </w:p>
    <w:p>
      <w:pPr>
        <w:pStyle w:val="BookText"/>
        <w:rPr/>
      </w:pPr>
      <w:r>
        <w:rPr>
          <w:rFonts w:ascii="Amiri" w:hAnsi="Amiri" w:eastAsia="Amiri" w:cs="Amiri"/>
          <w:color w:val="111111"/>
          <w:sz w:val="28"/>
          <w:sz w:val="28"/>
          <w:szCs w:val="28"/>
          <w:rtl w:val="true"/>
          <w:lang w:bidi="ar-SA"/>
        </w:rPr>
        <w:t>فعلها عند أحد السببين كما جاز فعل الزكاة عند حصول النصاب و إن لم يحصل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أنّ مرادهم من التقديم هو التعجيل لا التوقيت، كما ينادي بذلك عنوان المسألة بعبارة التقديم، و ذكرهم ايّاها بعد ذكر الخلاف في وقت الوجوب، و حصرهم الخلاف بين القول بوجوبه بدخول شوال، و بين القول بوجوبها بطلوع الفجر، فظهر ممّا ذكرنا عدم قابليّة دلالة الروايتين على سببية مطلق الإدراك</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وقوع التعجيل فطرة مشروط ببقاء الدافع على صفة وجوب الفطرة عليه خلافا لظاهر عبارة المختلف المتقدّمة </w:t>
      </w:r>
      <w:r>
        <w:rPr>
          <w:rStyle w:val="FootnoteAnchor"/>
          <w:rtl w:val="true"/>
        </w:rPr>
        <w:footnoteReference w:id="2747"/>
      </w:r>
      <w:r>
        <w:rPr>
          <w:rFonts w:ascii="Amiri" w:hAnsi="Amiri" w:eastAsia="Amiri" w:cs="Amiri"/>
          <w:color w:val="111111"/>
          <w:sz w:val="28"/>
          <w:sz w:val="28"/>
          <w:szCs w:val="28"/>
          <w:rtl w:val="true"/>
          <w:lang w:bidi="ar-SA"/>
        </w:rPr>
        <w:t>،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فقد بعض الشرائط يكشف عن عدم وجوب الفطرة، فلا يكون المأتي به </w:t>
      </w:r>
      <w:r>
        <w:rPr>
          <w:rStyle w:val="FootnoteAnchor"/>
          <w:rtl w:val="true"/>
        </w:rPr>
        <w:footnoteReference w:id="2748"/>
      </w:r>
      <w:r>
        <w:rPr>
          <w:rFonts w:ascii="Amiri" w:hAnsi="Amiri" w:eastAsia="Amiri" w:cs="Amiri"/>
          <w:color w:val="111111"/>
          <w:sz w:val="28"/>
          <w:sz w:val="28"/>
          <w:szCs w:val="28"/>
          <w:rtl w:val="true"/>
          <w:lang w:bidi="ar-SA"/>
        </w:rPr>
        <w:t>فطرة معجّلة، نعم لا يشترط بقاء الآخذ على صفة الاستحقاق؛ لأنّها كانت فطرة حين الإعطاء و المفروض استحقاق الآخذ لها، و إنّما قلنا باعتبار بقاء الآخذ على صفة الاستحقاق في زكاة الماليّة المعجّلة للنصّ المتقدّم في تلك المسألة فيقتصر على مورده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274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آخر وقت الإخراج فنسب إلى الأكثر </w:t>
      </w:r>
      <w:r>
        <w:rPr>
          <w:rStyle w:val="FootnoteAnchor"/>
          <w:rtl w:val="true"/>
        </w:rPr>
        <w:footnoteReference w:id="2750"/>
      </w:r>
      <w:r>
        <w:rPr>
          <w:rFonts w:ascii="Amiri" w:hAnsi="Amiri" w:eastAsia="Amiri" w:cs="Amiri"/>
          <w:color w:val="111111"/>
          <w:sz w:val="28"/>
          <w:sz w:val="28"/>
          <w:szCs w:val="28"/>
          <w:rtl w:val="true"/>
          <w:lang w:bidi="ar-SA"/>
        </w:rPr>
        <w:t xml:space="preserve">انّه يحرم تأخيرها عن صلاة العيد، بل عن المنتهى </w:t>
      </w:r>
      <w:r>
        <w:rPr>
          <w:rStyle w:val="FootnoteAnchor"/>
          <w:rtl w:val="true"/>
        </w:rPr>
        <w:footnoteReference w:id="2751"/>
      </w:r>
      <w:r>
        <w:rPr>
          <w:rFonts w:ascii="Amiri" w:hAnsi="Amiri" w:eastAsia="Amiri" w:cs="Amiri"/>
          <w:color w:val="111111"/>
          <w:sz w:val="28"/>
          <w:sz w:val="28"/>
          <w:szCs w:val="28"/>
          <w:rtl w:val="true"/>
          <w:lang w:bidi="ar-SA"/>
        </w:rPr>
        <w:t xml:space="preserve">و التذكرة </w:t>
      </w:r>
      <w:r>
        <w:rPr>
          <w:rStyle w:val="FootnoteAnchor"/>
          <w:rtl w:val="true"/>
        </w:rPr>
        <w:footnoteReference w:id="2752"/>
      </w:r>
      <w:r>
        <w:rPr>
          <w:rFonts w:ascii="Amiri" w:hAnsi="Amiri" w:eastAsia="Amiri" w:cs="Amiri"/>
          <w:color w:val="111111"/>
          <w:sz w:val="28"/>
          <w:sz w:val="28"/>
          <w:szCs w:val="28"/>
          <w:rtl w:val="true"/>
          <w:lang w:bidi="ar-SA"/>
        </w:rPr>
        <w:t>نسبته إلى علمائنا؛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إلى الزوال؛ و هو محكيّ عن الإسكافي </w:t>
      </w:r>
      <w:r>
        <w:rPr>
          <w:rStyle w:val="FootnoteAnchor"/>
          <w:rtl w:val="true"/>
        </w:rPr>
        <w:footnoteReference w:id="2753"/>
      </w:r>
      <w:r>
        <w:rPr>
          <w:rFonts w:ascii="Amiri" w:hAnsi="Amiri" w:eastAsia="Amiri" w:cs="Amiri"/>
          <w:color w:val="111111"/>
          <w:sz w:val="28"/>
          <w:sz w:val="28"/>
          <w:szCs w:val="28"/>
          <w:rtl w:val="true"/>
          <w:lang w:bidi="ar-SA"/>
        </w:rPr>
        <w:t xml:space="preserve">، و قوّاه الفاضل في المختلف </w:t>
      </w:r>
      <w:r>
        <w:rPr>
          <w:rStyle w:val="FootnoteAnchor"/>
          <w:rtl w:val="true"/>
        </w:rPr>
        <w:footnoteReference w:id="2754"/>
      </w:r>
      <w:r>
        <w:rPr>
          <w:rFonts w:ascii="Amiri" w:hAnsi="Amiri" w:eastAsia="Amiri" w:cs="Amiri"/>
          <w:color w:val="111111"/>
          <w:sz w:val="28"/>
          <w:sz w:val="28"/>
          <w:szCs w:val="28"/>
          <w:rtl w:val="true"/>
          <w:lang w:bidi="ar-SA"/>
        </w:rPr>
        <w:t xml:space="preserve">و الشهيد في البيان </w:t>
      </w:r>
      <w:r>
        <w:rPr>
          <w:rStyle w:val="FootnoteAnchor"/>
          <w:rtl w:val="true"/>
        </w:rPr>
        <w:footnoteReference w:id="2755"/>
      </w:r>
      <w:r>
        <w:rPr>
          <w:rFonts w:ascii="IRNazanin" w:hAnsi="IRNazanin" w:eastAsia="IRNazanin"/>
          <w:color w:val="111111"/>
          <w:sz w:val="28"/>
          <w:sz w:val="28"/>
          <w:szCs w:val="28"/>
          <w:rtl w:val="true"/>
          <w:lang w:bidi="fa-IR"/>
        </w:rPr>
        <w:t xml:space="preserve">و الدروس </w:t>
      </w:r>
      <w:r>
        <w:rPr>
          <w:rStyle w:val="FootnoteAnchor"/>
          <w:rtl w:val="true"/>
        </w:rPr>
        <w:footnoteReference w:id="2756"/>
      </w:r>
      <w:r>
        <w:rPr>
          <w:rFonts w:ascii="Amiri" w:hAnsi="Amiri" w:eastAsia="Amiri" w:cs="Amiri"/>
          <w:color w:val="111111"/>
          <w:sz w:val="28"/>
          <w:sz w:val="28"/>
          <w:szCs w:val="28"/>
          <w:rtl w:val="true"/>
          <w:lang w:bidi="ar-SA"/>
        </w:rPr>
        <w:t xml:space="preserve">، و هو ظاهر المحقّق في الشرائع </w:t>
      </w:r>
      <w:r>
        <w:rPr>
          <w:rStyle w:val="FootnoteAnchor"/>
          <w:rtl w:val="true"/>
        </w:rPr>
        <w:footnoteReference w:id="2757"/>
      </w:r>
      <w:r>
        <w:rPr>
          <w:rFonts w:ascii="Amiri" w:hAnsi="Amiri" w:eastAsia="Amiri" w:cs="Amiri"/>
          <w:color w:val="111111"/>
          <w:sz w:val="28"/>
          <w:sz w:val="28"/>
          <w:szCs w:val="28"/>
          <w:rtl w:val="true"/>
          <w:lang w:bidi="ar-SA"/>
        </w:rPr>
        <w:t xml:space="preserve">، و المحقّق الثاني في حاشيته </w:t>
      </w:r>
      <w:r>
        <w:rPr>
          <w:rStyle w:val="FootnoteAnchor"/>
          <w:rtl w:val="true"/>
        </w:rPr>
        <w:footnoteReference w:id="2758"/>
      </w:r>
      <w:r>
        <w:rPr>
          <w:rFonts w:ascii="Amiri" w:hAnsi="Amiri" w:eastAsia="Amiri" w:cs="Amiri"/>
          <w:color w:val="111111"/>
          <w:sz w:val="28"/>
          <w:sz w:val="28"/>
          <w:szCs w:val="28"/>
          <w:rtl w:val="true"/>
          <w:lang w:bidi="ar-SA"/>
        </w:rPr>
        <w:t xml:space="preserve">و في حاشية الإرشاد </w:t>
      </w:r>
      <w:r>
        <w:rPr>
          <w:rStyle w:val="FootnoteAnchor"/>
          <w:rtl w:val="true"/>
        </w:rPr>
        <w:footnoteReference w:id="2759"/>
      </w:r>
      <w:r>
        <w:rPr>
          <w:rFonts w:ascii="Amiri" w:hAnsi="Amiri" w:eastAsia="Amiri" w:cs="Amiri"/>
          <w:color w:val="111111"/>
          <w:sz w:val="28"/>
          <w:sz w:val="28"/>
          <w:szCs w:val="28"/>
          <w:rtl w:val="true"/>
          <w:lang w:bidi="ar-SA"/>
        </w:rPr>
        <w:t>، 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امتداده إلى آخر النهار، مع أنّه في المنتهى نسب</w:t>
      </w:r>
    </w:p>
    <w:p>
      <w:pPr>
        <w:pStyle w:val="BookText"/>
        <w:rPr/>
      </w:pPr>
      <w:r>
        <w:rPr>
          <w:rFonts w:ascii="Amiri" w:hAnsi="Amiri" w:eastAsia="Amiri" w:cs="Amiri"/>
          <w:color w:val="111111"/>
          <w:sz w:val="28"/>
          <w:sz w:val="28"/>
          <w:szCs w:val="28"/>
          <w:rtl w:val="true"/>
          <w:lang w:bidi="ar-SA"/>
        </w:rPr>
        <w:t xml:space="preserve">تحريم التأخير عن الصلاة إلى علمائنا أجمع </w:t>
      </w:r>
      <w:r>
        <w:rPr>
          <w:rStyle w:val="FootnoteAnchor"/>
          <w:rtl w:val="true"/>
        </w:rPr>
        <w:footnoteReference w:id="2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أخّرها عن الزوال لغير عذر أثم بالإجماع </w:t>
      </w:r>
      <w:r>
        <w:rPr>
          <w:rStyle w:val="FootnoteAnchor"/>
          <w:rtl w:val="true"/>
        </w:rPr>
        <w:footnoteReference w:id="2761"/>
      </w:r>
      <w:r>
        <w:rPr>
          <w:rFonts w:ascii="Amiri" w:hAnsi="Amiri" w:eastAsia="Amiri" w:cs="Amiri"/>
          <w:color w:val="111111"/>
          <w:sz w:val="28"/>
          <w:sz w:val="28"/>
          <w:szCs w:val="28"/>
          <w:rtl w:val="true"/>
          <w:lang w:bidi="ar-SA"/>
        </w:rPr>
        <w:t xml:space="preserve">، و مال إليه في المدارك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كثيرة ظاهرها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صحيحة العيص </w:t>
      </w:r>
      <w:r>
        <w:rPr>
          <w:rStyle w:val="FootnoteAnchor"/>
          <w:rtl w:val="true"/>
        </w:rPr>
        <w:footnoteReference w:id="2763"/>
      </w:r>
      <w:r>
        <w:rPr>
          <w:rFonts w:ascii="Amiri" w:hAnsi="Amiri" w:eastAsia="Amiri" w:cs="Amiri"/>
          <w:color w:val="111111"/>
          <w:sz w:val="28"/>
          <w:sz w:val="28"/>
          <w:szCs w:val="28"/>
          <w:rtl w:val="true"/>
          <w:lang w:bidi="ar-SA"/>
        </w:rPr>
        <w:t xml:space="preserve">، و رواية إبراهيم بن ميمون </w:t>
      </w:r>
      <w:r>
        <w:rPr>
          <w:rStyle w:val="FootnoteAnchor"/>
          <w:rtl w:val="true"/>
        </w:rPr>
        <w:footnoteReference w:id="2764"/>
      </w:r>
      <w:r>
        <w:rPr>
          <w:rFonts w:ascii="Amiri" w:hAnsi="Amiri" w:eastAsia="Amiri" w:cs="Amiri"/>
          <w:color w:val="111111"/>
          <w:sz w:val="28"/>
          <w:sz w:val="28"/>
          <w:szCs w:val="28"/>
          <w:rtl w:val="true"/>
          <w:lang w:bidi="ar-SA"/>
        </w:rPr>
        <w:t>، و ذيل رواية العيص إنما تدل على جواز التأخير مع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المروي في الفقيه عن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عزلتها فلا يضرك متى أعطيتها قبل الصلاة أو بعدها</w:t>
      </w:r>
      <w:r>
        <w:rPr>
          <w:rFonts w:eastAsia="Amiri" w:cs="Amiri" w:ascii="Amiri" w:hAnsi="Amiri"/>
          <w:color w:val="111111"/>
          <w:sz w:val="28"/>
          <w:szCs w:val="28"/>
          <w:rtl w:val="true"/>
          <w:lang w:bidi="ar-SA"/>
        </w:rPr>
        <w:t xml:space="preserve">»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العياشي، عن سالم بن مكرم،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 الفطرة قبل الصلاة، و إن لم يعطها حتى ينصرف من صلاته فلا تعدّ له فطرة</w:t>
      </w:r>
      <w:r>
        <w:rPr>
          <w:rFonts w:eastAsia="Amiri" w:cs="Amiri" w:ascii="Amiri" w:hAnsi="Amiri"/>
          <w:color w:val="111111"/>
          <w:sz w:val="28"/>
          <w:szCs w:val="28"/>
          <w:rtl w:val="true"/>
          <w:lang w:bidi="ar-SA"/>
        </w:rPr>
        <w:t xml:space="preserve">» </w:t>
      </w:r>
      <w:r>
        <w:rPr>
          <w:rStyle w:val="FootnoteAnchor"/>
          <w:rtl w:val="true"/>
        </w:rPr>
        <w:footnoteReference w:id="2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المرويّ في الإقبال </w:t>
      </w:r>
      <w:r>
        <w:rPr>
          <w:rStyle w:val="FootnoteAnchor"/>
          <w:rtl w:val="true"/>
        </w:rPr>
        <w:footnoteReference w:id="2767"/>
      </w:r>
      <w:r>
        <w:rPr>
          <w:rFonts w:ascii="Amiri" w:hAnsi="Amiri" w:eastAsia="Amiri" w:cs="Amiri"/>
          <w:color w:val="111111"/>
          <w:sz w:val="28"/>
          <w:sz w:val="28"/>
          <w:szCs w:val="28"/>
          <w:rtl w:val="true"/>
          <w:lang w:bidi="ar-SA"/>
        </w:rPr>
        <w:t>و رواية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تجد من تضع الفطرة فيه فاعزلها تلك الساعة قبل الصلاة</w:t>
      </w:r>
      <w:r>
        <w:rPr>
          <w:rFonts w:eastAsia="Amiri" w:cs="Amiri" w:ascii="Amiri" w:hAnsi="Amiri"/>
          <w:color w:val="111111"/>
          <w:sz w:val="28"/>
          <w:szCs w:val="28"/>
          <w:rtl w:val="true"/>
          <w:lang w:bidi="ar-SA"/>
        </w:rPr>
        <w:t xml:space="preserve">»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يعارضها مثل رواية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إعطاء الفطرة قبل الصلاة أفضل و بعدها صدقة</w:t>
      </w:r>
      <w:r>
        <w:rPr>
          <w:rFonts w:eastAsia="Amiri" w:cs="Amiri" w:ascii="Amiri" w:hAnsi="Amiri"/>
          <w:color w:val="111111"/>
          <w:sz w:val="28"/>
          <w:szCs w:val="28"/>
          <w:rtl w:val="true"/>
          <w:lang w:bidi="ar-SA"/>
        </w:rPr>
        <w:t xml:space="preserve">» </w:t>
      </w:r>
      <w:r>
        <w:rPr>
          <w:rStyle w:val="FootnoteAnchor"/>
          <w:rtl w:val="true"/>
        </w:rPr>
        <w:footnoteReference w:id="2769"/>
      </w:r>
      <w:r>
        <w:rPr>
          <w:rFonts w:ascii="Amiri" w:hAnsi="Amiri" w:eastAsia="Amiri" w:cs="Amiri"/>
          <w:color w:val="111111"/>
          <w:sz w:val="28"/>
          <w:sz w:val="28"/>
          <w:szCs w:val="28"/>
          <w:rtl w:val="true"/>
          <w:lang w:bidi="ar-SA"/>
        </w:rPr>
        <w:t>، لاحتمال رجوع الأفضلية إلى تقديمها على ما قبل الصلاة، إذ المتبادر من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القريب، سيّما بقرينة حكمه عليه السلام بخروجها عن الفطرة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صحيحة الفضلاء السابقة </w:t>
      </w:r>
      <w:r>
        <w:rPr>
          <w:rStyle w:val="FootnoteAnchor"/>
          <w:rtl w:val="true"/>
        </w:rPr>
        <w:footnoteReference w:id="2770"/>
      </w:r>
      <w:r>
        <w:rPr>
          <w:rFonts w:ascii="Amiri" w:hAnsi="Amiri" w:eastAsia="Amiri" w:cs="Amiri"/>
          <w:color w:val="111111"/>
          <w:sz w:val="28"/>
          <w:sz w:val="28"/>
          <w:szCs w:val="28"/>
          <w:rtl w:val="true"/>
          <w:lang w:bidi="ar-SA"/>
        </w:rPr>
        <w:t>الحاكمة بأفضلية إعطائها قبل الصلاة يوم الفطر، فهي أيضا في مقابل التقديم على يوم الفطر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ذيل رواية العيص فقد تقدم </w:t>
      </w:r>
      <w:r>
        <w:rPr>
          <w:rStyle w:val="FootnoteAnchor"/>
          <w:rtl w:val="true"/>
        </w:rPr>
        <w:footnoteReference w:id="2771"/>
      </w:r>
      <w:r>
        <w:rPr>
          <w:rFonts w:ascii="Amiri" w:hAnsi="Amiri" w:eastAsia="Amiri" w:cs="Amiri"/>
          <w:color w:val="111111"/>
          <w:sz w:val="28"/>
          <w:sz w:val="28"/>
          <w:szCs w:val="28"/>
          <w:rtl w:val="true"/>
          <w:lang w:bidi="ar-SA"/>
        </w:rPr>
        <w:t>انّها ظاهرة مع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روي عن كتاب الإقبال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أخرجها قبل الظهر فهي فطرة، و إن أخرجها بعد الظهر فهي صدقة لا تجزيك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فأصلي الفجر فاعزلها فأمكث يوما أو بعض يوم ثم أتصدّق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هي فطرة إذا أخرجتها قبل الصلاة</w:t>
      </w:r>
      <w:r>
        <w:rPr>
          <w:rFonts w:eastAsia="Amiri" w:cs="Amiri" w:ascii="Amiri" w:hAnsi="Amiri"/>
          <w:color w:val="111111"/>
          <w:sz w:val="28"/>
          <w:szCs w:val="28"/>
          <w:rtl w:val="true"/>
          <w:lang w:bidi="ar-SA"/>
        </w:rPr>
        <w:t xml:space="preserve">» </w:t>
      </w:r>
      <w:r>
        <w:rPr>
          <w:rStyle w:val="FootnoteAnchor"/>
          <w:rtl w:val="true"/>
        </w:rPr>
        <w:footnoteReference w:id="2772"/>
      </w:r>
      <w:r>
        <w:rPr>
          <w:rFonts w:ascii="Amiri" w:hAnsi="Amiri" w:eastAsia="Amiri" w:cs="Amiri"/>
          <w:color w:val="111111"/>
          <w:sz w:val="28"/>
          <w:sz w:val="28"/>
          <w:szCs w:val="28"/>
          <w:rtl w:val="true"/>
          <w:lang w:bidi="ar-SA"/>
        </w:rPr>
        <w:t xml:space="preserve">، و لا يبعد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من الراوي وفاقا للحدائق </w:t>
      </w:r>
      <w:r>
        <w:rPr>
          <w:rStyle w:val="FootnoteAnchor"/>
          <w:rtl w:val="true"/>
        </w:rPr>
        <w:footnoteReference w:id="2773"/>
      </w:r>
      <w:r>
        <w:rPr>
          <w:rFonts w:ascii="Amiri" w:hAnsi="Amiri" w:eastAsia="Amiri" w:cs="Amiri"/>
          <w:color w:val="111111"/>
          <w:sz w:val="28"/>
          <w:sz w:val="28"/>
          <w:szCs w:val="28"/>
          <w:rtl w:val="true"/>
          <w:lang w:bidi="ar-SA"/>
        </w:rPr>
        <w:t>كما يفصح استفاضة الروايات حتّى نفس هذه بتحديد الفطرة و الصدقة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حملها على الظهر إلّا إذا أريد وقتها، و هو غير صحيح في كثير منها بعد صحّته في نفسه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استضعاف هذا القول بأنّه قد لا يصلّي العيد فيجب إمّا سقوط الفطرة أو تحديدها في هذا الفرض بغيره فيثبت ذلك التحديد في غيره؛ لعدم القول بالفرق، فهو حسن لو سلم عدم القول بالفصل، و هو ممنوع، إذ لا يعقل تعميم هذا التحديد لصورة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انّهم يقولون في صورة الترك بكون التحديد بالزمان القابل </w:t>
      </w:r>
      <w:r>
        <w:rPr>
          <w:rStyle w:val="FootnoteAnchor"/>
          <w:rtl w:val="true"/>
        </w:rPr>
        <w:footnoteReference w:id="2774"/>
      </w:r>
      <w:r>
        <w:rPr>
          <w:rFonts w:ascii="IRNazanin" w:hAnsi="IRNazanin" w:eastAsia="IRNazanin"/>
          <w:color w:val="111111"/>
          <w:sz w:val="28"/>
          <w:sz w:val="28"/>
          <w:szCs w:val="28"/>
          <w:rtl w:val="true"/>
          <w:lang w:bidi="fa-IR"/>
        </w:rPr>
        <w:t xml:space="preserve">لفعل </w:t>
      </w:r>
      <w:r>
        <w:rPr>
          <w:rStyle w:val="FootnoteAnchor"/>
          <w:rtl w:val="true"/>
        </w:rPr>
        <w:footnoteReference w:id="2775"/>
      </w:r>
      <w:r>
        <w:rPr>
          <w:rFonts w:ascii="Amiri" w:hAnsi="Amiri" w:eastAsia="Amiri" w:cs="Amiri"/>
          <w:color w:val="111111"/>
          <w:sz w:val="28"/>
          <w:sz w:val="28"/>
          <w:szCs w:val="28"/>
          <w:rtl w:val="true"/>
          <w:lang w:bidi="ar-SA"/>
        </w:rPr>
        <w:t xml:space="preserve">المكلّف إيّاه، فإن تركها المكلّف لعذر أولا له، مع صلاة جامعا للشرائط بحيث فاته الصلاة بعد فعل الإمام كما في الإمام عليه السلام أو نائبه الخاصّ أو العامّ أو مطلق الإمام لو قلنا بوجوبه </w:t>
      </w:r>
      <w:r>
        <w:rPr>
          <w:rStyle w:val="FootnoteAnchor"/>
          <w:rtl w:val="true"/>
        </w:rPr>
        <w:footnoteReference w:id="2776"/>
      </w:r>
      <w:r>
        <w:rPr>
          <w:rFonts w:ascii="Amiri" w:hAnsi="Amiri" w:eastAsia="Amiri" w:cs="Amiri"/>
          <w:color w:val="111111"/>
          <w:sz w:val="28"/>
          <w:sz w:val="28"/>
          <w:szCs w:val="28"/>
          <w:rtl w:val="true"/>
          <w:lang w:bidi="ar-SA"/>
        </w:rPr>
        <w:t>معهم عينا</w:t>
      </w:r>
    </w:p>
    <w:p>
      <w:pPr>
        <w:pStyle w:val="BookText"/>
        <w:rPr/>
      </w:pPr>
      <w:r>
        <w:rPr>
          <w:rFonts w:ascii="Amiri" w:hAnsi="Amiri" w:eastAsia="Amiri" w:cs="Amiri"/>
          <w:color w:val="111111"/>
          <w:sz w:val="28"/>
          <w:sz w:val="28"/>
          <w:szCs w:val="28"/>
          <w:rtl w:val="true"/>
          <w:lang w:bidi="ar-SA"/>
        </w:rPr>
        <w:t>فيقضي عند فوت الصلاة، و إن ترك بالمرّة فالعبرة بالزوال أو بما قبله بمقدار الصلاة؛ لأنّ كلّ جزء قابل لأن تقع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فيما لو قلنا باستحباب الصلاة أو بوجوبها، فترك الفطرة و اشتغل بالصلاة، فإنّه يجب حينئذ تقديم الفطرة و تأخير الصلاة فيفسد صلاته، و لا يتوهّم انّ فساد صلاته مستلزم لعدم فوت وقت الفطر فلا يحرم، فلا يفسد، نظير ما ذكروه في السفر الموجب لفوت الجمعة إذ عدم الفوت الناشئ من فساد الصلاة الحاصل من التحريم لا يوجب عدم التحريم، كما أنّ عدم تفويت السفر للجمعة من حيث كونه معصية لا يوجب رفع التحريم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يؤيّد القول الثاني بما رواه الشيخ في التهذيب </w:t>
      </w:r>
      <w:r>
        <w:rPr>
          <w:rStyle w:val="FootnoteAnchor"/>
          <w:rtl w:val="true"/>
        </w:rPr>
        <w:footnoteReference w:id="2777"/>
      </w:r>
      <w:r>
        <w:rPr>
          <w:rFonts w:ascii="Amiri" w:hAnsi="Amiri" w:eastAsia="Amiri" w:cs="Amiri"/>
          <w:color w:val="111111"/>
          <w:sz w:val="28"/>
          <w:sz w:val="28"/>
          <w:szCs w:val="28"/>
          <w:rtl w:val="true"/>
          <w:lang w:bidi="ar-SA"/>
        </w:rPr>
        <w:t>مرسلا من انه إن ولد قبل الزوال يخرج عنه الفطرة، و كذلك من أسلم قبل الزوال فإنه لو خرج وقت الفطرة بالصلاة و لو كان قبل الزوال لم يكن وجه لاستحباب الفطرة؛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دلّ عليه الأخبار المتقدّمة و كلام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يعطى بعد الصلاة صدقة لا فطرة، فاستحباب الفطرة قبل الزوال و لو بعد الصلاة كاشف عن بقاء عنوان الفطرة بعد الصلاة، بل عن عدم خروج وقتها، إذ لا معنى لاستحباب القضاء عمّن لم يولد حين الأداء، بل لا معنى له في من أسلم بعد الصلاة مع جبّ الإسلام لما كان عليه حال الكفر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أن التأييد بهذا الحكم لا يخلو عن اشكال بل نظر، لاحتمال كونه تعبّدا صرفا، و لذا حكم به جماعة ممن نسب إليهم القول الأوّل كالصدوقين في الرسالة </w:t>
      </w:r>
      <w:r>
        <w:rPr>
          <w:rStyle w:val="FootnoteAnchor"/>
          <w:rtl w:val="true"/>
        </w:rPr>
        <w:footnoteReference w:id="2778"/>
      </w:r>
      <w:r>
        <w:rPr>
          <w:rFonts w:ascii="IRNazanin" w:hAnsi="IRNazanin" w:eastAsia="IRNazanin"/>
          <w:color w:val="111111"/>
          <w:sz w:val="28"/>
          <w:sz w:val="28"/>
          <w:szCs w:val="28"/>
          <w:rtl w:val="true"/>
          <w:lang w:bidi="fa-IR"/>
        </w:rPr>
        <w:t xml:space="preserve">و المقنع </w:t>
      </w:r>
      <w:r>
        <w:rPr>
          <w:rStyle w:val="FootnoteAnchor"/>
          <w:rtl w:val="true"/>
        </w:rPr>
        <w:footnoteReference w:id="2779"/>
      </w:r>
      <w:r>
        <w:rPr>
          <w:rFonts w:ascii="Amiri" w:hAnsi="Amiri" w:eastAsia="Amiri" w:cs="Amiri"/>
          <w:color w:val="111111"/>
          <w:sz w:val="28"/>
          <w:sz w:val="28"/>
          <w:szCs w:val="28"/>
          <w:rtl w:val="true"/>
          <w:lang w:bidi="ar-SA"/>
        </w:rPr>
        <w:t xml:space="preserve">و الهداية </w:t>
      </w:r>
      <w:r>
        <w:rPr>
          <w:rStyle w:val="FootnoteAnchor"/>
          <w:rtl w:val="true"/>
        </w:rPr>
        <w:footnoteReference w:id="2780"/>
      </w:r>
      <w:r>
        <w:rPr>
          <w:rFonts w:ascii="Amiri" w:hAnsi="Amiri" w:eastAsia="Amiri" w:cs="Amiri"/>
          <w:color w:val="111111"/>
          <w:sz w:val="28"/>
          <w:sz w:val="28"/>
          <w:szCs w:val="28"/>
          <w:rtl w:val="true"/>
          <w:lang w:bidi="ar-SA"/>
        </w:rPr>
        <w:t xml:space="preserve">، و الشيخ في المبسوط </w:t>
      </w:r>
      <w:r>
        <w:rPr>
          <w:rStyle w:val="FootnoteAnchor"/>
          <w:rtl w:val="true"/>
        </w:rPr>
        <w:footnoteReference w:id="2781"/>
      </w:r>
      <w:r>
        <w:rPr>
          <w:rFonts w:ascii="IRNazanin" w:hAnsi="IRNazanin" w:eastAsia="IRNazanin"/>
          <w:color w:val="111111"/>
          <w:sz w:val="28"/>
          <w:sz w:val="28"/>
          <w:szCs w:val="28"/>
          <w:rtl w:val="true"/>
          <w:lang w:bidi="fa-IR"/>
        </w:rPr>
        <w:t xml:space="preserve">و الخلاف </w:t>
      </w:r>
      <w:r>
        <w:rPr>
          <w:rStyle w:val="FootnoteAnchor"/>
          <w:rtl w:val="true"/>
        </w:rPr>
        <w:footnoteReference w:id="2782"/>
      </w:r>
    </w:p>
    <w:p>
      <w:pPr>
        <w:pStyle w:val="BookText"/>
        <w:rPr/>
      </w:pPr>
      <w:r>
        <w:rPr>
          <w:rFonts w:ascii="Amiri" w:hAnsi="Amiri" w:eastAsia="Amiri" w:cs="Amiri"/>
          <w:color w:val="111111"/>
          <w:sz w:val="28"/>
          <w:sz w:val="28"/>
          <w:szCs w:val="28"/>
          <w:rtl w:val="true"/>
          <w:lang w:bidi="ar-SA"/>
        </w:rPr>
        <w:t xml:space="preserve">و النهاية </w:t>
      </w:r>
      <w:r>
        <w:rPr>
          <w:rStyle w:val="FootnoteAnchor"/>
          <w:rtl w:val="true"/>
        </w:rPr>
        <w:footnoteReference w:id="2783"/>
      </w:r>
      <w:r>
        <w:rPr>
          <w:rFonts w:ascii="Amiri" w:hAnsi="Amiri" w:eastAsia="Amiri" w:cs="Amiri"/>
          <w:color w:val="111111"/>
          <w:sz w:val="28"/>
          <w:sz w:val="28"/>
          <w:szCs w:val="28"/>
          <w:rtl w:val="true"/>
          <w:lang w:bidi="ar-SA"/>
        </w:rPr>
        <w:t xml:space="preserve">، و المحقّق في المعتبر </w:t>
      </w:r>
      <w:r>
        <w:rPr>
          <w:rStyle w:val="FootnoteAnchor"/>
          <w:rtl w:val="true"/>
        </w:rPr>
        <w:footnoteReference w:id="2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الشرائع قيّد الاستحباب بما لم يصلّ العيد </w:t>
      </w:r>
      <w:r>
        <w:rPr>
          <w:rStyle w:val="FootnoteAnchor"/>
          <w:rtl w:val="true"/>
        </w:rPr>
        <w:footnoteReference w:id="2785"/>
      </w:r>
      <w:r>
        <w:rPr>
          <w:rFonts w:ascii="Amiri" w:hAnsi="Amiri" w:eastAsia="Amiri" w:cs="Amiri"/>
          <w:color w:val="111111"/>
          <w:sz w:val="28"/>
          <w:sz w:val="28"/>
          <w:szCs w:val="28"/>
          <w:rtl w:val="true"/>
          <w:lang w:bidi="ar-SA"/>
        </w:rPr>
        <w:t xml:space="preserve">، و نحوه العلّامة في القواعد </w:t>
      </w:r>
      <w:r>
        <w:rPr>
          <w:rStyle w:val="FootnoteAnchor"/>
          <w:rtl w:val="true"/>
        </w:rPr>
        <w:footnoteReference w:id="2786"/>
      </w:r>
      <w:r>
        <w:rPr>
          <w:rFonts w:ascii="IRNazanin" w:hAnsi="IRNazanin" w:eastAsia="IRNazanin"/>
          <w:color w:val="111111"/>
          <w:sz w:val="28"/>
          <w:sz w:val="28"/>
          <w:szCs w:val="28"/>
          <w:rtl w:val="true"/>
          <w:lang w:bidi="fa-IR"/>
        </w:rPr>
        <w:t xml:space="preserve">و الإرشاد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الاختلاف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ففي رواية الفقيه عن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عمن تعول من حر أو عبد، صغير أو كبير، من أدرك منهم الصلاة</w:t>
      </w:r>
      <w:r>
        <w:rPr>
          <w:rFonts w:eastAsia="Amiri" w:cs="Amiri" w:ascii="Amiri" w:hAnsi="Amiri"/>
          <w:color w:val="111111"/>
          <w:sz w:val="28"/>
          <w:szCs w:val="28"/>
          <w:rtl w:val="true"/>
          <w:lang w:bidi="ar-SA"/>
        </w:rPr>
        <w:t xml:space="preserve">» </w:t>
      </w:r>
      <w:r>
        <w:rPr>
          <w:rStyle w:val="FootnoteAnchor"/>
          <w:rtl w:val="true"/>
        </w:rPr>
        <w:footnoteReference w:id="2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مرسلة التهذيب المنقولة بالمعنى ان من ولد له قبل الزوال استحب أن يخرج عنه الفطرة، و ان ولد بعده فلا، و كذلك من أسلم قبل الزوال أو بعده </w:t>
      </w:r>
      <w:r>
        <w:rPr>
          <w:rStyle w:val="FootnoteAnchor"/>
          <w:rtl w:val="true"/>
        </w:rPr>
        <w:footnoteReference w:id="2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انّه لا منافاة بين الحكمين، و يكون الأوّل آكد في الاستحباب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فالإنصاف انّ الحكم المذكور في المرسلة يدلّ بظاهره على امتداد الوقت إلى الزوال، حيث انّ ظاهر الحكم استحباب تشريك المولود قبل الزوال مع غيره و إلحاقه به في إعطاء </w:t>
      </w:r>
      <w:r>
        <w:rPr>
          <w:rStyle w:val="FootnoteAnchor"/>
          <w:rtl w:val="true"/>
        </w:rPr>
        <w:footnoteReference w:id="2790"/>
      </w:r>
      <w:r>
        <w:rPr>
          <w:rFonts w:ascii="Amiri" w:hAnsi="Amiri" w:eastAsia="Amiri" w:cs="Amiri"/>
          <w:color w:val="111111"/>
          <w:sz w:val="28"/>
          <w:sz w:val="28"/>
          <w:szCs w:val="28"/>
          <w:rtl w:val="true"/>
          <w:lang w:bidi="ar-SA"/>
        </w:rPr>
        <w:t>الفطرة عنه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يؤيدها في الدلالة ما تقدم من صحيحة ابن سنان من أنّ إعطاءها قبل الصلاة و بعدها صدقة </w:t>
      </w:r>
      <w:r>
        <w:rPr>
          <w:rStyle w:val="FootnoteAnchor"/>
          <w:rtl w:val="true"/>
        </w:rPr>
        <w:footnoteReference w:id="2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المراد بما قبل الصلاة المقابل لما بعدها</w:t>
      </w:r>
    </w:p>
    <w:p>
      <w:pPr>
        <w:pStyle w:val="BookText"/>
        <w:rPr/>
      </w:pPr>
      <w:r>
        <w:rPr>
          <w:rFonts w:ascii="Amiri" w:hAnsi="Amiri" w:eastAsia="Amiri" w:cs="Amiri"/>
          <w:color w:val="111111"/>
          <w:sz w:val="28"/>
          <w:sz w:val="28"/>
          <w:szCs w:val="28"/>
          <w:rtl w:val="true"/>
          <w:lang w:bidi="ar-SA"/>
        </w:rPr>
        <w:t>المحكوم بكون الفطرة فيه صدقة، فيكون دالا على الإجزاء فيما بعد الصلاة، إلّا انّها تنقص ثواب الفطرة، بل تنعدم و تصير صدقة، و ليس المراد قريب الصلاة حتى يكون مقابلا لما قبل الصلاة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يؤيدها أيضا الرواية المتقدّمة </w:t>
      </w:r>
      <w:r>
        <w:rPr>
          <w:rStyle w:val="FootnoteAnchor"/>
          <w:rtl w:val="true"/>
        </w:rPr>
        <w:footnoteReference w:id="2792"/>
      </w:r>
      <w:r>
        <w:rPr>
          <w:rFonts w:ascii="Amiri" w:hAnsi="Amiri" w:eastAsia="Amiri" w:cs="Amiri"/>
          <w:color w:val="111111"/>
          <w:sz w:val="28"/>
          <w:sz w:val="28"/>
          <w:szCs w:val="28"/>
          <w:rtl w:val="true"/>
          <w:lang w:bidi="ar-SA"/>
        </w:rPr>
        <w:t>عن كتاب الإقبال، و الرواية التي أرسلها السيد المرتضى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انّه في سعة من أن يخرجها إلى زوال الشمس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الأخرى المحكيّة عن كتاب الإقبال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يؤدّي الفطرة قبل أن يخرج الناس إلى الجبّانة، فإن أدّاها بعد ما يرجع فإنّما هي صدقة و ليست فطرة</w:t>
      </w:r>
      <w:r>
        <w:rPr>
          <w:rFonts w:eastAsia="Amiri" w:cs="Amiri" w:ascii="Amiri" w:hAnsi="Amiri"/>
          <w:color w:val="111111"/>
          <w:sz w:val="28"/>
          <w:szCs w:val="28"/>
          <w:rtl w:val="true"/>
          <w:lang w:bidi="ar-SA"/>
        </w:rPr>
        <w:t xml:space="preserve">»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يؤيدها أيضا ما روي من أمر أمير المؤمنين عليه السلام بأداء الفطرة في خطبة العيد المتأخّرة عن الصلاة و بيان بعض أحكامه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فليؤدّها كلّ امرئ منكم عن عياله كلّهم ذكرهم و أنثاهم، صغيرهم و كبيرهم، حرّهم و مملوكهم، عن كلّ إنسان منهم صاعا من تمر أو صاعا من بر أو صاعا من شعير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الكلّ أنّ من المستبعد إناطة وقت الفطرة الواجبة على كلّ أحد بفعل الصلاة التي لا تقع عن كثير من الناس، إمّا تعمّدا؛ لعدم وجوبها على المشهور، أو للعذر، مع اختلاف زمانها ممّن تقع منه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دليل ما اختاره العلّامة </w:t>
      </w:r>
      <w:r>
        <w:rPr>
          <w:rStyle w:val="FootnoteAnchor"/>
          <w:rtl w:val="true"/>
        </w:rPr>
        <w:footnoteReference w:id="2796"/>
      </w:r>
      <w:r>
        <w:rPr>
          <w:rFonts w:ascii="Amiri" w:hAnsi="Amiri" w:eastAsia="Amiri" w:cs="Amiri"/>
          <w:color w:val="111111"/>
          <w:sz w:val="28"/>
          <w:sz w:val="28"/>
          <w:szCs w:val="28"/>
          <w:rtl w:val="true"/>
          <w:lang w:bidi="ar-SA"/>
        </w:rPr>
        <w:t xml:space="preserve">و مال إليه في المدارك </w:t>
      </w:r>
      <w:r>
        <w:rPr>
          <w:rStyle w:val="FootnoteAnchor"/>
          <w:rtl w:val="true"/>
        </w:rPr>
        <w:footnoteReference w:id="2797"/>
      </w:r>
      <w:r>
        <w:rPr>
          <w:rFonts w:ascii="Amiri" w:hAnsi="Amiri" w:eastAsia="Amiri" w:cs="Amiri"/>
          <w:color w:val="111111"/>
          <w:sz w:val="28"/>
          <w:sz w:val="28"/>
          <w:szCs w:val="28"/>
          <w:rtl w:val="true"/>
          <w:lang w:bidi="ar-SA"/>
        </w:rPr>
        <w:t xml:space="preserve">و الذخيرة </w:t>
      </w:r>
      <w:r>
        <w:rPr>
          <w:rStyle w:val="FootnoteAnchor"/>
          <w:rtl w:val="true"/>
        </w:rPr>
        <w:footnoteReference w:id="2798"/>
      </w:r>
      <w:r>
        <w:rPr>
          <w:rFonts w:ascii="IRNazanin" w:hAnsi="IRNazanin" w:eastAsia="IRNazanin"/>
          <w:color w:val="111111"/>
          <w:sz w:val="28"/>
          <w:sz w:val="28"/>
          <w:szCs w:val="28"/>
          <w:rtl w:val="true"/>
          <w:lang w:bidi="fa-IR"/>
        </w:rPr>
        <w:t>فهو</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ذيل صحيحة العيص المتقدمة </w:t>
      </w:r>
      <w:r>
        <w:rPr>
          <w:rStyle w:val="FootnoteAnchor"/>
          <w:rtl w:val="true"/>
        </w:rPr>
        <w:footnoteReference w:id="2799"/>
      </w:r>
      <w:r>
        <w:rPr>
          <w:rFonts w:ascii="Amiri" w:hAnsi="Amiri" w:eastAsia="Amiri" w:cs="Amiri"/>
          <w:color w:val="111111"/>
          <w:sz w:val="28"/>
          <w:sz w:val="28"/>
          <w:szCs w:val="28"/>
          <w:rtl w:val="true"/>
          <w:lang w:bidi="ar-SA"/>
        </w:rPr>
        <w:t xml:space="preserve">، و قد عرفت أن الظاهر حملها على صورة العزل كما ذكره غير واحد </w:t>
      </w:r>
      <w:r>
        <w:rPr>
          <w:rStyle w:val="FootnoteAnchor"/>
          <w:rtl w:val="true"/>
        </w:rPr>
        <w:footnoteReference w:id="2800"/>
      </w:r>
      <w:r>
        <w:rPr>
          <w:rFonts w:ascii="Amiri" w:hAnsi="Amiri" w:eastAsia="Amiri" w:cs="Amiri"/>
          <w:color w:val="111111"/>
          <w:sz w:val="28"/>
          <w:sz w:val="28"/>
          <w:szCs w:val="28"/>
          <w:rtl w:val="true"/>
          <w:lang w:bidi="ar-SA"/>
        </w:rPr>
        <w:t xml:space="preserve">و إن كان الإنصاف كونه مخالفا للإطلاق، بل لظاهر الرواية، حيث انّ السؤال في أوّل الرواية عن وقت الإخراج، و سؤال الذيل متفرّع </w:t>
      </w:r>
      <w:r>
        <w:rPr>
          <w:rStyle w:val="FootnoteAnchor"/>
          <w:rtl w:val="true"/>
        </w:rPr>
        <w:footnoteReference w:id="2801"/>
      </w:r>
      <w:r>
        <w:rPr>
          <w:rFonts w:ascii="Amiri" w:hAnsi="Amiri" w:eastAsia="Amiri" w:cs="Amiri"/>
          <w:color w:val="111111"/>
          <w:sz w:val="28"/>
          <w:sz w:val="28"/>
          <w:szCs w:val="28"/>
          <w:rtl w:val="true"/>
          <w:lang w:bidi="ar-SA"/>
        </w:rPr>
        <w:t xml:space="preserve">على ذلك كما لا يخفى على المتأمّل، و قد عرفت دعوى العلامة في المختلف الإجماع على حرمة تأخيرها عن الزوال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bookmarkStart w:id="200" w:name="pg19722_766513"/>
    </w:p>
    <w:p>
      <w:pPr>
        <w:pStyle w:val="Heading4"/>
        <w:numPr>
          <w:ilvl w:val="3"/>
          <w:numId w:val="1"/>
        </w:numPr>
        <w:rPr/>
      </w:pPr>
      <w:bookmarkStart w:id="201" w:name="__RefHeading___Toc2136414_2314609296"/>
      <w:bookmarkStart w:id="202" w:name="_Toc69"/>
      <w:bookmarkEnd w:id="200"/>
      <w:bookmarkEnd w:id="201"/>
      <w:r>
        <w:rPr>
          <w:rtl w:val="true"/>
        </w:rPr>
        <w:t xml:space="preserve">مسألة </w:t>
      </w:r>
      <w:r>
        <w:rPr>
          <w:rtl w:val="true"/>
        </w:rPr>
        <w:t>[</w:t>
      </w:r>
      <w:r>
        <w:rPr/>
        <w:t>11</w:t>
      </w:r>
      <w:r>
        <w:rPr>
          <w:rtl w:val="true"/>
        </w:rPr>
        <w:t>]</w:t>
      </w:r>
      <w:bookmarkEnd w:id="202"/>
    </w:p>
    <w:p>
      <w:pPr>
        <w:pStyle w:val="BookText"/>
        <w:rPr/>
      </w:pPr>
      <w:r>
        <w:rPr>
          <w:rFonts w:ascii="Amiri" w:hAnsi="Amiri" w:eastAsia="Amiri" w:cs="Amiri"/>
          <w:color w:val="111111"/>
          <w:sz w:val="28"/>
          <w:sz w:val="28"/>
          <w:szCs w:val="28"/>
          <w:rtl w:val="true"/>
          <w:lang w:bidi="ar-SA"/>
        </w:rPr>
        <w:t>الظاهر جواز عزل الفطرة في وقت أدائها، و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بين الأصحاب في انه متى عزلها و قصد بها الفطرة و عيّنها في مال مخصوص قبل الصلاة فإنه يجوز إخراجها بعد ذلك، و ان خرج وقتها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المستند في أصل مشروعية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و قد تقدّم بعضها كرواية المروزي </w:t>
      </w:r>
      <w:r>
        <w:rPr>
          <w:rStyle w:val="FootnoteAnchor"/>
          <w:rtl w:val="true"/>
        </w:rPr>
        <w:footnoteReference w:id="2804"/>
      </w:r>
      <w:r>
        <w:rPr>
          <w:rFonts w:ascii="Amiri" w:hAnsi="Amiri" w:eastAsia="Amiri" w:cs="Amiri"/>
          <w:color w:val="111111"/>
          <w:sz w:val="28"/>
          <w:sz w:val="28"/>
          <w:szCs w:val="28"/>
          <w:rtl w:val="true"/>
          <w:lang w:bidi="ar-SA"/>
        </w:rPr>
        <w:t xml:space="preserve">، و رواية إسحاق بن عمّار </w:t>
      </w:r>
      <w:r>
        <w:rPr>
          <w:rStyle w:val="FootnoteAnchor"/>
          <w:rtl w:val="true"/>
        </w:rPr>
        <w:footnoteReference w:id="2805"/>
      </w:r>
      <w:r>
        <w:rPr>
          <w:rFonts w:ascii="Amiri" w:hAnsi="Amiri" w:eastAsia="Amiri" w:cs="Amiri"/>
          <w:color w:val="111111"/>
          <w:sz w:val="28"/>
          <w:sz w:val="28"/>
          <w:szCs w:val="28"/>
          <w:rtl w:val="true"/>
          <w:lang w:bidi="ar-SA"/>
        </w:rPr>
        <w:t xml:space="preserve">، و ذيل الرواية المحكية عن كتاب الإقبال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بالعزل على ما ذكره جماعة </w:t>
      </w:r>
      <w:r>
        <w:rPr>
          <w:rStyle w:val="FootnoteAnchor"/>
          <w:rtl w:val="true"/>
        </w:rPr>
        <w:footnoteReference w:id="2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تعيينها في مال خاص بقصد التقرّب، فتصير أمانة شرعيّة في يد المالك لا يوقّت أدائها بوقت، و مقتضى قاعدة الأمانات الشرعيّة انّه يجب أداؤها فورا مع الإمكان و إن لم يخرج وقت الفطرة؛ لأنّ الوقت</w:t>
      </w:r>
    </w:p>
    <w:p>
      <w:pPr>
        <w:pStyle w:val="BookText"/>
        <w:rPr/>
      </w:pPr>
      <w:r>
        <w:rPr>
          <w:rFonts w:ascii="Amiri" w:hAnsi="Amiri" w:eastAsia="Amiri" w:cs="Amiri"/>
          <w:color w:val="111111"/>
          <w:sz w:val="28"/>
          <w:sz w:val="28"/>
          <w:szCs w:val="28"/>
          <w:rtl w:val="true"/>
          <w:lang w:bidi="ar-SA"/>
        </w:rPr>
        <w:t>وقت امتثال الفطرة لا وقت أداء الأمانة، إلّا أنّ ظاهر ما تقدم من عبارة الحدائق هو عكس ذلك، و أنّ فائدة العزل جواز التأخير و لو خرج الوقت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ذلك ما تقدّم من قوله عليه السلام في رواية إسحاق بن عمّار المتقدّمة </w:t>
      </w:r>
      <w:r>
        <w:rPr>
          <w:rStyle w:val="FootnoteAnchor"/>
          <w:rtl w:val="true"/>
        </w:rPr>
        <w:footnoteReference w:id="28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عزلتها فلا يضرّك متى أعطيتها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نحوها ذيل رواية الإقبال المتقدمة، </w:t>
      </w:r>
      <w:r>
        <w:rPr>
          <w:rStyle w:val="FootnoteAnchor"/>
          <w:rtl w:val="true"/>
        </w:rPr>
        <w:footnoteReference w:id="2809"/>
      </w:r>
      <w:r>
        <w:rPr>
          <w:rFonts w:ascii="Amiri" w:hAnsi="Amiri" w:eastAsia="Amiri" w:cs="Amiri"/>
          <w:color w:val="111111"/>
          <w:sz w:val="28"/>
          <w:sz w:val="28"/>
          <w:szCs w:val="28"/>
          <w:rtl w:val="true"/>
          <w:lang w:bidi="ar-SA"/>
        </w:rPr>
        <w:t xml:space="preserve">و ذيل صحيحة العيص </w:t>
      </w:r>
      <w:r>
        <w:rPr>
          <w:rStyle w:val="FootnoteAnchor"/>
          <w:rtl w:val="true"/>
        </w:rPr>
        <w:footnoteReference w:id="2810"/>
      </w:r>
      <w:r>
        <w:rPr>
          <w:rFonts w:ascii="Amiri" w:hAnsi="Amiri" w:eastAsia="Amiri" w:cs="Amiri"/>
          <w:color w:val="111111"/>
          <w:sz w:val="28"/>
          <w:sz w:val="28"/>
          <w:szCs w:val="28"/>
          <w:rtl w:val="true"/>
          <w:lang w:bidi="ar-SA"/>
        </w:rPr>
        <w:t>، بناء على حملها على صورة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تحمل أيضا رواية الحارث </w:t>
      </w:r>
      <w:r>
        <w:rPr>
          <w:rStyle w:val="FootnoteAnchor"/>
          <w:rtl w:val="true"/>
        </w:rPr>
        <w:footnoteReference w:id="2811"/>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تؤخر الفطرة إلى هلال ذي العقدة</w:t>
      </w:r>
      <w:r>
        <w:rPr>
          <w:rFonts w:eastAsia="Amiri" w:cs="Amiri" w:ascii="Amiri" w:hAnsi="Amiri"/>
          <w:color w:val="111111"/>
          <w:sz w:val="28"/>
          <w:szCs w:val="28"/>
          <w:rtl w:val="true"/>
          <w:lang w:bidi="ar-SA"/>
        </w:rPr>
        <w:t xml:space="preserve">» </w:t>
      </w:r>
      <w:r>
        <w:rPr>
          <w:rStyle w:val="FootnoteAnchor"/>
          <w:rtl w:val="true"/>
        </w:rPr>
        <w:footnoteReference w:id="2812"/>
      </w:r>
      <w:r>
        <w:rPr>
          <w:rFonts w:ascii="Amiri" w:hAnsi="Amiri" w:eastAsia="Amiri" w:cs="Amiri"/>
          <w:color w:val="111111"/>
          <w:sz w:val="28"/>
          <w:sz w:val="28"/>
          <w:szCs w:val="28"/>
          <w:rtl w:val="true"/>
          <w:lang w:bidi="ar-SA"/>
        </w:rPr>
        <w:t>فإنّ التحديد بهلال ذي القعدة يأبى عن الحمل على صورة عدم المستحق</w:t>
      </w:r>
      <w:r>
        <w:rPr>
          <w:rFonts w:eastAsia="Amiri" w:cs="Amiri" w:ascii="Amiri" w:hAnsi="Amiri"/>
          <w:color w:val="111111"/>
          <w:sz w:val="28"/>
          <w:szCs w:val="28"/>
          <w:rtl w:val="true"/>
          <w:lang w:bidi="ar-SA"/>
        </w:rPr>
        <w:t>.</w:t>
      </w:r>
      <w:bookmarkStart w:id="203" w:name="pg19722_766515"/>
    </w:p>
    <w:p>
      <w:pPr>
        <w:pStyle w:val="Heading4"/>
        <w:numPr>
          <w:ilvl w:val="3"/>
          <w:numId w:val="1"/>
        </w:numPr>
        <w:rPr/>
      </w:pPr>
      <w:bookmarkStart w:id="204" w:name="__RefHeading___Toc2136416_2314609296"/>
      <w:bookmarkStart w:id="205" w:name="_Toc70"/>
      <w:bookmarkEnd w:id="203"/>
      <w:bookmarkEnd w:id="204"/>
      <w:r>
        <w:rPr>
          <w:rtl w:val="true"/>
        </w:rPr>
        <w:t xml:space="preserve">مسألة </w:t>
      </w:r>
      <w:r>
        <w:rPr>
          <w:rtl w:val="true"/>
        </w:rPr>
        <w:t>[</w:t>
      </w:r>
      <w:r>
        <w:rPr/>
        <w:t>12</w:t>
      </w:r>
      <w:r>
        <w:rPr>
          <w:rtl w:val="true"/>
        </w:rPr>
        <w:t>]</w:t>
      </w:r>
      <w:bookmarkEnd w:id="205"/>
    </w:p>
    <w:p>
      <w:pPr>
        <w:pStyle w:val="BookText"/>
        <w:rPr/>
      </w:pPr>
      <w:r>
        <w:rPr>
          <w:rFonts w:ascii="Amiri" w:hAnsi="Amiri" w:eastAsia="Amiri" w:cs="Amiri"/>
          <w:color w:val="111111"/>
          <w:sz w:val="28"/>
          <w:sz w:val="28"/>
          <w:szCs w:val="28"/>
          <w:rtl w:val="true"/>
          <w:lang w:bidi="ar-SA"/>
        </w:rPr>
        <w:t>لو لم يعزلها و لم يؤدّها حتّى خرج وقتها و هو الزوال أو فعل صلاة العيد، أو نهار يوم العيد، فهل يجب إعطاؤها أم لا؟ و على الأول، فهل هو أداء أو قضاء؟</w:t>
      </w:r>
    </w:p>
    <w:p>
      <w:pPr>
        <w:pStyle w:val="BookText"/>
        <w:rPr/>
      </w:pPr>
      <w:r>
        <w:rPr>
          <w:rFonts w:ascii="IRNazanin" w:hAnsi="IRNazanin" w:eastAsia="IRNazanin"/>
          <w:color w:val="111111"/>
          <w:sz w:val="28"/>
          <w:sz w:val="28"/>
          <w:szCs w:val="28"/>
          <w:rtl w:val="true"/>
          <w:lang w:bidi="fa-IR"/>
        </w:rPr>
        <w:t>أقوال، أقواها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الإعطاء 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وجوب الإعطاء فلعمومات وجوبها، و انّ بتركها يخاف الفوت </w:t>
      </w:r>
      <w:r>
        <w:rPr>
          <w:rStyle w:val="FootnoteAnchor"/>
          <w:rtl w:val="true"/>
        </w:rPr>
        <w:footnoteReference w:id="2813"/>
      </w:r>
      <w:r>
        <w:rPr>
          <w:rFonts w:ascii="IRNazanin" w:hAnsi="IRNazanin" w:eastAsia="IRNazanin"/>
          <w:color w:val="111111"/>
          <w:sz w:val="28"/>
          <w:sz w:val="28"/>
          <w:szCs w:val="28"/>
          <w:rtl w:val="true"/>
          <w:lang w:bidi="fa-IR"/>
        </w:rPr>
        <w:t xml:space="preserve">، و انّها من تمام الصوم </w:t>
      </w:r>
      <w:r>
        <w:rPr>
          <w:rStyle w:val="FootnoteAnchor"/>
          <w:rtl w:val="true"/>
        </w:rPr>
        <w:footnoteReference w:id="2814"/>
      </w:r>
      <w:r>
        <w:rPr>
          <w:rFonts w:ascii="Amiri" w:hAnsi="Amiri" w:eastAsia="Amiri" w:cs="Amiri"/>
          <w:color w:val="111111"/>
          <w:sz w:val="28"/>
          <w:sz w:val="28"/>
          <w:szCs w:val="28"/>
          <w:rtl w:val="true"/>
          <w:lang w:bidi="ar-SA"/>
        </w:rPr>
        <w:t>، و بصحيحة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أخرج فطرته فعزلها حتّى يجد لها أهلا؟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أخرجها من ضمانه فقد بري‌ء، و إلّا فهو ضامن لها حتّى يؤدّيها إلى أربابها</w:t>
      </w:r>
      <w:r>
        <w:rPr>
          <w:rFonts w:eastAsia="Amiri" w:cs="Amiri" w:ascii="Amiri" w:hAnsi="Amiri"/>
          <w:color w:val="111111"/>
          <w:sz w:val="28"/>
          <w:szCs w:val="28"/>
          <w:rtl w:val="true"/>
          <w:lang w:bidi="ar-SA"/>
        </w:rPr>
        <w:t xml:space="preserve">»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العمومات فبتقييدها بأدلّة التوقيت، و دعوى أنّ أداءها في الوقت المذكور تكليف مستقلّ، يدفعه الإجماع على اتحاد التكليف؛ إذ ليس في أدائها في الوقت امتثالان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المطلق </w:t>
      </w:r>
      <w:r>
        <w:rPr>
          <w:rStyle w:val="FootnoteAnchor"/>
          <w:rtl w:val="true"/>
        </w:rPr>
        <w:footnoteReference w:id="2816"/>
      </w:r>
      <w:r>
        <w:rPr>
          <w:rFonts w:ascii="Amiri" w:hAnsi="Amiri" w:eastAsia="Amiri" w:cs="Amiri"/>
          <w:color w:val="111111"/>
          <w:sz w:val="28"/>
          <w:sz w:val="28"/>
          <w:szCs w:val="28"/>
          <w:rtl w:val="true"/>
          <w:lang w:bidi="ar-SA"/>
        </w:rPr>
        <w:t xml:space="preserve">، و الآخر المقيّد </w:t>
      </w:r>
      <w:r>
        <w:rPr>
          <w:rStyle w:val="FootnoteAnchor"/>
          <w:rtl w:val="true"/>
        </w:rPr>
        <w:footnoteReference w:id="2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تعدّد</w:t>
      </w:r>
    </w:p>
    <w:p>
      <w:pPr>
        <w:pStyle w:val="BookText"/>
        <w:rPr/>
      </w:pPr>
      <w:r>
        <w:rPr>
          <w:rFonts w:ascii="Amiri" w:hAnsi="Amiri" w:eastAsia="Amiri" w:cs="Amiri"/>
          <w:color w:val="111111"/>
          <w:sz w:val="28"/>
          <w:sz w:val="28"/>
          <w:szCs w:val="28"/>
          <w:rtl w:val="true"/>
          <w:lang w:bidi="ar-SA"/>
        </w:rPr>
        <w:t>العقاب في تركها في الوقت و خارجه عند هذا القائل إنما هو لأجل التكاليف المترتبة، كما في ردّ السلام و أداء الدين و الوديعة، لا لأجل مخالفة تكليفين متوجهين إليه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مطلق، و الآخر مقيد، على ما يقتضيه التمسك بالعمومات بعد 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أنّ ظاهر أدلّة توقيتها انّ المراد بالفطرة سؤالا و جوابا هي التي وجبت </w:t>
      </w:r>
      <w:r>
        <w:rPr>
          <w:rStyle w:val="FootnoteAnchor"/>
          <w:rtl w:val="true"/>
        </w:rPr>
        <w:footnoteReference w:id="2818"/>
      </w:r>
      <w:r>
        <w:rPr>
          <w:rFonts w:ascii="Amiri" w:hAnsi="Amiri" w:eastAsia="Amiri" w:cs="Amiri"/>
          <w:color w:val="111111"/>
          <w:sz w:val="28"/>
          <w:sz w:val="28"/>
          <w:szCs w:val="28"/>
          <w:rtl w:val="true"/>
          <w:lang w:bidi="ar-SA"/>
        </w:rPr>
        <w:t>في الأخبار المطلقة، فكأنها بيان لوقت ذلك الواجب الذي لم يتعرّض الشارع في الأخبار المطلقة لأزيد من أصل وجوبها، كما لم يقصد في أدلة التوقيت إلّا بيان وقتها بعد الفراغ عن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الصحيحة، فباحتمال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 من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الفطرة المعزولة، و معنى إخراجها عن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إخراجها إلى المستحق بحيث يخرج عن عهدة إيصالها،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إلا فهو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في عهدة الأداء و الإيصال، و كون الفقرة الاولى عبارة عن العزل، و الثانية لحكم صورة عدم العزل، لا يجدي في إثبات بقاء التكليف بعد خروج الوقت؛ لاحتمال أو ظهور أنّ المراد أنّ مع العزل ضامن لها حتّى يؤدّيها في وقتها المضروب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العزل يخرج عن الضمان و مع عدمه فهي في عهدته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صحّة التمسك بالعمومات، حيث انّها تدلّ على استقرار الفطرة في ذمّة المكلّف عند دخول وقتها، فحرمة تأخيرها عن وقتها المضروب لا يدلّ على السقوط، كما في كثير من الواجبات، و لا يوجب ذلك تعدد التكليف بالمطلق و المقيّد دفعة حتّى يحصل امتثالان بإتيان المقيّد، نظرا إلى أنّ المطلق مسوق لبيان أصل مطلوبية الفعل دائما ما لم يحصل في الخارج، لا لبيان مطلوبيته</w:t>
      </w:r>
    </w:p>
    <w:p>
      <w:pPr>
        <w:pStyle w:val="BookText"/>
        <w:rPr/>
      </w:pPr>
      <w:r>
        <w:rPr>
          <w:rFonts w:ascii="Amiri" w:hAnsi="Amiri" w:eastAsia="Amiri" w:cs="Amiri"/>
          <w:color w:val="111111"/>
          <w:sz w:val="28"/>
          <w:sz w:val="28"/>
          <w:szCs w:val="28"/>
          <w:rtl w:val="true"/>
          <w:lang w:bidi="ar-SA"/>
        </w:rPr>
        <w:t>في زمان موسّع، بحيث يدلّ على تخيير المكلّف في إيقاع الفعل في أيّ جزء منه، حتّى يكون مغايرا للتكليف بوجوب إيقاعه معينا في مقدار خاصّ من الزمان حتّى يحصل تكليفان دفعة، و إنّما يوجب ذلك تعدّد التكليف تدريجا، بمعنى بقاء الأمر بالطبيعة بعد فوات الخصوصيّة من المكلّف كما في ردّ السلام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العمومات هو الوجوب الشبيه بالحكم الوضعي، و هو اشتغال ذمّة المكلّف بهذا المقدار للفقراء، و توقيت الشارع له بمنزلة تأجيل الدين لا يسقط عن الذمة بخروج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و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الباقي بعد خروج الوقت في الوجه السابق هو التكليف المطلق بأداء الفطرة، و في هذا الوجه هو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نهاية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وجدنا من كتابته قدّس اللّٰه روحه في الزكاة بعد الفحص و الجدّ و الاجتهاد و طلب التوفيق من اللّٰه لكتابة الخمس و الصوم، إنّه خير موفّق و معين و حافظ في الليل و اليوم، و أسأل الهّٰف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كتبه الحقير جامع الأوراق في بلدي الشوش، و تم في الغرة من ربيع الثاني عام الثاني و الثمانين بعد المائتين و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نهاية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بحمد اللّٰه تعالى على يد العبد الأقل الجاني ابن المرحوم ميرزا سيد محمد رضا أحمد الطباطبائي الأردستاني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نهاية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بحمد اللّٰه تعالى على يد العبد الأقل الجاني زين العابدين قمي المسكن في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 ذكر من معانيه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البركة و المدح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كان بمعنى التطهير أيضا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قوله تعالىٰ يَتْلُوا عَلَيْهِمْ آيٰاتِهِ وَ يُزَكِّيهِمْ وَ يُعَلِّمُهُمُ الْكِتٰابَ وَ الْحِكْمَةَ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الثالث</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قدس سره لخص تعاريف الأكثر بهذا التعريف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الأسماء المشتركة تطلق على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الطائفة من المال المزكى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الفعل الذي هو التزكية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الذكاة هي التذكية في قوله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ذكاة الجنين ذكاة امه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الحق المعلوم الحديث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و الحاكي هو المحقق السبزواري قدس سره في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انظر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تعالى وَ آتُوا حَقَّهُ يَوْمَ حَصٰادِهِ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الاخبار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تجب عليه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يدك</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اليتيم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تجب عليه الزكاة،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الأطفال، الحديث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 الظاهر انها سهو، راجع المستمسك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حين الإفاقة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عنه في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استجوده في المناهل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لكنها 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حكاه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مروية، و الظاهر انها تصحيف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حكاه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غيرهما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العبارات مختلفة في النسخ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الحديث الأول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تزكيته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اتجر لنفسه و كان وليا مليا كان الربح 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 الأول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الزيادة من المصدر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الحاكم و من يأمره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الرهن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الرهن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الضابط في تصرف المتولي 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قرض مال الطفل و المجنون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بقدر أسطر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المناهل</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مصابيح الظلام للوحيد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بالذمة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حكاه عنه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بيع الغرر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مما يجب على الولي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معاملة نفسه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المناهل</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المعصوم ترك الاستفصال في كل واحد من هذه الاخبار و هو مفيد للعموم، سيما و البيع و الشراء بالذمة هو الأغلب تحقيقا، بل بنفس العين في غاية الندرة، سيّما إذا نوى كونه لصاحب العين أو عوض هنا بعين من غير إرادة شخص، بل الأظهر أن يقال بالعموم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تشتغلها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وردت الكلمة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بقسطها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 مع اختلاف يسير، و الزيادة من المصدر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المبيع اليه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الرهن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الروضة للفاضل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اتجر الولي، أو المأذون للطفل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للدين بدل للابن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اقتراضه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 تعالى وَ إِذٰا تَوَلّٰى سَعىٰ فِي الْأَرْضِ لِيُفْسِدَ فِيهٰا وَ يُهْلِكَ الْحَرْثَ وَ النَّسْلَ وَ اللّٰهُ لٰا يُحِبُّ الْفَسٰادَ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المناهل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و ما تستحب فيه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قول المصنف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لو لم يكن مليا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عنهما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تجب عليه الزكاة،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تجب عليه الزكاة،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تجب عليه الزكاة،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تجب عليه الزكاة،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الموجود في 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نقل قول أبي حنيفة بوجوب الزكاة في غلات الطفل، نعم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قوله بعدم وجوبها بلا تفصيل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المناهل</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عبارة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وجوب الزكاة في غلات الطفل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 صحيحة ابن مسلم المتقدّمة آنفا على الاستحباب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الوسيلة و لكن حكي عنه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نقل عن ابن حمزة، و لعله في الواسطة،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فتجب في الأنعام بالإجماع المركب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ذيل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تجب في مواشيهم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ذيل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تجب في مال المجنون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كصاحب المدارك في ذيل قول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حكم المجنون حكم الطفل، و الفاضل المقداد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حكاه عنه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احتاج 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الحديث الأول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حكاه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الروايتان المتقدمتان آنفا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لانه لم يصل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بعد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كالمبيع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الملكية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القول بملكية العبد و عدمها، كما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الموكل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الرواية الثالثة لابن سنان المتقدّمة في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الهامش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زيادة اقتضتها العبارة، و أخذناها ممّا نقله العلّامة المامقاني قدس سره في كتابه منتهى مقاصد الأنام،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 لكن ليست في النسخة التي بأيدينا من المنتهى النسبة إلى العلماء كافّة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بالاكتساب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 الأول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لكن 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الدارقطني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قولهما عن النهاية و المعتبر في الصفحة السابقة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الروضة للفاضل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المقرض،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القرض</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يصرّح بالثاني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يلي من الأمور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لكن في المطبوعة من الإرشاد و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يجزي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ذيل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يجر في الحول الا بعد القبض</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ملكيته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صححناه على ما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 أصناف المال شاء، و لكن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التملّك</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القرض حين القبض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و من لا تجب، الحديث الأول، و الرواية منقولة بالمعنى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جواز المنافي لخيار البائع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للخيار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التصرف التصدق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بمقتضى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بالملازمة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حكاه عنه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تكليف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الصفحة السابقة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الروضة للفاضل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كالراهن غير المتمكن من فكّه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منعا، و الصحيح ما أثبتناه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معاقد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الاستنقاذ، و ما أثبتناه مطابق للمصدر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الروضة للفاضل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بالمال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بالنية، و الصحيح ما أثبتناه كما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الشهيد في البيان آنفا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ذكرها في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المال الغائب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التمكن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محكيّ المنتهى</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التاسع من مباحث كتاب الزكاة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ذكرها في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تجب الزكاة في المغصوب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 الاشكال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مضت عليه أحوال، زكّاه لسنة استحبابا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الإرشاد و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رسائل الشريف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حكاه عنهم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المقرض، و الصحيح ما أثبتناه، و هو مطابق للإرشاد و لمتن مجمع الفائدة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الديون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 و في هامشهما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ذيل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لا يلزم و هو الأشبه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مصابيح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ذيل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زكاة القرض على المقترض</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ضمانه ما يجوز له ضمانه بالبذل من الأعيان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غيره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جواب اما، أي مطلق عن الزكاة، بمعنى عدم الزكاة فيه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الفرع الرابع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النراقي رحمه اللّٰه، راجع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الروضة للفاضل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خروجه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يدرك كله لا يترك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لعلّه تصحيف، فإن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و يحتمل ان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بقيد النذر أو بعين النذر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بالتصرف، و الظاهر أنه تصحيف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تجب فيه الزكاة،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التمليك</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يتصرف فيها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منقول بالمعنى، 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النذور، 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 الحديث الأول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الهبات،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مبتوتة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بالملكية له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النقيض</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الروضة للفاضل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يحيط</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الروضة للفاضل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ان كان موقتا فان كان بما قبل تمام الحول و وفى بالنذر فلا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إن لم يف به فان وجب القضاء فكذلك و إلا وجبت الزكاة بلا شبهة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 و الشرط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حكي عن المعظم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يجز له بيعه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 الظاهر انها سهو</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الكافر يجب عليه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هذا البحث</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أصرح منه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يكن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يجبر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يجبّ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تلف البعض سقط من الواجب بالنسبة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أكثر منه، و ما أثبتناه موافق للوسائل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الإرشاد و مجمع الفائدة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وقت الوجوب في الغلات بدوّ صلاحها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قائله و أورده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الاشكال على ابن الجنيد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زكاة الغلّات، الحديث الأول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 و ما أثبتناه موافق لبعض كتب اللغة مثل أقرب الموارد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جاحت الآفة المال تجوحه جوحا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أهلكته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جوح</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النخل و الكرم الا عند صيرورتهما تمرا و زبيبا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العبارة مشطوب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 حكاه عنهما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 حكاه عنهما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حال عليه الحول و وجبت عليه فيها الزكاة، و 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الجيم،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و 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الضأن ما له سنة تامّة، هذا هو الأصح عند أصحابنا و هو الأشهر عند أهل اللغة و غيرهم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حدّه أن يمضي أحد عشر 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في السخال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الرواية في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الحديث الأول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الحديث الأول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الدين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الروضة للفاضل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قول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يستقر الوجوب بذلك أم يتوقف الاستقرار على تمامه، قولان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و الأنسب ما أثبتناه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ينتهي ما بأيدينا من النسخ في شرح زكاة كتاب الإرشاد و جاء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هنا أوراق،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وجد من خطه الشريف من الزكاة شرحا على الإرشاد و لم يتم المقصد الأول من كتاب الإرشاد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ليطابق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المقصد الثاني في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الكتابين، و وردت بدلها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أوجب ابن حمزة الزكاة في مال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الصبي ممن لا تجب عليه الزكاة، و لكن تلزم في ماله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تجب فيه الزكاة،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تجب عليه الزكاة،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الحول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تمكنه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تجب عليه الزكاة،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الزيادة من المصدر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الحول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على المال الغائب عنك حتى يقع في يديك</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 التجارة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الأصحاب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المقترض</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مال الطفل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يعمل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باقتراحه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إنما ورد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اتجر بالعين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ما لا خلاف فيه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يكون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 الأول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أشار إليه في الوسائل ذيل الرواية السابقة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نص الشيخ قدّس سرّه في المندوب، و لكن جاء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يملك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الاستطاعة، و كان له ولد له مال، وجب عليه ان يأخذ من مال ابنه قدر ما يحج به على الاقتصار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 الأول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الحديث الأول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 الأول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تأمل فيه، و حكاه عنه صاحب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تجب عليه الزكاة،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تجب عليه الزكاة،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الزيادة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بمعناه، الأحاديث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تجب عليه الزكاة،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المتقدم، و العبارة منقولة بالمعنى</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تجب عليه الزكاة،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راجع 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تجب عليه الزكاة،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منقولة بالمعنى</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 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في مال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المجنون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فيجب في الأنعام بالإجماع 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نستظهر ذلك من الوسيلة و لعله ذكره في غيرها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الحديث الأول مع اختلاف يسير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تأمله و ما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ما تجب فيه الزكاة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الشراكة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مظانه من كشف الغطاء، و لكن نقله في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شرحه للقواعد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تعالى في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 مَمْلُوكاً لٰا يَقْدِرُ عَلىٰ شَيْ‌ءٍ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 الأول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تميّزه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المملوك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في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التملك</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له أن يتركه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 الأول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 عن التذكرة و المنتهى و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أورد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الهامش و كتب بعدها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مكتوبا ما بين السطور تحت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محجورا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الاستفهام انكاري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التي كانت بخطه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لمحرّرة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 الأول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مظانه من المفاتيح، و الظاهر انه تصحيف،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و في 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بل عن المصابيح انه صريح في المطلوب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 المبيع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الفرض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النصوص</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الاستيلاد،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إسماعيل بن بزيع، كما نقلها صاحب الجواهر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هذا المورد عن محمد بن إسماعيل أيضا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غير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الجمع لعدم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كعدم وجوب الزكاة في مال المملوك، بل عدم استحباب الزكاة مع استحبابها أو وجوبها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مال الطفل و المجنون في الجملة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الضرورية، و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بضروبه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هنا مع اختلاف يسير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و ما أثبتناه هو الصحيح</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متخالفين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انتفاؤه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الكتاب قوله تعالى فَكٰاتِبُوهُمْ إِنْ عَلِمْتُمْ فِيهِمْ خَيْراً و من السنة ما ورد في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 في غيرها فيهما، و ما أثبتناه هو الصحيح</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 الأول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 الأول، و الحديث منقول بالمعنى</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و روى قسما منه في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 الأول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التصدق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مداره في صحة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لمصلحته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ملكهم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العمومان المذكوران يدل،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فالعمومات المذكوران يدل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للغير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معارض</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بنفسه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الفسخ</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ما 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 الأول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التعبير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حمل الثاني على عدم وجوب الزكاة نفي ثبوت الزكاة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مال غيره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ينفى</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ملكه عبدا 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بيعه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الناقل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مملوكه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كتاب العتق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التملك التام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حكم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كاشف الغطاء قدّس سرّه في 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الذي يغني عنه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الثابتة لمال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بانتقاض ذلك</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الحديث الأول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الحديث الأول،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زكاتها ان كانت موضوعة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نقف على الاستدلال بعينه في المنتهى، نعم هو موجود في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المال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يوجب من غيره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لوجب في غيره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قدرة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المكلف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فمجرد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يتصور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المرسلة الآتية في الصفحة التالية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هاشم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توهم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 محفوظا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يمكن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ملته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و راجع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يديك</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لا يقدر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روى أصحابنا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العلاجية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الحديث الأول، و الحديث منقول بالمعنى</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المال المفقود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بالدين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حبته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منها أنه المقنعة و ليس في الفقيه و لا المقنعة ما يدل على الإجماع المذكور، راجع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المتواتر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عثرنا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 بدل الزكاة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لترجيح</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الحنطة تكون حبّتان في قشر واحد، و هو طعام أهل صنعاء،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علس</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الشعير ليس له قشر كأنّه الحنطة،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بهذا الحكم الأصحاب من غير نقل خلاف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شرحه على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بتعين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ما أفاده في التذكرة، نعم هو موجود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هذا اللفظ</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بالذات، و لعله يلوح من كلام صاحب الجواهر، انظر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يتمكن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الثلاثين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الإفراز</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للتداخل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بالأربعين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يجي‌ء</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الى آخر المسألة غير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ورد ذلك في ذيل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صدق حلوله على الأربعين، و كتب الناسخ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آخر الصفحة اليمنى من المنتسخ الأصلي الذي كان بخطه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 هامش الصفحة اليسرى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تتمه صفحة سابقه در ورق سوم بعد از صفحة يسري، و تصفّحت فما 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انقطع الكلام 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النصابين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هامش النسخة 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و ان استلزم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اين مطلب در چهار ورق بعد در صفحه يسرى بايد ملاحظه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ذكر التتمة في ذيل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لتعلق الفريضة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بإمكان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بالتخيير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الثلاثين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 و الظاهر أنه سهو</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زكاة الأنعام، الحديث الأول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كتب الناسخ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قرض الدود الورقة في هذا المكان، و الظاهر أنّ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حقاق و بنت لبون، و جاءت العبارة في باقي النسخ كما في المتن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التصدق</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يطلبه بدل الفريضتين،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تحقق سبب الفرضين ما يطلبه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الستون و هو سهو و كذا ما سيجي‌ء</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المسألة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أثبتناها هنا كما وردت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في السند إبراهيم بن هاشم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الحاكي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المسألة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في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المسألة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نويت، و الصحيح ما أثبتناه و هو المطابق للمصدر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المحلّي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للأخبار مستفيصة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الأنعام،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الصدقات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يأخذ</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للإجمال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كتاب الزكاة،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الأقرب عندي اعتبار الاسم، فإن بقي عليها اسم السوم وجبت و الا سقطت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يترتب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التملك</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استمرار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ربما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الصدقة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اقتطع من الزرع 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قصل له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الاختلافات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رأسا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خلاف أيضا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الحول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حال عليه الحول و وجبت عليه فيها الزكاة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الميسي و غيره، السيد العاملي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أجذع</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المغرب</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بأخبار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متأخري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التملك</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بحول الحول،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لحمل الحول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بالحقيقة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ذكروا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الكلمة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المسامحة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دورانه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الحديث الأول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الأول، و الحديث منقول بالمعنى، 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 أو دينارين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النسخ</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الحديث الأول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الآخر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يطلقون أسماء</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يتحقق الشهر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أوقات الزكاة،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المرور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لما قام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القطعي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حكاه في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الحديث الأوّل،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تلزمه الزكاة في كل سنة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 في 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الحديث الأول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لسنته من الزكاة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بقائهما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الزكاة على المال حتى يحول عليه الحول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الزكاة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الزكاة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يسقط،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تسقط</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الجمل و السيد المرتضى في جمل العلم و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فيه الزكاة، و به قال مالك و احمد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المشهور الاتقاء عنه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الحديث الأول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المسألة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ولدت أحد و ثلاثون عشرا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يحمل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الحديث الأول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لأحدها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يستقبل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زكاتها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نصابا أصلا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الحديث الأول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 بتمامها في 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يكون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 و الظاهر أنه سهو، و يؤيده ما في المصدر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الحديث الأول،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ذيل الحديث الأول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انظر أيضا ذيل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و 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لصحيحة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الحديث الأول، مع اختلاف يسير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أيضا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ذلك في كتابيه و لا على من نقله عنه، و 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المستند ففيه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الحق الاجتزاء بها في الأنعام أيضا وفاقا للشيخ و ابن زهرة و السيد و الحلي و الفاضلين و الشهيدين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ذلك في تلك الأوراق و لعله قدّس سرّه كتبه في غيرها، أو كتبه فيها و تلفت، فإنها وجدت بعد وفاته متفرقة فجمعت و رتبت بهذا الترتيب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الأرحام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الدراهم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المنجبرة و لعله من سهو القلم، و مقصوده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يشتري</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وليّ العام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الحديث الأول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 السابقة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في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الإبراء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الإبراء أيضا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بالبدل إلى أن يتحقق المبدل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على أصل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النووي في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انظر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منقولة بالمعنى</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لشاة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العفو</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غنمها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أدنى ما يجزي من أسنان الغنم في الهدي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منها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حكمها الخارج</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لإرادة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انقطع</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 فقضية الأصل لا بد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الأشهر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و راجع صدر المسألة في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المشهور ان الجذع من الضأن هو ما كمل له سبعة أشهر، كما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لعل التسعة تصحيف للسبعة، فإنه سيأتي من المصنف قدّس سرّه التصريح بذلك في الصفحة التالية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محشي الروضة انه لا يعرف قولا غيره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المنجبر بما عرفت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الزكاة،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مدفوعة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المأخوذ من الضأن الجذع و من المعز الثني، و لا يلزم فوق الثني بدليل الإجماع المشار إليه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المعز الذي قد تمت له سنة و دخل في الثانية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ستجي‌ء في الصفحة التالية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يفسره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أكثر أهل اللغة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الشيخ قدّس سرّه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العلامة قدّس سرّه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المحكي عن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ابن الأعرابي في الجذع من الضأن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بين الشابّين أجذع لستة أشهر إلى سبعة أشهر، و ان كان بين هرمين أجذع لثمانية أشهر إلى عشرة أشهر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قريب منه ما في 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النووي في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النسائي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 البيهقي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بين المعقوفتين بياض في النسخ، و ما أثبتناه من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لصحيحة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النقط بياض بمقدار كلمة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كالأخذ في عدها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الأصناف التي تجب عليها الزكاة، الحديث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يجي‌ء في الصفحة التالية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 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الصفحة السابقة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لاثنين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كلّ خمسين حقة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شطب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صح سندها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لم نعثر عليه في الوسيلة، و في مفتاح الكرامة بعد نقل المحكي عن البيان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لعلّه في الواسطة إذ ليس لذلك في الوسيلة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فيتجه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موثقة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اللّٰه تبارك و تعالى أشرك بين الأغنياء و الفقراء في الأموال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التصدق</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أتيت ماله فلا تدخله إلّا بإذنه فإنّ أكثره له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من النصاب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 و غيره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الأرطال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 و غيره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و 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المال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هذا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و من لا تجب عليه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دل على تعجيل الزكاة و غير ذلك</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المراد منها الحسنة المتقدمة في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و يؤيد ذلك تعبير المؤلف عنها بالصحيحة في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فيؤخذ</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البائع أيضا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حقيقية انظر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العامين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ظاهرهم،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ظاهر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تمام الرواية في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تمامه في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في هذا الكتاب، نعم ذكرها في شرح الإرشاد، ذيل مبحث الاتجار بمال الطفل، و الرواية مذكورة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 الحديث الأول</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تملّكهم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تصريح</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الأوّل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المزكّي</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نصاب</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فيما له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عليهم السلام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بتقسيم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الأول، و قد تقدمت الإشارة إليها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مصداق واحد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البعض و أخذ التالف</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يخصّ من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حكاه عنه في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زكاة الغلّات،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وسقا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زكاة الغلّات، الحديث الأول</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الحديث الأول،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خرص</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محل بياض كثير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للمشهور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الخرص حين يبدو صلاح الثمرة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 الجائحة هي الآفة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محل بياض كثير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مذهب علمائنا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فقهاؤنا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كتاب الزكاة،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فتاجرته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الحديث الأول</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الحديث الأول</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 بذلك</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ما يأخذه المخالف هل يحسب من الزكاة أم لا؟ قولان، ظاهر الاخبار الكثيرة بل صريح بعضها الاحتساب،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أوجب في بعضها الإخفاء عنه مهما أمكن، و يؤيدها ما دل على جواز الشراء من العامل و المتصدق إبل الصدقة و غيرها، و المقاسمة باسم الخراج، الظاهر انه لا إشكال في عدم اجزائه عن الزكاة و في المعتبر و عن التذكرة، و دعوى اتفاق الإمامية، و يدل عليه الاخبار المستفيضة في انّ على المتقبلين سوى قبالة الأرض العشر و نصف، و يدل عليه فحوى عدم احتساب ما يأخذه باسم الزكاة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اما ما أخذه باسم، و لم ينسب الخلاف في المعتبر الا الى أبي حنيفة، و لعل الأخبار الكثيرة الواردة بالإجزاء، واردة تقية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بعض الاخبار 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أخر ما ورد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شطب على ما جعلناه بين المعقوفتين و كتب في الهامش عبارتان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أوجب في بعضها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الثانية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باسم الخراج و المقاسمة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بعض الاختلافات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سيجي‌ء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يأخذه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ما 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كتب بعد إيراده العبارتين في الهامش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لعدم ارتباط الحاشية بالمتن ارتباطا تاما كتبنا المتن و الحاشية على نحو ما كتبه الشيخ المرحوم بخطه الشريف و محونا ما كتب الكاتب من الحاشية في المتن، و الناظر يرى التهافت فيهما فله التأمل و التطبيق بمقتضى فهمه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راجع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فيهما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ما يأخذه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 ينسب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صريح بعضها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 الأول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الإجماع من فقهاء الإمامية و الأخبار المتواترة عن أئمة الهدى دلت على جواز أخذ أهل الحق لها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قاطعة اللجاج الإجماع مكررا على ذلك</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و المساقاة،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الصدوق، و راجع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 الأول و غيره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 الأول و غيره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اعترف بأنه لا دليل على استثناء المؤن سوى الشهرة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يظهر منه في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خلافه هذا و قد جمع بين الكلامين السيد العاملي قدّس سرّه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صاحب المدارك في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انظر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كفاية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للعمومات،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لإطلاقات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زكاة الغلات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غيرهما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زكاة الغلات</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الحديث الأول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الزراع</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المئونة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الرضوي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فيهما على ما يدل على ذلك، و 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سيجي‌ء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عنه في عداد المنقول عنهم هنا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 انظر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على المطلوب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المئونة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إليها في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زكاة الغلات،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المعافارة، و أم جعرور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ضربان رديئان من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تعرض عامل الصدقة لهما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زكاة الغلات</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منفيا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زكاة الغلات،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تقدمت الإشارة إليها في الصفحة السابقة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تخصيصهما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في الحائط</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الى الامام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لم يظهر من كلامه أقوال ثلاثة، نعم ذكرها صاحبي المدارك و الجواهر راجع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النصاب</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ز</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زكاة الغلات،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المنقول عن البيان لا يرتبط بالمقام كما ترى، و هو انسب بما تقدم في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 النهر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فقهاء الإسلام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وردت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المخالفة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الحديث الأول</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نفقة، و لم ترد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تسقى</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الرياض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النراقي في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لو سلم انصراف الإطلاق إليه محل تأمل</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الحديث الأول</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في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الشهيد في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ليقصد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فيه الزكاة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مال عملت به فعليك فيه الزكاة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تبين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مختصة الموارد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الحديث الأول</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مسلم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عملت</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وهبته،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لمثمنه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أزيد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بقاءه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للعقد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حلول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تنظّر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متفرع</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الحديث الأول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ملكت</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و ما أثبتناه هو الصحيح</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 ظاهرهما في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اختصاص</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 مال التجارة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النراقي في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متصور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قيمة مال</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الحديث الأول</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التجارة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يتعلق بالمندوبة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غيره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لملاحظة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لكن الظاهر انه مشطوب على الواو</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التقويم</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في الدروس</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الحول، و هذه العبارة 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محلها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الناسخ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نسخة الأصل بمقدار البياض</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الناسخ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اشترى بدراهم و باعها بعد الحول بدنانير قوّمت السلعة بدراهم، و لو باعها قبل الحول قوّمت الدنانير دراهم عند الحول</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يقوم بمال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مال</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بالدراهم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 و الظاهر انه سهو</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تحتاج بعد</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 إذا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عليه الحول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ملكه بعقد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يحتاج</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راجع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المعقوفتين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فالاكتفاء به بحصوله في نيّة الاكتساب به بنية الاكتساب</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ينفي</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بمقدار كلمة، و 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الإنضاض</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القيمة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فينعدم أيضا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الزكاة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في وقاية بالفعل، و 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وقاية الفعل</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ظ</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من لا يملك شيئا يعتدّ به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 اشارة السبق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فيما بأيدينا من الكتب على عين التعبير، نعم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المسكين من لا شي‌ء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المسكين أسوأ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 انظر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نعم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ريب في كونه المعروف بين أهل اللغة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مذل</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المصرح به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منهما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أوصى للفقراء دخل فيهم المساكين و بالعكس على اشكال</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أصحابنا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بمجرد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الحديث الأول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يكفيه،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بمفهومه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روايتان بهذا المضمون عن أبي جعفر و عن الصادق عليهما السلام و ليس في إسنادهما إبراهيم بن هاشم، و 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المتكفف</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للمستفيضة بدل للأخبار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 و ما أثبتناه من المصدر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يحل له أن يأخذ الزكاة،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اللكوك، جمع لك و هي كلمة هندية، و تطلق على مرتبة من مراتب الأعداد، تساوي مائة ألف، استعملت قديما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المعجم الاقتصادي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المسألة الثالثة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قسمة الصدقات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قسمة الصدقات،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الشتاء</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المستحقين للزكاة، الحديث الأول</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الكاشاني قدّس سرّه 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 القمي قدّس سرّه في الغنائم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الكسب</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وجوب</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بالحرمة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دليلها</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اقتضاها السياق</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بذي</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الصنعة و البضاعة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 الأول</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بعينه، نعم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المتعة،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فقدت</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و ما يتبعها،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المستحقين للزكاة،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و ما تستحب فيه، الحديث الأول و له تتمة فراجع</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بأنه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له أصل</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يلتزم</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يخيّل</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إقباضه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تتمة الحديث في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الحديث الأول مع اختلاف يسير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المترفع</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ادعى فيه عدم الخلاف</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يأخذه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التمليك</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لم يلتفت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يلتفت</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عهدة الزكاة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بياض بقدر سطر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ظهور غنى الفقير الذي أخذ الزكاة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كونه زكاة و على الآخذ بعنوان انه فقير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مقيدا</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المتيقن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حكاه عنه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يجزي</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لا تعطى غير أهل الولاية،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لمستحق الزكاة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الصفحة السابقة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حسنة حريز المتقدمة في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في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و الكلمة 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موضوعات الشبهة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الثاني في 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الاشتراك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الإخراج</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اعطى على من هو ظاهره العدالة</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لو</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الألفاظ</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هنا أوراق</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القمي في الغنائم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حملهما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كونهما</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المتفق عليها على الظاهر</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 و الآية 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يقوى عندي أنّه لا يسترجع لأنه لا دليل عليه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 باختلاف يسير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الجواهر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الآتية</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 الآتية</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فميراثه لأرباب</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منقولة بالمعنى</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هي موثقة أيوب 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أديم بن الحر</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السهمين</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لتفصيل الأقوال انظر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المحكي</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المجامع</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المقسط</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يعجز عن تحصيله عنه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المستحقين للزكاة،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بعينه، نعم المحكي في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عن جماعة باعتبار عدم التمكن من القضاء، و نقل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على اعتبار الفقر فيه</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حكاه عنه صاحب الجواهر قدّس سرّه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المصرف</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للعزم</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 أيضا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السرائر، و في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ابن إدريس وجوب الأداء من ماله ثم أخذ الزكاة، لأنّه غنيّ، و الزكاة لا يجوز للغني</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بالميسرة،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الميسرة</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الزمان</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المستحقين للزكاة،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المستحقين للزكاة،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تمامه في الصفحة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الصفحة السابقة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سقوط أوراق</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من حكى ذلك عنه، و ظاهر المنقول عنه في المختلف خلافه، راجع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قسمة الصدقات،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 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العلمين، و لم نعلم المراد بهما، و اما العليين 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بن الحسين الكركي و الشيخ علي بن عبد العالي الفاضل الميسي، اما الأول فقد صرح بذلك في 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اما الثاني فلم نقف على من نقل عنه ذلك</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جمهور المتأخرين</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المتأخرين</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قسمة الصدقات،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يتقوون، 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يتقوون به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المستحقين للزكاة،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أبواب المستحقين للزكاة، الحديث الأول</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ورد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ان يراد بالقربة ما لا يكون مئونة لغني</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الأوصاف</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إطلاقات سبيل اللّٰه،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إطلاقات في سبيل اللّٰه</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تجب فيه الزكاة و ما تستحب،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 بالفقراء</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العبارات التي تلي هذه الكلمة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مضطربة في النسخ، و ما أثبتناه هنا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بعموم أدلة سبيل اللّٰه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حرمتها</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للمباشر</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المؤلفة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أدلّة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فإعطاء الغني ليصرفه في سبيل اللّٰه من هذا القبيل، هذا مع إمكان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العبارة</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ابن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الشارحتين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بدله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فإعطاء الغني ليصرفه في سبيل اللّٰه من هذا القبيل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وردت هذه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أدلّة سبيل اللّٰه</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جميع 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من خصوص الثلث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مئونة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صرفه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الزكاة</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 ما أثبتناه من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في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الغرية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سقي الماء</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صدرت</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الخارج</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عدم جواز دفعها الى غير المؤمن مطلقا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جدي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 عليه السلام</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الحديث الأول</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الأبواب</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بأبيه ظ</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 مع اختلاف</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اما السيد المرتضى فقد اشترط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الفسق كما سيجي‌ء النقل عنه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زهرة في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 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انفردت به الإمامية القول بأن الزكاة لا تخرج الى الفساق</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قسمة الصدقات،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المتقدم</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الصدوقين و سلار، و في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 و 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قسمة الصدقات،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الأول</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يتولونك</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الضرورة</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قسمة الخمس،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تجب فيه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 الأول</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المستحقين للزكاة،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الصرمي</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يرتكبها</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ابن زهرة في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الصدوقان و سلار، راجع الصفحة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المعصية</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عدم</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تجب فيه الزكاة،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و كذا فيما يأتي بعده من ضمائر التثنية</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زكاته</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وجدان</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استثنى غير واحد</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بالزكاة</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أمهما</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حكاهما في الغنائم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يسقط</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نفقته</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مئونته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لاعتباره</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لأدائهم</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المعتبر</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صرح غير واحد باعتبار الحرية في المستحق</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الحديث الأول</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 مع اختلاف في بعض الألفاظ</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التملك</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امتناع</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يعطى</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كتاب قسمة الصدقات،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الفي‌ء و قسمة الغنائم،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قسمة الخمس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المطلقة</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المنذورة</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الظاهر إجماعا</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 و انظر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المكملة</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يعطى التتمة لا غير</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حاشيته على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في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العبارة لا تخلو عن اضطراب، و احتمال السقط فيها غير بعيد</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يكتفي به</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غيرها</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الحال</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المكملة،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التكملة</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بليلته</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تحريم</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لعلّها مصحّفة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قسمة الخمس،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فيما بأيدينا من كتب الأخبار، نعم نقله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عليه المحقق بعدم العثور عليه في كتب الأخبار</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الصدقة الواجبة على الناس لا تحل لنا، فأما غير ذلك فليس به بأس</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الصدقة</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الموصى</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الموصى</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أقربه</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الموصى</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الموصى</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صريحا، نعم يستفاد من عموم كلامه في 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انظر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يستفاد من عموم كلامه رحمه اللّٰه فيهما أيضا</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يكون</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هذه العبارة من الاغتشاش و تكرر المطلب، و الظاهر ان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وجه المعونة و سدّ 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معروف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سبيل سدّ الخلّة و مساعدة الضعيف عليها للأجر لا ما جرت الى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لمحرره علي</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السبايا</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أبواب المستحقين للزكاة</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الصدقات</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من طرق الخاصة، نعم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عمر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إلى السلطان الزكاة و الجمعة و الفي‌ء و الحدود</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طاعة الأئمة</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 الأول</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 يجوز</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الدفع</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الآمر</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موجها</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شرح الإرشاد، راجع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ثبت و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الثابت</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الإجزاء السليم</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الخلاف و الشرائع و الإرشاد و التذكرة و البيان</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الشخصين</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لا على من نقله</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بلدها</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التمكن</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يتفرعون</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ما في التذكرة و الخلاف صريح في الاتّفاق على المنع، فيكون المعنى</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الوجوب</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سلطان العلماء على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عدم الجواز عقلا لإفضائه إلى الضمان</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بعض الفحول ظاهرا</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أمر بدفعه إليه</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ليصرفها</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قسمها</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المصرف</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المنفي</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حقيقته</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إليهم</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الغنائم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تأخيره</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منه</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تبعية</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 الأول</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ضعيفة عندنا</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الفضولية</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تقييد</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إخراجها</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الوضيعة</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يؤيدهما</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 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الذخيرة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المستحقين للزكاة،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الصَّدَقٰاتُ لِلْفُقَرٰاءِ وَ الْمَسٰاكِينِ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تفرع</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تجب فيه الزكاة،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تسويغ ان التأخير</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يتجوز</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تجب فيه الزكاة،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تجب فيه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ادّعاء الإجماع</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وجه</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لكن في سائر النسخ و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تصلي </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تصلي</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 على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 الأول</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المقدمة الاولى</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مطابقته</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شرطا،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شروطا، و الصحيح ما أثبتناه</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حكاه عنه في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الشرائط</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صفة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حقه</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هذه العبائر كان مخطوطا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كتبناها لعدم الارتباط لولاها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فتكون 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تعجيل الزكاة انّما يتحقق إذا ثبت في علم اللّٰه زكاة على المكلف في ذلك الحول باستجماع 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مثل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 باجتماع شروطه</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هذا المسألة و ما بعدها الى بحث زكاة الفطرة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كاتب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إيراد المسألتين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آخر ما كتب في زكاة الأنعام و الغلات و النقدين و قد وجدت تلك المسائل مكتوبة في كتاب الصوم و أفرزتها منها و ألحقتها بالزكاة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ذكرتا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زكاة الفطرة، و لم يتعرض لهما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و استظهر الناسخ كون الساقط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تصدّق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فكتبه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المنذور</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بمجموع</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المال</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للمستحقين</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كالزكاة</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 المبتوتة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المقطوعة عن مال صاحبها لا رجعة له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بتت</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الهبات،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بأدلته</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الزكاة حتى يتعلق في المعيّن</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المستحقين للزكاة، الحديث الأول</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المتصدّق</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الصفحة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الرواية الثانية المتقدمة في الصفحة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شموله</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باعه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عموما فلو باعه</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فيبطل</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إيصال</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بيعه</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غايته</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مظانه</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مظانه</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الأفعال</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هذه المسائل</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القمصة</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تركها</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زكاة الفطرة،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الكتاب فقوله تعالى قَدْ أَفْلَحَ مَنْ تَزَكّٰى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أما السنة فما في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زكاة الفطرة، و اما الإجماع فما ورد في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لأجل</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في</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الحديث الأول</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 في صدر الرسالة في المقصد الأول في شرائط الوجوب</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نسبه في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جملة من المتأخرين</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ما غلب اللّٰه عليه </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الساهي</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كالنوم المستوعب</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 الأول</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للمطلوب</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المشهور</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أجنبيين</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أجنبي</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الشخصية</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بملك</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زكاة الفطرة، المسألة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المستحقين للزكاة،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استجماع الشرائط</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كفيته معاشه</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زكاته</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الفطرة، فعليه ذلك</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ربما نسب الى المشهور</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فيه الصغيرة</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الاخبار بقوله في مقام</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لعيلولة</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الذي وقفنا عليه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15902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ثني في 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أيضا في الصفحة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حكمها</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لغده</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الحديث الأول</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بإدراك</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النائم و الساهي</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تقدمتا في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فاسدة</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يتنبّه</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زكاة الفطرة،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زكاة الفطرة، المسائل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تقدمتا في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الأصحاب حصروه في السبعة</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و جماعة</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الحديث الأول</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يبعد</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الحاكي عنه، و الموجود في كشف الغطاء هو جعل المدار القوت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متمسكا</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في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إلى الأكثر</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زكاة الفطر، المسألة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لسقوط</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الضعيفين</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الفطر</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الصفحة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صلبها</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وجوب</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باجتماع</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و أوردها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بوجوبها</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 واجبة على كل من يعول</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قدّس سرّه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انظر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المأتي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 في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 في الصفحة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الحديث الأول</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الحديث الأول</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الصفحة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لفقد</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لوجوبه</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عنها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زكاة الفطرة، ذيل المسألة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ولد له قبل الزوال يخرج عنه الفطرة و كذلك من أسلم قبل الزوال</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إعطاء</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الحديث الأول</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يتفرع</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الأول، و تقدمت في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2080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تقدمت في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تقدمت في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تقدمت في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الحريث</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و في الهامش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القوت</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زكاة الفطرة،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للمطلق</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للمقيّد</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451</Pages>
  <Words>102320</Words>
  <Characters>410704</Characters>
  <CharactersWithSpaces>510519</CharactersWithSpaces>
  <Paragraphs>5324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2026-08-26T01:22:55Z</dcterms:created>
  <dc:creator>ghaemiyeh.com</dc:creator>
  <dc:description/>
  <dc:language>en-US</dc:language>
  <cp:lastModifiedBy/>
  <dcterms:modified xsi:type="dcterms:W3CDTF">2026-08-26T04:53:39Z</dcterms:modified>
  <cp:revision>1</cp:revision>
  <dc:subject/>
  <dc:title>کتاب الزکاة</dc:title>
</cp:coreProperties>
</file>

<file path=docProps/custom.xml><?xml version="1.0" encoding="utf-8"?>
<Properties xmlns="http://schemas.openxmlformats.org/officeDocument/2006/custom-properties" xmlns:vt="http://schemas.openxmlformats.org/officeDocument/2006/docPropsVTypes"/>
</file>