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الروضه البهیه فی شرح اللمعه الدمشقیه الطبعه الحدیثه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2756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92758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92760_2314609296">
            <w:r>
              <w:rPr>
                <w:webHidden/>
                <w:rStyle w:val="IndexLink"/>
                <w:rtl w:val="true"/>
              </w:rPr>
              <w:t>کتاب الجهاد</w:t>
            </w:r>
            <w:r>
              <w:rPr>
                <w:rStyle w:val="IndexLink"/>
                <w:rtl w:val="true"/>
              </w:rPr>
              <w:tab/>
            </w:r>
            <w:r>
              <w:rPr>
                <w:rStyle w:val="IndexLink"/>
              </w:rPr>
              <w:t>10</w:t>
            </w:r>
          </w:hyperlink>
        </w:p>
        <w:p>
          <w:pPr>
            <w:pStyle w:val="Contents3"/>
            <w:tabs>
              <w:tab w:val="clear" w:pos="8459"/>
              <w:tab w:val="right" w:pos="9026" w:leader="dot"/>
            </w:tabs>
            <w:rPr/>
          </w:pPr>
          <w:hyperlink w:anchor="__RefHeading___Toc2092762_2314609296">
            <w:r>
              <w:rPr>
                <w:webHidden/>
                <w:rStyle w:val="IndexLink"/>
                <w:rtl w:val="true"/>
              </w:rPr>
              <w:t>[</w:t>
            </w:r>
            <w:r>
              <w:rPr>
                <w:rStyle w:val="IndexLink"/>
                <w:rtl w:val="true"/>
              </w:rPr>
              <w:t>اقسام الجهاد</w:t>
            </w:r>
            <w:r>
              <w:rPr>
                <w:rStyle w:val="IndexLink"/>
                <w:rtl w:val="true"/>
              </w:rPr>
              <w:t>]</w:t>
              <w:tab/>
            </w:r>
            <w:r>
              <w:rPr>
                <w:rStyle w:val="IndexLink"/>
              </w:rPr>
              <w:t>10</w:t>
            </w:r>
          </w:hyperlink>
        </w:p>
        <w:p>
          <w:pPr>
            <w:pStyle w:val="Contents3"/>
            <w:tabs>
              <w:tab w:val="clear" w:pos="8459"/>
              <w:tab w:val="right" w:pos="9026" w:leader="dot"/>
            </w:tabs>
            <w:rPr/>
          </w:pPr>
          <w:hyperlink w:anchor="__RefHeading___Toc2092764_2314609296">
            <w:r>
              <w:rPr>
                <w:webHidden/>
                <w:rStyle w:val="IndexLink"/>
                <w:rtl w:val="true"/>
              </w:rPr>
              <w:t>[</w:t>
            </w:r>
            <w:r>
              <w:rPr>
                <w:rStyle w:val="IndexLink"/>
                <w:rtl w:val="true"/>
              </w:rPr>
              <w:t xml:space="preserve">شروط وجوبه </w:t>
            </w:r>
            <w:r>
              <w:rPr>
                <w:rStyle w:val="IndexLink"/>
                <w:rtl w:val="true"/>
              </w:rPr>
              <w:t>]</w:t>
              <w:tab/>
            </w:r>
            <w:r>
              <w:rPr>
                <w:rStyle w:val="IndexLink"/>
              </w:rPr>
              <w:t>11</w:t>
            </w:r>
          </w:hyperlink>
        </w:p>
        <w:p>
          <w:pPr>
            <w:pStyle w:val="Contents3"/>
            <w:tabs>
              <w:tab w:val="clear" w:pos="8459"/>
              <w:tab w:val="right" w:pos="9026" w:leader="dot"/>
            </w:tabs>
            <w:rPr/>
          </w:pPr>
          <w:hyperlink w:anchor="__RefHeading___Toc2092766_2314609296">
            <w:r>
              <w:rPr>
                <w:webHidden/>
                <w:rStyle w:val="IndexLink"/>
                <w:rtl w:val="true"/>
              </w:rPr>
              <w:t>«</w:t>
            </w:r>
            <w:r>
              <w:rPr>
                <w:rStyle w:val="IndexLink"/>
                <w:rtl w:val="true"/>
              </w:rPr>
              <w:t>وهنا فصول</w:t>
            </w:r>
            <w:r>
              <w:rPr>
                <w:rStyle w:val="IndexLink"/>
                <w:rtl w:val="true"/>
              </w:rPr>
              <w:t>» :</w:t>
              <w:tab/>
            </w:r>
            <w:r>
              <w:rPr>
                <w:rStyle w:val="IndexLink"/>
              </w:rPr>
              <w:t>15</w:t>
            </w:r>
          </w:hyperlink>
        </w:p>
        <w:p>
          <w:pPr>
            <w:pStyle w:val="Contents4"/>
            <w:tabs>
              <w:tab w:val="clear" w:pos="8176"/>
              <w:tab w:val="right" w:pos="9026" w:leader="dot"/>
            </w:tabs>
            <w:rPr/>
          </w:pPr>
          <w:hyperlink w:anchor="__RefHeading___Toc2092768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xml:space="preserve">» </w:t>
            </w:r>
            <w:r>
              <w:rPr>
                <w:rStyle w:val="IndexLink"/>
                <w:rtl w:val="true"/>
              </w:rPr>
              <w:t>فیمن یجب قتاله وکیفیّة القتال، وأحکام الذمّة</w:t>
            </w:r>
            <w:r>
              <w:rPr>
                <w:rStyle w:val="IndexLink"/>
                <w:rtl w:val="true"/>
              </w:rPr>
              <w:tab/>
            </w:r>
            <w:r>
              <w:rPr>
                <w:rStyle w:val="IndexLink"/>
              </w:rPr>
              <w:t>15</w:t>
            </w:r>
          </w:hyperlink>
        </w:p>
        <w:p>
          <w:pPr>
            <w:pStyle w:val="Contents4"/>
            <w:tabs>
              <w:tab w:val="clear" w:pos="8176"/>
              <w:tab w:val="right" w:pos="9026" w:leader="dot"/>
            </w:tabs>
            <w:rPr/>
          </w:pPr>
          <w:hyperlink w:anchor="__RefHeading___Toc2092770_2314609296">
            <w:r>
              <w:rPr>
                <w:webHidden/>
                <w:rStyle w:val="IndexLink"/>
                <w:rtl w:val="true"/>
              </w:rPr>
              <w:t>«</w:t>
            </w:r>
            <w:r>
              <w:rPr>
                <w:rStyle w:val="IndexLink"/>
                <w:rtl w:val="true"/>
              </w:rPr>
              <w:t>الفصل الثانی</w:t>
            </w:r>
            <w:r>
              <w:rPr>
                <w:rStyle w:val="IndexLink"/>
                <w:rtl w:val="true"/>
              </w:rPr>
              <w:t>» «</w:t>
            </w:r>
            <w:r>
              <w:rPr>
                <w:rStyle w:val="IndexLink"/>
                <w:rtl w:val="true"/>
              </w:rPr>
              <w:t>فی ترک القتال</w:t>
            </w:r>
            <w:r>
              <w:rPr>
                <w:rStyle w:val="IndexLink"/>
                <w:rtl w:val="true"/>
              </w:rPr>
              <w:t>»</w:t>
              <w:tab/>
            </w:r>
            <w:r>
              <w:rPr>
                <w:rStyle w:val="IndexLink"/>
              </w:rPr>
              <w:t>21</w:t>
            </w:r>
          </w:hyperlink>
        </w:p>
        <w:p>
          <w:pPr>
            <w:pStyle w:val="Contents4"/>
            <w:tabs>
              <w:tab w:val="clear" w:pos="8176"/>
              <w:tab w:val="right" w:pos="9026" w:leader="dot"/>
            </w:tabs>
            <w:rPr/>
          </w:pPr>
          <w:hyperlink w:anchor="__RefHeading___Toc2092772_2314609296">
            <w:r>
              <w:rPr>
                <w:webHidden/>
                <w:rStyle w:val="IndexLink"/>
                <w:rtl w:val="true"/>
              </w:rPr>
              <w:t>«</w:t>
            </w:r>
            <w:r>
              <w:rPr>
                <w:rStyle w:val="IndexLink"/>
                <w:rtl w:val="true"/>
              </w:rPr>
              <w:t>الفصل الثالث</w:t>
            </w:r>
            <w:r>
              <w:rPr>
                <w:rStyle w:val="IndexLink"/>
                <w:rtl w:val="true"/>
              </w:rPr>
              <w:t>» «</w:t>
            </w:r>
            <w:r>
              <w:rPr>
                <w:rStyle w:val="IndexLink"/>
                <w:rtl w:val="true"/>
              </w:rPr>
              <w:t>فی الغنیمة</w:t>
            </w:r>
            <w:r>
              <w:rPr>
                <w:rStyle w:val="IndexLink"/>
                <w:rtl w:val="true"/>
              </w:rPr>
              <w:t>»</w:t>
              <w:tab/>
            </w:r>
            <w:r>
              <w:rPr>
                <w:rStyle w:val="IndexLink"/>
              </w:rPr>
              <w:t>24</w:t>
            </w:r>
          </w:hyperlink>
        </w:p>
        <w:p>
          <w:pPr>
            <w:pStyle w:val="Contents4"/>
            <w:tabs>
              <w:tab w:val="clear" w:pos="8176"/>
              <w:tab w:val="right" w:pos="9026" w:leader="dot"/>
            </w:tabs>
            <w:rPr/>
          </w:pPr>
          <w:hyperlink w:anchor="__RefHeading___Toc2092774_2314609296">
            <w:r>
              <w:rPr>
                <w:webHidden/>
                <w:rStyle w:val="IndexLink"/>
                <w:rtl w:val="true"/>
              </w:rPr>
              <w:t>«</w:t>
            </w:r>
            <w:r>
              <w:rPr>
                <w:rStyle w:val="IndexLink"/>
                <w:rtl w:val="true"/>
              </w:rPr>
              <w:t>الفصل الرابع</w:t>
            </w:r>
            <w:r>
              <w:rPr>
                <w:rStyle w:val="IndexLink"/>
                <w:rtl w:val="true"/>
              </w:rPr>
              <w:t>» «</w:t>
            </w:r>
            <w:r>
              <w:rPr>
                <w:rStyle w:val="IndexLink"/>
                <w:rtl w:val="true"/>
              </w:rPr>
              <w:t>فی أحکام البغاة</w:t>
            </w:r>
            <w:r>
              <w:rPr>
                <w:rStyle w:val="IndexLink"/>
                <w:rtl w:val="true"/>
              </w:rPr>
              <w:t>»</w:t>
              <w:tab/>
            </w:r>
            <w:r>
              <w:rPr>
                <w:rStyle w:val="IndexLink"/>
              </w:rPr>
              <w:t>29</w:t>
            </w:r>
          </w:hyperlink>
        </w:p>
        <w:p>
          <w:pPr>
            <w:pStyle w:val="Contents4"/>
            <w:tabs>
              <w:tab w:val="clear" w:pos="8176"/>
              <w:tab w:val="right" w:pos="9026" w:leader="dot"/>
            </w:tabs>
            <w:rPr/>
          </w:pPr>
          <w:hyperlink w:anchor="__RefHeading___Toc2092776_2314609296">
            <w:r>
              <w:rPr>
                <w:webHidden/>
                <w:rStyle w:val="IndexLink"/>
                <w:rtl w:val="true"/>
              </w:rPr>
              <w:t>«</w:t>
            </w:r>
            <w:r>
              <w:rPr>
                <w:rStyle w:val="IndexLink"/>
                <w:rtl w:val="true"/>
              </w:rPr>
              <w:t>الفصل الخامس</w:t>
            </w:r>
            <w:r>
              <w:rPr>
                <w:rStyle w:val="IndexLink"/>
                <w:rtl w:val="true"/>
              </w:rPr>
              <w:t>» «</w:t>
            </w:r>
            <w:r>
              <w:rPr>
                <w:rStyle w:val="IndexLink"/>
                <w:rtl w:val="true"/>
              </w:rPr>
              <w:t>فی الأمر بالمعروف</w:t>
            </w:r>
            <w:r>
              <w:rPr>
                <w:rStyle w:val="IndexLink"/>
                <w:rtl w:val="true"/>
              </w:rPr>
              <w:t>»</w:t>
              <w:tab/>
            </w:r>
            <w:r>
              <w:rPr>
                <w:rStyle w:val="IndexLink"/>
              </w:rPr>
              <w:t>31</w:t>
            </w:r>
          </w:hyperlink>
        </w:p>
        <w:p>
          <w:pPr>
            <w:pStyle w:val="Contents5"/>
            <w:tabs>
              <w:tab w:val="clear" w:pos="7892"/>
              <w:tab w:val="right" w:pos="9026" w:leader="dot"/>
            </w:tabs>
            <w:rPr/>
          </w:pPr>
          <w:hyperlink w:anchor="__RefHeading___Toc2092778_2314609296">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2092780_2314609296">
            <w:r>
              <w:rPr>
                <w:webHidden/>
                <w:rStyle w:val="IndexLink"/>
                <w:rtl w:val="true"/>
              </w:rPr>
              <w:t>[</w:t>
            </w:r>
            <w:r>
              <w:rPr>
                <w:rStyle w:val="IndexLink"/>
                <w:rtl w:val="true"/>
              </w:rPr>
              <w:t>شروط وجوبهما</w:t>
            </w:r>
            <w:r>
              <w:rPr>
                <w:rStyle w:val="IndexLink"/>
                <w:rtl w:val="true"/>
              </w:rPr>
              <w:t>]</w:t>
              <w:tab/>
            </w:r>
            <w:r>
              <w:rPr>
                <w:rStyle w:val="IndexLink"/>
              </w:rPr>
              <w:t>33</w:t>
            </w:r>
          </w:hyperlink>
        </w:p>
        <w:p>
          <w:pPr>
            <w:pStyle w:val="Contents5"/>
            <w:tabs>
              <w:tab w:val="clear" w:pos="7892"/>
              <w:tab w:val="right" w:pos="9026" w:leader="dot"/>
            </w:tabs>
            <w:rPr/>
          </w:pPr>
          <w:hyperlink w:anchor="__RefHeading___Toc2092782_2314609296">
            <w:r>
              <w:rPr>
                <w:webHidden/>
                <w:rStyle w:val="IndexLink"/>
                <w:rtl w:val="true"/>
              </w:rPr>
              <w:t>[</w:t>
            </w:r>
            <w:r>
              <w:rPr>
                <w:rStyle w:val="IndexLink"/>
                <w:rtl w:val="true"/>
              </w:rPr>
              <w:t xml:space="preserve">مراتب الانکار </w:t>
            </w:r>
            <w:r>
              <w:rPr>
                <w:rStyle w:val="IndexLink"/>
                <w:rtl w:val="true"/>
              </w:rPr>
              <w:t>]</w:t>
              <w:tab/>
            </w:r>
            <w:r>
              <w:rPr>
                <w:rStyle w:val="IndexLink"/>
              </w:rPr>
              <w:t>34</w:t>
            </w:r>
          </w:hyperlink>
        </w:p>
        <w:p>
          <w:pPr>
            <w:pStyle w:val="Contents5"/>
            <w:tabs>
              <w:tab w:val="clear" w:pos="7892"/>
              <w:tab w:val="right" w:pos="9026" w:leader="dot"/>
            </w:tabs>
            <w:rPr/>
          </w:pPr>
          <w:hyperlink w:anchor="__RefHeading___Toc2092784_2314609296">
            <w:r>
              <w:rPr>
                <w:webHidden/>
                <w:rStyle w:val="IndexLink"/>
                <w:rtl w:val="true"/>
              </w:rPr>
              <w:t>[</w:t>
            </w:r>
            <w:r>
              <w:rPr>
                <w:rStyle w:val="IndexLink"/>
                <w:rtl w:val="true"/>
              </w:rPr>
              <w:t>حکم اقامة الحدود فی زمن الغیبة</w:t>
            </w:r>
            <w:r>
              <w:rPr>
                <w:rStyle w:val="IndexLink"/>
                <w:rtl w:val="true"/>
              </w:rPr>
              <w:t>]</w:t>
              <w:tab/>
            </w:r>
            <w:r>
              <w:rPr>
                <w:rStyle w:val="IndexLink"/>
              </w:rPr>
              <w:t>35</w:t>
            </w:r>
          </w:hyperlink>
        </w:p>
        <w:p>
          <w:pPr>
            <w:pStyle w:val="Contents2"/>
            <w:tabs>
              <w:tab w:val="clear" w:pos="8743"/>
              <w:tab w:val="right" w:pos="9026" w:leader="dot"/>
            </w:tabs>
            <w:rPr/>
          </w:pPr>
          <w:hyperlink w:anchor="__RefHeading___Toc2092786_2314609296">
            <w:r>
              <w:rPr>
                <w:webHidden/>
                <w:rStyle w:val="IndexLink"/>
                <w:rtl w:val="true"/>
              </w:rPr>
              <w:t>کتاب الکفّارات</w:t>
            </w:r>
            <w:r>
              <w:rPr>
                <w:rStyle w:val="IndexLink"/>
                <w:rtl w:val="true"/>
              </w:rPr>
              <w:tab/>
            </w:r>
            <w:r>
              <w:rPr>
                <w:rStyle w:val="IndexLink"/>
              </w:rPr>
              <w:t>38</w:t>
            </w:r>
          </w:hyperlink>
        </w:p>
        <w:p>
          <w:pPr>
            <w:pStyle w:val="Contents3"/>
            <w:tabs>
              <w:tab w:val="clear" w:pos="8459"/>
              <w:tab w:val="right" w:pos="9026" w:leader="dot"/>
            </w:tabs>
            <w:rPr/>
          </w:pPr>
          <w:hyperlink w:anchor="__RefHeading___Toc2092788_2314609296">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2092790_2314609296">
            <w:r>
              <w:rPr>
                <w:webHidden/>
                <w:rStyle w:val="IndexLink"/>
                <w:rtl w:val="true"/>
              </w:rPr>
              <w:t>[</w:t>
            </w:r>
            <w:r>
              <w:rPr>
                <w:rStyle w:val="IndexLink"/>
                <w:rtl w:val="true"/>
              </w:rPr>
              <w:t>اقسام الکفارات</w:t>
            </w:r>
            <w:r>
              <w:rPr>
                <w:rStyle w:val="IndexLink"/>
                <w:rtl w:val="true"/>
              </w:rPr>
              <w:t>]</w:t>
              <w:tab/>
            </w:r>
            <w:r>
              <w:rPr>
                <w:rStyle w:val="IndexLink"/>
              </w:rPr>
              <w:t>39</w:t>
            </w:r>
          </w:hyperlink>
        </w:p>
        <w:p>
          <w:pPr>
            <w:pStyle w:val="Contents3"/>
            <w:tabs>
              <w:tab w:val="clear" w:pos="8459"/>
              <w:tab w:val="right" w:pos="9026" w:leader="dot"/>
            </w:tabs>
            <w:rPr/>
          </w:pPr>
          <w:hyperlink w:anchor="__RefHeading___Toc2092792_2314609296">
            <w:r>
              <w:rPr>
                <w:webHidden/>
                <w:rStyle w:val="IndexLink"/>
                <w:rtl w:val="true"/>
              </w:rPr>
              <w:t>[</w:t>
            </w:r>
            <w:r>
              <w:rPr>
                <w:rStyle w:val="IndexLink"/>
                <w:rtl w:val="true"/>
              </w:rPr>
              <w:t>انواع اختلف فی کفارتها</w:t>
            </w:r>
            <w:r>
              <w:rPr>
                <w:rStyle w:val="IndexLink"/>
                <w:rtl w:val="true"/>
              </w:rPr>
              <w:t>]</w:t>
              <w:tab/>
            </w:r>
            <w:r>
              <w:rPr>
                <w:rStyle w:val="IndexLink"/>
              </w:rPr>
              <w:t>41</w:t>
            </w:r>
          </w:hyperlink>
        </w:p>
        <w:p>
          <w:pPr>
            <w:pStyle w:val="Contents2"/>
            <w:tabs>
              <w:tab w:val="clear" w:pos="8743"/>
              <w:tab w:val="right" w:pos="9026" w:leader="dot"/>
            </w:tabs>
            <w:rPr/>
          </w:pPr>
          <w:hyperlink w:anchor="__RefHeading___Toc2092794_2314609296">
            <w:r>
              <w:rPr>
                <w:webHidden/>
                <w:rStyle w:val="IndexLink"/>
                <w:rtl w:val="true"/>
              </w:rPr>
              <w:t xml:space="preserve">کتاب النذر </w:t>
            </w:r>
            <w:r>
              <w:rPr>
                <w:rStyle w:val="IndexLink"/>
                <w:rtl w:val="true"/>
              </w:rPr>
              <w:t>«</w:t>
            </w:r>
            <w:r>
              <w:rPr>
                <w:rStyle w:val="IndexLink"/>
                <w:rtl w:val="true"/>
              </w:rPr>
              <w:t>کتاب النذر وتوابعه</w:t>
            </w:r>
            <w:r>
              <w:rPr>
                <w:rStyle w:val="IndexLink"/>
                <w:rtl w:val="true"/>
              </w:rPr>
              <w:t xml:space="preserve">» </w:t>
            </w:r>
            <w:r>
              <w:rPr>
                <w:rStyle w:val="IndexLink"/>
                <w:rtl w:val="true"/>
              </w:rPr>
              <w:t>من العهد والیمین</w:t>
            </w:r>
            <w:r>
              <w:rPr>
                <w:rStyle w:val="IndexLink"/>
                <w:rtl w:val="true"/>
              </w:rPr>
              <w:tab/>
            </w:r>
            <w:r>
              <w:rPr>
                <w:rStyle w:val="IndexLink"/>
              </w:rPr>
              <w:t>53</w:t>
            </w:r>
          </w:hyperlink>
        </w:p>
        <w:p>
          <w:pPr>
            <w:pStyle w:val="Contents3"/>
            <w:tabs>
              <w:tab w:val="clear" w:pos="8459"/>
              <w:tab w:val="right" w:pos="9026" w:leader="dot"/>
            </w:tabs>
            <w:rPr/>
          </w:pPr>
          <w:hyperlink w:anchor="__RefHeading___Toc2092796_2314609296">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2092798_2314609296">
            <w:r>
              <w:rPr>
                <w:webHidden/>
                <w:rStyle w:val="IndexLink"/>
                <w:rtl w:val="true"/>
              </w:rPr>
              <w:t>[«</w:t>
            </w:r>
            <w:r>
              <w:rPr>
                <w:rStyle w:val="IndexLink"/>
                <w:rtl w:val="true"/>
              </w:rPr>
              <w:t>وشرط الناذر</w:t>
            </w:r>
            <w:r>
              <w:rPr>
                <w:rStyle w:val="IndexLink"/>
                <w:rtl w:val="true"/>
              </w:rPr>
              <w:t>:]</w:t>
              <w:tab/>
            </w:r>
            <w:r>
              <w:rPr>
                <w:rStyle w:val="IndexLink"/>
              </w:rPr>
              <w:t>54</w:t>
            </w:r>
          </w:hyperlink>
        </w:p>
        <w:p>
          <w:pPr>
            <w:pStyle w:val="Contents3"/>
            <w:tabs>
              <w:tab w:val="clear" w:pos="8459"/>
              <w:tab w:val="right" w:pos="9026" w:leader="dot"/>
            </w:tabs>
            <w:rPr/>
          </w:pPr>
          <w:hyperlink w:anchor="__RefHeading___Toc2092800_2314609296">
            <w:r>
              <w:rPr>
                <w:webHidden/>
                <w:rStyle w:val="IndexLink"/>
                <w:rtl w:val="true"/>
              </w:rPr>
              <w:t>[</w:t>
            </w:r>
            <w:r>
              <w:rPr>
                <w:rStyle w:val="IndexLink"/>
                <w:rtl w:val="true"/>
              </w:rPr>
              <w:t>صیغة النذر</w:t>
            </w:r>
            <w:r>
              <w:rPr>
                <w:rStyle w:val="IndexLink"/>
                <w:rtl w:val="true"/>
              </w:rPr>
              <w:t>]</w:t>
              <w:tab/>
            </w:r>
            <w:r>
              <w:rPr>
                <w:rStyle w:val="IndexLink"/>
              </w:rPr>
              <w:t>55</w:t>
            </w:r>
          </w:hyperlink>
        </w:p>
        <w:p>
          <w:pPr>
            <w:pStyle w:val="Contents3"/>
            <w:tabs>
              <w:tab w:val="clear" w:pos="8459"/>
              <w:tab w:val="right" w:pos="9026" w:leader="dot"/>
            </w:tabs>
            <w:rPr/>
          </w:pPr>
          <w:hyperlink w:anchor="__RefHeading___Toc2092802_2314609296">
            <w:r>
              <w:rPr>
                <w:webHidden/>
                <w:rStyle w:val="IndexLink"/>
                <w:rtl w:val="true"/>
              </w:rPr>
              <w:t>[</w:t>
            </w:r>
            <w:r>
              <w:rPr>
                <w:rStyle w:val="IndexLink"/>
                <w:rtl w:val="true"/>
              </w:rPr>
              <w:t>ضابط النذر</w:t>
            </w:r>
            <w:r>
              <w:rPr>
                <w:rStyle w:val="IndexLink"/>
                <w:rtl w:val="true"/>
              </w:rPr>
              <w:t>]</w:t>
              <w:tab/>
            </w:r>
            <w:r>
              <w:rPr>
                <w:rStyle w:val="IndexLink"/>
              </w:rPr>
              <w:t>56</w:t>
            </w:r>
          </w:hyperlink>
        </w:p>
        <w:p>
          <w:pPr>
            <w:pStyle w:val="Contents3"/>
            <w:tabs>
              <w:tab w:val="clear" w:pos="8459"/>
              <w:tab w:val="right" w:pos="9026" w:leader="dot"/>
            </w:tabs>
            <w:rPr/>
          </w:pPr>
          <w:hyperlink w:anchor="__RefHeading___Toc2092804_2314609296">
            <w:r>
              <w:rPr>
                <w:webHidden/>
                <w:rStyle w:val="IndexLink"/>
                <w:rtl w:val="true"/>
              </w:rPr>
              <w:t>«</w:t>
            </w:r>
            <w:r>
              <w:rPr>
                <w:rStyle w:val="IndexLink"/>
                <w:rtl w:val="true"/>
              </w:rPr>
              <w:t>والعهد کالنذر</w:t>
            </w:r>
            <w:r>
              <w:rPr>
                <w:rStyle w:val="IndexLink"/>
                <w:rtl w:val="true"/>
              </w:rPr>
              <w:t>»</w:t>
              <w:tab/>
            </w:r>
            <w:r>
              <w:rPr>
                <w:rStyle w:val="IndexLink"/>
              </w:rPr>
              <w:t>59</w:t>
            </w:r>
          </w:hyperlink>
        </w:p>
        <w:p>
          <w:pPr>
            <w:pStyle w:val="Contents3"/>
            <w:tabs>
              <w:tab w:val="clear" w:pos="8459"/>
              <w:tab w:val="right" w:pos="9026" w:leader="dot"/>
            </w:tabs>
            <w:rPr/>
          </w:pPr>
          <w:hyperlink w:anchor="__RefHeading___Toc2092806_2314609296">
            <w:r>
              <w:rPr>
                <w:webHidden/>
                <w:rStyle w:val="IndexLink"/>
                <w:rtl w:val="true"/>
              </w:rPr>
              <w:t>«</w:t>
            </w:r>
            <w:r>
              <w:rPr>
                <w:rStyle w:val="IndexLink"/>
                <w:rtl w:val="true"/>
              </w:rPr>
              <w:t>والیمین هی الحلف باللّٰه</w:t>
            </w:r>
            <w:r>
              <w:rPr>
                <w:rStyle w:val="IndexLink"/>
                <w:rtl w:val="true"/>
              </w:rPr>
              <w:t>»</w:t>
              <w:tab/>
            </w:r>
            <w:r>
              <w:rPr>
                <w:rStyle w:val="IndexLink"/>
              </w:rPr>
              <w:t>60</w:t>
            </w:r>
          </w:hyperlink>
        </w:p>
        <w:p>
          <w:pPr>
            <w:pStyle w:val="Contents2"/>
            <w:tabs>
              <w:tab w:val="clear" w:pos="8743"/>
              <w:tab w:val="right" w:pos="9026" w:leader="dot"/>
            </w:tabs>
            <w:rPr/>
          </w:pPr>
          <w:hyperlink w:anchor="__RefHeading___Toc2092808_2314609296">
            <w:r>
              <w:rPr>
                <w:webHidden/>
                <w:rStyle w:val="IndexLink"/>
                <w:rtl w:val="true"/>
              </w:rPr>
              <w:t>کتاب القضاء</w:t>
            </w:r>
            <w:r>
              <w:rPr>
                <w:rStyle w:val="IndexLink"/>
                <w:rtl w:val="true"/>
              </w:rPr>
              <w:tab/>
            </w:r>
            <w:r>
              <w:rPr>
                <w:rStyle w:val="IndexLink"/>
              </w:rPr>
              <w:t>64</w:t>
            </w:r>
          </w:hyperlink>
        </w:p>
        <w:p>
          <w:pPr>
            <w:pStyle w:val="Contents3"/>
            <w:tabs>
              <w:tab w:val="clear" w:pos="8459"/>
              <w:tab w:val="right" w:pos="9026" w:leader="dot"/>
            </w:tabs>
            <w:rPr/>
          </w:pPr>
          <w:hyperlink w:anchor="__RefHeading___Toc2092810_231460929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092812_2314609296">
            <w:r>
              <w:rPr>
                <w:webHidden/>
                <w:rStyle w:val="IndexLink"/>
                <w:rtl w:val="true"/>
              </w:rPr>
              <w:t>[</w:t>
            </w:r>
            <w:r>
              <w:rPr>
                <w:rStyle w:val="IndexLink"/>
                <w:rtl w:val="true"/>
              </w:rPr>
              <w:t xml:space="preserve">شروطی القاضی </w:t>
            </w:r>
            <w:r>
              <w:rPr>
                <w:rStyle w:val="IndexLink"/>
                <w:rtl w:val="true"/>
              </w:rPr>
              <w:t>]</w:t>
              <w:tab/>
            </w:r>
            <w:r>
              <w:rPr>
                <w:rStyle w:val="IndexLink"/>
              </w:rPr>
              <w:t>65</w:t>
            </w:r>
          </w:hyperlink>
        </w:p>
        <w:p>
          <w:pPr>
            <w:pStyle w:val="Contents3"/>
            <w:tabs>
              <w:tab w:val="clear" w:pos="8459"/>
              <w:tab w:val="right" w:pos="9026" w:leader="dot"/>
            </w:tabs>
            <w:rPr/>
          </w:pPr>
          <w:hyperlink w:anchor="__RefHeading___Toc2092814_2314609296">
            <w:r>
              <w:rPr>
                <w:webHidden/>
                <w:rStyle w:val="IndexLink"/>
                <w:rtl w:val="true"/>
              </w:rPr>
              <w:t>[</w:t>
            </w:r>
            <w:r>
              <w:rPr>
                <w:rStyle w:val="IndexLink"/>
                <w:rtl w:val="true"/>
              </w:rPr>
              <w:t>الکلام فی قاضی التحکیم</w:t>
            </w:r>
            <w:r>
              <w:rPr>
                <w:rStyle w:val="IndexLink"/>
                <w:rtl w:val="true"/>
              </w:rPr>
              <w:t>]</w:t>
              <w:tab/>
            </w:r>
            <w:r>
              <w:rPr>
                <w:rStyle w:val="IndexLink"/>
              </w:rPr>
              <w:t>70</w:t>
            </w:r>
          </w:hyperlink>
        </w:p>
        <w:p>
          <w:pPr>
            <w:pStyle w:val="Contents3"/>
            <w:tabs>
              <w:tab w:val="clear" w:pos="8459"/>
              <w:tab w:val="right" w:pos="9026" w:leader="dot"/>
            </w:tabs>
            <w:rPr/>
          </w:pPr>
          <w:hyperlink w:anchor="__RefHeading___Toc2092816_2314609296">
            <w:r>
              <w:rPr>
                <w:webHidden/>
                <w:rStyle w:val="IndexLink"/>
                <w:rtl w:val="true"/>
              </w:rPr>
              <w:t>[</w:t>
            </w:r>
            <w:r>
              <w:rPr>
                <w:rStyle w:val="IndexLink"/>
                <w:rtl w:val="true"/>
              </w:rPr>
              <w:t>حکم ارتزاق القاضی و اجرته</w:t>
            </w:r>
            <w:r>
              <w:rPr>
                <w:rStyle w:val="IndexLink"/>
                <w:rtl w:val="true"/>
              </w:rPr>
              <w:t>]</w:t>
              <w:tab/>
            </w:r>
            <w:r>
              <w:rPr>
                <w:rStyle w:val="IndexLink"/>
              </w:rPr>
              <w:t>72</w:t>
            </w:r>
          </w:hyperlink>
        </w:p>
        <w:p>
          <w:pPr>
            <w:pStyle w:val="Contents3"/>
            <w:tabs>
              <w:tab w:val="clear" w:pos="8459"/>
              <w:tab w:val="right" w:pos="9026" w:leader="dot"/>
            </w:tabs>
            <w:rPr/>
          </w:pPr>
          <w:hyperlink w:anchor="__RefHeading___Toc2092818_2314609296">
            <w:r>
              <w:rPr>
                <w:webHidden/>
                <w:rStyle w:val="IndexLink"/>
                <w:rtl w:val="true"/>
              </w:rPr>
              <w:t>[</w:t>
            </w:r>
            <w:r>
              <w:rPr>
                <w:rStyle w:val="IndexLink"/>
                <w:rtl w:val="true"/>
              </w:rPr>
              <w:t xml:space="preserve">المرتزقه من بیت المال </w:t>
            </w:r>
            <w:r>
              <w:rPr>
                <w:rStyle w:val="IndexLink"/>
                <w:rtl w:val="true"/>
              </w:rPr>
              <w:t>]</w:t>
              <w:tab/>
            </w:r>
            <w:r>
              <w:rPr>
                <w:rStyle w:val="IndexLink"/>
              </w:rPr>
              <w:t>72</w:t>
            </w:r>
          </w:hyperlink>
        </w:p>
        <w:p>
          <w:pPr>
            <w:pStyle w:val="Contents3"/>
            <w:tabs>
              <w:tab w:val="clear" w:pos="8459"/>
              <w:tab w:val="right" w:pos="9026" w:leader="dot"/>
            </w:tabs>
            <w:rPr/>
          </w:pPr>
          <w:hyperlink w:anchor="__RefHeading___Toc2092820_2314609296">
            <w:r>
              <w:rPr>
                <w:webHidden/>
                <w:rStyle w:val="IndexLink"/>
                <w:rtl w:val="true"/>
              </w:rPr>
              <w:t>[</w:t>
            </w:r>
            <w:r>
              <w:rPr>
                <w:rStyle w:val="IndexLink"/>
                <w:rtl w:val="true"/>
              </w:rPr>
              <w:t xml:space="preserve">الکلام فی ما یجب علی القاضی </w:t>
            </w:r>
            <w:r>
              <w:rPr>
                <w:rStyle w:val="IndexLink"/>
                <w:rtl w:val="true"/>
              </w:rPr>
              <w:t>]</w:t>
              <w:tab/>
            </w:r>
            <w:r>
              <w:rPr>
                <w:rStyle w:val="IndexLink"/>
              </w:rPr>
              <w:t>72</w:t>
            </w:r>
          </w:hyperlink>
        </w:p>
        <w:p>
          <w:pPr>
            <w:pStyle w:val="Contents3"/>
            <w:tabs>
              <w:tab w:val="clear" w:pos="8459"/>
              <w:tab w:val="right" w:pos="9026" w:leader="dot"/>
            </w:tabs>
            <w:rPr/>
          </w:pPr>
          <w:hyperlink w:anchor="__RefHeading___Toc2092822_2314609296">
            <w:r>
              <w:rPr>
                <w:webHidden/>
                <w:rStyle w:val="IndexLink"/>
                <w:rtl w:val="true"/>
              </w:rPr>
              <w:t>[</w:t>
            </w:r>
            <w:r>
              <w:rPr>
                <w:rStyle w:val="IndexLink"/>
                <w:rtl w:val="true"/>
              </w:rPr>
              <w:t>حرمة الرشوة</w:t>
            </w:r>
            <w:r>
              <w:rPr>
                <w:rStyle w:val="IndexLink"/>
                <w:rtl w:val="true"/>
              </w:rPr>
              <w:t>]</w:t>
              <w:tab/>
            </w:r>
            <w:r>
              <w:rPr>
                <w:rStyle w:val="IndexLink"/>
              </w:rPr>
              <w:t>74</w:t>
            </w:r>
          </w:hyperlink>
        </w:p>
        <w:p>
          <w:pPr>
            <w:pStyle w:val="Contents3"/>
            <w:tabs>
              <w:tab w:val="clear" w:pos="8459"/>
              <w:tab w:val="right" w:pos="9026" w:leader="dot"/>
            </w:tabs>
            <w:rPr/>
          </w:pPr>
          <w:hyperlink w:anchor="__RefHeading___Toc2092824_2314609296">
            <w:r>
              <w:rPr>
                <w:webHidden/>
                <w:rStyle w:val="IndexLink"/>
                <w:rtl w:val="true"/>
              </w:rPr>
              <w:t>«</w:t>
            </w:r>
            <w:r>
              <w:rPr>
                <w:rStyle w:val="IndexLink"/>
                <w:rtl w:val="true"/>
              </w:rPr>
              <w:t>القول فی کیفیّة الحکم</w:t>
            </w:r>
            <w:r>
              <w:rPr>
                <w:rStyle w:val="IndexLink"/>
                <w:rtl w:val="true"/>
              </w:rPr>
              <w:t>»</w:t>
              <w:tab/>
            </w:r>
            <w:r>
              <w:rPr>
                <w:rStyle w:val="IndexLink"/>
              </w:rPr>
              <w:t>76</w:t>
            </w:r>
          </w:hyperlink>
        </w:p>
        <w:p>
          <w:pPr>
            <w:pStyle w:val="Contents4"/>
            <w:tabs>
              <w:tab w:val="clear" w:pos="8176"/>
              <w:tab w:val="right" w:pos="9026" w:leader="dot"/>
            </w:tabs>
            <w:rPr/>
          </w:pPr>
          <w:hyperlink w:anchor="__RefHeading___Toc2092826_2314609296">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092828_2314609296">
            <w:r>
              <w:rPr>
                <w:webHidden/>
                <w:rStyle w:val="IndexLink"/>
                <w:rtl w:val="true"/>
              </w:rPr>
              <w:t>[</w:t>
            </w:r>
            <w:r>
              <w:rPr>
                <w:rStyle w:val="IndexLink"/>
                <w:rtl w:val="true"/>
              </w:rPr>
              <w:t xml:space="preserve">المراد من المدعی و المنکر </w:t>
            </w:r>
            <w:r>
              <w:rPr>
                <w:rStyle w:val="IndexLink"/>
                <w:rtl w:val="true"/>
              </w:rPr>
              <w:t>]</w:t>
              <w:tab/>
            </w:r>
            <w:r>
              <w:rPr>
                <w:rStyle w:val="IndexLink"/>
              </w:rPr>
              <w:t>76</w:t>
            </w:r>
          </w:hyperlink>
        </w:p>
        <w:p>
          <w:pPr>
            <w:pStyle w:val="Contents4"/>
            <w:tabs>
              <w:tab w:val="clear" w:pos="8176"/>
              <w:tab w:val="right" w:pos="9026" w:leader="dot"/>
            </w:tabs>
            <w:rPr/>
          </w:pPr>
          <w:hyperlink w:anchor="__RefHeading___Toc2092830_2314609296">
            <w:r>
              <w:rPr>
                <w:webHidden/>
                <w:rStyle w:val="IndexLink"/>
                <w:rtl w:val="true"/>
              </w:rPr>
              <w:t>[</w:t>
            </w:r>
            <w:r>
              <w:rPr>
                <w:rStyle w:val="IndexLink"/>
                <w:rtl w:val="true"/>
              </w:rPr>
              <w:t>جواب المدعی علیه</w:t>
            </w:r>
            <w:r>
              <w:rPr>
                <w:rStyle w:val="IndexLink"/>
                <w:rtl w:val="true"/>
              </w:rPr>
              <w:t>]</w:t>
              <w:tab/>
            </w:r>
            <w:r>
              <w:rPr>
                <w:rStyle w:val="IndexLink"/>
              </w:rPr>
              <w:t>78</w:t>
            </w:r>
          </w:hyperlink>
        </w:p>
        <w:p>
          <w:pPr>
            <w:pStyle w:val="Contents4"/>
            <w:tabs>
              <w:tab w:val="clear" w:pos="8176"/>
              <w:tab w:val="right" w:pos="9026" w:leader="dot"/>
            </w:tabs>
            <w:rPr/>
          </w:pPr>
          <w:hyperlink w:anchor="__RefHeading___Toc2092832_2314609296">
            <w:r>
              <w:rPr>
                <w:webHidden/>
                <w:rStyle w:val="IndexLink"/>
                <w:rtl w:val="true"/>
              </w:rPr>
              <w:t>[</w:t>
            </w:r>
            <w:r>
              <w:rPr>
                <w:rStyle w:val="IndexLink"/>
                <w:rtl w:val="true"/>
              </w:rPr>
              <w:t>الاقرار</w:t>
            </w:r>
            <w:r>
              <w:rPr>
                <w:rStyle w:val="IndexLink"/>
                <w:rtl w:val="true"/>
              </w:rPr>
              <w:t>]</w:t>
              <w:tab/>
            </w:r>
            <w:r>
              <w:rPr>
                <w:rStyle w:val="IndexLink"/>
              </w:rPr>
              <w:t>78</w:t>
            </w:r>
          </w:hyperlink>
        </w:p>
        <w:p>
          <w:pPr>
            <w:pStyle w:val="Contents4"/>
            <w:tabs>
              <w:tab w:val="clear" w:pos="8176"/>
              <w:tab w:val="right" w:pos="9026" w:leader="dot"/>
            </w:tabs>
            <w:rPr/>
          </w:pPr>
          <w:hyperlink w:anchor="__RefHeading___Toc2092834_2314609296">
            <w:r>
              <w:rPr>
                <w:webHidden/>
                <w:rStyle w:val="IndexLink"/>
                <w:rtl w:val="true"/>
              </w:rPr>
              <w:t>[</w:t>
            </w:r>
            <w:r>
              <w:rPr>
                <w:rStyle w:val="IndexLink"/>
                <w:rtl w:val="true"/>
              </w:rPr>
              <w:t xml:space="preserve">الانکار </w:t>
            </w:r>
            <w:r>
              <w:rPr>
                <w:rStyle w:val="IndexLink"/>
                <w:rtl w:val="true"/>
              </w:rPr>
              <w:t>]</w:t>
              <w:tab/>
            </w:r>
            <w:r>
              <w:rPr>
                <w:rStyle w:val="IndexLink"/>
              </w:rPr>
              <w:t>80</w:t>
            </w:r>
          </w:hyperlink>
        </w:p>
        <w:p>
          <w:pPr>
            <w:pStyle w:val="Contents4"/>
            <w:tabs>
              <w:tab w:val="clear" w:pos="8176"/>
              <w:tab w:val="right" w:pos="9026" w:leader="dot"/>
            </w:tabs>
            <w:rPr/>
          </w:pPr>
          <w:hyperlink w:anchor="__RefHeading___Toc2092836_2314609296">
            <w:r>
              <w:rPr>
                <w:webHidden/>
                <w:rStyle w:val="IndexLink"/>
                <w:rtl w:val="true"/>
              </w:rPr>
              <w:t>[</w:t>
            </w:r>
            <w:r>
              <w:rPr>
                <w:rStyle w:val="IndexLink"/>
                <w:rtl w:val="true"/>
              </w:rPr>
              <w:t xml:space="preserve">السکوت </w:t>
            </w:r>
            <w:r>
              <w:rPr>
                <w:rStyle w:val="IndexLink"/>
                <w:rtl w:val="true"/>
              </w:rPr>
              <w:t>]</w:t>
              <w:tab/>
            </w:r>
            <w:r>
              <w:rPr>
                <w:rStyle w:val="IndexLink"/>
              </w:rPr>
              <w:t>87</w:t>
            </w:r>
          </w:hyperlink>
        </w:p>
        <w:p>
          <w:pPr>
            <w:pStyle w:val="Contents3"/>
            <w:tabs>
              <w:tab w:val="clear" w:pos="8459"/>
              <w:tab w:val="right" w:pos="9026" w:leader="dot"/>
            </w:tabs>
            <w:rPr/>
          </w:pPr>
          <w:hyperlink w:anchor="__RefHeading___Toc2092838_2314609296">
            <w:r>
              <w:rPr>
                <w:webHidden/>
                <w:rStyle w:val="IndexLink"/>
                <w:rtl w:val="true"/>
              </w:rPr>
              <w:t>«</w:t>
            </w:r>
            <w:r>
              <w:rPr>
                <w:rStyle w:val="IndexLink"/>
                <w:rtl w:val="true"/>
              </w:rPr>
              <w:t>القول فی الیمین</w:t>
            </w:r>
            <w:r>
              <w:rPr>
                <w:rStyle w:val="IndexLink"/>
                <w:rtl w:val="true"/>
              </w:rPr>
              <w:t>»</w:t>
              <w:tab/>
            </w:r>
            <w:r>
              <w:rPr>
                <w:rStyle w:val="IndexLink"/>
              </w:rPr>
              <w:t>88</w:t>
            </w:r>
          </w:hyperlink>
        </w:p>
        <w:p>
          <w:pPr>
            <w:pStyle w:val="Contents3"/>
            <w:tabs>
              <w:tab w:val="clear" w:pos="8459"/>
              <w:tab w:val="right" w:pos="9026" w:leader="dot"/>
            </w:tabs>
            <w:rPr/>
          </w:pPr>
          <w:hyperlink w:anchor="__RefHeading___Toc2092840_2314609296">
            <w:r>
              <w:rPr>
                <w:webHidden/>
                <w:rStyle w:val="IndexLink"/>
                <w:rtl w:val="true"/>
              </w:rPr>
              <w:t>«</w:t>
            </w:r>
            <w:r>
              <w:rPr>
                <w:rStyle w:val="IndexLink"/>
                <w:rtl w:val="true"/>
              </w:rPr>
              <w:t>القول فی الشاهد والیمین</w:t>
            </w:r>
            <w:r>
              <w:rPr>
                <w:rStyle w:val="IndexLink"/>
                <w:rtl w:val="true"/>
              </w:rPr>
              <w:t>»</w:t>
              <w:tab/>
            </w:r>
            <w:r>
              <w:rPr>
                <w:rStyle w:val="IndexLink"/>
              </w:rPr>
              <w:t>91</w:t>
            </w:r>
          </w:hyperlink>
        </w:p>
        <w:p>
          <w:pPr>
            <w:pStyle w:val="Contents4"/>
            <w:tabs>
              <w:tab w:val="clear" w:pos="8176"/>
              <w:tab w:val="right" w:pos="9026" w:leader="dot"/>
            </w:tabs>
            <w:rPr/>
          </w:pPr>
          <w:hyperlink w:anchor="__RefHeading___Toc2092842_2314609296">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2092844_2314609296">
            <w:r>
              <w:rPr>
                <w:webHidden/>
                <w:rStyle w:val="IndexLink"/>
                <w:rtl w:val="true"/>
              </w:rPr>
              <w:t>[</w:t>
            </w:r>
            <w:r>
              <w:rPr>
                <w:rStyle w:val="IndexLink"/>
                <w:rtl w:val="true"/>
              </w:rPr>
              <w:t>القضاء علی الغائب عن مجلس القضاء</w:t>
            </w:r>
            <w:r>
              <w:rPr>
                <w:rStyle w:val="IndexLink"/>
                <w:rtl w:val="true"/>
              </w:rPr>
              <w:t>]</w:t>
              <w:tab/>
            </w:r>
            <w:r>
              <w:rPr>
                <w:rStyle w:val="IndexLink"/>
              </w:rPr>
              <w:t>93</w:t>
            </w:r>
          </w:hyperlink>
        </w:p>
        <w:p>
          <w:pPr>
            <w:pStyle w:val="Contents4"/>
            <w:tabs>
              <w:tab w:val="clear" w:pos="8176"/>
              <w:tab w:val="right" w:pos="9026" w:leader="dot"/>
            </w:tabs>
            <w:rPr/>
          </w:pPr>
          <w:hyperlink w:anchor="__RefHeading___Toc2092846_2314609296">
            <w:r>
              <w:rPr>
                <w:webHidden/>
                <w:rStyle w:val="IndexLink"/>
                <w:rtl w:val="true"/>
              </w:rPr>
              <w:t>[</w:t>
            </w:r>
            <w:r>
              <w:rPr>
                <w:rStyle w:val="IndexLink"/>
                <w:rtl w:val="true"/>
              </w:rPr>
              <w:t>موارد وجوب الیمین مع البینة</w:t>
            </w:r>
            <w:r>
              <w:rPr>
                <w:rStyle w:val="IndexLink"/>
                <w:rtl w:val="true"/>
              </w:rPr>
              <w:t>]</w:t>
              <w:tab/>
            </w:r>
            <w:r>
              <w:rPr>
                <w:rStyle w:val="IndexLink"/>
              </w:rPr>
              <w:t>94</w:t>
            </w:r>
          </w:hyperlink>
        </w:p>
        <w:p>
          <w:pPr>
            <w:pStyle w:val="Contents3"/>
            <w:tabs>
              <w:tab w:val="clear" w:pos="8459"/>
              <w:tab w:val="right" w:pos="9026" w:leader="dot"/>
            </w:tabs>
            <w:rPr/>
          </w:pPr>
          <w:hyperlink w:anchor="__RefHeading___Toc2092848_2314609296">
            <w:r>
              <w:rPr>
                <w:webHidden/>
                <w:rStyle w:val="IndexLink"/>
                <w:rtl w:val="true"/>
              </w:rPr>
              <w:t>«</w:t>
            </w:r>
            <w:r>
              <w:rPr>
                <w:rStyle w:val="IndexLink"/>
                <w:rtl w:val="true"/>
              </w:rPr>
              <w:t>القول فی التعارض</w:t>
            </w:r>
            <w:r>
              <w:rPr>
                <w:rStyle w:val="IndexLink"/>
                <w:rtl w:val="true"/>
              </w:rPr>
              <w:t>»</w:t>
              <w:tab/>
            </w:r>
            <w:r>
              <w:rPr>
                <w:rStyle w:val="IndexLink"/>
              </w:rPr>
              <w:t>95</w:t>
            </w:r>
          </w:hyperlink>
        </w:p>
        <w:p>
          <w:pPr>
            <w:pStyle w:val="Contents3"/>
            <w:tabs>
              <w:tab w:val="clear" w:pos="8459"/>
              <w:tab w:val="right" w:pos="9026" w:leader="dot"/>
            </w:tabs>
            <w:rPr/>
          </w:pPr>
          <w:hyperlink w:anchor="__RefHeading___Toc2092850_2314609296">
            <w:r>
              <w:rPr>
                <w:webHidden/>
                <w:rStyle w:val="IndexLink"/>
                <w:rtl w:val="true"/>
              </w:rPr>
              <w:t>«</w:t>
            </w:r>
            <w:r>
              <w:rPr>
                <w:rStyle w:val="IndexLink"/>
                <w:rtl w:val="true"/>
              </w:rPr>
              <w:t>القول فی القسمة</w:t>
            </w:r>
            <w:r>
              <w:rPr>
                <w:rStyle w:val="IndexLink"/>
                <w:rtl w:val="true"/>
              </w:rPr>
              <w:t>»</w:t>
              <w:tab/>
            </w:r>
            <w:r>
              <w:rPr>
                <w:rStyle w:val="IndexLink"/>
              </w:rPr>
              <w:t>99</w:t>
            </w:r>
          </w:hyperlink>
        </w:p>
        <w:p>
          <w:pPr>
            <w:pStyle w:val="Contents2"/>
            <w:tabs>
              <w:tab w:val="clear" w:pos="8743"/>
              <w:tab w:val="right" w:pos="9026" w:leader="dot"/>
            </w:tabs>
            <w:rPr/>
          </w:pPr>
          <w:hyperlink w:anchor="__RefHeading___Toc2092852_2314609296">
            <w:r>
              <w:rPr>
                <w:webHidden/>
                <w:rStyle w:val="IndexLink"/>
                <w:rtl w:val="true"/>
              </w:rPr>
              <w:t>کتاب الشهادات</w:t>
            </w:r>
            <w:r>
              <w:rPr>
                <w:rStyle w:val="IndexLink"/>
                <w:rtl w:val="true"/>
              </w:rPr>
              <w:tab/>
            </w:r>
            <w:r>
              <w:rPr>
                <w:rStyle w:val="IndexLink"/>
              </w:rPr>
              <w:t>102</w:t>
            </w:r>
          </w:hyperlink>
        </w:p>
        <w:p>
          <w:pPr>
            <w:pStyle w:val="Contents3"/>
            <w:tabs>
              <w:tab w:val="clear" w:pos="8459"/>
              <w:tab w:val="right" w:pos="9026" w:leader="dot"/>
            </w:tabs>
            <w:rPr/>
          </w:pPr>
          <w:hyperlink w:anchor="__RefHeading___Toc2092854_2314609296">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2092856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الشاهد</w:t>
            </w:r>
            <w:r>
              <w:rPr>
                <w:rStyle w:val="IndexLink"/>
                <w:rtl w:val="true"/>
              </w:rPr>
              <w:t>»</w:t>
              <w:tab/>
            </w:r>
            <w:r>
              <w:rPr>
                <w:rStyle w:val="IndexLink"/>
              </w:rPr>
              <w:t>103</w:t>
            </w:r>
          </w:hyperlink>
        </w:p>
        <w:p>
          <w:pPr>
            <w:pStyle w:val="Contents4"/>
            <w:tabs>
              <w:tab w:val="clear" w:pos="8176"/>
              <w:tab w:val="right" w:pos="9026" w:leader="dot"/>
            </w:tabs>
            <w:rPr/>
          </w:pPr>
          <w:hyperlink w:anchor="__RefHeading___Toc2092858_2314609296">
            <w:r>
              <w:rPr>
                <w:webHidden/>
                <w:rStyle w:val="IndexLink"/>
                <w:rtl w:val="true"/>
              </w:rPr>
              <w:t>[</w:t>
            </w:r>
            <w:r>
              <w:rPr>
                <w:rStyle w:val="IndexLink"/>
                <w:rtl w:val="true"/>
              </w:rPr>
              <w:t>شروطه</w:t>
            </w:r>
            <w:r>
              <w:rPr>
                <w:rStyle w:val="IndexLink"/>
                <w:rtl w:val="true"/>
              </w:rPr>
              <w:t>]</w:t>
              <w:tab/>
            </w:r>
            <w:r>
              <w:rPr>
                <w:rStyle w:val="IndexLink"/>
              </w:rPr>
              <w:t>103</w:t>
            </w:r>
          </w:hyperlink>
        </w:p>
        <w:p>
          <w:pPr>
            <w:pStyle w:val="Contents4"/>
            <w:tabs>
              <w:tab w:val="clear" w:pos="8176"/>
              <w:tab w:val="right" w:pos="9026" w:leader="dot"/>
            </w:tabs>
            <w:rPr/>
          </w:pPr>
          <w:hyperlink w:anchor="__RefHeading___Toc2092860_2314609296">
            <w:r>
              <w:rPr>
                <w:webHidden/>
                <w:rStyle w:val="IndexLink"/>
                <w:rtl w:val="true"/>
              </w:rPr>
              <w:t>[</w:t>
            </w:r>
            <w:r>
              <w:rPr>
                <w:rStyle w:val="IndexLink"/>
                <w:rtl w:val="true"/>
              </w:rPr>
              <w:t>مستند الشهادة</w:t>
            </w:r>
            <w:r>
              <w:rPr>
                <w:rStyle w:val="IndexLink"/>
                <w:rtl w:val="true"/>
              </w:rPr>
              <w:t>]</w:t>
              <w:tab/>
            </w:r>
            <w:r>
              <w:rPr>
                <w:rStyle w:val="IndexLink"/>
              </w:rPr>
              <w:t>109</w:t>
            </w:r>
          </w:hyperlink>
        </w:p>
        <w:p>
          <w:pPr>
            <w:pStyle w:val="Contents4"/>
            <w:tabs>
              <w:tab w:val="clear" w:pos="8176"/>
              <w:tab w:val="right" w:pos="9026" w:leader="dot"/>
            </w:tabs>
            <w:rPr/>
          </w:pPr>
          <w:hyperlink w:anchor="__RefHeading___Toc2092862_2314609296">
            <w:r>
              <w:rPr>
                <w:webHidden/>
                <w:rStyle w:val="IndexLink"/>
                <w:rtl w:val="true"/>
              </w:rPr>
              <w:t>[</w:t>
            </w:r>
            <w:r>
              <w:rPr>
                <w:rStyle w:val="IndexLink"/>
                <w:rtl w:val="true"/>
              </w:rPr>
              <w:t>تحمل الشهادة و ادائها</w:t>
            </w:r>
            <w:r>
              <w:rPr>
                <w:rStyle w:val="IndexLink"/>
                <w:rtl w:val="true"/>
              </w:rPr>
              <w:t>]</w:t>
              <w:tab/>
            </w:r>
            <w:r>
              <w:rPr>
                <w:rStyle w:val="IndexLink"/>
              </w:rPr>
              <w:t>110</w:t>
            </w:r>
          </w:hyperlink>
        </w:p>
        <w:p>
          <w:pPr>
            <w:pStyle w:val="Contents3"/>
            <w:tabs>
              <w:tab w:val="clear" w:pos="8459"/>
              <w:tab w:val="right" w:pos="9026" w:leader="dot"/>
            </w:tabs>
            <w:rPr/>
          </w:pPr>
          <w:hyperlink w:anchor="__RefHeading___Toc2092864_2314609296">
            <w:r>
              <w:rPr>
                <w:webHidden/>
                <w:rStyle w:val="IndexLink"/>
                <w:rtl w:val="true"/>
              </w:rPr>
              <w:t>«</w:t>
            </w:r>
            <w:r>
              <w:rPr>
                <w:rStyle w:val="IndexLink"/>
                <w:rtl w:val="true"/>
              </w:rPr>
              <w:t>الفصل الثانی</w:t>
            </w:r>
            <w:r>
              <w:rPr>
                <w:rStyle w:val="IndexLink"/>
                <w:rtl w:val="true"/>
              </w:rPr>
              <w:t>» «</w:t>
            </w:r>
            <w:r>
              <w:rPr>
                <w:rStyle w:val="IndexLink"/>
                <w:rtl w:val="true"/>
              </w:rPr>
              <w:t>فی تفصیل الحقوق</w:t>
            </w:r>
            <w:r>
              <w:rPr>
                <w:rStyle w:val="IndexLink"/>
                <w:rtl w:val="true"/>
              </w:rPr>
              <w:t>»</w:t>
              <w:tab/>
            </w:r>
            <w:r>
              <w:rPr>
                <w:rStyle w:val="IndexLink"/>
              </w:rPr>
              <w:t>114</w:t>
            </w:r>
          </w:hyperlink>
        </w:p>
        <w:p>
          <w:pPr>
            <w:pStyle w:val="Contents3"/>
            <w:tabs>
              <w:tab w:val="clear" w:pos="8459"/>
              <w:tab w:val="right" w:pos="9026" w:leader="dot"/>
            </w:tabs>
            <w:rPr/>
          </w:pPr>
          <w:hyperlink w:anchor="__RefHeading___Toc2092866_2314609296">
            <w:r>
              <w:rPr>
                <w:webHidden/>
                <w:rStyle w:val="IndexLink"/>
                <w:rtl w:val="true"/>
              </w:rPr>
              <w:t>«</w:t>
            </w:r>
            <w:r>
              <w:rPr>
                <w:rStyle w:val="IndexLink"/>
                <w:rtl w:val="true"/>
              </w:rPr>
              <w:t>الفصل الثالث</w:t>
            </w:r>
            <w:r>
              <w:rPr>
                <w:rStyle w:val="IndexLink"/>
                <w:rtl w:val="true"/>
              </w:rPr>
              <w:t>» «</w:t>
            </w:r>
            <w:r>
              <w:rPr>
                <w:rStyle w:val="IndexLink"/>
                <w:rtl w:val="true"/>
              </w:rPr>
              <w:t>فی الشهادة علی الشهادة</w:t>
            </w:r>
            <w:r>
              <w:rPr>
                <w:rStyle w:val="IndexLink"/>
                <w:rtl w:val="true"/>
              </w:rPr>
              <w:t>»</w:t>
              <w:tab/>
            </w:r>
            <w:r>
              <w:rPr>
                <w:rStyle w:val="IndexLink"/>
              </w:rPr>
              <w:t>118</w:t>
            </w:r>
          </w:hyperlink>
        </w:p>
        <w:p>
          <w:pPr>
            <w:pStyle w:val="Contents3"/>
            <w:tabs>
              <w:tab w:val="clear" w:pos="8459"/>
              <w:tab w:val="right" w:pos="9026" w:leader="dot"/>
            </w:tabs>
            <w:rPr/>
          </w:pPr>
          <w:hyperlink w:anchor="__RefHeading___Toc2092868_2314609296">
            <w:r>
              <w:rPr>
                <w:webHidden/>
                <w:rStyle w:val="IndexLink"/>
                <w:rtl w:val="true"/>
              </w:rPr>
              <w:t>«</w:t>
            </w:r>
            <w:r>
              <w:rPr>
                <w:rStyle w:val="IndexLink"/>
                <w:rtl w:val="true"/>
              </w:rPr>
              <w:t>الفصل الرابع</w:t>
            </w:r>
            <w:r>
              <w:rPr>
                <w:rStyle w:val="IndexLink"/>
                <w:rtl w:val="true"/>
              </w:rPr>
              <w:t>» «</w:t>
            </w:r>
            <w:r>
              <w:rPr>
                <w:rStyle w:val="IndexLink"/>
                <w:rtl w:val="true"/>
              </w:rPr>
              <w:t>فی الرجوع</w:t>
            </w:r>
            <w:r>
              <w:rPr>
                <w:rStyle w:val="IndexLink"/>
                <w:rtl w:val="true"/>
              </w:rPr>
              <w:t xml:space="preserve">» </w:t>
            </w:r>
            <w:r>
              <w:rPr>
                <w:rStyle w:val="IndexLink"/>
                <w:rtl w:val="true"/>
              </w:rPr>
              <w:t>عن الشهادة</w:t>
            </w:r>
            <w:r>
              <w:rPr>
                <w:rStyle w:val="IndexLink"/>
                <w:rtl w:val="true"/>
              </w:rPr>
              <w:tab/>
            </w:r>
            <w:r>
              <w:rPr>
                <w:rStyle w:val="IndexLink"/>
              </w:rPr>
              <w:t>121</w:t>
            </w:r>
          </w:hyperlink>
        </w:p>
        <w:p>
          <w:pPr>
            <w:pStyle w:val="Contents2"/>
            <w:tabs>
              <w:tab w:val="clear" w:pos="8743"/>
              <w:tab w:val="right" w:pos="9026" w:leader="dot"/>
            </w:tabs>
            <w:rPr/>
          </w:pPr>
          <w:hyperlink w:anchor="__RefHeading___Toc2092870_2314609296">
            <w:r>
              <w:rPr>
                <w:webHidden/>
                <w:rStyle w:val="IndexLink"/>
                <w:rtl w:val="true"/>
              </w:rPr>
              <w:t>کتاب الوقف</w:t>
            </w:r>
            <w:r>
              <w:rPr>
                <w:rStyle w:val="IndexLink"/>
                <w:rtl w:val="true"/>
              </w:rPr>
              <w:tab/>
            </w:r>
            <w:r>
              <w:rPr>
                <w:rStyle w:val="IndexLink"/>
              </w:rPr>
              <w:t>125</w:t>
            </w:r>
          </w:hyperlink>
        </w:p>
        <w:p>
          <w:pPr>
            <w:pStyle w:val="Contents3"/>
            <w:tabs>
              <w:tab w:val="clear" w:pos="8459"/>
              <w:tab w:val="right" w:pos="9026" w:leader="dot"/>
            </w:tabs>
            <w:rPr/>
          </w:pPr>
          <w:hyperlink w:anchor="__RefHeading___Toc2092872_2314609296">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2092874_2314609296">
            <w:r>
              <w:rPr>
                <w:webHidden/>
                <w:rStyle w:val="IndexLink"/>
                <w:rtl w:val="true"/>
              </w:rPr>
              <w:t>[</w:t>
            </w:r>
            <w:r>
              <w:rPr>
                <w:rStyle w:val="IndexLink"/>
                <w:rtl w:val="true"/>
              </w:rPr>
              <w:t>تعریفه‌و الفاظه</w:t>
            </w:r>
            <w:r>
              <w:rPr>
                <w:rStyle w:val="IndexLink"/>
                <w:rtl w:val="true"/>
              </w:rPr>
              <w:t>]</w:t>
              <w:tab/>
            </w:r>
            <w:r>
              <w:rPr>
                <w:rStyle w:val="IndexLink"/>
              </w:rPr>
              <w:t>126</w:t>
            </w:r>
          </w:hyperlink>
        </w:p>
        <w:p>
          <w:pPr>
            <w:pStyle w:val="Contents3"/>
            <w:tabs>
              <w:tab w:val="clear" w:pos="8459"/>
              <w:tab w:val="right" w:pos="9026" w:leader="dot"/>
            </w:tabs>
            <w:rPr/>
          </w:pPr>
          <w:hyperlink w:anchor="__RefHeading___Toc2092876_2314609296">
            <w:r>
              <w:rPr>
                <w:webHidden/>
                <w:rStyle w:val="IndexLink"/>
                <w:rtl w:val="true"/>
              </w:rPr>
              <w:t>[</w:t>
            </w:r>
            <w:r>
              <w:rPr>
                <w:rStyle w:val="IndexLink"/>
                <w:rtl w:val="true"/>
              </w:rPr>
              <w:t xml:space="preserve">لزوم القیض فیه </w:t>
            </w:r>
            <w:r>
              <w:rPr>
                <w:rStyle w:val="IndexLink"/>
                <w:rtl w:val="true"/>
              </w:rPr>
              <w:t>]</w:t>
              <w:tab/>
            </w:r>
            <w:r>
              <w:rPr>
                <w:rStyle w:val="IndexLink"/>
              </w:rPr>
              <w:t>128</w:t>
            </w:r>
          </w:hyperlink>
        </w:p>
        <w:p>
          <w:pPr>
            <w:pStyle w:val="Contents3"/>
            <w:tabs>
              <w:tab w:val="clear" w:pos="8459"/>
              <w:tab w:val="right" w:pos="9026" w:leader="dot"/>
            </w:tabs>
            <w:rPr/>
          </w:pPr>
          <w:hyperlink w:anchor="__RefHeading___Toc2092878_2314609296">
            <w:r>
              <w:rPr>
                <w:webHidden/>
                <w:rStyle w:val="IndexLink"/>
                <w:rtl w:val="true"/>
              </w:rPr>
              <w:t>«</w:t>
            </w:r>
            <w:r>
              <w:rPr>
                <w:rStyle w:val="IndexLink"/>
                <w:rtl w:val="true"/>
              </w:rPr>
              <w:t>وشرطه</w:t>
            </w:r>
            <w:r>
              <w:rPr>
                <w:rStyle w:val="IndexLink"/>
                <w:rtl w:val="true"/>
              </w:rPr>
              <w:t>»</w:t>
              <w:tab/>
            </w:r>
            <w:r>
              <w:rPr>
                <w:rStyle w:val="IndexLink"/>
              </w:rPr>
              <w:t>129</w:t>
            </w:r>
          </w:hyperlink>
        </w:p>
        <w:p>
          <w:pPr>
            <w:pStyle w:val="Contents3"/>
            <w:tabs>
              <w:tab w:val="clear" w:pos="8459"/>
              <w:tab w:val="right" w:pos="9026" w:leader="dot"/>
            </w:tabs>
            <w:rPr/>
          </w:pPr>
          <w:hyperlink w:anchor="__RefHeading___Toc2092880_2314609296">
            <w:r>
              <w:rPr>
                <w:webHidden/>
                <w:rStyle w:val="IndexLink"/>
                <w:rtl w:val="true"/>
              </w:rPr>
              <w:t>«</w:t>
            </w:r>
            <w:r>
              <w:rPr>
                <w:rStyle w:val="IndexLink"/>
                <w:rtl w:val="true"/>
              </w:rPr>
              <w:t>وشرط الموقوف</w:t>
            </w:r>
            <w:r>
              <w:rPr>
                <w:rStyle w:val="IndexLink"/>
                <w:rtl w:val="true"/>
              </w:rPr>
              <w:t>»</w:t>
              <w:tab/>
            </w:r>
            <w:r>
              <w:rPr>
                <w:rStyle w:val="IndexLink"/>
              </w:rPr>
              <w:t>131</w:t>
            </w:r>
          </w:hyperlink>
        </w:p>
        <w:p>
          <w:pPr>
            <w:pStyle w:val="Contents3"/>
            <w:tabs>
              <w:tab w:val="clear" w:pos="8459"/>
              <w:tab w:val="right" w:pos="9026" w:leader="dot"/>
            </w:tabs>
            <w:rPr/>
          </w:pPr>
          <w:hyperlink w:anchor="__RefHeading___Toc2092882_2314609296">
            <w:r>
              <w:rPr>
                <w:webHidden/>
                <w:rStyle w:val="IndexLink"/>
                <w:rtl w:val="true"/>
              </w:rPr>
              <w:t>«</w:t>
            </w:r>
            <w:r>
              <w:rPr>
                <w:rStyle w:val="IndexLink"/>
                <w:rtl w:val="true"/>
              </w:rPr>
              <w:t>وشرط الواقف</w:t>
            </w:r>
            <w:r>
              <w:rPr>
                <w:rStyle w:val="IndexLink"/>
                <w:rtl w:val="true"/>
              </w:rPr>
              <w:t>»</w:t>
              <w:tab/>
            </w:r>
            <w:r>
              <w:rPr>
                <w:rStyle w:val="IndexLink"/>
              </w:rPr>
              <w:t>133</w:t>
            </w:r>
          </w:hyperlink>
        </w:p>
        <w:p>
          <w:pPr>
            <w:pStyle w:val="Contents3"/>
            <w:tabs>
              <w:tab w:val="clear" w:pos="8459"/>
              <w:tab w:val="right" w:pos="9026" w:leader="dot"/>
            </w:tabs>
            <w:rPr/>
          </w:pPr>
          <w:hyperlink w:anchor="__RefHeading___Toc2092884_2314609296">
            <w:r>
              <w:rPr>
                <w:webHidden/>
                <w:rStyle w:val="IndexLink"/>
                <w:rtl w:val="true"/>
              </w:rPr>
              <w:t>«</w:t>
            </w:r>
            <w:r>
              <w:rPr>
                <w:rStyle w:val="IndexLink"/>
                <w:rtl w:val="true"/>
              </w:rPr>
              <w:t>وشرط الموقوف علیه</w:t>
            </w:r>
            <w:r>
              <w:rPr>
                <w:rStyle w:val="IndexLink"/>
                <w:rtl w:val="true"/>
              </w:rPr>
              <w:t>»</w:t>
              <w:tab/>
            </w:r>
            <w:r>
              <w:rPr>
                <w:rStyle w:val="IndexLink"/>
              </w:rPr>
              <w:t>134</w:t>
            </w:r>
          </w:hyperlink>
        </w:p>
        <w:p>
          <w:pPr>
            <w:pStyle w:val="Contents3"/>
            <w:tabs>
              <w:tab w:val="clear" w:pos="8459"/>
              <w:tab w:val="right" w:pos="9026" w:leader="dot"/>
            </w:tabs>
            <w:rPr/>
          </w:pPr>
          <w:hyperlink w:anchor="__RefHeading___Toc2092886_2314609296">
            <w:r>
              <w:rPr>
                <w:webHidden/>
                <w:rStyle w:val="IndexLink"/>
                <w:rtl w:val="true"/>
              </w:rPr>
              <w:t>[«</w:t>
            </w:r>
            <w:r>
              <w:rPr>
                <w:rStyle w:val="IndexLink"/>
                <w:rtl w:val="true"/>
              </w:rPr>
              <w:t>وهنا مسائل</w:t>
            </w:r>
            <w:r>
              <w:rPr>
                <w:rStyle w:val="IndexLink"/>
                <w:rtl w:val="true"/>
              </w:rPr>
              <w:t>»]</w:t>
              <w:tab/>
            </w:r>
            <w:r>
              <w:rPr>
                <w:rStyle w:val="IndexLink"/>
              </w:rPr>
              <w:t>137</w:t>
            </w:r>
          </w:hyperlink>
        </w:p>
        <w:p>
          <w:pPr>
            <w:pStyle w:val="Contents4"/>
            <w:tabs>
              <w:tab w:val="clear" w:pos="8176"/>
              <w:tab w:val="right" w:pos="9026" w:leader="dot"/>
            </w:tabs>
            <w:rPr/>
          </w:pPr>
          <w:hyperlink w:anchor="__RefHeading___Toc2092888_2314609296">
            <w:r>
              <w:rPr>
                <w:webHidden/>
                <w:rStyle w:val="IndexLink"/>
                <w:rtl w:val="true"/>
              </w:rPr>
              <w:t>[</w:t>
            </w:r>
            <w:r>
              <w:rPr>
                <w:rStyle w:val="IndexLink"/>
                <w:rtl w:val="true"/>
              </w:rPr>
              <w:t>الاولی</w:t>
            </w:r>
            <w:r>
              <w:rPr>
                <w:rStyle w:val="IndexLink"/>
                <w:rtl w:val="true"/>
              </w:rPr>
              <w:t>-</w:t>
            </w:r>
            <w:r>
              <w:rPr>
                <w:rStyle w:val="IndexLink"/>
                <w:rtl w:val="true"/>
              </w:rPr>
              <w:t xml:space="preserve">نفقة العبد و الحیوان الموقوفین </w:t>
            </w:r>
            <w:r>
              <w:rPr>
                <w:rStyle w:val="IndexLink"/>
                <w:rtl w:val="true"/>
              </w:rPr>
              <w:t>]</w:t>
              <w:tab/>
            </w:r>
            <w:r>
              <w:rPr>
                <w:rStyle w:val="IndexLink"/>
              </w:rPr>
              <w:t>137</w:t>
            </w:r>
          </w:hyperlink>
        </w:p>
        <w:p>
          <w:pPr>
            <w:pStyle w:val="Contents4"/>
            <w:tabs>
              <w:tab w:val="clear" w:pos="8176"/>
              <w:tab w:val="right" w:pos="9026" w:leader="dot"/>
            </w:tabs>
            <w:rPr/>
          </w:pPr>
          <w:hyperlink w:anchor="__RefHeading___Toc2092890_2314609296">
            <w:r>
              <w:rPr>
                <w:webHidden/>
                <w:rStyle w:val="IndexLink"/>
                <w:rtl w:val="true"/>
              </w:rPr>
              <w:t>[</w:t>
            </w:r>
            <w:r>
              <w:rPr>
                <w:rStyle w:val="IndexLink"/>
                <w:rtl w:val="true"/>
              </w:rPr>
              <w:t>الثانیة الوقف علی الاولاد</w:t>
            </w:r>
            <w:r>
              <w:rPr>
                <w:rStyle w:val="IndexLink"/>
                <w:rtl w:val="true"/>
              </w:rPr>
              <w:t>]</w:t>
              <w:tab/>
            </w:r>
            <w:r>
              <w:rPr>
                <w:rStyle w:val="IndexLink"/>
              </w:rPr>
              <w:t>138</w:t>
            </w:r>
          </w:hyperlink>
        </w:p>
        <w:p>
          <w:pPr>
            <w:pStyle w:val="Contents4"/>
            <w:tabs>
              <w:tab w:val="clear" w:pos="8176"/>
              <w:tab w:val="right" w:pos="9026" w:leader="dot"/>
            </w:tabs>
            <w:rPr/>
          </w:pPr>
          <w:hyperlink w:anchor="__RefHeading___Toc2092892_2314609296">
            <w:r>
              <w:rPr>
                <w:webHidden/>
                <w:rStyle w:val="IndexLink"/>
                <w:rtl w:val="true"/>
              </w:rPr>
              <w:t>[</w:t>
            </w:r>
            <w:r>
              <w:rPr>
                <w:rStyle w:val="IndexLink"/>
                <w:rtl w:val="true"/>
              </w:rPr>
              <w:t>الثالثة الوقف علی الاولاد</w:t>
            </w:r>
            <w:r>
              <w:rPr>
                <w:rStyle w:val="IndexLink"/>
                <w:rtl w:val="true"/>
              </w:rPr>
              <w:t>]</w:t>
              <w:tab/>
            </w:r>
            <w:r>
              <w:rPr>
                <w:rStyle w:val="IndexLink"/>
              </w:rPr>
              <w:t>139</w:t>
            </w:r>
          </w:hyperlink>
        </w:p>
        <w:p>
          <w:pPr>
            <w:pStyle w:val="Contents4"/>
            <w:tabs>
              <w:tab w:val="clear" w:pos="8176"/>
              <w:tab w:val="right" w:pos="9026" w:leader="dot"/>
            </w:tabs>
            <w:rPr/>
          </w:pPr>
          <w:hyperlink w:anchor="__RefHeading___Toc2092894_2314609296">
            <w:r>
              <w:rPr>
                <w:webHidden/>
                <w:rStyle w:val="IndexLink"/>
                <w:rtl w:val="true"/>
              </w:rPr>
              <w:t>[</w:t>
            </w:r>
            <w:r>
              <w:rPr>
                <w:rStyle w:val="IndexLink"/>
                <w:rtl w:val="true"/>
              </w:rPr>
              <w:t>الرابعة</w:t>
            </w:r>
            <w:r>
              <w:rPr>
                <w:rStyle w:val="IndexLink"/>
                <w:rtl w:val="true"/>
              </w:rPr>
              <w:t>-</w:t>
            </w:r>
            <w:r>
              <w:rPr>
                <w:rStyle w:val="IndexLink"/>
                <w:rtl w:val="true"/>
              </w:rPr>
              <w:t>عدم الزوال الوقف بخراب القریه الوقف علی الفقراء و العلویین</w:t>
            </w:r>
            <w:r>
              <w:rPr>
                <w:rStyle w:val="IndexLink"/>
                <w:rtl w:val="true"/>
              </w:rPr>
              <w:t>]</w:t>
              <w:tab/>
            </w:r>
            <w:r>
              <w:rPr>
                <w:rStyle w:val="IndexLink"/>
              </w:rPr>
              <w:t>140</w:t>
            </w:r>
          </w:hyperlink>
        </w:p>
        <w:p>
          <w:pPr>
            <w:pStyle w:val="Contents4"/>
            <w:tabs>
              <w:tab w:val="clear" w:pos="8176"/>
              <w:tab w:val="right" w:pos="9026" w:leader="dot"/>
            </w:tabs>
            <w:rPr/>
          </w:pPr>
          <w:hyperlink w:anchor="__RefHeading___Toc2092896_2314609296">
            <w:r>
              <w:rPr>
                <w:webHidden/>
                <w:rStyle w:val="IndexLink"/>
                <w:rtl w:val="true"/>
              </w:rPr>
              <w:t>[</w:t>
            </w:r>
            <w:r>
              <w:rPr>
                <w:rStyle w:val="IndexLink"/>
                <w:rtl w:val="true"/>
              </w:rPr>
              <w:t>الخامسة</w:t>
            </w:r>
            <w:r>
              <w:rPr>
                <w:rStyle w:val="IndexLink"/>
                <w:rtl w:val="true"/>
              </w:rPr>
              <w:t xml:space="preserve">- </w:t>
            </w:r>
            <w:r>
              <w:rPr>
                <w:rStyle w:val="IndexLink"/>
                <w:rtl w:val="true"/>
              </w:rPr>
              <w:t>ایجار البطن الاول الوقف و انقراضهم</w:t>
            </w:r>
            <w:r>
              <w:rPr>
                <w:rStyle w:val="IndexLink"/>
                <w:rtl w:val="true"/>
              </w:rPr>
              <w:t>]</w:t>
              <w:tab/>
            </w:r>
            <w:r>
              <w:rPr>
                <w:rStyle w:val="IndexLink"/>
              </w:rPr>
              <w:t>142</w:t>
            </w:r>
          </w:hyperlink>
        </w:p>
        <w:p>
          <w:pPr>
            <w:pStyle w:val="Contents2"/>
            <w:tabs>
              <w:tab w:val="clear" w:pos="8743"/>
              <w:tab w:val="right" w:pos="9026" w:leader="dot"/>
            </w:tabs>
            <w:rPr/>
          </w:pPr>
          <w:hyperlink w:anchor="__RefHeading___Toc2092898_2314609296">
            <w:r>
              <w:rPr>
                <w:webHidden/>
                <w:rStyle w:val="IndexLink"/>
                <w:rtl w:val="true"/>
              </w:rPr>
              <w:t>کتاب العطیّة</w:t>
            </w:r>
            <w:r>
              <w:rPr>
                <w:rStyle w:val="IndexLink"/>
                <w:rtl w:val="true"/>
              </w:rPr>
              <w:tab/>
            </w:r>
            <w:r>
              <w:rPr>
                <w:rStyle w:val="IndexLink"/>
              </w:rPr>
              <w:t>144</w:t>
            </w:r>
          </w:hyperlink>
        </w:p>
        <w:p>
          <w:pPr>
            <w:pStyle w:val="Contents3"/>
            <w:tabs>
              <w:tab w:val="clear" w:pos="8459"/>
              <w:tab w:val="right" w:pos="9026" w:leader="dot"/>
            </w:tabs>
            <w:rPr/>
          </w:pPr>
          <w:hyperlink w:anchor="__RefHeading___Toc2092900_2314609296">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2092902_2314609296">
            <w:r>
              <w:rPr>
                <w:webHidden/>
                <w:rStyle w:val="IndexLink"/>
                <w:rtl w:val="true"/>
              </w:rPr>
              <w:t>«</w:t>
            </w:r>
            <w:r>
              <w:rPr>
                <w:rStyle w:val="IndexLink"/>
                <w:rtl w:val="true"/>
              </w:rPr>
              <w:t>الأوّل</w:t>
            </w:r>
            <w:r>
              <w:rPr>
                <w:rStyle w:val="IndexLink"/>
                <w:rtl w:val="true"/>
              </w:rPr>
              <w:t xml:space="preserve">: </w:t>
            </w:r>
            <w:r>
              <w:rPr>
                <w:rStyle w:val="IndexLink"/>
                <w:rtl w:val="true"/>
              </w:rPr>
              <w:t>الصدقة</w:t>
            </w:r>
            <w:r>
              <w:rPr>
                <w:rStyle w:val="IndexLink"/>
                <w:rtl w:val="true"/>
              </w:rPr>
              <w:t>»</w:t>
              <w:tab/>
            </w:r>
            <w:r>
              <w:rPr>
                <w:rStyle w:val="IndexLink"/>
              </w:rPr>
              <w:t>145</w:t>
            </w:r>
          </w:hyperlink>
        </w:p>
        <w:p>
          <w:pPr>
            <w:pStyle w:val="Contents3"/>
            <w:tabs>
              <w:tab w:val="clear" w:pos="8459"/>
              <w:tab w:val="right" w:pos="9026" w:leader="dot"/>
            </w:tabs>
            <w:rPr/>
          </w:pPr>
          <w:hyperlink w:anchor="__RefHeading___Toc2092904_2314609296">
            <w:r>
              <w:rPr>
                <w:webHidden/>
                <w:rStyle w:val="IndexLink"/>
                <w:rtl w:val="true"/>
              </w:rPr>
              <w:t>«</w:t>
            </w:r>
            <w:r>
              <w:rPr>
                <w:rStyle w:val="IndexLink"/>
                <w:rtl w:val="true"/>
              </w:rPr>
              <w:t>الثانی</w:t>
            </w:r>
            <w:r>
              <w:rPr>
                <w:rStyle w:val="IndexLink"/>
                <w:rtl w:val="true"/>
              </w:rPr>
              <w:t xml:space="preserve">: </w:t>
            </w:r>
            <w:r>
              <w:rPr>
                <w:rStyle w:val="IndexLink"/>
                <w:rtl w:val="true"/>
              </w:rPr>
              <w:t>الهبة</w:t>
            </w:r>
            <w:r>
              <w:rPr>
                <w:rStyle w:val="IndexLink"/>
                <w:rtl w:val="true"/>
              </w:rPr>
              <w:t>»</w:t>
              <w:tab/>
            </w:r>
            <w:r>
              <w:rPr>
                <w:rStyle w:val="IndexLink"/>
              </w:rPr>
              <w:t>147</w:t>
            </w:r>
          </w:hyperlink>
        </w:p>
        <w:p>
          <w:pPr>
            <w:pStyle w:val="Contents3"/>
            <w:tabs>
              <w:tab w:val="clear" w:pos="8459"/>
              <w:tab w:val="right" w:pos="9026" w:leader="dot"/>
            </w:tabs>
            <w:rPr/>
          </w:pPr>
          <w:hyperlink w:anchor="__RefHeading___Toc2092906_2314609296">
            <w:r>
              <w:rPr>
                <w:webHidden/>
                <w:rStyle w:val="IndexLink"/>
                <w:rtl w:val="true"/>
              </w:rPr>
              <w:t>«</w:t>
            </w:r>
            <w:r>
              <w:rPr>
                <w:rStyle w:val="IndexLink"/>
                <w:rtl w:val="true"/>
              </w:rPr>
              <w:t>الثالث</w:t>
            </w:r>
            <w:r>
              <w:rPr>
                <w:rStyle w:val="IndexLink"/>
                <w:rtl w:val="true"/>
              </w:rPr>
              <w:t xml:space="preserve">: </w:t>
            </w:r>
            <w:r>
              <w:rPr>
                <w:rStyle w:val="IndexLink"/>
                <w:rtl w:val="true"/>
              </w:rPr>
              <w:t>السکنی</w:t>
            </w:r>
            <w:r>
              <w:rPr>
                <w:rStyle w:val="IndexLink"/>
                <w:rtl w:val="true"/>
              </w:rPr>
              <w:t xml:space="preserve">» </w:t>
            </w:r>
            <w:r>
              <w:rPr>
                <w:rStyle w:val="IndexLink"/>
                <w:rtl w:val="true"/>
              </w:rPr>
              <w:t>وتوابعها</w:t>
            </w:r>
            <w:r>
              <w:rPr>
                <w:rStyle w:val="IndexLink"/>
                <w:rtl w:val="true"/>
              </w:rPr>
              <w:tab/>
            </w:r>
            <w:r>
              <w:rPr>
                <w:rStyle w:val="IndexLink"/>
              </w:rPr>
              <w:t>151</w:t>
            </w:r>
          </w:hyperlink>
        </w:p>
        <w:p>
          <w:pPr>
            <w:pStyle w:val="Contents3"/>
            <w:tabs>
              <w:tab w:val="clear" w:pos="8459"/>
              <w:tab w:val="right" w:pos="9026" w:leader="dot"/>
            </w:tabs>
            <w:rPr/>
          </w:pPr>
          <w:hyperlink w:anchor="__RefHeading___Toc2092908_2314609296">
            <w:r>
              <w:rPr>
                <w:webHidden/>
                <w:rStyle w:val="IndexLink"/>
                <w:rtl w:val="true"/>
              </w:rPr>
              <w:t>«</w:t>
            </w:r>
            <w:r>
              <w:rPr>
                <w:rStyle w:val="IndexLink"/>
                <w:rtl w:val="true"/>
              </w:rPr>
              <w:t>الرابع</w:t>
            </w:r>
            <w:r>
              <w:rPr>
                <w:rStyle w:val="IndexLink"/>
                <w:rtl w:val="true"/>
              </w:rPr>
              <w:t xml:space="preserve">: </w:t>
            </w:r>
            <w:r>
              <w:rPr>
                <w:rStyle w:val="IndexLink"/>
                <w:rtl w:val="true"/>
              </w:rPr>
              <w:t>التحبیس</w:t>
            </w:r>
            <w:r>
              <w:rPr>
                <w:rStyle w:val="IndexLink"/>
                <w:rtl w:val="true"/>
              </w:rPr>
              <w:t>»</w:t>
              <w:tab/>
            </w:r>
            <w:r>
              <w:rPr>
                <w:rStyle w:val="IndexLink"/>
              </w:rPr>
              <w:t>153</w:t>
            </w:r>
          </w:hyperlink>
        </w:p>
        <w:p>
          <w:pPr>
            <w:pStyle w:val="Contents2"/>
            <w:tabs>
              <w:tab w:val="clear" w:pos="8743"/>
              <w:tab w:val="right" w:pos="9026" w:leader="dot"/>
            </w:tabs>
            <w:rPr/>
          </w:pPr>
          <w:hyperlink w:anchor="__RefHeading___Toc2092910_2314609296">
            <w:r>
              <w:rPr>
                <w:webHidden/>
                <w:rStyle w:val="IndexLink"/>
                <w:rtl w:val="true"/>
              </w:rPr>
              <w:t>کتاب المتاجر</w:t>
            </w:r>
            <w:r>
              <w:rPr>
                <w:rStyle w:val="IndexLink"/>
                <w:rtl w:val="true"/>
              </w:rPr>
              <w:tab/>
            </w:r>
            <w:r>
              <w:rPr>
                <w:rStyle w:val="IndexLink"/>
              </w:rPr>
              <w:t>155</w:t>
            </w:r>
          </w:hyperlink>
        </w:p>
        <w:p>
          <w:pPr>
            <w:pStyle w:val="Contents3"/>
            <w:tabs>
              <w:tab w:val="clear" w:pos="8459"/>
              <w:tab w:val="right" w:pos="9026" w:leader="dot"/>
            </w:tabs>
            <w:rPr/>
          </w:pPr>
          <w:hyperlink w:anchor="__RefHeading___Toc2092912_2314609296">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2092914_2314609296">
            <w:r>
              <w:rPr>
                <w:webHidden/>
                <w:rStyle w:val="IndexLink"/>
                <w:rtl w:val="true"/>
              </w:rPr>
              <w:t xml:space="preserve">الفصل </w:t>
            </w:r>
            <w:r>
              <w:rPr>
                <w:rStyle w:val="IndexLink"/>
                <w:rtl w:val="true"/>
              </w:rPr>
              <w:t>«</w:t>
            </w:r>
            <w:r>
              <w:rPr>
                <w:rStyle w:val="IndexLink"/>
                <w:rtl w:val="true"/>
              </w:rPr>
              <w:t>الأوّل</w:t>
            </w:r>
            <w:r>
              <w:rPr>
                <w:rStyle w:val="IndexLink"/>
                <w:rtl w:val="true"/>
              </w:rPr>
              <w:t>» «</w:t>
            </w:r>
            <w:r>
              <w:rPr>
                <w:rStyle w:val="IndexLink"/>
                <w:rtl w:val="true"/>
              </w:rPr>
              <w:t>ینقسم موضوع التجارة</w:t>
            </w:r>
            <w:r>
              <w:rPr>
                <w:rStyle w:val="IndexLink"/>
                <w:rtl w:val="true"/>
              </w:rPr>
              <w:t>»</w:t>
              <w:tab/>
            </w:r>
            <w:r>
              <w:rPr>
                <w:rStyle w:val="IndexLink"/>
              </w:rPr>
              <w:t>157</w:t>
            </w:r>
          </w:hyperlink>
        </w:p>
        <w:p>
          <w:pPr>
            <w:pStyle w:val="Contents4"/>
            <w:tabs>
              <w:tab w:val="clear" w:pos="8176"/>
              <w:tab w:val="right" w:pos="9026" w:leader="dot"/>
            </w:tabs>
            <w:rPr/>
          </w:pPr>
          <w:hyperlink w:anchor="__RefHeading___Toc2092916_2314609296">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2092918_2314609296">
            <w:r>
              <w:rPr>
                <w:webHidden/>
                <w:rStyle w:val="IndexLink"/>
                <w:rtl w:val="true"/>
              </w:rPr>
              <w:t>[«</w:t>
            </w:r>
            <w:r>
              <w:rPr>
                <w:rStyle w:val="IndexLink"/>
                <w:rtl w:val="true"/>
              </w:rPr>
              <w:t>فالمحرّم</w:t>
            </w:r>
            <w:r>
              <w:rPr>
                <w:rStyle w:val="IndexLink"/>
                <w:rtl w:val="true"/>
              </w:rPr>
              <w:t>» :]</w:t>
              <w:tab/>
            </w:r>
            <w:r>
              <w:rPr>
                <w:rStyle w:val="IndexLink"/>
              </w:rPr>
              <w:t>157</w:t>
            </w:r>
          </w:hyperlink>
        </w:p>
        <w:p>
          <w:pPr>
            <w:pStyle w:val="Contents4"/>
            <w:tabs>
              <w:tab w:val="clear" w:pos="8176"/>
              <w:tab w:val="right" w:pos="9026" w:leader="dot"/>
            </w:tabs>
            <w:rPr/>
          </w:pPr>
          <w:hyperlink w:anchor="__RefHeading___Toc2092920_2314609296">
            <w:r>
              <w:rPr>
                <w:webHidden/>
                <w:rStyle w:val="IndexLink"/>
                <w:rtl w:val="true"/>
              </w:rPr>
              <w:t>[«</w:t>
            </w:r>
            <w:r>
              <w:rPr>
                <w:rStyle w:val="IndexLink"/>
                <w:rtl w:val="true"/>
              </w:rPr>
              <w:t>وأمّا المکروه</w:t>
            </w:r>
            <w:r>
              <w:rPr>
                <w:rStyle w:val="IndexLink"/>
                <w:rtl w:val="true"/>
              </w:rPr>
              <w:t>» :]</w:t>
              <w:tab/>
            </w:r>
            <w:r>
              <w:rPr>
                <w:rStyle w:val="IndexLink"/>
              </w:rPr>
              <w:t>166</w:t>
            </w:r>
          </w:hyperlink>
        </w:p>
        <w:p>
          <w:pPr>
            <w:pStyle w:val="Contents4"/>
            <w:tabs>
              <w:tab w:val="clear" w:pos="8176"/>
              <w:tab w:val="right" w:pos="9026" w:leader="dot"/>
            </w:tabs>
            <w:rPr/>
          </w:pPr>
          <w:hyperlink w:anchor="__RefHeading___Toc2092922_2314609296">
            <w:r>
              <w:rPr>
                <w:webHidden/>
                <w:rStyle w:val="IndexLink"/>
                <w:rtl w:val="true"/>
              </w:rPr>
              <w:t>[</w:t>
            </w:r>
            <w:r>
              <w:rPr>
                <w:rStyle w:val="IndexLink"/>
                <w:rtl w:val="true"/>
              </w:rPr>
              <w:t>المباح</w:t>
            </w:r>
            <w:r>
              <w:rPr>
                <w:rStyle w:val="IndexLink"/>
                <w:rtl w:val="true"/>
              </w:rPr>
              <w:t>]</w:t>
              <w:tab/>
            </w:r>
            <w:r>
              <w:rPr>
                <w:rStyle w:val="IndexLink"/>
              </w:rPr>
              <w:t>167</w:t>
            </w:r>
          </w:hyperlink>
        </w:p>
        <w:p>
          <w:pPr>
            <w:pStyle w:val="Contents4"/>
            <w:tabs>
              <w:tab w:val="clear" w:pos="8176"/>
              <w:tab w:val="right" w:pos="9026" w:leader="dot"/>
            </w:tabs>
            <w:rPr/>
          </w:pPr>
          <w:hyperlink w:anchor="__RefHeading___Toc2092924_2314609296">
            <w:r>
              <w:rPr>
                <w:webHidden/>
                <w:rStyle w:val="IndexLink"/>
                <w:rtl w:val="true"/>
              </w:rPr>
              <w:t>[</w:t>
            </w:r>
            <w:r>
              <w:rPr>
                <w:rStyle w:val="IndexLink"/>
                <w:rtl w:val="true"/>
              </w:rPr>
              <w:t>اقسام التجاره</w:t>
            </w:r>
            <w:r>
              <w:rPr>
                <w:rStyle w:val="IndexLink"/>
                <w:rtl w:val="true"/>
              </w:rPr>
              <w:t>]</w:t>
              <w:tab/>
            </w:r>
            <w:r>
              <w:rPr>
                <w:rStyle w:val="IndexLink"/>
              </w:rPr>
              <w:t>168</w:t>
            </w:r>
          </w:hyperlink>
        </w:p>
        <w:p>
          <w:pPr>
            <w:pStyle w:val="Contents3"/>
            <w:tabs>
              <w:tab w:val="clear" w:pos="8459"/>
              <w:tab w:val="right" w:pos="9026" w:leader="dot"/>
            </w:tabs>
            <w:rPr/>
          </w:pPr>
          <w:hyperlink w:anchor="__RefHeading___Toc2092926_2314609296">
            <w:r>
              <w:rPr>
                <w:webHidden/>
                <w:rStyle w:val="IndexLink"/>
                <w:rtl w:val="true"/>
              </w:rPr>
              <w:t>«</w:t>
            </w:r>
            <w:r>
              <w:rPr>
                <w:rStyle w:val="IndexLink"/>
                <w:rtl w:val="true"/>
              </w:rPr>
              <w:t>الفصل الثانی</w:t>
            </w:r>
            <w:r>
              <w:rPr>
                <w:rStyle w:val="IndexLink"/>
                <w:rtl w:val="true"/>
              </w:rPr>
              <w:t>» «</w:t>
            </w:r>
            <w:r>
              <w:rPr>
                <w:rStyle w:val="IndexLink"/>
                <w:rtl w:val="true"/>
              </w:rPr>
              <w:t>فی عقد البیع وآدابه</w:t>
            </w:r>
            <w:r>
              <w:rPr>
                <w:rStyle w:val="IndexLink"/>
                <w:rtl w:val="true"/>
              </w:rPr>
              <w:t>»</w:t>
              <w:tab/>
            </w:r>
            <w:r>
              <w:rPr>
                <w:rStyle w:val="IndexLink"/>
              </w:rPr>
              <w:t>169</w:t>
            </w:r>
          </w:hyperlink>
        </w:p>
        <w:p>
          <w:pPr>
            <w:pStyle w:val="Contents4"/>
            <w:tabs>
              <w:tab w:val="clear" w:pos="8176"/>
              <w:tab w:val="right" w:pos="9026" w:leader="dot"/>
            </w:tabs>
            <w:rPr/>
          </w:pPr>
          <w:hyperlink w:anchor="__RefHeading___Toc2092928_2314609296">
            <w:r>
              <w:rPr>
                <w:webHidden/>
                <w:rStyle w:val="IndexLink"/>
                <w:rtl w:val="true"/>
              </w:rPr>
              <w:t>[</w:t>
            </w:r>
            <w:r>
              <w:rPr>
                <w:rStyle w:val="IndexLink"/>
                <w:rtl w:val="true"/>
              </w:rPr>
              <w:t xml:space="preserve">اعتبار الایجاب و القبول فیه </w:t>
            </w:r>
            <w:r>
              <w:rPr>
                <w:rStyle w:val="IndexLink"/>
                <w:rtl w:val="true"/>
              </w:rPr>
              <w:t>]</w:t>
              <w:tab/>
            </w:r>
            <w:r>
              <w:rPr>
                <w:rStyle w:val="IndexLink"/>
              </w:rPr>
              <w:t>169</w:t>
            </w:r>
          </w:hyperlink>
        </w:p>
        <w:p>
          <w:pPr>
            <w:pStyle w:val="Contents4"/>
            <w:tabs>
              <w:tab w:val="clear" w:pos="8176"/>
              <w:tab w:val="right" w:pos="9026" w:leader="dot"/>
            </w:tabs>
            <w:rPr/>
          </w:pPr>
          <w:hyperlink w:anchor="__RefHeading___Toc2092930_2314609296">
            <w:r>
              <w:rPr>
                <w:webHidden/>
                <w:rStyle w:val="IndexLink"/>
                <w:rtl w:val="true"/>
              </w:rPr>
              <w:t>[</w:t>
            </w:r>
            <w:r>
              <w:rPr>
                <w:rStyle w:val="IndexLink"/>
                <w:rtl w:val="true"/>
              </w:rPr>
              <w:t>الکلام فی المعاطاة</w:t>
            </w:r>
            <w:r>
              <w:rPr>
                <w:rStyle w:val="IndexLink"/>
                <w:rtl w:val="true"/>
              </w:rPr>
              <w:t>]</w:t>
              <w:tab/>
            </w:r>
            <w:r>
              <w:rPr>
                <w:rStyle w:val="IndexLink"/>
              </w:rPr>
              <w:t>170</w:t>
            </w:r>
          </w:hyperlink>
        </w:p>
        <w:p>
          <w:pPr>
            <w:pStyle w:val="Contents4"/>
            <w:tabs>
              <w:tab w:val="clear" w:pos="8176"/>
              <w:tab w:val="right" w:pos="9026" w:leader="dot"/>
            </w:tabs>
            <w:rPr/>
          </w:pPr>
          <w:hyperlink w:anchor="__RefHeading___Toc2092932_2314609296">
            <w:r>
              <w:rPr>
                <w:webHidden/>
                <w:rStyle w:val="IndexLink"/>
                <w:rtl w:val="true"/>
              </w:rPr>
              <w:t>[</w:t>
            </w:r>
            <w:r>
              <w:rPr>
                <w:rStyle w:val="IndexLink"/>
                <w:rtl w:val="true"/>
              </w:rPr>
              <w:t>شروط المتعاقدین</w:t>
            </w:r>
            <w:r>
              <w:rPr>
                <w:rStyle w:val="IndexLink"/>
                <w:rtl w:val="true"/>
              </w:rPr>
              <w:t>]</w:t>
              <w:tab/>
            </w:r>
            <w:r>
              <w:rPr>
                <w:rStyle w:val="IndexLink"/>
              </w:rPr>
              <w:t>173</w:t>
            </w:r>
          </w:hyperlink>
        </w:p>
        <w:p>
          <w:pPr>
            <w:pStyle w:val="Contents4"/>
            <w:tabs>
              <w:tab w:val="clear" w:pos="8176"/>
              <w:tab w:val="right" w:pos="9026" w:leader="dot"/>
            </w:tabs>
            <w:rPr/>
          </w:pPr>
          <w:hyperlink w:anchor="__RefHeading___Toc2092934_2314609296">
            <w:r>
              <w:rPr>
                <w:webHidden/>
                <w:rStyle w:val="IndexLink"/>
                <w:rtl w:val="true"/>
              </w:rPr>
              <w:t>[</w:t>
            </w:r>
            <w:r>
              <w:rPr>
                <w:rStyle w:val="IndexLink"/>
                <w:rtl w:val="true"/>
              </w:rPr>
              <w:t xml:space="preserve">بیع الفضولی </w:t>
            </w:r>
            <w:r>
              <w:rPr>
                <w:rStyle w:val="IndexLink"/>
                <w:rtl w:val="true"/>
              </w:rPr>
              <w:t>]</w:t>
              <w:tab/>
            </w:r>
            <w:r>
              <w:rPr>
                <w:rStyle w:val="IndexLink"/>
              </w:rPr>
              <w:t>174</w:t>
            </w:r>
          </w:hyperlink>
        </w:p>
        <w:p>
          <w:pPr>
            <w:pStyle w:val="Contents4"/>
            <w:tabs>
              <w:tab w:val="clear" w:pos="8176"/>
              <w:tab w:val="right" w:pos="9026" w:leader="dot"/>
            </w:tabs>
            <w:rPr/>
          </w:pPr>
          <w:hyperlink w:anchor="__RefHeading___Toc2092936_2314609296">
            <w:r>
              <w:rPr>
                <w:webHidden/>
                <w:rStyle w:val="IndexLink"/>
                <w:rtl w:val="true"/>
              </w:rPr>
              <w:t>[</w:t>
            </w:r>
            <w:r>
              <w:rPr>
                <w:rStyle w:val="IndexLink"/>
                <w:rtl w:val="true"/>
              </w:rPr>
              <w:t>بیع ما یملک و ما لا یملک</w:t>
            </w:r>
            <w:r>
              <w:rPr>
                <w:rStyle w:val="IndexLink"/>
                <w:rtl w:val="true"/>
              </w:rPr>
              <w:t>]</w:t>
              <w:tab/>
            </w:r>
            <w:r>
              <w:rPr>
                <w:rStyle w:val="IndexLink"/>
              </w:rPr>
              <w:t>178</w:t>
            </w:r>
          </w:hyperlink>
        </w:p>
        <w:p>
          <w:pPr>
            <w:pStyle w:val="Contents4"/>
            <w:tabs>
              <w:tab w:val="clear" w:pos="8176"/>
              <w:tab w:val="right" w:pos="9026" w:leader="dot"/>
            </w:tabs>
            <w:rPr/>
          </w:pPr>
          <w:hyperlink w:anchor="__RefHeading___Toc2092938_2314609296">
            <w:r>
              <w:rPr>
                <w:webHidden/>
                <w:rStyle w:val="IndexLink"/>
                <w:rtl w:val="true"/>
              </w:rPr>
              <w:t>[</w:t>
            </w:r>
            <w:r>
              <w:rPr>
                <w:rStyle w:val="IndexLink"/>
                <w:rtl w:val="true"/>
              </w:rPr>
              <w:t>بیع ما یملک</w:t>
            </w:r>
            <w:r>
              <w:rPr>
                <w:rStyle w:val="IndexLink"/>
                <w:rtl w:val="true"/>
              </w:rPr>
              <w:t>]</w:t>
              <w:tab/>
            </w:r>
            <w:r>
              <w:rPr>
                <w:rStyle w:val="IndexLink"/>
              </w:rPr>
              <w:t>179</w:t>
            </w:r>
          </w:hyperlink>
        </w:p>
        <w:p>
          <w:pPr>
            <w:pStyle w:val="Contents4"/>
            <w:tabs>
              <w:tab w:val="clear" w:pos="8176"/>
              <w:tab w:val="right" w:pos="9026" w:leader="dot"/>
            </w:tabs>
            <w:rPr/>
          </w:pPr>
          <w:hyperlink w:anchor="__RefHeading___Toc2092940_2314609296">
            <w:r>
              <w:rPr>
                <w:webHidden/>
                <w:rStyle w:val="IndexLink"/>
                <w:rtl w:val="true"/>
              </w:rPr>
              <w:t>[</w:t>
            </w:r>
            <w:r>
              <w:rPr>
                <w:rStyle w:val="IndexLink"/>
                <w:rtl w:val="true"/>
              </w:rPr>
              <w:t>صحة العقد من القائم مقام المالک</w:t>
            </w:r>
            <w:r>
              <w:rPr>
                <w:rStyle w:val="IndexLink"/>
                <w:rtl w:val="true"/>
              </w:rPr>
              <w:t>]</w:t>
              <w:tab/>
            </w:r>
            <w:r>
              <w:rPr>
                <w:rStyle w:val="IndexLink"/>
              </w:rPr>
              <w:t>179</w:t>
            </w:r>
          </w:hyperlink>
        </w:p>
        <w:p>
          <w:pPr>
            <w:pStyle w:val="Contents4"/>
            <w:tabs>
              <w:tab w:val="clear" w:pos="8176"/>
              <w:tab w:val="right" w:pos="9026" w:leader="dot"/>
            </w:tabs>
            <w:rPr/>
          </w:pPr>
          <w:hyperlink w:anchor="__RefHeading___Toc2092942_2314609296">
            <w:r>
              <w:rPr>
                <w:webHidden/>
                <w:rStyle w:val="IndexLink"/>
                <w:rtl w:val="true"/>
              </w:rPr>
              <w:t>[</w:t>
            </w:r>
            <w:r>
              <w:rPr>
                <w:rStyle w:val="IndexLink"/>
                <w:rtl w:val="true"/>
              </w:rPr>
              <w:t xml:space="preserve">بیع المصحف و المسلم </w:t>
            </w:r>
            <w:r>
              <w:rPr>
                <w:rStyle w:val="IndexLink"/>
                <w:rtl w:val="true"/>
              </w:rPr>
              <w:t>]</w:t>
              <w:tab/>
            </w:r>
            <w:r>
              <w:rPr>
                <w:rStyle w:val="IndexLink"/>
              </w:rPr>
              <w:t>181</w:t>
            </w:r>
          </w:hyperlink>
        </w:p>
        <w:p>
          <w:pPr>
            <w:pStyle w:val="Contents4"/>
            <w:tabs>
              <w:tab w:val="clear" w:pos="8176"/>
              <w:tab w:val="right" w:pos="9026" w:leader="dot"/>
            </w:tabs>
            <w:rPr/>
          </w:pPr>
          <w:hyperlink w:anchor="__RefHeading___Toc2092944_2314609296">
            <w:r>
              <w:rPr>
                <w:webHidden/>
                <w:rStyle w:val="IndexLink"/>
                <w:rtl w:val="true"/>
              </w:rPr>
              <w:t>[«</w:t>
            </w:r>
            <w:r>
              <w:rPr>
                <w:rStyle w:val="IndexLink"/>
                <w:rtl w:val="true"/>
              </w:rPr>
              <w:t>وهنا مسائل</w:t>
            </w:r>
            <w:r>
              <w:rPr>
                <w:rStyle w:val="IndexLink"/>
                <w:rtl w:val="true"/>
              </w:rPr>
              <w:t>»]</w:t>
              <w:tab/>
            </w:r>
            <w:r>
              <w:rPr>
                <w:rStyle w:val="IndexLink"/>
              </w:rPr>
              <w:t>183</w:t>
            </w:r>
          </w:hyperlink>
        </w:p>
        <w:p>
          <w:pPr>
            <w:pStyle w:val="Contents5"/>
            <w:tabs>
              <w:tab w:val="clear" w:pos="7892"/>
              <w:tab w:val="right" w:pos="9026" w:leader="dot"/>
            </w:tabs>
            <w:rPr/>
          </w:pPr>
          <w:hyperlink w:anchor="__RefHeading___Toc2092946_2314609296">
            <w:r>
              <w:rPr>
                <w:webHidden/>
                <w:rStyle w:val="IndexLink"/>
                <w:rtl w:val="true"/>
              </w:rPr>
              <w:t>[«</w:t>
            </w:r>
            <w:r>
              <w:rPr>
                <w:rStyle w:val="IndexLink"/>
                <w:rtl w:val="true"/>
              </w:rPr>
              <w:t>الاُولی</w:t>
            </w:r>
            <w:r>
              <w:rPr>
                <w:rStyle w:val="IndexLink"/>
                <w:rtl w:val="true"/>
              </w:rPr>
              <w:t>» : «</w:t>
            </w:r>
            <w:r>
              <w:rPr>
                <w:rStyle w:val="IndexLink"/>
                <w:rtl w:val="true"/>
              </w:rPr>
              <w:t>یشترط کون المبیع ممّا یملک</w:t>
            </w:r>
            <w:r>
              <w:rPr>
                <w:rStyle w:val="IndexLink"/>
                <w:rtl w:val="true"/>
              </w:rPr>
              <w:t>»]</w:t>
              <w:tab/>
            </w:r>
            <w:r>
              <w:rPr>
                <w:rStyle w:val="IndexLink"/>
              </w:rPr>
              <w:t>183</w:t>
            </w:r>
          </w:hyperlink>
        </w:p>
        <w:p>
          <w:pPr>
            <w:pStyle w:val="Contents5"/>
            <w:tabs>
              <w:tab w:val="clear" w:pos="7892"/>
              <w:tab w:val="right" w:pos="9026" w:leader="dot"/>
            </w:tabs>
            <w:rPr/>
          </w:pPr>
          <w:hyperlink w:anchor="__RefHeading___Toc2092948_2314609296">
            <w:r>
              <w:rPr>
                <w:webHidden/>
                <w:rStyle w:val="IndexLink"/>
                <w:rtl w:val="true"/>
              </w:rPr>
              <w:t>[</w:t>
            </w:r>
            <w:r>
              <w:rPr>
                <w:rStyle w:val="IndexLink"/>
                <w:rtl w:val="true"/>
              </w:rPr>
              <w:t>الثانیة یشترط ان یکون مقدورا علی تسلیمه</w:t>
            </w:r>
            <w:r>
              <w:rPr>
                <w:rStyle w:val="IndexLink"/>
                <w:rtl w:val="true"/>
              </w:rPr>
              <w:t>]</w:t>
              <w:tab/>
            </w:r>
            <w:r>
              <w:rPr>
                <w:rStyle w:val="IndexLink"/>
              </w:rPr>
              <w:t>184</w:t>
            </w:r>
          </w:hyperlink>
        </w:p>
        <w:p>
          <w:pPr>
            <w:pStyle w:val="Contents5"/>
            <w:tabs>
              <w:tab w:val="clear" w:pos="7892"/>
              <w:tab w:val="right" w:pos="9026" w:leader="dot"/>
            </w:tabs>
            <w:rPr/>
          </w:pPr>
          <w:hyperlink w:anchor="__RefHeading___Toc2092950_2314609296">
            <w:r>
              <w:rPr>
                <w:webHidden/>
                <w:rStyle w:val="IndexLink"/>
                <w:rtl w:val="true"/>
              </w:rPr>
              <w:t>[</w:t>
            </w:r>
            <w:r>
              <w:rPr>
                <w:rStyle w:val="IndexLink"/>
                <w:rtl w:val="true"/>
              </w:rPr>
              <w:t>الثالثة یشترط</w:t>
            </w:r>
            <w:r>
              <w:rPr>
                <w:rStyle w:val="IndexLink"/>
                <w:rtl w:val="true"/>
              </w:rPr>
              <w:t xml:space="preserve">: </w:t>
            </w:r>
            <w:r>
              <w:rPr>
                <w:rStyle w:val="IndexLink"/>
                <w:rtl w:val="true"/>
              </w:rPr>
              <w:t>ان یکون طلقا</w:t>
            </w:r>
            <w:r>
              <w:rPr>
                <w:rStyle w:val="IndexLink"/>
                <w:rtl w:val="true"/>
              </w:rPr>
              <w:t>]</w:t>
              <w:tab/>
            </w:r>
            <w:r>
              <w:rPr>
                <w:rStyle w:val="IndexLink"/>
              </w:rPr>
              <w:t>187</w:t>
            </w:r>
          </w:hyperlink>
        </w:p>
        <w:p>
          <w:pPr>
            <w:pStyle w:val="Contents5"/>
            <w:tabs>
              <w:tab w:val="clear" w:pos="7892"/>
              <w:tab w:val="right" w:pos="9026" w:leader="dot"/>
            </w:tabs>
            <w:rPr/>
          </w:pPr>
          <w:hyperlink w:anchor="__RefHeading___Toc2092952_2314609296">
            <w:r>
              <w:rPr>
                <w:webHidden/>
                <w:rStyle w:val="IndexLink"/>
                <w:rtl w:val="true"/>
              </w:rPr>
              <w:t>[</w:t>
            </w:r>
            <w:r>
              <w:rPr>
                <w:rStyle w:val="IndexLink"/>
                <w:rtl w:val="true"/>
              </w:rPr>
              <w:t>الرابعة</w:t>
            </w:r>
            <w:r>
              <w:rPr>
                <w:rStyle w:val="IndexLink"/>
                <w:rtl w:val="true"/>
              </w:rPr>
              <w:t xml:space="preserve">: </w:t>
            </w:r>
            <w:r>
              <w:rPr>
                <w:rStyle w:val="IndexLink"/>
                <w:rtl w:val="true"/>
              </w:rPr>
              <w:t>جنایة العبد لا تمنع من بیعه</w:t>
            </w:r>
            <w:r>
              <w:rPr>
                <w:rStyle w:val="IndexLink"/>
                <w:rtl w:val="true"/>
              </w:rPr>
              <w:t>]</w:t>
              <w:tab/>
            </w:r>
            <w:r>
              <w:rPr>
                <w:rStyle w:val="IndexLink"/>
              </w:rPr>
              <w:t>191</w:t>
            </w:r>
          </w:hyperlink>
        </w:p>
        <w:p>
          <w:pPr>
            <w:pStyle w:val="Contents5"/>
            <w:tabs>
              <w:tab w:val="clear" w:pos="7892"/>
              <w:tab w:val="right" w:pos="9026" w:leader="dot"/>
            </w:tabs>
            <w:rPr/>
          </w:pPr>
          <w:hyperlink w:anchor="__RefHeading___Toc2092954_2314609296">
            <w:r>
              <w:rPr>
                <w:webHidden/>
                <w:rStyle w:val="IndexLink"/>
                <w:rtl w:val="true"/>
              </w:rPr>
              <w:t>[</w:t>
            </w:r>
            <w:r>
              <w:rPr>
                <w:rStyle w:val="IndexLink"/>
                <w:rtl w:val="true"/>
              </w:rPr>
              <w:t>الخامسة</w:t>
            </w:r>
            <w:r>
              <w:rPr>
                <w:rStyle w:val="IndexLink"/>
                <w:rtl w:val="true"/>
              </w:rPr>
              <w:t xml:space="preserve">: </w:t>
            </w:r>
            <w:r>
              <w:rPr>
                <w:rStyle w:val="IndexLink"/>
                <w:rtl w:val="true"/>
              </w:rPr>
              <w:t>یشترط العلم بالثمن</w:t>
            </w:r>
            <w:r>
              <w:rPr>
                <w:rStyle w:val="IndexLink"/>
                <w:rtl w:val="true"/>
              </w:rPr>
              <w:t>]</w:t>
              <w:tab/>
            </w:r>
            <w:r>
              <w:rPr>
                <w:rStyle w:val="IndexLink"/>
              </w:rPr>
              <w:t>192</w:t>
            </w:r>
          </w:hyperlink>
        </w:p>
        <w:p>
          <w:pPr>
            <w:pStyle w:val="Contents5"/>
            <w:tabs>
              <w:tab w:val="clear" w:pos="7892"/>
              <w:tab w:val="right" w:pos="9026" w:leader="dot"/>
            </w:tabs>
            <w:rPr/>
          </w:pPr>
          <w:hyperlink w:anchor="__RefHeading___Toc2092956_2314609296">
            <w:r>
              <w:rPr>
                <w:webHidden/>
                <w:rStyle w:val="IndexLink"/>
                <w:rtl w:val="true"/>
              </w:rPr>
              <w:t>[</w:t>
            </w:r>
            <w:r>
              <w:rPr>
                <w:rStyle w:val="IndexLink"/>
                <w:rtl w:val="true"/>
              </w:rPr>
              <w:t>السادسة</w:t>
            </w:r>
            <w:r>
              <w:rPr>
                <w:rStyle w:val="IndexLink"/>
                <w:rtl w:val="true"/>
              </w:rPr>
              <w:t xml:space="preserve">: </w:t>
            </w:r>
            <w:r>
              <w:rPr>
                <w:rStyle w:val="IndexLink"/>
                <w:rtl w:val="true"/>
              </w:rPr>
              <w:t>ما یشترط فی بیع المکیل و الموزن و المعدود</w:t>
            </w:r>
            <w:r>
              <w:rPr>
                <w:rStyle w:val="IndexLink"/>
                <w:rtl w:val="true"/>
              </w:rPr>
              <w:t>]</w:t>
              <w:tab/>
            </w:r>
            <w:r>
              <w:rPr>
                <w:rStyle w:val="IndexLink"/>
              </w:rPr>
              <w:t>193</w:t>
            </w:r>
          </w:hyperlink>
        </w:p>
        <w:p>
          <w:pPr>
            <w:pStyle w:val="Contents5"/>
            <w:tabs>
              <w:tab w:val="clear" w:pos="7892"/>
              <w:tab w:val="right" w:pos="9026" w:leader="dot"/>
            </w:tabs>
            <w:rPr/>
          </w:pPr>
          <w:hyperlink w:anchor="__RefHeading___Toc2092958_2314609296">
            <w:r>
              <w:rPr>
                <w:webHidden/>
                <w:rStyle w:val="IndexLink"/>
                <w:rtl w:val="true"/>
              </w:rPr>
              <w:t>[</w:t>
            </w:r>
            <w:r>
              <w:rPr>
                <w:rStyle w:val="IndexLink"/>
                <w:rtl w:val="true"/>
              </w:rPr>
              <w:t>السابعة</w:t>
            </w:r>
            <w:r>
              <w:rPr>
                <w:rStyle w:val="IndexLink"/>
                <w:rtl w:val="true"/>
              </w:rPr>
              <w:t xml:space="preserve">: </w:t>
            </w:r>
            <w:r>
              <w:rPr>
                <w:rStyle w:val="IndexLink"/>
                <w:rtl w:val="true"/>
              </w:rPr>
              <w:t>حکم ابتیاع الجزء مشاعا</w:t>
            </w:r>
            <w:r>
              <w:rPr>
                <w:rStyle w:val="IndexLink"/>
                <w:rtl w:val="true"/>
              </w:rPr>
              <w:t>]</w:t>
              <w:tab/>
            </w:r>
            <w:r>
              <w:rPr>
                <w:rStyle w:val="IndexLink"/>
              </w:rPr>
              <w:t>195</w:t>
            </w:r>
          </w:hyperlink>
        </w:p>
        <w:p>
          <w:pPr>
            <w:pStyle w:val="Contents5"/>
            <w:tabs>
              <w:tab w:val="clear" w:pos="7892"/>
              <w:tab w:val="right" w:pos="9026" w:leader="dot"/>
            </w:tabs>
            <w:rPr/>
          </w:pPr>
          <w:hyperlink w:anchor="__RefHeading___Toc2092960_2314609296">
            <w:r>
              <w:rPr>
                <w:webHidden/>
                <w:rStyle w:val="IndexLink"/>
                <w:rtl w:val="true"/>
              </w:rPr>
              <w:t>[</w:t>
            </w:r>
            <w:r>
              <w:rPr>
                <w:rStyle w:val="IndexLink"/>
                <w:rtl w:val="true"/>
              </w:rPr>
              <w:t>الثامنة</w:t>
            </w:r>
            <w:r>
              <w:rPr>
                <w:rStyle w:val="IndexLink"/>
                <w:rtl w:val="true"/>
              </w:rPr>
              <w:t xml:space="preserve">: </w:t>
            </w:r>
            <w:r>
              <w:rPr>
                <w:rStyle w:val="IndexLink"/>
                <w:rtl w:val="true"/>
              </w:rPr>
              <w:t>کفایة المشاهد عن الوصف</w:t>
            </w:r>
            <w:r>
              <w:rPr>
                <w:rStyle w:val="IndexLink"/>
                <w:rtl w:val="true"/>
              </w:rPr>
              <w:t>]</w:t>
              <w:tab/>
            </w:r>
            <w:r>
              <w:rPr>
                <w:rStyle w:val="IndexLink"/>
              </w:rPr>
              <w:t>196</w:t>
            </w:r>
          </w:hyperlink>
        </w:p>
        <w:p>
          <w:pPr>
            <w:pStyle w:val="Contents5"/>
            <w:tabs>
              <w:tab w:val="clear" w:pos="7892"/>
              <w:tab w:val="right" w:pos="9026" w:leader="dot"/>
            </w:tabs>
            <w:rPr/>
          </w:pPr>
          <w:hyperlink w:anchor="__RefHeading___Toc2092962_2314609296">
            <w:r>
              <w:rPr>
                <w:webHidden/>
                <w:rStyle w:val="IndexLink"/>
                <w:rtl w:val="true"/>
              </w:rPr>
              <w:t>[</w:t>
            </w:r>
            <w:r>
              <w:rPr>
                <w:rStyle w:val="IndexLink"/>
                <w:rtl w:val="true"/>
              </w:rPr>
              <w:t>التاسعة</w:t>
            </w:r>
            <w:r>
              <w:rPr>
                <w:rStyle w:val="IndexLink"/>
                <w:rtl w:val="true"/>
              </w:rPr>
              <w:t xml:space="preserve">: </w:t>
            </w:r>
            <w:r>
              <w:rPr>
                <w:rStyle w:val="IndexLink"/>
                <w:rtl w:val="true"/>
              </w:rPr>
              <w:t>جواز اختبار ما یراد طعمه و ریحه</w:t>
            </w:r>
            <w:r>
              <w:rPr>
                <w:rStyle w:val="IndexLink"/>
                <w:rtl w:val="true"/>
              </w:rPr>
              <w:t>]</w:t>
              <w:tab/>
            </w:r>
            <w:r>
              <w:rPr>
                <w:rStyle w:val="IndexLink"/>
              </w:rPr>
              <w:t>198</w:t>
            </w:r>
          </w:hyperlink>
        </w:p>
        <w:p>
          <w:pPr>
            <w:pStyle w:val="Contents5"/>
            <w:tabs>
              <w:tab w:val="clear" w:pos="7892"/>
              <w:tab w:val="right" w:pos="9026" w:leader="dot"/>
            </w:tabs>
            <w:rPr/>
          </w:pPr>
          <w:hyperlink w:anchor="__RefHeading___Toc2092964_2314609296">
            <w:r>
              <w:rPr>
                <w:webHidden/>
                <w:rStyle w:val="IndexLink"/>
                <w:rtl w:val="true"/>
              </w:rPr>
              <w:t>[</w:t>
            </w:r>
            <w:r>
              <w:rPr>
                <w:rStyle w:val="IndexLink"/>
                <w:rtl w:val="true"/>
              </w:rPr>
              <w:t>العاشرة</w:t>
            </w:r>
            <w:r>
              <w:rPr>
                <w:rStyle w:val="IndexLink"/>
                <w:rtl w:val="true"/>
              </w:rPr>
              <w:t xml:space="preserve">: </w:t>
            </w:r>
            <w:r>
              <w:rPr>
                <w:rStyle w:val="IndexLink"/>
                <w:rtl w:val="true"/>
              </w:rPr>
              <w:t>جواز بیع السمک فی فارة</w:t>
            </w:r>
            <w:r>
              <w:rPr>
                <w:rStyle w:val="IndexLink"/>
                <w:rtl w:val="true"/>
              </w:rPr>
              <w:t>]</w:t>
              <w:tab/>
            </w:r>
            <w:r>
              <w:rPr>
                <w:rStyle w:val="IndexLink"/>
              </w:rPr>
              <w:t>200</w:t>
            </w:r>
          </w:hyperlink>
        </w:p>
        <w:p>
          <w:pPr>
            <w:pStyle w:val="Contents5"/>
            <w:tabs>
              <w:tab w:val="clear" w:pos="7892"/>
              <w:tab w:val="right" w:pos="9026" w:leader="dot"/>
            </w:tabs>
            <w:rPr/>
          </w:pPr>
          <w:hyperlink w:anchor="__RefHeading___Toc2092966_2314609296">
            <w:r>
              <w:rPr>
                <w:webHidden/>
                <w:rStyle w:val="IndexLink"/>
                <w:rtl w:val="true"/>
              </w:rPr>
              <w:t>[</w:t>
            </w:r>
            <w:r>
              <w:rPr>
                <w:rStyle w:val="IndexLink"/>
                <w:rtl w:val="true"/>
              </w:rPr>
              <w:t xml:space="preserve">الحادیة عشر عدم جواز بیع مجهول المقدار </w:t>
            </w:r>
            <w:r>
              <w:rPr>
                <w:rStyle w:val="IndexLink"/>
                <w:rtl w:val="true"/>
              </w:rPr>
              <w:t>]</w:t>
              <w:tab/>
            </w:r>
            <w:r>
              <w:rPr>
                <w:rStyle w:val="IndexLink"/>
              </w:rPr>
              <w:t>200</w:t>
            </w:r>
          </w:hyperlink>
        </w:p>
        <w:p>
          <w:pPr>
            <w:pStyle w:val="Contents5"/>
            <w:tabs>
              <w:tab w:val="clear" w:pos="7892"/>
              <w:tab w:val="right" w:pos="9026" w:leader="dot"/>
            </w:tabs>
            <w:rPr/>
          </w:pPr>
          <w:hyperlink w:anchor="__RefHeading___Toc2092968_2314609296">
            <w:r>
              <w:rPr>
                <w:webHidden/>
                <w:rStyle w:val="IndexLink"/>
                <w:rtl w:val="true"/>
              </w:rPr>
              <w:t>[</w:t>
            </w:r>
            <w:r>
              <w:rPr>
                <w:rStyle w:val="IndexLink"/>
                <w:rtl w:val="true"/>
              </w:rPr>
              <w:t>الثانیة عشر</w:t>
            </w:r>
            <w:r>
              <w:rPr>
                <w:rStyle w:val="IndexLink"/>
                <w:rtl w:val="true"/>
              </w:rPr>
              <w:t xml:space="preserve">: </w:t>
            </w:r>
            <w:r>
              <w:rPr>
                <w:rStyle w:val="IndexLink"/>
                <w:rtl w:val="true"/>
              </w:rPr>
              <w:t>جواز بیع دود القز</w:t>
            </w:r>
            <w:r>
              <w:rPr>
                <w:rStyle w:val="IndexLink"/>
                <w:rtl w:val="true"/>
              </w:rPr>
              <w:t>]</w:t>
              <w:tab/>
            </w:r>
            <w:r>
              <w:rPr>
                <w:rStyle w:val="IndexLink"/>
              </w:rPr>
              <w:t>202</w:t>
            </w:r>
          </w:hyperlink>
        </w:p>
        <w:p>
          <w:pPr>
            <w:pStyle w:val="Contents5"/>
            <w:tabs>
              <w:tab w:val="clear" w:pos="7892"/>
              <w:tab w:val="right" w:pos="9026" w:leader="dot"/>
            </w:tabs>
            <w:rPr/>
          </w:pPr>
          <w:hyperlink w:anchor="__RefHeading___Toc2092970_2314609296">
            <w:r>
              <w:rPr>
                <w:webHidden/>
                <w:rStyle w:val="IndexLink"/>
                <w:rtl w:val="true"/>
              </w:rPr>
              <w:t>[</w:t>
            </w:r>
            <w:r>
              <w:rPr>
                <w:rStyle w:val="IndexLink"/>
                <w:rtl w:val="true"/>
              </w:rPr>
              <w:t>الثالثة عشر</w:t>
            </w:r>
            <w:r>
              <w:rPr>
                <w:rStyle w:val="IndexLink"/>
                <w:rtl w:val="true"/>
              </w:rPr>
              <w:t xml:space="preserve">: </w:t>
            </w:r>
            <w:r>
              <w:rPr>
                <w:rStyle w:val="IndexLink"/>
                <w:rtl w:val="true"/>
              </w:rPr>
              <w:t>حکم ظرف المبیع</w:t>
            </w:r>
            <w:r>
              <w:rPr>
                <w:rStyle w:val="IndexLink"/>
                <w:rtl w:val="true"/>
              </w:rPr>
              <w:t>]</w:t>
              <w:tab/>
            </w:r>
            <w:r>
              <w:rPr>
                <w:rStyle w:val="IndexLink"/>
              </w:rPr>
              <w:t>203</w:t>
            </w:r>
          </w:hyperlink>
        </w:p>
        <w:p>
          <w:pPr>
            <w:pStyle w:val="Contents4"/>
            <w:tabs>
              <w:tab w:val="clear" w:pos="8176"/>
              <w:tab w:val="right" w:pos="9026" w:leader="dot"/>
            </w:tabs>
            <w:rPr/>
          </w:pPr>
          <w:hyperlink w:anchor="__RefHeading___Toc2092972_2314609296">
            <w:r>
              <w:rPr>
                <w:webHidden/>
                <w:rStyle w:val="IndexLink"/>
                <w:rtl w:val="true"/>
              </w:rPr>
              <w:t>[«</w:t>
            </w:r>
            <w:r>
              <w:rPr>
                <w:rStyle w:val="IndexLink"/>
                <w:rtl w:val="true"/>
              </w:rPr>
              <w:t>القول فی الآداب</w:t>
            </w:r>
            <w:r>
              <w:rPr>
                <w:rStyle w:val="IndexLink"/>
                <w:rtl w:val="true"/>
              </w:rPr>
              <w:t>»]</w:t>
              <w:tab/>
            </w:r>
            <w:r>
              <w:rPr>
                <w:rStyle w:val="IndexLink"/>
              </w:rPr>
              <w:t>204</w:t>
            </w:r>
          </w:hyperlink>
        </w:p>
        <w:p>
          <w:pPr>
            <w:pStyle w:val="Contents3"/>
            <w:tabs>
              <w:tab w:val="clear" w:pos="8459"/>
              <w:tab w:val="right" w:pos="9026" w:leader="dot"/>
            </w:tabs>
            <w:rPr/>
          </w:pPr>
          <w:hyperlink w:anchor="__RefHeading___Toc2092974_2314609296">
            <w:r>
              <w:rPr>
                <w:webHidden/>
                <w:rStyle w:val="IndexLink"/>
                <w:rtl w:val="true"/>
              </w:rPr>
              <w:t>«</w:t>
            </w:r>
            <w:r>
              <w:rPr>
                <w:rStyle w:val="IndexLink"/>
                <w:rtl w:val="true"/>
              </w:rPr>
              <w:t>الفصل الثالث</w:t>
            </w:r>
            <w:r>
              <w:rPr>
                <w:rStyle w:val="IndexLink"/>
                <w:rtl w:val="true"/>
              </w:rPr>
              <w:t>» «</w:t>
            </w:r>
            <w:r>
              <w:rPr>
                <w:rStyle w:val="IndexLink"/>
                <w:rtl w:val="true"/>
              </w:rPr>
              <w:t>فی بیع الحیوان</w:t>
            </w:r>
            <w:r>
              <w:rPr>
                <w:rStyle w:val="IndexLink"/>
                <w:rtl w:val="true"/>
              </w:rPr>
              <w:t>»</w:t>
              <w:tab/>
            </w:r>
            <w:r>
              <w:rPr>
                <w:rStyle w:val="IndexLink"/>
              </w:rPr>
              <w:t>215</w:t>
            </w:r>
          </w:hyperlink>
        </w:p>
        <w:p>
          <w:pPr>
            <w:pStyle w:val="Contents4"/>
            <w:tabs>
              <w:tab w:val="clear" w:pos="8176"/>
              <w:tab w:val="right" w:pos="9026" w:leader="dot"/>
            </w:tabs>
            <w:rPr/>
          </w:pPr>
          <w:hyperlink w:anchor="__RefHeading___Toc2092976_2314609296">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2092978_2314609296">
            <w:r>
              <w:rPr>
                <w:webHidden/>
                <w:rStyle w:val="IndexLink"/>
                <w:rtl w:val="true"/>
              </w:rPr>
              <w:t>[</w:t>
            </w:r>
            <w:r>
              <w:rPr>
                <w:rStyle w:val="IndexLink"/>
                <w:rtl w:val="true"/>
              </w:rPr>
              <w:t xml:space="preserve">بیه الاناسی </w:t>
            </w:r>
            <w:r>
              <w:rPr>
                <w:rStyle w:val="IndexLink"/>
                <w:rtl w:val="true"/>
              </w:rPr>
              <w:t>]</w:t>
              <w:tab/>
            </w:r>
            <w:r>
              <w:rPr>
                <w:rStyle w:val="IndexLink"/>
              </w:rPr>
              <w:t>215</w:t>
            </w:r>
          </w:hyperlink>
        </w:p>
        <w:p>
          <w:pPr>
            <w:pStyle w:val="Contents4"/>
            <w:tabs>
              <w:tab w:val="clear" w:pos="8176"/>
              <w:tab w:val="right" w:pos="9026" w:leader="dot"/>
            </w:tabs>
            <w:rPr/>
          </w:pPr>
          <w:hyperlink w:anchor="__RefHeading___Toc2092980_2314609296">
            <w:r>
              <w:rPr>
                <w:webHidden/>
                <w:rStyle w:val="IndexLink"/>
                <w:rtl w:val="true"/>
              </w:rPr>
              <w:t>[«</w:t>
            </w:r>
            <w:r>
              <w:rPr>
                <w:rStyle w:val="IndexLink"/>
                <w:rtl w:val="true"/>
              </w:rPr>
              <w:t>وهنا مسائل</w:t>
            </w:r>
            <w:r>
              <w:rPr>
                <w:rStyle w:val="IndexLink"/>
                <w:rtl w:val="true"/>
              </w:rPr>
              <w:t>»]</w:t>
              <w:tab/>
            </w:r>
            <w:r>
              <w:rPr>
                <w:rStyle w:val="IndexLink"/>
              </w:rPr>
              <w:t>224</w:t>
            </w:r>
          </w:hyperlink>
        </w:p>
        <w:p>
          <w:pPr>
            <w:pStyle w:val="Contents5"/>
            <w:tabs>
              <w:tab w:val="clear" w:pos="7892"/>
              <w:tab w:val="right" w:pos="9026" w:leader="dot"/>
            </w:tabs>
            <w:rPr/>
          </w:pPr>
          <w:hyperlink w:anchor="__RefHeading___Toc2092982_2314609296">
            <w:r>
              <w:rPr>
                <w:webHidden/>
                <w:rStyle w:val="IndexLink"/>
                <w:rtl w:val="true"/>
              </w:rPr>
              <w:t>[</w:t>
            </w:r>
            <w:r>
              <w:rPr>
                <w:rStyle w:val="IndexLink"/>
                <w:rtl w:val="true"/>
              </w:rPr>
              <w:t>الاولی</w:t>
            </w:r>
            <w:r>
              <w:rPr>
                <w:rStyle w:val="IndexLink"/>
                <w:rtl w:val="true"/>
              </w:rPr>
              <w:t xml:space="preserve">: </w:t>
            </w:r>
            <w:r>
              <w:rPr>
                <w:rStyle w:val="IndexLink"/>
                <w:rtl w:val="true"/>
              </w:rPr>
              <w:t xml:space="preserve">حدوث العیب فی الحیوان قبل القبض </w:t>
            </w:r>
            <w:r>
              <w:rPr>
                <w:rStyle w:val="IndexLink"/>
                <w:rtl w:val="true"/>
              </w:rPr>
              <w:t>]</w:t>
              <w:tab/>
            </w:r>
            <w:r>
              <w:rPr>
                <w:rStyle w:val="IndexLink"/>
              </w:rPr>
              <w:t>224</w:t>
            </w:r>
          </w:hyperlink>
        </w:p>
        <w:p>
          <w:pPr>
            <w:pStyle w:val="Contents5"/>
            <w:tabs>
              <w:tab w:val="clear" w:pos="7892"/>
              <w:tab w:val="right" w:pos="9026" w:leader="dot"/>
            </w:tabs>
            <w:rPr/>
          </w:pPr>
          <w:hyperlink w:anchor="__RefHeading___Toc2092984_2314609296">
            <w:r>
              <w:rPr>
                <w:webHidden/>
                <w:rStyle w:val="IndexLink"/>
                <w:rtl w:val="true"/>
              </w:rPr>
              <w:t>[</w:t>
            </w:r>
            <w:r>
              <w:rPr>
                <w:rStyle w:val="IndexLink"/>
                <w:rtl w:val="true"/>
              </w:rPr>
              <w:t>الثانیة</w:t>
            </w:r>
            <w:r>
              <w:rPr>
                <w:rStyle w:val="IndexLink"/>
                <w:rtl w:val="true"/>
              </w:rPr>
              <w:t xml:space="preserve">: </w:t>
            </w:r>
            <w:r>
              <w:rPr>
                <w:rStyle w:val="IndexLink"/>
                <w:rtl w:val="true"/>
              </w:rPr>
              <w:t xml:space="preserve">حدوث العیب فی زمن الخیار </w:t>
            </w:r>
            <w:r>
              <w:rPr>
                <w:rStyle w:val="IndexLink"/>
                <w:rtl w:val="true"/>
              </w:rPr>
              <w:t>]</w:t>
              <w:tab/>
            </w:r>
            <w:r>
              <w:rPr>
                <w:rStyle w:val="IndexLink"/>
              </w:rPr>
              <w:t>225</w:t>
            </w:r>
          </w:hyperlink>
        </w:p>
        <w:p>
          <w:pPr>
            <w:pStyle w:val="Contents5"/>
            <w:tabs>
              <w:tab w:val="clear" w:pos="7892"/>
              <w:tab w:val="right" w:pos="9026" w:leader="dot"/>
            </w:tabs>
            <w:rPr/>
          </w:pPr>
          <w:hyperlink w:anchor="__RefHeading___Toc2092986_2314609296">
            <w:r>
              <w:rPr>
                <w:webHidden/>
                <w:rStyle w:val="IndexLink"/>
                <w:rtl w:val="true"/>
              </w:rPr>
              <w:t>[</w:t>
            </w:r>
            <w:r>
              <w:rPr>
                <w:rStyle w:val="IndexLink"/>
                <w:rtl w:val="true"/>
              </w:rPr>
              <w:t>الثالثة</w:t>
            </w:r>
            <w:r>
              <w:rPr>
                <w:rStyle w:val="IndexLink"/>
                <w:rtl w:val="true"/>
              </w:rPr>
              <w:t xml:space="preserve">: </w:t>
            </w:r>
            <w:r>
              <w:rPr>
                <w:rStyle w:val="IndexLink"/>
                <w:rtl w:val="true"/>
              </w:rPr>
              <w:t xml:space="preserve">لو ظهرت الامة مستحقة للغیر </w:t>
            </w:r>
            <w:r>
              <w:rPr>
                <w:rStyle w:val="IndexLink"/>
                <w:rtl w:val="true"/>
              </w:rPr>
              <w:t>]</w:t>
              <w:tab/>
            </w:r>
            <w:r>
              <w:rPr>
                <w:rStyle w:val="IndexLink"/>
              </w:rPr>
              <w:t>226</w:t>
            </w:r>
          </w:hyperlink>
        </w:p>
        <w:p>
          <w:pPr>
            <w:pStyle w:val="Contents5"/>
            <w:tabs>
              <w:tab w:val="clear" w:pos="7892"/>
              <w:tab w:val="right" w:pos="9026" w:leader="dot"/>
            </w:tabs>
            <w:rPr/>
          </w:pPr>
          <w:hyperlink w:anchor="__RefHeading___Toc2092988_2314609296">
            <w:r>
              <w:rPr>
                <w:webHidden/>
                <w:rStyle w:val="IndexLink"/>
                <w:rtl w:val="true"/>
              </w:rPr>
              <w:t>[</w:t>
            </w:r>
            <w:r>
              <w:rPr>
                <w:rStyle w:val="IndexLink"/>
                <w:rtl w:val="true"/>
              </w:rPr>
              <w:t>الرابعة</w:t>
            </w:r>
            <w:r>
              <w:rPr>
                <w:rStyle w:val="IndexLink"/>
                <w:rtl w:val="true"/>
              </w:rPr>
              <w:t xml:space="preserve">: </w:t>
            </w:r>
            <w:r>
              <w:rPr>
                <w:rStyle w:val="IndexLink"/>
                <w:rtl w:val="true"/>
              </w:rPr>
              <w:t xml:space="preserve">اختلاف المولی الماذون و غیره فی عتق العبد </w:t>
            </w:r>
            <w:r>
              <w:rPr>
                <w:rStyle w:val="IndexLink"/>
                <w:rtl w:val="true"/>
              </w:rPr>
              <w:t>]</w:t>
              <w:tab/>
            </w:r>
            <w:r>
              <w:rPr>
                <w:rStyle w:val="IndexLink"/>
              </w:rPr>
              <w:t>228</w:t>
            </w:r>
          </w:hyperlink>
        </w:p>
        <w:p>
          <w:pPr>
            <w:pStyle w:val="Contents5"/>
            <w:tabs>
              <w:tab w:val="clear" w:pos="7892"/>
              <w:tab w:val="right" w:pos="9026" w:leader="dot"/>
            </w:tabs>
            <w:rPr/>
          </w:pPr>
          <w:hyperlink w:anchor="__RefHeading___Toc2092990_2314609296">
            <w:r>
              <w:rPr>
                <w:webHidden/>
                <w:rStyle w:val="IndexLink"/>
                <w:rtl w:val="true"/>
              </w:rPr>
              <w:t>[</w:t>
            </w:r>
            <w:r>
              <w:rPr>
                <w:rStyle w:val="IndexLink"/>
                <w:rtl w:val="true"/>
              </w:rPr>
              <w:t>الخامسة</w:t>
            </w:r>
            <w:r>
              <w:rPr>
                <w:rStyle w:val="IndexLink"/>
                <w:rtl w:val="true"/>
              </w:rPr>
              <w:t xml:space="preserve">: </w:t>
            </w:r>
            <w:r>
              <w:rPr>
                <w:rStyle w:val="IndexLink"/>
                <w:rtl w:val="true"/>
              </w:rPr>
              <w:t>حکم تنازع الماذونین</w:t>
            </w:r>
            <w:r>
              <w:rPr>
                <w:rStyle w:val="IndexLink"/>
                <w:rtl w:val="true"/>
              </w:rPr>
              <w:t>]</w:t>
              <w:tab/>
            </w:r>
            <w:r>
              <w:rPr>
                <w:rStyle w:val="IndexLink"/>
              </w:rPr>
              <w:t>231</w:t>
            </w:r>
          </w:hyperlink>
        </w:p>
        <w:p>
          <w:pPr>
            <w:pStyle w:val="Contents5"/>
            <w:tabs>
              <w:tab w:val="clear" w:pos="7892"/>
              <w:tab w:val="right" w:pos="9026" w:leader="dot"/>
            </w:tabs>
            <w:rPr/>
          </w:pPr>
          <w:hyperlink w:anchor="__RefHeading___Toc2092992_2314609296">
            <w:r>
              <w:rPr>
                <w:webHidden/>
                <w:rStyle w:val="IndexLink"/>
                <w:rtl w:val="true"/>
              </w:rPr>
              <w:t>[</w:t>
            </w:r>
            <w:r>
              <w:rPr>
                <w:rStyle w:val="IndexLink"/>
                <w:rtl w:val="true"/>
              </w:rPr>
              <w:t>السادسة</w:t>
            </w:r>
            <w:r>
              <w:rPr>
                <w:rStyle w:val="IndexLink"/>
                <w:rtl w:val="true"/>
              </w:rPr>
              <w:t xml:space="preserve">: </w:t>
            </w:r>
            <w:r>
              <w:rPr>
                <w:rStyle w:val="IndexLink"/>
                <w:rtl w:val="true"/>
              </w:rPr>
              <w:t>عدم جواز شراء الامة المسروقة من ارض الصلح</w:t>
            </w:r>
            <w:r>
              <w:rPr>
                <w:rStyle w:val="IndexLink"/>
                <w:rtl w:val="true"/>
              </w:rPr>
              <w:t>]</w:t>
              <w:tab/>
            </w:r>
            <w:r>
              <w:rPr>
                <w:rStyle w:val="IndexLink"/>
              </w:rPr>
              <w:t>233</w:t>
            </w:r>
          </w:hyperlink>
        </w:p>
        <w:p>
          <w:pPr>
            <w:pStyle w:val="Contents5"/>
            <w:tabs>
              <w:tab w:val="clear" w:pos="7892"/>
              <w:tab w:val="right" w:pos="9026" w:leader="dot"/>
            </w:tabs>
            <w:rPr/>
          </w:pPr>
          <w:hyperlink w:anchor="__RefHeading___Toc2092994_2314609296">
            <w:r>
              <w:rPr>
                <w:webHidden/>
                <w:rStyle w:val="IndexLink"/>
                <w:rtl w:val="true"/>
              </w:rPr>
              <w:t>[</w:t>
            </w:r>
            <w:r>
              <w:rPr>
                <w:rStyle w:val="IndexLink"/>
                <w:rtl w:val="true"/>
              </w:rPr>
              <w:t>السابعة</w:t>
            </w:r>
            <w:r>
              <w:rPr>
                <w:rStyle w:val="IndexLink"/>
                <w:rtl w:val="true"/>
              </w:rPr>
              <w:t xml:space="preserve">: </w:t>
            </w:r>
            <w:r>
              <w:rPr>
                <w:rStyle w:val="IndexLink"/>
                <w:rtl w:val="true"/>
              </w:rPr>
              <w:t xml:space="preserve">عدم جواز بیع عبد من عبدین </w:t>
            </w:r>
            <w:r>
              <w:rPr>
                <w:rStyle w:val="IndexLink"/>
                <w:rtl w:val="true"/>
              </w:rPr>
              <w:t>]</w:t>
              <w:tab/>
            </w:r>
            <w:r>
              <w:rPr>
                <w:rStyle w:val="IndexLink"/>
              </w:rPr>
              <w:t>235</w:t>
            </w:r>
          </w:hyperlink>
        </w:p>
        <w:p>
          <w:pPr>
            <w:pStyle w:val="Contents3"/>
            <w:tabs>
              <w:tab w:val="clear" w:pos="8459"/>
              <w:tab w:val="right" w:pos="9026" w:leader="dot"/>
            </w:tabs>
            <w:rPr/>
          </w:pPr>
          <w:hyperlink w:anchor="__RefHeading___Toc2092996_2314609296">
            <w:r>
              <w:rPr>
                <w:webHidden/>
                <w:rStyle w:val="IndexLink"/>
                <w:rtl w:val="true"/>
              </w:rPr>
              <w:t>«</w:t>
            </w:r>
            <w:r>
              <w:rPr>
                <w:rStyle w:val="IndexLink"/>
                <w:rtl w:val="true"/>
              </w:rPr>
              <w:t>الفصل الرابع</w:t>
            </w:r>
            <w:r>
              <w:rPr>
                <w:rStyle w:val="IndexLink"/>
                <w:rtl w:val="true"/>
              </w:rPr>
              <w:t>» «</w:t>
            </w:r>
            <w:r>
              <w:rPr>
                <w:rStyle w:val="IndexLink"/>
                <w:rtl w:val="true"/>
              </w:rPr>
              <w:t>فی</w:t>
            </w:r>
            <w:r>
              <w:rPr>
                <w:rStyle w:val="IndexLink"/>
                <w:rtl w:val="true"/>
              </w:rPr>
              <w:t xml:space="preserve">» </w:t>
            </w:r>
            <w:r>
              <w:rPr>
                <w:rStyle w:val="IndexLink"/>
                <w:rtl w:val="true"/>
              </w:rPr>
              <w:t xml:space="preserve">بیع </w:t>
            </w:r>
            <w:r>
              <w:rPr>
                <w:rStyle w:val="IndexLink"/>
                <w:rtl w:val="true"/>
              </w:rPr>
              <w:t>«</w:t>
            </w:r>
            <w:r>
              <w:rPr>
                <w:rStyle w:val="IndexLink"/>
                <w:rtl w:val="true"/>
              </w:rPr>
              <w:t>الثمار</w:t>
            </w:r>
            <w:r>
              <w:rPr>
                <w:rStyle w:val="IndexLink"/>
                <w:rtl w:val="true"/>
              </w:rPr>
              <w:t>»</w:t>
              <w:tab/>
            </w:r>
            <w:r>
              <w:rPr>
                <w:rStyle w:val="IndexLink"/>
              </w:rPr>
              <w:t>239</w:t>
            </w:r>
          </w:hyperlink>
        </w:p>
        <w:p>
          <w:pPr>
            <w:pStyle w:val="Contents4"/>
            <w:tabs>
              <w:tab w:val="clear" w:pos="8176"/>
              <w:tab w:val="right" w:pos="9026" w:leader="dot"/>
            </w:tabs>
            <w:rPr/>
          </w:pPr>
          <w:hyperlink w:anchor="__RefHeading___Toc2092998_2314609296">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093000_2314609296">
            <w:r>
              <w:rPr>
                <w:webHidden/>
                <w:rStyle w:val="IndexLink"/>
                <w:rtl w:val="true"/>
              </w:rPr>
              <w:t>[</w:t>
            </w:r>
            <w:r>
              <w:rPr>
                <w:rStyle w:val="IndexLink"/>
                <w:rtl w:val="true"/>
              </w:rPr>
              <w:t xml:space="preserve">مسائل </w:t>
            </w:r>
            <w:r>
              <w:rPr>
                <w:rStyle w:val="IndexLink"/>
                <w:rtl w:val="true"/>
              </w:rPr>
              <w:t>]</w:t>
              <w:tab/>
            </w:r>
            <w:r>
              <w:rPr>
                <w:rStyle w:val="IndexLink"/>
              </w:rPr>
              <w:t>244</w:t>
            </w:r>
          </w:hyperlink>
        </w:p>
        <w:p>
          <w:pPr>
            <w:pStyle w:val="Contents5"/>
            <w:tabs>
              <w:tab w:val="clear" w:pos="7892"/>
              <w:tab w:val="right" w:pos="9026" w:leader="dot"/>
            </w:tabs>
            <w:rPr/>
          </w:pPr>
          <w:hyperlink w:anchor="__RefHeading___Toc2093002_2314609296">
            <w:r>
              <w:rPr>
                <w:webHidden/>
                <w:rStyle w:val="IndexLink"/>
                <w:rtl w:val="true"/>
              </w:rPr>
              <w:t>[</w:t>
            </w:r>
            <w:r>
              <w:rPr>
                <w:rStyle w:val="IndexLink"/>
                <w:rtl w:val="true"/>
              </w:rPr>
              <w:t>الاولی</w:t>
            </w:r>
            <w:r>
              <w:rPr>
                <w:rStyle w:val="IndexLink"/>
                <w:rtl w:val="true"/>
              </w:rPr>
              <w:t xml:space="preserve">: </w:t>
            </w:r>
            <w:r>
              <w:rPr>
                <w:rStyle w:val="IndexLink"/>
                <w:rtl w:val="true"/>
              </w:rPr>
              <w:t>عدم جواز بیع الثمرة بجنسها علی اصولها</w:t>
            </w:r>
            <w:r>
              <w:rPr>
                <w:rStyle w:val="IndexLink"/>
                <w:rtl w:val="true"/>
              </w:rPr>
              <w:t>]</w:t>
              <w:tab/>
            </w:r>
            <w:r>
              <w:rPr>
                <w:rStyle w:val="IndexLink"/>
              </w:rPr>
              <w:t>244</w:t>
            </w:r>
          </w:hyperlink>
        </w:p>
        <w:p>
          <w:pPr>
            <w:pStyle w:val="Contents5"/>
            <w:tabs>
              <w:tab w:val="clear" w:pos="7892"/>
              <w:tab w:val="right" w:pos="9026" w:leader="dot"/>
            </w:tabs>
            <w:rPr/>
          </w:pPr>
          <w:hyperlink w:anchor="__RefHeading___Toc2093004_2314609296">
            <w:r>
              <w:rPr>
                <w:webHidden/>
                <w:rStyle w:val="IndexLink"/>
                <w:rtl w:val="true"/>
              </w:rPr>
              <w:t>[</w:t>
            </w:r>
            <w:r>
              <w:rPr>
                <w:rStyle w:val="IndexLink"/>
                <w:rtl w:val="true"/>
              </w:rPr>
              <w:t>الثانیة</w:t>
            </w:r>
            <w:r>
              <w:rPr>
                <w:rStyle w:val="IndexLink"/>
                <w:rtl w:val="true"/>
              </w:rPr>
              <w:t xml:space="preserve">: </w:t>
            </w:r>
            <w:r>
              <w:rPr>
                <w:rStyle w:val="IndexLink"/>
                <w:rtl w:val="true"/>
              </w:rPr>
              <w:t>جواز بیع الزرع قائما</w:t>
            </w:r>
            <w:r>
              <w:rPr>
                <w:rStyle w:val="IndexLink"/>
                <w:rtl w:val="true"/>
              </w:rPr>
              <w:t>]</w:t>
              <w:tab/>
            </w:r>
            <w:r>
              <w:rPr>
                <w:rStyle w:val="IndexLink"/>
              </w:rPr>
              <w:t>245</w:t>
            </w:r>
          </w:hyperlink>
        </w:p>
        <w:p>
          <w:pPr>
            <w:pStyle w:val="Contents5"/>
            <w:tabs>
              <w:tab w:val="clear" w:pos="7892"/>
              <w:tab w:val="right" w:pos="9026" w:leader="dot"/>
            </w:tabs>
            <w:rPr/>
          </w:pPr>
          <w:hyperlink w:anchor="__RefHeading___Toc2093006_2314609296">
            <w:r>
              <w:rPr>
                <w:webHidden/>
                <w:rStyle w:val="IndexLink"/>
                <w:rtl w:val="true"/>
              </w:rPr>
              <w:t>[</w:t>
            </w:r>
            <w:r>
              <w:rPr>
                <w:rStyle w:val="IndexLink"/>
                <w:rtl w:val="true"/>
              </w:rPr>
              <w:t>الثالثة</w:t>
            </w:r>
            <w:r>
              <w:rPr>
                <w:rStyle w:val="IndexLink"/>
                <w:rtl w:val="true"/>
              </w:rPr>
              <w:t xml:space="preserve">: </w:t>
            </w:r>
            <w:r>
              <w:rPr>
                <w:rStyle w:val="IndexLink"/>
                <w:rtl w:val="true"/>
              </w:rPr>
              <w:t>جواز تقبل احد الشریکین بحصة صاحبه من الثمرة</w:t>
            </w:r>
            <w:r>
              <w:rPr>
                <w:rStyle w:val="IndexLink"/>
                <w:rtl w:val="true"/>
              </w:rPr>
              <w:t>]</w:t>
              <w:tab/>
            </w:r>
            <w:r>
              <w:rPr>
                <w:rStyle w:val="IndexLink"/>
              </w:rPr>
              <w:t>247</w:t>
            </w:r>
          </w:hyperlink>
        </w:p>
        <w:p>
          <w:pPr>
            <w:pStyle w:val="Contents5"/>
            <w:tabs>
              <w:tab w:val="clear" w:pos="7892"/>
              <w:tab w:val="right" w:pos="9026" w:leader="dot"/>
            </w:tabs>
            <w:rPr/>
          </w:pPr>
          <w:hyperlink w:anchor="__RefHeading___Toc2093008_2314609296">
            <w:r>
              <w:rPr>
                <w:webHidden/>
                <w:rStyle w:val="IndexLink"/>
                <w:rtl w:val="true"/>
              </w:rPr>
              <w:t>[</w:t>
            </w:r>
            <w:r>
              <w:rPr>
                <w:rStyle w:val="IndexLink"/>
                <w:rtl w:val="true"/>
              </w:rPr>
              <w:t>الرابعة</w:t>
            </w:r>
            <w:r>
              <w:rPr>
                <w:rStyle w:val="IndexLink"/>
                <w:rtl w:val="true"/>
              </w:rPr>
              <w:t xml:space="preserve">: </w:t>
            </w:r>
            <w:r>
              <w:rPr>
                <w:rStyle w:val="IndexLink"/>
                <w:rtl w:val="true"/>
              </w:rPr>
              <w:t>حکم اکل الماره</w:t>
            </w:r>
            <w:r>
              <w:rPr>
                <w:rStyle w:val="IndexLink"/>
                <w:rtl w:val="true"/>
              </w:rPr>
              <w:t>]</w:t>
              <w:tab/>
            </w:r>
            <w:r>
              <w:rPr>
                <w:rStyle w:val="IndexLink"/>
              </w:rPr>
              <w:t>248</w:t>
            </w:r>
          </w:hyperlink>
        </w:p>
        <w:p>
          <w:pPr>
            <w:pStyle w:val="Contents3"/>
            <w:tabs>
              <w:tab w:val="clear" w:pos="8459"/>
              <w:tab w:val="right" w:pos="9026" w:leader="dot"/>
            </w:tabs>
            <w:rPr/>
          </w:pPr>
          <w:hyperlink w:anchor="__RefHeading___Toc2093010_2314609296">
            <w:r>
              <w:rPr>
                <w:webHidden/>
                <w:rStyle w:val="IndexLink"/>
                <w:rtl w:val="true"/>
              </w:rPr>
              <w:t>«</w:t>
            </w:r>
            <w:r>
              <w:rPr>
                <w:rStyle w:val="IndexLink"/>
                <w:rtl w:val="true"/>
              </w:rPr>
              <w:t>الفصل الخامس</w:t>
            </w:r>
            <w:r>
              <w:rPr>
                <w:rStyle w:val="IndexLink"/>
                <w:rtl w:val="true"/>
              </w:rPr>
              <w:t>» «</w:t>
            </w:r>
            <w:r>
              <w:rPr>
                <w:rStyle w:val="IndexLink"/>
                <w:rtl w:val="true"/>
              </w:rPr>
              <w:t>فی الصرف</w:t>
            </w:r>
            <w:r>
              <w:rPr>
                <w:rStyle w:val="IndexLink"/>
                <w:rtl w:val="true"/>
              </w:rPr>
              <w:t>»</w:t>
              <w:tab/>
            </w:r>
            <w:r>
              <w:rPr>
                <w:rStyle w:val="IndexLink"/>
              </w:rPr>
              <w:t>250</w:t>
            </w:r>
          </w:hyperlink>
        </w:p>
        <w:p>
          <w:pPr>
            <w:pStyle w:val="Contents4"/>
            <w:tabs>
              <w:tab w:val="clear" w:pos="8176"/>
              <w:tab w:val="right" w:pos="9026" w:leader="dot"/>
            </w:tabs>
            <w:rPr/>
          </w:pPr>
          <w:hyperlink w:anchor="__RefHeading___Toc2093012_2314609296">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2093014_2314609296">
            <w:r>
              <w:rPr>
                <w:webHidden/>
                <w:rStyle w:val="IndexLink"/>
                <w:rtl w:val="true"/>
              </w:rPr>
              <w:t>«</w:t>
            </w:r>
            <w:r>
              <w:rPr>
                <w:rStyle w:val="IndexLink"/>
                <w:rtl w:val="true"/>
              </w:rPr>
              <w:t>خاتمة</w:t>
            </w:r>
            <w:r>
              <w:rPr>
                <w:rStyle w:val="IndexLink"/>
                <w:rtl w:val="true"/>
              </w:rPr>
              <w:t>» «</w:t>
            </w:r>
            <w:r>
              <w:rPr>
                <w:rStyle w:val="IndexLink"/>
                <w:rtl w:val="true"/>
              </w:rPr>
              <w:t>الدراهم والدنانیر یتعیّنان بالتعیین</w:t>
            </w:r>
            <w:r>
              <w:rPr>
                <w:rStyle w:val="IndexLink"/>
                <w:rtl w:val="true"/>
              </w:rPr>
              <w:t>»</w:t>
              <w:tab/>
            </w:r>
            <w:r>
              <w:rPr>
                <w:rStyle w:val="IndexLink"/>
              </w:rPr>
              <w:t>257</w:t>
            </w:r>
          </w:hyperlink>
        </w:p>
        <w:p>
          <w:pPr>
            <w:pStyle w:val="Contents3"/>
            <w:tabs>
              <w:tab w:val="clear" w:pos="8459"/>
              <w:tab w:val="right" w:pos="9026" w:leader="dot"/>
            </w:tabs>
            <w:rPr/>
          </w:pPr>
          <w:hyperlink w:anchor="__RefHeading___Toc2093016_2314609296">
            <w:r>
              <w:rPr>
                <w:webHidden/>
                <w:rStyle w:val="IndexLink"/>
                <w:rtl w:val="true"/>
              </w:rPr>
              <w:t>«</w:t>
            </w:r>
            <w:r>
              <w:rPr>
                <w:rStyle w:val="IndexLink"/>
                <w:rtl w:val="true"/>
              </w:rPr>
              <w:t>الفصل السادس</w:t>
            </w:r>
            <w:r>
              <w:rPr>
                <w:rStyle w:val="IndexLink"/>
                <w:rtl w:val="true"/>
              </w:rPr>
              <w:t>» «</w:t>
            </w:r>
            <w:r>
              <w:rPr>
                <w:rStyle w:val="IndexLink"/>
                <w:rtl w:val="true"/>
              </w:rPr>
              <w:t>فی السلف</w:t>
            </w:r>
            <w:r>
              <w:rPr>
                <w:rStyle w:val="IndexLink"/>
                <w:rtl w:val="true"/>
              </w:rPr>
              <w:t>»</w:t>
              <w:tab/>
            </w:r>
            <w:r>
              <w:rPr>
                <w:rStyle w:val="IndexLink"/>
              </w:rPr>
              <w:t>262</w:t>
            </w:r>
          </w:hyperlink>
        </w:p>
        <w:p>
          <w:pPr>
            <w:pStyle w:val="Contents3"/>
            <w:tabs>
              <w:tab w:val="clear" w:pos="8459"/>
              <w:tab w:val="right" w:pos="9026" w:leader="dot"/>
            </w:tabs>
            <w:rPr/>
          </w:pPr>
          <w:hyperlink w:anchor="__RefHeading___Toc2093018_2314609296">
            <w:r>
              <w:rPr>
                <w:webHidden/>
                <w:rStyle w:val="IndexLink"/>
                <w:rtl w:val="true"/>
              </w:rPr>
              <w:t>«</w:t>
            </w:r>
            <w:r>
              <w:rPr>
                <w:rStyle w:val="IndexLink"/>
                <w:rtl w:val="true"/>
              </w:rPr>
              <w:t>الفصل السابع</w:t>
            </w:r>
            <w:r>
              <w:rPr>
                <w:rStyle w:val="IndexLink"/>
                <w:rtl w:val="true"/>
              </w:rPr>
              <w:t>» «</w:t>
            </w:r>
            <w:r>
              <w:rPr>
                <w:rStyle w:val="IndexLink"/>
                <w:rtl w:val="true"/>
              </w:rPr>
              <w:t>فی أقسام البیع</w:t>
            </w:r>
            <w:r>
              <w:rPr>
                <w:rStyle w:val="IndexLink"/>
                <w:rtl w:val="true"/>
              </w:rPr>
              <w:t>» «</w:t>
            </w:r>
            <w:r>
              <w:rPr>
                <w:rStyle w:val="IndexLink"/>
                <w:rtl w:val="true"/>
              </w:rPr>
              <w:t>بالنسبة إلی الإخبار بالثمن وعدمه</w:t>
            </w:r>
            <w:r>
              <w:rPr>
                <w:rStyle w:val="IndexLink"/>
                <w:rtl w:val="true"/>
              </w:rPr>
              <w:t>»</w:t>
              <w:tab/>
            </w:r>
            <w:r>
              <w:rPr>
                <w:rStyle w:val="IndexLink"/>
              </w:rPr>
              <w:t>274</w:t>
            </w:r>
          </w:hyperlink>
        </w:p>
        <w:p>
          <w:pPr>
            <w:pStyle w:val="Contents4"/>
            <w:tabs>
              <w:tab w:val="clear" w:pos="8176"/>
              <w:tab w:val="right" w:pos="9026" w:leader="dot"/>
            </w:tabs>
            <w:rPr/>
          </w:pPr>
          <w:hyperlink w:anchor="__RefHeading___Toc2093020_2314609296">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2093022_2314609296">
            <w:r>
              <w:rPr>
                <w:webHidden/>
                <w:rStyle w:val="IndexLink"/>
                <w:rtl w:val="true"/>
              </w:rPr>
              <w:t>[</w:t>
            </w:r>
            <w:r>
              <w:rPr>
                <w:rStyle w:val="IndexLink"/>
                <w:rtl w:val="true"/>
              </w:rPr>
              <w:t>القسم الاول</w:t>
            </w:r>
            <w:r>
              <w:rPr>
                <w:rStyle w:val="IndexLink"/>
                <w:rtl w:val="true"/>
              </w:rPr>
              <w:t xml:space="preserve">: </w:t>
            </w:r>
            <w:r>
              <w:rPr>
                <w:rStyle w:val="IndexLink"/>
                <w:rtl w:val="true"/>
              </w:rPr>
              <w:t>المساومة</w:t>
            </w:r>
            <w:r>
              <w:rPr>
                <w:rStyle w:val="IndexLink"/>
                <w:rtl w:val="true"/>
              </w:rPr>
              <w:t>]</w:t>
              <w:tab/>
            </w:r>
            <w:r>
              <w:rPr>
                <w:rStyle w:val="IndexLink"/>
              </w:rPr>
              <w:t>275</w:t>
            </w:r>
          </w:hyperlink>
        </w:p>
        <w:p>
          <w:pPr>
            <w:pStyle w:val="Contents4"/>
            <w:tabs>
              <w:tab w:val="clear" w:pos="8176"/>
              <w:tab w:val="right" w:pos="9026" w:leader="dot"/>
            </w:tabs>
            <w:rPr/>
          </w:pPr>
          <w:hyperlink w:anchor="__RefHeading___Toc2093024_2314609296">
            <w:r>
              <w:rPr>
                <w:webHidden/>
                <w:rStyle w:val="IndexLink"/>
                <w:rtl w:val="true"/>
              </w:rPr>
              <w:t>[</w:t>
            </w:r>
            <w:r>
              <w:rPr>
                <w:rStyle w:val="IndexLink"/>
                <w:rtl w:val="true"/>
              </w:rPr>
              <w:t>القسم الثانی</w:t>
            </w:r>
            <w:r>
              <w:rPr>
                <w:rStyle w:val="IndexLink"/>
                <w:rtl w:val="true"/>
              </w:rPr>
              <w:t xml:space="preserve">: </w:t>
            </w:r>
            <w:r>
              <w:rPr>
                <w:rStyle w:val="IndexLink"/>
                <w:rtl w:val="true"/>
              </w:rPr>
              <w:t>المرابحه</w:t>
            </w:r>
            <w:r>
              <w:rPr>
                <w:rStyle w:val="IndexLink"/>
                <w:rtl w:val="true"/>
              </w:rPr>
              <w:t>]</w:t>
              <w:tab/>
            </w:r>
            <w:r>
              <w:rPr>
                <w:rStyle w:val="IndexLink"/>
              </w:rPr>
              <w:t>275</w:t>
            </w:r>
          </w:hyperlink>
        </w:p>
        <w:p>
          <w:pPr>
            <w:pStyle w:val="Contents4"/>
            <w:tabs>
              <w:tab w:val="clear" w:pos="8176"/>
              <w:tab w:val="right" w:pos="9026" w:leader="dot"/>
            </w:tabs>
            <w:rPr/>
          </w:pPr>
          <w:hyperlink w:anchor="__RefHeading___Toc2093026_2314609296">
            <w:r>
              <w:rPr>
                <w:webHidden/>
                <w:rStyle w:val="IndexLink"/>
                <w:rtl w:val="true"/>
              </w:rPr>
              <w:t>[</w:t>
            </w:r>
            <w:r>
              <w:rPr>
                <w:rStyle w:val="IndexLink"/>
                <w:rtl w:val="true"/>
              </w:rPr>
              <w:t>القسم الثالث</w:t>
            </w:r>
            <w:r>
              <w:rPr>
                <w:rStyle w:val="IndexLink"/>
                <w:rtl w:val="true"/>
              </w:rPr>
              <w:t xml:space="preserve">: </w:t>
            </w:r>
            <w:r>
              <w:rPr>
                <w:rStyle w:val="IndexLink"/>
                <w:rtl w:val="true"/>
              </w:rPr>
              <w:t>المواضعه</w:t>
            </w:r>
            <w:r>
              <w:rPr>
                <w:rStyle w:val="IndexLink"/>
                <w:rtl w:val="true"/>
              </w:rPr>
              <w:t>]</w:t>
              <w:tab/>
            </w:r>
            <w:r>
              <w:rPr>
                <w:rStyle w:val="IndexLink"/>
              </w:rPr>
              <w:t>278</w:t>
            </w:r>
          </w:hyperlink>
        </w:p>
        <w:p>
          <w:pPr>
            <w:pStyle w:val="Contents4"/>
            <w:tabs>
              <w:tab w:val="clear" w:pos="8176"/>
              <w:tab w:val="right" w:pos="9026" w:leader="dot"/>
            </w:tabs>
            <w:rPr/>
          </w:pPr>
          <w:hyperlink w:anchor="__RefHeading___Toc2093028_2314609296">
            <w:r>
              <w:rPr>
                <w:webHidden/>
                <w:rStyle w:val="IndexLink"/>
                <w:rtl w:val="true"/>
              </w:rPr>
              <w:t>[</w:t>
            </w:r>
            <w:r>
              <w:rPr>
                <w:rStyle w:val="IndexLink"/>
                <w:rtl w:val="true"/>
              </w:rPr>
              <w:t xml:space="preserve">القسم الرابع </w:t>
            </w:r>
            <w:r>
              <w:rPr>
                <w:rStyle w:val="IndexLink"/>
                <w:rtl w:val="true"/>
              </w:rPr>
              <w:t>«</w:t>
            </w:r>
            <w:r>
              <w:rPr>
                <w:rStyle w:val="IndexLink"/>
                <w:rtl w:val="true"/>
              </w:rPr>
              <w:t>التولیة</w:t>
            </w:r>
            <w:r>
              <w:rPr>
                <w:rStyle w:val="IndexLink"/>
                <w:rtl w:val="true"/>
              </w:rPr>
              <w:t>]</w:t>
              <w:tab/>
            </w:r>
            <w:r>
              <w:rPr>
                <w:rStyle w:val="IndexLink"/>
              </w:rPr>
              <w:t>279</w:t>
            </w:r>
          </w:hyperlink>
        </w:p>
        <w:p>
          <w:pPr>
            <w:pStyle w:val="Contents3"/>
            <w:tabs>
              <w:tab w:val="clear" w:pos="8459"/>
              <w:tab w:val="right" w:pos="9026" w:leader="dot"/>
            </w:tabs>
            <w:rPr/>
          </w:pPr>
          <w:hyperlink w:anchor="__RefHeading___Toc2093030_2314609296">
            <w:r>
              <w:rPr>
                <w:webHidden/>
                <w:rStyle w:val="IndexLink"/>
                <w:rtl w:val="true"/>
              </w:rPr>
              <w:t>«</w:t>
            </w:r>
            <w:r>
              <w:rPr>
                <w:rStyle w:val="IndexLink"/>
                <w:rtl w:val="true"/>
              </w:rPr>
              <w:t>الفصل الثامن</w:t>
            </w:r>
            <w:r>
              <w:rPr>
                <w:rStyle w:val="IndexLink"/>
                <w:rtl w:val="true"/>
              </w:rPr>
              <w:t>» «</w:t>
            </w:r>
            <w:r>
              <w:rPr>
                <w:rStyle w:val="IndexLink"/>
                <w:rtl w:val="true"/>
              </w:rPr>
              <w:t>فی الربا</w:t>
            </w:r>
            <w:r>
              <w:rPr>
                <w:rStyle w:val="IndexLink"/>
                <w:rtl w:val="true"/>
              </w:rPr>
              <w:t>»</w:t>
              <w:tab/>
            </w:r>
            <w:r>
              <w:rPr>
                <w:rStyle w:val="IndexLink"/>
              </w:rPr>
              <w:t>280</w:t>
            </w:r>
          </w:hyperlink>
        </w:p>
        <w:p>
          <w:pPr>
            <w:pStyle w:val="Contents3"/>
            <w:tabs>
              <w:tab w:val="clear" w:pos="8459"/>
              <w:tab w:val="right" w:pos="9026" w:leader="dot"/>
            </w:tabs>
            <w:rPr/>
          </w:pPr>
          <w:hyperlink w:anchor="__RefHeading___Toc2093032_2314609296">
            <w:r>
              <w:rPr>
                <w:webHidden/>
                <w:rStyle w:val="IndexLink"/>
                <w:rtl w:val="true"/>
              </w:rPr>
              <w:t>«</w:t>
            </w:r>
            <w:r>
              <w:rPr>
                <w:rStyle w:val="IndexLink"/>
                <w:rtl w:val="true"/>
              </w:rPr>
              <w:t>الفصل التاسع</w:t>
            </w:r>
            <w:r>
              <w:rPr>
                <w:rStyle w:val="IndexLink"/>
                <w:rtl w:val="true"/>
              </w:rPr>
              <w:t>» «</w:t>
            </w:r>
            <w:r>
              <w:rPr>
                <w:rStyle w:val="IndexLink"/>
                <w:rtl w:val="true"/>
              </w:rPr>
              <w:t>فی الخیار</w:t>
            </w:r>
            <w:r>
              <w:rPr>
                <w:rStyle w:val="IndexLink"/>
                <w:rtl w:val="true"/>
              </w:rPr>
              <w:t>»</w:t>
              <w:tab/>
            </w:r>
            <w:r>
              <w:rPr>
                <w:rStyle w:val="IndexLink"/>
              </w:rPr>
              <w:t>286</w:t>
            </w:r>
          </w:hyperlink>
        </w:p>
        <w:p>
          <w:pPr>
            <w:pStyle w:val="Contents4"/>
            <w:tabs>
              <w:tab w:val="clear" w:pos="8176"/>
              <w:tab w:val="right" w:pos="9026" w:leader="dot"/>
            </w:tabs>
            <w:rPr/>
          </w:pPr>
          <w:hyperlink w:anchor="__RefHeading___Toc2093034_2314609296">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2093036_2314609296">
            <w:r>
              <w:rPr>
                <w:webHidden/>
                <w:rStyle w:val="IndexLink"/>
                <w:rtl w:val="true"/>
              </w:rPr>
              <w:t>«</w:t>
            </w:r>
            <w:r>
              <w:rPr>
                <w:rStyle w:val="IndexLink"/>
                <w:rtl w:val="true"/>
              </w:rPr>
              <w:t>الأوّل</w:t>
            </w:r>
            <w:r>
              <w:rPr>
                <w:rStyle w:val="IndexLink"/>
                <w:rtl w:val="true"/>
              </w:rPr>
              <w:tab/>
            </w:r>
            <w:r>
              <w:rPr>
                <w:rStyle w:val="IndexLink"/>
              </w:rPr>
              <w:t>286</w:t>
            </w:r>
          </w:hyperlink>
        </w:p>
        <w:p>
          <w:pPr>
            <w:pStyle w:val="Contents4"/>
            <w:tabs>
              <w:tab w:val="clear" w:pos="8176"/>
              <w:tab w:val="right" w:pos="9026" w:leader="dot"/>
            </w:tabs>
            <w:rPr/>
          </w:pPr>
          <w:hyperlink w:anchor="__RefHeading___Toc2093038_2314609296">
            <w:r>
              <w:rPr>
                <w:webHidden/>
                <w:rStyle w:val="IndexLink"/>
                <w:rtl w:val="true"/>
              </w:rPr>
              <w:t>«</w:t>
            </w:r>
            <w:r>
              <w:rPr>
                <w:rStyle w:val="IndexLink"/>
                <w:rtl w:val="true"/>
              </w:rPr>
              <w:t>الثانی</w:t>
            </w:r>
            <w:r>
              <w:rPr>
                <w:rStyle w:val="IndexLink"/>
                <w:rtl w:val="true"/>
              </w:rPr>
              <w:t xml:space="preserve">: </w:t>
            </w:r>
            <w:r>
              <w:rPr>
                <w:rStyle w:val="IndexLink"/>
                <w:rtl w:val="true"/>
              </w:rPr>
              <w:t>خیار الحیوان</w:t>
            </w:r>
            <w:r>
              <w:rPr>
                <w:rStyle w:val="IndexLink"/>
                <w:rtl w:val="true"/>
              </w:rPr>
              <w:t>»</w:t>
              <w:tab/>
            </w:r>
            <w:r>
              <w:rPr>
                <w:rStyle w:val="IndexLink"/>
              </w:rPr>
              <w:t>287</w:t>
            </w:r>
          </w:hyperlink>
        </w:p>
        <w:p>
          <w:pPr>
            <w:pStyle w:val="Contents4"/>
            <w:tabs>
              <w:tab w:val="clear" w:pos="8176"/>
              <w:tab w:val="right" w:pos="9026" w:leader="dot"/>
            </w:tabs>
            <w:rPr/>
          </w:pPr>
          <w:hyperlink w:anchor="__RefHeading___Toc2093040_2314609296">
            <w:r>
              <w:rPr>
                <w:webHidden/>
                <w:rStyle w:val="IndexLink"/>
                <w:rtl w:val="true"/>
              </w:rPr>
              <w:t>«</w:t>
            </w:r>
            <w:r>
              <w:rPr>
                <w:rStyle w:val="IndexLink"/>
                <w:rtl w:val="true"/>
              </w:rPr>
              <w:t>الثالث</w:t>
            </w:r>
            <w:r>
              <w:rPr>
                <w:rStyle w:val="IndexLink"/>
                <w:rtl w:val="true"/>
              </w:rPr>
              <w:t xml:space="preserve">: </w:t>
            </w:r>
            <w:r>
              <w:rPr>
                <w:rStyle w:val="IndexLink"/>
                <w:rtl w:val="true"/>
              </w:rPr>
              <w:t>خیار الشرط</w:t>
            </w:r>
            <w:r>
              <w:rPr>
                <w:rStyle w:val="IndexLink"/>
                <w:rtl w:val="true"/>
              </w:rPr>
              <w:t>»</w:t>
              <w:tab/>
            </w:r>
            <w:r>
              <w:rPr>
                <w:rStyle w:val="IndexLink"/>
              </w:rPr>
              <w:t>288</w:t>
            </w:r>
          </w:hyperlink>
        </w:p>
        <w:p>
          <w:pPr>
            <w:pStyle w:val="Contents4"/>
            <w:tabs>
              <w:tab w:val="clear" w:pos="8176"/>
              <w:tab w:val="right" w:pos="9026" w:leader="dot"/>
            </w:tabs>
            <w:rPr/>
          </w:pPr>
          <w:hyperlink w:anchor="__RefHeading___Toc2093042_2314609296">
            <w:r>
              <w:rPr>
                <w:webHidden/>
                <w:rStyle w:val="IndexLink"/>
                <w:rtl w:val="true"/>
              </w:rPr>
              <w:t>«</w:t>
            </w:r>
            <w:r>
              <w:rPr>
                <w:rStyle w:val="IndexLink"/>
                <w:rtl w:val="true"/>
              </w:rPr>
              <w:t>الرابع</w:t>
            </w:r>
            <w:r>
              <w:rPr>
                <w:rStyle w:val="IndexLink"/>
                <w:rtl w:val="true"/>
              </w:rPr>
              <w:t xml:space="preserve">: </w:t>
            </w:r>
            <w:r>
              <w:rPr>
                <w:rStyle w:val="IndexLink"/>
                <w:rtl w:val="true"/>
              </w:rPr>
              <w:t>خیار التأخیر</w:t>
            </w:r>
            <w:r>
              <w:rPr>
                <w:rStyle w:val="IndexLink"/>
                <w:rtl w:val="true"/>
              </w:rPr>
              <w:t>»</w:t>
              <w:tab/>
            </w:r>
            <w:r>
              <w:rPr>
                <w:rStyle w:val="IndexLink"/>
              </w:rPr>
              <w:t>291</w:t>
            </w:r>
          </w:hyperlink>
        </w:p>
        <w:p>
          <w:pPr>
            <w:pStyle w:val="Contents4"/>
            <w:tabs>
              <w:tab w:val="clear" w:pos="8176"/>
              <w:tab w:val="right" w:pos="9026" w:leader="dot"/>
            </w:tabs>
            <w:rPr/>
          </w:pPr>
          <w:hyperlink w:anchor="__RefHeading___Toc2093044_2314609296">
            <w:r>
              <w:rPr>
                <w:webHidden/>
                <w:rStyle w:val="IndexLink"/>
                <w:rtl w:val="true"/>
              </w:rPr>
              <w:t>«</w:t>
            </w:r>
            <w:r>
              <w:rPr>
                <w:rStyle w:val="IndexLink"/>
                <w:rtl w:val="true"/>
              </w:rPr>
              <w:t>الخامس</w:t>
            </w:r>
            <w:r>
              <w:rPr>
                <w:rStyle w:val="IndexLink"/>
                <w:rtl w:val="true"/>
              </w:rPr>
              <w:t xml:space="preserve">: </w:t>
            </w:r>
            <w:r>
              <w:rPr>
                <w:rStyle w:val="IndexLink"/>
                <w:rtl w:val="true"/>
              </w:rPr>
              <w:t>خیار ما یفسد لیومه</w:t>
            </w:r>
            <w:r>
              <w:rPr>
                <w:rStyle w:val="IndexLink"/>
                <w:rtl w:val="true"/>
              </w:rPr>
              <w:t>»</w:t>
              <w:tab/>
            </w:r>
            <w:r>
              <w:rPr>
                <w:rStyle w:val="IndexLink"/>
              </w:rPr>
              <w:t>292</w:t>
            </w:r>
          </w:hyperlink>
        </w:p>
        <w:p>
          <w:pPr>
            <w:pStyle w:val="Contents4"/>
            <w:tabs>
              <w:tab w:val="clear" w:pos="8176"/>
              <w:tab w:val="right" w:pos="9026" w:leader="dot"/>
            </w:tabs>
            <w:rPr/>
          </w:pPr>
          <w:hyperlink w:anchor="__RefHeading___Toc2093046_2314609296">
            <w:r>
              <w:rPr>
                <w:webHidden/>
                <w:rStyle w:val="IndexLink"/>
                <w:rtl w:val="true"/>
              </w:rPr>
              <w:t>«</w:t>
            </w:r>
            <w:r>
              <w:rPr>
                <w:rStyle w:val="IndexLink"/>
                <w:rtl w:val="true"/>
              </w:rPr>
              <w:t>السادس</w:t>
            </w:r>
            <w:r>
              <w:rPr>
                <w:rStyle w:val="IndexLink"/>
                <w:rtl w:val="true"/>
              </w:rPr>
              <w:t xml:space="preserve">: </w:t>
            </w:r>
            <w:r>
              <w:rPr>
                <w:rStyle w:val="IndexLink"/>
                <w:rtl w:val="true"/>
              </w:rPr>
              <w:t>خیار الرؤیة</w:t>
            </w:r>
            <w:r>
              <w:rPr>
                <w:rStyle w:val="IndexLink"/>
                <w:rtl w:val="true"/>
              </w:rPr>
              <w:t>»</w:t>
              <w:tab/>
            </w:r>
            <w:r>
              <w:rPr>
                <w:rStyle w:val="IndexLink"/>
              </w:rPr>
              <w:t>293</w:t>
            </w:r>
          </w:hyperlink>
        </w:p>
        <w:p>
          <w:pPr>
            <w:pStyle w:val="Contents4"/>
            <w:tabs>
              <w:tab w:val="clear" w:pos="8176"/>
              <w:tab w:val="right" w:pos="9026" w:leader="dot"/>
            </w:tabs>
            <w:rPr/>
          </w:pPr>
          <w:hyperlink w:anchor="__RefHeading___Toc2093048_2314609296">
            <w:r>
              <w:rPr>
                <w:webHidden/>
                <w:rStyle w:val="IndexLink"/>
                <w:rtl w:val="true"/>
              </w:rPr>
              <w:t>«</w:t>
            </w:r>
            <w:r>
              <w:rPr>
                <w:rStyle w:val="IndexLink"/>
                <w:rtl w:val="true"/>
              </w:rPr>
              <w:t>السابع</w:t>
            </w:r>
            <w:r>
              <w:rPr>
                <w:rStyle w:val="IndexLink"/>
                <w:rtl w:val="true"/>
              </w:rPr>
              <w:t xml:space="preserve">: </w:t>
            </w:r>
            <w:r>
              <w:rPr>
                <w:rStyle w:val="IndexLink"/>
                <w:rtl w:val="true"/>
              </w:rPr>
              <w:t>خیار الغبن</w:t>
            </w:r>
            <w:r>
              <w:rPr>
                <w:rStyle w:val="IndexLink"/>
                <w:rtl w:val="true"/>
              </w:rPr>
              <w:t>»</w:t>
              <w:tab/>
            </w:r>
            <w:r>
              <w:rPr>
                <w:rStyle w:val="IndexLink"/>
              </w:rPr>
              <w:t>294</w:t>
            </w:r>
          </w:hyperlink>
        </w:p>
        <w:p>
          <w:pPr>
            <w:pStyle w:val="Contents4"/>
            <w:tabs>
              <w:tab w:val="clear" w:pos="8176"/>
              <w:tab w:val="right" w:pos="9026" w:leader="dot"/>
            </w:tabs>
            <w:rPr/>
          </w:pPr>
          <w:hyperlink w:anchor="__RefHeading___Toc2093050_2314609296">
            <w:r>
              <w:rPr>
                <w:webHidden/>
                <w:rStyle w:val="IndexLink"/>
                <w:rtl w:val="true"/>
              </w:rPr>
              <w:t>«</w:t>
            </w:r>
            <w:r>
              <w:rPr>
                <w:rStyle w:val="IndexLink"/>
                <w:rtl w:val="true"/>
              </w:rPr>
              <w:t>الثامن</w:t>
            </w:r>
            <w:r>
              <w:rPr>
                <w:rStyle w:val="IndexLink"/>
                <w:rtl w:val="true"/>
              </w:rPr>
              <w:t xml:space="preserve">: </w:t>
            </w:r>
            <w:r>
              <w:rPr>
                <w:rStyle w:val="IndexLink"/>
                <w:rtl w:val="true"/>
              </w:rPr>
              <w:t>خیار العیب</w:t>
            </w:r>
            <w:r>
              <w:rPr>
                <w:rStyle w:val="IndexLink"/>
                <w:rtl w:val="true"/>
              </w:rPr>
              <w:t>»</w:t>
              <w:tab/>
            </w:r>
            <w:r>
              <w:rPr>
                <w:rStyle w:val="IndexLink"/>
              </w:rPr>
              <w:t>298</w:t>
            </w:r>
          </w:hyperlink>
        </w:p>
        <w:p>
          <w:pPr>
            <w:pStyle w:val="Contents4"/>
            <w:tabs>
              <w:tab w:val="clear" w:pos="8176"/>
              <w:tab w:val="right" w:pos="9026" w:leader="dot"/>
            </w:tabs>
            <w:rPr/>
          </w:pPr>
          <w:hyperlink w:anchor="__RefHeading___Toc2093052_2314609296">
            <w:r>
              <w:rPr>
                <w:webHidden/>
                <w:rStyle w:val="IndexLink"/>
                <w:rtl w:val="true"/>
              </w:rPr>
              <w:t>«</w:t>
            </w:r>
            <w:r>
              <w:rPr>
                <w:rStyle w:val="IndexLink"/>
                <w:rtl w:val="true"/>
              </w:rPr>
              <w:t>التاسع</w:t>
            </w:r>
            <w:r>
              <w:rPr>
                <w:rStyle w:val="IndexLink"/>
                <w:rtl w:val="true"/>
              </w:rPr>
              <w:t xml:space="preserve">: </w:t>
            </w:r>
            <w:r>
              <w:rPr>
                <w:rStyle w:val="IndexLink"/>
                <w:rtl w:val="true"/>
              </w:rPr>
              <w:t>خیار التدلیس</w:t>
            </w:r>
            <w:r>
              <w:rPr>
                <w:rStyle w:val="IndexLink"/>
                <w:rtl w:val="true"/>
              </w:rPr>
              <w:t>»</w:t>
              <w:tab/>
            </w:r>
            <w:r>
              <w:rPr>
                <w:rStyle w:val="IndexLink"/>
              </w:rPr>
              <w:t>303</w:t>
            </w:r>
          </w:hyperlink>
        </w:p>
        <w:p>
          <w:pPr>
            <w:pStyle w:val="Contents4"/>
            <w:tabs>
              <w:tab w:val="clear" w:pos="8176"/>
              <w:tab w:val="right" w:pos="9026" w:leader="dot"/>
            </w:tabs>
            <w:rPr/>
          </w:pPr>
          <w:hyperlink w:anchor="__RefHeading___Toc2093054_2314609296">
            <w:r>
              <w:rPr>
                <w:webHidden/>
                <w:rStyle w:val="IndexLink"/>
                <w:rtl w:val="true"/>
              </w:rPr>
              <w:t>«</w:t>
            </w:r>
            <w:r>
              <w:rPr>
                <w:rStyle w:val="IndexLink"/>
                <w:rtl w:val="true"/>
              </w:rPr>
              <w:t>العاشر</w:t>
            </w:r>
            <w:r>
              <w:rPr>
                <w:rStyle w:val="IndexLink"/>
                <w:rtl w:val="true"/>
              </w:rPr>
              <w:t xml:space="preserve">: </w:t>
            </w:r>
            <w:r>
              <w:rPr>
                <w:rStyle w:val="IndexLink"/>
                <w:rtl w:val="true"/>
              </w:rPr>
              <w:t>خیار الاشتراط</w:t>
            </w:r>
            <w:r>
              <w:rPr>
                <w:rStyle w:val="IndexLink"/>
                <w:rtl w:val="true"/>
              </w:rPr>
              <w:t>»</w:t>
              <w:tab/>
            </w:r>
            <w:r>
              <w:rPr>
                <w:rStyle w:val="IndexLink"/>
              </w:rPr>
              <w:t>306</w:t>
            </w:r>
          </w:hyperlink>
        </w:p>
        <w:p>
          <w:pPr>
            <w:pStyle w:val="Contents4"/>
            <w:tabs>
              <w:tab w:val="clear" w:pos="8176"/>
              <w:tab w:val="right" w:pos="9026" w:leader="dot"/>
            </w:tabs>
            <w:rPr/>
          </w:pPr>
          <w:hyperlink w:anchor="__RefHeading___Toc2093056_2314609296">
            <w:r>
              <w:rPr>
                <w:webHidden/>
                <w:rStyle w:val="IndexLink"/>
                <w:rtl w:val="true"/>
              </w:rPr>
              <w:t>«</w:t>
            </w:r>
            <w:r>
              <w:rPr>
                <w:rStyle w:val="IndexLink"/>
                <w:rtl w:val="true"/>
              </w:rPr>
              <w:t>الحادی عشر</w:t>
            </w:r>
            <w:r>
              <w:rPr>
                <w:rStyle w:val="IndexLink"/>
                <w:rtl w:val="true"/>
              </w:rPr>
              <w:t xml:space="preserve">: </w:t>
            </w:r>
            <w:r>
              <w:rPr>
                <w:rStyle w:val="IndexLink"/>
                <w:rtl w:val="true"/>
              </w:rPr>
              <w:t>خیار الشرکة</w:t>
            </w:r>
            <w:r>
              <w:rPr>
                <w:rStyle w:val="IndexLink"/>
                <w:rtl w:val="true"/>
              </w:rPr>
              <w:t>»</w:t>
              <w:tab/>
            </w:r>
            <w:r>
              <w:rPr>
                <w:rStyle w:val="IndexLink"/>
              </w:rPr>
              <w:t>309</w:t>
            </w:r>
          </w:hyperlink>
        </w:p>
        <w:p>
          <w:pPr>
            <w:pStyle w:val="Contents4"/>
            <w:tabs>
              <w:tab w:val="clear" w:pos="8176"/>
              <w:tab w:val="right" w:pos="9026" w:leader="dot"/>
            </w:tabs>
            <w:rPr/>
          </w:pPr>
          <w:hyperlink w:anchor="__RefHeading___Toc2093058_2314609296">
            <w:r>
              <w:rPr>
                <w:webHidden/>
                <w:rStyle w:val="IndexLink"/>
                <w:rtl w:val="true"/>
              </w:rPr>
              <w:t>«</w:t>
            </w:r>
            <w:r>
              <w:rPr>
                <w:rStyle w:val="IndexLink"/>
                <w:rtl w:val="true"/>
              </w:rPr>
              <w:t>الثانی عشر</w:t>
            </w:r>
            <w:r>
              <w:rPr>
                <w:rStyle w:val="IndexLink"/>
                <w:rtl w:val="true"/>
              </w:rPr>
              <w:t xml:space="preserve">: </w:t>
            </w:r>
            <w:r>
              <w:rPr>
                <w:rStyle w:val="IndexLink"/>
                <w:rtl w:val="true"/>
              </w:rPr>
              <w:t>خیار تعذّر التسلیم</w:t>
            </w:r>
            <w:r>
              <w:rPr>
                <w:rStyle w:val="IndexLink"/>
                <w:rtl w:val="true"/>
              </w:rPr>
              <w:t>»</w:t>
              <w:tab/>
            </w:r>
            <w:r>
              <w:rPr>
                <w:rStyle w:val="IndexLink"/>
              </w:rPr>
              <w:t>310</w:t>
            </w:r>
          </w:hyperlink>
        </w:p>
        <w:p>
          <w:pPr>
            <w:pStyle w:val="Contents4"/>
            <w:tabs>
              <w:tab w:val="clear" w:pos="8176"/>
              <w:tab w:val="right" w:pos="9026" w:leader="dot"/>
            </w:tabs>
            <w:rPr/>
          </w:pPr>
          <w:hyperlink w:anchor="__RefHeading___Toc2093060_2314609296">
            <w:r>
              <w:rPr>
                <w:webHidden/>
                <w:rStyle w:val="IndexLink"/>
                <w:rtl w:val="true"/>
              </w:rPr>
              <w:t>«</w:t>
            </w:r>
            <w:r>
              <w:rPr>
                <w:rStyle w:val="IndexLink"/>
                <w:rtl w:val="true"/>
              </w:rPr>
              <w:t>الثالث عشر</w:t>
            </w:r>
            <w:r>
              <w:rPr>
                <w:rStyle w:val="IndexLink"/>
                <w:rtl w:val="true"/>
              </w:rPr>
              <w:t xml:space="preserve">: </w:t>
            </w:r>
            <w:r>
              <w:rPr>
                <w:rStyle w:val="IndexLink"/>
                <w:rtl w:val="true"/>
              </w:rPr>
              <w:t>خیار تبعیض الصفقة</w:t>
            </w:r>
            <w:r>
              <w:rPr>
                <w:rStyle w:val="IndexLink"/>
                <w:rtl w:val="true"/>
              </w:rPr>
              <w:t>»</w:t>
              <w:tab/>
            </w:r>
            <w:r>
              <w:rPr>
                <w:rStyle w:val="IndexLink"/>
              </w:rPr>
              <w:t>310</w:t>
            </w:r>
          </w:hyperlink>
        </w:p>
        <w:p>
          <w:pPr>
            <w:pStyle w:val="Contents4"/>
            <w:tabs>
              <w:tab w:val="clear" w:pos="8176"/>
              <w:tab w:val="right" w:pos="9026" w:leader="dot"/>
            </w:tabs>
            <w:rPr/>
          </w:pPr>
          <w:hyperlink w:anchor="__RefHeading___Toc2093062_2314609296">
            <w:r>
              <w:rPr>
                <w:webHidden/>
                <w:rStyle w:val="IndexLink"/>
                <w:rtl w:val="true"/>
              </w:rPr>
              <w:t>«</w:t>
            </w:r>
            <w:r>
              <w:rPr>
                <w:rStyle w:val="IndexLink"/>
                <w:rtl w:val="true"/>
              </w:rPr>
              <w:t>الرابع عشر</w:t>
            </w:r>
            <w:r>
              <w:rPr>
                <w:rStyle w:val="IndexLink"/>
                <w:rtl w:val="true"/>
              </w:rPr>
              <w:t xml:space="preserve">: </w:t>
            </w:r>
            <w:r>
              <w:rPr>
                <w:rStyle w:val="IndexLink"/>
                <w:rtl w:val="true"/>
              </w:rPr>
              <w:t>خیار التفلیس</w:t>
            </w:r>
            <w:r>
              <w:rPr>
                <w:rStyle w:val="IndexLink"/>
                <w:rtl w:val="true"/>
              </w:rPr>
              <w:t>»</w:t>
              <w:tab/>
            </w:r>
            <w:r>
              <w:rPr>
                <w:rStyle w:val="IndexLink"/>
              </w:rPr>
              <w:t>311</w:t>
            </w:r>
          </w:hyperlink>
        </w:p>
        <w:p>
          <w:pPr>
            <w:pStyle w:val="Contents3"/>
            <w:tabs>
              <w:tab w:val="clear" w:pos="8459"/>
              <w:tab w:val="right" w:pos="9026" w:leader="dot"/>
            </w:tabs>
            <w:rPr/>
          </w:pPr>
          <w:hyperlink w:anchor="__RefHeading___Toc2093064_2314609296">
            <w:r>
              <w:rPr>
                <w:webHidden/>
                <w:rStyle w:val="IndexLink"/>
                <w:rtl w:val="true"/>
              </w:rPr>
              <w:t>«</w:t>
            </w:r>
            <w:r>
              <w:rPr>
                <w:rStyle w:val="IndexLink"/>
                <w:rtl w:val="true"/>
              </w:rPr>
              <w:t>الفصل العاشر</w:t>
            </w:r>
            <w:r>
              <w:rPr>
                <w:rStyle w:val="IndexLink"/>
                <w:rtl w:val="true"/>
              </w:rPr>
              <w:t>» «</w:t>
            </w:r>
            <w:r>
              <w:rPr>
                <w:rStyle w:val="IndexLink"/>
                <w:rtl w:val="true"/>
              </w:rPr>
              <w:t>فی الأحکام</w:t>
            </w:r>
            <w:r>
              <w:rPr>
                <w:rStyle w:val="IndexLink"/>
                <w:rtl w:val="true"/>
              </w:rPr>
              <w:t>»</w:t>
              <w:tab/>
            </w:r>
            <w:r>
              <w:rPr>
                <w:rStyle w:val="IndexLink"/>
              </w:rPr>
              <w:t>312</w:t>
            </w:r>
          </w:hyperlink>
        </w:p>
        <w:p>
          <w:pPr>
            <w:pStyle w:val="Contents4"/>
            <w:tabs>
              <w:tab w:val="clear" w:pos="8176"/>
              <w:tab w:val="right" w:pos="9026" w:leader="dot"/>
            </w:tabs>
            <w:rPr/>
          </w:pPr>
          <w:hyperlink w:anchor="__RefHeading___Toc2093066_2314609296">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2093068_2314609296">
            <w:r>
              <w:rPr>
                <w:webHidden/>
                <w:rStyle w:val="IndexLink"/>
                <w:rtl w:val="true"/>
              </w:rPr>
              <w:t>«</w:t>
            </w:r>
            <w:r>
              <w:rPr>
                <w:rStyle w:val="IndexLink"/>
                <w:rtl w:val="true"/>
              </w:rPr>
              <w:t>الأوّل</w:t>
            </w:r>
            <w:r>
              <w:rPr>
                <w:rStyle w:val="IndexLink"/>
                <w:rtl w:val="true"/>
              </w:rPr>
              <w:t xml:space="preserve">: </w:t>
            </w:r>
            <w:r>
              <w:rPr>
                <w:rStyle w:val="IndexLink"/>
                <w:rtl w:val="true"/>
              </w:rPr>
              <w:t>النقد والنسیئة</w:t>
            </w:r>
            <w:r>
              <w:rPr>
                <w:rStyle w:val="IndexLink"/>
                <w:rtl w:val="true"/>
              </w:rPr>
              <w:t>»</w:t>
              <w:tab/>
            </w:r>
            <w:r>
              <w:rPr>
                <w:rStyle w:val="IndexLink"/>
              </w:rPr>
              <w:t>312</w:t>
            </w:r>
          </w:hyperlink>
        </w:p>
        <w:p>
          <w:pPr>
            <w:pStyle w:val="Contents4"/>
            <w:tabs>
              <w:tab w:val="clear" w:pos="8176"/>
              <w:tab w:val="right" w:pos="9026" w:leader="dot"/>
            </w:tabs>
            <w:rPr/>
          </w:pPr>
          <w:hyperlink w:anchor="__RefHeading___Toc2093070_2314609296">
            <w:r>
              <w:rPr>
                <w:webHidden/>
                <w:rStyle w:val="IndexLink"/>
                <w:rtl w:val="true"/>
              </w:rPr>
              <w:t>«</w:t>
            </w:r>
            <w:r>
              <w:rPr>
                <w:rStyle w:val="IndexLink"/>
                <w:rtl w:val="true"/>
              </w:rPr>
              <w:t>الثانی</w:t>
            </w:r>
            <w:r>
              <w:rPr>
                <w:rStyle w:val="IndexLink"/>
                <w:rtl w:val="true"/>
              </w:rPr>
              <w:t xml:space="preserve">: </w:t>
            </w:r>
            <w:r>
              <w:rPr>
                <w:rStyle w:val="IndexLink"/>
                <w:rtl w:val="true"/>
              </w:rPr>
              <w:t>فی القبض</w:t>
            </w:r>
            <w:r>
              <w:rPr>
                <w:rStyle w:val="IndexLink"/>
                <w:rtl w:val="true"/>
              </w:rPr>
              <w:t>»</w:t>
              <w:tab/>
            </w:r>
            <w:r>
              <w:rPr>
                <w:rStyle w:val="IndexLink"/>
              </w:rPr>
              <w:t>317</w:t>
            </w:r>
          </w:hyperlink>
        </w:p>
        <w:p>
          <w:pPr>
            <w:pStyle w:val="Contents4"/>
            <w:tabs>
              <w:tab w:val="clear" w:pos="8176"/>
              <w:tab w:val="right" w:pos="9026" w:leader="dot"/>
            </w:tabs>
            <w:rPr/>
          </w:pPr>
          <w:hyperlink w:anchor="__RefHeading___Toc2093072_2314609296">
            <w:r>
              <w:rPr>
                <w:webHidden/>
                <w:rStyle w:val="IndexLink"/>
                <w:rtl w:val="true"/>
              </w:rPr>
              <w:t>«</w:t>
            </w:r>
            <w:r>
              <w:rPr>
                <w:rStyle w:val="IndexLink"/>
                <w:rtl w:val="true"/>
              </w:rPr>
              <w:t>الثالث</w:t>
            </w:r>
            <w:r>
              <w:rPr>
                <w:rStyle w:val="IndexLink"/>
                <w:rtl w:val="true"/>
              </w:rPr>
              <w:t xml:space="preserve">: </w:t>
            </w:r>
            <w:r>
              <w:rPr>
                <w:rStyle w:val="IndexLink"/>
                <w:rtl w:val="true"/>
              </w:rPr>
              <w:t>فی ما یدخل فی المبیع</w:t>
            </w:r>
            <w:r>
              <w:rPr>
                <w:rStyle w:val="IndexLink"/>
                <w:rtl w:val="true"/>
              </w:rPr>
              <w:t>»</w:t>
              <w:tab/>
            </w:r>
            <w:r>
              <w:rPr>
                <w:rStyle w:val="IndexLink"/>
              </w:rPr>
              <w:t>322</w:t>
            </w:r>
          </w:hyperlink>
        </w:p>
        <w:p>
          <w:pPr>
            <w:pStyle w:val="Contents4"/>
            <w:tabs>
              <w:tab w:val="clear" w:pos="8176"/>
              <w:tab w:val="right" w:pos="9026" w:leader="dot"/>
            </w:tabs>
            <w:rPr/>
          </w:pPr>
          <w:hyperlink w:anchor="__RefHeading___Toc2093074_2314609296">
            <w:r>
              <w:rPr>
                <w:webHidden/>
                <w:rStyle w:val="IndexLink"/>
                <w:rtl w:val="true"/>
              </w:rPr>
              <w:t>«</w:t>
            </w:r>
            <w:r>
              <w:rPr>
                <w:rStyle w:val="IndexLink"/>
                <w:rtl w:val="true"/>
              </w:rPr>
              <w:t>الرابع</w:t>
            </w:r>
            <w:r>
              <w:rPr>
                <w:rStyle w:val="IndexLink"/>
                <w:rtl w:val="true"/>
              </w:rPr>
              <w:t xml:space="preserve">: </w:t>
            </w:r>
            <w:r>
              <w:rPr>
                <w:rStyle w:val="IndexLink"/>
                <w:rtl w:val="true"/>
              </w:rPr>
              <w:t>فی اختلافهما</w:t>
            </w:r>
            <w:r>
              <w:rPr>
                <w:rStyle w:val="IndexLink"/>
                <w:rtl w:val="true"/>
              </w:rPr>
              <w:t>»</w:t>
              <w:tab/>
            </w:r>
            <w:r>
              <w:rPr>
                <w:rStyle w:val="IndexLink"/>
              </w:rPr>
              <w:t>325</w:t>
            </w:r>
          </w:hyperlink>
        </w:p>
        <w:p>
          <w:pPr>
            <w:pStyle w:val="Contents4"/>
            <w:tabs>
              <w:tab w:val="clear" w:pos="8176"/>
              <w:tab w:val="right" w:pos="9026" w:leader="dot"/>
            </w:tabs>
            <w:rPr/>
          </w:pPr>
          <w:hyperlink w:anchor="__RefHeading___Toc2093076_2314609296">
            <w:r>
              <w:rPr>
                <w:webHidden/>
                <w:rStyle w:val="IndexLink"/>
                <w:rtl w:val="true"/>
              </w:rPr>
              <w:t>«</w:t>
            </w:r>
            <w:r>
              <w:rPr>
                <w:rStyle w:val="IndexLink"/>
                <w:rtl w:val="true"/>
              </w:rPr>
              <w:t>الخامس</w:t>
            </w:r>
            <w:r>
              <w:rPr>
                <w:rStyle w:val="IndexLink"/>
                <w:rtl w:val="true"/>
              </w:rPr>
              <w:t>» «</w:t>
            </w:r>
            <w:r>
              <w:rPr>
                <w:rStyle w:val="IndexLink"/>
                <w:rtl w:val="true"/>
              </w:rPr>
              <w:t>إطلاق الکیل والوزن</w:t>
            </w:r>
            <w:r>
              <w:rPr>
                <w:rStyle w:val="IndexLink"/>
                <w:rtl w:val="true"/>
              </w:rPr>
              <w:t>»</w:t>
              <w:tab/>
            </w:r>
            <w:r>
              <w:rPr>
                <w:rStyle w:val="IndexLink"/>
              </w:rPr>
              <w:t>328</w:t>
            </w:r>
          </w:hyperlink>
        </w:p>
        <w:p>
          <w:pPr>
            <w:pStyle w:val="Contents4"/>
            <w:tabs>
              <w:tab w:val="clear" w:pos="8176"/>
              <w:tab w:val="right" w:pos="9026" w:leader="dot"/>
            </w:tabs>
            <w:rPr/>
          </w:pPr>
          <w:hyperlink w:anchor="__RefHeading___Toc2093078_2314609296">
            <w:r>
              <w:rPr>
                <w:webHidden/>
                <w:rStyle w:val="IndexLink"/>
                <w:rtl w:val="true"/>
              </w:rPr>
              <w:t>«</w:t>
            </w:r>
            <w:r>
              <w:rPr>
                <w:rStyle w:val="IndexLink"/>
                <w:rtl w:val="true"/>
              </w:rPr>
              <w:t>خاتمة</w:t>
            </w:r>
            <w:r>
              <w:rPr>
                <w:rStyle w:val="IndexLink"/>
                <w:rtl w:val="true"/>
              </w:rPr>
              <w:t>»</w:t>
              <w:tab/>
            </w:r>
            <w:r>
              <w:rPr>
                <w:rStyle w:val="IndexLink"/>
              </w:rPr>
              <w:t>330</w:t>
            </w:r>
          </w:hyperlink>
        </w:p>
        <w:p>
          <w:pPr>
            <w:pStyle w:val="Contents2"/>
            <w:tabs>
              <w:tab w:val="clear" w:pos="8743"/>
              <w:tab w:val="right" w:pos="9026" w:leader="dot"/>
            </w:tabs>
            <w:rPr/>
          </w:pPr>
          <w:hyperlink w:anchor="__RefHeading___Toc2093080_2314609296">
            <w:r>
              <w:rPr>
                <w:webHidden/>
                <w:rStyle w:val="IndexLink"/>
                <w:rtl w:val="true"/>
              </w:rPr>
              <w:t>کتاب الدین</w:t>
            </w:r>
            <w:r>
              <w:rPr>
                <w:rStyle w:val="IndexLink"/>
                <w:rtl w:val="true"/>
              </w:rPr>
              <w:tab/>
            </w:r>
            <w:r>
              <w:rPr>
                <w:rStyle w:val="IndexLink"/>
              </w:rPr>
              <w:t>332</w:t>
            </w:r>
          </w:hyperlink>
        </w:p>
        <w:p>
          <w:pPr>
            <w:pStyle w:val="Contents3"/>
            <w:tabs>
              <w:tab w:val="clear" w:pos="8459"/>
              <w:tab w:val="right" w:pos="9026" w:leader="dot"/>
            </w:tabs>
            <w:rPr/>
          </w:pPr>
          <w:hyperlink w:anchor="__RefHeading___Toc2093082_2314609296">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2093084_2314609296">
            <w:r>
              <w:rPr>
                <w:webHidden/>
                <w:rStyle w:val="IndexLink"/>
                <w:rtl w:val="true"/>
              </w:rPr>
              <w:t>«</w:t>
            </w:r>
            <w:r>
              <w:rPr>
                <w:rStyle w:val="IndexLink"/>
                <w:rtl w:val="true"/>
              </w:rPr>
              <w:t>القسم الأوّل</w:t>
            </w:r>
            <w:r>
              <w:rPr>
                <w:rStyle w:val="IndexLink"/>
                <w:rtl w:val="true"/>
              </w:rPr>
              <w:t xml:space="preserve">: </w:t>
            </w:r>
            <w:r>
              <w:rPr>
                <w:rStyle w:val="IndexLink"/>
                <w:rtl w:val="true"/>
              </w:rPr>
              <w:t>القرض</w:t>
            </w:r>
            <w:r>
              <w:rPr>
                <w:rStyle w:val="IndexLink"/>
                <w:rtl w:val="true"/>
              </w:rPr>
              <w:t>»</w:t>
              <w:tab/>
            </w:r>
            <w:r>
              <w:rPr>
                <w:rStyle w:val="IndexLink"/>
              </w:rPr>
              <w:t>333</w:t>
            </w:r>
          </w:hyperlink>
        </w:p>
        <w:p>
          <w:pPr>
            <w:pStyle w:val="Contents4"/>
            <w:tabs>
              <w:tab w:val="clear" w:pos="8176"/>
              <w:tab w:val="right" w:pos="9026" w:leader="dot"/>
            </w:tabs>
            <w:rPr/>
          </w:pPr>
          <w:hyperlink w:anchor="__RefHeading___Toc2093086_2314609296">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2093088_2314609296">
            <w:r>
              <w:rPr>
                <w:webHidden/>
                <w:rStyle w:val="IndexLink"/>
                <w:rtl w:val="true"/>
              </w:rPr>
              <w:t>[</w:t>
            </w:r>
            <w:r>
              <w:rPr>
                <w:rStyle w:val="IndexLink"/>
                <w:rtl w:val="true"/>
              </w:rPr>
              <w:t>صیغته</w:t>
            </w:r>
            <w:r>
              <w:rPr>
                <w:rStyle w:val="IndexLink"/>
                <w:rtl w:val="true"/>
              </w:rPr>
              <w:t>]</w:t>
              <w:tab/>
            </w:r>
            <w:r>
              <w:rPr>
                <w:rStyle w:val="IndexLink"/>
              </w:rPr>
              <w:t>334</w:t>
            </w:r>
          </w:hyperlink>
        </w:p>
        <w:p>
          <w:pPr>
            <w:pStyle w:val="Contents4"/>
            <w:tabs>
              <w:tab w:val="clear" w:pos="8176"/>
              <w:tab w:val="right" w:pos="9026" w:leader="dot"/>
            </w:tabs>
            <w:rPr/>
          </w:pPr>
          <w:hyperlink w:anchor="__RefHeading___Toc2093090_2314609296">
            <w:r>
              <w:rPr>
                <w:webHidden/>
                <w:rStyle w:val="IndexLink"/>
                <w:rtl w:val="true"/>
              </w:rPr>
              <w:t>[</w:t>
            </w:r>
            <w:r>
              <w:rPr>
                <w:rStyle w:val="IndexLink"/>
                <w:rtl w:val="true"/>
              </w:rPr>
              <w:t>احکامه</w:t>
            </w:r>
            <w:r>
              <w:rPr>
                <w:rStyle w:val="IndexLink"/>
                <w:rtl w:val="true"/>
              </w:rPr>
              <w:t>]</w:t>
              <w:tab/>
            </w:r>
            <w:r>
              <w:rPr>
                <w:rStyle w:val="IndexLink"/>
              </w:rPr>
              <w:t>334</w:t>
            </w:r>
          </w:hyperlink>
        </w:p>
        <w:p>
          <w:pPr>
            <w:pStyle w:val="Contents4"/>
            <w:tabs>
              <w:tab w:val="clear" w:pos="8176"/>
              <w:tab w:val="right" w:pos="9026" w:leader="dot"/>
            </w:tabs>
            <w:rPr/>
          </w:pPr>
          <w:hyperlink w:anchor="__RefHeading___Toc2093092_2314609296">
            <w:r>
              <w:rPr>
                <w:webHidden/>
                <w:rStyle w:val="IndexLink"/>
                <w:rtl w:val="true"/>
              </w:rPr>
              <w:t>[</w:t>
            </w:r>
            <w:r>
              <w:rPr>
                <w:rStyle w:val="IndexLink"/>
                <w:rtl w:val="true"/>
              </w:rPr>
              <w:t xml:space="preserve">حکم دین المحجور </w:t>
            </w:r>
            <w:r>
              <w:rPr>
                <w:rStyle w:val="IndexLink"/>
                <w:rtl w:val="true"/>
              </w:rPr>
              <w:t>]</w:t>
              <w:tab/>
            </w:r>
            <w:r>
              <w:rPr>
                <w:rStyle w:val="IndexLink"/>
              </w:rPr>
              <w:t>340</w:t>
            </w:r>
          </w:hyperlink>
        </w:p>
        <w:p>
          <w:pPr>
            <w:pStyle w:val="Contents4"/>
            <w:tabs>
              <w:tab w:val="clear" w:pos="8176"/>
              <w:tab w:val="right" w:pos="9026" w:leader="dot"/>
            </w:tabs>
            <w:rPr/>
          </w:pPr>
          <w:hyperlink w:anchor="__RefHeading___Toc2093094_2314609296">
            <w:r>
              <w:rPr>
                <w:webHidden/>
                <w:rStyle w:val="IndexLink"/>
                <w:rtl w:val="true"/>
              </w:rPr>
              <w:t>[</w:t>
            </w:r>
            <w:r>
              <w:rPr>
                <w:rStyle w:val="IndexLink"/>
                <w:rtl w:val="true"/>
              </w:rPr>
              <w:t xml:space="preserve">دعوی الاعسار </w:t>
            </w:r>
            <w:r>
              <w:rPr>
                <w:rStyle w:val="IndexLink"/>
                <w:rtl w:val="true"/>
              </w:rPr>
              <w:t>]</w:t>
              <w:tab/>
            </w:r>
            <w:r>
              <w:rPr>
                <w:rStyle w:val="IndexLink"/>
              </w:rPr>
              <w:t>345</w:t>
            </w:r>
          </w:hyperlink>
        </w:p>
        <w:p>
          <w:pPr>
            <w:pStyle w:val="Contents3"/>
            <w:tabs>
              <w:tab w:val="clear" w:pos="8459"/>
              <w:tab w:val="right" w:pos="9026" w:leader="dot"/>
            </w:tabs>
            <w:rPr/>
          </w:pPr>
          <w:hyperlink w:anchor="__RefHeading___Toc2093096_2314609296">
            <w:r>
              <w:rPr>
                <w:webHidden/>
                <w:rStyle w:val="IndexLink"/>
                <w:rtl w:val="true"/>
              </w:rPr>
              <w:t>«</w:t>
            </w:r>
            <w:r>
              <w:rPr>
                <w:rStyle w:val="IndexLink"/>
                <w:rtl w:val="true"/>
              </w:rPr>
              <w:t>القسم الثانی</w:t>
            </w:r>
            <w:r>
              <w:rPr>
                <w:rStyle w:val="IndexLink"/>
                <w:rtl w:val="true"/>
              </w:rPr>
              <w:t xml:space="preserve">: </w:t>
            </w:r>
            <w:r>
              <w:rPr>
                <w:rStyle w:val="IndexLink"/>
                <w:rtl w:val="true"/>
              </w:rPr>
              <w:t>دین العبد</w:t>
            </w:r>
            <w:r>
              <w:rPr>
                <w:rStyle w:val="IndexLink"/>
                <w:rtl w:val="true"/>
              </w:rPr>
              <w:t>»</w:t>
              <w:tab/>
            </w:r>
            <w:r>
              <w:rPr>
                <w:rStyle w:val="IndexLink"/>
              </w:rPr>
              <w:t>349</w:t>
            </w:r>
          </w:hyperlink>
        </w:p>
        <w:p>
          <w:pPr>
            <w:pStyle w:val="Contents2"/>
            <w:tabs>
              <w:tab w:val="clear" w:pos="8743"/>
              <w:tab w:val="right" w:pos="9026" w:leader="dot"/>
            </w:tabs>
            <w:rPr/>
          </w:pPr>
          <w:hyperlink w:anchor="__RefHeading___Toc2093098_2314609296">
            <w:r>
              <w:rPr>
                <w:webHidden/>
                <w:rStyle w:val="IndexLink"/>
                <w:rtl w:val="true"/>
              </w:rPr>
              <w:t>کتاب الرهن</w:t>
            </w:r>
            <w:r>
              <w:rPr>
                <w:rStyle w:val="IndexLink"/>
                <w:rtl w:val="true"/>
              </w:rPr>
              <w:tab/>
            </w:r>
            <w:r>
              <w:rPr>
                <w:rStyle w:val="IndexLink"/>
              </w:rPr>
              <w:t>351</w:t>
            </w:r>
          </w:hyperlink>
        </w:p>
        <w:p>
          <w:pPr>
            <w:pStyle w:val="Contents3"/>
            <w:tabs>
              <w:tab w:val="clear" w:pos="8459"/>
              <w:tab w:val="right" w:pos="9026" w:leader="dot"/>
            </w:tabs>
            <w:rPr/>
          </w:pPr>
          <w:hyperlink w:anchor="__RefHeading___Toc2093100_2314609296">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2093102_2314609296">
            <w:r>
              <w:rPr>
                <w:webHidden/>
                <w:rStyle w:val="IndexLink"/>
                <w:rtl w:val="true"/>
              </w:rPr>
              <w:t>[</w:t>
            </w:r>
            <w:r>
              <w:rPr>
                <w:rStyle w:val="IndexLink"/>
                <w:rtl w:val="true"/>
              </w:rPr>
              <w:t>تعریفه</w:t>
            </w:r>
            <w:r>
              <w:rPr>
                <w:rStyle w:val="IndexLink"/>
                <w:rtl w:val="true"/>
              </w:rPr>
              <w:t>]</w:t>
              <w:tab/>
            </w:r>
            <w:r>
              <w:rPr>
                <w:rStyle w:val="IndexLink"/>
              </w:rPr>
              <w:t>352</w:t>
            </w:r>
          </w:hyperlink>
        </w:p>
        <w:p>
          <w:pPr>
            <w:pStyle w:val="Contents3"/>
            <w:tabs>
              <w:tab w:val="clear" w:pos="8459"/>
              <w:tab w:val="right" w:pos="9026" w:leader="dot"/>
            </w:tabs>
            <w:rPr/>
          </w:pPr>
          <w:hyperlink w:anchor="__RefHeading___Toc2093104_2314609296">
            <w:r>
              <w:rPr>
                <w:webHidden/>
                <w:rStyle w:val="IndexLink"/>
                <w:rtl w:val="true"/>
              </w:rPr>
              <w:t>[</w:t>
            </w:r>
            <w:r>
              <w:rPr>
                <w:rStyle w:val="IndexLink"/>
                <w:rtl w:val="true"/>
              </w:rPr>
              <w:t>صیغته</w:t>
            </w:r>
            <w:r>
              <w:rPr>
                <w:rStyle w:val="IndexLink"/>
                <w:rtl w:val="true"/>
              </w:rPr>
              <w:t>]</w:t>
              <w:tab/>
            </w:r>
            <w:r>
              <w:rPr>
                <w:rStyle w:val="IndexLink"/>
              </w:rPr>
              <w:t>353</w:t>
            </w:r>
          </w:hyperlink>
        </w:p>
        <w:p>
          <w:pPr>
            <w:pStyle w:val="Contents3"/>
            <w:tabs>
              <w:tab w:val="clear" w:pos="8459"/>
              <w:tab w:val="right" w:pos="9026" w:leader="dot"/>
            </w:tabs>
            <w:rPr/>
          </w:pPr>
          <w:hyperlink w:anchor="__RefHeading___Toc2093106_2314609296">
            <w:r>
              <w:rPr>
                <w:webHidden/>
                <w:rStyle w:val="IndexLink"/>
                <w:rtl w:val="true"/>
              </w:rPr>
              <w:t>[</w:t>
            </w:r>
            <w:r>
              <w:rPr>
                <w:rStyle w:val="IndexLink"/>
                <w:rtl w:val="true"/>
              </w:rPr>
              <w:t>الکلام فی اشتراط القبض فیه</w:t>
            </w:r>
            <w:r>
              <w:rPr>
                <w:rStyle w:val="IndexLink"/>
                <w:rtl w:val="true"/>
              </w:rPr>
              <w:t>]</w:t>
              <w:tab/>
            </w:r>
            <w:r>
              <w:rPr>
                <w:rStyle w:val="IndexLink"/>
              </w:rPr>
              <w:t>354</w:t>
            </w:r>
          </w:hyperlink>
        </w:p>
        <w:p>
          <w:pPr>
            <w:pStyle w:val="Contents3"/>
            <w:tabs>
              <w:tab w:val="clear" w:pos="8459"/>
              <w:tab w:val="right" w:pos="9026" w:leader="dot"/>
            </w:tabs>
            <w:rPr/>
          </w:pPr>
          <w:hyperlink w:anchor="__RefHeading___Toc2093108_2314609296">
            <w:r>
              <w:rPr>
                <w:webHidden/>
                <w:rStyle w:val="IndexLink"/>
                <w:rtl w:val="true"/>
              </w:rPr>
              <w:t>[</w:t>
            </w:r>
            <w:r>
              <w:rPr>
                <w:rStyle w:val="IndexLink"/>
                <w:rtl w:val="true"/>
              </w:rPr>
              <w:t xml:space="preserve">الشروط </w:t>
            </w:r>
            <w:r>
              <w:rPr>
                <w:rStyle w:val="IndexLink"/>
                <w:rtl w:val="true"/>
              </w:rPr>
              <w:t>]</w:t>
              <w:tab/>
            </w:r>
            <w:r>
              <w:rPr>
                <w:rStyle w:val="IndexLink"/>
              </w:rPr>
              <w:t>358</w:t>
            </w:r>
          </w:hyperlink>
        </w:p>
        <w:p>
          <w:pPr>
            <w:pStyle w:val="Contents4"/>
            <w:tabs>
              <w:tab w:val="clear" w:pos="8176"/>
              <w:tab w:val="right" w:pos="9026" w:leader="dot"/>
            </w:tabs>
            <w:rPr/>
          </w:pPr>
          <w:hyperlink w:anchor="__RefHeading___Toc2093110_2314609296">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2093112_2314609296">
            <w:r>
              <w:rPr>
                <w:webHidden/>
                <w:rStyle w:val="IndexLink"/>
                <w:rtl w:val="true"/>
              </w:rPr>
              <w:t>[«</w:t>
            </w:r>
            <w:r>
              <w:rPr>
                <w:rStyle w:val="IndexLink"/>
                <w:rtl w:val="true"/>
              </w:rPr>
              <w:t>شرط الرهن</w:t>
            </w:r>
            <w:r>
              <w:rPr>
                <w:rStyle w:val="IndexLink"/>
                <w:rtl w:val="true"/>
              </w:rPr>
              <w:t>» :]</w:t>
              <w:tab/>
            </w:r>
            <w:r>
              <w:rPr>
                <w:rStyle w:val="IndexLink"/>
              </w:rPr>
              <w:t>358</w:t>
            </w:r>
          </w:hyperlink>
        </w:p>
        <w:p>
          <w:pPr>
            <w:pStyle w:val="Contents4"/>
            <w:tabs>
              <w:tab w:val="clear" w:pos="8176"/>
              <w:tab w:val="right" w:pos="9026" w:leader="dot"/>
            </w:tabs>
            <w:rPr/>
          </w:pPr>
          <w:hyperlink w:anchor="__RefHeading___Toc2093114_2314609296">
            <w:r>
              <w:rPr>
                <w:webHidden/>
                <w:rStyle w:val="IndexLink"/>
                <w:rtl w:val="true"/>
              </w:rPr>
              <w:t>[</w:t>
            </w:r>
            <w:r>
              <w:rPr>
                <w:rStyle w:val="IndexLink"/>
                <w:rtl w:val="true"/>
              </w:rPr>
              <w:t xml:space="preserve">شروط المتعاقدین </w:t>
            </w:r>
            <w:r>
              <w:rPr>
                <w:rStyle w:val="IndexLink"/>
                <w:rtl w:val="true"/>
              </w:rPr>
              <w:t>]</w:t>
              <w:tab/>
            </w:r>
            <w:r>
              <w:rPr>
                <w:rStyle w:val="IndexLink"/>
              </w:rPr>
              <w:t>364</w:t>
            </w:r>
          </w:hyperlink>
        </w:p>
        <w:p>
          <w:pPr>
            <w:pStyle w:val="Contents4"/>
            <w:tabs>
              <w:tab w:val="clear" w:pos="8176"/>
              <w:tab w:val="right" w:pos="9026" w:leader="dot"/>
            </w:tabs>
            <w:rPr/>
          </w:pPr>
          <w:hyperlink w:anchor="__RefHeading___Toc2093116_2314609296">
            <w:r>
              <w:rPr>
                <w:webHidden/>
                <w:rStyle w:val="IndexLink"/>
                <w:rtl w:val="true"/>
              </w:rPr>
              <w:t>[«</w:t>
            </w:r>
            <w:r>
              <w:rPr>
                <w:rStyle w:val="IndexLink"/>
                <w:rtl w:val="true"/>
              </w:rPr>
              <w:t>وأمّا الحق</w:t>
            </w:r>
            <w:r>
              <w:rPr>
                <w:rStyle w:val="IndexLink"/>
                <w:rtl w:val="true"/>
              </w:rPr>
              <w:t>» :]</w:t>
              <w:tab/>
            </w:r>
            <w:r>
              <w:rPr>
                <w:rStyle w:val="IndexLink"/>
              </w:rPr>
              <w:t>365</w:t>
            </w:r>
          </w:hyperlink>
        </w:p>
        <w:p>
          <w:pPr>
            <w:pStyle w:val="Contents4"/>
            <w:tabs>
              <w:tab w:val="clear" w:pos="8176"/>
              <w:tab w:val="right" w:pos="9026" w:leader="dot"/>
            </w:tabs>
            <w:rPr/>
          </w:pPr>
          <w:hyperlink w:anchor="__RefHeading___Toc2093118_2314609296">
            <w:r>
              <w:rPr>
                <w:webHidden/>
                <w:rStyle w:val="IndexLink"/>
                <w:rtl w:val="true"/>
              </w:rPr>
              <w:t>[«</w:t>
            </w:r>
            <w:r>
              <w:rPr>
                <w:rStyle w:val="IndexLink"/>
                <w:rtl w:val="true"/>
              </w:rPr>
              <w:t>وأمّا اللواحق</w:t>
            </w:r>
            <w:r>
              <w:rPr>
                <w:rStyle w:val="IndexLink"/>
                <w:rtl w:val="true"/>
              </w:rPr>
              <w:t>»]</w:t>
              <w:tab/>
            </w:r>
            <w:r>
              <w:rPr>
                <w:rStyle w:val="IndexLink"/>
              </w:rPr>
              <w:t>367</w:t>
            </w:r>
          </w:hyperlink>
        </w:p>
        <w:p>
          <w:pPr>
            <w:pStyle w:val="Contents5"/>
            <w:tabs>
              <w:tab w:val="clear" w:pos="7892"/>
              <w:tab w:val="right" w:pos="9026" w:leader="dot"/>
            </w:tabs>
            <w:rPr/>
          </w:pPr>
          <w:hyperlink w:anchor="__RefHeading___Toc2093120_2314609296">
            <w:r>
              <w:rPr>
                <w:webHidden/>
                <w:rStyle w:val="IndexLink"/>
                <w:rtl w:val="true"/>
              </w:rPr>
              <w:t>[«</w:t>
            </w:r>
            <w:r>
              <w:rPr>
                <w:rStyle w:val="IndexLink"/>
                <w:rtl w:val="true"/>
              </w:rPr>
              <w:t>فمسائل</w:t>
            </w:r>
            <w:r>
              <w:rPr>
                <w:rStyle w:val="IndexLink"/>
                <w:rtl w:val="true"/>
              </w:rPr>
              <w:t>»]</w:t>
              <w:tab/>
            </w:r>
            <w:r>
              <w:rPr>
                <w:rStyle w:val="IndexLink"/>
              </w:rPr>
              <w:t>367</w:t>
            </w:r>
          </w:hyperlink>
        </w:p>
        <w:p>
          <w:pPr>
            <w:pStyle w:val="Contents6"/>
            <w:tabs>
              <w:tab w:val="clear" w:pos="7609"/>
              <w:tab w:val="right" w:pos="9026" w:leader="dot"/>
            </w:tabs>
            <w:rPr/>
          </w:pPr>
          <w:hyperlink w:anchor="__RefHeading___Toc2093122_2314609296">
            <w:r>
              <w:rPr>
                <w:webHidden/>
                <w:rStyle w:val="IndexLink"/>
                <w:rtl w:val="true"/>
              </w:rPr>
              <w:t>[</w:t>
            </w:r>
            <w:r>
              <w:rPr>
                <w:rStyle w:val="IndexLink"/>
                <w:rtl w:val="true"/>
              </w:rPr>
              <w:t>الاولی</w:t>
            </w:r>
            <w:r>
              <w:rPr>
                <w:rStyle w:val="IndexLink"/>
                <w:rtl w:val="true"/>
              </w:rPr>
              <w:t xml:space="preserve">: </w:t>
            </w:r>
            <w:r>
              <w:rPr>
                <w:rStyle w:val="IndexLink"/>
                <w:rtl w:val="true"/>
              </w:rPr>
              <w:t>شروط الوکالة فی الرهن</w:t>
            </w:r>
            <w:r>
              <w:rPr>
                <w:rStyle w:val="IndexLink"/>
                <w:rtl w:val="true"/>
              </w:rPr>
              <w:t>]</w:t>
              <w:tab/>
            </w:r>
            <w:r>
              <w:rPr>
                <w:rStyle w:val="IndexLink"/>
              </w:rPr>
              <w:t>367</w:t>
            </w:r>
          </w:hyperlink>
        </w:p>
        <w:p>
          <w:pPr>
            <w:pStyle w:val="Contents6"/>
            <w:tabs>
              <w:tab w:val="clear" w:pos="7609"/>
              <w:tab w:val="right" w:pos="9026" w:leader="dot"/>
            </w:tabs>
            <w:rPr/>
          </w:pPr>
          <w:hyperlink w:anchor="__RefHeading___Toc2093124_2314609296">
            <w:r>
              <w:rPr>
                <w:webHidden/>
                <w:rStyle w:val="IndexLink"/>
                <w:rtl w:val="true"/>
              </w:rPr>
              <w:t>[</w:t>
            </w:r>
            <w:r>
              <w:rPr>
                <w:rStyle w:val="IndexLink"/>
                <w:rtl w:val="true"/>
              </w:rPr>
              <w:t>الثانیة</w:t>
            </w:r>
            <w:r>
              <w:rPr>
                <w:rStyle w:val="IndexLink"/>
                <w:rtl w:val="true"/>
              </w:rPr>
              <w:t xml:space="preserve">: </w:t>
            </w:r>
            <w:r>
              <w:rPr>
                <w:rStyle w:val="IndexLink"/>
                <w:rtl w:val="true"/>
              </w:rPr>
              <w:t>جواز ابتیاع الرهن للمرتهن مع الوکالة</w:t>
            </w:r>
            <w:r>
              <w:rPr>
                <w:rStyle w:val="IndexLink"/>
                <w:rtl w:val="true"/>
              </w:rPr>
              <w:t>]</w:t>
              <w:tab/>
            </w:r>
            <w:r>
              <w:rPr>
                <w:rStyle w:val="IndexLink"/>
              </w:rPr>
              <w:t>368</w:t>
            </w:r>
          </w:hyperlink>
        </w:p>
        <w:p>
          <w:pPr>
            <w:pStyle w:val="Contents6"/>
            <w:tabs>
              <w:tab w:val="clear" w:pos="7609"/>
              <w:tab w:val="right" w:pos="9026" w:leader="dot"/>
            </w:tabs>
            <w:rPr/>
          </w:pPr>
          <w:hyperlink w:anchor="__RefHeading___Toc2093126_2314609296">
            <w:r>
              <w:rPr>
                <w:webHidden/>
                <w:rStyle w:val="IndexLink"/>
                <w:rtl w:val="true"/>
              </w:rPr>
              <w:t>[</w:t>
            </w:r>
            <w:r>
              <w:rPr>
                <w:rStyle w:val="IndexLink"/>
                <w:rtl w:val="true"/>
              </w:rPr>
              <w:t>الثالثة</w:t>
            </w:r>
            <w:r>
              <w:rPr>
                <w:rStyle w:val="IndexLink"/>
                <w:rtl w:val="true"/>
              </w:rPr>
              <w:t xml:space="preserve">: </w:t>
            </w:r>
            <w:r>
              <w:rPr>
                <w:rStyle w:val="IndexLink"/>
                <w:rtl w:val="true"/>
              </w:rPr>
              <w:t>عدم الجواز التصرف فی الرهن</w:t>
            </w:r>
            <w:r>
              <w:rPr>
                <w:rStyle w:val="IndexLink"/>
                <w:rtl w:val="true"/>
              </w:rPr>
              <w:t>]</w:t>
              <w:tab/>
            </w:r>
            <w:r>
              <w:rPr>
                <w:rStyle w:val="IndexLink"/>
              </w:rPr>
              <w:t>369</w:t>
            </w:r>
          </w:hyperlink>
        </w:p>
        <w:p>
          <w:pPr>
            <w:pStyle w:val="Contents6"/>
            <w:tabs>
              <w:tab w:val="clear" w:pos="7609"/>
              <w:tab w:val="right" w:pos="9026" w:leader="dot"/>
            </w:tabs>
            <w:rPr/>
          </w:pPr>
          <w:hyperlink w:anchor="__RefHeading___Toc2093128_2314609296">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2093130_2314609296">
            <w:r>
              <w:rPr>
                <w:webHidden/>
                <w:rStyle w:val="IndexLink"/>
                <w:rtl w:val="true"/>
              </w:rPr>
              <w:t>[</w:t>
            </w:r>
            <w:r>
              <w:rPr>
                <w:rStyle w:val="IndexLink"/>
                <w:rtl w:val="true"/>
              </w:rPr>
              <w:t>مؤونة الرهن علی الراهن</w:t>
            </w:r>
            <w:r>
              <w:rPr>
                <w:rStyle w:val="IndexLink"/>
                <w:rtl w:val="true"/>
              </w:rPr>
              <w:t>]</w:t>
              <w:tab/>
            </w:r>
            <w:r>
              <w:rPr>
                <w:rStyle w:val="IndexLink"/>
              </w:rPr>
              <w:t>369</w:t>
            </w:r>
          </w:hyperlink>
        </w:p>
        <w:p>
          <w:pPr>
            <w:pStyle w:val="Contents6"/>
            <w:tabs>
              <w:tab w:val="clear" w:pos="7609"/>
              <w:tab w:val="right" w:pos="9026" w:leader="dot"/>
            </w:tabs>
            <w:rPr/>
          </w:pPr>
          <w:hyperlink w:anchor="__RefHeading___Toc2093132_2314609296">
            <w:r>
              <w:rPr>
                <w:webHidden/>
                <w:rStyle w:val="IndexLink"/>
                <w:rtl w:val="true"/>
              </w:rPr>
              <w:t>[</w:t>
            </w:r>
            <w:r>
              <w:rPr>
                <w:rStyle w:val="IndexLink"/>
                <w:rtl w:val="true"/>
              </w:rPr>
              <w:t>الرابعة</w:t>
            </w:r>
            <w:r>
              <w:rPr>
                <w:rStyle w:val="IndexLink"/>
                <w:rtl w:val="true"/>
              </w:rPr>
              <w:t xml:space="preserve">: </w:t>
            </w:r>
            <w:r>
              <w:rPr>
                <w:rStyle w:val="IndexLink"/>
                <w:rtl w:val="true"/>
              </w:rPr>
              <w:t>جواز الاستقلال باالاستیفاء للمرتهن لو خاف جحود الوارث</w:t>
            </w:r>
            <w:r>
              <w:rPr>
                <w:rStyle w:val="IndexLink"/>
                <w:rtl w:val="true"/>
              </w:rPr>
              <w:t>]</w:t>
              <w:tab/>
            </w:r>
            <w:r>
              <w:rPr>
                <w:rStyle w:val="IndexLink"/>
              </w:rPr>
              <w:t>370</w:t>
            </w:r>
          </w:hyperlink>
        </w:p>
        <w:p>
          <w:pPr>
            <w:pStyle w:val="Contents6"/>
            <w:tabs>
              <w:tab w:val="clear" w:pos="7609"/>
              <w:tab w:val="right" w:pos="9026" w:leader="dot"/>
            </w:tabs>
            <w:rPr/>
          </w:pPr>
          <w:hyperlink w:anchor="__RefHeading___Toc2093134_2314609296">
            <w:r>
              <w:rPr>
                <w:webHidden/>
                <w:rStyle w:val="IndexLink"/>
                <w:rtl w:val="true"/>
              </w:rPr>
              <w:t>[</w:t>
            </w:r>
            <w:r>
              <w:rPr>
                <w:rStyle w:val="IndexLink"/>
                <w:rtl w:val="true"/>
              </w:rPr>
              <w:t>الخامسة</w:t>
            </w:r>
            <w:r>
              <w:rPr>
                <w:rStyle w:val="IndexLink"/>
                <w:rtl w:val="true"/>
              </w:rPr>
              <w:t xml:space="preserve">: </w:t>
            </w:r>
            <w:r>
              <w:rPr>
                <w:rStyle w:val="IndexLink"/>
                <w:rtl w:val="true"/>
              </w:rPr>
              <w:t>حکم البیع الرهن و عتقه و وطئه</w:t>
            </w:r>
            <w:r>
              <w:rPr>
                <w:rStyle w:val="IndexLink"/>
                <w:rtl w:val="true"/>
              </w:rPr>
              <w:t>]</w:t>
              <w:tab/>
            </w:r>
            <w:r>
              <w:rPr>
                <w:rStyle w:val="IndexLink"/>
              </w:rPr>
              <w:t>371</w:t>
            </w:r>
          </w:hyperlink>
        </w:p>
        <w:p>
          <w:pPr>
            <w:pStyle w:val="Contents6"/>
            <w:tabs>
              <w:tab w:val="clear" w:pos="7609"/>
              <w:tab w:val="right" w:pos="9026" w:leader="dot"/>
            </w:tabs>
            <w:rPr/>
          </w:pPr>
          <w:hyperlink w:anchor="__RefHeading___Toc2093136_2314609296">
            <w:r>
              <w:rPr>
                <w:webHidden/>
                <w:rStyle w:val="IndexLink"/>
                <w:rtl w:val="true"/>
              </w:rPr>
              <w:t>[</w:t>
            </w:r>
            <w:r>
              <w:rPr>
                <w:rStyle w:val="IndexLink"/>
                <w:rtl w:val="true"/>
              </w:rPr>
              <w:t>السادسة</w:t>
            </w:r>
            <w:r>
              <w:rPr>
                <w:rStyle w:val="IndexLink"/>
                <w:rtl w:val="true"/>
              </w:rPr>
              <w:t xml:space="preserve">: </w:t>
            </w:r>
            <w:r>
              <w:rPr>
                <w:rStyle w:val="IndexLink"/>
                <w:rtl w:val="true"/>
              </w:rPr>
              <w:t>لزوم الرهن من جهة الراهن</w:t>
            </w:r>
            <w:r>
              <w:rPr>
                <w:rStyle w:val="IndexLink"/>
                <w:rtl w:val="true"/>
              </w:rPr>
              <w:t>]</w:t>
              <w:tab/>
            </w:r>
            <w:r>
              <w:rPr>
                <w:rStyle w:val="IndexLink"/>
              </w:rPr>
              <w:t>373</w:t>
            </w:r>
          </w:hyperlink>
        </w:p>
        <w:p>
          <w:pPr>
            <w:pStyle w:val="Contents6"/>
            <w:tabs>
              <w:tab w:val="clear" w:pos="7609"/>
              <w:tab w:val="right" w:pos="9026" w:leader="dot"/>
            </w:tabs>
            <w:rPr/>
          </w:pPr>
          <w:hyperlink w:anchor="__RefHeading___Toc2093138_2314609296">
            <w:r>
              <w:rPr>
                <w:webHidden/>
                <w:rStyle w:val="IndexLink"/>
                <w:rtl w:val="true"/>
              </w:rPr>
              <w:t>[</w:t>
            </w:r>
            <w:r>
              <w:rPr>
                <w:rStyle w:val="IndexLink"/>
                <w:rtl w:val="true"/>
              </w:rPr>
              <w:t>السابعة</w:t>
            </w:r>
            <w:r>
              <w:rPr>
                <w:rStyle w:val="IndexLink"/>
                <w:rtl w:val="true"/>
              </w:rPr>
              <w:t xml:space="preserve">: </w:t>
            </w:r>
            <w:r>
              <w:rPr>
                <w:rStyle w:val="IndexLink"/>
                <w:rtl w:val="true"/>
              </w:rPr>
              <w:t>دخول النماء المتجدد فی الرهن</w:t>
            </w:r>
            <w:r>
              <w:rPr>
                <w:rStyle w:val="IndexLink"/>
                <w:rtl w:val="true"/>
              </w:rPr>
              <w:t>]</w:t>
              <w:tab/>
            </w:r>
            <w:r>
              <w:rPr>
                <w:rStyle w:val="IndexLink"/>
              </w:rPr>
              <w:t>374</w:t>
            </w:r>
          </w:hyperlink>
        </w:p>
        <w:p>
          <w:pPr>
            <w:pStyle w:val="Contents6"/>
            <w:tabs>
              <w:tab w:val="clear" w:pos="7609"/>
              <w:tab w:val="right" w:pos="9026" w:leader="dot"/>
            </w:tabs>
            <w:rPr/>
          </w:pPr>
          <w:hyperlink w:anchor="__RefHeading___Toc2093140_2314609296">
            <w:r>
              <w:rPr>
                <w:webHidden/>
                <w:rStyle w:val="IndexLink"/>
                <w:rtl w:val="true"/>
              </w:rPr>
              <w:t>[</w:t>
            </w:r>
            <w:r>
              <w:rPr>
                <w:rStyle w:val="IndexLink"/>
                <w:rtl w:val="true"/>
              </w:rPr>
              <w:t>الثامنة</w:t>
            </w:r>
            <w:r>
              <w:rPr>
                <w:rStyle w:val="IndexLink"/>
                <w:rtl w:val="true"/>
              </w:rPr>
              <w:t xml:space="preserve">: </w:t>
            </w:r>
            <w:r>
              <w:rPr>
                <w:rStyle w:val="IndexLink"/>
                <w:rtl w:val="true"/>
              </w:rPr>
              <w:t>انتقال حق الرهانة بالموت</w:t>
            </w:r>
            <w:r>
              <w:rPr>
                <w:rStyle w:val="IndexLink"/>
                <w:rtl w:val="true"/>
              </w:rPr>
              <w:t>]</w:t>
              <w:tab/>
            </w:r>
            <w:r>
              <w:rPr>
                <w:rStyle w:val="IndexLink"/>
              </w:rPr>
              <w:t>374</w:t>
            </w:r>
          </w:hyperlink>
        </w:p>
        <w:p>
          <w:pPr>
            <w:pStyle w:val="Contents6"/>
            <w:tabs>
              <w:tab w:val="clear" w:pos="7609"/>
              <w:tab w:val="right" w:pos="9026" w:leader="dot"/>
            </w:tabs>
            <w:rPr/>
          </w:pPr>
          <w:hyperlink w:anchor="__RefHeading___Toc2093142_2314609296">
            <w:r>
              <w:rPr>
                <w:webHidden/>
                <w:rStyle w:val="IndexLink"/>
                <w:rtl w:val="true"/>
              </w:rPr>
              <w:t>[</w:t>
            </w:r>
            <w:r>
              <w:rPr>
                <w:rStyle w:val="IndexLink"/>
                <w:rtl w:val="true"/>
              </w:rPr>
              <w:t>التاسعة</w:t>
            </w:r>
            <w:r>
              <w:rPr>
                <w:rStyle w:val="IndexLink"/>
                <w:rtl w:val="true"/>
              </w:rPr>
              <w:t xml:space="preserve">: </w:t>
            </w:r>
            <w:r>
              <w:rPr>
                <w:rStyle w:val="IndexLink"/>
                <w:rtl w:val="true"/>
              </w:rPr>
              <w:t>عدم ضمان المرتهن</w:t>
            </w:r>
            <w:r>
              <w:rPr>
                <w:rStyle w:val="IndexLink"/>
                <w:rtl w:val="true"/>
              </w:rPr>
              <w:t>]</w:t>
              <w:tab/>
            </w:r>
            <w:r>
              <w:rPr>
                <w:rStyle w:val="IndexLink"/>
              </w:rPr>
              <w:t>375</w:t>
            </w:r>
          </w:hyperlink>
        </w:p>
        <w:p>
          <w:pPr>
            <w:pStyle w:val="Contents6"/>
            <w:tabs>
              <w:tab w:val="clear" w:pos="7609"/>
              <w:tab w:val="right" w:pos="9026" w:leader="dot"/>
            </w:tabs>
            <w:rPr/>
          </w:pPr>
          <w:hyperlink w:anchor="__RefHeading___Toc2093144_2314609296">
            <w:r>
              <w:rPr>
                <w:webHidden/>
                <w:rStyle w:val="IndexLink"/>
                <w:rtl w:val="true"/>
              </w:rPr>
              <w:t>[</w:t>
            </w:r>
            <w:r>
              <w:rPr>
                <w:rStyle w:val="IndexLink"/>
                <w:rtl w:val="true"/>
              </w:rPr>
              <w:t>العاشرة</w:t>
            </w:r>
            <w:r>
              <w:rPr>
                <w:rStyle w:val="IndexLink"/>
                <w:rtl w:val="true"/>
              </w:rPr>
              <w:t xml:space="preserve">: </w:t>
            </w:r>
            <w:r>
              <w:rPr>
                <w:rStyle w:val="IndexLink"/>
                <w:rtl w:val="true"/>
              </w:rPr>
              <w:t>حکم اختلاف الراهن و المرتهن</w:t>
            </w:r>
            <w:r>
              <w:rPr>
                <w:rStyle w:val="IndexLink"/>
                <w:rtl w:val="true"/>
              </w:rPr>
              <w:t>]</w:t>
              <w:tab/>
            </w:r>
            <w:r>
              <w:rPr>
                <w:rStyle w:val="IndexLink"/>
              </w:rPr>
              <w:t>376</w:t>
            </w:r>
          </w:hyperlink>
        </w:p>
        <w:p>
          <w:pPr>
            <w:pStyle w:val="Contents6"/>
            <w:tabs>
              <w:tab w:val="clear" w:pos="7609"/>
              <w:tab w:val="right" w:pos="9026" w:leader="dot"/>
            </w:tabs>
            <w:rPr/>
          </w:pPr>
          <w:hyperlink w:anchor="__RefHeading___Toc2093146_2314609296">
            <w:r>
              <w:rPr>
                <w:webHidden/>
                <w:rStyle w:val="IndexLink"/>
                <w:rtl w:val="true"/>
              </w:rPr>
              <w:t>[</w:t>
            </w:r>
            <w:r>
              <w:rPr>
                <w:rStyle w:val="IndexLink"/>
                <w:rtl w:val="true"/>
              </w:rPr>
              <w:t>الحادیة عشرة</w:t>
            </w:r>
            <w:r>
              <w:rPr>
                <w:rStyle w:val="IndexLink"/>
                <w:rtl w:val="true"/>
              </w:rPr>
              <w:t xml:space="preserve">: </w:t>
            </w:r>
            <w:r>
              <w:rPr>
                <w:rStyle w:val="IndexLink"/>
                <w:rtl w:val="true"/>
              </w:rPr>
              <w:t>او ادی دینا و عین به رهنا</w:t>
            </w:r>
            <w:r>
              <w:rPr>
                <w:rStyle w:val="IndexLink"/>
                <w:rtl w:val="true"/>
              </w:rPr>
              <w:t>]</w:t>
              <w:tab/>
            </w:r>
            <w:r>
              <w:rPr>
                <w:rStyle w:val="IndexLink"/>
              </w:rPr>
              <w:t>378</w:t>
            </w:r>
          </w:hyperlink>
        </w:p>
        <w:p>
          <w:pPr>
            <w:pStyle w:val="Contents6"/>
            <w:tabs>
              <w:tab w:val="clear" w:pos="7609"/>
              <w:tab w:val="right" w:pos="9026" w:leader="dot"/>
            </w:tabs>
            <w:rPr/>
          </w:pPr>
          <w:hyperlink w:anchor="__RefHeading___Toc2093148_2314609296">
            <w:r>
              <w:rPr>
                <w:webHidden/>
                <w:rStyle w:val="IndexLink"/>
                <w:rtl w:val="true"/>
              </w:rPr>
              <w:t>[</w:t>
            </w:r>
            <w:r>
              <w:rPr>
                <w:rStyle w:val="IndexLink"/>
                <w:rtl w:val="true"/>
              </w:rPr>
              <w:t>الثانیة عشرة</w:t>
            </w:r>
            <w:r>
              <w:rPr>
                <w:rStyle w:val="IndexLink"/>
                <w:rtl w:val="true"/>
              </w:rPr>
              <w:t xml:space="preserve">: </w:t>
            </w:r>
            <w:r>
              <w:rPr>
                <w:rStyle w:val="IndexLink"/>
                <w:rtl w:val="true"/>
              </w:rPr>
              <w:t>لو اختلفا فی ما یباع به الرهن</w:t>
            </w:r>
            <w:r>
              <w:rPr>
                <w:rStyle w:val="IndexLink"/>
                <w:rtl w:val="true"/>
              </w:rPr>
              <w:t>]</w:t>
              <w:tab/>
            </w:r>
            <w:r>
              <w:rPr>
                <w:rStyle w:val="IndexLink"/>
              </w:rPr>
              <w:t>379</w:t>
            </w:r>
          </w:hyperlink>
        </w:p>
        <w:p>
          <w:pPr>
            <w:pStyle w:val="Contents2"/>
            <w:tabs>
              <w:tab w:val="clear" w:pos="8743"/>
              <w:tab w:val="right" w:pos="9026" w:leader="dot"/>
            </w:tabs>
            <w:rPr/>
          </w:pPr>
          <w:hyperlink w:anchor="__RefHeading___Toc2093150_2314609296">
            <w:r>
              <w:rPr>
                <w:webHidden/>
                <w:rStyle w:val="IndexLink"/>
                <w:rtl w:val="true"/>
              </w:rPr>
              <w:t>کتاب الحَجر</w:t>
            </w:r>
            <w:r>
              <w:rPr>
                <w:rStyle w:val="IndexLink"/>
                <w:rtl w:val="true"/>
              </w:rPr>
              <w:tab/>
            </w:r>
            <w:r>
              <w:rPr>
                <w:rStyle w:val="IndexLink"/>
              </w:rPr>
              <w:t>380</w:t>
            </w:r>
          </w:hyperlink>
        </w:p>
        <w:p>
          <w:pPr>
            <w:pStyle w:val="Contents3"/>
            <w:tabs>
              <w:tab w:val="clear" w:pos="8459"/>
              <w:tab w:val="right" w:pos="9026" w:leader="dot"/>
            </w:tabs>
            <w:rPr/>
          </w:pPr>
          <w:hyperlink w:anchor="__RefHeading___Toc2093152_2314609296">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2093154_2314609296">
            <w:r>
              <w:rPr>
                <w:webHidden/>
                <w:rStyle w:val="IndexLink"/>
                <w:rtl w:val="true"/>
              </w:rPr>
              <w:t>[</w:t>
            </w:r>
            <w:r>
              <w:rPr>
                <w:rStyle w:val="IndexLink"/>
                <w:rtl w:val="true"/>
              </w:rPr>
              <w:t>اسبابه</w:t>
            </w:r>
            <w:r>
              <w:rPr>
                <w:rStyle w:val="IndexLink"/>
                <w:rtl w:val="true"/>
              </w:rPr>
              <w:t>]</w:t>
              <w:tab/>
            </w:r>
            <w:r>
              <w:rPr>
                <w:rStyle w:val="IndexLink"/>
              </w:rPr>
              <w:t>381</w:t>
            </w:r>
          </w:hyperlink>
        </w:p>
        <w:p>
          <w:pPr>
            <w:pStyle w:val="Contents2"/>
            <w:tabs>
              <w:tab w:val="clear" w:pos="8743"/>
              <w:tab w:val="right" w:pos="9026" w:leader="dot"/>
            </w:tabs>
            <w:rPr/>
          </w:pPr>
          <w:hyperlink w:anchor="__RefHeading___Toc2093156_2314609296">
            <w:r>
              <w:rPr>
                <w:webHidden/>
                <w:rStyle w:val="IndexLink"/>
                <w:rtl w:val="true"/>
              </w:rPr>
              <w:t>کتاب الضمان</w:t>
            </w:r>
            <w:r>
              <w:rPr>
                <w:rStyle w:val="IndexLink"/>
                <w:rtl w:val="true"/>
              </w:rPr>
              <w:tab/>
            </w:r>
            <w:r>
              <w:rPr>
                <w:rStyle w:val="IndexLink"/>
              </w:rPr>
              <w:t>389</w:t>
            </w:r>
          </w:hyperlink>
        </w:p>
        <w:p>
          <w:pPr>
            <w:pStyle w:val="Contents3"/>
            <w:tabs>
              <w:tab w:val="clear" w:pos="8459"/>
              <w:tab w:val="right" w:pos="9026" w:leader="dot"/>
            </w:tabs>
            <w:rPr/>
          </w:pPr>
          <w:hyperlink w:anchor="__RefHeading___Toc2093158_2314609296">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2093160_2314609296">
            <w:r>
              <w:rPr>
                <w:webHidden/>
                <w:rStyle w:val="IndexLink"/>
                <w:rtl w:val="true"/>
              </w:rPr>
              <w:t>[</w:t>
            </w:r>
            <w:r>
              <w:rPr>
                <w:rStyle w:val="IndexLink"/>
                <w:rtl w:val="true"/>
              </w:rPr>
              <w:t xml:space="preserve">والمراد به </w:t>
            </w:r>
            <w:r>
              <w:rPr>
                <w:rStyle w:val="IndexLink"/>
                <w:rtl w:val="true"/>
              </w:rPr>
              <w:t>]</w:t>
              <w:tab/>
            </w:r>
            <w:r>
              <w:rPr>
                <w:rStyle w:val="IndexLink"/>
              </w:rPr>
              <w:t>390</w:t>
            </w:r>
          </w:hyperlink>
        </w:p>
        <w:p>
          <w:pPr>
            <w:pStyle w:val="Contents3"/>
            <w:tabs>
              <w:tab w:val="clear" w:pos="8459"/>
              <w:tab w:val="right" w:pos="9026" w:leader="dot"/>
            </w:tabs>
            <w:rPr/>
          </w:pPr>
          <w:hyperlink w:anchor="__RefHeading___Toc2093162_2314609296">
            <w:r>
              <w:rPr>
                <w:webHidden/>
                <w:rStyle w:val="IndexLink"/>
                <w:rtl w:val="true"/>
              </w:rPr>
              <w:t>[</w:t>
            </w:r>
            <w:r>
              <w:rPr>
                <w:rStyle w:val="IndexLink"/>
                <w:rtl w:val="true"/>
              </w:rPr>
              <w:t>شروط الضامن</w:t>
            </w:r>
            <w:r>
              <w:rPr>
                <w:rStyle w:val="IndexLink"/>
                <w:rtl w:val="true"/>
              </w:rPr>
              <w:t>]</w:t>
              <w:tab/>
            </w:r>
            <w:r>
              <w:rPr>
                <w:rStyle w:val="IndexLink"/>
              </w:rPr>
              <w:t>390</w:t>
            </w:r>
          </w:hyperlink>
        </w:p>
        <w:p>
          <w:pPr>
            <w:pStyle w:val="Contents3"/>
            <w:tabs>
              <w:tab w:val="clear" w:pos="8459"/>
              <w:tab w:val="right" w:pos="9026" w:leader="dot"/>
            </w:tabs>
            <w:rPr/>
          </w:pPr>
          <w:hyperlink w:anchor="__RefHeading___Toc2093164_2314609296">
            <w:r>
              <w:rPr>
                <w:webHidden/>
                <w:rStyle w:val="IndexLink"/>
                <w:rtl w:val="true"/>
              </w:rPr>
              <w:t>[</w:t>
            </w:r>
            <w:r>
              <w:rPr>
                <w:rStyle w:val="IndexLink"/>
                <w:rtl w:val="true"/>
              </w:rPr>
              <w:t>اشتراط الایجاب و العقول فیه</w:t>
            </w:r>
            <w:r>
              <w:rPr>
                <w:rStyle w:val="IndexLink"/>
                <w:rtl w:val="true"/>
              </w:rPr>
              <w:t>]</w:t>
              <w:tab/>
            </w:r>
            <w:r>
              <w:rPr>
                <w:rStyle w:val="IndexLink"/>
              </w:rPr>
              <w:t>393</w:t>
            </w:r>
          </w:hyperlink>
        </w:p>
        <w:p>
          <w:pPr>
            <w:pStyle w:val="Contents3"/>
            <w:tabs>
              <w:tab w:val="clear" w:pos="8459"/>
              <w:tab w:val="right" w:pos="9026" w:leader="dot"/>
            </w:tabs>
            <w:rPr/>
          </w:pPr>
          <w:hyperlink w:anchor="__RefHeading___Toc2093166_2314609296">
            <w:r>
              <w:rPr>
                <w:webHidden/>
                <w:rStyle w:val="IndexLink"/>
                <w:rtl w:val="true"/>
              </w:rPr>
              <w:t>[</w:t>
            </w:r>
            <w:r>
              <w:rPr>
                <w:rStyle w:val="IndexLink"/>
                <w:rtl w:val="true"/>
              </w:rPr>
              <w:t>صور تهمة الضامن</w:t>
            </w:r>
            <w:r>
              <w:rPr>
                <w:rStyle w:val="IndexLink"/>
                <w:rtl w:val="true"/>
              </w:rPr>
              <w:t>]</w:t>
              <w:tab/>
            </w:r>
            <w:r>
              <w:rPr>
                <w:rStyle w:val="IndexLink"/>
              </w:rPr>
              <w:t>396</w:t>
            </w:r>
          </w:hyperlink>
        </w:p>
        <w:p>
          <w:pPr>
            <w:pStyle w:val="Contents2"/>
            <w:tabs>
              <w:tab w:val="clear" w:pos="8743"/>
              <w:tab w:val="right" w:pos="9026" w:leader="dot"/>
            </w:tabs>
            <w:rPr/>
          </w:pPr>
          <w:hyperlink w:anchor="__RefHeading___Toc2093168_2314609296">
            <w:r>
              <w:rPr>
                <w:webHidden/>
                <w:rStyle w:val="IndexLink"/>
                <w:rtl w:val="true"/>
              </w:rPr>
              <w:t>کتاب الحوالة</w:t>
            </w:r>
            <w:r>
              <w:rPr>
                <w:rStyle w:val="IndexLink"/>
                <w:rtl w:val="true"/>
              </w:rPr>
              <w:tab/>
            </w:r>
            <w:r>
              <w:rPr>
                <w:rStyle w:val="IndexLink"/>
              </w:rPr>
              <w:t>398</w:t>
            </w:r>
          </w:hyperlink>
        </w:p>
        <w:p>
          <w:pPr>
            <w:pStyle w:val="Contents3"/>
            <w:tabs>
              <w:tab w:val="clear" w:pos="8459"/>
              <w:tab w:val="right" w:pos="9026" w:leader="dot"/>
            </w:tabs>
            <w:rPr/>
          </w:pPr>
          <w:hyperlink w:anchor="__RefHeading___Toc2093170_2314609296">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2093172_2314609296">
            <w:r>
              <w:rPr>
                <w:webHidden/>
                <w:rStyle w:val="IndexLink"/>
                <w:rtl w:val="true"/>
              </w:rPr>
              <w:t>[</w:t>
            </w:r>
            <w:r>
              <w:rPr>
                <w:rStyle w:val="IndexLink"/>
                <w:rtl w:val="true"/>
              </w:rPr>
              <w:t>تعریفها</w:t>
            </w:r>
            <w:r>
              <w:rPr>
                <w:rStyle w:val="IndexLink"/>
                <w:rtl w:val="true"/>
              </w:rPr>
              <w:t>]</w:t>
              <w:tab/>
            </w:r>
            <w:r>
              <w:rPr>
                <w:rStyle w:val="IndexLink"/>
              </w:rPr>
              <w:t>399</w:t>
            </w:r>
          </w:hyperlink>
        </w:p>
        <w:p>
          <w:pPr>
            <w:pStyle w:val="Contents3"/>
            <w:tabs>
              <w:tab w:val="clear" w:pos="8459"/>
              <w:tab w:val="right" w:pos="9026" w:leader="dot"/>
            </w:tabs>
            <w:rPr/>
          </w:pPr>
          <w:hyperlink w:anchor="__RefHeading___Toc2093174_2314609296">
            <w:r>
              <w:rPr>
                <w:webHidden/>
                <w:rStyle w:val="IndexLink"/>
                <w:rtl w:val="true"/>
              </w:rPr>
              <w:t>[</w:t>
            </w:r>
            <w:r>
              <w:rPr>
                <w:rStyle w:val="IndexLink"/>
                <w:rtl w:val="true"/>
              </w:rPr>
              <w:t>شروطها</w:t>
            </w:r>
            <w:r>
              <w:rPr>
                <w:rStyle w:val="IndexLink"/>
                <w:rtl w:val="true"/>
              </w:rPr>
              <w:t>]</w:t>
              <w:tab/>
            </w:r>
            <w:r>
              <w:rPr>
                <w:rStyle w:val="IndexLink"/>
              </w:rPr>
              <w:t>399</w:t>
            </w:r>
          </w:hyperlink>
        </w:p>
        <w:p>
          <w:pPr>
            <w:pStyle w:val="Contents3"/>
            <w:tabs>
              <w:tab w:val="clear" w:pos="8459"/>
              <w:tab w:val="right" w:pos="9026" w:leader="dot"/>
            </w:tabs>
            <w:rPr/>
          </w:pPr>
          <w:hyperlink w:anchor="__RefHeading___Toc2093176_2314609296">
            <w:r>
              <w:rPr>
                <w:webHidden/>
                <w:rStyle w:val="IndexLink"/>
                <w:rtl w:val="true"/>
              </w:rPr>
              <w:t>[</w:t>
            </w:r>
            <w:r>
              <w:rPr>
                <w:rStyle w:val="IndexLink"/>
                <w:rtl w:val="true"/>
              </w:rPr>
              <w:t>احکامها</w:t>
            </w:r>
            <w:r>
              <w:rPr>
                <w:rStyle w:val="IndexLink"/>
                <w:rtl w:val="true"/>
              </w:rPr>
              <w:t>]</w:t>
              <w:tab/>
            </w:r>
            <w:r>
              <w:rPr>
                <w:rStyle w:val="IndexLink"/>
              </w:rPr>
              <w:t>400</w:t>
            </w:r>
          </w:hyperlink>
        </w:p>
        <w:p>
          <w:pPr>
            <w:pStyle w:val="Contents2"/>
            <w:tabs>
              <w:tab w:val="clear" w:pos="8743"/>
              <w:tab w:val="right" w:pos="9026" w:leader="dot"/>
            </w:tabs>
            <w:rPr/>
          </w:pPr>
          <w:hyperlink w:anchor="__RefHeading___Toc2093178_2314609296">
            <w:r>
              <w:rPr>
                <w:webHidden/>
                <w:rStyle w:val="IndexLink"/>
                <w:rtl w:val="true"/>
              </w:rPr>
              <w:t>کتاب الکفالة</w:t>
            </w:r>
            <w:r>
              <w:rPr>
                <w:rStyle w:val="IndexLink"/>
                <w:rtl w:val="true"/>
              </w:rPr>
              <w:tab/>
            </w:r>
            <w:r>
              <w:rPr>
                <w:rStyle w:val="IndexLink"/>
              </w:rPr>
              <w:t>405</w:t>
            </w:r>
          </w:hyperlink>
        </w:p>
        <w:p>
          <w:pPr>
            <w:pStyle w:val="Contents3"/>
            <w:tabs>
              <w:tab w:val="clear" w:pos="8459"/>
              <w:tab w:val="right" w:pos="9026" w:leader="dot"/>
            </w:tabs>
            <w:rPr/>
          </w:pPr>
          <w:hyperlink w:anchor="__RefHeading___Toc2093180_2314609296">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2093182_2314609296">
            <w:r>
              <w:rPr>
                <w:webHidden/>
                <w:rStyle w:val="IndexLink"/>
                <w:rtl w:val="true"/>
              </w:rPr>
              <w:t>[</w:t>
            </w:r>
            <w:r>
              <w:rPr>
                <w:rStyle w:val="IndexLink"/>
                <w:rtl w:val="true"/>
              </w:rPr>
              <w:t>تعریفها</w:t>
            </w:r>
            <w:r>
              <w:rPr>
                <w:rStyle w:val="IndexLink"/>
                <w:rtl w:val="true"/>
              </w:rPr>
              <w:t>]</w:t>
              <w:tab/>
            </w:r>
            <w:r>
              <w:rPr>
                <w:rStyle w:val="IndexLink"/>
              </w:rPr>
              <w:t>406</w:t>
            </w:r>
          </w:hyperlink>
        </w:p>
        <w:p>
          <w:pPr>
            <w:pStyle w:val="Contents3"/>
            <w:tabs>
              <w:tab w:val="clear" w:pos="8459"/>
              <w:tab w:val="right" w:pos="9026" w:leader="dot"/>
            </w:tabs>
            <w:rPr/>
          </w:pPr>
          <w:hyperlink w:anchor="__RefHeading___Toc2093184_2314609296">
            <w:r>
              <w:rPr>
                <w:webHidden/>
                <w:rStyle w:val="IndexLink"/>
                <w:rtl w:val="true"/>
              </w:rPr>
              <w:t>[</w:t>
            </w:r>
            <w:r>
              <w:rPr>
                <w:rStyle w:val="IndexLink"/>
                <w:rtl w:val="true"/>
              </w:rPr>
              <w:t>احکام الکفالة</w:t>
            </w:r>
            <w:r>
              <w:rPr>
                <w:rStyle w:val="IndexLink"/>
                <w:rtl w:val="true"/>
              </w:rPr>
              <w:t>]</w:t>
              <w:tab/>
            </w:r>
            <w:r>
              <w:rPr>
                <w:rStyle w:val="IndexLink"/>
              </w:rPr>
              <w:t>406</w:t>
            </w:r>
          </w:hyperlink>
        </w:p>
        <w:p>
          <w:pPr>
            <w:pStyle w:val="Contents3"/>
            <w:tabs>
              <w:tab w:val="clear" w:pos="8459"/>
              <w:tab w:val="right" w:pos="9026" w:leader="dot"/>
            </w:tabs>
            <w:rPr/>
          </w:pPr>
          <w:hyperlink w:anchor="__RefHeading___Toc2093186_2314609296">
            <w:r>
              <w:rPr>
                <w:webHidden/>
                <w:rStyle w:val="IndexLink"/>
                <w:rtl w:val="true"/>
              </w:rPr>
              <w:t>[</w:t>
            </w:r>
            <w:r>
              <w:rPr>
                <w:rStyle w:val="IndexLink"/>
                <w:rtl w:val="true"/>
              </w:rPr>
              <w:t>مسائل فی الکفالة</w:t>
            </w:r>
            <w:r>
              <w:rPr>
                <w:rStyle w:val="IndexLink"/>
                <w:rtl w:val="true"/>
              </w:rPr>
              <w:t>]</w:t>
              <w:tab/>
            </w:r>
            <w:r>
              <w:rPr>
                <w:rStyle w:val="IndexLink"/>
              </w:rPr>
              <w:t>409</w:t>
            </w:r>
          </w:hyperlink>
        </w:p>
        <w:p>
          <w:pPr>
            <w:pStyle w:val="Contents2"/>
            <w:tabs>
              <w:tab w:val="clear" w:pos="8743"/>
              <w:tab w:val="right" w:pos="9026" w:leader="dot"/>
            </w:tabs>
            <w:rPr/>
          </w:pPr>
          <w:hyperlink w:anchor="__RefHeading___Toc2093188_2314609296">
            <w:r>
              <w:rPr>
                <w:webHidden/>
                <w:rStyle w:val="IndexLink"/>
                <w:rtl w:val="true"/>
              </w:rPr>
              <w:t>کتاب الصلح</w:t>
            </w:r>
            <w:r>
              <w:rPr>
                <w:rStyle w:val="IndexLink"/>
                <w:rtl w:val="true"/>
              </w:rPr>
              <w:tab/>
            </w:r>
            <w:r>
              <w:rPr>
                <w:rStyle w:val="IndexLink"/>
              </w:rPr>
              <w:t>414</w:t>
            </w:r>
          </w:hyperlink>
        </w:p>
        <w:p>
          <w:pPr>
            <w:pStyle w:val="Contents3"/>
            <w:tabs>
              <w:tab w:val="clear" w:pos="8459"/>
              <w:tab w:val="right" w:pos="9026" w:leader="dot"/>
            </w:tabs>
            <w:rPr/>
          </w:pPr>
          <w:hyperlink w:anchor="__RefHeading___Toc2093190_2314609296">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2093192_2314609296">
            <w:r>
              <w:rPr>
                <w:webHidden/>
                <w:rStyle w:val="IndexLink"/>
                <w:rtl w:val="true"/>
              </w:rPr>
              <w:t>[</w:t>
            </w:r>
            <w:r>
              <w:rPr>
                <w:rStyle w:val="IndexLink"/>
                <w:rtl w:val="true"/>
              </w:rPr>
              <w:t>احکام الصلح</w:t>
            </w:r>
            <w:r>
              <w:rPr>
                <w:rStyle w:val="IndexLink"/>
                <w:rtl w:val="true"/>
              </w:rPr>
              <w:t>]</w:t>
              <w:tab/>
            </w:r>
            <w:r>
              <w:rPr>
                <w:rStyle w:val="IndexLink"/>
              </w:rPr>
              <w:t>415</w:t>
            </w:r>
          </w:hyperlink>
        </w:p>
        <w:p>
          <w:pPr>
            <w:pStyle w:val="Contents3"/>
            <w:tabs>
              <w:tab w:val="clear" w:pos="8459"/>
              <w:tab w:val="right" w:pos="9026" w:leader="dot"/>
            </w:tabs>
            <w:rPr/>
          </w:pPr>
          <w:hyperlink w:anchor="__RefHeading___Toc2093194_2314609296">
            <w:r>
              <w:rPr>
                <w:webHidden/>
                <w:rStyle w:val="IndexLink"/>
                <w:rtl w:val="true"/>
              </w:rPr>
              <w:t>[</w:t>
            </w:r>
            <w:r>
              <w:rPr>
                <w:rStyle w:val="IndexLink"/>
                <w:rtl w:val="true"/>
              </w:rPr>
              <w:t>مسائل فی بعض احکام التنازع</w:t>
            </w:r>
            <w:r>
              <w:rPr>
                <w:rStyle w:val="IndexLink"/>
                <w:rtl w:val="true"/>
              </w:rPr>
              <w:t>]</w:t>
              <w:tab/>
            </w:r>
            <w:r>
              <w:rPr>
                <w:rStyle w:val="IndexLink"/>
              </w:rPr>
              <w:t>420</w:t>
            </w:r>
          </w:hyperlink>
        </w:p>
        <w:p>
          <w:pPr>
            <w:pStyle w:val="Contents2"/>
            <w:tabs>
              <w:tab w:val="clear" w:pos="8743"/>
              <w:tab w:val="right" w:pos="9026" w:leader="dot"/>
            </w:tabs>
            <w:rPr/>
          </w:pPr>
          <w:hyperlink w:anchor="__RefHeading___Toc2093196_2314609296">
            <w:r>
              <w:rPr>
                <w:webHidden/>
                <w:rStyle w:val="IndexLink"/>
                <w:rtl w:val="true"/>
              </w:rPr>
              <w:t>«</w:t>
            </w:r>
            <w:r>
              <w:rPr>
                <w:rStyle w:val="IndexLink"/>
                <w:rtl w:val="true"/>
              </w:rPr>
              <w:t>کتاب الشَرِکة</w:t>
            </w:r>
            <w:r>
              <w:rPr>
                <w:rStyle w:val="IndexLink"/>
                <w:rtl w:val="true"/>
              </w:rPr>
              <w:t>»</w:t>
              <w:tab/>
            </w:r>
            <w:r>
              <w:rPr>
                <w:rStyle w:val="IndexLink"/>
              </w:rPr>
              <w:t>430</w:t>
            </w:r>
          </w:hyperlink>
        </w:p>
        <w:p>
          <w:pPr>
            <w:pStyle w:val="Contents3"/>
            <w:tabs>
              <w:tab w:val="clear" w:pos="8459"/>
              <w:tab w:val="right" w:pos="9026" w:leader="dot"/>
            </w:tabs>
            <w:rPr/>
          </w:pPr>
          <w:hyperlink w:anchor="__RefHeading___Toc2093198_2314609296">
            <w:r>
              <w:rPr>
                <w:webHidden/>
                <w:rStyle w:val="IndexLink"/>
                <w:rtl w:val="true"/>
              </w:rPr>
              <w:t>[</w:t>
            </w:r>
            <w:r>
              <w:rPr>
                <w:rStyle w:val="IndexLink"/>
                <w:rtl w:val="true"/>
              </w:rPr>
              <w:t>اسباب الشرکة</w:t>
            </w:r>
            <w:r>
              <w:rPr>
                <w:rStyle w:val="IndexLink"/>
                <w:rtl w:val="true"/>
              </w:rPr>
              <w:t>]</w:t>
              <w:tab/>
            </w:r>
            <w:r>
              <w:rPr>
                <w:rStyle w:val="IndexLink"/>
              </w:rPr>
              <w:t>430</w:t>
            </w:r>
          </w:hyperlink>
        </w:p>
        <w:p>
          <w:pPr>
            <w:pStyle w:val="Contents3"/>
            <w:tabs>
              <w:tab w:val="clear" w:pos="8459"/>
              <w:tab w:val="right" w:pos="9026" w:leader="dot"/>
            </w:tabs>
            <w:rPr/>
          </w:pPr>
          <w:hyperlink w:anchor="__RefHeading___Toc2093200_2314609296">
            <w:r>
              <w:rPr>
                <w:webHidden/>
                <w:rStyle w:val="IndexLink"/>
                <w:rtl w:val="true"/>
              </w:rPr>
              <w:t>[</w:t>
            </w:r>
            <w:r>
              <w:rPr>
                <w:rStyle w:val="IndexLink"/>
                <w:rtl w:val="true"/>
              </w:rPr>
              <w:t>مورد الشرکة</w:t>
            </w:r>
            <w:r>
              <w:rPr>
                <w:rStyle w:val="IndexLink"/>
                <w:rtl w:val="true"/>
              </w:rPr>
              <w:t>]</w:t>
              <w:tab/>
            </w:r>
            <w:r>
              <w:rPr>
                <w:rStyle w:val="IndexLink"/>
              </w:rPr>
              <w:t>431</w:t>
            </w:r>
          </w:hyperlink>
        </w:p>
        <w:p>
          <w:pPr>
            <w:pStyle w:val="Contents3"/>
            <w:tabs>
              <w:tab w:val="clear" w:pos="8459"/>
              <w:tab w:val="right" w:pos="9026" w:leader="dot"/>
            </w:tabs>
            <w:rPr/>
          </w:pPr>
          <w:hyperlink w:anchor="__RefHeading___Toc2093202_2314609296">
            <w:r>
              <w:rPr>
                <w:webHidden/>
                <w:rStyle w:val="IndexLink"/>
                <w:rtl w:val="true"/>
              </w:rPr>
              <w:t>[</w:t>
            </w:r>
            <w:r>
              <w:rPr>
                <w:rStyle w:val="IndexLink"/>
                <w:rtl w:val="true"/>
              </w:rPr>
              <w:t>الشرکات الباطلة</w:t>
            </w:r>
            <w:r>
              <w:rPr>
                <w:rStyle w:val="IndexLink"/>
                <w:rtl w:val="true"/>
              </w:rPr>
              <w:t>]</w:t>
              <w:tab/>
            </w:r>
            <w:r>
              <w:rPr>
                <w:rStyle w:val="IndexLink"/>
              </w:rPr>
              <w:t>431</w:t>
            </w:r>
          </w:hyperlink>
        </w:p>
        <w:p>
          <w:pPr>
            <w:pStyle w:val="Contents3"/>
            <w:tabs>
              <w:tab w:val="clear" w:pos="8459"/>
              <w:tab w:val="right" w:pos="9026" w:leader="dot"/>
            </w:tabs>
            <w:rPr/>
          </w:pPr>
          <w:hyperlink w:anchor="__RefHeading___Toc2093204_2314609296">
            <w:r>
              <w:rPr>
                <w:webHidden/>
                <w:rStyle w:val="IndexLink"/>
                <w:rtl w:val="true"/>
              </w:rPr>
              <w:t>[</w:t>
            </w:r>
            <w:r>
              <w:rPr>
                <w:rStyle w:val="IndexLink"/>
                <w:rtl w:val="true"/>
              </w:rPr>
              <w:t>احکام الشرکة</w:t>
            </w:r>
            <w:r>
              <w:rPr>
                <w:rStyle w:val="IndexLink"/>
                <w:rtl w:val="true"/>
              </w:rPr>
              <w:t>]</w:t>
              <w:tab/>
            </w:r>
            <w:r>
              <w:rPr>
                <w:rStyle w:val="IndexLink"/>
              </w:rPr>
              <w:t>432</w:t>
            </w:r>
          </w:hyperlink>
        </w:p>
        <w:p>
          <w:pPr>
            <w:pStyle w:val="Contents2"/>
            <w:tabs>
              <w:tab w:val="clear" w:pos="8743"/>
              <w:tab w:val="right" w:pos="9026" w:leader="dot"/>
            </w:tabs>
            <w:rPr/>
          </w:pPr>
          <w:hyperlink w:anchor="__RefHeading___Toc2093206_2314609296">
            <w:r>
              <w:rPr>
                <w:webHidden/>
                <w:rStyle w:val="IndexLink"/>
                <w:rtl w:val="true"/>
              </w:rPr>
              <w:t>کتاب المضاربة</w:t>
            </w:r>
            <w:r>
              <w:rPr>
                <w:rStyle w:val="IndexLink"/>
                <w:rtl w:val="true"/>
              </w:rPr>
              <w:tab/>
            </w:r>
            <w:r>
              <w:rPr>
                <w:rStyle w:val="IndexLink"/>
              </w:rPr>
              <w:t>437</w:t>
            </w:r>
          </w:hyperlink>
        </w:p>
        <w:p>
          <w:pPr>
            <w:pStyle w:val="Contents3"/>
            <w:tabs>
              <w:tab w:val="clear" w:pos="8459"/>
              <w:tab w:val="right" w:pos="9026" w:leader="dot"/>
            </w:tabs>
            <w:rPr/>
          </w:pPr>
          <w:hyperlink w:anchor="__RefHeading___Toc2093208_2314609296">
            <w:r>
              <w:rPr>
                <w:webHidden/>
                <w:rStyle w:val="IndexLink"/>
                <w:rtl w:val="true"/>
              </w:rPr>
              <w:t>اشارة</w:t>
            </w:r>
            <w:r>
              <w:rPr>
                <w:rStyle w:val="IndexLink"/>
                <w:rtl w:val="true"/>
              </w:rPr>
              <w:tab/>
            </w:r>
            <w:r>
              <w:rPr>
                <w:rStyle w:val="IndexLink"/>
              </w:rPr>
              <w:t>437</w:t>
            </w:r>
          </w:hyperlink>
        </w:p>
        <w:p>
          <w:pPr>
            <w:pStyle w:val="Contents3"/>
            <w:tabs>
              <w:tab w:val="clear" w:pos="8459"/>
              <w:tab w:val="right" w:pos="9026" w:leader="dot"/>
            </w:tabs>
            <w:rPr/>
          </w:pPr>
          <w:hyperlink w:anchor="__RefHeading___Toc2093210_2314609296">
            <w:r>
              <w:rPr>
                <w:webHidden/>
                <w:rStyle w:val="IndexLink"/>
                <w:rtl w:val="true"/>
              </w:rPr>
              <w:t>[</w:t>
            </w:r>
            <w:r>
              <w:rPr>
                <w:rStyle w:val="IndexLink"/>
                <w:rtl w:val="true"/>
              </w:rPr>
              <w:t>تعریفها</w:t>
            </w:r>
            <w:r>
              <w:rPr>
                <w:rStyle w:val="IndexLink"/>
                <w:rtl w:val="true"/>
              </w:rPr>
              <w:t>]</w:t>
              <w:tab/>
            </w:r>
            <w:r>
              <w:rPr>
                <w:rStyle w:val="IndexLink"/>
              </w:rPr>
              <w:t>438</w:t>
            </w:r>
          </w:hyperlink>
        </w:p>
        <w:p>
          <w:pPr>
            <w:pStyle w:val="Contents3"/>
            <w:tabs>
              <w:tab w:val="clear" w:pos="8459"/>
              <w:tab w:val="right" w:pos="9026" w:leader="dot"/>
            </w:tabs>
            <w:rPr/>
          </w:pPr>
          <w:hyperlink w:anchor="__RefHeading___Toc2093212_2314609296">
            <w:r>
              <w:rPr>
                <w:webHidden/>
                <w:rStyle w:val="IndexLink"/>
                <w:rtl w:val="true"/>
              </w:rPr>
              <w:t>[</w:t>
            </w:r>
            <w:r>
              <w:rPr>
                <w:rStyle w:val="IndexLink"/>
                <w:rtl w:val="true"/>
              </w:rPr>
              <w:t>شروطها و احکامها</w:t>
            </w:r>
            <w:r>
              <w:rPr>
                <w:rStyle w:val="IndexLink"/>
                <w:rtl w:val="true"/>
              </w:rPr>
              <w:t>]</w:t>
              <w:tab/>
            </w:r>
            <w:r>
              <w:rPr>
                <w:rStyle w:val="IndexLink"/>
              </w:rPr>
              <w:t>438</w:t>
            </w:r>
          </w:hyperlink>
        </w:p>
        <w:p>
          <w:pPr>
            <w:pStyle w:val="Contents2"/>
            <w:tabs>
              <w:tab w:val="clear" w:pos="8743"/>
              <w:tab w:val="right" w:pos="9026" w:leader="dot"/>
            </w:tabs>
            <w:rPr/>
          </w:pPr>
          <w:hyperlink w:anchor="__RefHeading___Toc2093214_2314609296">
            <w:r>
              <w:rPr>
                <w:webHidden/>
                <w:rStyle w:val="IndexLink"/>
                <w:rtl w:val="true"/>
              </w:rPr>
              <w:t>کتاب الودیعة</w:t>
            </w:r>
            <w:r>
              <w:rPr>
                <w:rStyle w:val="IndexLink"/>
                <w:rtl w:val="true"/>
              </w:rPr>
              <w:tab/>
            </w:r>
            <w:r>
              <w:rPr>
                <w:rStyle w:val="IndexLink"/>
              </w:rPr>
              <w:t>446</w:t>
            </w:r>
          </w:hyperlink>
        </w:p>
        <w:p>
          <w:pPr>
            <w:pStyle w:val="Contents3"/>
            <w:tabs>
              <w:tab w:val="clear" w:pos="8459"/>
              <w:tab w:val="right" w:pos="9026" w:leader="dot"/>
            </w:tabs>
            <w:rPr/>
          </w:pPr>
          <w:hyperlink w:anchor="__RefHeading___Toc2093216_2314609296">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2093218_2314609296">
            <w:r>
              <w:rPr>
                <w:webHidden/>
                <w:rStyle w:val="IndexLink"/>
                <w:rtl w:val="true"/>
              </w:rPr>
              <w:t>[</w:t>
            </w:r>
            <w:r>
              <w:rPr>
                <w:rStyle w:val="IndexLink"/>
                <w:rtl w:val="true"/>
              </w:rPr>
              <w:t>تعریفها</w:t>
            </w:r>
            <w:r>
              <w:rPr>
                <w:rStyle w:val="IndexLink"/>
                <w:rtl w:val="true"/>
              </w:rPr>
              <w:t>]</w:t>
              <w:tab/>
            </w:r>
            <w:r>
              <w:rPr>
                <w:rStyle w:val="IndexLink"/>
              </w:rPr>
              <w:t>447</w:t>
            </w:r>
          </w:hyperlink>
        </w:p>
        <w:p>
          <w:pPr>
            <w:pStyle w:val="Contents3"/>
            <w:tabs>
              <w:tab w:val="clear" w:pos="8459"/>
              <w:tab w:val="right" w:pos="9026" w:leader="dot"/>
            </w:tabs>
            <w:rPr/>
          </w:pPr>
          <w:hyperlink w:anchor="__RefHeading___Toc2093220_2314609296">
            <w:r>
              <w:rPr>
                <w:webHidden/>
                <w:rStyle w:val="IndexLink"/>
                <w:rtl w:val="true"/>
              </w:rPr>
              <w:t>[</w:t>
            </w:r>
            <w:r>
              <w:rPr>
                <w:rStyle w:val="IndexLink"/>
                <w:rtl w:val="true"/>
              </w:rPr>
              <w:t xml:space="preserve">الایجاب و القبول </w:t>
            </w:r>
            <w:r>
              <w:rPr>
                <w:rStyle w:val="IndexLink"/>
                <w:rtl w:val="true"/>
              </w:rPr>
              <w:t>]</w:t>
              <w:tab/>
            </w:r>
            <w:r>
              <w:rPr>
                <w:rStyle w:val="IndexLink"/>
              </w:rPr>
              <w:t>447</w:t>
            </w:r>
          </w:hyperlink>
        </w:p>
        <w:p>
          <w:pPr>
            <w:pStyle w:val="Contents2"/>
            <w:tabs>
              <w:tab w:val="clear" w:pos="8743"/>
              <w:tab w:val="right" w:pos="9026" w:leader="dot"/>
            </w:tabs>
            <w:rPr/>
          </w:pPr>
          <w:hyperlink w:anchor="__RefHeading___Toc2093222_2314609296">
            <w:r>
              <w:rPr>
                <w:webHidden/>
                <w:rStyle w:val="IndexLink"/>
                <w:rtl w:val="true"/>
              </w:rPr>
              <w:t>کتاب العاریة</w:t>
            </w:r>
            <w:r>
              <w:rPr>
                <w:rStyle w:val="IndexLink"/>
                <w:rtl w:val="true"/>
              </w:rPr>
              <w:tab/>
            </w:r>
            <w:r>
              <w:rPr>
                <w:rStyle w:val="IndexLink"/>
              </w:rPr>
              <w:t>459</w:t>
            </w:r>
          </w:hyperlink>
        </w:p>
        <w:p>
          <w:pPr>
            <w:pStyle w:val="Contents3"/>
            <w:tabs>
              <w:tab w:val="clear" w:pos="8459"/>
              <w:tab w:val="right" w:pos="9026" w:leader="dot"/>
            </w:tabs>
            <w:rPr/>
          </w:pPr>
          <w:hyperlink w:anchor="__RefHeading___Toc2093224_2314609296">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2093226_2314609296">
            <w:r>
              <w:rPr>
                <w:webHidden/>
                <w:rStyle w:val="IndexLink"/>
                <w:rtl w:val="true"/>
              </w:rPr>
              <w:t>[</w:t>
            </w:r>
            <w:r>
              <w:rPr>
                <w:rStyle w:val="IndexLink"/>
                <w:rtl w:val="true"/>
              </w:rPr>
              <w:t>تعریفها</w:t>
            </w:r>
            <w:r>
              <w:rPr>
                <w:rStyle w:val="IndexLink"/>
                <w:rtl w:val="true"/>
              </w:rPr>
              <w:t>]</w:t>
              <w:tab/>
            </w:r>
            <w:r>
              <w:rPr>
                <w:rStyle w:val="IndexLink"/>
              </w:rPr>
              <w:t>460</w:t>
            </w:r>
          </w:hyperlink>
        </w:p>
        <w:p>
          <w:pPr>
            <w:pStyle w:val="Contents3"/>
            <w:tabs>
              <w:tab w:val="clear" w:pos="8459"/>
              <w:tab w:val="right" w:pos="9026" w:leader="dot"/>
            </w:tabs>
            <w:rPr/>
          </w:pPr>
          <w:hyperlink w:anchor="__RefHeading___Toc2093228_2314609296">
            <w:r>
              <w:rPr>
                <w:webHidden/>
                <w:rStyle w:val="IndexLink"/>
                <w:rtl w:val="true"/>
              </w:rPr>
              <w:t>[</w:t>
            </w:r>
            <w:r>
              <w:rPr>
                <w:rStyle w:val="IndexLink"/>
                <w:rtl w:val="true"/>
              </w:rPr>
              <w:t xml:space="preserve">ایجاب و القبول </w:t>
            </w:r>
            <w:r>
              <w:rPr>
                <w:rStyle w:val="IndexLink"/>
                <w:rtl w:val="true"/>
              </w:rPr>
              <w:t>]</w:t>
              <w:tab/>
            </w:r>
            <w:r>
              <w:rPr>
                <w:rStyle w:val="IndexLink"/>
              </w:rPr>
              <w:t>460</w:t>
            </w:r>
          </w:hyperlink>
        </w:p>
        <w:p>
          <w:pPr>
            <w:pStyle w:val="Contents3"/>
            <w:tabs>
              <w:tab w:val="clear" w:pos="8459"/>
              <w:tab w:val="right" w:pos="9026" w:leader="dot"/>
            </w:tabs>
            <w:rPr/>
          </w:pPr>
          <w:hyperlink w:anchor="__RefHeading___Toc2093230_2314609296">
            <w:r>
              <w:rPr>
                <w:webHidden/>
                <w:rStyle w:val="IndexLink"/>
                <w:rtl w:val="true"/>
              </w:rPr>
              <w:t>[</w:t>
            </w:r>
            <w:r>
              <w:rPr>
                <w:rStyle w:val="IndexLink"/>
                <w:rtl w:val="true"/>
              </w:rPr>
              <w:t>شروط العاریة</w:t>
            </w:r>
            <w:r>
              <w:rPr>
                <w:rStyle w:val="IndexLink"/>
                <w:rtl w:val="true"/>
              </w:rPr>
              <w:t>]</w:t>
              <w:tab/>
            </w:r>
            <w:r>
              <w:rPr>
                <w:rStyle w:val="IndexLink"/>
              </w:rPr>
              <w:t>461</w:t>
            </w:r>
          </w:hyperlink>
        </w:p>
        <w:p>
          <w:pPr>
            <w:pStyle w:val="Contents3"/>
            <w:tabs>
              <w:tab w:val="clear" w:pos="8459"/>
              <w:tab w:val="right" w:pos="9026" w:leader="dot"/>
            </w:tabs>
            <w:rPr/>
          </w:pPr>
          <w:hyperlink w:anchor="__RefHeading___Toc2093232_2314609296">
            <w:r>
              <w:rPr>
                <w:webHidden/>
                <w:rStyle w:val="IndexLink"/>
                <w:rtl w:val="true"/>
              </w:rPr>
              <w:t>[</w:t>
            </w:r>
            <w:r>
              <w:rPr>
                <w:rStyle w:val="IndexLink"/>
                <w:rtl w:val="true"/>
              </w:rPr>
              <w:t>احکام العاریة</w:t>
            </w:r>
            <w:r>
              <w:rPr>
                <w:rStyle w:val="IndexLink"/>
                <w:rtl w:val="true"/>
              </w:rPr>
              <w:t>]</w:t>
              <w:tab/>
            </w:r>
            <w:r>
              <w:rPr>
                <w:rStyle w:val="IndexLink"/>
              </w:rPr>
              <w:t>461</w:t>
            </w:r>
          </w:hyperlink>
        </w:p>
        <w:p>
          <w:pPr>
            <w:pStyle w:val="Contents2"/>
            <w:tabs>
              <w:tab w:val="clear" w:pos="8743"/>
              <w:tab w:val="right" w:pos="9026" w:leader="dot"/>
            </w:tabs>
            <w:rPr/>
          </w:pPr>
          <w:hyperlink w:anchor="__RefHeading___Toc2093234_2314609296">
            <w:r>
              <w:rPr>
                <w:webHidden/>
                <w:rStyle w:val="IndexLink"/>
                <w:rtl w:val="true"/>
              </w:rPr>
              <w:t>کتاب المزارعة</w:t>
            </w:r>
            <w:r>
              <w:rPr>
                <w:rStyle w:val="IndexLink"/>
                <w:rtl w:val="true"/>
              </w:rPr>
              <w:tab/>
            </w:r>
            <w:r>
              <w:rPr>
                <w:rStyle w:val="IndexLink"/>
              </w:rPr>
              <w:t>468</w:t>
            </w:r>
          </w:hyperlink>
        </w:p>
        <w:p>
          <w:pPr>
            <w:pStyle w:val="Contents3"/>
            <w:tabs>
              <w:tab w:val="clear" w:pos="8459"/>
              <w:tab w:val="right" w:pos="9026" w:leader="dot"/>
            </w:tabs>
            <w:rPr/>
          </w:pPr>
          <w:hyperlink w:anchor="__RefHeading___Toc2093236_2314609296">
            <w:r>
              <w:rPr>
                <w:webHidden/>
                <w:rStyle w:val="IndexLink"/>
                <w:rtl w:val="true"/>
              </w:rPr>
              <w:t>اشارة</w:t>
            </w:r>
            <w:r>
              <w:rPr>
                <w:rStyle w:val="IndexLink"/>
                <w:rtl w:val="true"/>
              </w:rPr>
              <w:tab/>
            </w:r>
            <w:r>
              <w:rPr>
                <w:rStyle w:val="IndexLink"/>
              </w:rPr>
              <w:t>468</w:t>
            </w:r>
          </w:hyperlink>
        </w:p>
        <w:p>
          <w:pPr>
            <w:pStyle w:val="Contents3"/>
            <w:tabs>
              <w:tab w:val="clear" w:pos="8459"/>
              <w:tab w:val="right" w:pos="9026" w:leader="dot"/>
            </w:tabs>
            <w:rPr/>
          </w:pPr>
          <w:hyperlink w:anchor="__RefHeading___Toc2093238_2314609296">
            <w:r>
              <w:rPr>
                <w:webHidden/>
                <w:rStyle w:val="IndexLink"/>
                <w:rtl w:val="true"/>
              </w:rPr>
              <w:t>[</w:t>
            </w:r>
            <w:r>
              <w:rPr>
                <w:rStyle w:val="IndexLink"/>
                <w:rtl w:val="true"/>
              </w:rPr>
              <w:t>تعریفها و صیغتها</w:t>
            </w:r>
            <w:r>
              <w:rPr>
                <w:rStyle w:val="IndexLink"/>
                <w:rtl w:val="true"/>
              </w:rPr>
              <w:t>]</w:t>
              <w:tab/>
            </w:r>
            <w:r>
              <w:rPr>
                <w:rStyle w:val="IndexLink"/>
              </w:rPr>
              <w:t>469</w:t>
            </w:r>
          </w:hyperlink>
        </w:p>
        <w:p>
          <w:pPr>
            <w:pStyle w:val="Contents3"/>
            <w:tabs>
              <w:tab w:val="clear" w:pos="8459"/>
              <w:tab w:val="right" w:pos="9026" w:leader="dot"/>
            </w:tabs>
            <w:rPr/>
          </w:pPr>
          <w:hyperlink w:anchor="__RefHeading___Toc2093240_2314609296">
            <w:r>
              <w:rPr>
                <w:webHidden/>
                <w:rStyle w:val="IndexLink"/>
                <w:rtl w:val="true"/>
              </w:rPr>
              <w:t>[</w:t>
            </w:r>
            <w:r>
              <w:rPr>
                <w:rStyle w:val="IndexLink"/>
                <w:rtl w:val="true"/>
              </w:rPr>
              <w:t>شروطها</w:t>
            </w:r>
            <w:r>
              <w:rPr>
                <w:rStyle w:val="IndexLink"/>
                <w:rtl w:val="true"/>
              </w:rPr>
              <w:t>]</w:t>
              <w:tab/>
            </w:r>
            <w:r>
              <w:rPr>
                <w:rStyle w:val="IndexLink"/>
              </w:rPr>
              <w:t>470</w:t>
            </w:r>
          </w:hyperlink>
        </w:p>
        <w:p>
          <w:pPr>
            <w:pStyle w:val="Contents3"/>
            <w:tabs>
              <w:tab w:val="clear" w:pos="8459"/>
              <w:tab w:val="right" w:pos="9026" w:leader="dot"/>
            </w:tabs>
            <w:rPr/>
          </w:pPr>
          <w:hyperlink w:anchor="__RefHeading___Toc2093242_2314609296">
            <w:r>
              <w:rPr>
                <w:webHidden/>
                <w:rStyle w:val="IndexLink"/>
                <w:rtl w:val="true"/>
              </w:rPr>
              <w:t>[</w:t>
            </w:r>
            <w:r>
              <w:rPr>
                <w:rStyle w:val="IndexLink"/>
                <w:rtl w:val="true"/>
              </w:rPr>
              <w:t>احکامها</w:t>
            </w:r>
            <w:r>
              <w:rPr>
                <w:rStyle w:val="IndexLink"/>
                <w:rtl w:val="true"/>
              </w:rPr>
              <w:t>]</w:t>
              <w:tab/>
            </w:r>
            <w:r>
              <w:rPr>
                <w:rStyle w:val="IndexLink"/>
              </w:rPr>
              <w:t>472</w:t>
            </w:r>
          </w:hyperlink>
        </w:p>
        <w:p>
          <w:pPr>
            <w:pStyle w:val="Contents2"/>
            <w:tabs>
              <w:tab w:val="clear" w:pos="8743"/>
              <w:tab w:val="right" w:pos="9026" w:leader="dot"/>
            </w:tabs>
            <w:rPr/>
          </w:pPr>
          <w:hyperlink w:anchor="__RefHeading___Toc2093244_2314609296">
            <w:r>
              <w:rPr>
                <w:webHidden/>
                <w:rStyle w:val="IndexLink"/>
                <w:rtl w:val="true"/>
              </w:rPr>
              <w:t>کتاب المساقاة</w:t>
            </w:r>
            <w:r>
              <w:rPr>
                <w:rStyle w:val="IndexLink"/>
                <w:rtl w:val="true"/>
              </w:rPr>
              <w:tab/>
            </w:r>
            <w:r>
              <w:rPr>
                <w:rStyle w:val="IndexLink"/>
              </w:rPr>
              <w:t>477</w:t>
            </w:r>
          </w:hyperlink>
        </w:p>
        <w:p>
          <w:pPr>
            <w:pStyle w:val="Contents3"/>
            <w:tabs>
              <w:tab w:val="clear" w:pos="8459"/>
              <w:tab w:val="right" w:pos="9026" w:leader="dot"/>
            </w:tabs>
            <w:rPr/>
          </w:pPr>
          <w:hyperlink w:anchor="__RefHeading___Toc2093246_2314609296">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2093248_2314609296">
            <w:r>
              <w:rPr>
                <w:webHidden/>
                <w:rStyle w:val="IndexLink"/>
                <w:rtl w:val="true"/>
              </w:rPr>
              <w:t>[</w:t>
            </w:r>
            <w:r>
              <w:rPr>
                <w:rStyle w:val="IndexLink"/>
                <w:rtl w:val="true"/>
              </w:rPr>
              <w:t>تعریفها</w:t>
            </w:r>
            <w:r>
              <w:rPr>
                <w:rStyle w:val="IndexLink"/>
                <w:rtl w:val="true"/>
              </w:rPr>
              <w:t>]</w:t>
              <w:tab/>
            </w:r>
            <w:r>
              <w:rPr>
                <w:rStyle w:val="IndexLink"/>
              </w:rPr>
              <w:t>478</w:t>
            </w:r>
          </w:hyperlink>
        </w:p>
        <w:p>
          <w:pPr>
            <w:pStyle w:val="Contents3"/>
            <w:tabs>
              <w:tab w:val="clear" w:pos="8459"/>
              <w:tab w:val="right" w:pos="9026" w:leader="dot"/>
            </w:tabs>
            <w:rPr/>
          </w:pPr>
          <w:hyperlink w:anchor="__RefHeading___Toc2093250_2314609296">
            <w:r>
              <w:rPr>
                <w:webHidden/>
                <w:rStyle w:val="IndexLink"/>
                <w:rtl w:val="true"/>
              </w:rPr>
              <w:t>«</w:t>
            </w:r>
            <w:r>
              <w:rPr>
                <w:rStyle w:val="IndexLink"/>
                <w:rtl w:val="true"/>
              </w:rPr>
              <w:t>والقبول الرضا به</w:t>
            </w:r>
            <w:r>
              <w:rPr>
                <w:rStyle w:val="IndexLink"/>
                <w:rtl w:val="true"/>
              </w:rPr>
              <w:t>»</w:t>
              <w:tab/>
            </w:r>
            <w:r>
              <w:rPr>
                <w:rStyle w:val="IndexLink"/>
              </w:rPr>
              <w:t>479</w:t>
            </w:r>
          </w:hyperlink>
        </w:p>
        <w:p>
          <w:pPr>
            <w:pStyle w:val="Contents3"/>
            <w:tabs>
              <w:tab w:val="clear" w:pos="8459"/>
              <w:tab w:val="right" w:pos="9026" w:leader="dot"/>
            </w:tabs>
            <w:rPr/>
          </w:pPr>
          <w:hyperlink w:anchor="__RefHeading___Toc2093252_2314609296">
            <w:r>
              <w:rPr>
                <w:webHidden/>
                <w:rStyle w:val="IndexLink"/>
                <w:rtl w:val="true"/>
              </w:rPr>
              <w:t>[</w:t>
            </w:r>
            <w:r>
              <w:rPr>
                <w:rStyle w:val="IndexLink"/>
                <w:rtl w:val="true"/>
              </w:rPr>
              <w:t>شروط المساقاة</w:t>
            </w:r>
            <w:r>
              <w:rPr>
                <w:rStyle w:val="IndexLink"/>
                <w:rtl w:val="true"/>
              </w:rPr>
              <w:t>]</w:t>
              <w:tab/>
            </w:r>
            <w:r>
              <w:rPr>
                <w:rStyle w:val="IndexLink"/>
              </w:rPr>
              <w:t>480</w:t>
            </w:r>
          </w:hyperlink>
        </w:p>
        <w:p>
          <w:pPr>
            <w:pStyle w:val="Contents3"/>
            <w:tabs>
              <w:tab w:val="clear" w:pos="8459"/>
              <w:tab w:val="right" w:pos="9026" w:leader="dot"/>
            </w:tabs>
            <w:rPr/>
          </w:pPr>
          <w:hyperlink w:anchor="__RefHeading___Toc2093254_2314609296">
            <w:r>
              <w:rPr>
                <w:webHidden/>
                <w:rStyle w:val="IndexLink"/>
                <w:rtl w:val="true"/>
              </w:rPr>
              <w:t>[</w:t>
            </w:r>
            <w:r>
              <w:rPr>
                <w:rStyle w:val="IndexLink"/>
                <w:rtl w:val="true"/>
              </w:rPr>
              <w:t>بعض الاحکام</w:t>
            </w:r>
            <w:r>
              <w:rPr>
                <w:rStyle w:val="IndexLink"/>
                <w:rtl w:val="true"/>
              </w:rPr>
              <w:t>]</w:t>
              <w:tab/>
            </w:r>
            <w:r>
              <w:rPr>
                <w:rStyle w:val="IndexLink"/>
              </w:rPr>
              <w:t>482</w:t>
            </w:r>
          </w:hyperlink>
        </w:p>
        <w:p>
          <w:pPr>
            <w:pStyle w:val="Contents3"/>
            <w:tabs>
              <w:tab w:val="clear" w:pos="8459"/>
              <w:tab w:val="right" w:pos="9026" w:leader="dot"/>
            </w:tabs>
            <w:rPr/>
          </w:pPr>
          <w:hyperlink w:anchor="__RefHeading___Toc2093256_2314609296">
            <w:r>
              <w:rPr>
                <w:webHidden/>
                <w:rStyle w:val="IndexLink"/>
                <w:rtl w:val="true"/>
              </w:rPr>
              <w:t>[</w:t>
            </w:r>
            <w:r>
              <w:rPr>
                <w:rStyle w:val="IndexLink"/>
                <w:rtl w:val="true"/>
              </w:rPr>
              <w:t>بطلان المغارسة</w:t>
            </w:r>
            <w:r>
              <w:rPr>
                <w:rStyle w:val="IndexLink"/>
                <w:rtl w:val="true"/>
              </w:rPr>
              <w:t>]</w:t>
              <w:tab/>
            </w:r>
            <w:r>
              <w:rPr>
                <w:rStyle w:val="IndexLink"/>
              </w:rPr>
              <w:t>484</w:t>
            </w:r>
          </w:hyperlink>
        </w:p>
        <w:p>
          <w:pPr>
            <w:pStyle w:val="Contents2"/>
            <w:tabs>
              <w:tab w:val="clear" w:pos="8743"/>
              <w:tab w:val="right" w:pos="9026" w:leader="dot"/>
            </w:tabs>
            <w:rPr/>
          </w:pPr>
          <w:hyperlink w:anchor="__RefHeading___Toc2093258_2314609296">
            <w:r>
              <w:rPr>
                <w:webHidden/>
                <w:rStyle w:val="IndexLink"/>
                <w:rtl w:val="true"/>
              </w:rPr>
              <w:t>فهرس المحتویات</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12_249184"/>
      <w:bookmarkStart w:id="1" w:name="pg19812_249184"/>
      <w:bookmarkEnd w:id="1"/>
    </w:p>
    <w:p>
      <w:pPr>
        <w:pStyle w:val="Heading2"/>
        <w:numPr>
          <w:ilvl w:val="1"/>
          <w:numId w:val="1"/>
        </w:numPr>
        <w:rPr/>
      </w:pPr>
      <w:bookmarkStart w:id="2" w:name="pg19812_249184"/>
      <w:bookmarkStart w:id="3" w:name="__RefHeading___Toc209275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 ، زین‌الدین‌بن علی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زین‌الدین العاملی ؛ المولف مجمع الفکر الاسلامی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الفکر الاسلامی ؛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ascii="IRNazanin" w:hAnsi="IRNazanin" w:eastAsia="IRNazanin"/>
          <w:color w:val="111111"/>
          <w:sz w:val="28"/>
          <w:sz w:val="28"/>
          <w:szCs w:val="28"/>
          <w:lang w:bidi="fa-IR"/>
        </w:rPr>
        <w:t>۷۳۴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‌۸۰۲۱۵۵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2758_2314609296"/>
      <w:bookmarkStart w:id="6" w:name="_Toc2"/>
      <w:bookmarkEnd w:id="5"/>
      <w:r>
        <w:rPr>
          <w:rtl w:val="true"/>
        </w:rPr>
        <w:t>اشارة</w:t>
      </w:r>
      <w:bookmarkStart w:id="7" w:name="pg19812_249192"/>
      <w:bookmarkEnd w:id="6"/>
    </w:p>
    <w:p>
      <w:pPr>
        <w:pStyle w:val="Heading2"/>
        <w:numPr>
          <w:ilvl w:val="1"/>
          <w:numId w:val="1"/>
        </w:numPr>
        <w:rPr/>
      </w:pPr>
      <w:bookmarkStart w:id="8" w:name="__RefHeading___Toc2092760_2314609296"/>
      <w:bookmarkStart w:id="9" w:name="_Toc3"/>
      <w:bookmarkEnd w:id="7"/>
      <w:bookmarkEnd w:id="8"/>
      <w:r>
        <w:rPr>
          <w:rtl w:val="true"/>
        </w:rPr>
        <w:t>کتاب الجهاد</w:t>
      </w:r>
      <w:bookmarkEnd w:id="9"/>
    </w:p>
    <w:p>
      <w:pPr>
        <w:pStyle w:val="Heading3"/>
        <w:numPr>
          <w:ilvl w:val="2"/>
          <w:numId w:val="1"/>
        </w:numPr>
        <w:rPr/>
      </w:pPr>
      <w:bookmarkStart w:id="10" w:name="__RefHeading___Toc2092762_2314609296"/>
      <w:bookmarkStart w:id="11" w:name="_Toc4"/>
      <w:bookmarkEnd w:id="10"/>
      <w:r>
        <w:rPr>
          <w:rtl w:val="true"/>
        </w:rPr>
        <w:t>[</w:t>
      </w:r>
      <w:r>
        <w:rPr>
          <w:rtl w:val="true"/>
        </w:rPr>
        <w:t>اقسام الجهاد</w:t>
      </w:r>
      <w:r>
        <w:rPr>
          <w:rtl w:val="true"/>
        </w:rPr>
        <w:t>]</w:t>
      </w:r>
      <w:bookmarkEnd w:id="11"/>
    </w:p>
    <w:p>
      <w:pPr>
        <w:pStyle w:val="BookText"/>
        <w:rPr/>
      </w:pPr>
      <w:r>
        <w:rPr>
          <w:rFonts w:ascii="IRNazanin" w:hAnsi="IRNazanin" w:eastAsia="IRNazanin"/>
          <w:color w:val="111111"/>
          <w:sz w:val="28"/>
          <w:sz w:val="28"/>
          <w:szCs w:val="28"/>
          <w:rtl w:val="true"/>
          <w:lang w:bidi="fa-IR"/>
        </w:rPr>
        <w:t>وهو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المشرکین ابتداءً لدعائهم إلی الإسلام، وجهاد من یَدْهَم علی المسلمین من الکفّار بحیث یخافون استیلاءهم علی بلادهم أو أخذ مالهم وما أشبهه وإن قلّ، وجهاد من یرید قتل نفس محترمة أو أخذ مال أو سبی حریم مطلقاً، ومنه جهاد الأسیر بین المشرکین للمسلمین دافعاً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اُطلق علی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الجهاد، وهو أولی، وجهاد البُغاة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هنا عن الأوّل، واستطرد ذکر الثانی من غیر استیفاء، وذکر الرابع فی آخر الکتاب، والثالث فی 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وجوبه علی الجمیع إلی أن یقوم به منهم من فیه الکفایة، فیسقط عن الباقین سقوطاً مراعی باستمرار القائم به إلی أن یحصل الغرض المطلوب 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یتعیّن بأمر الإمام علیه السلام لأحد علی الخصوص وإن قام به من فیه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وتختلف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کثرة المشرکین وقلّتهم وقوّتهم وضعفهم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 مرّة فی کلّ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w:t>
      </w:r>
      <w:bookmarkStart w:id="12" w:name="pg19812_249193"/>
    </w:p>
    <w:p>
      <w:pPr>
        <w:pStyle w:val="BookText"/>
        <w:rPr/>
      </w:pPr>
      <w:bookmarkEnd w:id="12"/>
      <w:r>
        <w:rPr>
          <w:rFonts w:ascii="Amiri" w:hAnsi="Amiri" w:eastAsia="Amiri" w:cs="Amiri"/>
          <w:color w:val="111111"/>
          <w:sz w:val="28"/>
          <w:sz w:val="28"/>
          <w:szCs w:val="28"/>
          <w:rtl w:val="true"/>
          <w:lang w:bidi="ar-SA"/>
        </w:rPr>
        <w:t>اَلْمُشْرِکِینَ</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أوجب بعد انسلاخها الجهاد، وجعله شرطاً فیجب کلّما وجد الشرط، ولا یتکرّر بعد ذلک بقیّة العام؛ لعدم إفادة مطلق الأمر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یظهر من التعلیل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عدم الحاجة إلی الزیادة علیها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وجب بحسبها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العجز عنها فیها أو رؤیة الإمام عدمه صلاحاً، وإلّا جاز التأخیر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یجب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وهو المنصوب للجهاد أو لما هو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العامّ کالفقیه فلا یجوز له تولّیه حالَ الغیبة بالمعنی الأوّل ولا یشترط فی جوازه بغیره من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هجوم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 منه علی بیضة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ومجتمعه، فیجب حینئذٍ بغیر إذن الإمام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القید کونه کافراً؛ إذ لا یخشی من المسلم علی الإسلام نفسه وإن کان مبدعاً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خافوا علی أنفسهم وجب علیهم 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خیف علی بعض المسلمین وجب علیه، فإن عجز وجب علی من یلیه مساعدته، فإن عجز الجمیع وجب علی من بَعُد، ویتأکّد علی الأقرب فالأقرب کفایةً</w:t>
      </w:r>
      <w:r>
        <w:rPr>
          <w:rFonts w:eastAsia="IRNazanin" w:cs="IRNazanin"/>
          <w:color w:val="111111"/>
          <w:sz w:val="28"/>
          <w:szCs w:val="28"/>
          <w:rtl w:val="true"/>
          <w:lang w:bidi="fa-IR"/>
        </w:rPr>
        <w:t>.</w:t>
      </w:r>
    </w:p>
    <w:p>
      <w:pPr>
        <w:pStyle w:val="Heading3"/>
        <w:numPr>
          <w:ilvl w:val="2"/>
          <w:numId w:val="1"/>
        </w:numPr>
        <w:rPr/>
      </w:pPr>
      <w:bookmarkStart w:id="13" w:name="__RefHeading___Toc2092764_2314609296"/>
      <w:bookmarkStart w:id="14" w:name="_Toc5"/>
      <w:bookmarkEnd w:id="13"/>
      <w:r>
        <w:rPr>
          <w:rtl w:val="true"/>
        </w:rPr>
        <w:t>[</w:t>
      </w:r>
      <w:r>
        <w:rPr>
          <w:rtl w:val="true"/>
        </w:rPr>
        <w:t xml:space="preserve">شروط وجوبه </w:t>
      </w:r>
      <w:r>
        <w:rPr>
          <w:rtl w:val="true"/>
        </w:rPr>
        <w:t>]</w:t>
      </w:r>
      <w:bookmarkEnd w:id="1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یجب علیه الجهاد بالمعنی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والعقل والحرّیة والبصر والسلامة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الرکوب والعَدْو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البالغ حدّ الإقعاد، أو الموجب لمشقّة فی السعی لا تتحمّل عادة، وفی حکمه الشیخوخة المانعة من القیام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للعجز عن نفقته ونفقة عیاله وطریقه وثمن سلاحه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یجب علی الصبیّ والمجنون مطلقاً، ولا علی العبد وإن کان مبعَّضاً، ولا الأعمی وإن وجد قائداً ومطیّة، وکذا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أن یذکر الذکوریّة، فإنّها شرط فلا یجب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الجهاد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فیجب الدفع علی القادر، سواءً الذکر والاُنثی، والسلیم والأعمی، والمریض والعبد،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ویحرم المقام فی بلد الشرک لمن لا یتمکّن من إظهار شعار </w:t>
      </w:r>
      <w:r>
        <w:rPr>
          <w:rStyle w:val="FootnoteAnchor"/>
          <w:rtl w:val="true"/>
        </w:rPr>
        <w:footnoteReference w:id="4"/>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 والصلاة والصوم،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ذلک شعاراً؛ لأنّه علامة علیه، أو من الشعار الذی هو الثوب الملاصق للبدن، فاستعیر للأحکام اللاصقة اللازمة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بغیر المتمکّن ممّن یمکنه إقامتها لقوّة أو عشیرة تمنعه، فلا تجب علیه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تستحبّ لئلّا یکثر سوادهم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یحرم المقام مع القدرة علیها، فلو تعذّرت لمرض أو فقر ونحوه فلا حرج</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وألحق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نقل عنه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ببلاد الشرک بلاد الخلاف التی لا یتمکّن فیها المؤمن من إقامة شعار </w:t>
      </w:r>
      <w:r>
        <w:rPr>
          <w:rStyle w:val="FootnoteAnchor"/>
          <w:rtl w:val="true"/>
        </w:rPr>
        <w:footnoteReference w:id="6"/>
      </w:r>
      <w:r>
        <w:rPr>
          <w:rFonts w:ascii="IRNazanin" w:hAnsi="IRNazanin" w:eastAsia="IRNazanin"/>
          <w:color w:val="111111"/>
          <w:sz w:val="28"/>
          <w:sz w:val="28"/>
          <w:szCs w:val="28"/>
          <w:rtl w:val="true"/>
          <w:lang w:bidi="fa-IR"/>
        </w:rPr>
        <w:t>الإیمان مع إمکان انتقاله إلی بلد یتمکّن فیه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وللأبوین منع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الجهاد بالمعنی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عدم التعیین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بأمر الإمام له، أو بضعف المسلمین عن المقاومة بدونه، إذاً یجب علیه حینئذٍ عیناً، فلا یتوقّف علی إذنهما کغیره من الواجبات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الأجداد بهما قول قویّ </w:t>
      </w:r>
      <w:r>
        <w:rPr>
          <w:rStyle w:val="FootnoteAnchor"/>
          <w:rtl w:val="true"/>
        </w:rPr>
        <w:footnoteReference w:id="8"/>
      </w:r>
      <w:r>
        <w:rPr>
          <w:rFonts w:ascii="IRNazanin" w:hAnsi="IRNazanin" w:eastAsia="IRNazanin"/>
          <w:color w:val="111111"/>
          <w:sz w:val="28"/>
          <w:sz w:val="28"/>
          <w:szCs w:val="28"/>
          <w:rtl w:val="true"/>
          <w:lang w:bidi="fa-IR"/>
        </w:rPr>
        <w:t>فلو اجتمعوا توقّف علی إذن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حرّیتهما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اشتراط إسلامهما قولان </w:t>
      </w:r>
      <w:r>
        <w:rPr>
          <w:rStyle w:val="FootnoteAnchor"/>
          <w:rtl w:val="true"/>
        </w:rPr>
        <w:footnoteReference w:id="9"/>
      </w:r>
      <w:r>
        <w:rPr>
          <w:rFonts w:ascii="IRNazanin" w:hAnsi="IRNazanin" w:eastAsia="IRNazanin"/>
          <w:color w:val="111111"/>
          <w:sz w:val="28"/>
          <w:sz w:val="28"/>
          <w:szCs w:val="28"/>
          <w:rtl w:val="true"/>
          <w:lang w:bidi="fa-IR"/>
        </w:rPr>
        <w:t>وظاهر المصنّف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یعتبر إذنهما فیه یعتبر فی سائر الأسفار المباحة والمندوبة والواجبة کفایة مع عدم تعیّنه </w:t>
      </w:r>
      <w:r>
        <w:rPr>
          <w:rStyle w:val="FootnoteAnchor"/>
          <w:rtl w:val="true"/>
        </w:rPr>
        <w:footnoteReference w:id="10"/>
      </w:r>
      <w:r>
        <w:rPr>
          <w:rFonts w:ascii="IRNazanin" w:hAnsi="IRNazanin" w:eastAsia="IRNazanin"/>
          <w:color w:val="111111"/>
          <w:sz w:val="28"/>
          <w:sz w:val="28"/>
          <w:szCs w:val="28"/>
          <w:rtl w:val="true"/>
          <w:lang w:bidi="fa-IR"/>
        </w:rPr>
        <w:t>علیه؛ لعدم من فیه الکفایة، ومنه السفر لطلب العلم، فإن کان واجباً عیناً أو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کتحصیل الفقه ومقدّماته مع عدم قیام من فیه الکفایة وعدم إمکان تحصیله فی بلدهما وما قاربه ممّا لا یعدّ سفراً علی الوجه الذی یحصل مسافراً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یتوقّف علی إذنهما، وإلّا توقّف</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وهو مستحقّ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علی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الخروج إلی الجهاد، فلو کان معسراً أو کان الدین مؤجَّلاً وإن حلّ قبل رجوعه عادة لم یکن له المنع، مع احتماله فی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الإرصاد فی أطراف بلاد الإسلام للإعلام بأحوال المشرکین علی تقدیر هجومهم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مؤکّداً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 الإمام وغیبته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وطّن ساکن الثغر نفسَه علی الإعلام والمحافظة فهو مرابط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یستحقّ ثوابه ولا یدخل فی النذر والوقف والوصیّة للمرابطین بإقامة دون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نذره وأطلق وجب ثلاثة بلیلتین بینها، کالاعتکاف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وأکثره 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زاد اُلحق بالجهاد فی الثواب، لا أ نّه یخرج عن وصف الرباط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أعان بفرسه أو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لینتفع بهما من یرابط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لإعانته علی البرّ، وهو فی معنی الإباحة لهما علی هذا الوجه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نذر المرابطة التی هی الرباط المذکور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نذر صرف مال إلی أهلها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الإمام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تتضمّن جهاداً، فلا یشترط فیها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صرف المنذور للمرابطین فی البرّ حالَ الغیبة إن لم یخف الشنعة بترکه </w:t>
      </w:r>
      <w:r>
        <w:rPr>
          <w:rStyle w:val="FootnoteAnchor"/>
          <w:rtl w:val="true"/>
        </w:rPr>
        <w:footnoteReference w:id="11"/>
      </w:r>
      <w:r>
        <w:rPr>
          <w:rFonts w:ascii="IRNazanin" w:hAnsi="IRNazanin" w:eastAsia="IRNazanin"/>
          <w:color w:val="111111"/>
          <w:sz w:val="28"/>
          <w:sz w:val="28"/>
          <w:szCs w:val="28"/>
          <w:rtl w:val="true"/>
          <w:lang w:bidi="fa-IR"/>
        </w:rPr>
        <w:t>لعلم المخالف بالنذر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bookmarkStart w:id="15" w:name="pg19812_249198"/>
    </w:p>
    <w:p>
      <w:pPr>
        <w:pStyle w:val="Heading3"/>
        <w:numPr>
          <w:ilvl w:val="2"/>
          <w:numId w:val="1"/>
        </w:numPr>
        <w:rPr/>
      </w:pPr>
      <w:bookmarkStart w:id="16" w:name="__RefHeading___Toc2092766_2314609296"/>
      <w:bookmarkStart w:id="17" w:name="_Toc6"/>
      <w:bookmarkEnd w:id="15"/>
      <w:bookmarkEnd w:id="16"/>
      <w:r>
        <w:rPr>
          <w:rtl w:val="true"/>
        </w:rPr>
        <w:t>«</w:t>
      </w:r>
      <w:r>
        <w:rPr>
          <w:rtl w:val="true"/>
        </w:rPr>
        <w:t>وهنا فصول</w:t>
      </w:r>
      <w:r>
        <w:rPr>
          <w:rtl w:val="true"/>
        </w:rPr>
        <w:t>» :</w:t>
      </w:r>
      <w:bookmarkEnd w:id="17"/>
    </w:p>
    <w:p>
      <w:pPr>
        <w:pStyle w:val="Heading4"/>
        <w:numPr>
          <w:ilvl w:val="3"/>
          <w:numId w:val="1"/>
        </w:numPr>
        <w:rPr/>
      </w:pPr>
      <w:bookmarkStart w:id="18" w:name="__RefHeading___Toc2092768_2314609296"/>
      <w:bookmarkStart w:id="19" w:name="_Toc7"/>
      <w:bookmarkEnd w:id="18"/>
      <w:r>
        <w:rPr>
          <w:rtl w:val="true"/>
        </w:rPr>
        <w:t xml:space="preserve">الفصل </w:t>
      </w:r>
      <w:r>
        <w:rPr>
          <w:rtl w:val="true"/>
        </w:rPr>
        <w:t>«</w:t>
      </w:r>
      <w:r>
        <w:rPr>
          <w:rtl w:val="true"/>
        </w:rPr>
        <w:t>الأوّل</w:t>
      </w:r>
      <w:r>
        <w:rPr>
          <w:rtl w:val="true"/>
        </w:rPr>
        <w:t xml:space="preserve">» </w:t>
      </w:r>
      <w:r>
        <w:rPr>
          <w:rtl w:val="true"/>
        </w:rPr>
        <w:t>فیمن یجب قتاله وکیفیّة القتال، وأحکام الذمّة</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قتال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الکتابی من أصناف الکفّار الذین لا ینتسبون إلی الإسلام، فالکتابی لا یطلق علیه اسم الحربی وإن کان بحکمه علی بعض الوجوه، وکذا فِرق المسلمین وإن حُکم بکفرهم کالخوارج، إلّاأن یبغوا علی الإمام فیقاتلون من حیث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غیره فیدافعون کغیرهم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یجب قتال الحربی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الدعاء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 الشهادتین والتزام جمیع أحکام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والداعی هو الإمام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ویسقط اعتباره فی حقّ من عرفه بسبق دعائه فی قتال آخر أو بغیره، ومن ثَمّ غزا النبیّ صلی الله علیه و آله بنی المصطلق من غیر إعلام واستأصلهم </w:t>
      </w:r>
      <w:r>
        <w:rPr>
          <w:rStyle w:val="FootnoteAnchor"/>
          <w:rtl w:val="true"/>
        </w:rPr>
        <w:footnoteReference w:id="12"/>
      </w:r>
      <w:r>
        <w:rPr>
          <w:rFonts w:ascii="IRNazanin" w:hAnsi="IRNazanin" w:eastAsia="IRNazanin"/>
          <w:color w:val="111111"/>
          <w:sz w:val="28"/>
          <w:sz w:val="28"/>
          <w:szCs w:val="28"/>
          <w:rtl w:val="true"/>
          <w:lang w:bidi="fa-IR"/>
        </w:rPr>
        <w:t xml:space="preserve">نعم، یستحبّ الدعاء حینئذٍ کما فعل علیّ علیه السلام بعمروٍ </w:t>
      </w:r>
      <w:r>
        <w:rPr>
          <w:rStyle w:val="FootnoteAnchor"/>
          <w:rtl w:val="true"/>
        </w:rPr>
        <w:footnoteReference w:id="13"/>
      </w:r>
      <w:r>
        <w:rPr>
          <w:rFonts w:ascii="IRNazanin" w:hAnsi="IRNazanin" w:eastAsia="IRNazanin"/>
          <w:color w:val="111111"/>
          <w:sz w:val="28"/>
          <w:sz w:val="28"/>
          <w:szCs w:val="28"/>
          <w:rtl w:val="true"/>
          <w:lang w:bidi="fa-IR"/>
        </w:rPr>
        <w:t>وغیره مع علمهم بالحال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قبوله، فلو أظهر قبوله ولو باللسان کُفَّ عنه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قتال هذا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یُسلم أو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منه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الیهودی والنصرانی والمجوسی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 حتی یُسلم أو 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یلتزم بشرائط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الجزیة، والتزام أحکامنا </w:t>
      </w:r>
      <w:r>
        <w:rPr>
          <w:rStyle w:val="FootnoteAnchor"/>
          <w:rtl w:val="true"/>
        </w:rPr>
        <w:footnoteReference w:id="14"/>
      </w:r>
      <w:r>
        <w:rPr>
          <w:rFonts w:ascii="IRNazanin" w:hAnsi="IRNazanin" w:eastAsia="IRNazanin"/>
          <w:color w:val="111111"/>
          <w:sz w:val="28"/>
          <w:sz w:val="28"/>
          <w:szCs w:val="28"/>
          <w:rtl w:val="true"/>
          <w:lang w:bidi="fa-IR"/>
        </w:rPr>
        <w:t>وترک التعرّض للمسلمات 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حکمهنّ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ذکوراً وإناثاً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وسرقة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وإیواء عین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وجاسوسهم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والدلالة علی عورة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فیه ضرر علیهم کطریق أخذهم وغیلتهم ولو بالمکاتبة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وإظهار 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شریعة الإسلام کأکل لحم الخنزیر وشرب الخمر وأکل الربا ونکاح المحارم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والأوّلان لا بدّ منهما فی عقد الذمّة، ویخرجون بمخالفتهما عنها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باقی الشروط فظاهر العبارة أ نّها کذلک، وبه صرّح فی الدروس </w:t>
      </w:r>
      <w:r>
        <w:rPr>
          <w:rStyle w:val="FootnoteAnchor"/>
          <w:rtl w:val="true"/>
        </w:rPr>
        <w:footnoteReference w:id="1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یخرجون بمخالفتها إلّامع اشتراطها علیهم </w:t>
      </w:r>
      <w:r>
        <w:rPr>
          <w:rStyle w:val="FootnoteAnchor"/>
          <w:rtl w:val="true"/>
        </w:rPr>
        <w:footnoteReference w:id="16"/>
      </w:r>
      <w:r>
        <w:rPr>
          <w:rFonts w:ascii="IRNazanin" w:hAnsi="IRNazanin" w:eastAsia="IRNazanin"/>
          <w:color w:val="111111"/>
          <w:sz w:val="28"/>
          <w:sz w:val="28"/>
          <w:szCs w:val="28"/>
          <w:rtl w:val="true"/>
          <w:lang w:bidi="fa-IR"/>
        </w:rPr>
        <w:t xml:space="preserve">وهو أظهر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وتقدیر الجزیة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بین وضعها علی رؤوسهم وأراضیهم وعلیهما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تتقدّر بما قدّره علیّ علیه الصلاة والسلام </w:t>
      </w:r>
      <w:r>
        <w:rPr>
          <w:rStyle w:val="FootnoteAnchor"/>
          <w:rtl w:val="true"/>
        </w:rPr>
        <w:footnoteReference w:id="18"/>
      </w:r>
      <w:r>
        <w:rPr>
          <w:rFonts w:ascii="Amiri" w:hAnsi="Amiri" w:eastAsia="Amiri" w:cs="Amiri"/>
          <w:color w:val="111111"/>
          <w:sz w:val="28"/>
          <w:sz w:val="28"/>
          <w:szCs w:val="28"/>
          <w:rtl w:val="true"/>
          <w:lang w:bidi="ar-SA"/>
        </w:rPr>
        <w:t>فإنّه مُنزَّل علی اقتضاء المصلحة فی ذلک الوقت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قبله؛ لأنّه أنسب بالصغار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ویؤخذ منه صاغراً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أنّ الصغار أمر آخر غیر إبهام قدرها علیه،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تقدیرها حال القبض أیضاً، بل یؤخذ منه إلی أن ینتهی إلی ما یراه صلاحاً </w:t>
      </w:r>
      <w:r>
        <w:rPr>
          <w:rStyle w:val="FootnoteAnchor"/>
          <w:rtl w:val="true"/>
        </w:rPr>
        <w:footnoteReference w:id="19"/>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أحکامنا علیهم مع ذلک </w:t>
      </w:r>
      <w:r>
        <w:rPr>
          <w:rStyle w:val="FootnoteAnchor"/>
          <w:rtl w:val="true"/>
        </w:rPr>
        <w:footnoteReference w:id="20"/>
      </w:r>
      <w:r>
        <w:rPr>
          <w:rFonts w:ascii="IRNazanin" w:hAnsi="IRNazanin" w:eastAsia="IRNazanin"/>
          <w:color w:val="111111"/>
          <w:sz w:val="28"/>
          <w:sz w:val="28"/>
          <w:szCs w:val="28"/>
          <w:rtl w:val="true"/>
          <w:lang w:bidi="fa-IR"/>
        </w:rPr>
        <w:t xml:space="preserve">أو بدونه </w:t>
      </w:r>
      <w:r>
        <w:rPr>
          <w:rStyle w:val="FootnoteAnchor"/>
          <w:rtl w:val="true"/>
        </w:rPr>
        <w:footnoteReference w:id="2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أخذها منه قائماً والمسلم جالس </w:t>
      </w:r>
      <w:r>
        <w:rPr>
          <w:rStyle w:val="FootnoteAnchor"/>
          <w:rtl w:val="true"/>
        </w:rPr>
        <w:footnoteReference w:id="22"/>
      </w:r>
      <w:r>
        <w:rPr>
          <w:rFonts w:ascii="IRNazanin" w:hAnsi="IRNazanin" w:eastAsia="IRNazanin"/>
          <w:color w:val="111111"/>
          <w:sz w:val="28"/>
          <w:sz w:val="28"/>
          <w:szCs w:val="28"/>
          <w:rtl w:val="true"/>
          <w:lang w:bidi="fa-IR"/>
        </w:rPr>
        <w:t>وزاد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یخرج الذمیّ یده من جیبه ویحنی ظهره ویطأطئ رأسه ویصبّ ما معه فی کفّة المیزان، ویأخذ المستوفی بلحیته ویضربه فی لَهْزَمتیه، وهما مجتمع اللحم بین الماضغ والاُذن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ویبدأ بقتال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الإمام أو من 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البعید فیُبدأ به، کما فعل النبیّ صلی الله علیه و آله بالحارث بن أبی ضرار لمّا بلغه أ نّه یجمع له، وکان بینه وبینه عدوّ أقرب </w:t>
      </w:r>
      <w:r>
        <w:rPr>
          <w:rStyle w:val="FootnoteAnchor"/>
          <w:rtl w:val="true"/>
        </w:rPr>
        <w:footnoteReference w:id="24"/>
      </w:r>
      <w:r>
        <w:rPr>
          <w:rFonts w:ascii="IRNazanin" w:hAnsi="IRNazanin" w:eastAsia="IRNazanin"/>
          <w:color w:val="111111"/>
          <w:sz w:val="28"/>
          <w:sz w:val="28"/>
          <w:szCs w:val="28"/>
          <w:rtl w:val="true"/>
          <w:lang w:bidi="fa-IR"/>
        </w:rPr>
        <w:t xml:space="preserve">وکذا فعل بخالد بن سفیان الهذلی </w:t>
      </w:r>
      <w:r>
        <w:rPr>
          <w:rStyle w:val="FootnoteAnchor"/>
          <w:rtl w:val="true"/>
        </w:rPr>
        <w:footnoteReference w:id="25"/>
      </w:r>
      <w:r>
        <w:rPr>
          <w:rFonts w:ascii="IRNazanin" w:hAnsi="IRNazanin" w:eastAsia="IRNazanin"/>
          <w:color w:val="111111"/>
          <w:sz w:val="28"/>
          <w:sz w:val="28"/>
          <w:szCs w:val="28"/>
          <w:rtl w:val="true"/>
          <w:lang w:bidi="fa-IR"/>
        </w:rPr>
        <w:t>ومثله ما لو کان القریب مهادناً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العدوّ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 المأمور بالثبات، أی قدره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أقلّ، إلّالمتحرّفٍ 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منتقلٍ إلی حالةٍ</w:t>
      </w:r>
    </w:p>
    <w:p>
      <w:pPr>
        <w:pStyle w:val="BookText"/>
        <w:rPr/>
      </w:pPr>
      <w:r>
        <w:rPr>
          <w:rFonts w:ascii="IRNazanin" w:hAnsi="IRNazanin" w:eastAsia="IRNazanin"/>
          <w:color w:val="111111"/>
          <w:sz w:val="28"/>
          <w:sz w:val="28"/>
          <w:szCs w:val="28"/>
          <w:rtl w:val="true"/>
          <w:lang w:bidi="fa-IR"/>
        </w:rPr>
        <w:t xml:space="preserve">أمکن من حالته التی هو علیها، کاستدبار الشمس وتسویة اللامة </w:t>
      </w:r>
      <w:r>
        <w:rPr>
          <w:rStyle w:val="FootnoteAnchor"/>
          <w:rtl w:val="true"/>
        </w:rPr>
        <w:footnoteReference w:id="26"/>
      </w:r>
      <w:r>
        <w:rPr>
          <w:rFonts w:ascii="IRNazanin" w:hAnsi="IRNazanin" w:eastAsia="IRNazanin"/>
          <w:color w:val="111111"/>
          <w:sz w:val="28"/>
          <w:sz w:val="28"/>
          <w:szCs w:val="28"/>
          <w:rtl w:val="true"/>
          <w:lang w:bidi="fa-IR"/>
        </w:rPr>
        <w:t xml:space="preserve">وطلب السعة ومورد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یستنجد بها فی المعونة علی القتال، قلیلة کانت أم کثیرة مع صلاحیّتها له وکونها غیر بعیدة علی وجهٍ یخرج عن کونه مقاتلاً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 عرض له مرض أو نفد </w:t>
      </w:r>
      <w:r>
        <w:rPr>
          <w:rStyle w:val="FootnoteAnchor"/>
          <w:rtl w:val="true"/>
        </w:rPr>
        <w:footnoteReference w:id="27"/>
      </w:r>
      <w:r>
        <w:rPr>
          <w:rFonts w:ascii="IRNazanin" w:hAnsi="IRNazanin" w:eastAsia="IRNazanin"/>
          <w:color w:val="111111"/>
          <w:sz w:val="28"/>
          <w:sz w:val="28"/>
          <w:szCs w:val="28"/>
          <w:rtl w:val="true"/>
          <w:lang w:bidi="fa-IR"/>
        </w:rPr>
        <w:t>سلاحه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یجوز له الانصراف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المحاربة بطرق الفتح، کهدم الحصون والمنجنیق وقطع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یتوقّف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الشجر، وقد قطع النبیّ صلی الله علیه و آله أشجار الطائف </w:t>
      </w:r>
      <w:r>
        <w:rPr>
          <w:rStyle w:val="FootnoteAnchor"/>
          <w:rtl w:val="true"/>
        </w:rPr>
        <w:footnoteReference w:id="28"/>
      </w:r>
      <w:r>
        <w:rPr>
          <w:rFonts w:ascii="IRNazanin" w:hAnsi="IRNazanin" w:eastAsia="IRNazanin"/>
          <w:color w:val="111111"/>
          <w:sz w:val="28"/>
          <w:sz w:val="28"/>
          <w:szCs w:val="28"/>
          <w:rtl w:val="true"/>
          <w:lang w:bidi="fa-IR"/>
        </w:rPr>
        <w:t xml:space="preserve">وحرّق علی بنی النضیر وخرّب دیارهم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یکره بإرسال </w:t>
      </w:r>
      <w:r>
        <w:rPr>
          <w:rStyle w:val="FootnoteAnchor"/>
          <w:rtl w:val="true"/>
        </w:rPr>
        <w:footnoteReference w:id="30"/>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ومنعه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و إلقاء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إلّاأن یؤدّی إلی قتل نفس محترمة فیحرم إن أمکن بدونه، أو یتوقّف علیه الفتح 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ورجّح المصنّف فی الدروس تحریم إلقائه مطلقاً </w:t>
      </w:r>
      <w:r>
        <w:rPr>
          <w:rStyle w:val="FootnoteAnchor"/>
          <w:rtl w:val="true"/>
        </w:rPr>
        <w:footnoteReference w:id="31"/>
      </w:r>
      <w:r>
        <w:rPr>
          <w:rFonts w:ascii="IRNazanin" w:hAnsi="IRNazanin" w:eastAsia="IRNazanin"/>
          <w:color w:val="111111"/>
          <w:sz w:val="28"/>
          <w:sz w:val="28"/>
          <w:szCs w:val="28"/>
          <w:rtl w:val="true"/>
          <w:lang w:bidi="fa-IR"/>
        </w:rPr>
        <w:t xml:space="preserve">لنهی النبی صلی الله علیه و آله عنه </w:t>
      </w:r>
      <w:r>
        <w:rPr>
          <w:rStyle w:val="FootnoteAnchor"/>
          <w:rtl w:val="true"/>
        </w:rPr>
        <w:footnoteReference w:id="32"/>
      </w:r>
      <w:r>
        <w:rPr>
          <w:rFonts w:ascii="IRNazanin" w:hAnsi="IRNazanin" w:eastAsia="IRNazanin"/>
          <w:color w:val="111111"/>
          <w:sz w:val="28"/>
          <w:sz w:val="28"/>
          <w:szCs w:val="28"/>
          <w:rtl w:val="true"/>
          <w:lang w:bidi="fa-IR"/>
        </w:rPr>
        <w:t>والروایة ضعیفة السند بالسکونی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قتل الصبیان والمجانین والنساء وإن عاونوا، إلّامع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تترّسوا بهم وتوقّف الفتح علی قتلهم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یعاون برأی أو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الخنثی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بحکم المرأة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ویُقتل الراهب والکبیر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دون الشیخ الفانی، أو هو، واستدرک الجواز بالقید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ذا رأی أو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یغنی أحدهما عن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یجوز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 ممّن لا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کالنساء والصبیان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تترّسوا بالمسلمین کُفَّ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أمکن، ومع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یمکن التوصّل إلی المشرکین إلّابقتل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ولا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للإذن فی قتلهم حینئذٍ شرعاً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هی کفّارة الخطأ أو العمد؟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مأخذهما کونه فی الأصل غیر قاصد للمسلم وإنّما مطلوبه قتل الکافر، والنظر إلی صورة الواقع فإنّه متعمّد لقتله، وهو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تکون من بیت المال؛ لأنّه للمصالح، وهذه من أهمّها؛ ولأنّ فی إیجابها علی المسلم إضراراً یوجب التخاذل عن الحرب 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النزول علیهم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والقتال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بعده؛ لأنّ أبواب السماء تفتح عنده وینزل النصر وتقبل الرحمة </w:t>
      </w:r>
      <w:r>
        <w:rPr>
          <w:rStyle w:val="FootnoteAnchor"/>
          <w:rtl w:val="true"/>
        </w:rPr>
        <w:footnoteReference w:id="35"/>
      </w:r>
      <w:r>
        <w:rPr>
          <w:rFonts w:ascii="IRNazanin" w:hAnsi="IRNazanin" w:eastAsia="IRNazanin"/>
          <w:color w:val="111111"/>
          <w:sz w:val="28"/>
          <w:sz w:val="28"/>
          <w:szCs w:val="28"/>
          <w:rtl w:val="true"/>
          <w:lang w:bidi="fa-IR"/>
        </w:rPr>
        <w:t>وینبغی أن یکون بعد صلاة الظهرین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اضطرّ إلی الأمرین زالت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یُعرقب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وقفت به أو أشرف علی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رأی ذلک صلاحاً زالت، کما فعل جعفر بمؤتة </w:t>
      </w:r>
      <w:r>
        <w:rPr>
          <w:rStyle w:val="FootnoteAnchor"/>
          <w:rtl w:val="true"/>
        </w:rPr>
        <w:footnoteReference w:id="36"/>
      </w:r>
      <w:r>
        <w:rPr>
          <w:rFonts w:ascii="Amiri" w:hAnsi="Amiri" w:eastAsia="Amiri" w:cs="Amiri"/>
          <w:color w:val="111111"/>
          <w:sz w:val="28"/>
          <w:sz w:val="28"/>
          <w:szCs w:val="28"/>
          <w:rtl w:val="true"/>
          <w:lang w:bidi="ar-SA"/>
        </w:rPr>
        <w:t>وذبحها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دابّة</w:t>
      </w:r>
    </w:p>
    <w:p>
      <w:pPr>
        <w:pStyle w:val="BookText"/>
        <w:rPr/>
      </w:pPr>
      <w:r>
        <w:rPr>
          <w:rFonts w:ascii="IRNazanin" w:hAnsi="IRNazanin" w:eastAsia="IRNazanin"/>
          <w:color w:val="111111"/>
          <w:sz w:val="28"/>
          <w:sz w:val="28"/>
          <w:szCs w:val="28"/>
          <w:rtl w:val="true"/>
          <w:lang w:bidi="fa-IR"/>
        </w:rPr>
        <w:t>الکافر فلا کراهة فی قتلها، کما فی کلّ فعل یؤدّی إلی ضعفه والظفر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وتحرم إن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ألزم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شخصاً معیّناً، وکفایة إن أمر بها جماعة لیقوم بها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وتستحبّ إذا ندب إلیها من غیر أمر جازم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مواراة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فی المعرکة، دون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Style w:val="FootnoteAnchor"/>
          <w:rtl w:val="true"/>
        </w:rPr>
        <w:footnoteReference w:id="39"/>
      </w:r>
      <w:r>
        <w:rPr>
          <w:rFonts w:ascii="IRNazanin" w:hAnsi="IRNazanin" w:eastAsia="IRNazanin"/>
          <w:color w:val="111111"/>
          <w:sz w:val="28"/>
          <w:sz w:val="28"/>
          <w:szCs w:val="28"/>
          <w:rtl w:val="true"/>
          <w:lang w:bidi="fa-IR"/>
        </w:rPr>
        <w:t>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فلیوار کمیش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صغیره؛ لما رُوی من فعل النبی صلی الله علیه و آله ذلک فی قتلی بدر،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ذلک إلّافی کرام الناس</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دفن الجمیع احتیاطاً </w:t>
      </w:r>
      <w:r>
        <w:rPr>
          <w:rStyle w:val="FootnoteAnchor"/>
          <w:rtl w:val="true"/>
        </w:rPr>
        <w:footnoteReference w:id="41"/>
      </w:r>
      <w:r>
        <w:rPr>
          <w:rFonts w:ascii="Amiri" w:hAnsi="Amiri" w:eastAsia="Amiri" w:cs="Amiri"/>
          <w:color w:val="111111"/>
          <w:sz w:val="28"/>
          <w:sz w:val="28"/>
          <w:szCs w:val="28"/>
          <w:rtl w:val="true"/>
          <w:lang w:bidi="ar-SA"/>
        </w:rPr>
        <w:t xml:space="preserve">وهو حسن، وللقرعة وجه </w:t>
      </w:r>
      <w:r>
        <w:rPr>
          <w:rStyle w:val="FootnoteAnchor"/>
          <w:rtl w:val="true"/>
        </w:rPr>
        <w:footnoteReference w:id="42"/>
      </w:r>
      <w:r>
        <w:rPr>
          <w:rFonts w:ascii="IRNazanin" w:hAnsi="IRNazanin" w:eastAsia="IRNazanin"/>
          <w:color w:val="111111"/>
          <w:sz w:val="28"/>
          <w:sz w:val="28"/>
          <w:szCs w:val="28"/>
          <w:rtl w:val="true"/>
          <w:lang w:bidi="fa-IR"/>
        </w:rPr>
        <w:t>وأمّا الصلاة علیه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للدفن </w:t>
      </w:r>
      <w:r>
        <w:rPr>
          <w:rStyle w:val="FootnoteAnchor"/>
          <w:rtl w:val="true"/>
        </w:rPr>
        <w:footnoteReference w:id="43"/>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علی الجمیع ویُفردُ المسلم بالنیّة </w:t>
      </w:r>
      <w:r>
        <w:rPr>
          <w:rStyle w:val="FootnoteAnchor"/>
          <w:rtl w:val="true"/>
        </w:rPr>
        <w:footnoteReference w:id="44"/>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bookmarkStart w:id="20" w:name="pg19812_249204"/>
    </w:p>
    <w:p>
      <w:pPr>
        <w:pStyle w:val="Heading4"/>
        <w:numPr>
          <w:ilvl w:val="3"/>
          <w:numId w:val="1"/>
        </w:numPr>
        <w:rPr/>
      </w:pPr>
      <w:bookmarkStart w:id="21" w:name="__RefHeading___Toc2092770_2314609296"/>
      <w:bookmarkStart w:id="22" w:name="_Toc8"/>
      <w:bookmarkEnd w:id="20"/>
      <w:bookmarkEnd w:id="21"/>
      <w:r>
        <w:rPr>
          <w:rtl w:val="true"/>
        </w:rPr>
        <w:t>«</w:t>
      </w:r>
      <w:r>
        <w:rPr>
          <w:rtl w:val="true"/>
        </w:rPr>
        <w:t>الفصل الثانی</w:t>
      </w:r>
      <w:r>
        <w:rPr>
          <w:rtl w:val="true"/>
        </w:rPr>
        <w:t>» «</w:t>
      </w:r>
      <w:r>
        <w:rPr>
          <w:rtl w:val="true"/>
        </w:rPr>
        <w:t>فی ترک القتال</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الکلام وما فی حکمه الدالّ علی سلامة الکافر نفساً ومالاً، إجابةً لسؤاله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جهاده، وفاعله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البالغ العاقل المختار، وعقده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علیه من لفظٍ وکتابةٍ وإشارةٍ مفهمة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یشترط کونه من الإمام بل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آحاد المسلمین لآحاد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بالآحاد العدد الیسیر، وهو هنا العشرة فما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الإمام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أو فی الجهة التی أذمّ </w:t>
      </w:r>
      <w:r>
        <w:rPr>
          <w:rStyle w:val="FootnoteAnchor"/>
          <w:rtl w:val="true"/>
        </w:rPr>
        <w:footnoteReference w:id="45"/>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أعمّ منه، وللآحاد بطریق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شرط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قبل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من الآحاد، أمّا من الإمام فیجوز بعده، کما یجوز له المنّ علیه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المصلحة </w:t>
      </w:r>
      <w:r>
        <w:rPr>
          <w:rStyle w:val="FootnoteAnchor"/>
          <w:rtl w:val="true"/>
        </w:rPr>
        <w:footnoteReference w:id="46"/>
      </w:r>
      <w:r>
        <w:rPr>
          <w:rFonts w:ascii="IRNazanin" w:hAnsi="IRNazanin" w:eastAsia="IRNazanin"/>
          <w:color w:val="111111"/>
          <w:sz w:val="28"/>
          <w:sz w:val="28"/>
          <w:szCs w:val="28"/>
          <w:rtl w:val="true"/>
          <w:lang w:bidi="fa-IR"/>
        </w:rPr>
        <w:t>کاستمالة الکافر لیرغب فی</w:t>
      </w:r>
    </w:p>
    <w:p>
      <w:pPr>
        <w:pStyle w:val="BookText"/>
        <w:rPr/>
      </w:pPr>
      <w:r>
        <w:rPr>
          <w:rFonts w:ascii="IRNazanin" w:hAnsi="IRNazanin" w:eastAsia="IRNazanin"/>
          <w:color w:val="111111"/>
          <w:sz w:val="28"/>
          <w:sz w:val="28"/>
          <w:szCs w:val="28"/>
          <w:rtl w:val="true"/>
          <w:lang w:bidi="fa-IR"/>
        </w:rPr>
        <w:t xml:space="preserve">الإسلام، وترفیه </w:t>
      </w:r>
      <w:r>
        <w:rPr>
          <w:rStyle w:val="FootnoteAnchor"/>
          <w:rtl w:val="true"/>
        </w:rPr>
        <w:footnoteReference w:id="47"/>
      </w:r>
      <w:r>
        <w:rPr>
          <w:rFonts w:ascii="IRNazanin" w:hAnsi="IRNazanin" w:eastAsia="IRNazanin"/>
          <w:color w:val="111111"/>
          <w:sz w:val="28"/>
          <w:sz w:val="28"/>
          <w:szCs w:val="28"/>
          <w:rtl w:val="true"/>
          <w:lang w:bidi="fa-IR"/>
        </w:rPr>
        <w:t xml:space="preserve">الجند وترتیب اُمورهم، وقلّتهم، ولینتقل الأمر منه إلی دخولنا دارهم فنطّلع علی عورتهم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یجوز مع المفسدة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آمن الجاسوس، فإنّه لا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فیه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یختلّ شروط الصحة یردّ الکافر إلی مأمنه، کما لو دخل بشبهة الأمان، مثل أن یسمع لفظاً فیعتقده أماناً، أو یصحب رفقة فیظنّها کافیة، أو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نذمّک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فیتوهّم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الداخل بسفارة </w:t>
      </w:r>
      <w:r>
        <w:rPr>
          <w:rStyle w:val="FootnoteAnchor"/>
          <w:rtl w:val="true"/>
        </w:rPr>
        <w:footnoteReference w:id="49"/>
      </w:r>
      <w:r>
        <w:rPr>
          <w:rFonts w:ascii="Amiri" w:hAnsi="Amiri" w:eastAsia="Amiri" w:cs="Amiri"/>
          <w:color w:val="111111"/>
          <w:sz w:val="28"/>
          <w:sz w:val="28"/>
          <w:szCs w:val="28"/>
          <w:rtl w:val="true"/>
          <w:lang w:bidi="ar-SA"/>
        </w:rPr>
        <w:t xml:space="preserve">أو لیسمع کلام 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علی حکم الإمام أو من یختاره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شرائط المختار اتّکالاً علی عصمته المقتضیة لاختیار </w:t>
      </w:r>
      <w:r>
        <w:rPr>
          <w:rStyle w:val="FootnoteAnchor"/>
          <w:rtl w:val="true"/>
        </w:rPr>
        <w:footnoteReference w:id="51"/>
      </w:r>
      <w:r>
        <w:rPr>
          <w:rFonts w:ascii="IRNazanin" w:hAnsi="IRNazanin" w:eastAsia="IRNazanin"/>
          <w:color w:val="111111"/>
          <w:sz w:val="28"/>
          <w:sz w:val="28"/>
          <w:szCs w:val="28"/>
          <w:rtl w:val="true"/>
          <w:lang w:bidi="fa-IR"/>
        </w:rPr>
        <w:t xml:space="preserve">جامع الشرائط، وإنّما یفتقر إلیها من لا یشترط فی الإمام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فینفذ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أقرّ النبیّ صلی الله علیه و آله بنی قریضة حین طلبوا النزول علی حکم سعد بن معاذ، فحکم فیهم بقتل الرجال وسبی الذراری وغنیمة المال، فقال له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حکمت بما حکم اللّٰه تعالی به من فوق سبعة أرقعة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وإنّما ینفذ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یخالف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یحکم</w:t>
      </w:r>
    </w:p>
    <w:p>
      <w:pPr>
        <w:pStyle w:val="BookText"/>
        <w:rPr/>
      </w:pPr>
      <w:r>
        <w:rPr>
          <w:rFonts w:ascii="IRNazanin" w:hAnsi="IRNazanin" w:eastAsia="IRNazanin"/>
          <w:color w:val="111111"/>
          <w:sz w:val="28"/>
          <w:sz w:val="28"/>
          <w:szCs w:val="28"/>
          <w:rtl w:val="true"/>
          <w:lang w:bidi="fa-IR"/>
        </w:rPr>
        <w:t>بما لا حظّ فیه للمسلمین أو ما ینافی حکم الذمّة لأهلها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وبذل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أسلم الکافر حرم قتاله مطلقاً، حتّی لو کان بعد الأسر الموجب للتخییر بین قتله وغیره </w:t>
      </w:r>
      <w:r>
        <w:rPr>
          <w:rStyle w:val="FootnoteAnchor"/>
          <w:rtl w:val="true"/>
        </w:rPr>
        <w:footnoteReference w:id="53"/>
      </w:r>
      <w:r>
        <w:rPr>
          <w:rFonts w:ascii="IRNazanin" w:hAnsi="IRNazanin" w:eastAsia="IRNazanin"/>
          <w:color w:val="111111"/>
          <w:sz w:val="28"/>
          <w:sz w:val="28"/>
          <w:szCs w:val="28"/>
          <w:rtl w:val="true"/>
          <w:lang w:bidi="fa-IR"/>
        </w:rPr>
        <w:t>أو بعد تحکیم الحاکم علیه فحکم بعده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بعد حکم الحاکم بقتله وأخذ ماله وسبی ذراریه سقط القتل وبقی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بذل الکتابی ومن فی حکمه الجزیة وما یعتبر معها من شرائط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دخوله فی الجزیة؛ لأنّ عقدها لا یتمّ إلّا به، فلا یتحقّق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المعاقدة من الإمام علیه السلام أو مَن نصبه لذلک مع من یجوز 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الحرب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بعوض وغیره بحسب ما یراه الإمام قلّة،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أکثرها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الزیادة عنها مطلقاً، کما یجوز أقلّ من أربعة أشهر إجماعاً، والمختار جواز ما بینهما علی حسب المصلحة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جائزة مع المصلحة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لقلّتهم، أو رجاء إسلامهم مع الصبر أو ما یحصل به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مع الجواز قد تجب مع حاجة المسلمین إلیها، وقد تباح لمجرّد المصلحة التی لا تبلغ حدّ الحاجة، ولو انتفت انتفت الصحّة</w:t>
      </w:r>
      <w:r>
        <w:rPr>
          <w:rFonts w:eastAsia="IRNazanin" w:cs="IRNazanin"/>
          <w:color w:val="111111"/>
          <w:sz w:val="28"/>
          <w:szCs w:val="28"/>
          <w:rtl w:val="true"/>
          <w:lang w:bidi="fa-IR"/>
        </w:rPr>
        <w:t>.</w:t>
      </w:r>
      <w:bookmarkStart w:id="23" w:name="pg19812_249208"/>
    </w:p>
    <w:p>
      <w:pPr>
        <w:pStyle w:val="Heading4"/>
        <w:numPr>
          <w:ilvl w:val="3"/>
          <w:numId w:val="1"/>
        </w:numPr>
        <w:rPr/>
      </w:pPr>
      <w:bookmarkStart w:id="24" w:name="__RefHeading___Toc2092772_2314609296"/>
      <w:bookmarkStart w:id="25" w:name="_Toc9"/>
      <w:bookmarkEnd w:id="23"/>
      <w:bookmarkEnd w:id="24"/>
      <w:r>
        <w:rPr>
          <w:rtl w:val="true"/>
        </w:rPr>
        <w:t>«</w:t>
      </w:r>
      <w:r>
        <w:rPr>
          <w:rtl w:val="true"/>
        </w:rPr>
        <w:t>الفصل الثالث</w:t>
      </w:r>
      <w:r>
        <w:rPr>
          <w:rtl w:val="true"/>
        </w:rPr>
        <w:t>» «</w:t>
      </w:r>
      <w:r>
        <w:rPr>
          <w:rtl w:val="true"/>
        </w:rPr>
        <w:t>فی الغنیمة</w:t>
      </w:r>
      <w:r>
        <w:rPr>
          <w:rtl w:val="true"/>
        </w:rPr>
        <w:t>»</w:t>
      </w:r>
      <w:bookmarkEnd w:id="25"/>
    </w:p>
    <w:p>
      <w:pPr>
        <w:pStyle w:val="BookText"/>
        <w:rPr/>
      </w:pPr>
      <w:r>
        <w:rPr>
          <w:rFonts w:ascii="IRNazanin" w:hAnsi="IRNazanin" w:eastAsia="IRNazanin"/>
          <w:color w:val="111111"/>
          <w:sz w:val="28"/>
          <w:sz w:val="28"/>
          <w:szCs w:val="28"/>
          <w:rtl w:val="true"/>
          <w:lang w:bidi="fa-IR"/>
        </w:rPr>
        <w:t>وأصلها المال المکتسب، والمراد هنا ما أخذته الفئة المجاهدة علی سبیل الغلبة، لا باختلاس وسرقة فإنّه لآخذه، ولا بانجلاء أهله عنه بغیر قتال فإنّه للإمام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وتُملک النساء والأطفال بالسبی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الحرب قائمة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والذکور البالغون یُقتلون حتماً إن اُخذوا والحرب قائمة، إلّاأن یسلموا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قتلهم، ویتخیّر الإمام حینئذٍ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استرقاقهم، والمنّ علیهم،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المنّ علیهم هنا؛ لعدم جواز استرقاقهم حال الکفر فمع الإسلام أولی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استرقاقهم حال الکفر إهانة ومصیر إلی ما هو أعظم لا إکرام، فلا یلزم مثله بعد الإسلام؛ ولأنّ الإسلام لا ینافی الاسترقاق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یجوز قتلهم یتخیّر الإمام تخیّر شهوةٍ بین ضرب رقابهم، وقطع أیدیهم وأرجلهم وترکهم حتّی یموتوا إن اتّفق، وإلّا اُجهز علیهم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اُخذوا بعد أن وضعت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أثقالها من السلاح وغیره، وهو کنایة عن تقضّیها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یُقتلوا، ویتخیّر الإمام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نظرٍ</w:t>
      </w:r>
    </w:p>
    <w:p>
      <w:pPr>
        <w:pStyle w:val="BookText"/>
        <w:rPr/>
      </w:pPr>
      <w:r>
        <w:rPr>
          <w:rFonts w:ascii="IRNazanin" w:hAnsi="IRNazanin" w:eastAsia="IRNazanin"/>
          <w:color w:val="111111"/>
          <w:sz w:val="28"/>
          <w:sz w:val="28"/>
          <w:szCs w:val="28"/>
          <w:rtl w:val="true"/>
          <w:lang w:bidi="fa-IR"/>
        </w:rPr>
        <w:t xml:space="preserve">ومصلحة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لأنفسهم بمال حسب ما یراه من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کانوا أم کتابیّین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تُعتبر المصلحة لا یتحقّق التخییر إلّامع اشتراک الثلاثة فیها علی السواء، وإلّا تعیّن الراجح، واحداً کان أم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یختار الفداء أو الاسترقاق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ذلک فی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دخل من استرقّ ابتداءً فیها من النساء والأطفال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عجز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یجوز للإمام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المشی لم یجز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یُدری ما حکم الإمام فیه بالنسبة إلی نوع القتل؛ ولأنّ قتله إلی الإمام وإن کان مباح الدم فی الجملة، کالزانی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فإن أمکن حَمَلَه، وإلّا ترک؛ للخبر </w:t>
      </w:r>
      <w:r>
        <w:rPr>
          <w:rStyle w:val="FootnoteAnchor"/>
          <w:rtl w:val="true"/>
        </w:rPr>
        <w:footnoteReference w:id="55"/>
      </w:r>
      <w:r>
        <w:rPr>
          <w:rFonts w:ascii="IRNazanin" w:hAnsi="IRNazanin" w:eastAsia="IRNazanin"/>
          <w:color w:val="111111"/>
          <w:sz w:val="28"/>
          <w:sz w:val="28"/>
          <w:szCs w:val="28"/>
          <w:rtl w:val="true"/>
          <w:lang w:bidi="fa-IR"/>
        </w:rPr>
        <w:t>ولو بدر مسلم فقتله فلا قصاص ولا دیة ولا کفّارة، وإن أثم، وکذا لو قتله من غیر 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ویعتبر البلوغ بالإنبات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العلم بغیره من العلامات غالباً، وإلّا فلو اتّفق العلم به بها کفی، وکذا یقبل إقراره بالاحتلام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الأسیر استعجال إنباته بالدواء فالأقرب القبول؛ للشبهة الدارئة للقتل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 ینقل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أموال المشرکین، کالأرض والمساکن والشجر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المجاهدون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والمنقول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یجعلها الإمام للمصالح، کالدلیل علی طریق أو عورة وما یلحق الغنیمة من مؤونة حفظ ونقل وغیرهما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هنا العطاء الذی لا یبلغ سهم من یُعطاه لو کان</w:t>
      </w:r>
    </w:p>
    <w:p>
      <w:pPr>
        <w:pStyle w:val="BookText"/>
        <w:rPr/>
      </w:pPr>
      <w:r>
        <w:rPr>
          <w:rFonts w:ascii="IRNazanin" w:hAnsi="IRNazanin" w:eastAsia="IRNazanin"/>
          <w:color w:val="111111"/>
          <w:sz w:val="28"/>
          <w:sz w:val="28"/>
          <w:szCs w:val="28"/>
          <w:rtl w:val="true"/>
          <w:lang w:bidi="fa-IR"/>
        </w:rPr>
        <w:t>مستحقّاً للسهم، کالمرأة والخنثی والعبد والکافر إذا عاونوا، فإنّ الإمام علیه السلام یعطیهم من الغنیمة بحسب ما یراه من المصلحة بحسب 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الترتیب الذکری أنّ الرضخ مقدَّم علیه، وهو أحد الأقوال فی المسألة </w:t>
      </w:r>
      <w:r>
        <w:rPr>
          <w:rStyle w:val="FootnoteAnchor"/>
          <w:rtl w:val="true"/>
        </w:rPr>
        <w:footnoteReference w:id="57"/>
      </w:r>
      <w:r>
        <w:rPr>
          <w:rFonts w:ascii="IRNazanin" w:hAnsi="IRNazanin" w:eastAsia="IRNazanin"/>
          <w:color w:val="111111"/>
          <w:sz w:val="28"/>
          <w:sz w:val="28"/>
          <w:szCs w:val="28"/>
          <w:rtl w:val="true"/>
          <w:lang w:bidi="fa-IR"/>
        </w:rPr>
        <w:t xml:space="preserve">والأقوی أنّ الخمس بعد الجعائل وقبل الرضخ، وهو اختیاره فی الدروس </w:t>
      </w:r>
      <w:r>
        <w:rPr>
          <w:rStyle w:val="FootnoteAnchor"/>
          <w:rtl w:val="true"/>
        </w:rPr>
        <w:footnoteReference w:id="58"/>
      </w:r>
      <w:r>
        <w:rPr>
          <w:rFonts w:ascii="IRNazanin" w:hAnsi="IRNazanin" w:eastAsia="IRNazanin"/>
          <w:color w:val="111111"/>
          <w:sz w:val="28"/>
          <w:sz w:val="28"/>
          <w:szCs w:val="28"/>
          <w:rtl w:val="true"/>
          <w:lang w:bidi="fa-IR"/>
        </w:rPr>
        <w:t>وعطفه هنا بالواو لا ینافیه، بناءً علی أ نّها لا تدلّ علی 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وأصله الزیادة، والمراد هنا زیادة الإمام لبعض الغانمین علی نصیبه شیئاً من الغنیمة لمصلحةٍ، کدلالة وإمارة وسریّة وتهجّم علی قِرن أو حصن وتجسّس حال، وغیرها ممّا فیه نکایة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یصطفیه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من فرس فاره وجاریة وسیف، ونحوها بحسب ما یختار، والتقیید بعدم الإجحاف ساقط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علیه تقدیم السَلَب المشروط للقاتل، وهو ثیاب القتیل والخفّ، وآلات الحرب کدرع وسلاح ومرکوب وسرج ولجام وسوار ومِنطَقَة وخاتم ونفقة معه وجنیبة </w:t>
      </w:r>
      <w:r>
        <w:rPr>
          <w:rStyle w:val="FootnoteAnchor"/>
          <w:rtl w:val="true"/>
        </w:rPr>
        <w:footnoteReference w:id="59"/>
      </w:r>
      <w:r>
        <w:rPr>
          <w:rFonts w:ascii="IRNazanin" w:hAnsi="IRNazanin" w:eastAsia="IRNazanin"/>
          <w:color w:val="111111"/>
          <w:sz w:val="28"/>
          <w:sz w:val="28"/>
          <w:szCs w:val="28"/>
          <w:rtl w:val="true"/>
          <w:lang w:bidi="fa-IR"/>
        </w:rPr>
        <w:t>تقاد معه، لا حقیبة مشدودة علی الفرس بما فیها من الامتعة والدراهم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اُخرج جمیع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المقاتلة ومن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القتال لیقاتِل وإن لم یقاتِل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من أولاد المقاتلین، دون غیرهم ممّن حضر لصنعة أو حرفة، کالبیطار والبقّال والسائس والحافظ إذا لم یقاتلوا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بعد الحیازة وقبل القسمة، وکذا المدد الواصل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لیقاتل معهم فلم یدرک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حین إذ یکون وصوله بعد الحیازة قبل القسمة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للفارس 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لیس له فرس سواء کان راجلاً أم راکباً غیر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ولذی الأفراس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قاتلوا فی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یحتاجوا إلی أفراسهم، لصدق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الکلفة علیهم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یُسهم للمخذِّل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یُجبِّن عن القتال ویُخوّف عن لقاء الأبطال ولو بالشبهات الواضحة والقرائن اللائحة، فإنّ مثل ذلک ینبغی إلقاؤه إلی الإمام أو الأمیر إن کان فیه صلاح، لا إظهاره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یذکر قوّة المشرکین وکثرتهم بحیث یؤدّی إلی الخذلان، والظاهر أ نّه أخصّ من المخذِّل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یُسهم له فأولی أن لا یُسهم لفرسه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للقَحم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وسکون الحاء، وهو الکبیر الهَرِم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الضاد المعجمة والراء، وهو الصغیر الذی لا یصلح للرکوب، أو الضعیف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وکسر الطاء، وهو الذی ینکس من الهُزال </w:t>
      </w:r>
      <w:r>
        <w:rPr>
          <w:rStyle w:val="FootnoteAnchor"/>
          <w:rtl w:val="true"/>
        </w:rPr>
        <w:footnoteReference w:id="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ثم الزاء بعد الألف ثم الحاء المهملة،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الهالک هُزالاً </w:t>
      </w:r>
      <w:r>
        <w:rPr>
          <w:rStyle w:val="FootnoteAnchor"/>
          <w:rtl w:val="true"/>
        </w:rPr>
        <w:footnoteReference w:id="63"/>
      </w:r>
      <w:r>
        <w:rPr>
          <w:rFonts w:ascii="Amiri" w:hAnsi="Amiri" w:eastAsia="Amiri" w:cs="Amiri"/>
          <w:color w:val="111111"/>
          <w:sz w:val="28"/>
          <w:sz w:val="28"/>
          <w:szCs w:val="28"/>
          <w:rtl w:val="true"/>
          <w:lang w:bidi="ar-SA"/>
        </w:rPr>
        <w:t>وفی مجمل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أعیی </w:t>
      </w:r>
      <w:r>
        <w:rPr>
          <w:rStyle w:val="FootnoteAnchor"/>
          <w:rtl w:val="true"/>
        </w:rPr>
        <w:footnoteReference w:id="64"/>
      </w:r>
      <w:r>
        <w:rPr>
          <w:rFonts w:ascii="IRNazanin" w:hAnsi="IRNazanin" w:eastAsia="IRNazanin"/>
          <w:color w:val="111111"/>
          <w:sz w:val="28"/>
          <w:sz w:val="28"/>
          <w:szCs w:val="28"/>
          <w:rtl w:val="true"/>
          <w:lang w:bidi="fa-IR"/>
        </w:rPr>
        <w:t xml:space="preserve">والمراد هنا الذی لا یقوی بصاحبه علی القتال، لهُزال علی الأوّل، أو إعیاء علی الثانی، الکائن فی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الخیل</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یُسهم للجمیع </w:t>
      </w:r>
      <w:r>
        <w:rPr>
          <w:rStyle w:val="FootnoteAnchor"/>
          <w:rtl w:val="true"/>
        </w:rPr>
        <w:footnoteReference w:id="65"/>
      </w:r>
      <w:r>
        <w:rPr>
          <w:rFonts w:ascii="IRNazanin" w:hAnsi="IRNazanin" w:eastAsia="IRNazanin"/>
          <w:color w:val="111111"/>
          <w:sz w:val="28"/>
          <w:sz w:val="28"/>
          <w:szCs w:val="28"/>
          <w:rtl w:val="true"/>
          <w:lang w:bidi="fa-IR"/>
        </w:rPr>
        <w:t>لصدق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ببعید</w:t>
      </w:r>
      <w:r>
        <w:rPr>
          <w:rFonts w:eastAsia="IRNazanin" w:cs="IRNazanin"/>
          <w:color w:val="111111"/>
          <w:sz w:val="28"/>
          <w:szCs w:val="28"/>
          <w:rtl w:val="true"/>
          <w:lang w:bidi="fa-IR"/>
        </w:rPr>
        <w:t>.</w:t>
      </w:r>
      <w:bookmarkStart w:id="26" w:name="pg19812_249214"/>
    </w:p>
    <w:p>
      <w:pPr>
        <w:pStyle w:val="Heading4"/>
        <w:numPr>
          <w:ilvl w:val="3"/>
          <w:numId w:val="1"/>
        </w:numPr>
        <w:rPr/>
      </w:pPr>
      <w:bookmarkStart w:id="27" w:name="__RefHeading___Toc2092774_2314609296"/>
      <w:bookmarkStart w:id="28" w:name="_Toc10"/>
      <w:bookmarkEnd w:id="26"/>
      <w:bookmarkEnd w:id="27"/>
      <w:r>
        <w:rPr>
          <w:rtl w:val="true"/>
        </w:rPr>
        <w:t>«</w:t>
      </w:r>
      <w:r>
        <w:rPr>
          <w:rtl w:val="true"/>
        </w:rPr>
        <w:t>الفصل الرابع</w:t>
      </w:r>
      <w:r>
        <w:rPr>
          <w:rtl w:val="true"/>
        </w:rPr>
        <w:t>» «</w:t>
      </w:r>
      <w:r>
        <w:rPr>
          <w:rtl w:val="true"/>
        </w:rPr>
        <w:t>فی أحکام البغاة</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Style w:val="FootnoteAnchor"/>
          <w:rtl w:val="true"/>
        </w:rPr>
        <w:footnoteReference w:id="66"/>
      </w:r>
      <w:r>
        <w:rPr>
          <w:rFonts w:ascii="IRNazanin" w:hAnsi="IRNazanin" w:eastAsia="IRNazanin"/>
          <w:color w:val="111111"/>
          <w:sz w:val="28"/>
          <w:sz w:val="28"/>
          <w:szCs w:val="28"/>
          <w:rtl w:val="true"/>
          <w:lang w:bidi="fa-IR"/>
        </w:rPr>
        <w:t>خرج علی المعصوم من الأئمة علیهم السلام فهو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کان، کابن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أکثر، کأهل الجمل وصفّین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ندب إلیه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یرجع إلی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کقتال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 علی الکفایة، ووجوب الثبات له، وباقی الأحکام السالفة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کأصحاب الجمل ومعاویة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یُجهَز علی جریحهم ویُتبع مُدبِرهم ویُقتل أسیرهم</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یُتبع لهم مُدبر أو یُقتل لهم أسیر أو یُجهز علی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تُسبی نساء الفریقین ولا ذراریهم فی المشهور، ولا تُملک أموالهم التی لم یحوها العسکر إجماعاً وإن کانت ممّا یُنقل ویُحوَّل، ولا ما حواه العسکر إذا رجعوا إلی طاعة الإمام، وإنّما الخلاف فی قسمة أموالهم التی حواها العسکر مع إصرارهم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والأصحّ عدم قسمة أموالهم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بسیرة علیّ علیه السلام فی أهل البصرة، فإنّه أمر بردّ أموالهم، فاُخذت حتّی القِدر کفأها صاحبُها لمّا عرفها ولم یصبر علی أربابها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المصنّف فی خمس الدروس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قسمته کقسمة الغنیمة عملاً بسیرة علیّ علیه السلام المذکورة، فإنّه قسّمها أوّلاً بین المقاتلین ثمّ أمر بردّها </w:t>
      </w:r>
      <w:r>
        <w:rPr>
          <w:rStyle w:val="FootnoteAnchor"/>
          <w:rtl w:val="true"/>
        </w:rPr>
        <w:footnoteReference w:id="69"/>
      </w:r>
      <w:r>
        <w:rPr>
          <w:rFonts w:ascii="IRNazanin" w:hAnsi="IRNazanin" w:eastAsia="IRNazanin"/>
          <w:color w:val="111111"/>
          <w:sz w:val="28"/>
          <w:sz w:val="28"/>
          <w:szCs w:val="28"/>
          <w:rtl w:val="true"/>
          <w:lang w:bidi="fa-IR"/>
        </w:rPr>
        <w:t>ولولا جوازه لما فعله أوّلاً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الحال وفحوی الأخبار أنّ ردّها علی طریق المنّ </w:t>
      </w:r>
      <w:r>
        <w:rPr>
          <w:rStyle w:val="FootnoteAnchor"/>
          <w:rtl w:val="true"/>
        </w:rPr>
        <w:footnoteReference w:id="70"/>
      </w:r>
      <w:r>
        <w:rPr>
          <w:rFonts w:ascii="IRNazanin" w:hAnsi="IRNazanin" w:eastAsia="IRNazanin"/>
          <w:color w:val="111111"/>
          <w:sz w:val="28"/>
          <w:sz w:val="28"/>
          <w:szCs w:val="28"/>
          <w:rtl w:val="true"/>
          <w:lang w:bidi="fa-IR"/>
        </w:rPr>
        <w:t xml:space="preserve">لا الاستحقاق، کما منّ النبی صلی الله علیه و آله علی کثیر من المشرکین، بل ذهب بعض الأصحاب إلی جواز استرقاقهم </w:t>
      </w:r>
      <w:r>
        <w:rPr>
          <w:rStyle w:val="FootnoteAnchor"/>
          <w:rtl w:val="true"/>
        </w:rPr>
        <w:footnoteReference w:id="71"/>
      </w:r>
      <w:r>
        <w:rPr>
          <w:rFonts w:ascii="IRNazanin" w:hAnsi="IRNazanin" w:eastAsia="IRNazanin"/>
          <w:color w:val="111111"/>
          <w:sz w:val="28"/>
          <w:sz w:val="28"/>
          <w:szCs w:val="28"/>
          <w:rtl w:val="true"/>
          <w:lang w:bidi="fa-IR"/>
        </w:rPr>
        <w:t>لمفهوم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مننت علی أهل البصرة کما منّ النبی صلی الله علیه و آله علی أهل مکة</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وقد کان له صلی الله علیه و آله أن یسبی، فکذا الإمام، وهو شاذّ</w:t>
      </w:r>
      <w:r>
        <w:rPr>
          <w:rFonts w:eastAsia="IRNazanin" w:cs="IRNazanin"/>
          <w:color w:val="111111"/>
          <w:sz w:val="28"/>
          <w:szCs w:val="28"/>
          <w:rtl w:val="true"/>
          <w:lang w:bidi="fa-IR"/>
        </w:rPr>
        <w:t>.</w:t>
      </w:r>
      <w:bookmarkStart w:id="29" w:name="pg19812_249216"/>
    </w:p>
    <w:p>
      <w:pPr>
        <w:pStyle w:val="Heading4"/>
        <w:numPr>
          <w:ilvl w:val="3"/>
          <w:numId w:val="1"/>
        </w:numPr>
        <w:rPr/>
      </w:pPr>
      <w:bookmarkStart w:id="30" w:name="__RefHeading___Toc2092776_2314609296"/>
      <w:bookmarkStart w:id="31" w:name="_Toc11"/>
      <w:bookmarkEnd w:id="29"/>
      <w:bookmarkEnd w:id="30"/>
      <w:r>
        <w:rPr>
          <w:rtl w:val="true"/>
        </w:rPr>
        <w:t>«</w:t>
      </w:r>
      <w:r>
        <w:rPr>
          <w:rtl w:val="true"/>
        </w:rPr>
        <w:t>الفصل الخامس</w:t>
      </w:r>
      <w:r>
        <w:rPr>
          <w:rtl w:val="true"/>
        </w:rPr>
        <w:t>» «</w:t>
      </w:r>
      <w:r>
        <w:rPr>
          <w:rtl w:val="true"/>
        </w:rPr>
        <w:t>فی الأمر بالمعروف</w:t>
      </w:r>
      <w:r>
        <w:rPr>
          <w:rtl w:val="true"/>
        </w:rPr>
        <w:t>»</w:t>
      </w:r>
      <w:bookmarkEnd w:id="31"/>
    </w:p>
    <w:p>
      <w:pPr>
        <w:pStyle w:val="Heading5"/>
        <w:numPr>
          <w:ilvl w:val="4"/>
          <w:numId w:val="1"/>
        </w:numPr>
        <w:rPr/>
      </w:pPr>
      <w:bookmarkStart w:id="32" w:name="__RefHeading___Toc2092778_2314609296"/>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وهو الحمل علی الطاعة قولاً أو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المنع من فعل المعاصی قولاً أو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واجبان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 القولین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 نّهما لطف وهو واجب علی مقتضی قواعد العدل، ولایلزم من ذلک وجوبهما علی اللّٰه تعالی اللازم منه خلاف الواقع إن قام به، أو الإخلال بحکمته تعالی إن لم یقم، لاستلزام القیام به علی هذا الوجه الإلجاء الممتنع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اختلاف الواجب باختلاف محالّه، خصوصاً مع ظهور المانع، فیکون الواجب فی حقّه تعالی الإنذار والتخویف بالمخالفة لئلّا یبطل التکلیف، وقد فعل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فکثیر فی الکتاب والسنّة،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w:t>
      </w:r>
    </w:p>
    <w:p>
      <w:pPr>
        <w:pStyle w:val="BookText"/>
        <w:rPr/>
      </w:pPr>
      <w:r>
        <w:rPr>
          <w:rFonts w:ascii="Amiri" w:hAnsi="Amiri" w:eastAsia="Amiri" w:cs="Amiri"/>
          <w:color w:val="111111"/>
          <w:sz w:val="28"/>
          <w:sz w:val="28"/>
          <w:szCs w:val="28"/>
          <w:rtl w:val="true"/>
          <w:lang w:bidi="ar-SA"/>
        </w:rPr>
        <w:t>یَدْعُونَ إِلَی اَلْخَیْرِ وَ یَأْمُرُونَ بِالْمَعْرُوفِ وَ یَنْهَوْنَ عَنِ اَلْمُنْکَرِ</w:t>
      </w:r>
      <w:r>
        <w:rPr>
          <w:rFonts w:eastAsia="Amiri" w:cs="Amiri" w:ascii="Amiri" w:hAnsi="Amiri"/>
          <w:color w:val="111111"/>
          <w:sz w:val="28"/>
          <w:szCs w:val="28"/>
          <w:rtl w:val="true"/>
          <w:lang w:bidi="ar-SA"/>
        </w:rPr>
        <w:t xml:space="preserve">. . .) </w:t>
      </w:r>
      <w:r>
        <w:rPr>
          <w:rStyle w:val="FootnoteAnchor"/>
          <w:rtl w:val="true"/>
        </w:rPr>
        <w:footnoteReference w:id="74"/>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المنکر، أو لیسلّطنّ اللّٰه شرارکم علی خیارکم فیدعوا خیارکم فلا یستجاب لهم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ومن طرق أهل البیت علیهم السلام فیه ما یقصم الظهور، فلیقف علیه من أراده فی الکافی </w:t>
      </w:r>
      <w:r>
        <w:rPr>
          <w:rStyle w:val="FootnoteAnchor"/>
          <w:rtl w:val="true"/>
        </w:rPr>
        <w:footnoteReference w:id="76"/>
      </w:r>
      <w:r>
        <w:rPr>
          <w:rFonts w:ascii="IRNazanin" w:hAnsi="IRNazanin" w:eastAsia="IRNazanin"/>
          <w:color w:val="111111"/>
          <w:sz w:val="28"/>
          <w:sz w:val="28"/>
          <w:szCs w:val="28"/>
          <w:rtl w:val="true"/>
          <w:lang w:bidi="fa-IR"/>
        </w:rPr>
        <w:t xml:space="preserve">وغیره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ووجوبهما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أجود القولین </w:t>
      </w:r>
      <w:r>
        <w:rPr>
          <w:rStyle w:val="FootnoteAnchor"/>
          <w:rtl w:val="true"/>
        </w:rPr>
        <w:footnoteReference w:id="78"/>
      </w:r>
      <w:r>
        <w:rPr>
          <w:rFonts w:ascii="IRNazanin" w:hAnsi="IRNazanin" w:eastAsia="IRNazanin"/>
          <w:color w:val="111111"/>
          <w:sz w:val="28"/>
          <w:sz w:val="28"/>
          <w:szCs w:val="28"/>
          <w:rtl w:val="true"/>
          <w:lang w:bidi="fa-IR"/>
        </w:rPr>
        <w:t>للآیة السابقة، ولأنّ الغرض شرعاً وقوع المعروف وارتفاع المنکر من غیر اعتبار مباشر معیّن، فإذا حصلا ارتفع، وهو معنی 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علی کونه عینیّاً بالعمومات غیر کافٍ؛ للتوفیق </w:t>
      </w:r>
      <w:r>
        <w:rPr>
          <w:rStyle w:val="FootnoteAnchor"/>
          <w:rtl w:val="true"/>
        </w:rPr>
        <w:footnoteReference w:id="79"/>
      </w:r>
      <w:r>
        <w:rPr>
          <w:rFonts w:ascii="IRNazanin" w:hAnsi="IRNazanin" w:eastAsia="IRNazanin"/>
          <w:color w:val="111111"/>
          <w:sz w:val="28"/>
          <w:sz w:val="28"/>
          <w:szCs w:val="28"/>
          <w:rtl w:val="true"/>
          <w:lang w:bidi="fa-IR"/>
        </w:rPr>
        <w:t>، ولأنّ الواجب الکفائی یخاطب به جمیع المکلّفین کالعینی وإنّما یسقط عن البعض بقیام البعض، فجاز خطاب الجمیع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علی القولین فی سقوط الوجوب بعد حصول المطلوب؛ لفقد شرطه الذی منه إصرار العاصی، وإنّما تختلف فائدة القولین فی وجوب قیام الکلّ به قبل حصول الغرض وإن قام به من فیه الکفایة وعدمه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الأمر بالمندوب والنهی عن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ولایدخلان فی</w:t>
      </w:r>
      <w:bookmarkStart w:id="34" w:name="pg19812_249218"/>
    </w:p>
    <w:p>
      <w:pPr>
        <w:pStyle w:val="BookText"/>
        <w:rPr/>
      </w:pPr>
      <w:bookmarkEnd w:id="34"/>
      <w:r>
        <w:rPr>
          <w:rFonts w:ascii="IRNazanin" w:hAnsi="IRNazanin" w:eastAsia="IRNazanin"/>
          <w:color w:val="111111"/>
          <w:sz w:val="28"/>
          <w:sz w:val="28"/>
          <w:szCs w:val="28"/>
          <w:rtl w:val="true"/>
          <w:lang w:bidi="fa-IR"/>
        </w:rPr>
        <w:t>الأمر بالمعروف والنهی عن المنکر؛ لأنّهما واجبان فی الجملة إجماعاً، وهذان غیر واجبین، فلذا أفردهما عنهما، وإن أمکن تکلّف دخول المندوب فی المعروف؛ لکونه الفعل الحسن المشتمل علی وصف زائد علی حسنه من غیر اعتبار المنع من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النهی عن المکروه فلا یدخل فی أحدهما، أمّا المعروف فظاهر، وأمّا المنکر فلأ نّه الفعل القبیح الذی عرف فاعلُه قبحَه أو دُلَّ علیه، والمکروه لیس بقبیح</w:t>
      </w:r>
      <w:r>
        <w:rPr>
          <w:rFonts w:eastAsia="IRNazanin" w:cs="IRNazanin"/>
          <w:color w:val="111111"/>
          <w:sz w:val="28"/>
          <w:szCs w:val="28"/>
          <w:rtl w:val="true"/>
          <w:lang w:bidi="fa-IR"/>
        </w:rPr>
        <w:t>.</w:t>
      </w:r>
    </w:p>
    <w:p>
      <w:pPr>
        <w:pStyle w:val="Heading5"/>
        <w:numPr>
          <w:ilvl w:val="4"/>
          <w:numId w:val="1"/>
        </w:numPr>
        <w:rPr/>
      </w:pPr>
      <w:bookmarkStart w:id="35" w:name="__RefHeading___Toc2092780_2314609296"/>
      <w:bookmarkStart w:id="36" w:name="_Toc13"/>
      <w:bookmarkEnd w:id="35"/>
      <w:r>
        <w:rPr>
          <w:rtl w:val="true"/>
        </w:rPr>
        <w:t>[</w:t>
      </w:r>
      <w:r>
        <w:rPr>
          <w:rtl w:val="true"/>
        </w:rPr>
        <w:t>شروط وجوبهما</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یجبان مع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الآمر والناهی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لئلّا یأمر بمنکر أو ینهی عن معروف، والمراد، العلم هنا بالمعنی الأعمّ </w:t>
      </w:r>
      <w:r>
        <w:rPr>
          <w:rStyle w:val="FootnoteAnchor"/>
          <w:rtl w:val="true"/>
        </w:rPr>
        <w:footnoteReference w:id="80"/>
      </w:r>
      <w:r>
        <w:rPr>
          <w:rFonts w:ascii="IRNazanin" w:hAnsi="IRNazanin" w:eastAsia="IRNazanin"/>
          <w:color w:val="111111"/>
          <w:sz w:val="28"/>
          <w:sz w:val="28"/>
          <w:szCs w:val="28"/>
          <w:rtl w:val="true"/>
          <w:lang w:bidi="fa-IR"/>
        </w:rPr>
        <w:t>لیشمل الدلیل الظنّی المنصوب علیه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وإصرار الفاعل أو التارک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منه الإقلاع والندم سقط الوجوب، بل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المصنّف فی الدروس </w:t>
      </w:r>
      <w:r>
        <w:rPr>
          <w:rStyle w:val="FootnoteAnchor"/>
          <w:rtl w:val="true"/>
        </w:rPr>
        <w:footnoteReference w:id="81"/>
      </w:r>
      <w:r>
        <w:rPr>
          <w:rFonts w:ascii="Amiri" w:hAnsi="Amiri" w:eastAsia="Amiri" w:cs="Amiri"/>
          <w:color w:val="111111"/>
          <w:sz w:val="28"/>
          <w:sz w:val="28"/>
          <w:szCs w:val="28"/>
          <w:rtl w:val="true"/>
          <w:lang w:bidi="ar-SA"/>
        </w:rPr>
        <w:t xml:space="preserve">وجماعة </w:t>
      </w:r>
      <w:r>
        <w:rPr>
          <w:rStyle w:val="FootnoteAnchor"/>
          <w:rtl w:val="true"/>
        </w:rPr>
        <w:footnoteReference w:id="82"/>
      </w:r>
      <w:r>
        <w:rPr>
          <w:rFonts w:ascii="IRNazanin" w:hAnsi="IRNazanin" w:eastAsia="IRNazanin"/>
          <w:color w:val="111111"/>
          <w:sz w:val="28"/>
          <w:sz w:val="28"/>
          <w:szCs w:val="28"/>
          <w:rtl w:val="true"/>
          <w:lang w:bidi="fa-IR"/>
        </w:rPr>
        <w:t>فی السقوط بظهور أمارة الندم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والأمنِ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المباشر أو علی بعض المؤمنین نفساً أو مالاً أو عرضاً، فبدونه یحرم أیضاً علی الأقوی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وتجویزِ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التأثیر عنده ممتنعاً، بل ممکناً بحسب ما یظهر له من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الوجوب ما لم یعلم عدم التأثیر وإن ظنّ عدمه؛ لأنّ التجویز قائم مع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إذ لا یترتّب علی فعله ضرر، فإن نجع، وإلّا فقد أدّی فرضه؛ إذ الفرض انتفاء الضرر</w:t>
      </w:r>
      <w:r>
        <w:rPr>
          <w:rFonts w:eastAsia="IRNazanin" w:cs="IRNazanin"/>
          <w:color w:val="111111"/>
          <w:sz w:val="28"/>
          <w:szCs w:val="28"/>
          <w:rtl w:val="true"/>
          <w:lang w:bidi="fa-IR"/>
        </w:rPr>
        <w:t>.</w:t>
      </w:r>
      <w:bookmarkStart w:id="37" w:name="pg19812_249219"/>
    </w:p>
    <w:p>
      <w:pPr>
        <w:pStyle w:val="BookText"/>
        <w:rPr/>
      </w:pPr>
      <w:bookmarkEnd w:id="37"/>
      <w:r>
        <w:rPr>
          <w:rFonts w:ascii="IRNazanin" w:hAnsi="IRNazanin" w:eastAsia="IRNazanin"/>
          <w:color w:val="111111"/>
          <w:sz w:val="28"/>
          <w:sz w:val="28"/>
          <w:szCs w:val="28"/>
          <w:rtl w:val="true"/>
          <w:lang w:bidi="fa-IR"/>
        </w:rPr>
        <w:t xml:space="preserve">واکتفی بعض الأصحاب فی سقوطه بظنّ العدم </w:t>
      </w:r>
      <w:r>
        <w:rPr>
          <w:rStyle w:val="FootnoteAnchor"/>
          <w:rtl w:val="true"/>
        </w:rPr>
        <w:footnoteReference w:id="83"/>
      </w:r>
      <w:r>
        <w:rPr>
          <w:rFonts w:ascii="IRNazanin" w:hAnsi="IRNazanin" w:eastAsia="IRNazanin"/>
          <w:color w:val="111111"/>
          <w:sz w:val="28"/>
          <w:sz w:val="28"/>
          <w:szCs w:val="28"/>
          <w:rtl w:val="true"/>
          <w:lang w:bidi="fa-IR"/>
        </w:rPr>
        <w:t>ولیس بجیّد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الشرط السابق، فإنّه یکفی فی سقوطه ظنّه؛ لأنّ الضرر المسوِّغ للتحرّز منه یکفی فیه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فالمرتفع مع فقد هذا الشرط الوجوب دون الجواز، بخلاف السابق</w:t>
      </w:r>
      <w:r>
        <w:rPr>
          <w:rFonts w:eastAsia="IRNazanin" w:cs="IRNazanin"/>
          <w:color w:val="111111"/>
          <w:sz w:val="28"/>
          <w:szCs w:val="28"/>
          <w:rtl w:val="true"/>
          <w:lang w:bidi="fa-IR"/>
        </w:rPr>
        <w:t>.</w:t>
      </w:r>
    </w:p>
    <w:p>
      <w:pPr>
        <w:pStyle w:val="Heading5"/>
        <w:numPr>
          <w:ilvl w:val="4"/>
          <w:numId w:val="1"/>
        </w:numPr>
        <w:rPr/>
      </w:pPr>
      <w:bookmarkStart w:id="38" w:name="__RefHeading___Toc2092782_2314609296"/>
      <w:bookmarkStart w:id="39" w:name="_Toc14"/>
      <w:bookmarkEnd w:id="38"/>
      <w:r>
        <w:rPr>
          <w:rtl w:val="true"/>
        </w:rPr>
        <w:t>[</w:t>
      </w:r>
      <w:r>
        <w:rPr>
          <w:rtl w:val="true"/>
        </w:rPr>
        <w:t xml:space="preserve">مراتب الانکار </w:t>
      </w:r>
      <w:r>
        <w:rPr>
          <w:rtl w:val="true"/>
        </w:rPr>
        <w:t>]</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فیبتدئ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بإظهار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والإعراض عن المرتکب متدرّجاً فیه أیضاً، فإنّ مراتبه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القول 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ینجع الإعراض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یؤثّر اللیِّن متدرّجاً فی الغلیظ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یؤثّر الکلام الغلیظ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ویتدرّج فی الضرب أیضاً علی حسب ما تقتضیه المصلحة ویناسب مقام الفعل، بحیث یکون الغرض تحصیل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التدرّج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یؤثّر الضرب ولا غیره من 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الجواز، ذهب إلیه المرتضی </w:t>
      </w:r>
      <w:r>
        <w:rPr>
          <w:rStyle w:val="FootnoteAnchor"/>
          <w:rtl w:val="true"/>
        </w:rPr>
        <w:footnoteReference w:id="84"/>
      </w:r>
      <w:r>
        <w:rPr>
          <w:rFonts w:ascii="IRNazanin" w:hAnsi="IRNazanin" w:eastAsia="IRNazanin"/>
          <w:color w:val="111111"/>
          <w:sz w:val="28"/>
          <w:sz w:val="28"/>
          <w:szCs w:val="28"/>
          <w:rtl w:val="true"/>
          <w:lang w:bidi="fa-IR"/>
        </w:rPr>
        <w:t xml:space="preserve">وتبعه العلّامة فی کثیر من کتبه </w:t>
      </w:r>
      <w:r>
        <w:rPr>
          <w:rStyle w:val="FootnoteAnchor"/>
          <w:rtl w:val="true"/>
        </w:rPr>
        <w:footnoteReference w:id="85"/>
      </w:r>
      <w:r>
        <w:rPr>
          <w:rFonts w:ascii="IRNazanin" w:hAnsi="IRNazanin" w:eastAsia="IRNazanin"/>
          <w:color w:val="111111"/>
          <w:sz w:val="28"/>
          <w:sz w:val="28"/>
          <w:szCs w:val="28"/>
          <w:rtl w:val="true"/>
          <w:lang w:bidi="fa-IR"/>
        </w:rPr>
        <w:t>لعموم الأوامر أو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یتمّ فی الجرح دون القتل، لفوات معنی الأمر والنهی معه؛ إذ الغرض ارتکاب المأمور وترک المنهیّ، وشرطه تجویز التأثیر، وهما منتفیان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الدروس تفویضهما إلی الإمام </w:t>
      </w:r>
      <w:r>
        <w:rPr>
          <w:rStyle w:val="FootnoteAnchor"/>
          <w:rtl w:val="true"/>
        </w:rPr>
        <w:footnoteReference w:id="86"/>
      </w:r>
      <w:r>
        <w:rPr>
          <w:rFonts w:ascii="IRNazanin" w:hAnsi="IRNazanin" w:eastAsia="IRNazanin"/>
          <w:color w:val="111111"/>
          <w:sz w:val="28"/>
          <w:sz w:val="28"/>
          <w:szCs w:val="28"/>
          <w:rtl w:val="true"/>
          <w:lang w:bidi="fa-IR"/>
        </w:rPr>
        <w:t>وهو حسن فی القتل خاصّة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الإنکار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یُوجَد فیه إرادة المعروف وکراهة</w:t>
      </w:r>
      <w:bookmarkStart w:id="40" w:name="pg19812_249220"/>
    </w:p>
    <w:p>
      <w:pPr>
        <w:pStyle w:val="BookText"/>
        <w:rPr/>
      </w:pPr>
      <w:bookmarkEnd w:id="40"/>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اجتمعت الشرائط أم لا، وسواء أمر أو نهی بغیره من المراتب أم لا؛ لأنّ الإنکار القلبی بهذا المعنی من مقتضی الإیمان ولا تلحقه مفسدة، ومع ذلک لا یدخل فی قسمی الأمر والنهی، وإنّما هو حکم یختصّ </w:t>
      </w:r>
      <w:r>
        <w:rPr>
          <w:rStyle w:val="FootnoteAnchor"/>
          <w:rtl w:val="true"/>
        </w:rPr>
        <w:footnoteReference w:id="87"/>
      </w:r>
      <w:r>
        <w:rPr>
          <w:rFonts w:ascii="IRNazanin" w:hAnsi="IRNazanin" w:eastAsia="IRNazanin"/>
          <w:color w:val="111111"/>
          <w:sz w:val="28"/>
          <w:sz w:val="28"/>
          <w:szCs w:val="28"/>
          <w:rtl w:val="true"/>
          <w:lang w:bidi="fa-IR"/>
        </w:rPr>
        <w:t>بمن اطّلع علی ما یخالف الشرع بإیجاد الواجب علیه من الاعتقاد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تجوّز کثیر من الأصحاب فی جعلهم هذا القسم من مراتب الأمر والنهی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2092784_2314609296"/>
      <w:bookmarkStart w:id="42" w:name="_Toc15"/>
      <w:bookmarkEnd w:id="41"/>
      <w:r>
        <w:rPr>
          <w:rtl w:val="true"/>
        </w:rPr>
        <w:t>[</w:t>
      </w:r>
      <w:r>
        <w:rPr>
          <w:rtl w:val="true"/>
        </w:rPr>
        <w:t>حکم اقامة الحدود فی زمن الغیبة</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للفقهاء حال الغیبة إقامة الحدود مع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الضرر علی أنفسهم وغیرهم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یجوز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الحقوق بالبیّنة والیمین وغیرهما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اتّصافهم بصفات المفتی، وهی الإیمان والعدالة ومعرفة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الشرعیّة الفرعیّة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والقدرة علی ردّ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والقواعد الکلّیة التی هی أدلّة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الحکم بالدلیل یغنی عن هذا لاستلزامه له، وذکره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بالأحکام العموم، بمعنی التهیؤ لمعرفتها بالدلیل إن لم نجوّز تجزّی الاجتهاد، أو الأحکام المتعلّقة بما یحتاج إلیه من الفتوی والحکم إن جوّزناه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المصنّف جوازه </w:t>
      </w:r>
      <w:r>
        <w:rPr>
          <w:rStyle w:val="FootnoteAnchor"/>
          <w:rtl w:val="true"/>
        </w:rPr>
        <w:footnoteReference w:id="89"/>
      </w:r>
      <w:r>
        <w:rPr>
          <w:rFonts w:ascii="Amiri" w:hAnsi="Amiri" w:eastAsia="Amiri" w:cs="Amiri"/>
          <w:color w:val="111111"/>
          <w:sz w:val="28"/>
          <w:sz w:val="28"/>
          <w:szCs w:val="28"/>
          <w:rtl w:val="true"/>
          <w:lang w:bidi="ar-SA"/>
        </w:rPr>
        <w:t>وهو قویّ</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الترافع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یحتاجون إلیه من الأحکام فیعصی مؤثر المخالف ویفسق، ویجب علیهم أیضاً ذلک </w:t>
      </w:r>
      <w:r>
        <w:rPr>
          <w:rStyle w:val="FootnoteAnchor"/>
          <w:rtl w:val="true"/>
        </w:rPr>
        <w:footnoteReference w:id="90"/>
      </w:r>
      <w:r>
        <w:rPr>
          <w:rFonts w:ascii="IRNazanin" w:hAnsi="IRNazanin" w:eastAsia="IRNazanin"/>
          <w:color w:val="111111"/>
          <w:sz w:val="28"/>
          <w:sz w:val="28"/>
          <w:szCs w:val="28"/>
          <w:rtl w:val="true"/>
          <w:lang w:bidi="fa-IR"/>
        </w:rPr>
        <w:t>مع الأمن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ویأثم الرادّ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کالردّ علی نبیّهم صلی الله علیه و آله وأئمّتهم علیهم الصلاة والسلام وعلی اللّٰه تعالی، وهو علی حدّ الکفر باللّٰه علی ما رود فی الخبر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فُهم من تجویز ذلک للفقهاء المستدلّین عدمُ جوازه لغیرهم من المقلّدین، وبهذا المفهوم صرّح المصنّف </w:t>
      </w:r>
      <w:r>
        <w:rPr>
          <w:rStyle w:val="FootnoteAnchor"/>
          <w:rtl w:val="true"/>
        </w:rPr>
        <w:footnoteReference w:id="92"/>
      </w:r>
      <w:r>
        <w:rPr>
          <w:rFonts w:ascii="IRNazanin" w:hAnsi="IRNazanin" w:eastAsia="IRNazanin"/>
          <w:color w:val="111111"/>
          <w:sz w:val="28"/>
          <w:sz w:val="28"/>
          <w:szCs w:val="28"/>
          <w:rtl w:val="true"/>
          <w:lang w:bidi="fa-IR"/>
        </w:rPr>
        <w:t xml:space="preserve">وغیره </w:t>
      </w:r>
      <w:r>
        <w:rPr>
          <w:rStyle w:val="FootnoteAnchor"/>
          <w:rtl w:val="true"/>
        </w:rPr>
        <w:footnoteReference w:id="93"/>
      </w:r>
      <w:r>
        <w:rPr>
          <w:rFonts w:ascii="IRNazanin" w:hAnsi="IRNazanin" w:eastAsia="IRNazanin"/>
          <w:color w:val="111111"/>
          <w:sz w:val="28"/>
          <w:sz w:val="28"/>
          <w:szCs w:val="28"/>
          <w:rtl w:val="true"/>
          <w:lang w:bidi="fa-IR"/>
        </w:rPr>
        <w:t>قاطعین به من غیر نقل خلاف فی ذلک، سواء قلّد حیّاً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لمقلّد الفقیه الحیّ نقل الأحکام إلی غیره، وذلک لا یُعدّ 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الحکم فیمتنع مطلقاً </w:t>
      </w:r>
      <w:r>
        <w:rPr>
          <w:rStyle w:val="FootnoteAnchor"/>
          <w:rtl w:val="true"/>
        </w:rPr>
        <w:footnoteReference w:id="94"/>
      </w:r>
      <w:r>
        <w:rPr>
          <w:rFonts w:ascii="IRNazanin" w:hAnsi="IRNazanin" w:eastAsia="IRNazanin"/>
          <w:color w:val="111111"/>
          <w:sz w:val="28"/>
          <w:sz w:val="28"/>
          <w:szCs w:val="28"/>
          <w:rtl w:val="true"/>
          <w:lang w:bidi="fa-IR"/>
        </w:rPr>
        <w:t>للإجماع علی اشتراط أهلیّة الفتوی فی الحاکم حالَ حضور الإمام وغیبته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للزوج إقامة الحدّ علی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دواماً ومتعة مدخولاً بها وغیره، حرّین أو عبدین أو بالتفریق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والوالد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رقیقه مطلقاً فیجتمع علی الأمة ذات الأب المزوّجة ولایة الثلاثة، سواء فی ذلک الجلد والرجم والقطع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العلم بموجبه مشاهدة أو إقراراً من أهله، لا بالبیّنة، فإنّها من وظائف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کونها ممّا یثبت بها ذلک عند الحاکم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فی المولی مشهور بین الأصحاب لم یخالف فیه إلّاالشاذّ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وأمّا الآخران فذکره </w:t>
      </w:r>
      <w:r>
        <w:rPr>
          <w:rStyle w:val="FootnoteAnchor"/>
          <w:rtl w:val="true"/>
        </w:rPr>
        <w:footnoteReference w:id="97"/>
      </w:r>
      <w:r>
        <w:rPr>
          <w:rFonts w:ascii="IRNazanin" w:hAnsi="IRNazanin" w:eastAsia="IRNazanin"/>
          <w:color w:val="111111"/>
          <w:sz w:val="28"/>
          <w:sz w:val="28"/>
          <w:szCs w:val="28"/>
          <w:rtl w:val="true"/>
          <w:lang w:bidi="fa-IR"/>
        </w:rPr>
        <w:t xml:space="preserve">الشیخ </w:t>
      </w:r>
      <w:r>
        <w:rPr>
          <w:rStyle w:val="FootnoteAnchor"/>
          <w:rtl w:val="true"/>
        </w:rPr>
        <w:footnoteReference w:id="98"/>
      </w:r>
      <w:r>
        <w:rPr>
          <w:rFonts w:ascii="Amiri" w:hAnsi="Amiri" w:eastAsia="Amiri" w:cs="Amiri"/>
          <w:color w:val="111111"/>
          <w:sz w:val="28"/>
          <w:sz w:val="28"/>
          <w:szCs w:val="28"/>
          <w:rtl w:val="true"/>
          <w:lang w:bidi="ar-SA"/>
        </w:rPr>
        <w:t xml:space="preserve">وتبعه جماعة منهم المصنّف </w:t>
      </w:r>
      <w:r>
        <w:rPr>
          <w:rStyle w:val="FootnoteAnchor"/>
          <w:rtl w:val="true"/>
        </w:rPr>
        <w:footnoteReference w:id="99"/>
      </w:r>
      <w:r>
        <w:rPr>
          <w:rFonts w:ascii="IRNazanin" w:hAnsi="IRNazanin" w:eastAsia="IRNazanin"/>
          <w:color w:val="111111"/>
          <w:sz w:val="28"/>
          <w:sz w:val="28"/>
          <w:szCs w:val="28"/>
          <w:rtl w:val="true"/>
          <w:lang w:bidi="fa-IR"/>
        </w:rPr>
        <w:t>ودلیله غیر واضح، وأصالة المنع تقتضی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المتولّی فقیهاً فلا شبهة فی الجواز، ویظهر من المختلف أنّ موضع النزاع معه لا بدونه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اضطرّه السلطان إلی إقامة حدّ أو قصاص ظلماً،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لحکمٍ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للمشروع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إلّاالقتل، فلا تقیّة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فی الجواز الجرح؛ لأنّ المرویّ أ نّه لا تقیّة فی قتل النفوس </w:t>
      </w:r>
      <w:r>
        <w:rPr>
          <w:rStyle w:val="FootnoteAnchor"/>
          <w:rtl w:val="true"/>
        </w:rPr>
        <w:footnoteReference w:id="102"/>
      </w:r>
      <w:r>
        <w:rPr>
          <w:rFonts w:ascii="IRNazanin" w:hAnsi="IRNazanin" w:eastAsia="IRNazanin"/>
          <w:color w:val="111111"/>
          <w:sz w:val="28"/>
          <w:sz w:val="28"/>
          <w:szCs w:val="28"/>
          <w:rtl w:val="true"/>
          <w:lang w:bidi="fa-IR"/>
        </w:rPr>
        <w:t>فهو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وألحقه الشیخ بالقتل مدّعیاً أ نّه لا تقیّة فی الدماء </w:t>
      </w:r>
      <w:r>
        <w:rPr>
          <w:rStyle w:val="FootnoteAnchor"/>
          <w:rtl w:val="true"/>
        </w:rPr>
        <w:footnoteReference w:id="103"/>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bookmarkStart w:id="43" w:name="pg19812_249224"/>
    </w:p>
    <w:p>
      <w:pPr>
        <w:pStyle w:val="Heading2"/>
        <w:numPr>
          <w:ilvl w:val="1"/>
          <w:numId w:val="1"/>
        </w:numPr>
        <w:rPr/>
      </w:pPr>
      <w:bookmarkStart w:id="44" w:name="__RefHeading___Toc2092786_2314609296"/>
      <w:bookmarkStart w:id="45" w:name="_Toc16"/>
      <w:bookmarkEnd w:id="43"/>
      <w:bookmarkEnd w:id="44"/>
      <w:r>
        <w:rPr>
          <w:rtl w:val="true"/>
        </w:rPr>
        <w:t>کتاب الکفّارات</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2092788_2314609296"/>
      <w:bookmarkStart w:id="47" w:name="_Toc17"/>
      <w:bookmarkEnd w:id="46"/>
      <w:r>
        <w:rPr>
          <w:rtl w:val="true"/>
        </w:rPr>
        <w:t>اشارة</w:t>
      </w:r>
      <w:bookmarkStart w:id="48" w:name="pg19812_249226"/>
      <w:bookmarkEnd w:id="47"/>
    </w:p>
    <w:p>
      <w:pPr>
        <w:pStyle w:val="Heading3"/>
        <w:numPr>
          <w:ilvl w:val="2"/>
          <w:numId w:val="1"/>
        </w:numPr>
        <w:rPr/>
      </w:pPr>
      <w:bookmarkStart w:id="49" w:name="__RefHeading___Toc2092790_2314609296"/>
      <w:bookmarkStart w:id="50" w:name="_Toc18"/>
      <w:bookmarkEnd w:id="48"/>
      <w:bookmarkEnd w:id="49"/>
      <w:r>
        <w:rPr>
          <w:rtl w:val="true"/>
        </w:rPr>
        <w:t>[</w:t>
      </w:r>
      <w:r>
        <w:rPr>
          <w:rtl w:val="true"/>
        </w:rPr>
        <w:t>اقسام الکفارات</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تنقسم إلی معیّنة کبعض کفّارات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یذکرها هنا اکتفاءً بما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مرتّبة، ومخیّرة، وما جمعت الوصفین، وکفّارة 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الظهار، وقتل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وخصالها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کفّارة الإفطار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تعذّر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إطعام الستّین لو تعذّر الصیام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من أفطر فی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بعد الزوال،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عشرة مساکین، ثم صیام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العجز عن الإطعام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أجود القولین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النذر والعهد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جعلناهما ککفّارة رمضان، کما هو أصحّ الأقوال روایة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کفّارة جزاء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الثلاث الاُولی من الثلاثة الاُول </w:t>
      </w:r>
      <w:r>
        <w:rPr>
          <w:rStyle w:val="FootnoteAnchor"/>
          <w:rtl w:val="true"/>
        </w:rPr>
        <w:footnoteReference w:id="107"/>
      </w:r>
      <w:r>
        <w:rPr>
          <w:rFonts w:ascii="IRNazanin" w:hAnsi="IRNazanin" w:eastAsia="IRNazanin"/>
          <w:color w:val="111111"/>
          <w:sz w:val="28"/>
          <w:sz w:val="28"/>
          <w:szCs w:val="28"/>
          <w:rtl w:val="true"/>
          <w:lang w:bidi="fa-IR"/>
        </w:rPr>
        <w:t xml:space="preserve">ممّا ذکر فی الکفّارات، لا مطلق 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مرتَّب أو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اختار فیما سبق الترتیب </w:t>
      </w:r>
      <w:r>
        <w:rPr>
          <w:rStyle w:val="FootnoteAnchor"/>
          <w:rtl w:val="true"/>
        </w:rPr>
        <w:footnoteReference w:id="108"/>
      </w:r>
      <w:r>
        <w:rPr>
          <w:rFonts w:ascii="IRNazanin" w:hAnsi="IRNazanin" w:eastAsia="IRNazanin"/>
          <w:color w:val="111111"/>
          <w:sz w:val="28"/>
          <w:sz w:val="28"/>
          <w:szCs w:val="28"/>
          <w:rtl w:val="true"/>
          <w:lang w:bidi="fa-IR"/>
        </w:rPr>
        <w:t>وهو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ومبنی الخلاف علی دلالة ظاهر الآیة </w:t>
      </w:r>
      <w:r>
        <w:rPr>
          <w:rStyle w:val="FootnoteAnchor"/>
          <w:rtl w:val="true"/>
        </w:rPr>
        <w:footnoteReference w:id="109"/>
      </w:r>
      <w:r>
        <w:rPr>
          <w:rFonts w:ascii="IRNazanin" w:hAnsi="IRNazanin" w:eastAsia="IRNazanin"/>
          <w:color w:val="111111"/>
          <w:sz w:val="28"/>
          <w:sz w:val="28"/>
          <w:szCs w:val="28"/>
          <w:rtl w:val="true"/>
          <w:lang w:bidi="fa-IR"/>
        </w:rPr>
        <w:t xml:space="preserve">العاطفة للخصال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التخییر، ودلالة الخبر علی أنّ ما فی القرآن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التخییر </w:t>
      </w:r>
      <w:r>
        <w:rPr>
          <w:rStyle w:val="FootnoteAnchor"/>
          <w:rtl w:val="true"/>
        </w:rPr>
        <w:footnoteReference w:id="110"/>
      </w:r>
      <w:r>
        <w:rPr>
          <w:rFonts w:ascii="IRNazanin" w:hAnsi="IRNazanin" w:eastAsia="IRNazanin"/>
          <w:color w:val="111111"/>
          <w:sz w:val="28"/>
          <w:sz w:val="28"/>
          <w:szCs w:val="28"/>
          <w:rtl w:val="true"/>
          <w:lang w:bidi="fa-IR"/>
        </w:rPr>
        <w:t xml:space="preserve">وعلی ما روی نصّاً من أ نّها علی الترتیب </w:t>
      </w:r>
      <w:r>
        <w:rPr>
          <w:rStyle w:val="FootnoteAnchor"/>
          <w:rtl w:val="true"/>
        </w:rPr>
        <w:footnoteReference w:id="111"/>
      </w:r>
      <w:r>
        <w:rPr>
          <w:rFonts w:ascii="Amiri" w:hAnsi="Amiri" w:eastAsia="Amiri" w:cs="Amiri"/>
          <w:color w:val="111111"/>
          <w:sz w:val="28"/>
          <w:sz w:val="28"/>
          <w:szCs w:val="28"/>
          <w:rtl w:val="true"/>
          <w:lang w:bidi="ar-SA"/>
        </w:rPr>
        <w:t>وهو مقدّم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جمعت الوصفین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عشرة مساکین، أو کسوتهم، أو 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بین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فصیام ثلاثة أیّام</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وکفّارة الجمع لقتل المؤمن عمداً ظلماً، وهی عتق رقبة وصیام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الإفطار فی شهر</w:t>
      </w:r>
      <w:bookmarkStart w:id="51" w:name="pg19812_249228"/>
    </w:p>
    <w:p>
      <w:pPr>
        <w:pStyle w:val="BookText"/>
        <w:rPr/>
      </w:pPr>
      <w:bookmarkEnd w:id="51"/>
      <w:r>
        <w:rPr>
          <w:rFonts w:ascii="Amiri" w:hAnsi="Amiri" w:eastAsia="Amiri" w:cs="Amiri"/>
          <w:color w:val="111111"/>
          <w:sz w:val="28"/>
          <w:sz w:val="28"/>
          <w:szCs w:val="28"/>
          <w:rtl w:val="true"/>
          <w:lang w:bidi="ar-SA"/>
        </w:rPr>
        <w:t xml:space="preserve">رمضان علی محرّم مطلقاً یوجبها أیضاً </w:t>
      </w:r>
      <w:r>
        <w:rPr>
          <w:rStyle w:val="FootnoteAnchor"/>
          <w:rtl w:val="true"/>
        </w:rPr>
        <w:footnoteReference w:id="112"/>
      </w:r>
      <w:r>
        <w:rPr>
          <w:rFonts w:ascii="Amiri" w:hAnsi="Amiri" w:eastAsia="Amiri" w:cs="Amiri"/>
          <w:color w:val="111111"/>
          <w:sz w:val="28"/>
          <w:sz w:val="28"/>
          <w:szCs w:val="28"/>
          <w:rtl w:val="true"/>
          <w:lang w:bidi="ar-SA"/>
        </w:rPr>
        <w:t>فهذه جملة الأقسام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092792_2314609296"/>
      <w:bookmarkStart w:id="53" w:name="_Toc19"/>
      <w:bookmarkEnd w:id="52"/>
      <w:r>
        <w:rPr>
          <w:rtl w:val="true"/>
        </w:rPr>
        <w:t>[</w:t>
      </w:r>
      <w:r>
        <w:rPr>
          <w:rtl w:val="true"/>
        </w:rPr>
        <w:t>انواع اختلف فی کفارتها</w:t>
      </w:r>
      <w:r>
        <w:rPr>
          <w:rtl w:val="true"/>
        </w:rPr>
        <w:t>]</w:t>
      </w:r>
      <w:bookmarkEnd w:id="53"/>
    </w:p>
    <w:p>
      <w:pPr>
        <w:pStyle w:val="BookText"/>
        <w:rPr/>
      </w:pPr>
      <w:r>
        <w:rPr>
          <w:rFonts w:ascii="IRNazanin" w:hAnsi="IRNazanin" w:eastAsia="IRNazanin"/>
          <w:color w:val="111111"/>
          <w:sz w:val="28"/>
          <w:sz w:val="28"/>
          <w:szCs w:val="28"/>
          <w:rtl w:val="true"/>
          <w:lang w:bidi="fa-IR"/>
        </w:rPr>
        <w:t xml:space="preserve">وبقی هنا أنواع اختلف فی کفّارتها </w:t>
      </w:r>
      <w:r>
        <w:rPr>
          <w:rStyle w:val="FootnoteAnchor"/>
          <w:rtl w:val="true"/>
        </w:rPr>
        <w:footnoteReference w:id="113"/>
      </w:r>
      <w:r>
        <w:rPr>
          <w:rFonts w:ascii="IRNazanin" w:hAnsi="IRNazanin" w:eastAsia="IRNazanin"/>
          <w:color w:val="111111"/>
          <w:sz w:val="28"/>
          <w:sz w:val="28"/>
          <w:szCs w:val="28"/>
          <w:rtl w:val="true"/>
          <w:lang w:bidi="fa-IR"/>
        </w:rPr>
        <w:t>أتبعها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والحالف بالبراءة من اللّٰه تعالی ورسوله صلّی اللّٰه علیه وآله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الاجتماع والانفراد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 کان أم کاذباً، 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یبرأ بذلک منهم صادقاً وکاذباً </w:t>
      </w:r>
      <w:r>
        <w:rPr>
          <w:rStyle w:val="FootnoteAnchor"/>
          <w:rtl w:val="true"/>
        </w:rPr>
        <w:footnoteReference w:id="114"/>
      </w:r>
      <w:r>
        <w:rPr>
          <w:rFonts w:ascii="IRNazanin" w:hAnsi="IRNazanin" w:eastAsia="IRNazanin"/>
          <w:color w:val="111111"/>
          <w:sz w:val="28"/>
          <w:sz w:val="28"/>
          <w:szCs w:val="28"/>
          <w:rtl w:val="true"/>
          <w:lang w:bidi="fa-IR"/>
        </w:rPr>
        <w:t xml:space="preserve">واختلف فی وجوب الکفّارة به مطلقاً أو مع الحنث فنقل المصنّف هنا قولین من غیر ترجیح، وکذا فی الدروس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یکفِّر کفارة ظهار </w:t>
      </w:r>
      <w:r>
        <w:rPr>
          <w:rStyle w:val="FootnoteAnchor"/>
          <w:rtl w:val="true"/>
        </w:rPr>
        <w:footnoteReference w:id="116"/>
      </w:r>
      <w:r>
        <w:rPr>
          <w:rFonts w:ascii="IRNazanin" w:hAnsi="IRNazanin" w:eastAsia="IRNazanin"/>
          <w:color w:val="111111"/>
          <w:sz w:val="28"/>
          <w:sz w:val="28"/>
          <w:szCs w:val="28"/>
          <w:rtl w:val="true"/>
          <w:lang w:bidi="fa-IR"/>
        </w:rPr>
        <w:t>فإن عجز فکفّارة یمین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النهایة </w:t>
      </w:r>
      <w:r>
        <w:rPr>
          <w:rStyle w:val="FootnoteAnchor"/>
          <w:rtl w:val="true"/>
        </w:rPr>
        <w:footnoteReference w:id="117"/>
      </w:r>
      <w:r>
        <w:rPr>
          <w:rFonts w:ascii="Amiri" w:hAnsi="Amiri" w:eastAsia="Amiri" w:cs="Amiri"/>
          <w:color w:val="111111"/>
          <w:sz w:val="28"/>
          <w:sz w:val="28"/>
          <w:szCs w:val="28"/>
          <w:rtl w:val="true"/>
          <w:lang w:bidi="ar-SA"/>
        </w:rPr>
        <w:t xml:space="preserve">وجماعة </w:t>
      </w:r>
      <w:r>
        <w:rPr>
          <w:rStyle w:val="FootnoteAnchor"/>
          <w:rtl w:val="true"/>
        </w:rPr>
        <w:footnoteReference w:id="118"/>
      </w:r>
      <w:r>
        <w:rPr>
          <w:rFonts w:ascii="IRNazanin" w:hAnsi="IRNazanin" w:eastAsia="IRNazanin"/>
          <w:color w:val="111111"/>
          <w:sz w:val="28"/>
          <w:sz w:val="28"/>
          <w:szCs w:val="28"/>
          <w:rtl w:val="true"/>
          <w:lang w:bidi="fa-IR"/>
        </w:rPr>
        <w:t>ولم نقف علی مستنده، وظاهرهم وجوب ذلک مع الحنث وعدمه ومع الصدق والکذب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توقیع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محمّد بن الحسن الصفّار الذی رواه محمّد بن یحیی فی الصحیح أ نّه مع الحنث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مسکین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ویستغفر اللّٰه تعالی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والعمل بمضمونها حسن؛ لعدم المعارض مع صحّة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مکاتبة ونادرة لا یقدح مع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العلّامة فی المختلف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جماعة إلی عدم وجوب کفّارة مطلقاً </w:t>
      </w:r>
      <w:r>
        <w:rPr>
          <w:rStyle w:val="FootnoteAnchor"/>
          <w:rtl w:val="true"/>
        </w:rPr>
        <w:footnoteReference w:id="121"/>
      </w:r>
      <w:r>
        <w:rPr>
          <w:rFonts w:ascii="IRNazanin" w:hAnsi="IRNazanin" w:eastAsia="IRNazanin"/>
          <w:color w:val="111111"/>
          <w:sz w:val="28"/>
          <w:sz w:val="28"/>
          <w:szCs w:val="28"/>
          <w:rtl w:val="true"/>
          <w:lang w:bidi="fa-IR"/>
        </w:rPr>
        <w:t>لعدم انعقاد الیمین؛ إذ لا حلف إلّاباللّٰه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الجمیع علی تحریمه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جزّ المرأة شَعرها فی المصاب کفّارةُ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اختاره هنا وقبله العلّامة فی بعض کتبه </w:t>
      </w:r>
      <w:r>
        <w:rPr>
          <w:rStyle w:val="FootnoteAnchor"/>
          <w:rtl w:val="true"/>
        </w:rPr>
        <w:footnoteReference w:id="122"/>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23"/>
      </w:r>
      <w:r>
        <w:rPr>
          <w:rFonts w:ascii="IRNazanin" w:hAnsi="IRNazanin" w:eastAsia="IRNazanin"/>
          <w:color w:val="111111"/>
          <w:sz w:val="28"/>
          <w:sz w:val="28"/>
          <w:szCs w:val="28"/>
          <w:rtl w:val="true"/>
          <w:lang w:bidi="fa-IR"/>
        </w:rPr>
        <w:t>ولم نقف علی المأخذ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کبیرة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الشیخ فی النهایة </w:t>
      </w:r>
      <w:r>
        <w:rPr>
          <w:rStyle w:val="FootnoteAnchor"/>
          <w:rtl w:val="true"/>
        </w:rPr>
        <w:footnoteReference w:id="125"/>
      </w:r>
      <w:r>
        <w:rPr>
          <w:rFonts w:ascii="IRNazanin" w:hAnsi="IRNazanin" w:eastAsia="IRNazanin"/>
          <w:color w:val="111111"/>
          <w:sz w:val="28"/>
          <w:sz w:val="28"/>
          <w:szCs w:val="28"/>
          <w:rtl w:val="true"/>
          <w:lang w:bidi="fa-IR"/>
        </w:rPr>
        <w:t xml:space="preserve">استناداً إلی روایة ضعیفة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نسب القول الثانی إلی الشیخ ولم یذکر الأوّل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الکفّارة مطلقاً؛ 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لصلاحیّة الروایة لأدلّة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المصاب بین القریب وغیره؛ للإطلاق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یُفرَّق بین الکلّ والبعض؟ ظاهر الروایة اعتبار الکلّ؛ لإفادة الجمع المعرّف أو المضاف </w:t>
      </w:r>
      <w:r>
        <w:rPr>
          <w:rStyle w:val="FootnoteAnchor"/>
          <w:rtl w:val="true"/>
        </w:rPr>
        <w:footnoteReference w:id="128"/>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الدروس عدم الفرق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الإشکال فی إلحاق الحلق والإحراق بالجزّ، من مساواته له فی المعنی واختاره فی الدروس </w:t>
      </w:r>
      <w:r>
        <w:rPr>
          <w:rStyle w:val="FootnoteAnchor"/>
          <w:rtl w:val="true"/>
        </w:rPr>
        <w:footnoteReference w:id="129"/>
      </w:r>
      <w:r>
        <w:rPr>
          <w:rFonts w:ascii="IRNazanin" w:hAnsi="IRNazanin" w:eastAsia="IRNazanin"/>
          <w:color w:val="111111"/>
          <w:sz w:val="28"/>
          <w:sz w:val="28"/>
          <w:szCs w:val="28"/>
          <w:rtl w:val="true"/>
          <w:lang w:bidi="fa-IR"/>
        </w:rPr>
        <w:t>ومن عدم النصّ وأصالة البراءة وبطلان القیاس وعدم العلم بالحکمة الموجبة للإلحاق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إلحاق جزّه فی غیر المصاب به من عدم النصّ، واحتمال الأولویّة، وهی ممنوعة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نتف 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خدش وجهها أو شقّ الرجل ثوبه فی موت ولده أو زوجته کفّارة یمین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 ومنهم المصنّف فی الدروس </w:t>
      </w:r>
      <w:r>
        <w:rPr>
          <w:rStyle w:val="FootnoteAnchor"/>
          <w:rtl w:val="true"/>
        </w:rPr>
        <w:footnoteReference w:id="130"/>
      </w:r>
      <w:r>
        <w:rPr>
          <w:rFonts w:ascii="IRNazanin" w:hAnsi="IRNazanin" w:eastAsia="IRNazanin"/>
          <w:color w:val="111111"/>
          <w:sz w:val="28"/>
          <w:sz w:val="28"/>
          <w:szCs w:val="28"/>
          <w:rtl w:val="true"/>
          <w:lang w:bidi="fa-IR"/>
        </w:rPr>
        <w:t xml:space="preserve">جازماً به من غیر نقل خلاف، وکذلک العلّامة فی کثیر من کتبه </w:t>
      </w:r>
      <w:r>
        <w:rPr>
          <w:rStyle w:val="FootnoteAnchor"/>
          <w:rtl w:val="true"/>
        </w:rPr>
        <w:footnoteReference w:id="131"/>
      </w:r>
      <w:r>
        <w:rPr>
          <w:rFonts w:ascii="IRNazanin" w:hAnsi="IRNazanin" w:eastAsia="IRNazanin"/>
          <w:color w:val="111111"/>
          <w:sz w:val="28"/>
          <w:sz w:val="28"/>
          <w:szCs w:val="28"/>
          <w:rtl w:val="true"/>
          <w:lang w:bidi="fa-IR"/>
        </w:rPr>
        <w:t xml:space="preserve">ونسبته هنا إلی القول یشعر بتوقّفه فیه، وهو المناسب؛ لأنّ مستنده الروایة التی دلّت علی الحکم السابق، والمصنّف اعترف بضعفها فی الدروس </w:t>
      </w:r>
      <w:r>
        <w:rPr>
          <w:rStyle w:val="FootnoteAnchor"/>
          <w:rtl w:val="true"/>
        </w:rPr>
        <w:footnoteReference w:id="132"/>
      </w:r>
      <w:r>
        <w:rPr>
          <w:rFonts w:ascii="IRNazanin" w:hAnsi="IRNazanin" w:eastAsia="IRNazanin"/>
          <w:color w:val="111111"/>
          <w:sz w:val="28"/>
          <w:sz w:val="28"/>
          <w:szCs w:val="28"/>
          <w:rtl w:val="true"/>
          <w:lang w:bidi="fa-IR"/>
        </w:rPr>
        <w:t>ولیس بین المسألتین فرق إلّاتحقّق الخلاف فی الاُولی دون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نتف بعض الشعر کما سبق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بین الولد للصلب وولد الولد وإن نزل، ذکراً أو اُنثی لذکرٍ </w:t>
      </w:r>
      <w:r>
        <w:rPr>
          <w:rStyle w:val="FootnoteAnchor"/>
          <w:rtl w:val="true"/>
        </w:rPr>
        <w:footnoteReference w:id="134"/>
      </w:r>
      <w:r>
        <w:rPr>
          <w:rFonts w:ascii="IRNazanin" w:hAnsi="IRNazanin" w:eastAsia="IRNazanin"/>
          <w:color w:val="111111"/>
          <w:sz w:val="28"/>
          <w:sz w:val="28"/>
          <w:szCs w:val="28"/>
          <w:rtl w:val="true"/>
          <w:lang w:bidi="fa-IR"/>
        </w:rPr>
        <w:t xml:space="preserve">وفی ولد الاُنثی قولان </w:t>
      </w:r>
      <w:r>
        <w:rPr>
          <w:rStyle w:val="FootnoteAnchor"/>
          <w:rtl w:val="true"/>
        </w:rPr>
        <w:footnoteReference w:id="135"/>
      </w:r>
      <w:r>
        <w:rPr>
          <w:rFonts w:ascii="IRNazanin" w:hAnsi="IRNazanin" w:eastAsia="IRNazanin"/>
          <w:color w:val="111111"/>
          <w:sz w:val="28"/>
          <w:sz w:val="28"/>
          <w:szCs w:val="28"/>
          <w:rtl w:val="true"/>
          <w:lang w:bidi="fa-IR"/>
        </w:rPr>
        <w:t>أجودهما عدم اللحوق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الزوجة بین الدائم والمستمتع</w:t>
      </w:r>
    </w:p>
    <w:p>
      <w:pPr>
        <w:pStyle w:val="BookText"/>
        <w:rPr/>
      </w:pPr>
      <w:r>
        <w:rPr>
          <w:rFonts w:ascii="IRNazanin" w:hAnsi="IRNazanin" w:eastAsia="IRNazanin"/>
          <w:color w:val="111111"/>
          <w:sz w:val="28"/>
          <w:sz w:val="28"/>
          <w:szCs w:val="28"/>
          <w:rtl w:val="true"/>
          <w:lang w:bidi="fa-IR"/>
        </w:rPr>
        <w:t xml:space="preserve">بها </w:t>
      </w:r>
      <w:r>
        <w:rPr>
          <w:rStyle w:val="FootnoteAnchor"/>
          <w:rtl w:val="true"/>
        </w:rPr>
        <w:footnoteReference w:id="136"/>
      </w:r>
      <w:r>
        <w:rPr>
          <w:rFonts w:ascii="Amiri" w:hAnsi="Amiri" w:eastAsia="Amiri" w:cs="Amiri"/>
          <w:color w:val="111111"/>
          <w:sz w:val="28"/>
          <w:sz w:val="28"/>
          <w:szCs w:val="28"/>
          <w:rtl w:val="true"/>
          <w:lang w:bidi="ar-SA"/>
        </w:rPr>
        <w:t>والمطلّقة رجعیّاً زوجةٌ، ولا یلحق بها الأمة وإن کانت سُرّیّة أو اُمّ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ویعتبر فی الخدش الإدماء، کما صرّحت به الروایة </w:t>
      </w:r>
      <w:r>
        <w:rPr>
          <w:rStyle w:val="FootnoteAnchor"/>
          <w:rtl w:val="true"/>
        </w:rPr>
        <w:footnoteReference w:id="137"/>
      </w:r>
      <w:r>
        <w:rPr>
          <w:rFonts w:ascii="IRNazanin" w:hAnsi="IRNazanin" w:eastAsia="IRNazanin"/>
          <w:color w:val="111111"/>
          <w:sz w:val="28"/>
          <w:sz w:val="28"/>
          <w:szCs w:val="28"/>
          <w:rtl w:val="true"/>
          <w:lang w:bidi="fa-IR"/>
        </w:rPr>
        <w:t xml:space="preserve">وأطلق الأکثر </w:t>
      </w:r>
      <w:r>
        <w:rPr>
          <w:rStyle w:val="FootnoteAnchor"/>
          <w:rtl w:val="true"/>
        </w:rPr>
        <w:footnoteReference w:id="138"/>
      </w:r>
      <w:r>
        <w:rPr>
          <w:rFonts w:ascii="IRNazanin" w:hAnsi="IRNazanin" w:eastAsia="IRNazanin"/>
          <w:color w:val="111111"/>
          <w:sz w:val="28"/>
          <w:sz w:val="28"/>
          <w:szCs w:val="28"/>
          <w:rtl w:val="true"/>
          <w:lang w:bidi="fa-IR"/>
        </w:rPr>
        <w:t xml:space="preserve">وصرّح جماعة منهم العلّامة فی التحریر </w:t>
      </w:r>
      <w:r>
        <w:rPr>
          <w:rStyle w:val="FootnoteAnchor"/>
          <w:rtl w:val="true"/>
        </w:rPr>
        <w:footnoteReference w:id="139"/>
      </w:r>
      <w:r>
        <w:rPr>
          <w:rFonts w:ascii="IRNazanin" w:hAnsi="IRNazanin" w:eastAsia="IRNazanin"/>
          <w:color w:val="111111"/>
          <w:sz w:val="28"/>
          <w:sz w:val="28"/>
          <w:szCs w:val="28"/>
          <w:rtl w:val="true"/>
          <w:lang w:bidi="fa-IR"/>
        </w:rPr>
        <w:t>بعدم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منه مسمّاه، فلا یشترط استیعاب الوجه، ولا شقّ جمیع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به خدش غیر الوجه وإن أدمی، ولا لطمه مجرّداً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الثوب مسمّاه عرفاً، ولا فرق فیه بین الملبوس وغیره، ولا بین شقّه ملبوساً ومنزوعاً، ولا بین استیعابه بالشقّ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کفّارة بشقّه علی غیر الولد والزوجة، وأجازه جماعة علی الأب والأخ </w:t>
      </w:r>
      <w:r>
        <w:rPr>
          <w:rStyle w:val="FootnoteAnchor"/>
          <w:rtl w:val="true"/>
        </w:rPr>
        <w:footnoteReference w:id="140"/>
      </w:r>
      <w:r>
        <w:rPr>
          <w:rFonts w:ascii="IRNazanin" w:hAnsi="IRNazanin" w:eastAsia="IRNazanin"/>
          <w:color w:val="111111"/>
          <w:sz w:val="28"/>
          <w:sz w:val="28"/>
          <w:szCs w:val="28"/>
          <w:rtl w:val="true"/>
          <w:lang w:bidi="fa-IR"/>
        </w:rPr>
        <w:t xml:space="preserve">لما نقل من شقّ بعض الأنبیاء والأئمّة علیهم السلام فیهما </w:t>
      </w:r>
      <w:r>
        <w:rPr>
          <w:rStyle w:val="FootnoteAnchor"/>
          <w:rtl w:val="true"/>
        </w:rPr>
        <w:footnoteReference w:id="141"/>
      </w:r>
      <w:r>
        <w:rPr>
          <w:rFonts w:ascii="IRNazanin" w:hAnsi="IRNazanin" w:eastAsia="IRNazanin"/>
          <w:color w:val="111111"/>
          <w:sz w:val="28"/>
          <w:sz w:val="28"/>
          <w:szCs w:val="28"/>
          <w:rtl w:val="true"/>
          <w:lang w:bidi="fa-IR"/>
        </w:rPr>
        <w:t>ولا فی شقّ المرأة علی المیّت مطلقاً وإن حرم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امرأة فی عدّتها فارقها وکفّر بخمسة أصوع </w:t>
      </w:r>
      <w:r>
        <w:rPr>
          <w:rStyle w:val="FootnoteAnchor"/>
          <w:rtl w:val="true"/>
        </w:rPr>
        <w:footnoteReference w:id="142"/>
      </w:r>
      <w:r>
        <w:rPr>
          <w:rFonts w:ascii="Amiri" w:hAnsi="Amiri" w:eastAsia="Amiri" w:cs="Amiri"/>
          <w:color w:val="111111"/>
          <w:sz w:val="28"/>
          <w:sz w:val="28"/>
          <w:szCs w:val="28"/>
          <w:rtl w:val="true"/>
          <w:lang w:bidi="ar-SA"/>
        </w:rPr>
        <w:t>دقیقاً</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نسب ذلک إلی القول متوقّفاً فیه، وجزم به فی الدروس </w:t>
      </w:r>
      <w:r>
        <w:rPr>
          <w:rStyle w:val="FootnoteAnchor"/>
          <w:rtl w:val="true"/>
        </w:rPr>
        <w:footnoteReference w:id="144"/>
      </w:r>
      <w:r>
        <w:rPr>
          <w:rFonts w:ascii="IRNazanin" w:hAnsi="IRNazanin" w:eastAsia="IRNazanin"/>
          <w:color w:val="111111"/>
          <w:sz w:val="28"/>
          <w:sz w:val="28"/>
          <w:szCs w:val="28"/>
          <w:rtl w:val="true"/>
          <w:lang w:bidi="fa-IR"/>
        </w:rPr>
        <w:t xml:space="preserve">ومستنده روایة أبی بصیر عن أبی عبد اللّٰه علیه السلام </w:t>
      </w:r>
      <w:r>
        <w:rPr>
          <w:rStyle w:val="FootnoteAnchor"/>
          <w:rtl w:val="true"/>
        </w:rPr>
        <w:footnoteReference w:id="145"/>
      </w:r>
      <w:r>
        <w:rPr>
          <w:rFonts w:ascii="IRNazanin" w:hAnsi="IRNazanin" w:eastAsia="IRNazanin"/>
          <w:color w:val="111111"/>
          <w:sz w:val="28"/>
          <w:sz w:val="28"/>
          <w:szCs w:val="28"/>
          <w:rtl w:val="true"/>
          <w:lang w:bidi="fa-IR"/>
        </w:rPr>
        <w:t>وهی مع تسلیم سندها لا تصریح فیها بالوجوب، فالقول بالاستحباب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الروایة تصریح بالعالم، وأطلق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حجّة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اختصاصها بالعالم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العدّة بین الرجعیّة والبائن، وعدّة الوفاة وغیرها، وفی حکمها ذات البعل وهو مصرَّح فی الروایة، ولا بین المدخول بها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والدقیق فی الروایة والفتوی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باختصاصه بنوع یجوز إخراجه کفّارة وهو دقیق الحنطة والشعیر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نام عن صلاة العشاء حتّی تجاوز نصف اللیل أصبح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کون ذلک علی وجه الوجوب؛ لأنّه مقتضی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نسب القول به إلی الشیخ </w:t>
      </w:r>
      <w:r>
        <w:rPr>
          <w:rStyle w:val="FootnoteAnchor"/>
          <w:rtl w:val="true"/>
        </w:rPr>
        <w:footnoteReference w:id="147"/>
      </w:r>
      <w:r>
        <w:rPr>
          <w:rFonts w:ascii="IRNazanin" w:hAnsi="IRNazanin" w:eastAsia="IRNazanin"/>
          <w:color w:val="111111"/>
          <w:sz w:val="28"/>
          <w:sz w:val="28"/>
          <w:szCs w:val="28"/>
          <w:rtl w:val="true"/>
          <w:lang w:bidi="fa-IR"/>
        </w:rPr>
        <w:t xml:space="preserve">وجعل الروایة </w:t>
      </w:r>
      <w:r>
        <w:rPr>
          <w:rStyle w:val="FootnoteAnchor"/>
          <w:rtl w:val="true"/>
        </w:rPr>
        <w:footnoteReference w:id="148"/>
      </w:r>
      <w:r>
        <w:rPr>
          <w:rFonts w:ascii="Amiri" w:hAnsi="Amiri" w:eastAsia="Amiri" w:cs="Amiri"/>
          <w:color w:val="111111"/>
          <w:sz w:val="28"/>
          <w:sz w:val="28"/>
          <w:szCs w:val="28"/>
          <w:rtl w:val="true"/>
          <w:lang w:bidi="ar-SA"/>
        </w:rPr>
        <w:t xml:space="preserve">به مقطوعة </w:t>
      </w:r>
      <w:r>
        <w:rPr>
          <w:rStyle w:val="FootnoteAnchor"/>
          <w:rtl w:val="true"/>
        </w:rPr>
        <w:footnoteReference w:id="149"/>
      </w:r>
      <w:r>
        <w:rPr>
          <w:rFonts w:ascii="IRNazanin" w:hAnsi="IRNazanin" w:eastAsia="IRNazanin"/>
          <w:color w:val="111111"/>
          <w:sz w:val="28"/>
          <w:sz w:val="28"/>
          <w:szCs w:val="28"/>
          <w:rtl w:val="true"/>
          <w:lang w:bidi="fa-IR"/>
        </w:rPr>
        <w:t>، وحینئذٍ فالاستحباب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النائم کذلک عمداً وسهواً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إلحاق السکران به قول ضعیف </w:t>
      </w:r>
      <w:r>
        <w:rPr>
          <w:rStyle w:val="FootnoteAnchor"/>
          <w:rtl w:val="true"/>
        </w:rPr>
        <w:footnoteReference w:id="150"/>
      </w:r>
      <w:r>
        <w:rPr>
          <w:rFonts w:ascii="IRNazanin" w:hAnsi="IRNazanin" w:eastAsia="IRNazanin"/>
          <w:color w:val="111111"/>
          <w:sz w:val="28"/>
          <w:sz w:val="28"/>
          <w:szCs w:val="28"/>
          <w:rtl w:val="true"/>
          <w:lang w:bidi="fa-IR"/>
        </w:rPr>
        <w:t>وکذا من تعمّد ترکها أو نسیه من غیر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یلحق </w:t>
      </w:r>
      <w:r>
        <w:rPr>
          <w:rStyle w:val="FootnoteAnchor"/>
          <w:rtl w:val="true"/>
        </w:rPr>
        <w:footnoteReference w:id="151"/>
      </w:r>
      <w:r>
        <w:rPr>
          <w:rFonts w:ascii="IRNazanin" w:hAnsi="IRNazanin" w:eastAsia="IRNazanin"/>
          <w:color w:val="111111"/>
          <w:sz w:val="28"/>
          <w:sz w:val="28"/>
          <w:szCs w:val="28"/>
          <w:rtl w:val="true"/>
          <w:lang w:bidi="fa-IR"/>
        </w:rPr>
        <w:t>ناسی غیرها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أفطر ذلک الیوم ففی وجوب الکفّارة من حیث تعیّنه علی القول بوجوبه، أو لا، بناءً علی أ نّه کفّارة فلا کفّارة فی ترکها، وجهان أجودهما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سافر فیه مطلقاً أفطره وقضاه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مرض، أو حاضت المرأة، أو وافق العید أو أیّام التشریق، مع احتمال سقوطه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صادف صوماً متعیّناً تداخلا مع احتمال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وکفّارة ضرب العبد فوق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وجب علیه بسبب ما فعله من الذنب أو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الأکثر </w:t>
      </w:r>
      <w:r>
        <w:rPr>
          <w:rStyle w:val="FootnoteAnchor"/>
          <w:rtl w:val="true"/>
        </w:rPr>
        <w:footnoteReference w:id="152"/>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Style w:val="FootnoteAnchor"/>
          <w:rtl w:val="true"/>
        </w:rPr>
        <w:footnoteReference w:id="153"/>
      </w:r>
      <w:r>
        <w:rPr>
          <w:rFonts w:ascii="IRNazanin" w:hAnsi="IRNazanin" w:eastAsia="IRNazanin"/>
          <w:color w:val="111111"/>
          <w:sz w:val="28"/>
          <w:sz w:val="28"/>
          <w:szCs w:val="28"/>
          <w:rtl w:val="true"/>
          <w:lang w:bidi="fa-IR"/>
        </w:rPr>
        <w:t xml:space="preserve">وتردّد المصنّف فی الدروس </w:t>
      </w:r>
      <w:r>
        <w:rPr>
          <w:rStyle w:val="FootnoteAnchor"/>
          <w:rtl w:val="true"/>
        </w:rPr>
        <w:footnoteReference w:id="154"/>
      </w:r>
      <w:r>
        <w:rPr>
          <w:rFonts w:ascii="IRNazanin" w:hAnsi="IRNazanin" w:eastAsia="IRNazanin"/>
          <w:color w:val="111111"/>
          <w:sz w:val="28"/>
          <w:sz w:val="28"/>
          <w:szCs w:val="28"/>
          <w:rtl w:val="true"/>
          <w:lang w:bidi="fa-IR"/>
        </w:rPr>
        <w:t>مقتصراً علی نقل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تجاوز حدّ الحرّ؛ لأنّه المتیقّن والمتبادر عند الإطلاق </w:t>
      </w:r>
      <w:r>
        <w:rPr>
          <w:rStyle w:val="FootnoteAnchor"/>
          <w:rtl w:val="true"/>
        </w:rPr>
        <w:footnoteReference w:id="155"/>
      </w:r>
      <w:r>
        <w:rPr>
          <w:rFonts w:ascii="IRNazanin" w:hAnsi="IRNazanin" w:eastAsia="IRNazanin"/>
          <w:color w:val="111111"/>
          <w:sz w:val="28"/>
          <w:sz w:val="28"/>
          <w:szCs w:val="28"/>
          <w:rtl w:val="true"/>
          <w:lang w:bidi="fa-IR"/>
        </w:rPr>
        <w:t>ولو قتله فکفّارته کغیره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وکفّارة الإیلاء کفّارة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یمین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ویتعیّن العتق فی المرتّبة بوجدان الرقبة ملکاً أو تسبیباً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ملک الثمن ووجد الباذل لها زیادة علی داره وثیابه اللائقین بحاله، وخادمه اللائق به أو المحتاج إلیه، وقوت یوم ولیلة له ولعیاله الواجبی النفقة، ووفاء دینه وإن لم یُطالَب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تکلّف العادمُ العتقَ أجزأه، إلّامع مطالبة الدیّان، للنهی عن العتق حینئذٍ </w:t>
      </w:r>
      <w:r>
        <w:rPr>
          <w:rStyle w:val="FootnoteAnchor"/>
          <w:rtl w:val="true"/>
        </w:rPr>
        <w:footnoteReference w:id="156"/>
      </w:r>
      <w:r>
        <w:rPr>
          <w:rFonts w:ascii="Amiri" w:hAnsi="Amiri" w:eastAsia="Amiri" w:cs="Amiri"/>
          <w:color w:val="111111"/>
          <w:sz w:val="28"/>
          <w:sz w:val="28"/>
          <w:szCs w:val="28"/>
          <w:rtl w:val="true"/>
          <w:lang w:bidi="ar-SA"/>
        </w:rPr>
        <w:t>وهو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بالقدرة عند العتق، لا الوجوب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الإقرار بالشهادتین مطلقاً علی الأقوی</w:t>
      </w:r>
    </w:p>
    <w:p>
      <w:pPr>
        <w:pStyle w:val="BookText"/>
        <w:rPr/>
      </w:pPr>
      <w:r>
        <w:rPr>
          <w:rFonts w:ascii="IRNazanin" w:hAnsi="IRNazanin" w:eastAsia="IRNazanin"/>
          <w:color w:val="111111"/>
          <w:sz w:val="28"/>
          <w:sz w:val="28"/>
          <w:szCs w:val="28"/>
          <w:rtl w:val="true"/>
          <w:lang w:bidi="fa-IR"/>
        </w:rPr>
        <w:t xml:space="preserve">وهو المراد من الإیمان المطلوب فی الآیة </w:t>
      </w:r>
      <w:r>
        <w:rPr>
          <w:rStyle w:val="FootnoteAnchor"/>
          <w:rtl w:val="true"/>
        </w:rPr>
        <w:footnoteReference w:id="157"/>
      </w:r>
      <w:r>
        <w:rPr>
          <w:rFonts w:ascii="IRNazanin" w:hAnsi="IRNazanin" w:eastAsia="IRNazanin"/>
          <w:color w:val="111111"/>
          <w:sz w:val="28"/>
          <w:sz w:val="28"/>
          <w:szCs w:val="28"/>
          <w:rtl w:val="true"/>
          <w:lang w:bidi="fa-IR"/>
        </w:rPr>
        <w:t>ولا یشترط الإیمان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وطفل أحد المسلمین بحکمه، وإسلام الأخرس بالإشارة، وإسلام المسبیّ بالغاً بالشهادتین، وقبله بانفراد المسلم به عند المصنّف </w:t>
      </w:r>
      <w:r>
        <w:rPr>
          <w:rStyle w:val="FootnoteAnchor"/>
          <w:rtl w:val="true"/>
        </w:rPr>
        <w:footnoteReference w:id="158"/>
      </w:r>
      <w:r>
        <w:rPr>
          <w:rFonts w:ascii="Amiri" w:hAnsi="Amiri" w:eastAsia="Amiri" w:cs="Amiri"/>
          <w:color w:val="111111"/>
          <w:sz w:val="28"/>
          <w:sz w:val="28"/>
          <w:szCs w:val="28"/>
          <w:rtl w:val="true"/>
          <w:lang w:bidi="ar-SA"/>
        </w:rPr>
        <w:t xml:space="preserve">وجماعة </w:t>
      </w:r>
      <w:r>
        <w:rPr>
          <w:rStyle w:val="FootnoteAnchor"/>
          <w:rtl w:val="true"/>
        </w:rPr>
        <w:footnoteReference w:id="159"/>
      </w:r>
      <w:r>
        <w:rPr>
          <w:rFonts w:ascii="IRNazanin" w:hAnsi="IRNazanin" w:eastAsia="IRNazanin"/>
          <w:color w:val="111111"/>
          <w:sz w:val="28"/>
          <w:sz w:val="28"/>
          <w:szCs w:val="28"/>
          <w:rtl w:val="true"/>
          <w:lang w:bidi="fa-IR"/>
        </w:rPr>
        <w:t>وولد الزنا بهما بعد البلوغ، وبتبعیّة السابی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تحقّقه بالولادة من المسلم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انتفائه شرعاً، وتولّده منه حقیقة، فلا یقصر عن السابی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العیوب الموجبة للعتق،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العمی والإقعاد والجذام والتنکیل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عن مولاه، وهو أن یفعل به فعلاً فظیعاً، بأن یجدع أنفه، أو یقطع </w:t>
      </w:r>
      <w:r>
        <w:rPr>
          <w:rStyle w:val="FootnoteAnchor"/>
          <w:rtl w:val="true"/>
        </w:rPr>
        <w:footnoteReference w:id="160"/>
      </w:r>
      <w:r>
        <w:rPr>
          <w:rFonts w:ascii="IRNazanin" w:hAnsi="IRNazanin" w:eastAsia="IRNazanin"/>
          <w:color w:val="111111"/>
          <w:sz w:val="28"/>
          <w:sz w:val="28"/>
          <w:szCs w:val="28"/>
          <w:rtl w:val="true"/>
          <w:lang w:bidi="fa-IR"/>
        </w:rPr>
        <w:t>اُذنیه ونحوه؛ لانعتاقه بمجرّد حصول هذه الأسباب علی المشهور، فلا یتصوّر إیقاع العتق علیه ثانیاً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یشترط سلامته من غیرها من العیوب، فیجزئ الأعور، والأعرج، والأقرع، والخصیّ، والأصمّ، ومقطوع أحد الاُذنین والیدین ولو مع إحدی الرجلین، والمریض وإن مات فی مرضه، والهَرِم، والعاجز عن تحصیل 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تشبّث بالحرّیة مع بقائه علی الملک، کالمدبَّر واُمّ الولد وإن لم یجز بیعها؛ لجواز تعجیل 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إجزاء المکاتب الذی لم یتحرّر منه شیء قولان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وإجزاؤه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المرهون إلّامع إجازة المرتهن، والمنذور عتقه، والصدقة به وإن کان معلّقاً بشرطٍ لم یحصل بعدُ علی قولٍ رجّحه المصنّف فی الدروس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والخلوّ 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أعتقه وشرط علیه عوضاً لم یقع عن الکفّارة، لعدم تمحّض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انعتاقه بذلک نظر، وقطع المصنّف فی الدروس بوقوعه </w:t>
      </w:r>
      <w:r>
        <w:rPr>
          <w:rStyle w:val="FootnoteAnchor"/>
          <w:rtl w:val="true"/>
        </w:rPr>
        <w:footnoteReference w:id="163"/>
      </w:r>
      <w:r>
        <w:rPr>
          <w:rFonts w:ascii="IRNazanin" w:hAnsi="IRNazanin" w:eastAsia="IRNazanin"/>
          <w:color w:val="111111"/>
          <w:sz w:val="28"/>
          <w:sz w:val="28"/>
          <w:szCs w:val="28"/>
          <w:rtl w:val="true"/>
          <w:lang w:bidi="fa-IR"/>
        </w:rPr>
        <w:t>وکذا لو قال 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أعتقه عن کفّارتک ولک علیَّ کذا، واعترف المصنّف هنا بعدم وقوع العتق مطلقاً </w:t>
      </w:r>
      <w:r>
        <w:rPr>
          <w:rStyle w:val="FootnoteAnchor"/>
          <w:rtl w:val="true"/>
        </w:rPr>
        <w:footnoteReference w:id="164"/>
      </w:r>
      <w:r>
        <w:rPr>
          <w:rFonts w:ascii="IRNazanin" w:hAnsi="IRNazanin" w:eastAsia="IRNazanin"/>
          <w:color w:val="111111"/>
          <w:sz w:val="28"/>
          <w:sz w:val="28"/>
          <w:szCs w:val="28"/>
          <w:rtl w:val="true"/>
          <w:lang w:bidi="fa-IR"/>
        </w:rPr>
        <w:t>نعم لو أمره بعتقه عن الآمر بعوض أو غیره أجزأ، والنیّة هنا من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الحکم بانتقاله إلی ملک الآمر ولو لحظة،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وفی کونه هنا قبل العتق، أو عند الشروع فیه، أو بعد وقوع الصیغة ثم یعتق، أو بکون العتق کاشفاً عن ملکه بالأمر أوجه، والوجه انتقاله بالأمر المقترن بالعتق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والنیّة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المشتملة علی قصد الفعل علی وجهه متقرّباً، والمقارنة للصیغة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 الذی یکفّر عنه، سواء تعدّدت الکفّارة فی ذمّته أم لا وسواء تغایر الجنس أم لا، کما یقتضیه الإطلاق وصرّح به فی الدروس </w:t>
      </w:r>
      <w:r>
        <w:rPr>
          <w:rStyle w:val="FootnoteAnchor"/>
          <w:rtl w:val="true"/>
        </w:rPr>
        <w:footnoteReference w:id="167"/>
      </w: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الکفّارة اسم مشترک بین أفراد مختلفة، والمأمور به إنّما یتخصّص بممیّزاته عن غیره ممّا یشارکه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 نّه مع اتّحادها فی ذمّته لا اشتراک، فتجزی نیّته عمّا فی ذمّته من الکفّارة؛ لأنّ غیره لیس مأموراً به، بل ولا یتصوّر وقوعه منه فی تلک الحالة شرعاً، فلا وجه للاحتراز عنه، کالقصر والتمام فی غیر موضع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المتعدّد فی ذمّته مع اتّحاد نوع سببه، کإفطار یومین من شهر رمضان وخلف نذرین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اختلفت أسبابه توجّه ذلک لیحصل التمییز وإن اتّفق مقدار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یفتقر إلیه مطلقاً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ما اخترناه لو أطلق برئت ذمّته من واحدة لا بعینها، فیتعیّن فی الباقی الإطلاق، سواء کان بعتق أم غیره من الخصال المخیّرة أو المرتَّبة علی تقدیر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نوع ما فی ذمّته أجزأه الإطلاق عن الکفّارة علی القولین، کما یُجزیه العتق عمّا فی ذمّته لو شکّ بین کفّارة ونذر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ذلک فی الأوّل کما لا یجزی العتق مطلقاً، ولا بنیّة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العتق فی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هلالیّین وإن نقصا إن ابتدأ من أوّله، ولو ابتدأ من أثنائه أکمل ما بقی منه ثلاثین بعد الثانی، واجزأه الهلالی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اقتصر هنا علی شهر ویوم تعیّن العددی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بالتتابع أن لا یقطعهما ولو فی شهر ویوم بالإفطار اختیاراً ولو بمسوِّغه کالسفر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یقطعه غیره کالحیض والمرض والسفر الضروری والواجب، بل یبنی علی ما مضی عند زوال العذر علی الفور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فاجأه السفر، أمّا لو علم به قبل الشروع لم یُعذر، للقدرة علی التتابع فی غیره، کما لو علم بدخول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الحیض؛ للزومه فی الطبیعة عادة،</w:t>
      </w:r>
    </w:p>
    <w:p>
      <w:pPr>
        <w:pStyle w:val="BookText"/>
        <w:rPr/>
      </w:pPr>
      <w:r>
        <w:rPr>
          <w:rFonts w:ascii="IRNazanin" w:hAnsi="IRNazanin" w:eastAsia="IRNazanin"/>
          <w:color w:val="111111"/>
          <w:sz w:val="28"/>
          <w:sz w:val="28"/>
          <w:szCs w:val="28"/>
          <w:rtl w:val="true"/>
          <w:lang w:bidi="fa-IR"/>
        </w:rPr>
        <w:t>والصبر إلی سنّ الیأس تغریر بالواجب وإضرار بالمکلَّف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وتجب فیه النیّة والتعیین، کالعتق وما یعتبر فی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نسیها لیلاً جدّدها إلی الزوال، فإن استمرّ إلیه لم یُجزِ، ولم یقطع التتابع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فیه ذلک، ککفّارة شهر رمضان وقتل الخطأ والظهار والنذر، لا فی مطلق المرتَّبة، فإنّه فی کفّارة إفطار قضاء رمضان وکفّارة الیمین إطعام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الحکم اتّکالاً علی 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إشباعاً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تسلیم مُدّ إلی کلّ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فتویً </w:t>
      </w:r>
      <w:r>
        <w:rPr>
          <w:rStyle w:val="FootnoteAnchor"/>
          <w:rtl w:val="true"/>
        </w:rPr>
        <w:footnoteReference w:id="169"/>
      </w:r>
      <w:r>
        <w:rPr>
          <w:rFonts w:ascii="Amiri" w:hAnsi="Amiri" w:eastAsia="Amiri" w:cs="Amiri"/>
          <w:color w:val="111111"/>
          <w:sz w:val="28"/>
          <w:sz w:val="28"/>
          <w:szCs w:val="28"/>
          <w:rtl w:val="true"/>
          <w:lang w:bidi="ar-SA"/>
        </w:rPr>
        <w:t xml:space="preserve">وسنداً </w:t>
      </w:r>
      <w:r>
        <w:rPr>
          <w:rStyle w:val="FootnoteAnchor"/>
          <w:rtl w:val="true"/>
        </w:rPr>
        <w:footnoteReference w:id="170"/>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مُدّان مطلقاً </w:t>
      </w:r>
      <w:r>
        <w:rPr>
          <w:rStyle w:val="FootnoteAnchor"/>
          <w:rtl w:val="true"/>
        </w:rPr>
        <w:footnoteReference w:id="17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القدرة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ویتساوی فی التسلیم الصغیر والکبیر من حیث القدر، وإن کان الواجب فی الصغیر تسلیم الولیّ، وکذا فی الإشباع إن 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انفرد الصغار احتُسب الاثنان بواحد، ولا یتوقّف علی 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أکل الصغیر کالکبیر ودونه؛ لإطلاق النصّ </w:t>
      </w:r>
      <w:r>
        <w:rPr>
          <w:rStyle w:val="FootnoteAnchor"/>
          <w:rtl w:val="true"/>
        </w:rPr>
        <w:footnoteReference w:id="173"/>
      </w:r>
      <w:r>
        <w:rPr>
          <w:rFonts w:ascii="IRNazanin" w:hAnsi="IRNazanin" w:eastAsia="IRNazanin"/>
          <w:color w:val="111111"/>
          <w:sz w:val="28"/>
          <w:sz w:val="28"/>
          <w:szCs w:val="28"/>
          <w:rtl w:val="true"/>
          <w:lang w:bidi="fa-IR"/>
        </w:rPr>
        <w:t xml:space="preserve">وندوره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المراد بالصغیر غیر البالغ، مع احتمال الرجوع إلی العرف</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تعذّر العدد فی البلد وجب النقل إلی غیره مع الإمکان، فإن تعذّر کرّر علی الموجودین فی الأیّام بحسب المتخلّف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بالمسکین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یقدر علی تحصیل قوت سنته فعلاً وقوّةً، فیشمل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 الغارم وإن استوعب دینُه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الإیمان، وعدم وجوب نفقته علی المعطی، أمّا علی غیره فهو غنیّ مع بذل المنفق،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مسمّاه کالحنطة والشعیر ودقیقهما وخبزهما وما یغلب علی قوت البلد، ویجزی التمر والزبیب مطلقاً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ویعتبر کونه سلیماً من العیب والمزج بغیره، فلا یجزی المسوس </w:t>
      </w:r>
      <w:r>
        <w:rPr>
          <w:rStyle w:val="FootnoteAnchor"/>
          <w:rtl w:val="true"/>
        </w:rPr>
        <w:footnoteReference w:id="176"/>
      </w:r>
      <w:r>
        <w:rPr>
          <w:rFonts w:ascii="IRNazanin" w:hAnsi="IRNazanin" w:eastAsia="IRNazanin"/>
          <w:color w:val="111111"/>
          <w:sz w:val="28"/>
          <w:sz w:val="28"/>
          <w:szCs w:val="28"/>
          <w:rtl w:val="true"/>
          <w:lang w:bidi="fa-IR"/>
        </w:rPr>
        <w:t xml:space="preserve">والممتزج بزوان </w:t>
      </w:r>
      <w:r>
        <w:rPr>
          <w:rStyle w:val="FootnoteAnchor"/>
          <w:rtl w:val="true"/>
        </w:rPr>
        <w:footnoteReference w:id="177"/>
      </w:r>
      <w:r>
        <w:rPr>
          <w:rFonts w:ascii="IRNazanin" w:hAnsi="IRNazanin" w:eastAsia="IRNazanin"/>
          <w:color w:val="111111"/>
          <w:sz w:val="28"/>
          <w:sz w:val="28"/>
          <w:szCs w:val="28"/>
          <w:rtl w:val="true"/>
          <w:lang w:bidi="fa-IR"/>
        </w:rPr>
        <w:t>وتراب غیر معتادین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والنیّة مقارنة للتسلیم إلی المستحقّ أو وکیله أو ولیّه، أو بعد وصوله إلیه قبل إتلافه أو نقله عن ملکه، أو للشروع فی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اجتمعوا فیه ففی الاکتفاء بشروع واحد أو وجوب تعدّدها مع اختلافهم فیه وجهان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کسا الفقیر فثوب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الأصحّ </w:t>
      </w:r>
      <w:r>
        <w:rPr>
          <w:rStyle w:val="FootnoteAnchor"/>
          <w:rtl w:val="true"/>
        </w:rPr>
        <w:footnoteReference w:id="178"/>
      </w:r>
      <w:r>
        <w:rPr>
          <w:rFonts w:ascii="IRNazanin" w:hAnsi="IRNazanin" w:eastAsia="IRNazanin"/>
          <w:color w:val="111111"/>
          <w:sz w:val="28"/>
          <w:sz w:val="28"/>
          <w:szCs w:val="28"/>
          <w:rtl w:val="true"/>
          <w:lang w:bidi="fa-IR"/>
        </w:rPr>
        <w:t xml:space="preserve">والمعتبر مسمّاه من إزار ورداء وسراویل وقمیص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غسیلاً إذا لم ینخرق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ینسحق جدّاً بحیث لا ینتفع به إلّا قلیلاً، وفاقاً للدروس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وجنسه القطن والکتّان والصوف والحریر الممتزج، والخالص للنساء وغیر البالغین دون الرجال والخناثی، والفرو والجلد المعتاد لُبسه، والقُنّب والشعر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ما یُسمّی ثوباً للصغیر وإن کانوا منفردین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یتکرّر علی الموجود لو </w:t>
      </w:r>
      <w:r>
        <w:rPr>
          <w:rStyle w:val="FootnoteAnchor"/>
          <w:rtl w:val="true"/>
        </w:rPr>
        <w:footnoteReference w:id="180"/>
      </w:r>
      <w:r>
        <w:rPr>
          <w:rFonts w:ascii="Amiri" w:hAnsi="Amiri" w:eastAsia="Amiri" w:cs="Amiri"/>
          <w:color w:val="111111"/>
          <w:sz w:val="28"/>
          <w:sz w:val="28"/>
          <w:szCs w:val="28"/>
          <w:rtl w:val="true"/>
          <w:lang w:bidi="ar-SA"/>
        </w:rPr>
        <w:t xml:space="preserve">تعذّر العدد مطلقاً </w:t>
      </w:r>
      <w:r>
        <w:rPr>
          <w:rStyle w:val="FootnoteAnchor"/>
          <w:rtl w:val="true"/>
        </w:rPr>
        <w:footnoteReference w:id="181"/>
      </w:r>
      <w:r>
        <w:rPr>
          <w:rFonts w:ascii="IRNazanin" w:hAnsi="IRNazanin" w:eastAsia="IRNazanin"/>
          <w:color w:val="111111"/>
          <w:sz w:val="28"/>
          <w:sz w:val="28"/>
          <w:szCs w:val="28"/>
          <w:rtl w:val="true"/>
          <w:lang w:bidi="fa-IR"/>
        </w:rPr>
        <w:t>لعدم النصّ، مع احتماله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 وجب علیه صوم شهرین متتابعین فعجز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صومهما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قدر علی صوم أزید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الثمانیة عشر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عن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الثمانیة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الستّین </w:t>
      </w:r>
      <w:r>
        <w:rPr>
          <w:rStyle w:val="FootnoteAnchor"/>
          <w:rtl w:val="true"/>
        </w:rPr>
        <w:footnoteReference w:id="182"/>
      </w:r>
      <w:r>
        <w:rPr>
          <w:rFonts w:ascii="Amiri" w:hAnsi="Amiri" w:eastAsia="Amiri" w:cs="Amiri"/>
          <w:color w:val="111111"/>
          <w:sz w:val="28"/>
          <w:sz w:val="28"/>
          <w:szCs w:val="28"/>
          <w:rtl w:val="true"/>
          <w:lang w:bidi="ar-SA"/>
        </w:rPr>
        <w:t xml:space="preserve">ویضعَّف بسقوط حکمها </w:t>
      </w:r>
      <w:r>
        <w:rPr>
          <w:rStyle w:val="FootnoteAnchor"/>
          <w:rtl w:val="true"/>
        </w:rPr>
        <w:footnoteReference w:id="183"/>
      </w:r>
      <w:r>
        <w:rPr>
          <w:rFonts w:ascii="IRNazanin" w:hAnsi="IRNazanin" w:eastAsia="IRNazanin"/>
          <w:color w:val="111111"/>
          <w:sz w:val="28"/>
          <w:sz w:val="28"/>
          <w:szCs w:val="28"/>
          <w:rtl w:val="true"/>
          <w:lang w:bidi="fa-IR"/>
        </w:rPr>
        <w:t xml:space="preserve">قبل ذلک، وکونه خلاف المتبادر، وعدم صحّته فی الکفّارة المخیَّرة؛ لأنّ القادر علی إطعام الستّین یجعله أصلاً لا بدلاً، بل لا یُجزیه الثمانیة عشر مع قدرته علی إطعام الستّین؛ لأنّها بدل اضطراریّ، وهو بدل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إطعام القدر المذکور وإن قدر علی بعضه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مرّةً بنیّة الکفّارة</w:t>
      </w:r>
      <w:r>
        <w:rPr>
          <w:rFonts w:eastAsia="IRNazanin" w:cs="IRNazanin"/>
          <w:color w:val="111111"/>
          <w:sz w:val="28"/>
          <w:szCs w:val="28"/>
          <w:rtl w:val="true"/>
          <w:lang w:bidi="fa-IR"/>
        </w:rPr>
        <w:t>.</w:t>
      </w:r>
      <w:bookmarkStart w:id="54" w:name="pg19812_249240"/>
    </w:p>
    <w:p>
      <w:pPr>
        <w:pStyle w:val="Heading2"/>
        <w:numPr>
          <w:ilvl w:val="1"/>
          <w:numId w:val="1"/>
        </w:numPr>
        <w:rPr/>
      </w:pPr>
      <w:bookmarkStart w:id="55" w:name="__RefHeading___Toc2092794_2314609296"/>
      <w:bookmarkStart w:id="56" w:name="_Toc20"/>
      <w:bookmarkEnd w:id="54"/>
      <w:bookmarkEnd w:id="55"/>
      <w:r>
        <w:rPr>
          <w:rtl w:val="true"/>
        </w:rPr>
        <w:t xml:space="preserve">کتاب النذر </w:t>
      </w:r>
      <w:r>
        <w:rPr>
          <w:rtl w:val="true"/>
        </w:rPr>
        <w:t>«</w:t>
      </w:r>
      <w:r>
        <w:rPr>
          <w:rtl w:val="true"/>
        </w:rPr>
        <w:t>کتاب النذر وتوابعه</w:t>
      </w:r>
      <w:r>
        <w:rPr>
          <w:rtl w:val="true"/>
        </w:rPr>
        <w:t xml:space="preserve">» </w:t>
      </w:r>
      <w:r>
        <w:rPr>
          <w:rtl w:val="true"/>
        </w:rPr>
        <w:t>من العهد والیمین</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092796_2314609296"/>
      <w:bookmarkStart w:id="58" w:name="_Toc21"/>
      <w:bookmarkEnd w:id="57"/>
      <w:r>
        <w:rPr>
          <w:rtl w:val="true"/>
        </w:rPr>
        <w:t>اشارة</w:t>
      </w:r>
      <w:bookmarkStart w:id="59" w:name="pg19812_249242"/>
      <w:bookmarkEnd w:id="58"/>
    </w:p>
    <w:p>
      <w:pPr>
        <w:pStyle w:val="Heading3"/>
        <w:numPr>
          <w:ilvl w:val="2"/>
          <w:numId w:val="1"/>
        </w:numPr>
        <w:rPr/>
      </w:pPr>
      <w:bookmarkStart w:id="60" w:name="__RefHeading___Toc2092798_2314609296"/>
      <w:bookmarkStart w:id="61" w:name="_Toc22"/>
      <w:bookmarkEnd w:id="59"/>
      <w:bookmarkEnd w:id="60"/>
      <w:r>
        <w:rPr>
          <w:rtl w:val="true"/>
        </w:rPr>
        <w:t>[«</w:t>
      </w:r>
      <w:r>
        <w:rPr>
          <w:rtl w:val="true"/>
        </w:rPr>
        <w:t>وشرط الناذر</w:t>
      </w:r>
      <w:r>
        <w:rPr>
          <w:rtl w:val="true"/>
        </w:rPr>
        <w:t>:]</w:t>
      </w:r>
      <w:bookmarkEnd w:id="61"/>
    </w:p>
    <w:p>
      <w:pPr>
        <w:pStyle w:val="BookText"/>
        <w:rPr/>
      </w:pP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والاختیار،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مدلول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 والحریّة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ینعقد نذر الصبیّ والمجنون مطلقاً، ولا المکرَه، ولا غیر القاصد کمُوقع صیغته عابثاً أو لاعباً أو سکران </w:t>
      </w:r>
      <w:r>
        <w:rPr>
          <w:rStyle w:val="FootnoteAnchor"/>
          <w:rtl w:val="true"/>
        </w:rPr>
        <w:footnoteReference w:id="184"/>
      </w:r>
      <w:r>
        <w:rPr>
          <w:rFonts w:ascii="IRNazanin" w:hAnsi="IRNazanin" w:eastAsia="IRNazanin"/>
          <w:color w:val="111111"/>
          <w:sz w:val="28"/>
          <w:sz w:val="28"/>
          <w:szCs w:val="28"/>
          <w:rtl w:val="true"/>
          <w:lang w:bidi="fa-IR"/>
        </w:rPr>
        <w:t xml:space="preserve">أو غاضباً غضباً یرفع قصده إلیه، ولا الکافر مطلقاً؛ لتعذّر القربة علی وجهها منه وإن استحبّ له الوفاء به لو أسلم، ولا نذر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یجیز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إیقاع صیغته، أو بعدَه علی المختار عند المصنّف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تزول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الحلّ؛ لزوال المانع</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وقوعه بدون الإذن باطلاً؛ لنفی ماهیّته فی الخبر </w:t>
      </w:r>
      <w:r>
        <w:rPr>
          <w:rStyle w:val="FootnoteAnchor"/>
          <w:rtl w:val="true"/>
        </w:rPr>
        <w:footnoteReference w:id="186"/>
      </w:r>
      <w:r>
        <w:rPr>
          <w:rFonts w:ascii="IRNazanin" w:hAnsi="IRNazanin" w:eastAsia="IRNazanin"/>
          <w:color w:val="111111"/>
          <w:sz w:val="28"/>
          <w:sz w:val="28"/>
          <w:szCs w:val="28"/>
          <w:rtl w:val="true"/>
          <w:lang w:bidi="fa-IR"/>
        </w:rPr>
        <w:t>المحمول علی نفی الصحّة؛ لأنّه أقرب المجازات إلی الحقیقة حیث لا یراد 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الأمر بالوفاء بالنذر </w:t>
      </w:r>
      <w:r>
        <w:rPr>
          <w:rStyle w:val="FootnoteAnchor"/>
          <w:rtl w:val="true"/>
        </w:rPr>
        <w:footnoteReference w:id="187"/>
      </w:r>
      <w:r>
        <w:rPr>
          <w:rFonts w:ascii="IRNazanin" w:hAnsi="IRNazanin" w:eastAsia="IRNazanin"/>
          <w:color w:val="111111"/>
          <w:sz w:val="28"/>
          <w:sz w:val="28"/>
          <w:szCs w:val="28"/>
          <w:rtl w:val="true"/>
          <w:lang w:bidi="fa-IR"/>
        </w:rPr>
        <w:t xml:space="preserve">مخصوص بنذر المذکور </w:t>
      </w:r>
      <w:r>
        <w:rPr>
          <w:rStyle w:val="FootnoteAnchor"/>
          <w:rtl w:val="true"/>
        </w:rPr>
        <w:footnoteReference w:id="188"/>
      </w:r>
      <w:r>
        <w:rPr>
          <w:rFonts w:ascii="IRNazanin" w:hAnsi="IRNazanin" w:eastAsia="IRNazanin"/>
          <w:color w:val="111111"/>
          <w:sz w:val="28"/>
          <w:sz w:val="28"/>
          <w:szCs w:val="28"/>
          <w:rtl w:val="true"/>
          <w:lang w:bidi="fa-IR"/>
        </w:rPr>
        <w:t>کما دلّ علیه الخبر، لا بنذره مع النهی</w:t>
      </w:r>
      <w:r>
        <w:rPr>
          <w:rFonts w:eastAsia="IRNazanin" w:cs="IRNazanin"/>
          <w:color w:val="111111"/>
          <w:sz w:val="28"/>
          <w:szCs w:val="28"/>
          <w:rtl w:val="true"/>
          <w:lang w:bidi="fa-IR"/>
        </w:rPr>
        <w:t>.</w:t>
      </w:r>
      <w:bookmarkStart w:id="62" w:name="pg19812_249243"/>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وإذن الزوج کإذن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توقّفه علیها سابقاً، أو لحوقها له قبل الحلّ، أو ارتفاع الزوجیّة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توقّف نذر الولد علی إذن الوالد؛ لعدم النصّ الدالّ علیه هنا، وإنّما ورد فی الیمین </w:t>
      </w:r>
      <w:r>
        <w:rPr>
          <w:rStyle w:val="FootnoteAnchor"/>
          <w:rtl w:val="true"/>
        </w:rPr>
        <w:footnoteReference w:id="189"/>
      </w:r>
      <w:r>
        <w:rPr>
          <w:rFonts w:ascii="IRNazanin" w:hAnsi="IRNazanin" w:eastAsia="IRNazanin"/>
          <w:color w:val="111111"/>
          <w:sz w:val="28"/>
          <w:sz w:val="28"/>
          <w:szCs w:val="28"/>
          <w:rtl w:val="true"/>
          <w:lang w:bidi="fa-IR"/>
        </w:rPr>
        <w:t>فیبقی علی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الدروس ألحقه بهما </w:t>
      </w:r>
      <w:r>
        <w:rPr>
          <w:rStyle w:val="FootnoteAnchor"/>
          <w:rtl w:val="true"/>
        </w:rPr>
        <w:footnoteReference w:id="190"/>
      </w:r>
      <w:r>
        <w:rPr>
          <w:rFonts w:ascii="IRNazanin" w:hAnsi="IRNazanin" w:eastAsia="IRNazanin"/>
          <w:color w:val="111111"/>
          <w:sz w:val="28"/>
          <w:sz w:val="28"/>
          <w:szCs w:val="28"/>
          <w:rtl w:val="true"/>
          <w:lang w:bidi="fa-IR"/>
        </w:rPr>
        <w:t>لإطلاق الیمین فی بعض الأخبار علی النذر، کقول الکاظم علیه السلام لمّا سئل عن جاریة حلف منها بیمین،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للّٰه‌علیَّ أن لا أبیعها،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 للّٰه‌بنذرک</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والإطلاق وإن کان من کلام السائل، إلّاأنّ تقریر الإمام له علیه کتلفّظه به، ولتساویهما </w:t>
      </w:r>
      <w:r>
        <w:rPr>
          <w:rStyle w:val="FootnoteAnchor"/>
          <w:rtl w:val="true"/>
        </w:rPr>
        <w:footnoteReference w:id="192"/>
      </w:r>
      <w:r>
        <w:rPr>
          <w:rFonts w:ascii="IRNazanin" w:hAnsi="IRNazanin" w:eastAsia="IRNazanin"/>
          <w:color w:val="111111"/>
          <w:sz w:val="28"/>
          <w:sz w:val="28"/>
          <w:szCs w:val="28"/>
          <w:rtl w:val="true"/>
          <w:lang w:bidi="fa-IR"/>
        </w:rPr>
        <w:t>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 وجه لاختصاص الحکم بالولد، بل یجب فی الزوجة مثله؛ لاشتراکهما فی الدلیل نفیاً وإثباتاً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المملوک فیمکن اختصاصه بسبب الحجر علیه، والعلّامة اقتصر علیه هنا </w:t>
      </w:r>
      <w:r>
        <w:rPr>
          <w:rStyle w:val="FootnoteAnchor"/>
          <w:rtl w:val="true"/>
        </w:rPr>
        <w:footnoteReference w:id="193"/>
      </w:r>
      <w:r>
        <w:rPr>
          <w:rFonts w:ascii="IRNazanin" w:hAnsi="IRNazanin" w:eastAsia="IRNazanin"/>
          <w:color w:val="111111"/>
          <w:sz w:val="28"/>
          <w:sz w:val="28"/>
          <w:szCs w:val="28"/>
          <w:rtl w:val="true"/>
          <w:lang w:bidi="fa-IR"/>
        </w:rPr>
        <w:t xml:space="preserve">وهو أنسب، والمحقّق شرّک بینه وبین الزوجة فی الحکم کما هنا وترک الولد </w:t>
      </w:r>
      <w:r>
        <w:rPr>
          <w:rStyle w:val="FootnoteAnchor"/>
          <w:rtl w:val="true"/>
        </w:rPr>
        <w:footnoteReference w:id="194"/>
      </w:r>
      <w:r>
        <w:rPr>
          <w:rFonts w:ascii="IRNazanin" w:hAnsi="IRNazanin" w:eastAsia="IRNazanin"/>
          <w:color w:val="111111"/>
          <w:sz w:val="28"/>
          <w:sz w:val="28"/>
          <w:szCs w:val="28"/>
          <w:rtl w:val="true"/>
          <w:lang w:bidi="fa-IR"/>
        </w:rPr>
        <w:t>ولیس بوجه</w:t>
      </w:r>
      <w:r>
        <w:rPr>
          <w:rFonts w:eastAsia="IRNazanin" w:cs="IRNazanin"/>
          <w:color w:val="111111"/>
          <w:sz w:val="28"/>
          <w:szCs w:val="28"/>
          <w:rtl w:val="true"/>
          <w:lang w:bidi="fa-IR"/>
        </w:rPr>
        <w:t>.</w:t>
      </w:r>
    </w:p>
    <w:p>
      <w:pPr>
        <w:pStyle w:val="Heading3"/>
        <w:numPr>
          <w:ilvl w:val="2"/>
          <w:numId w:val="1"/>
        </w:numPr>
        <w:rPr/>
      </w:pPr>
      <w:bookmarkStart w:id="63" w:name="__RefHeading___Toc2092800_2314609296"/>
      <w:bookmarkStart w:id="64" w:name="_Toc23"/>
      <w:bookmarkEnd w:id="63"/>
      <w:r>
        <w:rPr>
          <w:rtl w:val="true"/>
        </w:rPr>
        <w:t>[</w:t>
      </w:r>
      <w:r>
        <w:rPr>
          <w:rtl w:val="true"/>
        </w:rPr>
        <w:t>صیغة النذر</w:t>
      </w:r>
      <w:r>
        <w:rPr>
          <w:rtl w:val="true"/>
        </w:rPr>
        <w:t>]</w:t>
      </w:r>
      <w:bookmarkEnd w:id="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کذا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صیغة النذر المتّفق علیه بواسطة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الصیغة أنّ القربة المعتبرة فی النذر إجماعاً لا یشترط کونها غایة للفعل کغیره من العبادات، بل یکفی تضمّن الصیغة لها، وهو هنا موجود</w:t>
      </w:r>
      <w:bookmarkStart w:id="65" w:name="pg19812_249244"/>
    </w:p>
    <w:p>
      <w:pPr>
        <w:pStyle w:val="BookText"/>
        <w:rPr/>
      </w:pPr>
      <w:bookmarkEnd w:id="65"/>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یتبعها بعد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قربة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وبهذا صرّح فی الدروس وجعله أقرب </w:t>
      </w:r>
      <w:r>
        <w:rPr>
          <w:rStyle w:val="FootnoteAnchor"/>
          <w:rtl w:val="true"/>
        </w:rPr>
        <w:footnoteReference w:id="195"/>
      </w: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لا یکتفی بذلک ینظر إلی أنّ القربة غایة الفعل </w:t>
      </w:r>
      <w:r>
        <w:rPr>
          <w:rStyle w:val="FootnoteAnchor"/>
          <w:rtl w:val="true"/>
        </w:rPr>
        <w:footnoteReference w:id="196"/>
      </w:r>
      <w:r>
        <w:rPr>
          <w:rFonts w:ascii="IRNazanin" w:hAnsi="IRNazanin" w:eastAsia="IRNazanin"/>
          <w:color w:val="111111"/>
          <w:sz w:val="28"/>
          <w:sz w:val="28"/>
          <w:szCs w:val="28"/>
          <w:rtl w:val="true"/>
          <w:lang w:bidi="fa-IR"/>
        </w:rPr>
        <w:t>فلابدّ من الدلالة علیها، وکونها شرطاً للصیغة والشرط مغایر للمشروط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بأنّ القربة کافیة بقصد الفعل للّٰه‌فی غیره کما أشرنا، وهو هنا حاصل، والتعلیل لازم، والمغایرة متحقّقة؛ لأنّ الصیغة 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کذا فَعَلیَّ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الأصل فی النذر الوعد بشرط، فتکون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w:t>
      </w:r>
      <w:r>
        <w:rPr>
          <w:rFonts w:eastAsia="IRNazanin" w:cs="IRNazanin"/>
          <w:color w:val="111111"/>
          <w:sz w:val="28"/>
          <w:szCs w:val="28"/>
          <w:rtl w:val="true"/>
          <w:lang w:bidi="fa-IR"/>
        </w:rPr>
        <w:t>.</w:t>
      </w:r>
    </w:p>
    <w:p>
      <w:pPr>
        <w:pStyle w:val="Heading3"/>
        <w:numPr>
          <w:ilvl w:val="2"/>
          <w:numId w:val="1"/>
        </w:numPr>
        <w:rPr/>
      </w:pPr>
      <w:bookmarkStart w:id="66" w:name="__RefHeading___Toc2092802_2314609296"/>
      <w:bookmarkStart w:id="67" w:name="_Toc24"/>
      <w:bookmarkEnd w:id="66"/>
      <w:r>
        <w:rPr>
          <w:rtl w:val="true"/>
        </w:rPr>
        <w:t>[</w:t>
      </w:r>
      <w:r>
        <w:rPr>
          <w:rtl w:val="true"/>
        </w:rPr>
        <w:t>ضابط النذر</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ضابط النذر، والمراد منه هنا المنذور، وهو الملتزَم بصیغة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کان أو مندوباً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مباحاً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أو الدنیا، فلو کان متساوی الطرفین أو مکروهاً أو حراماً التزم فعلهما لم ینعقد، وهو فی الأخیرین وفاقیٌّ، وفی المتساوی قولان </w:t>
      </w:r>
      <w:r>
        <w:rPr>
          <w:rStyle w:val="FootnoteAnchor"/>
          <w:rtl w:val="true"/>
        </w:rPr>
        <w:footnoteReference w:id="197"/>
      </w:r>
      <w:r>
        <w:rPr>
          <w:rFonts w:ascii="IRNazanin" w:hAnsi="IRNazanin" w:eastAsia="IRNazanin"/>
          <w:color w:val="111111"/>
          <w:sz w:val="28"/>
          <w:sz w:val="28"/>
          <w:szCs w:val="28"/>
          <w:rtl w:val="true"/>
          <w:lang w:bidi="fa-IR"/>
        </w:rPr>
        <w:t xml:space="preserve">فظاهره هنا بطلانه، وفی الدروس رجّح صحّته </w:t>
      </w:r>
      <w:r>
        <w:rPr>
          <w:rStyle w:val="FootnoteAnchor"/>
          <w:rtl w:val="true"/>
        </w:rPr>
        <w:footnoteReference w:id="198"/>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لم یشتمل علی شرطٍ، وإلّا فسیأتی اشتراط کونه طاعة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ساوی بینهما فی صحّة المباح الراجح والمتساوی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ما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 للناذر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صلاحیّة تعلّق قدرته به عادةً فی الوقت المضروب له فعلاً أو قوّة، فإن کان وقته معیّناً اعتبرت فیه، وإن کان مطلقاً فالعمر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واعتبرنا ذلک مع کون المتبادر القدرة الفعلیّة؛ لأنّها غیر مرادة لهم، کما صرّحوا به کثیراً، لحکمهم بأنّ من نذر الحجّ وهو عاجز عنه بالفعل لکنّه یرجو القدرة ینعقد نذره ویتوقّعها فی الوقت، فإن خرج وهو عاجز بطل، وکذا لو نذر الصدقة بمال وهو فقیر، أو نذرت الحائض الصوم مطلقاً أو فی وقتٍ یمکن فعله فیه بعد الطهارة،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أخرجوا بالقیدِ الممتنعَ عادةً، کنذر الصعود إلی السماء، أو عقلاً، کالکون فی غیر حیّز والجمع بین الضدّین، أو شرعاً، کالاعتکاف جنباً مع القدرة علی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یمکن دخوله فی کونه طاعة أو مباحاً فیخرج به أو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احتیاجه إلی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النیّة فی انعقاده وإن استحبّ الوفاء به؛ لأنّه من قبیل الأسباب، والأصل فیها اللفظ الکاشف عمّا فی الضمیر، ولأ نّه فی الأصل وعدٌ بشرطٍ أو بدونه، والوعد لفظیٌّ، والأصل عدم النقل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الشیخان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اشتراطه؛ للأصل وعموم الأدلّة ولقوله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لکلّ امری ٍ ما نوی</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للحصر، والباء سببیّة، فدلّ علی حصر السببیّة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إنّما اعتبر فی العقود لیکون دالّاً علی الإعلام بما فی الضمیر، والعقد هنا مع اللّٰه العالم</w:t>
      </w:r>
    </w:p>
    <w:p>
      <w:pPr>
        <w:pStyle w:val="BookText"/>
        <w:rPr/>
      </w:pPr>
      <w:r>
        <w:rPr>
          <w:rFonts w:ascii="IRNazanin" w:hAnsi="IRNazanin" w:eastAsia="IRNazanin"/>
          <w:color w:val="111111"/>
          <w:sz w:val="28"/>
          <w:sz w:val="28"/>
          <w:szCs w:val="28"/>
          <w:rtl w:val="true"/>
          <w:lang w:bidi="fa-IR"/>
        </w:rPr>
        <w:t>بالسرائر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وتردّد المصنّف فی الدروس </w:t>
      </w:r>
      <w:r>
        <w:rPr>
          <w:rStyle w:val="FootnoteAnchor"/>
          <w:rtl w:val="true"/>
        </w:rPr>
        <w:footnoteReference w:id="202"/>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203"/>
      </w:r>
      <w:r>
        <w:rPr>
          <w:rFonts w:ascii="Amiri" w:hAnsi="Amiri" w:eastAsia="Amiri" w:cs="Amiri"/>
          <w:color w:val="111111"/>
          <w:sz w:val="28"/>
          <w:sz w:val="28"/>
          <w:szCs w:val="28"/>
          <w:rtl w:val="true"/>
          <w:lang w:bidi="ar-SA"/>
        </w:rPr>
        <w:t xml:space="preserve">ورجّح فی غیره الأوّل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غیر شرط؛ لما مرّ من الأصل والأدلّة المتناولة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وعد بشرط </w:t>
      </w:r>
      <w:r>
        <w:rPr>
          <w:rStyle w:val="FootnoteAnchor"/>
          <w:rtl w:val="true"/>
        </w:rPr>
        <w:footnoteReference w:id="205"/>
      </w:r>
      <w:r>
        <w:rPr>
          <w:rFonts w:ascii="IRNazanin" w:hAnsi="IRNazanin" w:eastAsia="IRNazanin"/>
          <w:color w:val="111111"/>
          <w:sz w:val="28"/>
          <w:sz w:val="28"/>
          <w:szCs w:val="28"/>
          <w:rtl w:val="true"/>
          <w:lang w:bidi="fa-IR"/>
        </w:rPr>
        <w:t>والأصل عدم النقل، معارض بنقله أ نّه بغیر شرط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المصنّف فی الدروس </w:t>
      </w:r>
      <w:r>
        <w:rPr>
          <w:rStyle w:val="FootnoteAnchor"/>
          <w:rtl w:val="true"/>
        </w:rPr>
        <w:footnoteReference w:id="206"/>
      </w:r>
      <w:r>
        <w:rPr>
          <w:rFonts w:ascii="IRNazanin" w:hAnsi="IRNazanin" w:eastAsia="IRNazanin"/>
          <w:color w:val="111111"/>
          <w:sz w:val="28"/>
          <w:sz w:val="28"/>
          <w:szCs w:val="28"/>
          <w:rtl w:val="true"/>
          <w:lang w:bidi="fa-IR"/>
        </w:rPr>
        <w:t>والصحّة أقوی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کون الجزاء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نذر مجازاة بأن یجعله أحد العبادات المعلومة، فلو کان مرجوحاً أو مباحاً لم ینعقد؛ لقول الصادق علیه السلام فی خبر أبی الصباح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النذر بشیء حتی یسمّی شیئاً للّٰه‌صیاماً أو صدقة أو هدیاً أو حجّاً</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إلّاأنّ هذا الخبر یشمل المتبرّع به من غیر شرط، والمصنّف لا یقول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الأکثر اشتراط کونه طاعة </w:t>
      </w:r>
      <w:r>
        <w:rPr>
          <w:rStyle w:val="FootnoteAnchor"/>
          <w:rtl w:val="true"/>
        </w:rPr>
        <w:footnoteReference w:id="208"/>
      </w:r>
      <w:r>
        <w:rPr>
          <w:rFonts w:ascii="IRNazanin" w:hAnsi="IRNazanin" w:eastAsia="IRNazanin"/>
          <w:color w:val="111111"/>
          <w:sz w:val="28"/>
          <w:sz w:val="28"/>
          <w:szCs w:val="28"/>
          <w:rtl w:val="true"/>
          <w:lang w:bidi="fa-IR"/>
        </w:rPr>
        <w:t xml:space="preserve">وفی الدروس استقرب فی الشرط والجزاء جواز تعلّقهما بالمباح </w:t>
      </w:r>
      <w:r>
        <w:rPr>
          <w:rStyle w:val="FootnoteAnchor"/>
          <w:rtl w:val="true"/>
        </w:rPr>
        <w:footnoteReference w:id="209"/>
      </w:r>
      <w:r>
        <w:rPr>
          <w:rFonts w:ascii="IRNazanin" w:hAnsi="IRNazanin" w:eastAsia="IRNazanin"/>
          <w:color w:val="111111"/>
          <w:sz w:val="28"/>
          <w:sz w:val="28"/>
          <w:szCs w:val="28"/>
          <w:rtl w:val="true"/>
          <w:lang w:bidi="fa-IR"/>
        </w:rPr>
        <w:t xml:space="preserve">محتجّاً بالخبر السابق فی بیع الجاریة </w:t>
      </w:r>
      <w:r>
        <w:rPr>
          <w:rStyle w:val="FootnoteAnchor"/>
          <w:rtl w:val="true"/>
        </w:rPr>
        <w:footnoteReference w:id="210"/>
      </w:r>
      <w:r>
        <w:rPr>
          <w:rFonts w:ascii="IRNazanin" w:hAnsi="IRNazanin" w:eastAsia="IRNazanin"/>
          <w:color w:val="111111"/>
          <w:sz w:val="28"/>
          <w:sz w:val="28"/>
          <w:szCs w:val="28"/>
          <w:rtl w:val="true"/>
          <w:lang w:bidi="fa-IR"/>
        </w:rPr>
        <w:t>والبیع</w:t>
      </w:r>
      <w:bookmarkStart w:id="68" w:name="pg19812_249247"/>
    </w:p>
    <w:p>
      <w:pPr>
        <w:pStyle w:val="BookText"/>
        <w:rPr/>
      </w:pPr>
      <w:bookmarkEnd w:id="68"/>
      <w:r>
        <w:rPr>
          <w:rFonts w:ascii="IRNazanin" w:hAnsi="IRNazanin" w:eastAsia="IRNazanin"/>
          <w:color w:val="111111"/>
          <w:sz w:val="28"/>
          <w:sz w:val="28"/>
          <w:szCs w:val="28"/>
          <w:rtl w:val="true"/>
          <w:lang w:bidi="fa-IR"/>
        </w:rPr>
        <w:t>مباح، إلّاأن یقترن بعوارض مرجّحة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علِّق الملتزم به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راجحاً أم مباحاً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حججت أو رُزقت ولداً أو ملکت کذا، فللّه علیَّ کذا من أبواب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قصد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کونه معصیة أو مباحاً راجحاً فیه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زنیتُ أو بعتُ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مرجوحیّته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فی الأوّل الزجر وفی الثانی الشکر لم ینعقد، والمثال واحد وإنّما الفارق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والمکروه کالمباح المرجوح وإن لم یکنه، فکان علیه أن 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انتفی القصد فی القسمین لم ینعقد؛ لفقد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الشرط إن کان من فعل الناذر فاعتبار کونه سائغاً واضح، وإن کان من فعل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کالولد والعافیة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إطلاق الوصف علیه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اعتبر صلاحیّته لتعلّق الشکر به </w:t>
      </w:r>
      <w:r>
        <w:rPr>
          <w:rStyle w:val="FootnoteAnchor"/>
          <w:rtl w:val="true"/>
        </w:rPr>
        <w:footnoteReference w:id="211"/>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3"/>
        <w:numPr>
          <w:ilvl w:val="2"/>
          <w:numId w:val="1"/>
        </w:numPr>
        <w:rPr/>
      </w:pPr>
      <w:bookmarkStart w:id="69" w:name="__RefHeading___Toc2092804_2314609296"/>
      <w:bookmarkStart w:id="70" w:name="_Toc25"/>
      <w:bookmarkEnd w:id="69"/>
      <w:r>
        <w:rPr>
          <w:rtl w:val="true"/>
        </w:rPr>
        <w:t>«</w:t>
      </w:r>
      <w:r>
        <w:rPr>
          <w:rtl w:val="true"/>
        </w:rPr>
        <w:t>والعهد کالنذر</w:t>
      </w:r>
      <w:r>
        <w:rPr>
          <w:rtl w:val="true"/>
        </w:rPr>
        <w:t>»</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جمیع هذه الشروط والأحکام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عاهدت اللّٰه، أو علیَّ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أفعل کذا أو أترکه، أو إن فعلت کذا أو ترکته أو رُزقت کذا فعلیّ کذا، علی الوجه المفصّل فی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 فی انعقاده بالضمیر ومجرّداً عن الشرط مثلُه</w:t>
      </w:r>
      <w:r>
        <w:rPr>
          <w:rFonts w:eastAsia="IRNazanin" w:cs="IRNazanin"/>
          <w:color w:val="111111"/>
          <w:sz w:val="28"/>
          <w:szCs w:val="28"/>
          <w:rtl w:val="true"/>
          <w:lang w:bidi="fa-IR"/>
        </w:rPr>
        <w:t>.</w:t>
      </w:r>
      <w:bookmarkStart w:id="71" w:name="pg19812_249248"/>
    </w:p>
    <w:p>
      <w:pPr>
        <w:pStyle w:val="Heading3"/>
        <w:numPr>
          <w:ilvl w:val="2"/>
          <w:numId w:val="1"/>
        </w:numPr>
        <w:rPr/>
      </w:pPr>
      <w:bookmarkStart w:id="72" w:name="__RefHeading___Toc2092806_2314609296"/>
      <w:bookmarkStart w:id="73" w:name="_Toc26"/>
      <w:bookmarkEnd w:id="71"/>
      <w:bookmarkEnd w:id="72"/>
      <w:r>
        <w:rPr>
          <w:rtl w:val="true"/>
        </w:rPr>
        <w:t>«</w:t>
      </w:r>
      <w:r>
        <w:rPr>
          <w:rtl w:val="true"/>
        </w:rPr>
        <w:t>والیمین هی الحلف باللّٰه</w:t>
      </w:r>
      <w:r>
        <w:rPr>
          <w:rtl w:val="true"/>
        </w:rPr>
        <w:t>»</w:t>
      </w:r>
      <w:bookmarkEnd w:id="73"/>
    </w:p>
    <w:p>
      <w:pPr>
        <w:pStyle w:val="BookText"/>
        <w:rPr/>
      </w:pPr>
      <w:r>
        <w:rPr>
          <w:rFonts w:ascii="IRNazanin" w:hAnsi="IRNazanin" w:eastAsia="IRNazanin"/>
          <w:color w:val="111111"/>
          <w:sz w:val="28"/>
          <w:sz w:val="28"/>
          <w:szCs w:val="28"/>
          <w:rtl w:val="true"/>
          <w:lang w:bidi="fa-IR"/>
        </w:rPr>
        <w:t xml:space="preserve">أی بذاته تعالی من غیر اعتبار اسم من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ومُقلِّب القلوب والأبصار، والذی نفسی بیده، والذی فلق الحبّة وبرأ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المُقسم به فیها مدلول المعبود بالحقّ، إله مَن فی السماوات والأرض مِن غیر أن یجعل اسماً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وتاللّٰه وباللّٰه وأیمن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وکسرها مع ضمّ النون وفتحها، وکذا ما اقتطع منها للقسم، وهو سبع عشرة صیغة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213"/>
      </w:r>
      <w:r>
        <w:rPr>
          <w:rFonts w:ascii="Amiri" w:hAnsi="Amiri" w:eastAsia="Amiri" w:cs="Amiri"/>
          <w:color w:val="111111"/>
          <w:sz w:val="28"/>
          <w:sz w:val="28"/>
          <w:szCs w:val="28"/>
          <w:rtl w:val="true"/>
          <w:lang w:bidi="ar-SA"/>
        </w:rPr>
        <w:t xml:space="preserve">اُقسم باللّٰه، أو </w:t>
      </w:r>
      <w:r>
        <w:rPr>
          <w:rStyle w:val="FootnoteAnchor"/>
          <w:rtl w:val="true"/>
        </w:rPr>
        <w:footnoteReference w:id="214"/>
      </w:r>
      <w:r>
        <w:rPr>
          <w:rFonts w:ascii="IRNazanin" w:hAnsi="IRNazanin" w:eastAsia="IRNazanin"/>
          <w:color w:val="111111"/>
          <w:sz w:val="28"/>
          <w:sz w:val="28"/>
          <w:szCs w:val="28"/>
          <w:rtl w:val="true"/>
          <w:lang w:bidi="fa-IR"/>
        </w:rPr>
        <w:t>بالقدیم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المتعارف اصطلاحاً، وهو الذی لا أوّل لوجوده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الأزلی، أو الذی لا أوّل لوجوده</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للعلّامة والمحقّق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استضعفه فی الدروس بأنّ مرجع القسم الأوّل إلی أسماء تدلّ علی صفات الأفعال کالخالق والرازق التی هی أبعد من الأسماء الدالّة علی صفات الذات کالرحمن </w:t>
      </w:r>
      <w:r>
        <w:rPr>
          <w:rStyle w:val="FootnoteAnchor"/>
          <w:rtl w:val="true"/>
        </w:rPr>
        <w:footnoteReference w:id="216"/>
      </w:r>
      <w:r>
        <w:rPr>
          <w:rFonts w:ascii="IRNazanin" w:hAnsi="IRNazanin" w:eastAsia="IRNazanin"/>
          <w:color w:val="111111"/>
          <w:sz w:val="28"/>
          <w:sz w:val="28"/>
          <w:szCs w:val="28"/>
          <w:rtl w:val="true"/>
          <w:lang w:bidi="fa-IR"/>
        </w:rPr>
        <w:t>الرحیم التی هی دون اسم</w:t>
      </w:r>
    </w:p>
    <w:p>
      <w:pPr>
        <w:pStyle w:val="BookText"/>
        <w:rPr/>
      </w:pPr>
      <w:r>
        <w:rPr>
          <w:rFonts w:ascii="Amiri" w:hAnsi="Amiri" w:eastAsia="Amiri" w:cs="Amiri"/>
          <w:color w:val="111111"/>
          <w:sz w:val="28"/>
          <w:sz w:val="28"/>
          <w:szCs w:val="28"/>
          <w:rtl w:val="true"/>
          <w:lang w:bidi="ar-SA"/>
        </w:rPr>
        <w:t>الذات وهو اللّٰه جلّ اسمه، بل هو الاسم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الحلف باللّٰه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وباللّٰه وتاللّٰه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وأیمن اللّٰه وما اقتضب منها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السمات المذکورة فی القسم الأوّل لا تتعلّق بالأسماء المختصّة ولا المشترکة؛ لأنّها لیست موضوعة للعلَمیّة، وإنّما هی دالّة علی ذاته بواسطة الأوصاف الخاصّة به، بخلاف غیرها من الأسماء، فإنّها موضوعة للاسمیّة ابتداءً، فکان ما ذکروه أولی ممّا تعقّب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قیل بأنّ الجمیع حلف باللّٰه من غیر اعتبار اسم، جمعاً بین ما ذکرناه وحقّقه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اللّٰه جلّ اسمه هو الاسم الجامع ومن ثَمَّ رجعت الأسماء إلیه ولم یرجع إلی شیء منها، فکان کالذات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 ویراد بأسمائه ما ینصرف إطلاقها إلیه من الألفاظ الموضوعة للاسمیّة وإن أمکن فیها المشارکة حقیقة أو مجازاً، کالقدیم والأزلی والرحمن والربّ والخالق والبارئ والرازق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ینعقد بالموجود والقادر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 والسمیع والبصیر وغیرها من الأسماء المشترکة بینه وبین غیره من غیر أن تغلب علیه وإن نوی بها الحلف؛ لسقوط حرمتها بالمشارکة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بأسماء المخلوقات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کالنبیّ والأئمّة والکعبة والقرآن؛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حالفاً فلیحلف باللّٰه، أو یذر</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وإتباع مشیئة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عُلمت مشیئته لمتعلّقه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کالواجب والمندوب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اتّصالها به عادة ونطقه بها</w:t>
      </w:r>
    </w:p>
    <w:p>
      <w:pPr>
        <w:pStyle w:val="BookText"/>
        <w:rPr/>
      </w:pPr>
      <w:r>
        <w:rPr>
          <w:rFonts w:ascii="IRNazanin" w:hAnsi="IRNazanin" w:eastAsia="IRNazanin"/>
          <w:color w:val="111111"/>
          <w:sz w:val="28"/>
          <w:sz w:val="28"/>
          <w:szCs w:val="28"/>
          <w:rtl w:val="true"/>
          <w:lang w:bidi="fa-IR"/>
        </w:rPr>
        <w:t>ولا یقدح التنفّس والسعال، وقصده إلیها عند النطق بها وإن انتفت عند الیمین،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قصد التبرّک، والتعلیق هنا؛ لإطلاق النصّ </w:t>
      </w:r>
      <w:r>
        <w:rPr>
          <w:rStyle w:val="FootnoteAnchor"/>
          <w:rtl w:val="true"/>
        </w:rPr>
        <w:footnoteReference w:id="219"/>
      </w:r>
      <w:r>
        <w:rPr>
          <w:rFonts w:ascii="Amiri" w:hAnsi="Amiri" w:eastAsia="Amiri" w:cs="Amiri"/>
          <w:color w:val="111111"/>
          <w:sz w:val="28"/>
          <w:sz w:val="28"/>
          <w:szCs w:val="28"/>
          <w:rtl w:val="true"/>
          <w:lang w:bidi="ar-SA"/>
        </w:rPr>
        <w:t xml:space="preserve">وقصّره العلّامة علی ما لا تُعلم </w:t>
      </w:r>
      <w:r>
        <w:rPr>
          <w:rStyle w:val="FootnoteAnchor"/>
          <w:rtl w:val="true"/>
        </w:rPr>
        <w:footnoteReference w:id="220"/>
      </w:r>
      <w:r>
        <w:rPr>
          <w:rFonts w:ascii="IRNazanin" w:hAnsi="IRNazanin" w:eastAsia="IRNazanin"/>
          <w:color w:val="111111"/>
          <w:sz w:val="28"/>
          <w:sz w:val="28"/>
          <w:szCs w:val="28"/>
          <w:rtl w:val="true"/>
          <w:lang w:bidi="fa-IR"/>
        </w:rPr>
        <w:t xml:space="preserve">مشیئة اللّٰه فیه کالمباح، دون الواجب والندب وترک الحرام والمکروه </w:t>
      </w:r>
      <w:r>
        <w:rPr>
          <w:rStyle w:val="FootnoteAnchor"/>
          <w:rtl w:val="true"/>
        </w:rPr>
        <w:footnoteReference w:id="221"/>
      </w:r>
      <w:r>
        <w:rPr>
          <w:rFonts w:ascii="IRNazanin" w:hAnsi="IRNazanin" w:eastAsia="IRNazanin"/>
          <w:color w:val="111111"/>
          <w:sz w:val="28"/>
          <w:sz w:val="28"/>
          <w:szCs w:val="28"/>
          <w:rtl w:val="true"/>
          <w:lang w:bidi="fa-IR"/>
        </w:rPr>
        <w:t>والنصّ مطلق، والحکم نادر، وتوجیهه حسن، لکنّه غیر مسموع فی مقابلة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والتعلیق علی مشیئة الغیر یحبسها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ویوقفها علی مشیئته إن علَّق عقدها علیه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لأفعلنّ </w:t>
      </w:r>
      <w:r>
        <w:rPr>
          <w:rStyle w:val="FootnoteAnchor"/>
          <w:rtl w:val="true"/>
        </w:rPr>
        <w:footnoteReference w:id="222"/>
      </w:r>
      <w:r>
        <w:rPr>
          <w:rFonts w:ascii="IRNazanin" w:hAnsi="IRNazanin" w:eastAsia="IRNazanin"/>
          <w:color w:val="111111"/>
          <w:sz w:val="28"/>
          <w:sz w:val="28"/>
          <w:szCs w:val="28"/>
          <w:rtl w:val="true"/>
          <w:lang w:bidi="fa-IR"/>
        </w:rPr>
        <w:t>کذا إن شاء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جهل الشرط لم 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أوقف حلّها علیه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إلّاأن یشاء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انعقدت ما لم یشأ حلّها، فلا تبطل إلّا بعلم </w:t>
      </w:r>
      <w:r>
        <w:rPr>
          <w:rStyle w:val="FootnoteAnchor"/>
          <w:rtl w:val="true"/>
        </w:rPr>
        <w:footnoteReference w:id="223"/>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جانب النفی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أفعل إن شاء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فیتوقّف انتفاؤه علی مشیئته فی الأوّل، وینتفی بدونها فی الثانی، فلا یحرم الفعل قبل مشیئته ولا یحلّ 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ومتعلّق الیمین کمتعلّق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کونه طاعة، أو مباحاً راجحاً دیناً أو دنیاً، أو متساویاً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 نّه لا إشکال هنا فی تعلّقها بالمباح، ومراعاة الأولی فیهما </w:t>
      </w:r>
      <w:r>
        <w:rPr>
          <w:rStyle w:val="FootnoteAnchor"/>
          <w:rtl w:val="true"/>
        </w:rPr>
        <w:footnoteReference w:id="224"/>
      </w:r>
      <w:r>
        <w:rPr>
          <w:rFonts w:ascii="IRNazanin" w:hAnsi="IRNazanin" w:eastAsia="IRNazanin"/>
          <w:color w:val="111111"/>
          <w:sz w:val="28"/>
          <w:sz w:val="28"/>
          <w:szCs w:val="28"/>
          <w:rtl w:val="true"/>
          <w:lang w:bidi="fa-IR"/>
        </w:rPr>
        <w:t>وترجیح مقتضی الیمین عند التساوی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عبارته هنا عدم انعقاد المتساوی؛ لإخراجه من ضابط النذر، مع</w:t>
      </w:r>
    </w:p>
    <w:p>
      <w:pPr>
        <w:pStyle w:val="BookText"/>
        <w:rPr/>
      </w:pPr>
      <w:r>
        <w:rPr>
          <w:rFonts w:ascii="IRNazanin" w:hAnsi="IRNazanin" w:eastAsia="IRNazanin"/>
          <w:color w:val="111111"/>
          <w:sz w:val="28"/>
          <w:sz w:val="28"/>
          <w:szCs w:val="28"/>
          <w:rtl w:val="true"/>
          <w:lang w:bidi="fa-IR"/>
        </w:rPr>
        <w:t xml:space="preserve">أ نّه لا خلاف فیه هنا، کما اعترف به فی الدروس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والأولویّة متبوعة ولو طرأت بعد الیمین، فلو کان البَرّ أولی فی الابتداء ثم صارت المخالفة أولی اُتبع ولا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عود الیمین بعودها بعد انحلالها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لو لم ینعقد ابتداءً للمرجوحیّة لم تَعُد وإن تجدّدت بعد ذلک، 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الکفّارة تجب بمخالفة مقتضی الثلاثة عمداً اختیاراً، فلو خالف ناسیاً أو مکرهاً أو جاهلاً فلا حنث؛ لرفع الخطأ والنسیان وما استکرهوا علیه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تجب الکفّارة تنحلّ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تنحلّ فی الباقی </w:t>
      </w:r>
      <w:r>
        <w:rPr>
          <w:rStyle w:val="FootnoteAnchor"/>
          <w:rtl w:val="true"/>
        </w:rPr>
        <w:footnoteReference w:id="226"/>
      </w:r>
      <w:r>
        <w:rPr>
          <w:rFonts w:ascii="IRNazanin" w:hAnsi="IRNazanin" w:eastAsia="IRNazanin"/>
          <w:color w:val="111111"/>
          <w:sz w:val="28"/>
          <w:sz w:val="28"/>
          <w:szCs w:val="28"/>
          <w:rtl w:val="true"/>
          <w:lang w:bidi="fa-IR"/>
        </w:rPr>
        <w:t xml:space="preserve">؟ وجهان، واستقرب المصنّف فی قواعده الانحلال؛ لحصول المخالفة وهی لا تتکرّر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افترقا بوجوب الکفّارة وعدمها</w:t>
      </w:r>
      <w:r>
        <w:rPr>
          <w:rFonts w:eastAsia="IRNazanin" w:cs="IRNazanin"/>
          <w:color w:val="111111"/>
          <w:sz w:val="28"/>
          <w:szCs w:val="28"/>
          <w:rtl w:val="true"/>
          <w:lang w:bidi="fa-IR"/>
        </w:rPr>
        <w:t>.</w:t>
      </w:r>
      <w:bookmarkStart w:id="74" w:name="pg19812_249252"/>
    </w:p>
    <w:p>
      <w:pPr>
        <w:pStyle w:val="Heading2"/>
        <w:numPr>
          <w:ilvl w:val="1"/>
          <w:numId w:val="1"/>
        </w:numPr>
        <w:rPr/>
      </w:pPr>
      <w:bookmarkStart w:id="75" w:name="__RefHeading___Toc2092808_2314609296"/>
      <w:bookmarkStart w:id="76" w:name="_Toc27"/>
      <w:bookmarkEnd w:id="74"/>
      <w:bookmarkEnd w:id="75"/>
      <w:r>
        <w:rPr>
          <w:rtl w:val="true"/>
        </w:rPr>
        <w:t>کتاب القضاء</w:t>
      </w:r>
      <w:bookmarkEnd w:id="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2092810_2314609296"/>
      <w:bookmarkStart w:id="78" w:name="_Toc28"/>
      <w:bookmarkEnd w:id="77"/>
      <w:r>
        <w:rPr>
          <w:rtl w:val="true"/>
        </w:rPr>
        <w:t>اشارة</w:t>
      </w:r>
      <w:bookmarkStart w:id="79" w:name="pg19812_249254"/>
      <w:bookmarkEnd w:id="78"/>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الحکم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کفایةً فی حقّ الصالحین له، إلّاأ نّه مع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الإمام علیه السلام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فلیزمه نصب قاضٍ فی الناحیة لیقوم به، ویجب علی من عیّنه الإجابة، ولو لم یعیِّن وجبت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أهلاً إلّاواحداً </w:t>
      </w:r>
      <w:r>
        <w:rPr>
          <w:rStyle w:val="FootnoteAnchor"/>
          <w:rtl w:val="true"/>
        </w:rPr>
        <w:footnoteReference w:id="228"/>
      </w:r>
      <w:r>
        <w:rPr>
          <w:rFonts w:ascii="IRNazanin" w:hAnsi="IRNazanin" w:eastAsia="IRNazanin"/>
          <w:color w:val="111111"/>
          <w:sz w:val="28"/>
          <w:sz w:val="28"/>
          <w:szCs w:val="28"/>
          <w:rtl w:val="true"/>
          <w:lang w:bidi="fa-IR"/>
        </w:rPr>
        <w:t>تعیّنت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به الإمام لزمه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استحبابه مع التعدّد عیناً قولان </w:t>
      </w:r>
      <w:r>
        <w:rPr>
          <w:rStyle w:val="FootnoteAnchor"/>
          <w:rtl w:val="true"/>
        </w:rPr>
        <w:footnoteReference w:id="229"/>
      </w:r>
      <w:r>
        <w:rPr>
          <w:rFonts w:ascii="IRNazanin" w:hAnsi="IRNazanin" w:eastAsia="IRNazanin"/>
          <w:color w:val="111111"/>
          <w:sz w:val="28"/>
          <w:sz w:val="28"/>
          <w:szCs w:val="28"/>
          <w:rtl w:val="true"/>
          <w:lang w:bidi="fa-IR"/>
        </w:rPr>
        <w:t>أجودهما ذلک مع الوثوق من نفسه بالقیام به</w:t>
      </w:r>
      <w:r>
        <w:rPr>
          <w:rFonts w:eastAsia="IRNazanin" w:cs="IRNazanin"/>
          <w:color w:val="111111"/>
          <w:sz w:val="28"/>
          <w:szCs w:val="28"/>
          <w:rtl w:val="true"/>
          <w:lang w:bidi="fa-IR"/>
        </w:rPr>
        <w:t>.</w:t>
      </w:r>
    </w:p>
    <w:p>
      <w:pPr>
        <w:pStyle w:val="Heading3"/>
        <w:numPr>
          <w:ilvl w:val="2"/>
          <w:numId w:val="1"/>
        </w:numPr>
        <w:rPr/>
      </w:pPr>
      <w:bookmarkStart w:id="80" w:name="__RefHeading___Toc2092812_2314609296"/>
      <w:bookmarkStart w:id="81" w:name="_Toc29"/>
      <w:bookmarkEnd w:id="80"/>
      <w:r>
        <w:rPr>
          <w:rtl w:val="true"/>
        </w:rPr>
        <w:t>[</w:t>
      </w:r>
      <w:r>
        <w:rPr>
          <w:rtl w:val="true"/>
        </w:rPr>
        <w:t xml:space="preserve">شروطی القاضی </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الغیبة ینفذ قضاء الفقیه الجامع لشرائط الإفتاء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والذکورة والإیمان والعدالة وطهارة المولد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والکتابة والحرّیة والبصر علی الأشهر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والنطق وغلبة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والاجتهاد فی الأحکام الشرعیّة واُصولها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بمعرفة المقدّمات الستّ،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والاُصول والنحو والتصریف ولغة العرب وشرائط الأدلة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والاُصول الأربعة وهی الکتاب والسنّة والإجماع ودلیل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یُعرف به اللّٰه تعالی وما یلزمه من صفات الجلال والإکرام وعدله 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ونبوّة نبیّنا صلی الله علیه و آله وعصمته وإمامة الأئمّة علیهم السلام کذلک، لیحصل الوثوق بخبرهم ویتحقّق الحجّة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والتصدیق بما جاء به النبیّ صلی الله علیه و آله من أحوال الدنیا والآخرة، کلّ ذلک بالدلیل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الزیادة علی ذلک بالاطلاع علی ما حقّقه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أحکام الجواهر والأعراض، وما اشتملت علیه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الحکمة والمقدّمات والاعتراضات وأجوبة الشبهات وإن وجب معرفته کفایةً من جهة اُخری </w:t>
      </w:r>
      <w:r>
        <w:rPr>
          <w:rStyle w:val="FootnoteAnchor"/>
          <w:rtl w:val="true"/>
        </w:rPr>
        <w:footnoteReference w:id="231"/>
      </w:r>
      <w:r>
        <w:rPr>
          <w:rFonts w:ascii="Amiri" w:hAnsi="Amiri" w:eastAsia="Amiri" w:cs="Amiri"/>
          <w:color w:val="111111"/>
          <w:sz w:val="28"/>
          <w:sz w:val="28"/>
          <w:szCs w:val="28"/>
          <w:rtl w:val="true"/>
          <w:lang w:bidi="ar-SA"/>
        </w:rPr>
        <w:t xml:space="preserve">ومن ثمّ صرّح جماعة من المحقّقین </w:t>
      </w:r>
      <w:r>
        <w:rPr>
          <w:rStyle w:val="FootnoteAnchor"/>
          <w:rtl w:val="true"/>
        </w:rPr>
        <w:footnoteReference w:id="232"/>
      </w:r>
      <w:r>
        <w:rPr>
          <w:rFonts w:ascii="IRNazanin" w:hAnsi="IRNazanin" w:eastAsia="IRNazanin"/>
          <w:color w:val="111111"/>
          <w:sz w:val="28"/>
          <w:sz w:val="28"/>
          <w:szCs w:val="28"/>
          <w:rtl w:val="true"/>
          <w:lang w:bidi="fa-IR"/>
        </w:rPr>
        <w:t>بأنّ الکلام لیس شرطاً فی التفقّه، فإنّ ما یتوقّف علیه منه مشترک بین سائر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یُعرف به أدلة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والنهی، والعموم والخصوص، والإطلاق والتقیید، والإجمال والبیان، وغیرها ممّا اشتملت علیه مقاصده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النحو والتصریف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یختلف المعنی باختلافه، لیحصل بسببه معرفة المراد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الاستقصاء فیه علی الوجه التامّ، بل یکفی الوسط منه فما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یحصل به فهم کلام اللّٰه ورسوله ونوّابه علیهم السلام بالحفظ، أو الرجوع إلی أصل مصحَّحٍ یشتمل علی معانی الألفاظ المتداولة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شرائط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الأشکال الاقترانیّة والاستثنائیّة، وما یتوقّف علیه من المعانی المفردة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الاستقصاء فی ذلک، بل یقتصر علی المجزئ منه، وما زاد علیه فهو مجرّد تضییع للعمر وترجئة للوقت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من الکتاب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ما یتعلّق بالأحکام وهو نحو من خمسمئة آیة، إمّا بحفظها، أو فهم مقتضاها لیرجع إلیها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ویتوقّف علی معرفة الناسخ منها من المنسوخ، ولو بالرجوع إلی أصلٍ یشتمل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Style w:val="FootnoteAnchor"/>
          <w:rtl w:val="true"/>
        </w:rPr>
        <w:footnoteReference w:id="233"/>
      </w:r>
      <w:r>
        <w:rPr>
          <w:rFonts w:ascii="IRNazanin" w:hAnsi="IRNazanin" w:eastAsia="IRNazanin"/>
          <w:color w:val="111111"/>
          <w:sz w:val="28"/>
          <w:sz w:val="28"/>
          <w:szCs w:val="28"/>
          <w:rtl w:val="true"/>
          <w:lang w:bidi="fa-IR"/>
        </w:rPr>
        <w:t>ما اشتمل منها علی الأحکام ولو فی أصلٍ مصحَّح رواه عن عدلٍ بسند متّصل إلی النبیّ والأئمّة، ویعرف الصحیح منها والحسن، والموثَّق والضعیف والموقوف والمرسل والمتواتر والآحاد، وغیرها من الاصطلاحات التی دوّنت فی درایة الحدیث، المفتقر إلیها فی استنباط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اُمور اصطلاحیّة توقیفیّة، لا مباحث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ویدخل فی اُصول الفقه معرفة أحوالها </w:t>
      </w:r>
      <w:r>
        <w:rPr>
          <w:rStyle w:val="FootnoteAnchor"/>
          <w:rtl w:val="true"/>
        </w:rPr>
        <w:footnoteReference w:id="234"/>
      </w:r>
      <w:r>
        <w:rPr>
          <w:rFonts w:ascii="IRNazanin" w:hAnsi="IRNazanin" w:eastAsia="IRNazanin"/>
          <w:color w:val="111111"/>
          <w:sz w:val="28"/>
          <w:sz w:val="28"/>
          <w:szCs w:val="28"/>
          <w:rtl w:val="true"/>
          <w:lang w:bidi="fa-IR"/>
        </w:rPr>
        <w:t>عند التعارض وکثیر من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الإجماع والخلاف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أنّ ما یُفتی به لا یخالف الإجماع، إمّا بوجود موافق من المتقدّمین، أو بغلبة ظنّه علی أ نّه واقعة متجدّدة لم یبحث عنها السابقون بحیث حصل فیها أحد الأمرین، لا معرفة کلّ مسألة أجمعوا علیها أو اختلفوا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ودلالة العقل من الاستصحاب والبراءة الأصلیّة وغیرهما داخلةٌ فی</w:t>
      </w:r>
    </w:p>
    <w:p>
      <w:pPr>
        <w:pStyle w:val="BookText"/>
        <w:rPr/>
      </w:pPr>
      <w:r>
        <w:rPr>
          <w:rFonts w:ascii="IRNazanin" w:hAnsi="IRNazanin" w:eastAsia="IRNazanin"/>
          <w:color w:val="111111"/>
          <w:sz w:val="28"/>
          <w:sz w:val="28"/>
          <w:szCs w:val="28"/>
          <w:rtl w:val="true"/>
          <w:lang w:bidi="fa-IR"/>
        </w:rPr>
        <w:t>الاُصول، وکذا معرفة ما یحتجّ به من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یشتمل کثیر من مختصرات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کالتهذیب </w:t>
      </w:r>
      <w:r>
        <w:rPr>
          <w:rStyle w:val="FootnoteAnchor"/>
          <w:rtl w:val="true"/>
        </w:rPr>
        <w:footnoteReference w:id="235"/>
      </w:r>
      <w:r>
        <w:rPr>
          <w:rFonts w:ascii="IRNazanin" w:hAnsi="IRNazanin" w:eastAsia="IRNazanin"/>
          <w:color w:val="111111"/>
          <w:sz w:val="28"/>
          <w:sz w:val="28"/>
          <w:szCs w:val="28"/>
          <w:rtl w:val="true"/>
          <w:lang w:bidi="fa-IR"/>
        </w:rPr>
        <w:t>ومختصر الاُصول لابن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یحتاج إلیه من شرائط الدلیل المدوّن فی علم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کتب النحو علی ما یحتاج إلیه من التصریف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یشترط مع ذلک کلّه أن یکون له قوّة یتمکّن بها من ردّ الفروع إلی اُصولها واستنباطها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هی العمدة فی هذا الباب، وإلّا فتحصیل تلک المقدّمات قد صارت فی زماننا سهلة </w:t>
      </w:r>
      <w:r>
        <w:rPr>
          <w:rStyle w:val="FootnoteAnchor"/>
          <w:rtl w:val="true"/>
        </w:rPr>
        <w:footnoteReference w:id="236"/>
      </w:r>
      <w:r>
        <w:rPr>
          <w:rFonts w:ascii="Amiri" w:hAnsi="Amiri" w:eastAsia="Amiri" w:cs="Amiri"/>
          <w:color w:val="111111"/>
          <w:sz w:val="28"/>
          <w:sz w:val="28"/>
          <w:szCs w:val="28"/>
          <w:rtl w:val="true"/>
          <w:lang w:bidi="ar-SA"/>
        </w:rPr>
        <w:t>لکثرة ما حقّقه العلماء والفقهاء فیها وفی بیان استعمالها، وإنّما تلک القوّة بید اللّٰه تعالی یؤتیها من یشاء من عباده علی وفق حکمته ومراده، ولکثرة المجاهدة والممارسة لأهلها مدخل عظیم فی تحصیلها وَ اَلَّذِینَ جٰاهَدُوا فِینٰا لَنَهْدِیَنَّهُمْ سُبُلَنٰا وَ إِنَّ اَللّٰهَ لَمَعَ اَلْمُحْسِنِینَ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تحقّق المفتی بهذا الوصف وجب علی الناس الترافع إلیه وقبول قوله والتزام حکمه؛ لأنّه منصوب من الإمام علیه السلام علی العموم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رجل منکم قد روی حدیثنا وعرف أحکامنا فاجعلوه قاضیاً، فإنّی قد جعلته قاضیاً، فتحاکموا إلیه</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فارضوا به حکماً، فإنّی قد جعلته علیکم حاکماً،</w:t>
      </w:r>
    </w:p>
    <w:p>
      <w:pPr>
        <w:pStyle w:val="BookText"/>
        <w:rPr/>
      </w:pPr>
      <w:r>
        <w:rPr>
          <w:rFonts w:ascii="Amiri" w:hAnsi="Amiri" w:eastAsia="Amiri" w:cs="Amiri"/>
          <w:color w:val="111111"/>
          <w:sz w:val="28"/>
          <w:sz w:val="28"/>
          <w:szCs w:val="28"/>
          <w:rtl w:val="true"/>
          <w:lang w:bidi="ar-SA"/>
        </w:rPr>
        <w:t>فإذا حکم بحکمنا فلم یقبل منه، فإنّما بحکم اللّٰه استخفّ وعلینا ردّ، والرّادُ علینا رادّ علی اللّٰه، وهو علی حدّ الشرک باللّٰه عزّ وجل</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عدل عنه إلی قضاة الجور کان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 لأنّ ذلک کبیرة عندنا، ففی مقبول عمر بن حنظلة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تحاکم إلی طاغوتٍ فحکم له فإنّما یأخذ سُحتاً وإن کان حقّه ثابتاً؛ لأنّه أخذه بحکم الطاغوت، وقد أمر اللّٰه أن یکفر بها</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ومثله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وتثبت ولایة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إخبار جماعة به یغلب علی الظنّ صدقهم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بین یدی حاکم، بل یثبت بهما أمره عند کلّ من سمعهما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بالواحد، ولا بقوله وإن شهدت له القرائن، ولا بالخطّ مع أمن التزویر، مع احتماله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القاضی المنصوب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وطهارة المولد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فیها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وأهلیّة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بالاُمور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والذکورة، والکتابة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لعسر الضبط بدونها لغیر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لافتقاره إلی التمییز بین الخصوم، وتعذّر ذلک مع العمی فی حقّ غیر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لیسا بشرط </w:t>
      </w:r>
      <w:r>
        <w:rPr>
          <w:rStyle w:val="FootnoteAnchor"/>
          <w:rtl w:val="true"/>
        </w:rPr>
        <w:footnoteReference w:id="241"/>
      </w:r>
      <w:r>
        <w:rPr>
          <w:rFonts w:ascii="IRNazanin" w:hAnsi="IRNazanin" w:eastAsia="IRNazanin"/>
          <w:color w:val="111111"/>
          <w:sz w:val="28"/>
          <w:sz w:val="28"/>
          <w:szCs w:val="28"/>
          <w:rtl w:val="true"/>
          <w:lang w:bidi="fa-IR"/>
        </w:rPr>
        <w:t>لانتفاء الأوّل فی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فی شعیب علیه السلام، ولإمکان الضبط بدونهما بالحفظ والشهود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من الشرائط التی اعتبرها المصنّف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الحفظ، وانتفاء</w:t>
      </w:r>
      <w:bookmarkStart w:id="82" w:name="pg19812_249259"/>
    </w:p>
    <w:p>
      <w:pPr>
        <w:pStyle w:val="BookText"/>
        <w:rPr/>
      </w:pPr>
      <w:bookmarkEnd w:id="82"/>
      <w:r>
        <w:rPr>
          <w:rFonts w:ascii="IRNazanin" w:hAnsi="IRNazanin" w:eastAsia="IRNazanin"/>
          <w:color w:val="111111"/>
          <w:sz w:val="28"/>
          <w:sz w:val="28"/>
          <w:szCs w:val="28"/>
          <w:rtl w:val="true"/>
          <w:lang w:bidi="fa-IR"/>
        </w:rPr>
        <w:t>الخَرَس، والحرّیة، علی خلافٍ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دخول الأوّل فی شرط الکمال، وعدم اعتبار الأخیر هنا، مع أ نّه قطع به فی الدروس </w:t>
      </w:r>
      <w:r>
        <w:rPr>
          <w:rStyle w:val="FootnoteAnchor"/>
          <w:rtl w:val="true"/>
        </w:rPr>
        <w:footnoteReference w:id="242"/>
      </w:r>
      <w:r>
        <w:rPr>
          <w:rFonts w:ascii="IRNazanin" w:hAnsi="IRNazanin" w:eastAsia="IRNazanin"/>
          <w:color w:val="111111"/>
          <w:sz w:val="28"/>
          <w:sz w:val="28"/>
          <w:szCs w:val="28"/>
          <w:rtl w:val="true"/>
          <w:lang w:bidi="fa-IR"/>
        </w:rPr>
        <w:t xml:space="preserve">ولیس دخول الثانی فی الکمال أولی من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اللازم ذکره، أو إدخال الجمیع فی الکمال</w:t>
      </w:r>
      <w:r>
        <w:rPr>
          <w:rFonts w:eastAsia="IRNazanin" w:cs="IRNazanin"/>
          <w:color w:val="111111"/>
          <w:sz w:val="28"/>
          <w:szCs w:val="28"/>
          <w:rtl w:val="true"/>
          <w:lang w:bidi="fa-IR"/>
        </w:rPr>
        <w:t>.</w:t>
      </w:r>
    </w:p>
    <w:p>
      <w:pPr>
        <w:pStyle w:val="Heading3"/>
        <w:numPr>
          <w:ilvl w:val="2"/>
          <w:numId w:val="1"/>
        </w:numPr>
        <w:rPr/>
      </w:pPr>
      <w:bookmarkStart w:id="83" w:name="__RefHeading___Toc2092814_2314609296"/>
      <w:bookmarkStart w:id="84" w:name="_Toc30"/>
      <w:bookmarkEnd w:id="83"/>
      <w:r>
        <w:rPr>
          <w:rtl w:val="true"/>
        </w:rPr>
        <w:t>[</w:t>
      </w:r>
      <w:r>
        <w:rPr>
          <w:rtl w:val="true"/>
        </w:rPr>
        <w:t>الکلام فی قاضی التحکیم</w:t>
      </w:r>
      <w:r>
        <w:rPr>
          <w:rtl w:val="true"/>
        </w:rPr>
        <w:t>]</w:t>
      </w:r>
      <w:bookmarkEnd w:id="84"/>
    </w:p>
    <w:p>
      <w:pPr>
        <w:pStyle w:val="BookText"/>
        <w:rPr/>
      </w:pPr>
      <w:r>
        <w:rPr>
          <w:rFonts w:ascii="IRNazanin" w:hAnsi="IRNazanin" w:eastAsia="IRNazanin"/>
          <w:color w:val="111111"/>
          <w:sz w:val="28"/>
          <w:sz w:val="28"/>
          <w:szCs w:val="28"/>
          <w:rtl w:val="true"/>
          <w:lang w:bidi="fa-IR"/>
        </w:rPr>
        <w:t xml:space="preserve">وهذه الشرائط کلّها معتبرة فی القاضی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قاضی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تراضی به الخصمان لیحکم </w:t>
      </w:r>
      <w:r>
        <w:rPr>
          <w:rStyle w:val="FootnoteAnchor"/>
          <w:rtl w:val="true"/>
        </w:rPr>
        <w:footnoteReference w:id="243"/>
      </w:r>
      <w:r>
        <w:rPr>
          <w:rFonts w:ascii="IRNazanin" w:hAnsi="IRNazanin" w:eastAsia="IRNazanin"/>
          <w:color w:val="111111"/>
          <w:sz w:val="28"/>
          <w:sz w:val="28"/>
          <w:szCs w:val="28"/>
          <w:rtl w:val="true"/>
          <w:lang w:bidi="fa-IR"/>
        </w:rPr>
        <w:t>بینهما مع وجود قاضٍ منصوبٍ من قِبَل الإمام علیه السلام وذلک فی حال حضوره، فإنّ حکمه ماضٍ علیهما وإن لم یستجمع جمیع هذه الشرائط</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مقتضی العبارة، ولکن لیس المراد أ نّه یجوز خلوّه منها أجمع، فإنّ استجماعه لشرائط الفتوی شرط إجماعاً، وکذا بلوغه وعقله وطهارة مولده وغلبة حفظه وعدالته، وإنّما یقع الاشتباه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فی الدروس قطع بأنّ شروط قاضی التحکیم هی شروط القاضی المنصوب أجمع من غیر استثناء </w:t>
      </w:r>
      <w:r>
        <w:rPr>
          <w:rStyle w:val="FootnoteAnchor"/>
          <w:rtl w:val="true"/>
        </w:rPr>
        <w:footnoteReference w:id="244"/>
      </w:r>
      <w:r>
        <w:rPr>
          <w:rFonts w:ascii="IRNazanin" w:hAnsi="IRNazanin" w:eastAsia="IRNazanin"/>
          <w:color w:val="111111"/>
          <w:sz w:val="28"/>
          <w:sz w:val="28"/>
          <w:szCs w:val="28"/>
          <w:rtl w:val="true"/>
          <w:lang w:bidi="fa-IR"/>
        </w:rPr>
        <w:t xml:space="preserve">وکذلک قطع به المحقّق فی الشرائع </w:t>
      </w:r>
      <w:r>
        <w:rPr>
          <w:rStyle w:val="FootnoteAnchor"/>
          <w:rtl w:val="true"/>
        </w:rPr>
        <w:footnoteReference w:id="245"/>
      </w:r>
      <w:r>
        <w:rPr>
          <w:rFonts w:ascii="IRNazanin" w:hAnsi="IRNazanin" w:eastAsia="IRNazanin"/>
          <w:color w:val="111111"/>
          <w:sz w:val="28"/>
          <w:sz w:val="28"/>
          <w:szCs w:val="28"/>
          <w:rtl w:val="true"/>
          <w:lang w:bidi="fa-IR"/>
        </w:rPr>
        <w:t xml:space="preserve">والعلّامة فی کتبه </w:t>
      </w:r>
      <w:r>
        <w:rPr>
          <w:rStyle w:val="FootnoteAnchor"/>
          <w:rtl w:val="true"/>
        </w:rPr>
        <w:footnoteReference w:id="246"/>
      </w:r>
      <w:r>
        <w:rPr>
          <w:rFonts w:ascii="IRNazanin" w:hAnsi="IRNazanin" w:eastAsia="IRNazanin"/>
          <w:color w:val="111111"/>
          <w:sz w:val="28"/>
          <w:sz w:val="28"/>
          <w:szCs w:val="28"/>
          <w:rtl w:val="true"/>
          <w:lang w:bidi="fa-IR"/>
        </w:rPr>
        <w:t>وولده فخر المحقّقین فی الشرح، فإنّه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التحکیم الشرعی هو أن یُحکِّم الخصمان واحداً جامعاً لشرائط الحکم سوی نصّ من له تولیته شرعاً علیه بولایة القضاء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حمل هذه العبارة علی ذلک بجعله استثناءً من اعتبار جمیع الشرائط کلّها التی من جملتها تولیته المدلول علیه بقوله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وتثبت ولایة القاضی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ذَکَر باقی الشرائط، فیصیر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یشترط فی القاضی اجتماع ما ذکر إلّاقاضی التحکیم، فلا یشترط فیه اجتماعها؛ لصحّته بدون 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الأنسب بفتوی المصنّف والأصحاب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علی بعدٍ أن یستثنی مع الشرط المذکور أمر آخر، بأن لا یعتبر المصنّف هنا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حکمه فی واقعة أو وقائع خاصّة یمکن ضبطها بدونهما، أو لا یجب علیه ضبطها؛ لأنّه قاضی تراضٍ من الخصمین، فقد قدما علی ذلک، ومن أراد منهما ضبط ما یحتاج إلیه أشهد علیه؛ مع أنّ فی الشرطین خلافاً فی مطلق القاضی، ففیه أولی بالجواز؛ لانتفاء المانع الواردِ فی العامِّ بکثرة الوقائع وعسر الضبط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الذکوریّة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ینقل أحد فیها خلافاً، ویبعد اختصاص قاضی التحکیم بعدم اشتراطها وإن کان محتملاً، ولا ضرورة بنا إلی استثنائها؛ لأنّ الاستثناء هو المجموع، لا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قاضی التحکیم لا یتصوّر فی حال الغیبة مطلقاً؛ لأنّه إن کان مجتهداً نفذ حکمه بغیر </w:t>
      </w:r>
      <w:r>
        <w:rPr>
          <w:rStyle w:val="FootnoteAnchor"/>
          <w:rtl w:val="true"/>
        </w:rPr>
        <w:footnoteReference w:id="248"/>
      </w:r>
      <w:r>
        <w:rPr>
          <w:rFonts w:ascii="IRNazanin" w:hAnsi="IRNazanin" w:eastAsia="IRNazanin"/>
          <w:color w:val="111111"/>
          <w:sz w:val="28"/>
          <w:sz w:val="28"/>
          <w:szCs w:val="28"/>
          <w:rtl w:val="true"/>
          <w:lang w:bidi="fa-IR"/>
        </w:rPr>
        <w:t>تحکیم، وإلّا لم ینفذ حکمه مطلقاً إجماعاً، وإنّما یتحقّق مع جمعه للشرائط حال حضوره علیه السلام وعدم نصبه،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تحرّر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شرط فی القاضی فی جمیع الأزمان والأحوال، وهو موضع وفاق</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یشترط فی نفوذ حکم قاضی التحکیم تراضی الخصمین به بعده؟</w:t>
      </w:r>
      <w:bookmarkStart w:id="85" w:name="pg19812_249261"/>
    </w:p>
    <w:p>
      <w:pPr>
        <w:pStyle w:val="BookText"/>
        <w:rPr/>
      </w:pPr>
      <w:bookmarkEnd w:id="85"/>
      <w:r>
        <w:rPr>
          <w:rFonts w:ascii="IRNazanin" w:hAnsi="IRNazanin" w:eastAsia="IRNazanin"/>
          <w:color w:val="111111"/>
          <w:sz w:val="28"/>
          <w:sz w:val="28"/>
          <w:szCs w:val="28"/>
          <w:rtl w:val="true"/>
          <w:lang w:bidi="fa-IR"/>
        </w:rPr>
        <w:t xml:space="preserve">قولان </w:t>
      </w:r>
      <w:r>
        <w:rPr>
          <w:rStyle w:val="FootnoteAnchor"/>
          <w:rtl w:val="true"/>
        </w:rPr>
        <w:footnoteReference w:id="249"/>
      </w:r>
      <w:r>
        <w:rPr>
          <w:rFonts w:ascii="IRNazanin" w:hAnsi="IRNazanin" w:eastAsia="IRNazanin"/>
          <w:color w:val="111111"/>
          <w:sz w:val="28"/>
          <w:sz w:val="28"/>
          <w:szCs w:val="28"/>
          <w:rtl w:val="true"/>
          <w:lang w:bidi="fa-IR"/>
        </w:rPr>
        <w:t xml:space="preserve">أجودهما العدم عملاً بإطلاق النصوص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2092816_2314609296"/>
      <w:bookmarkStart w:id="87" w:name="_Toc31"/>
      <w:bookmarkEnd w:id="86"/>
      <w:r>
        <w:rPr>
          <w:rtl w:val="true"/>
        </w:rPr>
        <w:t>[</w:t>
      </w:r>
      <w:r>
        <w:rPr>
          <w:rtl w:val="true"/>
        </w:rPr>
        <w:t>حکم ارتزاق القاضی و اجرته</w:t>
      </w:r>
      <w:r>
        <w:rPr>
          <w:rtl w:val="true"/>
        </w:rPr>
        <w:t>]</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ارتزاق القاضی من بیت المال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الارتزاق لعدم المال أو الوصلة إلیه، سواء تعیّن القضاء علیه أم لا؛ لأنّ بیت المال مُعدّ للمصالح وهو من أعظمها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مع تعیّنه علیه لوجوبه </w:t>
      </w:r>
      <w:r>
        <w:rPr>
          <w:rStyle w:val="FootnoteAnchor"/>
          <w:rtl w:val="true"/>
        </w:rPr>
        <w:footnoteReference w:id="251"/>
      </w:r>
      <w:r>
        <w:rPr>
          <w:rFonts w:ascii="Amiri" w:hAnsi="Amiri" w:eastAsia="Amiri" w:cs="Amiri"/>
          <w:color w:val="111111"/>
          <w:sz w:val="28"/>
          <w:sz w:val="28"/>
          <w:szCs w:val="28"/>
          <w:rtl w:val="true"/>
          <w:lang w:bidi="ar-SA"/>
        </w:rPr>
        <w:t>ویضعّف بأنّ المنع حینئذٍ من الاُجرة، لا من 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غیرهم؛ لأنّه فی معنی الرشا</w:t>
      </w:r>
      <w:r>
        <w:rPr>
          <w:rFonts w:eastAsia="IRNazanin" w:cs="IRNazanin"/>
          <w:color w:val="111111"/>
          <w:sz w:val="28"/>
          <w:szCs w:val="28"/>
          <w:rtl w:val="true"/>
          <w:lang w:bidi="fa-IR"/>
        </w:rPr>
        <w:t>.</w:t>
      </w:r>
    </w:p>
    <w:p>
      <w:pPr>
        <w:pStyle w:val="Heading3"/>
        <w:numPr>
          <w:ilvl w:val="2"/>
          <w:numId w:val="1"/>
        </w:numPr>
        <w:rPr/>
      </w:pPr>
      <w:bookmarkStart w:id="88" w:name="__RefHeading___Toc2092818_2314609296"/>
      <w:bookmarkStart w:id="89" w:name="_Toc32"/>
      <w:bookmarkEnd w:id="88"/>
      <w:r>
        <w:rPr>
          <w:rtl w:val="true"/>
        </w:rPr>
        <w:t>[</w:t>
      </w:r>
      <w:r>
        <w:rPr>
          <w:rtl w:val="true"/>
        </w:rPr>
        <w:t xml:space="preserve">المرتزقه من بیت المال </w:t>
      </w:r>
      <w:r>
        <w:rPr>
          <w:rtl w:val="true"/>
        </w:rPr>
        <w:t>]</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والمرتزقة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 والقاسم، والکاتب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أو لضبط بیت المال أو الحجج، ونحوها من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ومعلّم القرآن والآداب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کالعربیّة وعلم الأخلاق الفاضلة،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بیده ضبط القضاة والجند وأرزاقهم ونحوها من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یحفظه ویضبطه ویعطی منه ما یؤمر به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الارتزاق منحصراً فیمن ذُکر، بل مصرفه کلّ مصلحة من مصالح الإسلام لیس لها جهة غیره أو قصرت جهتها عنها</w:t>
      </w:r>
      <w:r>
        <w:rPr>
          <w:rFonts w:eastAsia="IRNazanin" w:cs="IRNazanin"/>
          <w:color w:val="111111"/>
          <w:sz w:val="28"/>
          <w:szCs w:val="28"/>
          <w:rtl w:val="true"/>
          <w:lang w:bidi="fa-IR"/>
        </w:rPr>
        <w:t>.</w:t>
      </w:r>
    </w:p>
    <w:p>
      <w:pPr>
        <w:pStyle w:val="Heading3"/>
        <w:numPr>
          <w:ilvl w:val="2"/>
          <w:numId w:val="1"/>
        </w:numPr>
        <w:rPr/>
      </w:pPr>
      <w:bookmarkStart w:id="90" w:name="__RefHeading___Toc2092820_2314609296"/>
      <w:bookmarkStart w:id="91" w:name="_Toc33"/>
      <w:bookmarkEnd w:id="90"/>
      <w:r>
        <w:rPr>
          <w:rtl w:val="true"/>
        </w:rPr>
        <w:t>[</w:t>
      </w:r>
      <w:r>
        <w:rPr>
          <w:rtl w:val="true"/>
        </w:rPr>
        <w:t xml:space="preserve">الکلام فی ما یجب علی القاضی </w:t>
      </w:r>
      <w:r>
        <w:rPr>
          <w:rtl w:val="true"/>
        </w:rPr>
        <w:t>]</w:t>
      </w:r>
      <w:bookmarkEnd w:id="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 القاضی التسویة بین الخصمین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وردّه إذا 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کالإذن فی الدخول والقیام والمجلس وطلاقة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منهما إذا وقع منه ما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سلّار والعلّامة فی المختلف إلی أنّ التسویة بینهما مستحبّة </w:t>
      </w:r>
      <w:r>
        <w:rPr>
          <w:rStyle w:val="FootnoteAnchor"/>
          <w:rtl w:val="true"/>
        </w:rPr>
        <w:footnoteReference w:id="252"/>
      </w:r>
      <w:r>
        <w:rPr>
          <w:rFonts w:ascii="Amiri" w:hAnsi="Amiri" w:eastAsia="Amiri" w:cs="Amiri"/>
          <w:color w:val="111111"/>
          <w:sz w:val="28"/>
          <w:sz w:val="28"/>
          <w:szCs w:val="28"/>
          <w:rtl w:val="true"/>
          <w:lang w:bidi="ar-SA"/>
        </w:rPr>
        <w:t xml:space="preserve">عملاً بأصالة البراءة، واستضعافاً لمستند الوجوب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کانا مسلمین أو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أحدهما مسلماً والآخر کافراً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أن یرفع المسلم علی الکافر فی المجلس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صوریّاً، أو معنویّاً، کقربه إلی القاضی أو علی یمینه، کما جلس علیّ علیه السلام بجنب شریح فی خصومة له مع یهودیّ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یجلس المسلم مع قیام الکافر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تجب التسویة بینهما فیما عدا ذلک؟ ظاهر العبارة وغیرها ذلک، ویحتمل تعدّیه إلی غیره من وجوه الإکرام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تجب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الخصمین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المیل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غضاضة فیه علی الناقص، ولا إدلال للمتّصف؛ لعدم اطّلاعهما ولا غیرهما</w:t>
      </w:r>
      <w:bookmarkStart w:id="92" w:name="pg19812_249263"/>
    </w:p>
    <w:p>
      <w:pPr>
        <w:pStyle w:val="BookText"/>
        <w:rPr/>
      </w:pPr>
      <w:bookmarkEnd w:id="92"/>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تستحبّ التسویة فیه ما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بدر أحد الخصمین بالدعوی </w:t>
      </w:r>
      <w:r>
        <w:rPr>
          <w:rStyle w:val="FootnoteAnchor"/>
          <w:rtl w:val="true"/>
        </w:rPr>
        <w:footnoteReference w:id="256"/>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تلک الدعوی لا جمیع ما یریده منها، ولو 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یلتفت إلیه حتی تنتهی تلک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ابتدرا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الذی علی یمین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واحدة، ثم سُمع دعوی الآخر؛ لروایة محمّد بن مسلم عن الباقر علیه السلام </w:t>
      </w:r>
      <w:r>
        <w:rPr>
          <w:rStyle w:val="FootnoteAnchor"/>
          <w:rtl w:val="true"/>
        </w:rPr>
        <w:footnoteReference w:id="257"/>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یُقرع بینهما </w:t>
      </w:r>
      <w:r>
        <w:rPr>
          <w:rStyle w:val="FootnoteAnchor"/>
          <w:rtl w:val="true"/>
        </w:rPr>
        <w:footnoteReference w:id="258"/>
      </w:r>
      <w:r>
        <w:rPr>
          <w:rFonts w:ascii="IRNazanin" w:hAnsi="IRNazanin" w:eastAsia="IRNazanin"/>
          <w:color w:val="111111"/>
          <w:sz w:val="28"/>
          <w:sz w:val="28"/>
          <w:szCs w:val="28"/>
          <w:rtl w:val="true"/>
          <w:lang w:bidi="fa-IR"/>
        </w:rPr>
        <w:t xml:space="preserve">لورودها لکلّ مشکل </w:t>
      </w:r>
      <w:r>
        <w:rPr>
          <w:rStyle w:val="FootnoteAnchor"/>
          <w:rtl w:val="true"/>
        </w:rPr>
        <w:footnoteReference w:id="259"/>
      </w:r>
      <w:r>
        <w:rPr>
          <w:rFonts w:ascii="IRNazanin" w:hAnsi="IRNazanin" w:eastAsia="IRNazanin"/>
          <w:color w:val="111111"/>
          <w:sz w:val="28"/>
          <w:sz w:val="28"/>
          <w:szCs w:val="28"/>
          <w:rtl w:val="true"/>
          <w:lang w:bidi="fa-IR"/>
        </w:rPr>
        <w:t>وهذا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تزاحم الطلبة عند مدرِّسٍ والمستفتون عند المفتی مع وجوب التعلیم والإفتاء، لکن هنا یقدّم الأسبق، فإن جُهل، أو جاؤوا معاً اُقرع بینهم، ولو جمعهم علی درسٍ واحد مع تقارب أفهامهم جاز،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أن یسکت حتی یتکلّما، وإن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لیتکلّم المدّعی منکما، أو 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یأمر من یقول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تخصیص أحدهما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الترجیح الذی أقلّ مراتبه الکراهة</w:t>
      </w:r>
      <w:r>
        <w:rPr>
          <w:rFonts w:eastAsia="IRNazanin" w:cs="IRNazanin"/>
          <w:color w:val="111111"/>
          <w:sz w:val="28"/>
          <w:szCs w:val="28"/>
          <w:rtl w:val="true"/>
          <w:lang w:bidi="fa-IR"/>
        </w:rPr>
        <w:t>.</w:t>
      </w:r>
    </w:p>
    <w:p>
      <w:pPr>
        <w:pStyle w:val="Heading3"/>
        <w:numPr>
          <w:ilvl w:val="2"/>
          <w:numId w:val="1"/>
        </w:numPr>
        <w:rPr/>
      </w:pPr>
      <w:bookmarkStart w:id="93" w:name="__RefHeading___Toc2092822_2314609296"/>
      <w:bookmarkStart w:id="94" w:name="_Toc34"/>
      <w:bookmarkEnd w:id="93"/>
      <w:r>
        <w:rPr>
          <w:rtl w:val="true"/>
        </w:rPr>
        <w:t>[</w:t>
      </w:r>
      <w:r>
        <w:rPr>
          <w:rtl w:val="true"/>
        </w:rPr>
        <w:t>حرمة الرشوة</w:t>
      </w:r>
      <w:r>
        <w:rPr>
          <w:rtl w:val="true"/>
        </w:rPr>
        <w:t>]</w:t>
      </w:r>
      <w:bookmarkEnd w:id="9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وتحرم الرشوة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الراء وکسرها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أخذه مالاً من أحدهما أو منهما أو من غیرهما علی الحکم أو الهدایة إلی شیءٍ من وجوهه سواء حکم لباذلها بحقّ أم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تحریمها إجماع المسلمین، وعن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الکفر باللّٰه ورسوله</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وکما تحرم علی المرتشی تحرم علی المعطی؛ لإعانته علی</w:t>
      </w:r>
    </w:p>
    <w:p>
      <w:pPr>
        <w:pStyle w:val="BookText"/>
        <w:rPr/>
      </w:pPr>
      <w:r>
        <w:rPr>
          <w:rFonts w:ascii="IRNazanin" w:hAnsi="IRNazanin" w:eastAsia="IRNazanin"/>
          <w:color w:val="111111"/>
          <w:sz w:val="28"/>
          <w:sz w:val="28"/>
          <w:szCs w:val="28"/>
          <w:rtl w:val="true"/>
          <w:lang w:bidi="fa-IR"/>
        </w:rPr>
        <w:t xml:space="preserve">الإثم والعدوان، إلّاأن یتوقّف علیها تحصیل حقّه، فتحرم علی المرتشی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وجودها، ومع تلفها المثل أو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وتلقین أحد الخصمین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فیه ضرر علی خصمه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ادّعی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وضح الحکم لزم القضاء إذا التمسه المقضیّ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أو قضیت أو أنفذت أو مضیت أو ألزمت، ولا 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دعواک 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إلیه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أمره بأخذه العین أو التصرّف فیها قول جزم به العلّامة </w:t>
      </w:r>
      <w:r>
        <w:rPr>
          <w:rStyle w:val="FootnoteAnchor"/>
          <w:rtl w:val="true"/>
        </w:rPr>
        <w:footnoteReference w:id="261"/>
      </w:r>
      <w:r>
        <w:rPr>
          <w:rFonts w:ascii="Amiri" w:hAnsi="Amiri" w:eastAsia="Amiri" w:cs="Amiri"/>
          <w:color w:val="111111"/>
          <w:sz w:val="28"/>
          <w:sz w:val="28"/>
          <w:szCs w:val="28"/>
          <w:rtl w:val="true"/>
          <w:lang w:bidi="ar-SA"/>
        </w:rPr>
        <w:t xml:space="preserve">وتوقّف المصنّف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قبلَ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ترغیبهما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حکم بمقتضی الشرع، فإن اشتبه أرجأ حتی یتبیّن، وعلیه الاجتهاد فی تحصیله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أن 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إسقاط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یتّخذ حاجباً وقتَ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لنهی النبیّ صلی الله علیه و آله عنه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یقضی مع اشتغال القلب بنعاسٍ أو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أوغضبٍ أو جوعٍ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شبعٍ مفرطین أو مدافعة الأخبثین أو وجع، ولو قضی مع وجود أحدها نفذ</w:t>
      </w:r>
      <w:r>
        <w:rPr>
          <w:rFonts w:eastAsia="IRNazanin" w:cs="IRNazanin"/>
          <w:color w:val="111111"/>
          <w:sz w:val="28"/>
          <w:szCs w:val="28"/>
          <w:rtl w:val="true"/>
          <w:lang w:bidi="fa-IR"/>
        </w:rPr>
        <w:t>.</w:t>
      </w:r>
      <w:bookmarkStart w:id="95" w:name="pg19812_249265"/>
    </w:p>
    <w:p>
      <w:pPr>
        <w:pStyle w:val="Heading3"/>
        <w:numPr>
          <w:ilvl w:val="2"/>
          <w:numId w:val="1"/>
        </w:numPr>
        <w:rPr/>
      </w:pPr>
      <w:bookmarkStart w:id="96" w:name="__RefHeading___Toc2092824_2314609296"/>
      <w:bookmarkStart w:id="97" w:name="_Toc35"/>
      <w:bookmarkEnd w:id="95"/>
      <w:bookmarkEnd w:id="96"/>
      <w:r>
        <w:rPr>
          <w:rtl w:val="true"/>
        </w:rPr>
        <w:t>«</w:t>
      </w:r>
      <w:r>
        <w:rPr>
          <w:rtl w:val="true"/>
        </w:rPr>
        <w:t>القول فی کیفیّة الحکم</w:t>
      </w:r>
      <w:r>
        <w:rPr>
          <w:rtl w:val="true"/>
        </w:rPr>
        <w:t>»</w:t>
      </w:r>
      <w:bookmarkEnd w:id="97"/>
    </w:p>
    <w:p>
      <w:pPr>
        <w:pStyle w:val="Heading4"/>
        <w:numPr>
          <w:ilvl w:val="3"/>
          <w:numId w:val="1"/>
        </w:numPr>
        <w:rPr/>
      </w:pPr>
      <w:bookmarkStart w:id="98" w:name="__RefHeading___Toc2092826_2314609296"/>
      <w:bookmarkStart w:id="99" w:name="_Toc36"/>
      <w:bookmarkEnd w:id="98"/>
      <w:r>
        <w:rPr>
          <w:rtl w:val="true"/>
        </w:rPr>
        <w:t>اشارة</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کیفیّة الحکم</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100" w:name="__RefHeading___Toc2092828_2314609296"/>
      <w:bookmarkStart w:id="101" w:name="_Toc37"/>
      <w:bookmarkEnd w:id="100"/>
      <w:r>
        <w:rPr>
          <w:rtl w:val="true"/>
        </w:rPr>
        <w:t>[</w:t>
      </w:r>
      <w:r>
        <w:rPr>
          <w:rtl w:val="true"/>
        </w:rPr>
        <w:t xml:space="preserve">المراد من المدعی و المنکر </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هو الذی 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الخصومة، وهو المعبّر عنه بأ نّه الذی یُخلّی وسکوته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یخالف قوله الأصل أو الظاهر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والمنکر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یختلف موجبها غالباً، کما إذا طالب زید عَمراً بدین فی ذمّته أو عینٍ فی یده فأنکر، فزید لو سکت تُرِک، ویخالف قوله الأصل؛ لأصالة براءة ذمّة عمرو من الدین وعدم تعلّق حق زید بالعین، ویخالف قوله الظاهر من براءة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لا یُترک، ویوافق قوله الأصل 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مدّعی علیه وزید مدّعٍ علی الجمیع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یختلف، کما إذا أسلم زوجان قبل الدخول، فقال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أسلمنا معاً فالنکاح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مرتّباً، فلا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الأوّلین مدّعیة؛ لأنّها لو ترکت الخصومة لتُرکت واستمرّ النکاح المعلوم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 لا یُترک لو سکت؛ لزعمها انفساخ النکاح، والأصل عدم التعاقب؛ لاستدعائه تقدّم أحد الحادثین علی الآخر والأصل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الظاهر الزوج مدّعٍ، لبُعد التساوق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الأوّلین یحلف الزوج ویستمرّ النکاح، وعلی الثالث تحلف المرأة ویبطل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ادّعی الزوج الإنفاق مع اجتماعهما ویساره وأنکرته، فمعه الظاهر، ومعها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عُرف المدّعی فادّعی دعویً ملزمة معلومة جازمة قُبلت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تخلّف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کدعوی هبة غیر مقبوضة، أو وقف کذلک أو رهن عند مشترطه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تخلّف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کدعوی شیء وثوب وفرس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سماعها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الذی جزم به المصنّف فی الدروس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لعدم فائدتها وهو حکم الحاکم بها لو أجاب المدّعی علیه بنعم، بل لابدّ من ضبط المثلی بصفاته والقیمی بقیمته والأثمان بجنسها ونوعها وقدرها، وإن کان البیع وشبهه ینصرف إطلاقه إلی نقد البلد؛ لأنّه إیجاب فی الحال وهو غیر مختلف، والدعوی إخبار عن الماضی وهو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السماع؛ لإطلاق الأدلّة الدالّة علی وجوب الحکم وما ذُکِر </w:t>
      </w:r>
      <w:r>
        <w:rPr>
          <w:rStyle w:val="FootnoteAnchor"/>
          <w:rtl w:val="true"/>
        </w:rPr>
        <w:footnoteReference w:id="269"/>
      </w:r>
      <w:r>
        <w:rPr>
          <w:rFonts w:ascii="IRNazanin" w:hAnsi="IRNazanin" w:eastAsia="IRNazanin"/>
          <w:color w:val="111111"/>
          <w:sz w:val="28"/>
          <w:sz w:val="28"/>
          <w:szCs w:val="28"/>
          <w:rtl w:val="true"/>
          <w:lang w:bidi="fa-IR"/>
        </w:rPr>
        <w:t xml:space="preserve">لا یصلح للتقیید؛ لإمکان الحکم بالمجهول، فیُحبَس حتی یُبیّنه کالإقرار؛ ولأنّ المدّعی ربما یعلم حقّه بوجهٍ ما خاصّة، بأن یعلم أنّ له عنده ثوباً أو فرساً، ولا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شخصهما ولا صفتهما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فلو لم تُسمع دعواه بطل حقّه، فالمقتضی له موجود، والمانع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الإقرار والدعوی بأنّ المقرّ لو طولب بالتفصیل ربما رجع والمدّعی لا یرجع لوجود داعی الحاجة فیه دونه، غیر کافٍ فی ذلک؛ لما ذکرناه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تخلّف الثالث وهو الجزم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صرّح بالظنّ أو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سماعها</w:t>
      </w:r>
      <w:bookmarkStart w:id="102" w:name="pg19812_249267"/>
    </w:p>
    <w:p>
      <w:pPr>
        <w:pStyle w:val="BookText"/>
        <w:rPr/>
      </w:pPr>
      <w:bookmarkEnd w:id="102"/>
      <w:r>
        <w:rPr>
          <w:rFonts w:ascii="IRNazanin" w:hAnsi="IRNazanin" w:eastAsia="IRNazanin"/>
          <w:color w:val="111111"/>
          <w:sz w:val="28"/>
          <w:sz w:val="28"/>
          <w:szCs w:val="28"/>
          <w:rtl w:val="true"/>
          <w:lang w:bidi="fa-IR"/>
        </w:rPr>
        <w:t>أوجه، أوجهها السماع فیما یعسر الاطّلاع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کالقتل والسرقة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المعاملات، وإن لم یتوجّه علی المدّعی هنا الحلف بردٍّ ولا نکولٍ ولا مع شاهد، بل إن حلف المنکر أو أقرّ أو نکل وقضینا به، وإلّا وقفت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فإذا ادّعی دعوی مسموعة طُولب المدّعی علیه بالجواب</w:t>
      </w:r>
      <w:r>
        <w:rPr>
          <w:rFonts w:eastAsia="IRNazanin" w:cs="IRNazanin"/>
          <w:color w:val="111111"/>
          <w:sz w:val="28"/>
          <w:szCs w:val="28"/>
          <w:rtl w:val="true"/>
          <w:lang w:bidi="fa-IR"/>
        </w:rPr>
        <w:t>.</w:t>
      </w:r>
    </w:p>
    <w:p>
      <w:pPr>
        <w:pStyle w:val="Heading4"/>
        <w:numPr>
          <w:ilvl w:val="3"/>
          <w:numId w:val="1"/>
        </w:numPr>
        <w:rPr/>
      </w:pPr>
      <w:bookmarkStart w:id="103" w:name="__RefHeading___Toc2092830_2314609296"/>
      <w:bookmarkStart w:id="104" w:name="_Toc38"/>
      <w:bookmarkEnd w:id="103"/>
      <w:r>
        <w:rPr>
          <w:rtl w:val="true"/>
        </w:rPr>
        <w:t>[</w:t>
      </w:r>
      <w:r>
        <w:rPr>
          <w:rtl w:val="true"/>
        </w:rPr>
        <w:t>جواب المدعی علیه</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وجواب المدّعی علیه إمّا 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المدّعی به أجمع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أجمع، أو مرکّب منهما، فیلزمه حکمهما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السکوت جواباً مجازٌ شائع فی الاستعمال، فکثیراً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الجواب جواب المقال</w:t>
      </w:r>
      <w:r>
        <w:rPr>
          <w:rFonts w:eastAsia="IRNazanin" w:cs="IRNazanin"/>
          <w:color w:val="111111"/>
          <w:sz w:val="28"/>
          <w:szCs w:val="28"/>
          <w:rtl w:val="true"/>
          <w:lang w:bidi="fa-IR"/>
        </w:rPr>
        <w:t>.</w:t>
      </w:r>
    </w:p>
    <w:p>
      <w:pPr>
        <w:pStyle w:val="Heading4"/>
        <w:numPr>
          <w:ilvl w:val="3"/>
          <w:numId w:val="1"/>
        </w:numPr>
        <w:rPr/>
      </w:pPr>
      <w:bookmarkStart w:id="105" w:name="__RefHeading___Toc2092832_2314609296"/>
      <w:bookmarkStart w:id="106" w:name="_Toc39"/>
      <w:bookmarkEnd w:id="105"/>
      <w:r>
        <w:rPr>
          <w:rtl w:val="true"/>
        </w:rPr>
        <w:t>[</w:t>
      </w:r>
      <w:r>
        <w:rPr>
          <w:rtl w:val="true"/>
        </w:rPr>
        <w:t>الاقرار</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فالإقرار 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کمال المقرّ علی وجه یُسمع إقراره، بالبلوغ والعقل مطلقاً، ورفع الحَجر فیما یمتنع نفوذه به، وسیأتی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التمس المدّعی حینئذٍ الحکمَ حکم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ألزمتک ذلک، أو قضیت علیک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من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کتابة إقراره کتب وأشهد مع معرفته </w:t>
      </w:r>
      <w:r>
        <w:rPr>
          <w:rStyle w:val="FootnoteAnchor"/>
          <w:rtl w:val="true"/>
        </w:rPr>
        <w:footnoteReference w:id="271"/>
      </w:r>
      <w:r>
        <w:rPr>
          <w:rFonts w:ascii="IRNazanin" w:hAnsi="IRNazanin" w:eastAsia="IRNazanin"/>
          <w:color w:val="111111"/>
          <w:sz w:val="28"/>
          <w:sz w:val="28"/>
          <w:szCs w:val="28"/>
          <w:rtl w:val="true"/>
          <w:lang w:bidi="fa-IR"/>
        </w:rPr>
        <w:t xml:space="preserve">أو شهادة عدلین بمعرفته، أو اقتناعه بحِلیته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بمجرّد إقراره وإن صادقه المدّعی، حذراً من تواطئهما علی نسب لغیرهما، لیلزما ذا النسب بما لا یستحقّ علیه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عجزه عن أداء الحقّ، لعدم ملکه لما زاد عن داره وثیابه اللائقة بحاله ودابّته وخادمه کذلک وقوت یومٍ ولیلةٍ له ولعیاله الواجبی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ببیّنةٍ مطّلعةٍ علی باطن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 له فی خلواته واجدةٍ، صبّره علی ما لا یصبر علیه واجدُ المال عادةً حتی ظهر لها</w:t>
      </w:r>
    </w:p>
    <w:p>
      <w:pPr>
        <w:pStyle w:val="BookText"/>
        <w:rPr/>
      </w:pPr>
      <w:r>
        <w:rPr>
          <w:rFonts w:ascii="IRNazanin" w:hAnsi="IRNazanin" w:eastAsia="IRNazanin"/>
          <w:color w:val="111111"/>
          <w:sz w:val="28"/>
          <w:sz w:val="28"/>
          <w:szCs w:val="28"/>
          <w:rtl w:val="true"/>
          <w:lang w:bidi="fa-IR"/>
        </w:rPr>
        <w:t xml:space="preserve">قرائن الفقر ومخایل </w:t>
      </w:r>
      <w:r>
        <w:rPr>
          <w:rStyle w:val="FootnoteAnchor"/>
          <w:rtl w:val="true"/>
        </w:rPr>
        <w:footnoteReference w:id="273"/>
      </w:r>
      <w:r>
        <w:rPr>
          <w:rFonts w:ascii="IRNazanin" w:hAnsi="IRNazanin" w:eastAsia="IRNazanin"/>
          <w:color w:val="111111"/>
          <w:sz w:val="28"/>
          <w:sz w:val="28"/>
          <w:szCs w:val="28"/>
          <w:rtl w:val="true"/>
          <w:lang w:bidi="fa-IR"/>
        </w:rPr>
        <w:t xml:space="preserve">الإضاقة، مع شهادتها علی نحو ذلک ممّا </w:t>
      </w:r>
      <w:r>
        <w:rPr>
          <w:rStyle w:val="FootnoteAnchor"/>
          <w:rtl w:val="true"/>
        </w:rPr>
        <w:footnoteReference w:id="274"/>
      </w:r>
      <w:r>
        <w:rPr>
          <w:rFonts w:ascii="IRNazanin" w:hAnsi="IRNazanin" w:eastAsia="IRNazanin"/>
          <w:color w:val="111111"/>
          <w:sz w:val="28"/>
          <w:sz w:val="28"/>
          <w:szCs w:val="28"/>
          <w:rtl w:val="true"/>
          <w:lang w:bidi="fa-IR"/>
        </w:rPr>
        <w:t xml:space="preserve">یتضمّن الإثبات، لا علی النفی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بتصدیق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الإعسار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الدعوی بغیر </w:t>
      </w:r>
      <w:r>
        <w:rPr>
          <w:rStyle w:val="FootnoteAnchor"/>
          <w:rtl w:val="true"/>
        </w:rPr>
        <w:footnoteReference w:id="275"/>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جنایة أوجبت مالاً أو إتلافاً، فإنّه حینئذٍ یُقبل قوله فیه؛ لأصالة عدم المال، بخلاف ما إذا کان أصل الدعوی مالاً، فإنّ أصالة بقائه تمنع من قبول قوله، وإنّما یثبت إعساره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أو تصدیق الغریم، وظاهره أ نّه لا یتوقّف مع البیّنة علی الیمین وهو أجود القولین </w:t>
      </w:r>
      <w:r>
        <w:rPr>
          <w:rStyle w:val="FootnoteAnchor"/>
          <w:rtl w:val="true"/>
        </w:rPr>
        <w:footnoteReference w:id="276"/>
      </w:r>
      <w:r>
        <w:rPr>
          <w:rFonts w:ascii="IRNazanin" w:hAnsi="IRNazanin" w:eastAsia="IRNazanin"/>
          <w:color w:val="111111"/>
          <w:sz w:val="28"/>
          <w:sz w:val="28"/>
          <w:szCs w:val="28"/>
          <w:rtl w:val="true"/>
          <w:lang w:bidi="fa-IR"/>
        </w:rPr>
        <w:t xml:space="preserve">ولو شهدت البیّنة بالإعسار فی القسم الثانی </w:t>
      </w:r>
      <w:r>
        <w:rPr>
          <w:rStyle w:val="FootnoteAnchor"/>
          <w:rtl w:val="true"/>
        </w:rPr>
        <w:footnoteReference w:id="277"/>
      </w:r>
      <w:r>
        <w:rPr>
          <w:rFonts w:ascii="IRNazanin" w:hAnsi="IRNazanin" w:eastAsia="IRNazanin"/>
          <w:color w:val="111111"/>
          <w:sz w:val="28"/>
          <w:sz w:val="28"/>
          <w:szCs w:val="28"/>
          <w:rtl w:val="true"/>
          <w:lang w:bidi="fa-IR"/>
        </w:rPr>
        <w:t>فأولی بعدم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کون الدعوی لیست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الإعسار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یقدر، ولا یُکلَّف التکسّب فی المشهور وإن وجب علیه السعی علی وفاء الدین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یتّفق ذلک بأن لم یُقِم بیّنة ولا صادقه الغریم مطلقاً </w:t>
      </w:r>
      <w:r>
        <w:rPr>
          <w:rStyle w:val="FootnoteAnchor"/>
          <w:rtl w:val="true"/>
        </w:rPr>
        <w:footnoteReference w:id="278"/>
      </w:r>
      <w:r>
        <w:rPr>
          <w:rFonts w:ascii="IRNazanin" w:hAnsi="IRNazanin" w:eastAsia="IRNazanin"/>
          <w:color w:val="111111"/>
          <w:sz w:val="28"/>
          <w:sz w:val="28"/>
          <w:szCs w:val="28"/>
          <w:rtl w:val="true"/>
          <w:lang w:bidi="fa-IR"/>
        </w:rPr>
        <w:t xml:space="preserve">ولا حلف حیث لا یکون أصل الدعوی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 عن باطن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له مالٌ اُمر بالوفاء، فإن امتنع باشره القاضی ولو ببیع ماله إن کان مخالفاً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عدم المال أو لم یفِ الموجود بوفاء الجمیع اُطلق بعد صرف الموجود</w:t>
      </w:r>
      <w:r>
        <w:rPr>
          <w:rFonts w:eastAsia="IRNazanin" w:cs="IRNazanin"/>
          <w:color w:val="111111"/>
          <w:sz w:val="28"/>
          <w:szCs w:val="28"/>
          <w:rtl w:val="true"/>
          <w:lang w:bidi="fa-IR"/>
        </w:rPr>
        <w:t>.</w:t>
      </w:r>
      <w:bookmarkStart w:id="107" w:name="pg19812_249269"/>
    </w:p>
    <w:p>
      <w:pPr>
        <w:pStyle w:val="Heading4"/>
        <w:numPr>
          <w:ilvl w:val="3"/>
          <w:numId w:val="1"/>
        </w:numPr>
        <w:rPr/>
      </w:pPr>
      <w:bookmarkStart w:id="108" w:name="__RefHeading___Toc2092834_2314609296"/>
      <w:bookmarkStart w:id="109" w:name="_Toc40"/>
      <w:bookmarkEnd w:id="107"/>
      <w:bookmarkEnd w:id="108"/>
      <w:r>
        <w:rPr>
          <w:rtl w:val="true"/>
        </w:rPr>
        <w:t>[</w:t>
      </w:r>
      <w:r>
        <w:rPr>
          <w:rtl w:val="true"/>
        </w:rPr>
        <w:t xml:space="preserve">الانکار </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الحاکم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279"/>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280"/>
      </w:r>
      <w:r>
        <w:rPr>
          <w:rFonts w:ascii="IRNazanin" w:hAnsi="IRNazanin" w:eastAsia="IRNazanin"/>
          <w:color w:val="111111"/>
          <w:sz w:val="28"/>
          <w:sz w:val="28"/>
          <w:szCs w:val="28"/>
          <w:rtl w:val="true"/>
          <w:lang w:bidi="fa-IR"/>
        </w:rPr>
        <w:t>ولا فرق بین علمه به فی حال ولایته ومکانها وغیرهما، ولیس له حینئذٍ طلب البیّنة من المدّعی مع فقدها قطعاً، ولا مع وجودها علی الأقوی وإن قصد دفع التهمة، إلّامع رضاء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بعلمه هنا العلم الخاصّ وهو الاطّلاع الجازم، لا بمثل وجود خطّه به إذا لم یذکر الواقعة وإن أمن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شهد عنده عدلان بحکمه به ولم یتذکّر فالأقوی جواز القضاء، کما لو شهدا بذلک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المنع إمکان رجوعه إلی العلم؛ لأنّه فعله، بخلاف شهادتهما عند الحاکم علی حکم غیره، فإنّه یکفی الظنّ، تنزیلاً لکلّ بابٍ علی الممکن فیه، ولو شهدا علیه بشهادته به، لا بحکمه فالظاهر أ نّه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الحاکم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المدّعی إن لم یکن عالماً بأ نّه موضع المطالبة بها، وإلّا جاز للحاکم السکوت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بیّنة لی عرّفه أنّ له إحلافه، فإن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إحلافه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حلّفه </w:t>
      </w:r>
      <w:r>
        <w:rPr>
          <w:rStyle w:val="FootnoteAnchor"/>
          <w:rtl w:val="true"/>
        </w:rPr>
        <w:footnoteReference w:id="281"/>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حقّ للمدّعی فلا یستوفی بدون مطالبته وإن کان إیقاعه إلی الحاکم، فلو تبرّع المنکر به أو استحلفه الحاکم من دون التماس المدّعی لغا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یستقلّ به الغریم من دون إذن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إیقاعه موقوف علی إذنه وإن کان حقّاً لغیره؛ لأنّه وظیفته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علی الوجه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الدعوی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بقی الحقّ فی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 مقاصّته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 ظفر له المدّعی بمال وإن کان مماثلاً لحقّه، إلّاأن یکذِّب المنکر نفسه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حلف المنکر علی أصحّ الأقوال </w:t>
      </w:r>
      <w:r>
        <w:rPr>
          <w:rStyle w:val="FootnoteAnchor"/>
          <w:rtl w:val="true"/>
        </w:rPr>
        <w:footnoteReference w:id="282"/>
      </w:r>
      <w:r>
        <w:rPr>
          <w:rFonts w:ascii="IRNazanin" w:hAnsi="IRNazanin" w:eastAsia="IRNazanin"/>
          <w:color w:val="111111"/>
          <w:sz w:val="28"/>
          <w:sz w:val="28"/>
          <w:szCs w:val="28"/>
          <w:rtl w:val="true"/>
          <w:lang w:bidi="fa-IR"/>
        </w:rPr>
        <w:t xml:space="preserve">لصحیحة ابن أبی یعفور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رضی صاحب الحقّ بیمین المنکر لحقّه فاستحلفه، فحلف أن لا حقّ له قِبَله </w:t>
      </w:r>
      <w:r>
        <w:rPr>
          <w:rStyle w:val="FootnoteAnchor"/>
          <w:rtl w:val="true"/>
        </w:rPr>
        <w:footnoteReference w:id="283"/>
      </w:r>
      <w:r>
        <w:rPr>
          <w:rFonts w:ascii="IRNazanin" w:hAnsi="IRNazanin" w:eastAsia="IRNazanin"/>
          <w:color w:val="111111"/>
          <w:sz w:val="28"/>
          <w:sz w:val="28"/>
          <w:szCs w:val="28"/>
          <w:rtl w:val="true"/>
          <w:lang w:bidi="fa-IR"/>
        </w:rPr>
        <w:t>وإن أقام بعد ما استحلفه خمسین قسامة، فإنّ الیمین قد أبطلت کلّ ما ادّعاه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وغیرها من الأخبار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بیّنته مطلقاً </w:t>
      </w:r>
      <w:r>
        <w:rPr>
          <w:rStyle w:val="FootnoteAnchor"/>
          <w:rtl w:val="true"/>
        </w:rPr>
        <w:footnoteReference w:id="28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علمه بالبیّنة وقت تحلیفه ولو بنسیانها </w:t>
      </w:r>
      <w:r>
        <w:rPr>
          <w:rStyle w:val="FootnoteAnchor"/>
          <w:rtl w:val="true"/>
        </w:rPr>
        <w:footnoteReference w:id="287"/>
      </w:r>
      <w:r>
        <w:rPr>
          <w:rFonts w:ascii="IRNazanin" w:hAnsi="IRNazanin" w:eastAsia="IRNazanin"/>
          <w:color w:val="111111"/>
          <w:sz w:val="28"/>
          <w:sz w:val="28"/>
          <w:szCs w:val="28"/>
          <w:rtl w:val="true"/>
          <w:lang w:bidi="fa-IR"/>
        </w:rPr>
        <w:t xml:space="preserve">والأخبار </w:t>
      </w:r>
      <w:r>
        <w:rPr>
          <w:rStyle w:val="FootnoteAnchor"/>
          <w:rtl w:val="true"/>
        </w:rPr>
        <w:footnoteReference w:id="288"/>
      </w:r>
      <w:r>
        <w:rPr>
          <w:rFonts w:ascii="Amiri" w:hAnsi="Amiri" w:eastAsia="Amiri" w:cs="Amiri"/>
          <w:color w:val="111111"/>
          <w:sz w:val="28"/>
          <w:sz w:val="28"/>
          <w:szCs w:val="28"/>
          <w:rtl w:val="true"/>
          <w:lang w:bidi="ar-SA"/>
        </w:rPr>
        <w:t>حجّة علیهما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یحلف المدّعیٰ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دعواه قطعیّة، وإلّا لم یتوجّه الردّ علیه کما مرّ </w:t>
      </w:r>
      <w:r>
        <w:rPr>
          <w:rStyle w:val="FootnoteAnchor"/>
          <w:rtl w:val="true"/>
        </w:rPr>
        <w:footnoteReference w:id="289"/>
      </w:r>
      <w:r>
        <w:rPr>
          <w:rFonts w:ascii="IRNazanin" w:hAnsi="IRNazanin" w:eastAsia="IRNazanin"/>
          <w:color w:val="111111"/>
          <w:sz w:val="28"/>
          <w:sz w:val="28"/>
          <w:szCs w:val="28"/>
          <w:rtl w:val="true"/>
          <w:lang w:bidi="fa-IR"/>
        </w:rPr>
        <w:t>وکذا لو کان</w:t>
      </w:r>
    </w:p>
    <w:p>
      <w:pPr>
        <w:pStyle w:val="BookText"/>
        <w:rPr/>
      </w:pPr>
      <w:r>
        <w:rPr>
          <w:rFonts w:ascii="Amiri" w:hAnsi="Amiri" w:eastAsia="Amiri" w:cs="Amiri"/>
          <w:color w:val="111111"/>
          <w:sz w:val="28"/>
          <w:sz w:val="28"/>
          <w:szCs w:val="28"/>
          <w:rtl w:val="true"/>
          <w:lang w:bidi="ar-SA"/>
        </w:rPr>
        <w:t>المدّعی ولیّاً أو وصیّاً، فإنّه لا یمین علیه وإن علم بالحال، بل یُلزم المنکِر بالحلف، فإن أبی حُبِس إلی أن یحلف، أو یُقضی بنکوله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من الحلف حیث یتوجّه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المجلس قطعاً، وفی غیره علی قولٍ مشهور، إلّاأن یأتی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استمهل اُمهل، بخلاف المنکر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إحضار المال قبل حلفه، ففی إجابته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أجودهما العدم </w:t>
      </w:r>
      <w:r>
        <w:rPr>
          <w:rStyle w:val="FootnoteAnchor"/>
          <w:rtl w:val="true"/>
        </w:rPr>
        <w:footnoteReference w:id="291"/>
      </w:r>
      <w:r>
        <w:rPr>
          <w:rStyle w:val="FootnoteAnchor"/>
          <w:rtl w:val="true"/>
        </w:rPr>
        <w:footnoteReference w:id="292"/>
      </w:r>
      <w:r>
        <w:rPr>
          <w:rFonts w:ascii="IRNazanin" w:hAnsi="IRNazanin" w:eastAsia="IRNazanin"/>
          <w:color w:val="111111"/>
          <w:sz w:val="28"/>
          <w:sz w:val="28"/>
          <w:szCs w:val="28"/>
          <w:rtl w:val="true"/>
          <w:lang w:bidi="fa-IR"/>
        </w:rPr>
        <w:t>ومتی حلف المدّعی ثبت حقّه، لکن هل یکون حلفه کإقرار</w:t>
      </w:r>
    </w:p>
    <w:p>
      <w:pPr>
        <w:pStyle w:val="BookText"/>
        <w:rPr/>
      </w:pPr>
      <w:r>
        <w:rPr>
          <w:rFonts w:ascii="IRNazanin" w:hAnsi="IRNazanin" w:eastAsia="IRNazanin"/>
          <w:color w:val="111111"/>
          <w:sz w:val="28"/>
          <w:sz w:val="28"/>
          <w:szCs w:val="28"/>
          <w:rtl w:val="true"/>
          <w:lang w:bidi="fa-IR"/>
        </w:rPr>
        <w:t>الغریم أو کالبیّنة؟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أجودهما الأوّل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وتظهر الفائدة فی مواضع کثیرة مفرَّقة </w:t>
      </w:r>
      <w:r>
        <w:rPr>
          <w:rStyle w:val="FootnoteAnchor"/>
          <w:rtl w:val="true"/>
        </w:rPr>
        <w:footnoteReference w:id="294"/>
      </w:r>
      <w:r>
        <w:rPr>
          <w:rFonts w:ascii="IRNazanin" w:hAnsi="IRNazanin" w:eastAsia="IRNazanin"/>
          <w:color w:val="111111"/>
          <w:sz w:val="28"/>
          <w:sz w:val="28"/>
          <w:szCs w:val="28"/>
          <w:rtl w:val="true"/>
          <w:lang w:bidi="fa-IR"/>
        </w:rPr>
        <w:t>فی أبواب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عن الیمین وعن ردّها علی المدّعی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قول الحاکم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ردّت الیمین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المدّعی بعد أن یقول الحاکم للمنکر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حلفت، وإلّا جعلتک ناکلاً ورددت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ویستحبّ ثلاثاً، فإن حلف المدّعی ثبت حقّه، وإن نکل فکما مرّ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 الشیخان </w:t>
      </w:r>
      <w:r>
        <w:rPr>
          <w:rStyle w:val="FootnoteAnchor"/>
          <w:rtl w:val="true"/>
        </w:rPr>
        <w:footnoteReference w:id="296"/>
      </w:r>
      <w:r>
        <w:rPr>
          <w:rFonts w:ascii="IRNazanin" w:hAnsi="IRNazanin" w:eastAsia="IRNazanin"/>
          <w:color w:val="111111"/>
          <w:sz w:val="28"/>
          <w:sz w:val="28"/>
          <w:szCs w:val="28"/>
          <w:rtl w:val="true"/>
          <w:lang w:bidi="fa-IR"/>
        </w:rPr>
        <w:t xml:space="preserve">والصدوقان </w:t>
      </w:r>
      <w:r>
        <w:rPr>
          <w:rStyle w:val="FootnoteAnchor"/>
          <w:rtl w:val="true"/>
        </w:rPr>
        <w:footnoteReference w:id="297"/>
      </w:r>
      <w:r>
        <w:rPr>
          <w:rFonts w:ascii="Amiri" w:hAnsi="Amiri" w:eastAsia="Amiri" w:cs="Amiri"/>
          <w:color w:val="111111"/>
          <w:sz w:val="28"/>
          <w:sz w:val="28"/>
          <w:szCs w:val="28"/>
          <w:rtl w:val="true"/>
          <w:lang w:bidi="ar-SA"/>
        </w:rPr>
        <w:t xml:space="preserve">وجماعة </w:t>
      </w:r>
      <w:r>
        <w:rPr>
          <w:rStyle w:val="FootnoteAnchor"/>
          <w:rtl w:val="true"/>
        </w:rPr>
        <w:footnoteReference w:id="2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المنکر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لصحیحة محمّد بن مسلم عن الصادق علیه السلام أ نّه حکی عن أمیر المؤمنین علیه الصلاة والسلام أ نّه ألزم أخرس بدینٍ ادّعی علیه فأنکر ونکل عن الیمین، فألزمه بالدین بامتناعه عن الیمین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النکول أعمّ من ثبوت الحقّ؛ لجواز ترکه إجلالاً،</w:t>
      </w:r>
    </w:p>
    <w:p>
      <w:pPr>
        <w:pStyle w:val="BookText"/>
        <w:rPr/>
      </w:pPr>
      <w:r>
        <w:rPr>
          <w:rFonts w:ascii="IRNazanin" w:hAnsi="IRNazanin" w:eastAsia="IRNazanin"/>
          <w:color w:val="111111"/>
          <w:sz w:val="28"/>
          <w:sz w:val="28"/>
          <w:szCs w:val="28"/>
          <w:rtl w:val="true"/>
          <w:lang w:bidi="fa-IR"/>
        </w:rPr>
        <w:t xml:space="preserve">ولا دلالة للعامّ علی الخاصّ، ولما روی عن النبیّ صلی الله علیه و آله أ نّه ردّ الیمین علی طالب الحقّ </w:t>
      </w:r>
      <w:r>
        <w:rPr>
          <w:rStyle w:val="FootnoteAnchor"/>
          <w:rtl w:val="true"/>
        </w:rPr>
        <w:footnoteReference w:id="300"/>
      </w:r>
      <w:r>
        <w:rPr>
          <w:rFonts w:ascii="IRNazanin" w:hAnsi="IRNazanin" w:eastAsia="IRNazanin"/>
          <w:color w:val="111111"/>
          <w:sz w:val="28"/>
          <w:sz w:val="28"/>
          <w:szCs w:val="28"/>
          <w:rtl w:val="true"/>
          <w:lang w:bidi="fa-IR"/>
        </w:rPr>
        <w:t xml:space="preserve">وللأخبار الدالّة علی ردّ الیمین علی المدّعی من غیر تفصیل </w:t>
      </w:r>
      <w:r>
        <w:rPr>
          <w:rStyle w:val="FootnoteAnchor"/>
          <w:rtl w:val="true"/>
        </w:rPr>
        <w:footnoteReference w:id="301"/>
      </w:r>
      <w:r>
        <w:rPr>
          <w:rFonts w:ascii="IRNazanin" w:hAnsi="IRNazanin" w:eastAsia="IRNazanin"/>
          <w:color w:val="111111"/>
          <w:sz w:val="28"/>
          <w:sz w:val="28"/>
          <w:szCs w:val="28"/>
          <w:rtl w:val="true"/>
          <w:lang w:bidi="fa-IR"/>
        </w:rPr>
        <w:t>ولأنّ الحکم مبنیّ علی الاحتیاط التامّ، ولا یحصل إلّابالیمین، وفی هذه الأدلّة نظر 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مع إنکار غریمه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بیّنة،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إحضارها، ولیقل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أحضرها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یعلم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غیبتها خیّره بین إحلاف الغریم والصبر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یتخیّر بین إحلافه وإقامة البیّنة وإن کانت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طلب إحلافه ثم إقامة البیّنة، فإن طلب إحلافه ففیه ما مرّ </w:t>
      </w:r>
      <w:r>
        <w:rPr>
          <w:rStyle w:val="FootnoteAnchor"/>
          <w:rtl w:val="true"/>
        </w:rPr>
        <w:footnoteReference w:id="302"/>
      </w:r>
      <w:r>
        <w:rPr>
          <w:rFonts w:ascii="IRNazanin" w:hAnsi="IRNazanin" w:eastAsia="IRNazanin"/>
          <w:color w:val="111111"/>
          <w:sz w:val="28"/>
          <w:sz w:val="28"/>
          <w:szCs w:val="28"/>
          <w:rtl w:val="true"/>
          <w:lang w:bidi="fa-IR"/>
        </w:rPr>
        <w:t xml:space="preserve">وإن طلب إحضارها أمهله إلی أن یُحضر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إلزامه بکفیل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ملازمته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تعجیل عقوبة لم یثبت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ذلک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أحضرها وعرف الحاکم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بشهادتها بعد التماس المدّعی سؤالها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یقول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کلام أو شهادة ذکر ما عنده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أجابا بما لا یثبت به حقّ طرح قولَهما، وإن قطعا بالحقّ وطابق الدعوی وعرف العدالة حکم کما ذکرنا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عرف الفسق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یطلب التزکیة؛ لأنّ الجارح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من المدّعی تزکیتها، فإن زکّاها بشاهدین علی کلٍّ من الشاهدین یعرفان العدالة ومزیلها أثبتها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 الخصم عن</w:t>
      </w:r>
    </w:p>
    <w:p>
      <w:pPr>
        <w:pStyle w:val="BookText"/>
        <w:rPr/>
      </w:pP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اعترف بعدمه حکم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w:t>
      </w:r>
      <w:r>
        <w:rPr>
          <w:rStyle w:val="FootnoteAnchor"/>
          <w:rtl w:val="true"/>
        </w:rPr>
        <w:footnoteReference w:id="304"/>
      </w:r>
      <w:r>
        <w:rPr>
          <w:rFonts w:ascii="IRNazanin" w:hAnsi="IRNazanin" w:eastAsia="IRNazanin"/>
          <w:color w:val="111111"/>
          <w:sz w:val="28"/>
          <w:sz w:val="28"/>
          <w:szCs w:val="28"/>
          <w:rtl w:val="true"/>
          <w:lang w:bidi="fa-IR"/>
        </w:rPr>
        <w:t>استنظر أمهله ثلاثة أیّام</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فإن أحضر الجارح نظر فی أمره علی حسب ما یراه من تفصیل وإجمال وغیرهما فإن قبله قدّمه علی التزکیة؛ لعدم المنافاة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یأت بالجارح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بعد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علیه بعد 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التماس المدّعی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ارتاب الحاکم بالشهود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زماناً ومکاناً وغیرهما من الممیّزات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اختلفت أقوالهم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له عند الریبة وعظهم وأمرهم بالتثبّت والأخذ بالجزم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یعنّت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یدخل علیهم العنت وهو 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من أهل البصیرة بالتفریق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التحزیز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أصل التعتعة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التردّد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یداخله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معه کلماتٍ توقعه فی التردّد أو الغلط، بأن یقول الشاهد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اشتری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المکان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یرید أن یتلفّظ بشیء ینفعه فیداخله بغیره لیمنعه من إتمامه،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لیجعله تمام ما یشهد به، بحیث لولاه لتردّد أو أتی بغیره، بل یکفّ عنه حتی ینتهی </w:t>
      </w:r>
      <w:r>
        <w:rPr>
          <w:rStyle w:val="FootnoteAnchor"/>
          <w:rtl w:val="true"/>
        </w:rPr>
        <w:footnoteReference w:id="307"/>
      </w:r>
      <w:r>
        <w:rPr>
          <w:rFonts w:ascii="IRNazanin" w:hAnsi="IRNazanin" w:eastAsia="IRNazanin"/>
          <w:color w:val="111111"/>
          <w:sz w:val="28"/>
          <w:sz w:val="28"/>
          <w:szCs w:val="28"/>
          <w:rtl w:val="true"/>
          <w:lang w:bidi="fa-IR"/>
        </w:rPr>
        <w:t>ما عنده وإن لم یفد أو تردّد،</w:t>
      </w:r>
    </w:p>
    <w:p>
      <w:pPr>
        <w:pStyle w:val="BookText"/>
        <w:rPr/>
      </w:pPr>
      <w:r>
        <w:rPr>
          <w:rFonts w:ascii="IRNazanin" w:hAnsi="IRNazanin" w:eastAsia="IRNazanin"/>
          <w:color w:val="111111"/>
          <w:sz w:val="28"/>
          <w:sz w:val="28"/>
          <w:szCs w:val="28"/>
          <w:rtl w:val="true"/>
          <w:lang w:bidi="fa-IR"/>
        </w:rPr>
        <w:t xml:space="preserve">ثم یرتّب علیه ما یلزمه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یرغّبه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وجده متردّداً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یُزهّده لو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یقف </w:t>
      </w:r>
      <w:r>
        <w:rPr>
          <w:rStyle w:val="FootnoteAnchor"/>
          <w:rtl w:val="true"/>
        </w:rPr>
        <w:footnoteReference w:id="308"/>
      </w:r>
      <w:r>
        <w:rPr>
          <w:rFonts w:ascii="IRNazanin" w:hAnsi="IRNazanin" w:eastAsia="IRNazanin"/>
          <w:color w:val="111111"/>
          <w:sz w:val="28"/>
          <w:sz w:val="28"/>
          <w:szCs w:val="28"/>
          <w:rtl w:val="true"/>
          <w:lang w:bidi="fa-IR"/>
        </w:rPr>
        <w:t>عزم الغریم عن الإقرار إلّافی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فیستحبّ أن یعرِّض المقرّ بحدٍّ للّٰه‌تعالی بالکفّ عنه والتأویل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لقضیّة ماعز بن مالک عند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أقرّ عنده بالزنا فی أربعة مواضع، والنبیّ صلی الله علیه و آله یردّده ویوقف عزمه تعریضاً لرجوعه، ویقول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قبّلت، أو غمزت، أو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أفنِکتها لا تُکنی؟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غاب ذلک منک فی 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یغیب المِروَد </w:t>
      </w:r>
      <w:r>
        <w:rPr>
          <w:rStyle w:val="FootnoteAnchor"/>
          <w:rtl w:val="true"/>
        </w:rPr>
        <w:footnoteReference w:id="309"/>
      </w:r>
      <w:r>
        <w:rPr>
          <w:rFonts w:ascii="Amiri" w:hAnsi="Amiri" w:eastAsia="Amiri" w:cs="Amiri"/>
          <w:color w:val="111111"/>
          <w:sz w:val="28"/>
          <w:sz w:val="28"/>
          <w:szCs w:val="28"/>
          <w:rtl w:val="true"/>
          <w:lang w:bidi="ar-SA"/>
        </w:rPr>
        <w:t xml:space="preserve">فی المُکحُلة والرِشا </w:t>
      </w:r>
      <w:r>
        <w:rPr>
          <w:rStyle w:val="FootnoteAnchor"/>
          <w:rtl w:val="true"/>
        </w:rPr>
        <w:footnoteReference w:id="310"/>
      </w:r>
      <w:r>
        <w:rPr>
          <w:rFonts w:ascii="IRNazanin" w:hAnsi="IRNazanin" w:eastAsia="IRNazanin"/>
          <w:color w:val="111111"/>
          <w:sz w:val="28"/>
          <w:sz w:val="28"/>
          <w:szCs w:val="28"/>
          <w:rtl w:val="true"/>
          <w:lang w:bidi="fa-IR"/>
        </w:rPr>
        <w:t>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تدری ما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أتیت منها حراماً ما یأتی الرجل من امرأته حلالاً، فعند ذلک أمر برجمه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یستحبّ تعریضه للإنکار، یکره لمن علمه منه غیر الحاکم حثّه علی الإقرار؛ لإنّ هزّالاً قال لماعز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إلی رسول اللّٰه صلی الله علیه و آله قبل أن ینزل فیک قرآن، فقال له النبیّ صلی الله علیه و آله لمّا علم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w:t>
      </w:r>
      <w:r>
        <w:rPr>
          <w:rStyle w:val="FootnoteAnchor"/>
          <w:rtl w:val="true"/>
        </w:rPr>
        <w:footnoteReference w:id="312"/>
      </w:r>
      <w:r>
        <w:rPr>
          <w:rFonts w:ascii="IRNazanin" w:hAnsi="IRNazanin" w:eastAsia="IRNazanin"/>
          <w:color w:val="111111"/>
          <w:sz w:val="28"/>
          <w:sz w:val="28"/>
          <w:szCs w:val="28"/>
          <w:rtl w:val="true"/>
          <w:lang w:bidi="fa-IR"/>
        </w:rPr>
        <w:t>سترته بثوبک کان خیراً لک</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المصنّف رحمه الله ذکر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جواب المدّعی علیه إمّا إقرار، أو إنکار، أو سکوت </w:t>
      </w:r>
      <w:r>
        <w:rPr>
          <w:rStyle w:val="FootnoteAnchor"/>
          <w:rtl w:val="true"/>
        </w:rPr>
        <w:footnoteReference w:id="314"/>
      </w:r>
      <w:r>
        <w:rPr>
          <w:rFonts w:ascii="IRNazanin" w:hAnsi="IRNazanin" w:eastAsia="IRNazanin"/>
          <w:color w:val="111111"/>
          <w:sz w:val="28"/>
          <w:sz w:val="28"/>
          <w:szCs w:val="28"/>
          <w:rtl w:val="true"/>
          <w:lang w:bidi="fa-IR"/>
        </w:rPr>
        <w:t>ولم یذکر القسم الثالث، ولعلّه أدرجه فی قسم الإنکار علی</w:t>
      </w:r>
      <w:bookmarkStart w:id="110" w:name="pg19812_249276"/>
    </w:p>
    <w:p>
      <w:pPr>
        <w:pStyle w:val="BookText"/>
        <w:rPr/>
      </w:pPr>
      <w:bookmarkEnd w:id="110"/>
      <w:r>
        <w:rPr>
          <w:rFonts w:ascii="IRNazanin" w:hAnsi="IRNazanin" w:eastAsia="IRNazanin"/>
          <w:color w:val="111111"/>
          <w:sz w:val="28"/>
          <w:sz w:val="28"/>
          <w:szCs w:val="28"/>
          <w:rtl w:val="true"/>
          <w:lang w:bidi="fa-IR"/>
        </w:rPr>
        <w:t>تقدیر النکول؛ لأنّ مرجع حکم السکوت علی المختار إلی تحلیف المدّعی بعد إعلام الساکت بالحال</w:t>
      </w:r>
      <w:r>
        <w:rPr>
          <w:rFonts w:eastAsia="IRNazanin" w:cs="IRNazanin"/>
          <w:color w:val="111111"/>
          <w:sz w:val="28"/>
          <w:szCs w:val="28"/>
          <w:rtl w:val="true"/>
          <w:lang w:bidi="fa-IR"/>
        </w:rPr>
        <w:t>.</w:t>
      </w:r>
    </w:p>
    <w:p>
      <w:pPr>
        <w:pStyle w:val="Heading4"/>
        <w:numPr>
          <w:ilvl w:val="3"/>
          <w:numId w:val="1"/>
        </w:numPr>
        <w:rPr/>
      </w:pPr>
      <w:bookmarkStart w:id="111" w:name="__RefHeading___Toc2092836_2314609296"/>
      <w:bookmarkStart w:id="112" w:name="_Toc41"/>
      <w:bookmarkEnd w:id="111"/>
      <w:r>
        <w:rPr>
          <w:rtl w:val="true"/>
        </w:rPr>
        <w:t>[</w:t>
      </w:r>
      <w:r>
        <w:rPr>
          <w:rtl w:val="true"/>
        </w:rPr>
        <w:t xml:space="preserve">السکوت </w:t>
      </w:r>
      <w:r>
        <w:rPr>
          <w:rtl w:val="true"/>
        </w:rPr>
        <w:t>]</w:t>
      </w:r>
      <w:bookmarkEnd w:id="11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نسخ الکتاب </w:t>
      </w:r>
      <w:r>
        <w:rPr>
          <w:rStyle w:val="FootnoteAnchor"/>
          <w:rtl w:val="true"/>
        </w:rPr>
        <w:footnoteReference w:id="315"/>
      </w:r>
      <w:r>
        <w:rPr>
          <w:rFonts w:ascii="IRNazanin" w:hAnsi="IRNazanin" w:eastAsia="IRNazanin"/>
          <w:color w:val="111111"/>
          <w:sz w:val="28"/>
          <w:sz w:val="28"/>
          <w:szCs w:val="28"/>
          <w:rtl w:val="true"/>
          <w:lang w:bidi="fa-IR"/>
        </w:rPr>
        <w:t>نقل أنّ المصنّف ألحق بخطّه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السکوت فإن کان 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طَرَشٍ أو 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بالإشارة المفیدة للیقین ولو بمترجمین 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عناداً حبِس حتی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 الشیخ فی النهایة </w:t>
      </w:r>
      <w:r>
        <w:rPr>
          <w:rStyle w:val="FootnoteAnchor"/>
          <w:rtl w:val="true"/>
        </w:rPr>
        <w:footnoteReference w:id="316"/>
      </w:r>
      <w:r>
        <w:rPr>
          <w:rFonts w:ascii="IRNazanin" w:hAnsi="IRNazanin" w:eastAsia="IRNazanin"/>
          <w:color w:val="111111"/>
          <w:sz w:val="28"/>
          <w:sz w:val="28"/>
          <w:szCs w:val="28"/>
          <w:rtl w:val="true"/>
          <w:lang w:bidi="fa-IR"/>
        </w:rPr>
        <w:t xml:space="preserve">لأنّ الجواب حقّ واجب علیه، فإذا امتنع منه حبس حتی یؤدّیه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یحکم علیه بالنکول بعد عرض الجواب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أجبت وإلّا جعلتک ناکلاً، فإن أصرّ حکم بنکوله علی قول من یقضی بمجرّد النکول </w:t>
      </w:r>
      <w:r>
        <w:rPr>
          <w:rStyle w:val="FootnoteAnchor"/>
          <w:rtl w:val="true"/>
        </w:rPr>
        <w:footnoteReference w:id="317"/>
      </w:r>
      <w:r>
        <w:rPr>
          <w:rFonts w:ascii="IRNazanin" w:hAnsi="IRNazanin" w:eastAsia="IRNazanin"/>
          <w:color w:val="111111"/>
          <w:sz w:val="28"/>
          <w:sz w:val="28"/>
          <w:szCs w:val="28"/>
          <w:rtl w:val="true"/>
          <w:lang w:bidi="fa-IR"/>
        </w:rPr>
        <w:t>ولو اشترطنا معه إحلاف المدّعی اُحلف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المصنّف التخییر بین الأمرین والأولی جعلهما إشارة إلی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اقتصر علی حکایتهما قولین </w:t>
      </w:r>
      <w:r>
        <w:rPr>
          <w:rStyle w:val="FootnoteAnchor"/>
          <w:rtl w:val="true"/>
        </w:rPr>
        <w:footnoteReference w:id="318"/>
      </w:r>
      <w:r>
        <w:rPr>
          <w:rFonts w:ascii="Amiri" w:hAnsi="Amiri" w:eastAsia="Amiri" w:cs="Amiri"/>
          <w:color w:val="111111"/>
          <w:sz w:val="28"/>
          <w:sz w:val="28"/>
          <w:szCs w:val="28"/>
          <w:rtl w:val="true"/>
          <w:lang w:bidi="ar-SA"/>
        </w:rPr>
        <w:t>ولم یرجّح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أقوی</w:t>
      </w:r>
      <w:r>
        <w:rPr>
          <w:rFonts w:eastAsia="Amiri" w:cs="Amiri" w:ascii="Amiri" w:hAnsi="Amiri"/>
          <w:color w:val="111111"/>
          <w:sz w:val="28"/>
          <w:szCs w:val="28"/>
          <w:rtl w:val="true"/>
          <w:lang w:bidi="ar-SA"/>
        </w:rPr>
        <w:t>.</w:t>
      </w:r>
      <w:bookmarkStart w:id="113" w:name="pg19812_249277"/>
    </w:p>
    <w:p>
      <w:pPr>
        <w:pStyle w:val="Heading3"/>
        <w:numPr>
          <w:ilvl w:val="2"/>
          <w:numId w:val="1"/>
        </w:numPr>
        <w:rPr/>
      </w:pPr>
      <w:bookmarkStart w:id="114" w:name="__RefHeading___Toc2092838_2314609296"/>
      <w:bookmarkStart w:id="115" w:name="_Toc42"/>
      <w:bookmarkEnd w:id="113"/>
      <w:bookmarkEnd w:id="114"/>
      <w:r>
        <w:rPr>
          <w:rtl w:val="true"/>
        </w:rPr>
        <w:t>«</w:t>
      </w:r>
      <w:r>
        <w:rPr>
          <w:rtl w:val="true"/>
        </w:rPr>
        <w:t>القول فی الیمین</w:t>
      </w:r>
      <w:r>
        <w:rPr>
          <w:rtl w:val="true"/>
        </w:rPr>
        <w:t>»</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تنعقد الیمین الموجبة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المسقطة للدعوی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وأسمائه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کان الحالف أو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بغیر ذلک کالکتب المنزلة والأنبیاء والأئمّة؛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یحلف بغیر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 والنصرانی والمجوسی لا تحلّفوهم إلّا باللّٰه</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وفی تحریمه بغیر اللّٰه‌فی غیر الدعوی نظر، من ظاهر النهی فی الخبر، وإمکان حمله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بالطلاق والعتاق والکفر والبراءة فحرام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أضاف مع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المجوسی کان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إماطةً لتأویله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الدروس </w:t>
      </w:r>
      <w:r>
        <w:rPr>
          <w:rStyle w:val="FootnoteAnchor"/>
          <w:rtl w:val="true"/>
        </w:rPr>
        <w:footnoteReference w:id="320"/>
      </w:r>
      <w:r>
        <w:rPr>
          <w:rFonts w:ascii="IRNazanin" w:hAnsi="IRNazanin" w:eastAsia="IRNazanin"/>
          <w:color w:val="111111"/>
          <w:sz w:val="28"/>
          <w:sz w:val="28"/>
          <w:szCs w:val="28"/>
          <w:rtl w:val="true"/>
          <w:lang w:bidi="fa-IR"/>
        </w:rPr>
        <w:t xml:space="preserve">تعیّن إضافة نحو ذلک فیه؛ لذلک،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النور والظلمة</w:t>
      </w:r>
      <w:r>
        <w:rPr>
          <w:rFonts w:eastAsia="IRNazanin" w:cs="IRNazanin"/>
          <w:color w:val="111111"/>
          <w:sz w:val="28"/>
          <w:szCs w:val="28"/>
          <w:rtl w:val="true"/>
          <w:lang w:bidi="fa-IR"/>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رأی الحاکم ردع الذمیّ بیمینهم فعل، إلّاأن یشتمل علی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اشتمل علی الحلف بالأب أو الابن ونحو ذلک، وعلیه حُمِل ما روی أنّ علیّاً علیه السلام استحلف یهودیّاً بالتوراة </w:t>
      </w:r>
      <w:r>
        <w:rPr>
          <w:rStyle w:val="FootnoteAnchor"/>
          <w:rtl w:val="true"/>
        </w:rPr>
        <w:footnoteReference w:id="321"/>
      </w:r>
      <w:r>
        <w:rPr>
          <w:rFonts w:ascii="IRNazanin" w:hAnsi="IRNazanin" w:eastAsia="IRNazanin"/>
          <w:color w:val="111111"/>
          <w:sz w:val="28"/>
          <w:sz w:val="28"/>
          <w:szCs w:val="28"/>
          <w:rtl w:val="true"/>
          <w:lang w:bidi="fa-IR"/>
        </w:rPr>
        <w:t xml:space="preserve">وربما یشکل </w:t>
      </w:r>
      <w:r>
        <w:rPr>
          <w:rStyle w:val="FootnoteAnchor"/>
          <w:rtl w:val="true"/>
        </w:rPr>
        <w:footnoteReference w:id="322"/>
      </w:r>
      <w:r>
        <w:rPr>
          <w:rFonts w:ascii="IRNazanin" w:hAnsi="IRNazanin" w:eastAsia="IRNazanin"/>
          <w:color w:val="111111"/>
          <w:sz w:val="28"/>
          <w:sz w:val="28"/>
          <w:szCs w:val="28"/>
          <w:rtl w:val="true"/>
          <w:lang w:bidi="fa-IR"/>
        </w:rPr>
        <w:t xml:space="preserve">تحلیف بعض الکفّار باللّٰه تعالی؛ لإنکارهم له، فلا یرون له حرمة، کالمجوس، فإنّهم لا یعتقدون وجود إلهٍ خلق </w:t>
      </w:r>
      <w:r>
        <w:rPr>
          <w:rStyle w:val="FootnoteAnchor"/>
          <w:rtl w:val="true"/>
        </w:rPr>
        <w:footnoteReference w:id="323"/>
      </w:r>
      <w:r>
        <w:rPr>
          <w:rFonts w:ascii="IRNazanin" w:hAnsi="IRNazanin" w:eastAsia="IRNazanin"/>
          <w:color w:val="111111"/>
          <w:sz w:val="28"/>
          <w:sz w:val="28"/>
          <w:szCs w:val="28"/>
          <w:rtl w:val="true"/>
          <w:lang w:bidi="fa-IR"/>
        </w:rPr>
        <w:t>النور والظلمة، فلیس فی حلفهم به علیهم کلفة، إلّاأنّ النصّ</w:t>
      </w:r>
    </w:p>
    <w:p>
      <w:pPr>
        <w:pStyle w:val="BookText"/>
        <w:rPr/>
      </w:pPr>
      <w:r>
        <w:rPr>
          <w:rFonts w:ascii="IRNazanin" w:hAnsi="IRNazanin" w:eastAsia="IRNazanin"/>
          <w:color w:val="111111"/>
          <w:sz w:val="28"/>
          <w:sz w:val="28"/>
          <w:szCs w:val="28"/>
          <w:rtl w:val="true"/>
          <w:lang w:bidi="fa-IR"/>
        </w:rPr>
        <w:t xml:space="preserve">ورد بذلک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التغلیظ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إله إلّاهو الرحمن الرحیم، الطالب الغالب، الضارّ النافع، المدرک المهلک، الذی یعلم من السرّ ما یعلمه من العلانیة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کالجمعة والعید </w:t>
      </w:r>
      <w:r>
        <w:rPr>
          <w:rStyle w:val="FootnoteAnchor"/>
          <w:rtl w:val="true"/>
        </w:rPr>
        <w:footnoteReference w:id="325"/>
      </w:r>
      <w:r>
        <w:rPr>
          <w:rFonts w:ascii="IRNazanin" w:hAnsi="IRNazanin" w:eastAsia="IRNazanin"/>
          <w:color w:val="111111"/>
          <w:sz w:val="28"/>
          <w:sz w:val="28"/>
          <w:szCs w:val="28"/>
          <w:rtl w:val="true"/>
          <w:lang w:bidi="fa-IR"/>
        </w:rPr>
        <w:t xml:space="preserve">وبعد الزوال، و </w:t>
      </w:r>
      <w:r>
        <w:rPr>
          <w:rStyle w:val="FootnoteAnchor"/>
          <w:rtl w:val="true"/>
        </w:rPr>
        <w:footnoteReference w:id="326"/>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کالکعبة والحطیم والمقام والمسجد الحرام والحرم، والأقصی تحت الصخرة، والمساجد فی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واستحباب التغلیظ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الحقوق کلّها، إلّاأن ینقص المال عن نصاب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الحالف الإجابة إلی التغلیظ، ویکفیه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لَه عندی حقّ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للحاکم وعظ الحالف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وترغیبه فی ترک الیمین، إجلالاً للّٰه تعالی، أو خوفاً من عقابه علی تقدیر الکذب، ویتلو علیه ما ورد فی ذلک من الأخبار والآثار، مثل ما روی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اللّٰه أن یحلف به أعطاه اللّٰه خیراً ممّا ذهب منه</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وقول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باللّٰه کاذباً کفر، ومن حلف باللّٰه صادقاً أثم، 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وعنه </w:t>
      </w:r>
      <w:r>
        <w:rPr>
          <w:rStyle w:val="FootnoteAnchor"/>
          <w:rtl w:val="true"/>
        </w:rPr>
        <w:footnoteReference w:id="329"/>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أنّ أباه کانت عنده امرأة من الخوارج فقضی لأبی أ نّه طلّقها، فادّعت علیه صداقها، فجاءت به إلی أمیر المدینة تستعدیه، فقال له</w:t>
      </w:r>
    </w:p>
    <w:p>
      <w:pPr>
        <w:pStyle w:val="BookText"/>
        <w:rPr/>
      </w:pPr>
      <w:r>
        <w:rPr>
          <w:rFonts w:ascii="IRNazanin" w:hAnsi="IRNazanin" w:eastAsia="IRNazanin"/>
          <w:color w:val="111111"/>
          <w:sz w:val="28"/>
          <w:sz w:val="28"/>
          <w:szCs w:val="28"/>
          <w:rtl w:val="true"/>
          <w:lang w:bidi="fa-IR"/>
        </w:rPr>
        <w:t>أمیر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إمّا أن تحلف أو تعطیها، فقال 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فأعطها أربعمئة دینار،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أجللت اللّٰه عزّ وجلّ أن أحلف به یمین صبر</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الاستحقاق وإن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ادّعی علیه قرضاً فأجاب بأنّی ما اقترضت؛ لأنّ نفی الاستحقاق یشمل المتنازع وزیادة؛ ولأنّ المدّعی قد یکون صادقاً فعرض ما یُسقط الدعوی، ولو اعترف به وادّعی المُسقط طولب بالبیّنة وقد یعجز عنها، فدعت الحاجة إلی قبول الجواب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الحلف علی وفق ما أجاب به </w:t>
      </w:r>
      <w:r>
        <w:rPr>
          <w:rStyle w:val="FootnoteAnchor"/>
          <w:rtl w:val="true"/>
        </w:rPr>
        <w:footnoteReference w:id="331"/>
      </w:r>
      <w:r>
        <w:rPr>
          <w:rFonts w:ascii="IRNazanin" w:hAnsi="IRNazanin" w:eastAsia="IRNazanin"/>
          <w:color w:val="111111"/>
          <w:sz w:val="28"/>
          <w:sz w:val="28"/>
          <w:szCs w:val="28"/>
          <w:rtl w:val="true"/>
          <w:lang w:bidi="fa-IR"/>
        </w:rPr>
        <w:t>لأنّه بزعمه قادر علی الحلف علیه حیث نفاه بخصوصه إن طلبه منه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بما ذکرناه، وبإمکان التسامح فی الجواب بما لا یتسامح فی الیمین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القطع فی فعل نفسه وترکه وفعل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یتضمّن الاطّلاع علی الحال الممکن معه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نفی العلم فی نفی 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ادّعی علی مورِّثه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فکفاه </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الحلف علی أ نّه لا یعلم به؛ لأنّه یعسر الوقوف علیه، بخلاف إثباته، فإنّ الوقوف علیه لا یعسر</w:t>
      </w:r>
      <w:r>
        <w:rPr>
          <w:rFonts w:eastAsia="IRNazanin" w:cs="IRNazanin"/>
          <w:color w:val="111111"/>
          <w:sz w:val="28"/>
          <w:szCs w:val="28"/>
          <w:rtl w:val="true"/>
          <w:lang w:bidi="fa-IR"/>
        </w:rPr>
        <w:t>.</w:t>
      </w:r>
      <w:bookmarkStart w:id="116" w:name="pg19812_249280"/>
    </w:p>
    <w:p>
      <w:pPr>
        <w:pStyle w:val="Heading3"/>
        <w:numPr>
          <w:ilvl w:val="2"/>
          <w:numId w:val="1"/>
        </w:numPr>
        <w:rPr/>
      </w:pPr>
      <w:bookmarkStart w:id="117" w:name="__RefHeading___Toc2092840_2314609296"/>
      <w:bookmarkStart w:id="118" w:name="_Toc43"/>
      <w:bookmarkEnd w:id="116"/>
      <w:bookmarkEnd w:id="117"/>
      <w:r>
        <w:rPr>
          <w:rtl w:val="true"/>
        </w:rPr>
        <w:t>«</w:t>
      </w:r>
      <w:r>
        <w:rPr>
          <w:rtl w:val="true"/>
        </w:rPr>
        <w:t>القول فی الشاهد والیمین</w:t>
      </w:r>
      <w:r>
        <w:rPr>
          <w:rtl w:val="true"/>
        </w:rPr>
        <w:t>»</w:t>
      </w:r>
      <w:bookmarkEnd w:id="118"/>
    </w:p>
    <w:p>
      <w:pPr>
        <w:pStyle w:val="Heading4"/>
        <w:numPr>
          <w:ilvl w:val="3"/>
          <w:numId w:val="1"/>
        </w:numPr>
        <w:rPr/>
      </w:pPr>
      <w:bookmarkStart w:id="119" w:name="__RefHeading___Toc2092842_2314609296"/>
      <w:bookmarkStart w:id="120" w:name="_Toc44"/>
      <w:bookmarkEnd w:id="119"/>
      <w:r>
        <w:rPr>
          <w:rtl w:val="true"/>
        </w:rPr>
        <w:t>اشارة</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یثبت بشاهد وامرأتین یثبت بشاهد ویمین، وهو کلّ ما کان مالاً،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منه المال کالدین والقرض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بعد التعمیم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والغصب، وعقود المعاوضات کالبیع والصلح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والإجارة، والهبة المشروطة بالعوض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والجنایة الموجبة للدیة کالخطأ، وعمد الخطأ، وقتل الوالد ولده، وقتل الحرّ </w:t>
      </w:r>
      <w:r>
        <w:rPr>
          <w:rStyle w:val="FootnoteAnchor"/>
          <w:rtl w:val="true"/>
        </w:rPr>
        <w:footnoteReference w:id="333"/>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وکسر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الجایفة والمأمومة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والمنقّلة </w:t>
      </w:r>
      <w:r>
        <w:rPr>
          <w:rStyle w:val="FootnoteAnchor"/>
          <w:rtl w:val="true"/>
        </w:rPr>
        <w:footnoteReference w:id="334"/>
      </w:r>
      <w:r>
        <w:rPr>
          <w:rFonts w:ascii="IRNazanin" w:hAnsi="IRNazanin" w:eastAsia="IRNazanin"/>
          <w:color w:val="111111"/>
          <w:sz w:val="28"/>
          <w:sz w:val="28"/>
          <w:szCs w:val="28"/>
          <w:rtl w:val="true"/>
          <w:lang w:bidi="fa-IR"/>
        </w:rPr>
        <w:t>لما فی إیجابها القصاص علی تقدیر العمد من التغریر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بالشاهد والیمین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النساء</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وکذا عیوب الرجال؛ لاشتراکهما فی عدم تضمّنهما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إزالة قید النکاح بفدیة وهی شرط فیه، لا داخلة فی حقیقته، ومن ثمّ أطلق المصنّف والأکثر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یتمّ مع کون المدّعی هو المرأة، أمّا لو کان الرجل فدعواه تتضمّن المال وإن انضمّ إلیه أمر آخر، فینبغی القطع بثبوت المال، کما لو اشتملت الدعوی علی الأمرین فی غیره </w:t>
      </w:r>
      <w:r>
        <w:rPr>
          <w:rStyle w:val="FootnoteAnchor"/>
          <w:rtl w:val="true"/>
        </w:rPr>
        <w:footnoteReference w:id="336"/>
      </w:r>
      <w:r>
        <w:rPr>
          <w:rFonts w:ascii="IRNazanin" w:hAnsi="IRNazanin" w:eastAsia="IRNazanin"/>
          <w:color w:val="111111"/>
          <w:sz w:val="28"/>
          <w:sz w:val="28"/>
          <w:szCs w:val="28"/>
          <w:rtl w:val="true"/>
          <w:lang w:bidi="fa-IR"/>
        </w:rPr>
        <w:t>کالسرقة، فإنّهم قطعوا بثبوت المال، وهذا قویّ وبه جزم فی</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المجرّد عن المال، وهو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مضمون الدعوی إثبات الزوجیّة </w:t>
      </w:r>
      <w:r>
        <w:rPr>
          <w:rStyle w:val="FootnoteAnchor"/>
          <w:rtl w:val="true"/>
        </w:rPr>
        <w:footnoteReference w:id="338"/>
      </w:r>
      <w:r>
        <w:rPr>
          <w:rFonts w:ascii="IRNazanin" w:hAnsi="IRNazanin" w:eastAsia="IRNazanin"/>
          <w:color w:val="111111"/>
          <w:sz w:val="28"/>
          <w:sz w:val="28"/>
          <w:szCs w:val="28"/>
          <w:rtl w:val="true"/>
          <w:lang w:bidi="fa-IR"/>
        </w:rPr>
        <w:t xml:space="preserve">ولیست مالاً وإن لزمها النفقة؛ لخروجها عن حقیقتها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والعتق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لتضمّنه إثبات الحریّة، وهی لیست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بهما </w:t>
      </w:r>
      <w:r>
        <w:rPr>
          <w:rStyle w:val="FootnoteAnchor"/>
          <w:rtl w:val="true"/>
        </w:rPr>
        <w:footnoteReference w:id="339"/>
      </w:r>
      <w:r>
        <w:rPr>
          <w:rFonts w:ascii="IRNazanin" w:hAnsi="IRNazanin" w:eastAsia="IRNazanin"/>
          <w:color w:val="111111"/>
          <w:sz w:val="28"/>
          <w:sz w:val="28"/>
          <w:szCs w:val="28"/>
          <w:rtl w:val="true"/>
          <w:lang w:bidi="fa-IR"/>
        </w:rPr>
        <w:t xml:space="preserve">لتضمّنه المال، من حیث إنّ العبد مال للمولی فهو یدّعی زوال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والکتابة والتدبیر والاستیلاد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عدم الخلاف فیها، مع أنّ البحث آتٍ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ما یدلّ علی أ نّها </w:t>
      </w:r>
      <w:r>
        <w:rPr>
          <w:rStyle w:val="FootnoteAnchor"/>
          <w:rtl w:val="true"/>
        </w:rPr>
        <w:footnoteReference w:id="341"/>
      </w:r>
      <w:r>
        <w:rPr>
          <w:rFonts w:ascii="IRNazanin" w:hAnsi="IRNazanin" w:eastAsia="IRNazanin"/>
          <w:color w:val="111111"/>
          <w:sz w:val="28"/>
          <w:sz w:val="28"/>
          <w:szCs w:val="28"/>
          <w:rtl w:val="true"/>
          <w:lang w:bidi="fa-IR"/>
        </w:rPr>
        <w:t xml:space="preserve">بحکمه </w:t>
      </w:r>
      <w:r>
        <w:rPr>
          <w:rStyle w:val="FootnoteAnchor"/>
          <w:rtl w:val="true"/>
        </w:rPr>
        <w:footnoteReference w:id="342"/>
      </w:r>
      <w:r>
        <w:rPr>
          <w:rFonts w:ascii="IRNazanin" w:hAnsi="IRNazanin" w:eastAsia="IRNazanin"/>
          <w:color w:val="111111"/>
          <w:sz w:val="28"/>
          <w:sz w:val="28"/>
          <w:szCs w:val="28"/>
          <w:rtl w:val="true"/>
          <w:lang w:bidi="fa-IR"/>
        </w:rPr>
        <w:t xml:space="preserve">لکن لم یصرّحوا بالخلاف، فلذا أفردها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ترتّب علیه وجوب الإنفاق، إلّاأ نّه خارج عن حقیقته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ولایة علی التصرّف وإن کان فی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والوصّیة إلیه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بالشاهد والیمین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بالفعل السابق، أی لا تثبت هذه المذکورات بهما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النکاح 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الثبوت مطلقاً </w:t>
      </w:r>
      <w:r>
        <w:rPr>
          <w:rStyle w:val="FootnoteAnchor"/>
          <w:rtl w:val="true"/>
        </w:rPr>
        <w:footnoteReference w:id="344"/>
      </w:r>
      <w:r>
        <w:rPr>
          <w:rFonts w:ascii="IRNazanin" w:hAnsi="IRNazanin" w:eastAsia="IRNazanin"/>
          <w:color w:val="111111"/>
          <w:sz w:val="28"/>
          <w:sz w:val="28"/>
          <w:szCs w:val="28"/>
          <w:rtl w:val="true"/>
          <w:lang w:bidi="fa-IR"/>
        </w:rPr>
        <w:t>لأنّ المقصود الذاتی منه الإحصان وإقامة السنّة وکفُّ النفس عن الحرام والنسل، وأمّا المهر والنفقة فإنّهما 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القبول مطلقاً نظراً إلی تضمّنه المال</w:t>
      </w:r>
      <w:bookmarkStart w:id="121" w:name="pg19812_249282"/>
    </w:p>
    <w:p>
      <w:pPr>
        <w:pStyle w:val="BookText"/>
        <w:rPr/>
      </w:pPr>
      <w:bookmarkEnd w:id="121"/>
      <w:r>
        <w:rPr>
          <w:rFonts w:ascii="IRNazanin" w:hAnsi="IRNazanin" w:eastAsia="IRNazanin"/>
          <w:color w:val="111111"/>
          <w:sz w:val="28"/>
          <w:sz w:val="28"/>
          <w:szCs w:val="28"/>
          <w:rtl w:val="true"/>
          <w:lang w:bidi="fa-IR"/>
        </w:rPr>
        <w:t>ولا نعلم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ثالث قبوله من المرأة دون الرجل؛ لأنّها تثبت النفقة والمهر، ذهب إلیه العلّامة </w:t>
      </w:r>
      <w:r>
        <w:rPr>
          <w:rStyle w:val="FootnoteAnchor"/>
          <w:rtl w:val="true"/>
        </w:rPr>
        <w:footnoteReference w:id="345"/>
      </w:r>
      <w:r>
        <w:rPr>
          <w:rFonts w:ascii="IRNazanin" w:hAnsi="IRNazanin" w:eastAsia="IRNazanin"/>
          <w:color w:val="111111"/>
          <w:sz w:val="28"/>
          <w:sz w:val="28"/>
          <w:szCs w:val="28"/>
          <w:rtl w:val="true"/>
          <w:lang w:bidi="fa-IR"/>
        </w:rPr>
        <w:t>والأقوی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المدّعون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وأقاموا شاهداً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 واحد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 یثبت حقّاً لنفسه، ولا یثبت مالٌ لأحدٍ بیمین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شهادة الشاهد أوّلاً وتعدیله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والحلف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الحکم یتمّ بهما لا بأحدهما، فلو </w:t>
      </w:r>
      <w:r>
        <w:rPr>
          <w:rStyle w:val="FootnoteAnchor"/>
          <w:rtl w:val="true"/>
        </w:rPr>
        <w:footnoteReference w:id="346"/>
      </w:r>
      <w:r>
        <w:rPr>
          <w:rFonts w:ascii="IRNazanin" w:hAnsi="IRNazanin" w:eastAsia="IRNazanin"/>
          <w:color w:val="111111"/>
          <w:sz w:val="28"/>
          <w:sz w:val="28"/>
          <w:szCs w:val="28"/>
          <w:rtl w:val="true"/>
          <w:lang w:bidi="fa-IR"/>
        </w:rPr>
        <w:t>رجع الشاهد غرّم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أحد جزئی سبب فوات المال علی 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والمدّعی لو رجع غرِّم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لاعترافه بلزوم المال له مع کونه قد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تسلّم الشاهد المال ثم رجع أمکن ضمانه الجمیع إن شاء المالک؛ لاعترافه بترتّب یده علی المغصوب، فیتخیّر المالک فی التضمین</w:t>
      </w:r>
      <w:r>
        <w:rPr>
          <w:rFonts w:eastAsia="IRNazanin" w:cs="IRNazanin"/>
          <w:color w:val="111111"/>
          <w:sz w:val="28"/>
          <w:szCs w:val="28"/>
          <w:rtl w:val="true"/>
          <w:lang w:bidi="fa-IR"/>
        </w:rPr>
        <w:t>.</w:t>
      </w:r>
    </w:p>
    <w:p>
      <w:pPr>
        <w:pStyle w:val="Heading4"/>
        <w:numPr>
          <w:ilvl w:val="3"/>
          <w:numId w:val="1"/>
        </w:numPr>
        <w:rPr/>
      </w:pPr>
      <w:bookmarkStart w:id="122" w:name="__RefHeading___Toc2092844_2314609296"/>
      <w:bookmarkStart w:id="123" w:name="_Toc45"/>
      <w:bookmarkEnd w:id="122"/>
      <w:r>
        <w:rPr>
          <w:rtl w:val="true"/>
        </w:rPr>
        <w:t>[</w:t>
      </w:r>
      <w:r>
        <w:rPr>
          <w:rtl w:val="true"/>
        </w:rPr>
        <w:t>القضاء علی الغائب عن مجلس القضاء</w:t>
      </w:r>
      <w:r>
        <w:rPr>
          <w:rtl w:val="true"/>
        </w:rPr>
        <w:t>]</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ویقضی علی الغائب عن مجلس القضاء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بعد أم قرب وإن کان فی البلد ولم یتعذّر علیه حضور مجلس الحکم علی الأقوی؛ لعموم الأدلّة </w:t>
      </w:r>
      <w:r>
        <w:rPr>
          <w:rStyle w:val="FootnoteAnchor"/>
          <w:rtl w:val="true"/>
        </w:rPr>
        <w:footnoteReference w:id="348"/>
      </w:r>
      <w:r>
        <w:rPr>
          <w:rFonts w:ascii="IRNazanin" w:hAnsi="IRNazanin" w:eastAsia="IRNazanin"/>
          <w:color w:val="111111"/>
          <w:sz w:val="28"/>
          <w:sz w:val="28"/>
          <w:szCs w:val="28"/>
          <w:rtl w:val="true"/>
          <w:lang w:bidi="fa-IR"/>
        </w:rPr>
        <w:t>ولو کان فی المجلس لم یقض علیه إلّابعد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الغائب علی حجّته لو حضر، فإن ادّعی بعده قضاءً أو إبراءً أقام به البیّنة، وإلّا اُحلفَ المدّعی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ومحلّه حقوق الناس، لا حقوق اللّٰه تعالی؛ لأنّ القضاء علی الغائب</w:t>
      </w:r>
      <w:bookmarkStart w:id="124" w:name="pg19812_249283"/>
    </w:p>
    <w:p>
      <w:pPr>
        <w:pStyle w:val="BookText"/>
        <w:rPr/>
      </w:pPr>
      <w:bookmarkEnd w:id="124"/>
      <w:r>
        <w:rPr>
          <w:rFonts w:ascii="IRNazanin" w:hAnsi="IRNazanin" w:eastAsia="IRNazanin"/>
          <w:color w:val="111111"/>
          <w:sz w:val="28"/>
          <w:sz w:val="28"/>
          <w:szCs w:val="28"/>
          <w:rtl w:val="true"/>
          <w:lang w:bidi="fa-IR"/>
        </w:rPr>
        <w:t>احتیاط، وحقوق اللّٰه تعالی مبنیّة علی التخفیف، لغَنائه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اشتمل علی الحقّین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بالمال دون القطع</w:t>
      </w:r>
      <w:r>
        <w:rPr>
          <w:rFonts w:eastAsia="IRNazanin" w:cs="IRNazanin"/>
          <w:color w:val="111111"/>
          <w:sz w:val="28"/>
          <w:szCs w:val="28"/>
          <w:rtl w:val="true"/>
          <w:lang w:bidi="fa-IR"/>
        </w:rPr>
        <w:t>.</w:t>
      </w:r>
    </w:p>
    <w:p>
      <w:pPr>
        <w:pStyle w:val="Heading4"/>
        <w:numPr>
          <w:ilvl w:val="3"/>
          <w:numId w:val="1"/>
        </w:numPr>
        <w:rPr/>
      </w:pPr>
      <w:bookmarkStart w:id="125" w:name="__RefHeading___Toc2092846_2314609296"/>
      <w:bookmarkStart w:id="126" w:name="_Toc46"/>
      <w:bookmarkEnd w:id="125"/>
      <w:r>
        <w:rPr>
          <w:rtl w:val="true"/>
        </w:rPr>
        <w:t>[</w:t>
      </w:r>
      <w:r>
        <w:rPr>
          <w:rtl w:val="true"/>
        </w:rPr>
        <w:t>موارد وجوب الیمین مع البینة</w:t>
      </w:r>
      <w:r>
        <w:rPr>
          <w:rtl w:val="true"/>
        </w:rPr>
        <w:t>]</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الیمین مع البیّنة علی بقاء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الدعوی لنفسه، ولو کانت لموکِّله، أو للمولّی علیه فلا یمین علیه، ویسلّم المال بکفیل إلی أن یحضر المالک، أو یکمل ویحلف ما دام المدّعی علیه غائباً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الیمین مع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علی المیّت والطفل أو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المیّت فموضع وفاق، وأمّا علی الغائب والطفل والمجنون فلمشارکتهم له فی العلّة المؤمی إلیها فی النصّ </w:t>
      </w:r>
      <w:r>
        <w:rPr>
          <w:rStyle w:val="FootnoteAnchor"/>
          <w:rtl w:val="true"/>
        </w:rPr>
        <w:footnoteReference w:id="350"/>
      </w:r>
      <w:r>
        <w:rPr>
          <w:rFonts w:ascii="IRNazanin" w:hAnsi="IRNazanin" w:eastAsia="IRNazanin"/>
          <w:color w:val="111111"/>
          <w:sz w:val="28"/>
          <w:sz w:val="28"/>
          <w:szCs w:val="28"/>
          <w:rtl w:val="true"/>
          <w:lang w:bidi="fa-IR"/>
        </w:rPr>
        <w:t>وهو أ نّه لا لسان له للجواب فیستظهر الحاکم بها؛ إذ یحتمل لو حضر کاملاً أن یجیب بالإیفاء أو الإبراء، فیتوجّه الیمین، وهو من باب اتّحاد طریق المسألتین، لا من باب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فقد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أنّ المیّت لا لسان له مطلقاً فی الدنیا، بخلاف المتنازع، فیمکن مراجعته إذا حضر أو کمل </w:t>
      </w:r>
      <w:r>
        <w:rPr>
          <w:rStyle w:val="FootnoteAnchor"/>
          <w:rtl w:val="true"/>
        </w:rPr>
        <w:footnoteReference w:id="351"/>
      </w:r>
      <w:r>
        <w:rPr>
          <w:rFonts w:ascii="IRNazanin" w:hAnsi="IRNazanin" w:eastAsia="IRNazanin"/>
          <w:color w:val="111111"/>
          <w:sz w:val="28"/>
          <w:sz w:val="28"/>
          <w:szCs w:val="28"/>
          <w:rtl w:val="true"/>
          <w:lang w:bidi="fa-IR"/>
        </w:rPr>
        <w:t xml:space="preserve">وترتیب </w:t>
      </w:r>
      <w:r>
        <w:rPr>
          <w:rStyle w:val="FootnoteAnchor"/>
          <w:rtl w:val="true"/>
        </w:rPr>
        <w:footnoteReference w:id="352"/>
      </w:r>
      <w:r>
        <w:rPr>
          <w:rFonts w:ascii="IRNazanin" w:hAnsi="IRNazanin" w:eastAsia="IRNazanin"/>
          <w:color w:val="111111"/>
          <w:sz w:val="28"/>
          <w:sz w:val="28"/>
          <w:szCs w:val="28"/>
          <w:rtl w:val="true"/>
          <w:lang w:bidi="fa-IR"/>
        </w:rPr>
        <w:t>حکم علی جواب، بخلاف المیّت، فکان أقوی فی إیجاب الیمین، فلا یتّحد الطریق</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وإطلاقه یقتضی عدم الفرق بین دعوی العین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بالفرق وثبوت الیمین فی الدین خاصّة </w:t>
      </w:r>
      <w:r>
        <w:rPr>
          <w:rStyle w:val="FootnoteAnchor"/>
          <w:rtl w:val="true"/>
        </w:rPr>
        <w:footnoteReference w:id="353"/>
      </w:r>
      <w:r>
        <w:rPr>
          <w:rFonts w:ascii="IRNazanin" w:hAnsi="IRNazanin" w:eastAsia="IRNazanin"/>
          <w:color w:val="111111"/>
          <w:sz w:val="28"/>
          <w:sz w:val="28"/>
          <w:szCs w:val="28"/>
          <w:rtl w:val="true"/>
          <w:lang w:bidi="fa-IR"/>
        </w:rPr>
        <w:t>لاحتمال الإبراء منه وغیره من غیر علم الشهود، بخلاف العین فإنّ ملکها إذا ثبت استُصحب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بأنّ احتمال تجدّد نقل الملک ممکن فی الحالتین، والاستظهار وعدم اللسان آتٍ فیهما</w:t>
      </w:r>
      <w:r>
        <w:rPr>
          <w:rFonts w:eastAsia="IRNazanin" w:cs="IRNazanin"/>
          <w:color w:val="111111"/>
          <w:sz w:val="28"/>
          <w:szCs w:val="28"/>
          <w:rtl w:val="true"/>
          <w:lang w:bidi="fa-IR"/>
        </w:rPr>
        <w:t>.</w:t>
      </w:r>
      <w:bookmarkStart w:id="127" w:name="pg19812_249284"/>
    </w:p>
    <w:p>
      <w:pPr>
        <w:pStyle w:val="Heading3"/>
        <w:numPr>
          <w:ilvl w:val="2"/>
          <w:numId w:val="1"/>
        </w:numPr>
        <w:rPr/>
      </w:pPr>
      <w:bookmarkStart w:id="128" w:name="__RefHeading___Toc2092848_2314609296"/>
      <w:bookmarkStart w:id="129" w:name="_Toc47"/>
      <w:bookmarkEnd w:id="127"/>
      <w:bookmarkEnd w:id="128"/>
      <w:r>
        <w:rPr>
          <w:rtl w:val="true"/>
        </w:rPr>
        <w:t>«</w:t>
      </w:r>
      <w:r>
        <w:rPr>
          <w:rtl w:val="true"/>
        </w:rPr>
        <w:t>القول فی التعارض</w:t>
      </w:r>
      <w:r>
        <w:rPr>
          <w:rtl w:val="true"/>
        </w:rPr>
        <w:t>»</w:t>
      </w:r>
      <w:bookmarkEnd w:id="129"/>
    </w:p>
    <w:p>
      <w:pPr>
        <w:pStyle w:val="BookText"/>
        <w:rPr/>
      </w:pPr>
      <w:r>
        <w:rPr>
          <w:rFonts w:ascii="IRNazanin" w:hAnsi="IRNazanin" w:eastAsia="IRNazanin"/>
          <w:color w:val="111111"/>
          <w:sz w:val="28"/>
          <w:sz w:val="28"/>
          <w:szCs w:val="28"/>
          <w:rtl w:val="true"/>
          <w:lang w:bidi="fa-IR"/>
        </w:rPr>
        <w:t>أی تعارض الدعوی فی 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تداعیا ما فی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کلّ منهما المجموع ولا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علی نفی استحقاق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 وکذا لو نکلا عن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حلف أحدهما ونکل الآخر فهو للحالف، فإن کانت یمینه بعد نکول صاحبه حلف یمیناً واحدة تجمع النفی والإثبات، وإلّا افتقر إلی یمین اُخری للإثبات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أقاما بیّنة ویُقضی لکلّ منهما بما فی ید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ترجیح بیّنة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هنا بین تساوی البیّنتین عدداً وعدالةً واختلافهما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 الید من صدّقه من هی بیده مع الیمین وعلی المصدِّق الیمین للآخر، فإن امتنع حلف الآخر واُغرم له؛ لحیلولته بینه وبینها بإقراره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صدّقهما فهی لهما بعد حلفهما أو نکولهما، ولهما إحلافه إن ادّعیا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أنکرهما قدّم قوله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لأحدهما بیّنة فی جمیع هذه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لذی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أقاماها رجّح الأعدل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شهوداً، فإن تساووا فی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شهوداً، فإن تساووا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خرج اسمه حلف واُعطی الجمیع، فإن نکل اُحلف الآخر وأخذ، فإن امتنعا قسّمت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یجب الیمین علی من رجّحت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العبارة عدم الیمین فیهما، والأوّل مختاره فی الدروس </w:t>
      </w:r>
      <w:r>
        <w:rPr>
          <w:rStyle w:val="FootnoteAnchor"/>
          <w:rtl w:val="true"/>
        </w:rPr>
        <w:footnoteReference w:id="354"/>
      </w:r>
      <w:r>
        <w:rPr>
          <w:rFonts w:ascii="Amiri" w:hAnsi="Amiri" w:eastAsia="Amiri" w:cs="Amiri"/>
          <w:color w:val="111111"/>
          <w:sz w:val="28"/>
          <w:sz w:val="28"/>
          <w:szCs w:val="28"/>
          <w:rtl w:val="true"/>
          <w:lang w:bidi="ar-SA"/>
        </w:rPr>
        <w:t>فی الثانی قطعاً وفی الأوّل میلاً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تشبّث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تعلّق بها، بأن کان ذا یدٍ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فالیمین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لم یکن للآخر بیّنة، سواء کان للمتشبّث بیّنة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یکفی بیّنته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الیمین؛ لأنّه منکر فیدخل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وإن کان له بیّنة، فلو نکل عنها حلف الآخر وأخذ، فإن نکل اُقرّت فی ید المتشبّث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المتشبّث والخارج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ففی الحکم لأیّهما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بیّنة الداخل مطلقاً </w:t>
      </w:r>
      <w:r>
        <w:rPr>
          <w:rStyle w:val="FootnoteAnchor"/>
          <w:rtl w:val="true"/>
        </w:rPr>
        <w:footnoteReference w:id="356"/>
      </w:r>
      <w:r>
        <w:rPr>
          <w:rFonts w:ascii="IRNazanin" w:hAnsi="IRNazanin" w:eastAsia="IRNazanin"/>
          <w:color w:val="111111"/>
          <w:sz w:val="28"/>
          <w:sz w:val="28"/>
          <w:szCs w:val="28"/>
          <w:rtl w:val="true"/>
          <w:lang w:bidi="fa-IR"/>
        </w:rPr>
        <w:t xml:space="preserve">لما روی أنّ علیّاً علیه السلام قضی بذلک </w:t>
      </w:r>
      <w:r>
        <w:rPr>
          <w:rStyle w:val="FootnoteAnchor"/>
          <w:rtl w:val="true"/>
        </w:rPr>
        <w:footnoteReference w:id="357"/>
      </w:r>
      <w:r>
        <w:rPr>
          <w:rFonts w:ascii="IRNazanin" w:hAnsi="IRNazanin" w:eastAsia="IRNazanin"/>
          <w:color w:val="111111"/>
          <w:sz w:val="28"/>
          <w:sz w:val="28"/>
          <w:szCs w:val="28"/>
          <w:rtl w:val="true"/>
          <w:lang w:bidi="fa-IR"/>
        </w:rPr>
        <w:t>ولتعارض البیّنتین فیرجع إلی تقدیم ذی الید،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مطلقاً </w:t>
      </w:r>
      <w:r>
        <w:rPr>
          <w:rStyle w:val="FootnoteAnchor"/>
          <w:rtl w:val="true"/>
        </w:rPr>
        <w:footnoteReference w:id="358"/>
      </w:r>
      <w:r>
        <w:rPr>
          <w:rFonts w:ascii="IRNazanin" w:hAnsi="IRNazanin" w:eastAsia="IRNazanin"/>
          <w:color w:val="111111"/>
          <w:sz w:val="28"/>
          <w:sz w:val="28"/>
          <w:szCs w:val="28"/>
          <w:rtl w:val="true"/>
          <w:lang w:bidi="fa-IR"/>
        </w:rPr>
        <w:t xml:space="preserve">عملاً بظاهر الخبر المستفیض، من أنّ القول قول ذی الید، والبیّنة بیّنة المدعی </w:t>
      </w:r>
      <w:r>
        <w:rPr>
          <w:rStyle w:val="FootnoteAnchor"/>
          <w:rtl w:val="true"/>
        </w:rPr>
        <w:footnoteReference w:id="359"/>
      </w:r>
      <w:r>
        <w:rPr>
          <w:rFonts w:ascii="IRNazanin" w:hAnsi="IRNazanin" w:eastAsia="IRNazanin"/>
          <w:color w:val="111111"/>
          <w:sz w:val="28"/>
          <w:sz w:val="28"/>
          <w:szCs w:val="28"/>
          <w:rtl w:val="true"/>
          <w:lang w:bidi="fa-IR"/>
        </w:rPr>
        <w:t>الشامل لموضع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بیّنة الخارج إن شهدتا بالملک المطلق أو المسبّب أو بیّنته خاصّة بالسبب، ولو انفردت به بیّنة الداخل قدّم </w:t>
      </w:r>
      <w:r>
        <w:rPr>
          <w:rStyle w:val="FootnoteAnchor"/>
          <w:rtl w:val="true"/>
        </w:rPr>
        <w:footnoteReference w:id="360"/>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تسبّبهما تقدّم بیّنة الداخل أیضاً </w:t>
      </w:r>
      <w:r>
        <w:rPr>
          <w:rStyle w:val="FootnoteAnchor"/>
          <w:rtl w:val="true"/>
        </w:rPr>
        <w:footnoteReference w:id="361"/>
      </w:r>
      <w:r>
        <w:rPr>
          <w:rFonts w:ascii="IRNazanin" w:hAnsi="IRNazanin" w:eastAsia="IRNazanin"/>
          <w:color w:val="111111"/>
          <w:sz w:val="28"/>
          <w:sz w:val="28"/>
          <w:szCs w:val="28"/>
          <w:rtl w:val="true"/>
          <w:lang w:bidi="fa-IR"/>
        </w:rPr>
        <w:t xml:space="preserve">وتوقّف المصنّف هنا وفی الدروس </w:t>
      </w:r>
      <w:r>
        <w:rPr>
          <w:rStyle w:val="FootnoteAnchor"/>
          <w:rtl w:val="true"/>
        </w:rPr>
        <w:footnoteReference w:id="362"/>
      </w:r>
      <w:r>
        <w:rPr>
          <w:rFonts w:ascii="IRNazanin" w:hAnsi="IRNazanin" w:eastAsia="IRNazanin"/>
          <w:color w:val="111111"/>
          <w:sz w:val="28"/>
          <w:sz w:val="28"/>
          <w:szCs w:val="28"/>
          <w:rtl w:val="true"/>
          <w:lang w:bidi="fa-IR"/>
        </w:rPr>
        <w:t>مقتصراً علی نقل الخلاف،</w:t>
      </w:r>
    </w:p>
    <w:p>
      <w:pPr>
        <w:pStyle w:val="BookText"/>
        <w:rPr/>
      </w:pPr>
      <w:r>
        <w:rPr>
          <w:rFonts w:ascii="IRNazanin" w:hAnsi="IRNazanin" w:eastAsia="IRNazanin"/>
          <w:color w:val="111111"/>
          <w:sz w:val="28"/>
          <w:sz w:val="28"/>
          <w:szCs w:val="28"/>
          <w:rtl w:val="true"/>
          <w:lang w:bidi="fa-IR"/>
        </w:rPr>
        <w:t xml:space="preserve">وهو فی موضعه؛ لعدم دلیل متین فی </w:t>
      </w:r>
      <w:r>
        <w:rPr>
          <w:rStyle w:val="FootnoteAnchor"/>
          <w:rtl w:val="true"/>
        </w:rPr>
        <w:footnoteReference w:id="363"/>
      </w:r>
      <w:r>
        <w:rPr>
          <w:rFonts w:ascii="IRNazanin" w:hAnsi="IRNazanin" w:eastAsia="IRNazanin"/>
          <w:color w:val="111111"/>
          <w:sz w:val="28"/>
          <w:sz w:val="28"/>
          <w:szCs w:val="28"/>
          <w:rtl w:val="true"/>
          <w:lang w:bidi="fa-IR"/>
        </w:rPr>
        <w:t>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الإرشاد رجّح القول الثالث </w:t>
      </w:r>
      <w:r>
        <w:rPr>
          <w:rStyle w:val="FootnoteAnchor"/>
          <w:rtl w:val="true"/>
        </w:rPr>
        <w:footnoteReference w:id="364"/>
      </w:r>
      <w:r>
        <w:rPr>
          <w:rFonts w:ascii="IRNazanin" w:hAnsi="IRNazanin" w:eastAsia="IRNazanin"/>
          <w:color w:val="111111"/>
          <w:sz w:val="28"/>
          <w:sz w:val="28"/>
          <w:szCs w:val="28"/>
          <w:rtl w:val="true"/>
          <w:lang w:bidi="fa-IR"/>
        </w:rPr>
        <w:t xml:space="preserve">وهو مذهب الفاضلین </w:t>
      </w:r>
      <w:r>
        <w:rPr>
          <w:rStyle w:val="FootnoteAnchor"/>
          <w:rtl w:val="true"/>
        </w:rPr>
        <w:footnoteReference w:id="365"/>
      </w:r>
      <w:r>
        <w:rPr>
          <w:rFonts w:ascii="IRNazanin" w:hAnsi="IRNazanin" w:eastAsia="IRNazanin"/>
          <w:color w:val="111111"/>
          <w:sz w:val="28"/>
          <w:sz w:val="28"/>
          <w:szCs w:val="28"/>
          <w:rtl w:val="true"/>
          <w:lang w:bidi="fa-IR"/>
        </w:rPr>
        <w:t>ولا یخلو من رجحان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تشبّثا وادّعی أحدهما الجمیع والآخر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بیّنة اقتسماها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یمین مدّعی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للآخر من دون العکس، لمصادقته إیّاه علی استحقاق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النصف المتنازع معیّناً اقتسماه بالسویّة بعد التحالف فیثبت لمدّعیه الربع، 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جزءٍ من العین علی تقدیر الإشاعة یدّعی کلّ منهما تعلّق حقّه به فلا ترجیح، بخلاف المعیَّن؛ إذ لا نزاع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یذکروا فی هذا الحکم خلافاً، وإلّا فلا یخلو من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أقاما بینّة فهی للخارج علی القول بترجیح بیّنته، وهو مدّعی‌الکلّ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فی ید مدّعی النصف النصف، فمدّعی الکلّ خارج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نصفین کما لو لم یکن بیّنة؛ لما ذکرناه من استقلال ید مدّعی النصف علیه، فإذا رجّحت بیّنته به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 أحدهما خاصّة بیّنة حکم بها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فی ید ثالث وصدّق أحدهما صار صاحب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فیترتّب علیه ما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وللآخر إحلافهما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أقاما بیّنة فللمستوعب النصف، وتعارضت البیّنتان فی الآخر، فیحکم للأعدل فالأکثر فالقرعة، ویقضی لمن خرج بیمینه، فإن امتنع حلف الآخر، فإن نکلا قسّم بینهما، فللمستوعب ثلاثة أرباع وللآخر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یقسّم علی ثلاثة، فلمدّعی الکلّ اثنان ولمدّعی النصف واحد </w:t>
      </w:r>
      <w:r>
        <w:rPr>
          <w:rStyle w:val="FootnoteAnchor"/>
          <w:rtl w:val="true"/>
        </w:rPr>
        <w:footnoteReference w:id="366"/>
      </w:r>
      <w:r>
        <w:rPr>
          <w:rFonts w:ascii="Amiri" w:hAnsi="Amiri" w:eastAsia="Amiri" w:cs="Amiri"/>
          <w:color w:val="111111"/>
          <w:sz w:val="28"/>
          <w:sz w:val="28"/>
          <w:szCs w:val="28"/>
          <w:rtl w:val="true"/>
          <w:lang w:bidi="ar-SA"/>
        </w:rPr>
        <w:t>لأنّ</w:t>
      </w:r>
    </w:p>
    <w:p>
      <w:pPr>
        <w:pStyle w:val="BookText"/>
        <w:rPr/>
      </w:pPr>
      <w:r>
        <w:rPr>
          <w:rFonts w:ascii="IRNazanin" w:hAnsi="IRNazanin" w:eastAsia="IRNazanin"/>
          <w:color w:val="111111"/>
          <w:sz w:val="28"/>
          <w:sz w:val="28"/>
          <w:szCs w:val="28"/>
          <w:rtl w:val="true"/>
          <w:lang w:bidi="fa-IR"/>
        </w:rPr>
        <w:t>المنازعة وقعت فی أجزاء غیر معیّنة، فیقسّم علی طریق العول علی حسب سهامهما وهی ثلاثة، کضرب الدیّان مع قصور مال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موضع حکمنا بتکافؤ البیّنات أو ترجیحها بأحد الأسباب إنّما هو مع إطلاقها أو اتّحاد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تاریخ إحدی البیّنتین أقدم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 الملک بها سابقاً فیستصحب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شهدتا بالملک المطلق أو المسبّب أو بالتفریق، أمّا لو شهدت إحداهما بالید والاُخری بالملک، فإن کان المتقدّم هو الید رجّح الملک؛ لقوّته وتحقّقه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انعکس ففی ترجیح أ یّهما قولان للشیخ </w:t>
      </w:r>
      <w:r>
        <w:rPr>
          <w:rStyle w:val="FootnoteAnchor"/>
          <w:rtl w:val="true"/>
        </w:rPr>
        <w:footnoteReference w:id="367"/>
      </w:r>
      <w:r>
        <w:rPr>
          <w:rFonts w:ascii="IRNazanin" w:hAnsi="IRNazanin" w:eastAsia="IRNazanin"/>
          <w:color w:val="111111"/>
          <w:sz w:val="28"/>
          <w:sz w:val="28"/>
          <w:szCs w:val="28"/>
          <w:rtl w:val="true"/>
          <w:lang w:bidi="fa-IR"/>
        </w:rPr>
        <w:t xml:space="preserve">وتوقّف المصنّف فی الدروس </w:t>
      </w:r>
      <w:r>
        <w:rPr>
          <w:rStyle w:val="FootnoteAnchor"/>
          <w:rtl w:val="true"/>
        </w:rPr>
        <w:footnoteReference w:id="368"/>
      </w:r>
      <w:r>
        <w:rPr>
          <w:rFonts w:ascii="IRNazanin" w:hAnsi="IRNazanin" w:eastAsia="IRNazanin"/>
          <w:color w:val="111111"/>
          <w:sz w:val="28"/>
          <w:sz w:val="28"/>
          <w:szCs w:val="28"/>
          <w:rtl w:val="true"/>
          <w:lang w:bidi="fa-IR"/>
        </w:rPr>
        <w:t>مقتصراً علی نقلهما</w:t>
      </w:r>
      <w:r>
        <w:rPr>
          <w:rFonts w:eastAsia="IRNazanin" w:cs="IRNazanin"/>
          <w:color w:val="111111"/>
          <w:sz w:val="28"/>
          <w:szCs w:val="28"/>
          <w:rtl w:val="true"/>
          <w:lang w:bidi="fa-IR"/>
        </w:rPr>
        <w:t>.</w:t>
      </w:r>
      <w:bookmarkStart w:id="130" w:name="pg19812_249288"/>
    </w:p>
    <w:p>
      <w:pPr>
        <w:pStyle w:val="Heading3"/>
        <w:numPr>
          <w:ilvl w:val="2"/>
          <w:numId w:val="1"/>
        </w:numPr>
        <w:rPr/>
      </w:pPr>
      <w:bookmarkStart w:id="131" w:name="__RefHeading___Toc2092850_2314609296"/>
      <w:bookmarkStart w:id="132" w:name="_Toc48"/>
      <w:bookmarkEnd w:id="130"/>
      <w:bookmarkEnd w:id="131"/>
      <w:r>
        <w:rPr>
          <w:rtl w:val="true"/>
        </w:rPr>
        <w:t>«</w:t>
      </w:r>
      <w:r>
        <w:rPr>
          <w:rtl w:val="true"/>
        </w:rPr>
        <w:t>القول فی القسمة</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الآخر، ولیست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فیها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تفتقر إلی صیغة، ویدخلها الإجبار ویُلزمها، ویتقدّر أحد النصیبین بقدر الآخر، والبیع لیس فیه شیء من ذلک، واختلاف اللوازم یدلّ علی اختلاف الملزومات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واشتراک کلّ جزءٍ یفرض قبلها بینهما واختصاص کلّ واحد بجزء معیّن وإزالة ملک الآخر عنه بعدها بعوض مقدّر بالتراضی لیس حدّاً لبیع حتی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الفائدة فی عدم ثبوت الشفعة للشریک بها </w:t>
      </w:r>
      <w:r>
        <w:rPr>
          <w:rStyle w:val="FootnoteAnchor"/>
          <w:rtl w:val="true"/>
        </w:rPr>
        <w:footnoteReference w:id="369"/>
      </w:r>
      <w:r>
        <w:rPr>
          <w:rFonts w:ascii="IRNazanin" w:hAnsi="IRNazanin" w:eastAsia="IRNazanin"/>
          <w:color w:val="111111"/>
          <w:sz w:val="28"/>
          <w:sz w:val="28"/>
          <w:szCs w:val="28"/>
          <w:rtl w:val="true"/>
          <w:lang w:bidi="fa-IR"/>
        </w:rPr>
        <w:t xml:space="preserve">وعدم بطلانها بالتفرّق </w:t>
      </w:r>
      <w:r>
        <w:rPr>
          <w:rStyle w:val="FootnoteAnchor"/>
          <w:rtl w:val="true"/>
        </w:rPr>
        <w:footnoteReference w:id="370"/>
      </w:r>
      <w:r>
        <w:rPr>
          <w:rFonts w:ascii="IRNazanin" w:hAnsi="IRNazanin" w:eastAsia="IRNazanin"/>
          <w:color w:val="111111"/>
          <w:sz w:val="28"/>
          <w:sz w:val="28"/>
          <w:szCs w:val="28"/>
          <w:rtl w:val="true"/>
          <w:lang w:bidi="fa-IR"/>
        </w:rPr>
        <w:t>قبل القبض فیما یعتبر فیه التقابض فی البیع، وعدم خیار المجلس، وغیر 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ویجبر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التمس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قیمة الشقص بها عنه منضمّاً، نقصاً فاحشاً علی ما اختاره المصنّف فی الدروس </w:t>
      </w:r>
      <w:r>
        <w:rPr>
          <w:rStyle w:val="FootnoteAnchor"/>
          <w:rtl w:val="true"/>
        </w:rPr>
        <w:footnoteReference w:id="37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نقص القیمة </w:t>
      </w:r>
      <w:r>
        <w:rPr>
          <w:rStyle w:val="FootnoteAnchor"/>
          <w:rtl w:val="true"/>
        </w:rPr>
        <w:footnoteReference w:id="372"/>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الانتفاع به منفرداً </w:t>
      </w:r>
      <w:r>
        <w:rPr>
          <w:rStyle w:val="FootnoteAnchor"/>
          <w:rtl w:val="true"/>
        </w:rPr>
        <w:footnoteReference w:id="37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علی الوجه الذی کان ینتفع به</w:t>
      </w:r>
    </w:p>
    <w:p>
      <w:pPr>
        <w:pStyle w:val="BookText"/>
        <w:rPr/>
      </w:pPr>
      <w:r>
        <w:rPr>
          <w:rFonts w:ascii="Amiri" w:hAnsi="Amiri" w:eastAsia="Amiri" w:cs="Amiri"/>
          <w:color w:val="111111"/>
          <w:sz w:val="28"/>
          <w:sz w:val="28"/>
          <w:szCs w:val="28"/>
          <w:rtl w:val="true"/>
          <w:lang w:bidi="ar-SA"/>
        </w:rPr>
        <w:t xml:space="preserve">قبل القسمة </w:t>
      </w:r>
      <w:r>
        <w:rPr>
          <w:rStyle w:val="FootnoteAnchor"/>
          <w:rtl w:val="true"/>
        </w:rPr>
        <w:footnoteReference w:id="374"/>
      </w:r>
      <w:r>
        <w:rPr>
          <w:rFonts w:ascii="IRNazanin" w:hAnsi="IRNazanin" w:eastAsia="IRNazanin"/>
          <w:color w:val="111111"/>
          <w:sz w:val="28"/>
          <w:sz w:val="28"/>
          <w:szCs w:val="28"/>
          <w:rtl w:val="true"/>
          <w:lang w:bidi="fa-IR"/>
        </w:rPr>
        <w:t>والأجود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تضمّنت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دفع عوضٍ خارجٍ عن المال المشترک من أحد الجانبین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الممتنع منهما؛ لاستلزامه المعاوضة علی جزءٍ من مقابله صوریٍّ أو معنویٍّ وهو غیر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یجبر الممتنع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فیها ضرر، کالجواهر والعضائد </w:t>
      </w:r>
      <w:r>
        <w:rPr>
          <w:rStyle w:val="FootnoteAnchor"/>
          <w:rtl w:val="true"/>
        </w:rPr>
        <w:footnoteReference w:id="375"/>
      </w:r>
      <w:r>
        <w:rPr>
          <w:rFonts w:ascii="IRNazanin" w:hAnsi="IRNazanin" w:eastAsia="IRNazanin"/>
          <w:color w:val="111111"/>
          <w:sz w:val="28"/>
          <w:sz w:val="28"/>
          <w:szCs w:val="28"/>
          <w:rtl w:val="true"/>
          <w:lang w:bidi="fa-IR"/>
        </w:rPr>
        <w:t>الضیّقة والسیف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والضرر فی هذه المذکورات یمکن اعتباره بجمیع المعانی عدا الثالث فی السیف، فإنّه ینتفع بقسمته غالباً فی غیره مع نقصٍ فاحش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قسمة المنفعة بالأجزاء أو 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ولم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 سواء کان ممّا یصحّ قسمته إجباراً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الإجابة لا یلزم الوفاء بها، بل یجوز لکلّ منهما فسخها، فلو استوفی أحدهما ففسخ الآخر أو هو کان علیه اُجرة حصّة الشریک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عدّلت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بالأجزاء إن کانت فی متساویها کیلاً أو وزناً أو ذرعاً أو عدداً بعدد الأنصباء، أو بالقیمة إن اختلفت، کالأرض والحیوان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واتّفقا علی اختصاص کلّ واحد بسهم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قرعة،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التراضی الموجبة لتمییز الحقّ، ولا فرق بین قسمة الردّ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یتّفقا علی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یکتب أسماء الشرکاء أو السهام کلٌّ فی رقعة وتُصان ویؤمر من لم یطّلع علی الصورة بإخراج إحداها </w:t>
      </w:r>
      <w:r>
        <w:rPr>
          <w:rStyle w:val="FootnoteAnchor"/>
          <w:rtl w:val="true"/>
        </w:rPr>
        <w:footnoteReference w:id="376"/>
      </w:r>
      <w:r>
        <w:rPr>
          <w:rFonts w:ascii="IRNazanin" w:hAnsi="IRNazanin" w:eastAsia="IRNazanin"/>
          <w:color w:val="111111"/>
          <w:sz w:val="28"/>
          <w:sz w:val="28"/>
          <w:szCs w:val="28"/>
          <w:rtl w:val="true"/>
          <w:lang w:bidi="fa-IR"/>
        </w:rPr>
        <w:t>علی اسم أحد</w:t>
      </w:r>
    </w:p>
    <w:p>
      <w:pPr>
        <w:pStyle w:val="BookText"/>
        <w:rPr/>
      </w:pPr>
      <w:r>
        <w:rPr>
          <w:rFonts w:ascii="IRNazanin" w:hAnsi="IRNazanin" w:eastAsia="IRNazanin"/>
          <w:color w:val="111111"/>
          <w:sz w:val="28"/>
          <w:sz w:val="28"/>
          <w:szCs w:val="28"/>
          <w:rtl w:val="true"/>
          <w:lang w:bidi="fa-IR"/>
        </w:rPr>
        <w:t>المتقاسمین أو أحد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اتّفقت السهام قدراً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اختلفت قسّم علی أقلّ السهام وجعل لها أوّلٌ یعیّنه المتقاسمون وإلّا الحاکم، وتُکتب أسماؤهم لا أسماء السهام حذراً من التفریق، فمن خرج اسمه أوّلاً أخذ من الأوّل وأکمل نصیبه منها علی الترتیب، ثم یخرج الثانی إن کانوا أکثر من اثنین،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اشتملت القسمة علی ردّ اعتبر رضاهما بعدها،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القسمة ببیّنة أو باطلاع المتقاسمین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ولا بیّنة حلف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یقضَ بالنکول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ونُقضت</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بعض معیّن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 إخراجه بالتعدیل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فائدة القسمة باقیة، وهو إفراد کلّ حقّ علی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متساویاً فی السهام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لأنّ ما یبقی لکلّ واحد لا یکون بقدر حقّه، بل یحتاج أحدهما إلی الرجوع علی الآخر وتعود الإشاعة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القسمة حینئذٍ لم تقع برضاء جمیع الشرکاء</w:t>
      </w:r>
      <w:r>
        <w:rPr>
          <w:rFonts w:eastAsia="IRNazanin" w:cs="IRNazanin"/>
          <w:color w:val="111111"/>
          <w:sz w:val="28"/>
          <w:szCs w:val="28"/>
          <w:rtl w:val="true"/>
          <w:lang w:bidi="fa-IR"/>
        </w:rPr>
        <w:t>.</w:t>
      </w:r>
      <w:bookmarkStart w:id="133" w:name="pg19812_249292"/>
    </w:p>
    <w:p>
      <w:pPr>
        <w:pStyle w:val="Heading2"/>
        <w:numPr>
          <w:ilvl w:val="1"/>
          <w:numId w:val="1"/>
        </w:numPr>
        <w:rPr/>
      </w:pPr>
      <w:bookmarkStart w:id="134" w:name="__RefHeading___Toc2092852_2314609296"/>
      <w:bookmarkStart w:id="135" w:name="_Toc49"/>
      <w:bookmarkEnd w:id="133"/>
      <w:bookmarkEnd w:id="134"/>
      <w:r>
        <w:rPr>
          <w:rtl w:val="true"/>
        </w:rPr>
        <w:t>کتاب الشهادات</w:t>
      </w:r>
      <w:bookmarkEnd w:id="13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2092854_2314609296"/>
      <w:bookmarkStart w:id="137" w:name="_Toc50"/>
      <w:bookmarkEnd w:id="136"/>
      <w:r>
        <w:rPr>
          <w:rtl w:val="true"/>
        </w:rPr>
        <w:t>اشارة</w:t>
      </w:r>
      <w:bookmarkStart w:id="138" w:name="pg19812_249294"/>
      <w:bookmarkEnd w:id="137"/>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وفصوله أربعة</w:t>
      </w:r>
      <w:r>
        <w:rPr>
          <w:rFonts w:eastAsia="Amiri" w:cs="Amiri" w:ascii="Amiri" w:hAnsi="Amiri"/>
          <w:color w:val="111111"/>
          <w:sz w:val="28"/>
          <w:szCs w:val="28"/>
          <w:rtl w:val="true"/>
          <w:lang w:bidi="ar-SA"/>
        </w:rPr>
        <w:t>» :</w:t>
      </w:r>
    </w:p>
    <w:p>
      <w:pPr>
        <w:pStyle w:val="Heading3"/>
        <w:numPr>
          <w:ilvl w:val="2"/>
          <w:numId w:val="1"/>
        </w:numPr>
        <w:rPr/>
      </w:pPr>
      <w:bookmarkStart w:id="139" w:name="__RefHeading___Toc2092856_2314609296"/>
      <w:bookmarkStart w:id="140" w:name="_Toc51"/>
      <w:bookmarkEnd w:id="139"/>
      <w:r>
        <w:rPr>
          <w:rtl w:val="true"/>
        </w:rPr>
        <w:t xml:space="preserve">الفصل </w:t>
      </w:r>
      <w:r>
        <w:rPr>
          <w:rtl w:val="true"/>
        </w:rPr>
        <w:t>«</w:t>
      </w:r>
      <w:r>
        <w:rPr>
          <w:rtl w:val="true"/>
        </w:rPr>
        <w:t>الأوّل</w:t>
      </w:r>
      <w:r>
        <w:rPr>
          <w:rtl w:val="true"/>
        </w:rPr>
        <w:t>» «</w:t>
      </w:r>
      <w:r>
        <w:rPr>
          <w:rtl w:val="true"/>
        </w:rPr>
        <w:t>الشاهد</w:t>
      </w:r>
      <w:r>
        <w:rPr>
          <w:rtl w:val="true"/>
        </w:rPr>
        <w:t>»</w:t>
      </w:r>
      <w:bookmarkEnd w:id="140"/>
    </w:p>
    <w:p>
      <w:pPr>
        <w:pStyle w:val="Heading4"/>
        <w:numPr>
          <w:ilvl w:val="3"/>
          <w:numId w:val="1"/>
        </w:numPr>
        <w:rPr/>
      </w:pPr>
      <w:bookmarkStart w:id="141" w:name="__RefHeading___Toc2092858_2314609296"/>
      <w:bookmarkStart w:id="142" w:name="_Toc52"/>
      <w:bookmarkEnd w:id="141"/>
      <w:r>
        <w:rPr>
          <w:rtl w:val="true"/>
        </w:rPr>
        <w:t>[</w:t>
      </w:r>
      <w:r>
        <w:rPr>
          <w:rtl w:val="true"/>
        </w:rPr>
        <w:t>شروطه</w:t>
      </w:r>
      <w:r>
        <w:rPr>
          <w:rtl w:val="true"/>
        </w:rPr>
        <w:t>]</w:t>
      </w:r>
      <w:bookmarkEnd w:id="14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إلّافی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یبلغ النفس،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بلوغ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یجتمعوا علی مباح، وأن لا یتفرّقوا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الفعل المشهود به إلی أن یؤدّوا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حینئذٍ أنّ شرط البلوغ ینتفی ویبقی ما عداه من الشرائط التی من جملتها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اثنان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والذکوریّة، ومطابقة الشهادة للدعوی وبعض الشهود لبعضٍ،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روی هنا الأخذ بأوّل قولهم لو اختلف </w:t>
      </w:r>
      <w:r>
        <w:rPr>
          <w:rStyle w:val="FootnoteAnchor"/>
          <w:rtl w:val="true"/>
        </w:rPr>
        <w:footnoteReference w:id="378"/>
      </w:r>
      <w:r>
        <w:rPr>
          <w:rFonts w:ascii="IRNazanin" w:hAnsi="IRNazanin" w:eastAsia="IRNazanin"/>
          <w:color w:val="111111"/>
          <w:sz w:val="28"/>
          <w:sz w:val="28"/>
          <w:szCs w:val="28"/>
          <w:rtl w:val="true"/>
          <w:lang w:bidi="fa-IR"/>
        </w:rPr>
        <w:t>والتهجّم علی الدماء فی غیر محلّ الوفاق لیس بجیّد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 مّا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 نّها غیر متحقّقة؛</w:t>
      </w:r>
    </w:p>
    <w:p>
      <w:pPr>
        <w:pStyle w:val="BookText"/>
        <w:rPr/>
      </w:pPr>
      <w:r>
        <w:rPr>
          <w:rFonts w:ascii="IRNazanin" w:hAnsi="IRNazanin" w:eastAsia="IRNazanin"/>
          <w:color w:val="111111"/>
          <w:sz w:val="28"/>
          <w:sz w:val="28"/>
          <w:szCs w:val="28"/>
          <w:rtl w:val="true"/>
          <w:lang w:bidi="fa-IR"/>
        </w:rPr>
        <w:t>لعدم التکلیف الموجب للقیام بوظیفتها من جهة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والمروءة غیر کافیة، واعتبار صورة الأفعال والتروک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اشتراط اجتماعهم علی المباح تنبیه علیه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 شهادة المجنون حال جنونه، فلو دار جنونه قبلت شهادته مفیقاً بعد العلم باستکمال فطنته فی التحمّل والأداء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الأبله والمغفَّل الذی لا یتفطّن لمزایا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تقبل شهادة الکافر وإن کان ذمّیاً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المشهود علیه کافراً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لاتّصافه بالفسق والظلم المانعین من قبول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رحمه الله حیث قبل شهادة أهل الذمّة لملّتهم وعلیهم </w:t>
      </w:r>
      <w:r>
        <w:rPr>
          <w:rStyle w:val="FootnoteAnchor"/>
          <w:rtl w:val="true"/>
        </w:rPr>
        <w:footnoteReference w:id="380"/>
      </w:r>
      <w:r>
        <w:rPr>
          <w:rFonts w:ascii="IRNazanin" w:hAnsi="IRNazanin" w:eastAsia="IRNazanin"/>
          <w:color w:val="111111"/>
          <w:sz w:val="28"/>
          <w:sz w:val="28"/>
          <w:szCs w:val="28"/>
          <w:rtl w:val="true"/>
          <w:lang w:bidi="fa-IR"/>
        </w:rPr>
        <w:t xml:space="preserve">استناداً إلی روایة ضعیفة </w:t>
      </w:r>
      <w:r>
        <w:rPr>
          <w:rStyle w:val="FootnoteAnchor"/>
          <w:rtl w:val="true"/>
        </w:rPr>
        <w:footnoteReference w:id="381"/>
      </w:r>
      <w:r>
        <w:rPr>
          <w:rFonts w:ascii="IRNazanin" w:hAnsi="IRNazanin" w:eastAsia="IRNazanin"/>
          <w:color w:val="111111"/>
          <w:sz w:val="28"/>
          <w:sz w:val="28"/>
          <w:szCs w:val="28"/>
          <w:rtl w:val="true"/>
          <w:lang w:bidi="fa-IR"/>
        </w:rPr>
        <w:t xml:space="preserve">وللصدوق حیث قبل شهادتهم علی مثلهم وإن خالفهم فی الملّة </w:t>
      </w:r>
      <w:r>
        <w:rPr>
          <w:rStyle w:val="FootnoteAnchor"/>
          <w:rtl w:val="true"/>
        </w:rPr>
        <w:footnoteReference w:id="382"/>
      </w:r>
      <w:r>
        <w:rPr>
          <w:rFonts w:ascii="IRNazanin" w:hAnsi="IRNazanin" w:eastAsia="IRNazanin"/>
          <w:color w:val="111111"/>
          <w:sz w:val="28"/>
          <w:sz w:val="28"/>
          <w:szCs w:val="28"/>
          <w:rtl w:val="true"/>
          <w:lang w:bidi="fa-IR"/>
        </w:rPr>
        <w:t>کالیهود علی النصاری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تقبل شهادة غیر الذمّی إجماعاً، ولا شهادته علی المسلم 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الوصیّة عند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شهادة الذمّی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یرید اشتراط فقد المسلمین مطلقاً بناءً علی تقدیم المستورین </w:t>
      </w:r>
      <w:r>
        <w:rPr>
          <w:rStyle w:val="FootnoteAnchor"/>
          <w:rtl w:val="true"/>
        </w:rPr>
        <w:footnoteReference w:id="383"/>
      </w:r>
      <w:r>
        <w:rPr>
          <w:rFonts w:ascii="IRNazanin" w:hAnsi="IRNazanin" w:eastAsia="IRNazanin"/>
          <w:color w:val="111111"/>
          <w:sz w:val="28"/>
          <w:sz w:val="28"/>
          <w:szCs w:val="28"/>
          <w:rtl w:val="true"/>
          <w:lang w:bidi="fa-IR"/>
        </w:rPr>
        <w:t xml:space="preserve">والفاسقین الذین لا یستند فسقهما إلی الکذب، وهو قول العلّامة فی التذکرة </w:t>
      </w:r>
      <w:r>
        <w:rPr>
          <w:rStyle w:val="FootnoteAnchor"/>
          <w:rtl w:val="true"/>
        </w:rPr>
        <w:footnoteReference w:id="384"/>
      </w:r>
      <w:r>
        <w:rPr>
          <w:rFonts w:ascii="Amiri" w:hAnsi="Amiri" w:eastAsia="Amiri" w:cs="Amiri"/>
          <w:color w:val="111111"/>
          <w:sz w:val="28"/>
          <w:sz w:val="28"/>
          <w:szCs w:val="28"/>
          <w:rtl w:val="true"/>
          <w:lang w:bidi="ar-SA"/>
        </w:rPr>
        <w:t>ویضعَّف باستلزامه</w:t>
      </w:r>
    </w:p>
    <w:p>
      <w:pPr>
        <w:pStyle w:val="BookText"/>
        <w:rPr/>
      </w:pPr>
      <w:r>
        <w:rPr>
          <w:rFonts w:ascii="IRNazanin" w:hAnsi="IRNazanin" w:eastAsia="IRNazanin"/>
          <w:color w:val="111111"/>
          <w:sz w:val="28"/>
          <w:sz w:val="28"/>
          <w:szCs w:val="28"/>
          <w:rtl w:val="true"/>
          <w:lang w:bidi="fa-IR"/>
        </w:rPr>
        <w:t>التعمیم فی غیر محلّ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اشتراط السفر قولان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الخلاف فی إحلافهما </w:t>
      </w:r>
      <w:r>
        <w:rPr>
          <w:rStyle w:val="FootnoteAnchor"/>
          <w:rtl w:val="true"/>
        </w:rPr>
        <w:footnoteReference w:id="386"/>
      </w:r>
      <w:r>
        <w:rPr>
          <w:rFonts w:ascii="Amiri" w:hAnsi="Amiri" w:eastAsia="Amiri" w:cs="Amiri"/>
          <w:color w:val="111111"/>
          <w:sz w:val="28"/>
          <w:sz w:val="28"/>
          <w:szCs w:val="28"/>
          <w:rtl w:val="true"/>
          <w:lang w:bidi="ar-SA"/>
        </w:rPr>
        <w:t xml:space="preserve">بعد العصر، فأوجبه العلّامة </w:t>
      </w:r>
      <w:r>
        <w:rPr>
          <w:rStyle w:val="FootnoteAnchor"/>
          <w:rtl w:val="true"/>
        </w:rPr>
        <w:footnoteReference w:id="387"/>
      </w:r>
      <w:r>
        <w:rPr>
          <w:rFonts w:ascii="Amiri" w:hAnsi="Amiri" w:eastAsia="Amiri" w:cs="Amiri"/>
          <w:color w:val="111111"/>
          <w:sz w:val="28"/>
          <w:sz w:val="28"/>
          <w:szCs w:val="28"/>
          <w:rtl w:val="true"/>
          <w:lang w:bidi="ar-SA"/>
        </w:rPr>
        <w:t>عملاً بظاهر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العدم، فإن قلنا به فلیکن بصورة الآیة بأن یقولا بعد الحلف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هنا الولاء، فلا تقبل شهادة غیر الإمامی مطلقاً مقلّداً کان أم مستدلّاً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هیئة نفسانیّة راسخة تبعث علی ملازمة التقوی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وتزول بالکبیرة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وهی ما توعّد علیها بخصوصها فی کتاب أو سنّة، وهی إلی سبعمئة أقرب منها إلی سبعین وسبعة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والربا والزنا واللواط والقیادة والدیاثة وشرب المسکر والسرقة والقذف والفرار من الزحف وشهادة الزور وعقوق الوالدین والأمن من مکر اللّٰه والیأس من رَوح اللّٰه والغصب والغیبة والنمیمة والیمین الفاجرة وقطیعة الرحم وأکل مال الیتیم وخیانة الکیل والوزن وتأخیر الصلاة عن وقتها والکذب خصوصاً علی رسول اللّٰه صلی الله علیه و آله </w:t>
      </w:r>
      <w:r>
        <w:rPr>
          <w:rStyle w:val="FootnoteAnchor"/>
          <w:rtl w:val="true"/>
        </w:rPr>
        <w:footnoteReference w:id="389"/>
      </w:r>
      <w:r>
        <w:rPr>
          <w:rFonts w:ascii="IRNazanin" w:hAnsi="IRNazanin" w:eastAsia="IRNazanin"/>
          <w:color w:val="111111"/>
          <w:sz w:val="28"/>
          <w:sz w:val="28"/>
          <w:szCs w:val="28"/>
          <w:rtl w:val="true"/>
          <w:lang w:bidi="fa-IR"/>
        </w:rPr>
        <w:t>وضرب المسلم بغیر حقّ وکتمان الشهادة والرشوة</w:t>
      </w:r>
    </w:p>
    <w:p>
      <w:pPr>
        <w:pStyle w:val="BookText"/>
        <w:rPr/>
      </w:pPr>
      <w:r>
        <w:rPr>
          <w:rFonts w:ascii="IRNazanin" w:hAnsi="IRNazanin" w:eastAsia="IRNazanin"/>
          <w:color w:val="111111"/>
          <w:sz w:val="28"/>
          <w:sz w:val="28"/>
          <w:szCs w:val="28"/>
          <w:rtl w:val="true"/>
          <w:lang w:bidi="fa-IR"/>
        </w:rPr>
        <w:t>والسعایة إلی الظالم ومنع الزکاة وتأخیر الحجّ عن عام الوجوب اختیاراً والظهار وأکل لحم الخنزیر والمیتة والمحاربة بقطع الطریق والسحر، للتوعّد علی ذلک کلّه،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کلّها کبائر </w:t>
      </w:r>
      <w:r>
        <w:rPr>
          <w:rStyle w:val="FootnoteAnchor"/>
          <w:rtl w:val="true"/>
        </w:rPr>
        <w:footnoteReference w:id="390"/>
      </w:r>
      <w:r>
        <w:rPr>
          <w:rFonts w:ascii="IRNazanin" w:hAnsi="IRNazanin" w:eastAsia="IRNazanin"/>
          <w:color w:val="111111"/>
          <w:sz w:val="28"/>
          <w:sz w:val="28"/>
          <w:szCs w:val="28"/>
          <w:rtl w:val="true"/>
          <w:lang w:bidi="fa-IR"/>
        </w:rPr>
        <w:t xml:space="preserve">ونسبه الطبرسی فی التفسیر إلی أصحابنا </w:t>
      </w:r>
      <w:r>
        <w:rPr>
          <w:rStyle w:val="FootnoteAnchor"/>
          <w:rtl w:val="true"/>
        </w:rPr>
        <w:footnoteReference w:id="391"/>
      </w:r>
      <w:r>
        <w:rPr>
          <w:rFonts w:ascii="Amiri" w:hAnsi="Amiri" w:eastAsia="Amiri" w:cs="Amiri"/>
          <w:color w:val="111111"/>
          <w:sz w:val="28"/>
          <w:sz w:val="28"/>
          <w:szCs w:val="28"/>
          <w:rtl w:val="true"/>
          <w:lang w:bidi="ar-SA"/>
        </w:rPr>
        <w:t xml:space="preserve">مطلِقاً </w:t>
      </w:r>
      <w:r>
        <w:rPr>
          <w:rStyle w:val="FootnoteAnchor"/>
          <w:rtl w:val="true"/>
        </w:rPr>
        <w:footnoteReference w:id="392"/>
      </w:r>
      <w:r>
        <w:rPr>
          <w:rFonts w:ascii="IRNazanin" w:hAnsi="IRNazanin" w:eastAsia="IRNazanin"/>
          <w:color w:val="111111"/>
          <w:sz w:val="28"/>
          <w:sz w:val="28"/>
          <w:szCs w:val="28"/>
          <w:rtl w:val="true"/>
          <w:lang w:bidi="fa-IR"/>
        </w:rPr>
        <w:t>نظراً إلی اشتراکها فی مخالفة أمر اللّٰه تعالی ونهیه، وتسمیة بعضها صغیراً بالإضافة إلی ما هو أعظم منه، کالقُبلة بالإضافة إلی الزنا وإن کانت کبیرة بالإضافة إلی النظرة، وهکذا</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والإصرار علی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دون الکبیرة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والإصرار إمّا فعلیّ کالمواظبة علی نوع أو أنواع من الصغائر، أو حکمیّ وهو العزم علی فعلها ثانیاً بعد وقوعه وإن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یقدح ترک السنن إلّاأن یؤدّی إلی التهاون بها </w:t>
      </w:r>
      <w:r>
        <w:rPr>
          <w:rStyle w:val="FootnoteAnchor"/>
          <w:rtl w:val="true"/>
        </w:rPr>
        <w:footnoteReference w:id="393"/>
      </w:r>
      <w:r>
        <w:rPr>
          <w:rFonts w:ascii="IRNazanin" w:hAnsi="IRNazanin" w:eastAsia="IRNazanin"/>
          <w:color w:val="111111"/>
          <w:sz w:val="28"/>
          <w:sz w:val="28"/>
          <w:szCs w:val="28"/>
          <w:rtl w:val="true"/>
          <w:lang w:bidi="fa-IR"/>
        </w:rPr>
        <w:t>وهل هذا هو مع ذلک من الذنوب أم مخالفة المروءة؟ کل محتمل وإن کان الثانی أوجه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وبترک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التخلّق بخلق أمثاله فی زمانه ومکانه، فالأکل فی السوق والشرب فیها لغیر سوقی إلّاإذا غلبه العطش، والمشی مکشوف الرأس بین الناس، وکثرة السخریّة والحکایات المضحکة، ولبس الفقیه لباس الجندی وغیره ممّا لا یعتاد لمثله بحیث یسخر منه، وبالعکس ونحو ذلک یسقطها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ویختلف الأمر فیها باختلاف الأحوال والأشخاص والأماکن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فعل السنن وإن استهجنها العامّة وهجرها الناس کالکحل والحنّاء والحنک فی بعض البلاد، وإنّما العبرة بغیر الراجح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وطهارة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 شهادة ولد الزنا ولو فی الیسیر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تردّ شهادته مع تحقّق حاله شرعاً، فلا اعتبار بمن تناله الألسن وإن کثرت ما لم یحصل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التاء وفتح الهاء، وهی أن یجرّ إلیه بشهادته نفعاً أو یدفع عنه بها ضرراً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تقبل شهادة الشریک لشریکه فی المشترک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یقتضی الشهادة المشارکة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فی متعلّق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یقدح فی ذلک مجرّد دعواه الوصایة، ولا مع شهادة من لا تثبت بها؛ لأنّ المانع ثبوت الولایة الموجبة للتهمة بإدخال المال 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الغرماء للمفلّس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والسیّد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بملکه، للانتفاع بالولایة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فی هذه الفروض جالبة للنفع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 بجرح شهود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وغرماء المفلّس بفسق شهود دینٍ آخر؛ لأنّهم یدفعون بها ضرر المزاحمة، ویمکن اعتباره فی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وشهادة الوصیّ والوکیل بجرح الشهود علی الموصی والموکّل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وشهادة الزوج بزنا زوجته التی قذفها لدفع ضرر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یقدح مطلق التهمة، فإنّ شهادة الصدیق لصدیقه مقبولة، والوارث لمورّثه بدین وإن کان مشرفاً علی التلف ما لم یرثه قبل الحکم بها، وکذا شهادة رفقاء القافلة علی اللصوص إذا لم یکونوا مأخوذین ویتعرّضوا لذکر ما اُخذ لهم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والمعتبر فی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فی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الأداء، لا وقت</w:t>
      </w:r>
    </w:p>
    <w:p>
      <w:pPr>
        <w:pStyle w:val="BookText"/>
        <w:rPr/>
      </w:pPr>
      <w:r>
        <w:rPr>
          <w:rFonts w:ascii="IRNazanin" w:hAnsi="IRNazanin" w:eastAsia="IRNazanin"/>
          <w:color w:val="111111"/>
          <w:sz w:val="28"/>
          <w:sz w:val="28"/>
          <w:szCs w:val="28"/>
          <w:rtl w:val="true"/>
          <w:lang w:bidi="fa-IR"/>
        </w:rPr>
        <w:t>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تحمّلها ناقصاً ثم کمل حین الأداء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اشتراط استمرارها إلی حین الحکم قولان </w:t>
      </w:r>
      <w:r>
        <w:rPr>
          <w:rStyle w:val="FootnoteAnchor"/>
          <w:rtl w:val="true"/>
        </w:rPr>
        <w:footnoteReference w:id="395"/>
      </w:r>
      <w:r>
        <w:rPr>
          <w:rFonts w:ascii="IRNazanin" w:hAnsi="IRNazanin" w:eastAsia="IRNazanin"/>
          <w:color w:val="111111"/>
          <w:sz w:val="28"/>
          <w:sz w:val="28"/>
          <w:szCs w:val="28"/>
          <w:rtl w:val="true"/>
          <w:lang w:bidi="fa-IR"/>
        </w:rPr>
        <w:t xml:space="preserve">اختار المصنّف فی الدروس ذلک </w:t>
      </w:r>
      <w:r>
        <w:rPr>
          <w:rStyle w:val="FootnoteAnchor"/>
          <w:rtl w:val="true"/>
        </w:rPr>
        <w:footnoteReference w:id="396"/>
      </w:r>
      <w:r>
        <w:rPr>
          <w:rFonts w:ascii="IRNazanin" w:hAnsi="IRNazanin" w:eastAsia="IRNazanin"/>
          <w:color w:val="111111"/>
          <w:sz w:val="28"/>
          <w:sz w:val="28"/>
          <w:szCs w:val="28"/>
          <w:rtl w:val="true"/>
          <w:lang w:bidi="fa-IR"/>
        </w:rPr>
        <w:t>ویظهر من العبارة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وتمنع العداوة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تتضمّن فسقاً، وتتحقّق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یعلم منه السرور بالمساءة،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العداوة من أحد الجانبین اختصّ بالقبول الخالی منها، وإلّا لَمَلَک کلّ غریم ردّ شهادة العدل علیه بأن یقذفه ویخاصمه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لعدوّه قُبل إذا کانت العداوة لا تتضمّن 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التهمة بالشهادة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بالدنیویّة عن الدینیّة فإنّها غیر مانعة؛ لقبول شهادة المؤمن علی أهل الأدیان، دون العکس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تقبل شهادة کثیر السهو بحیث لا یضبط المشهود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عدلاً، بل ربما کان ولیّاً ومن هنا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نرجو شفاعة من لا تقبل شهادته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المتبرّع بإقامتها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استنطاق الحاکم، سواء کان قبل الدعوی أم بعدها؛ للتُهمة بالحرص علی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یصیر بالردّ مجروحاً، فلو شهد بعد ذلک غیرها </w:t>
      </w:r>
      <w:r>
        <w:rPr>
          <w:rStyle w:val="FootnoteAnchor"/>
          <w:rtl w:val="true"/>
        </w:rPr>
        <w:footnoteReference w:id="397"/>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إعادتها فی غیر ذلک المجلس وجهان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والتبرّع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 فی حقّ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والزکاة والصوم بأن یشهد بترکها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ویعبّر عنها ببیّنة 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یمنع؛ لأنّ اللّٰه أمر بإقامتها، فکان</w:t>
      </w:r>
      <w:bookmarkStart w:id="143" w:name="pg19812_249300"/>
    </w:p>
    <w:p>
      <w:pPr>
        <w:pStyle w:val="BookText"/>
        <w:rPr/>
      </w:pPr>
      <w:bookmarkEnd w:id="143"/>
      <w:r>
        <w:rPr>
          <w:rFonts w:ascii="IRNazanin" w:hAnsi="IRNazanin" w:eastAsia="IRNazanin"/>
          <w:color w:val="111111"/>
          <w:sz w:val="28"/>
          <w:sz w:val="28"/>
          <w:szCs w:val="28"/>
          <w:rtl w:val="true"/>
          <w:lang w:bidi="fa-IR"/>
        </w:rPr>
        <w:t>فی حکم استنطاق الحاکم قبل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کالعتق والسرقة والطلاق والخلع والعفو عن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ترجیح حقّ اللّٰه تعالی أو الآدمی،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الوقف العامّ فقبولها فیه أقوی، بخلاف الخاصّ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للحاکم سبق القادح فی الشهادة علی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ثبت کونهما صبیّین أو أحدهما، أو فاسقین 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لتبیّن الخطأ فیه</w:t>
      </w:r>
      <w:r>
        <w:rPr>
          <w:rFonts w:eastAsia="IRNazanin" w:cs="IRNazanin"/>
          <w:color w:val="111111"/>
          <w:sz w:val="28"/>
          <w:szCs w:val="28"/>
          <w:rtl w:val="true"/>
          <w:lang w:bidi="fa-IR"/>
        </w:rPr>
        <w:t>.</w:t>
      </w:r>
    </w:p>
    <w:p>
      <w:pPr>
        <w:pStyle w:val="Heading4"/>
        <w:numPr>
          <w:ilvl w:val="3"/>
          <w:numId w:val="1"/>
        </w:numPr>
        <w:rPr/>
      </w:pPr>
      <w:bookmarkStart w:id="144" w:name="__RefHeading___Toc2092860_2314609296"/>
      <w:bookmarkStart w:id="145" w:name="_Toc53"/>
      <w:bookmarkEnd w:id="144"/>
      <w:r>
        <w:rPr>
          <w:rtl w:val="true"/>
        </w:rPr>
        <w:t>[</w:t>
      </w:r>
      <w:r>
        <w:rPr>
          <w:rtl w:val="true"/>
        </w:rPr>
        <w:t>مستند الشهادة</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ومستند الشهادة العلم القطعی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رؤیته فیما یکفی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کالأفعال من الغصب والسرقة والقتل والرضاع والولادة والزنا واللواط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وتقبل فیه شهادة الأصمّ؛ لانتفاء الحاجة إلی السمع فی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سماعاً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والإیقاعات والقذف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الرؤیة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لیحصل العلم بالمتلفّظ، إلّاأن یعرف الصوت قطعاً فیکفی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یشهد إلّاعلی من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بنسبه أو عینه، فلا یکفی انتسابه له، لجواز التزویر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ویکفی معرّفان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تسفِر المرأة عن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لیعرفها الشاهد عند التحمّل والأداء، إلّاأن یعرف صوتها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 بالاستفاضة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استفعال من الفیض، وهو الظهور والکثرة، والمراد بها هنا شیاع الخبر إلی حدٍّ یفید السامع الظنّ الغالب المقارب للعلم، ولا تنحصر فی عددٍ بل یختلف باختلاف المخبرین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أن یزیدوا عن عدد الشهود المعدّلین لیحصل الفرق بین خبر العدل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أ نّه یثبت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والموت والملک المطلق والوقف والنکاح والعتق وولایة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لعسر إقامة البیّنة فی هذه الأسباب مطلقاً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بهذه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متاخمة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مقاربته</w:t>
      </w:r>
      <w:bookmarkStart w:id="146" w:name="pg19812_249301"/>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وبه جزم فی الدروس </w:t>
      </w:r>
      <w:r>
        <w:rPr>
          <w:rStyle w:val="FootnoteAnchor"/>
          <w:rtl w:val="true"/>
        </w:rPr>
        <w:footnoteReference w:id="398"/>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أن یحصل العلم </w:t>
      </w:r>
      <w:r>
        <w:rPr>
          <w:rStyle w:val="FootnoteAnchor"/>
          <w:rtl w:val="true"/>
        </w:rPr>
        <w:footnoteReference w:id="399"/>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مطلق الظنّ حتی لو سمع من شاهدین عدلین صار متحمّلاً؛ لإفادة قولهما الظنّ </w:t>
      </w:r>
      <w:r>
        <w:rPr>
          <w:rStyle w:val="FootnoteAnchor"/>
          <w:rtl w:val="true"/>
        </w:rPr>
        <w:footnoteReference w:id="400"/>
      </w:r>
      <w:r>
        <w:rPr>
          <w:rFonts w:ascii="IRNazanin" w:hAnsi="IRNazanin" w:eastAsia="IRNazanin"/>
          <w:color w:val="111111"/>
          <w:sz w:val="28"/>
          <w:sz w:val="28"/>
          <w:szCs w:val="28"/>
          <w:rtl w:val="true"/>
          <w:lang w:bidi="fa-IR"/>
        </w:rPr>
        <w:t>وعلی المختار لا یشترط العدالة ولا الحریّة والذکورة؛ لإمکان استفادته من نقائضها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بالملک المطلق عن المستند إلی سبب کالبیع، فلا یثبت السبب به، بل الملک الموجود فی ضمنه، فلو شهد بالملک وأسنده إلی سبب یثبت بالاستفاضة کالإرث قُبل، ولو لم یثبت بها کالبیع قُبل فی أصل الملک، لا 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اجتمع فی ملکٍ استفاضةٌ ویدٌ وتصرّفٌ بلا منازع فهو منتهی الإمکان، فللشاهد القطع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الاکتفاء بکلّ واحد من الثلاثة فی الشهادة بالملک قول </w:t>
      </w:r>
      <w:r>
        <w:rPr>
          <w:rStyle w:val="FootnoteAnchor"/>
          <w:rtl w:val="true"/>
        </w:rPr>
        <w:footnoteReference w:id="401"/>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2092862_2314609296"/>
      <w:bookmarkStart w:id="148" w:name="_Toc54"/>
      <w:bookmarkEnd w:id="147"/>
      <w:r>
        <w:rPr>
          <w:rtl w:val="true"/>
        </w:rPr>
        <w:t>[</w:t>
      </w:r>
      <w:r>
        <w:rPr>
          <w:rtl w:val="true"/>
        </w:rPr>
        <w:t>تحمل الشهادة و ادائها</w:t>
      </w:r>
      <w:r>
        <w:rPr>
          <w:rtl w:val="true"/>
        </w:rPr>
        <w:t>]</w:t>
      </w:r>
      <w:bookmarkEnd w:id="1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ویجب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له أهلیّة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دعی إلیها خصوصاً أو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یَأْبَ اَلشُّهَدٰاءُ إِذٰا مٰا دُعُوا</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فسّره الصادق علیه السلام بالتحمّل </w:t>
      </w:r>
      <w:r>
        <w:rPr>
          <w:rStyle w:val="FootnoteAnchor"/>
          <w:rtl w:val="true"/>
        </w:rPr>
        <w:footnoteReference w:id="403"/>
      </w:r>
      <w:r>
        <w:rPr>
          <w:rFonts w:ascii="IRNazanin" w:hAnsi="IRNazanin" w:eastAsia="IRNazanin"/>
          <w:color w:val="111111"/>
          <w:sz w:val="28"/>
          <w:sz w:val="28"/>
          <w:szCs w:val="28"/>
          <w:rtl w:val="true"/>
          <w:lang w:bidi="fa-IR"/>
        </w:rPr>
        <w:t xml:space="preserve">ویمکن جعله دلیلاً علیه وعلی الإقامة، فیأثم الجمیع لو أخلّوا به مع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فقد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یثبت به وحده ولو مع</w:t>
      </w:r>
    </w:p>
    <w:p>
      <w:pPr>
        <w:pStyle w:val="BookText"/>
        <w:rPr/>
      </w:pPr>
      <w:r>
        <w:rPr>
          <w:rFonts w:ascii="IRNazanin" w:hAnsi="IRNazanin" w:eastAsia="IRNazanin"/>
          <w:color w:val="111111"/>
          <w:sz w:val="28"/>
          <w:sz w:val="28"/>
          <w:szCs w:val="28"/>
          <w:rtl w:val="true"/>
          <w:lang w:bidi="fa-IR"/>
        </w:rPr>
        <w:t xml:space="preserve">الیمین أو کان تمام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کغیره من فروض الکفایة إذا لم یقم به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ویصحّ تحمّل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وأداؤه بعد القطع بمراده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بمترجمین عدلین، ولیسا فرعین علیه </w:t>
      </w:r>
      <w:r>
        <w:rPr>
          <w:rStyle w:val="FootnoteAnchor"/>
          <w:rtl w:val="true"/>
        </w:rPr>
        <w:footnoteReference w:id="404"/>
      </w:r>
      <w:r>
        <w:rPr>
          <w:rFonts w:ascii="IRNazanin" w:hAnsi="IRNazanin" w:eastAsia="IRNazanin"/>
          <w:color w:val="111111"/>
          <w:sz w:val="28"/>
          <w:sz w:val="28"/>
          <w:szCs w:val="28"/>
          <w:rtl w:val="true"/>
          <w:lang w:bidi="fa-IR"/>
        </w:rPr>
        <w:t>ولا یکفی الإشارة فی شهادة الناطق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یجب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سواء استدعاه ابتداءً أم لا علی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خوف ضررٍ غیر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الشاهد أو بعض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بغیر المستحقّ عن مثل ما لو کان للمشهود علیه حقّ علی الشاهد لا یطالبه به فینشأ </w:t>
      </w:r>
      <w:r>
        <w:rPr>
          <w:rStyle w:val="FootnoteAnchor"/>
          <w:rtl w:val="true"/>
        </w:rPr>
        <w:footnoteReference w:id="405"/>
      </w:r>
      <w:r>
        <w:rPr>
          <w:rFonts w:ascii="IRNazanin" w:hAnsi="IRNazanin" w:eastAsia="IRNazanin"/>
          <w:color w:val="111111"/>
          <w:sz w:val="28"/>
          <w:sz w:val="28"/>
          <w:szCs w:val="28"/>
          <w:rtl w:val="true"/>
          <w:lang w:bidi="fa-IR"/>
        </w:rPr>
        <w:t>من شهادته المطالبة، فلا یکفی ذلک فی سقوط الوجوب؛ لأنّه ضرر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یجب الأداء مع ثبوت الحقّ بشهادته لانضمام من یتمّ به العدد، أو حلف المدّعی إن کان ممّا یثبت بشاهد ویمین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طلب من اثنین یثبت بهما، لزمهما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لأحدهما الامتناع بناءً علی الاکتفاء بحلف المدّعی مع الآخر؛ لأنّ من مقاصد الإشهاد التورّع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الشهود أزید من اثنین فیما یثبت بهما وجب علی الاثنین </w:t>
      </w:r>
      <w:r>
        <w:rPr>
          <w:rStyle w:val="FootnoteAnchor"/>
          <w:rtl w:val="true"/>
        </w:rPr>
        <w:footnoteReference w:id="406"/>
      </w:r>
      <w:r>
        <w:rPr>
          <w:rFonts w:ascii="IRNazanin" w:hAnsi="IRNazanin" w:eastAsia="IRNazanin"/>
          <w:color w:val="111111"/>
          <w:sz w:val="28"/>
          <w:sz w:val="28"/>
          <w:szCs w:val="28"/>
          <w:rtl w:val="true"/>
          <w:lang w:bidi="fa-IR"/>
        </w:rPr>
        <w:t>منها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إلّاواحد لزمه الأداء إن کان ممّا یثبت بشاهد ویمین،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یعلم صاحب الحقّ بشهادة الشاهد وجب علیه تعریفه إن خاف بطلان الحقّ بدون شهادته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یکفی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وإن حفظه بنفسه وأمن التزویر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w:t>
      </w:r>
      <w:r>
        <w:rPr>
          <w:rStyle w:val="FootnoteAnchor"/>
          <w:rtl w:val="true"/>
        </w:rPr>
        <w:footnoteReference w:id="407"/>
      </w:r>
      <w:r>
        <w:rPr>
          <w:rFonts w:ascii="IRNazanin" w:hAnsi="IRNazanin" w:eastAsia="IRNazanin"/>
          <w:color w:val="111111"/>
          <w:sz w:val="28"/>
          <w:sz w:val="28"/>
          <w:szCs w:val="28"/>
          <w:rtl w:val="true"/>
          <w:lang w:bidi="fa-IR"/>
        </w:rPr>
        <w:t>شهد معه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408"/>
      </w:r>
      <w:r>
        <w:rPr>
          <w:rFonts w:ascii="IRNazanin" w:hAnsi="IRNazanin" w:eastAsia="IRNazanin"/>
          <w:color w:val="111111"/>
          <w:sz w:val="28"/>
          <w:sz w:val="28"/>
          <w:szCs w:val="28"/>
          <w:rtl w:val="true"/>
          <w:lang w:bidi="fa-IR"/>
        </w:rPr>
        <w:t>لقول النبیّ صلی الله علیه و آله لمن أراه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مثلها فاشهد أو دع</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وقیل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معه ثقة وکان المدّعی ثقة أقامها بما عرفه من خطّه وخاتمه استناداً إلی روایةٍ شاذّة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نقل عن الشیعة جواز الشهادة بقول المدّعی إذا کان أخاً فی اللّٰه معهود الصدق </w:t>
      </w:r>
      <w:r>
        <w:rPr>
          <w:rStyle w:val="FootnoteAnchor"/>
          <w:rtl w:val="true"/>
        </w:rPr>
        <w:footnoteReference w:id="412"/>
      </w:r>
      <w:r>
        <w:rPr>
          <w:rFonts w:ascii="IRNazanin" w:hAnsi="IRNazanin" w:eastAsia="IRNazanin"/>
          <w:color w:val="111111"/>
          <w:sz w:val="28"/>
          <w:sz w:val="28"/>
          <w:szCs w:val="28"/>
          <w:rtl w:val="true"/>
          <w:lang w:bidi="fa-IR"/>
        </w:rPr>
        <w:t>فقد أخطأ فی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لإجماعهم علی عدم جواز الشهادة بذلک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بالعین المهملة والزای والقاف والراء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الشبهة علی من نسب ذلک إلی الشیعة أنّ هذا الرجل الملعون کان منهم أوّلاً، وصنّف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فیه هذه المسألة ثم غلا، وظهر منه مقالات منکرة، فتبرّأت الشیعة منه، وخرج فیه توقیعات کثیرة من الناحیة المقدّسة علی ید أبی القاسم ابن روح وکیل الناحیة، فأخذه السلطان وقتله </w:t>
      </w:r>
      <w:r>
        <w:rPr>
          <w:rStyle w:val="FootnoteAnchor"/>
          <w:rtl w:val="true"/>
        </w:rPr>
        <w:footnoteReference w:id="413"/>
      </w:r>
      <w:r>
        <w:rPr>
          <w:rFonts w:ascii="IRNazanin" w:hAnsi="IRNazanin" w:eastAsia="IRNazanin"/>
          <w:color w:val="111111"/>
          <w:sz w:val="28"/>
          <w:sz w:val="28"/>
          <w:szCs w:val="28"/>
          <w:rtl w:val="true"/>
          <w:lang w:bidi="fa-IR"/>
        </w:rPr>
        <w:t>فمن رأی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 أسالیب الشیعة واُصولهم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أ نّه منهم، وهم بریئون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الشیخ المفید رحمه الله أ نّه لیس فی الکتاب ما یخالف سوی هذه المسألة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149" w:name="pg19812_249306"/>
    </w:p>
    <w:p>
      <w:pPr>
        <w:pStyle w:val="Heading3"/>
        <w:numPr>
          <w:ilvl w:val="2"/>
          <w:numId w:val="1"/>
        </w:numPr>
        <w:rPr/>
      </w:pPr>
      <w:bookmarkStart w:id="150" w:name="__RefHeading___Toc2092864_2314609296"/>
      <w:bookmarkStart w:id="151" w:name="_Toc55"/>
      <w:bookmarkEnd w:id="149"/>
      <w:bookmarkEnd w:id="150"/>
      <w:r>
        <w:rPr>
          <w:rtl w:val="true"/>
        </w:rPr>
        <w:t>«</w:t>
      </w:r>
      <w:r>
        <w:rPr>
          <w:rtl w:val="true"/>
        </w:rPr>
        <w:t>الفصل الثانی</w:t>
      </w:r>
      <w:r>
        <w:rPr>
          <w:rtl w:val="true"/>
        </w:rPr>
        <w:t>» «</w:t>
      </w:r>
      <w:r>
        <w:rPr>
          <w:rtl w:val="true"/>
        </w:rPr>
        <w:t>فی تفصیل الحقوق</w:t>
      </w:r>
      <w:r>
        <w:rPr>
          <w:rtl w:val="true"/>
        </w:rPr>
        <w:t>»</w:t>
      </w:r>
      <w:bookmarkEnd w:id="151"/>
    </w:p>
    <w:p>
      <w:pPr>
        <w:pStyle w:val="BookText"/>
        <w:rPr/>
      </w:pPr>
      <w:r>
        <w:rPr>
          <w:rFonts w:ascii="IRNazanin" w:hAnsi="IRNazanin" w:eastAsia="IRNazanin"/>
          <w:color w:val="111111"/>
          <w:sz w:val="28"/>
          <w:sz w:val="28"/>
          <w:szCs w:val="28"/>
          <w:rtl w:val="true"/>
          <w:lang w:bidi="fa-IR"/>
        </w:rPr>
        <w:t>بالنسبة إلی الشهود، وهی علی ما ذکره فی الکتاب خمسة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بأربعة رجال، وهو الزنا واللواط والسَحق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للرجم ثلاثة رجال وامرأتان، وللجلد رجلان وأربع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أفرد هذین عن القسم الأوّل وجعل الزنا قسماً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فعل فی الدروس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أنسب؛ لاختلاف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الأوّل؛ فإن الأوّلین لا یثبتان إلّابأربعة رجال، والزنا یثبت بهم وبمن ذکر </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الردّة والقذف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وما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 به عن نفس السرقة، فإنّها تثبت بهما وبشاهد وامرأتین وبشاهد ویمین بالنسبة إلی ثبوت المال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والزکاة والخمس والنذر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الأربعة ألحقها المصنّف بحقوق اللّٰه تعالی وإن کان للآدمی فیها حظّ، بل هو المقصود منها، لعدم تعیین</w:t>
      </w:r>
    </w:p>
    <w:p>
      <w:pPr>
        <w:pStyle w:val="BookText"/>
        <w:rPr/>
      </w:pPr>
      <w:r>
        <w:rPr>
          <w:rFonts w:ascii="IRNazanin" w:hAnsi="IRNazanin" w:eastAsia="IRNazanin"/>
          <w:color w:val="111111"/>
          <w:sz w:val="28"/>
          <w:sz w:val="28"/>
          <w:szCs w:val="28"/>
          <w:rtl w:val="true"/>
          <w:lang w:bidi="fa-IR"/>
        </w:rPr>
        <w:t>المستحقّ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بعض الأصحاب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حقوق الآدمی لیس مالاً ولا المقصود منه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الضابط لا یدخل تلک الحقوق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والبلوغ والولاء والتعدیل والجرح والعفو عن القصاص والطلاق والخلع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تضمّن المال، لکنّه لیس نفس 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والوکالة والوصیّة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احترز به عن الوصیّة له بمال، فإنّه من القسم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والنسب </w:t>
      </w:r>
      <w:r>
        <w:rPr>
          <w:rStyle w:val="FootnoteAnchor"/>
          <w:rtl w:val="true"/>
        </w:rPr>
        <w:footnoteReference w:id="419"/>
      </w:r>
      <w:r>
        <w:rPr>
          <w:rFonts w:ascii="IRNazanin" w:hAnsi="IRNazanin" w:eastAsia="IRNazanin"/>
          <w:color w:val="111111"/>
          <w:sz w:val="28"/>
          <w:sz w:val="28"/>
          <w:szCs w:val="28"/>
          <w:rtl w:val="true"/>
          <w:lang w:bidi="fa-IR"/>
        </w:rPr>
        <w:t>والهِلال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أنّ الهلال من حقّ الآدمی، فیثبت فیه الشهادة علی الشهادة،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یثبت برجلین ورجل وامرأتین وشاهد ویمین،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مالاً أو الغرض منه المال،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 والأموال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من غیر أن تدخل فی اسم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والجنایة الموجبة للدیة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کقتل الخطأ والعمد المشتمل علی التغریر بالنفس کالهاشمة والمنقّلة، وما لا قود فیه، کقتل الوالد ولده والمسلم الکافر، والحرّ العبد، وقد تقدّم فی باب الشاهد والیمین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 ثبوت ذلک </w:t>
      </w:r>
      <w:r>
        <w:rPr>
          <w:rStyle w:val="FootnoteAnchor"/>
          <w:rtl w:val="true"/>
        </w:rPr>
        <w:footnoteReference w:id="421"/>
      </w:r>
      <w:r>
        <w:rPr>
          <w:rFonts w:ascii="IRNazanin" w:hAnsi="IRNazanin" w:eastAsia="IRNazanin"/>
          <w:color w:val="111111"/>
          <w:sz w:val="28"/>
          <w:sz w:val="28"/>
          <w:szCs w:val="28"/>
          <w:rtl w:val="true"/>
          <w:lang w:bidi="fa-IR"/>
        </w:rPr>
        <w:t xml:space="preserve">بامرأتین مع الیمین، مع أ نّه قوّی فی الدروس ثبوته بهما </w:t>
      </w:r>
      <w:r>
        <w:rPr>
          <w:rStyle w:val="FootnoteAnchor"/>
          <w:rtl w:val="true"/>
        </w:rPr>
        <w:footnoteReference w:id="422"/>
      </w:r>
      <w:r>
        <w:rPr>
          <w:rFonts w:ascii="IRNazanin" w:hAnsi="IRNazanin" w:eastAsia="IRNazanin"/>
          <w:color w:val="111111"/>
          <w:sz w:val="28"/>
          <w:sz w:val="28"/>
          <w:szCs w:val="28"/>
          <w:rtl w:val="true"/>
          <w:lang w:bidi="fa-IR"/>
        </w:rPr>
        <w:t xml:space="preserve">للروایة </w:t>
      </w:r>
      <w:r>
        <w:rPr>
          <w:rStyle w:val="FootnoteAnchor"/>
          <w:rtl w:val="true"/>
        </w:rPr>
        <w:footnoteReference w:id="423"/>
      </w:r>
      <w:r>
        <w:rPr>
          <w:rFonts w:ascii="IRNazanin" w:hAnsi="IRNazanin" w:eastAsia="IRNazanin"/>
          <w:color w:val="111111"/>
          <w:sz w:val="28"/>
          <w:sz w:val="28"/>
          <w:szCs w:val="28"/>
          <w:rtl w:val="true"/>
          <w:lang w:bidi="fa-IR"/>
        </w:rPr>
        <w:t>ومساواتهما للرجل حالة انضمامهما إلیه فی ثبوته بهما من غیر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من الأحکام اُمور تجمع حقّ الآدمی المالی وغیره کالنکاح والخلع والسرقة، فیثبت بالشاهد والیمین المال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واستبعد المصنّف ثبوت المهر دون النکاح؛ للتنافی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بالرجال والنساء ولو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یعسر اطّلاع الرجال علیه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کالولادة والاستهلال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ولادة الولد حیّاً لیرث، سمّی ذلک استهلالاً، للصوت الحاصل عند ولادته ممّن حضر عادةً، کتصویت من رأی الهلال، فاشتقّ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وعیوب النساء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کالقَرن والرَتَق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الظاهرة کالجذام والبرص والعمی، فإنّه من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بالمال، احتراز عن الوصیّة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الفرد خارج من الضابط، ولو أفرده 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صنع فی الدروس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حسناً، لیرتّب علیه باقی أحکامه، فإنّه یختصّ بثبوت جمیع الوصیّة برجلین وبأربع نسوة، وثبوت </w:t>
      </w:r>
      <w:r>
        <w:rPr>
          <w:rStyle w:val="FootnoteAnchor"/>
          <w:rtl w:val="true"/>
        </w:rPr>
        <w:footnoteReference w:id="426"/>
      </w:r>
      <w:r>
        <w:rPr>
          <w:rFonts w:ascii="IRNazanin" w:hAnsi="IRNazanin" w:eastAsia="IRNazanin"/>
          <w:color w:val="111111"/>
          <w:sz w:val="28"/>
          <w:sz w:val="28"/>
          <w:szCs w:val="28"/>
          <w:rtl w:val="true"/>
          <w:lang w:bidi="fa-IR"/>
        </w:rPr>
        <w:t xml:space="preserve">ربعها بکلّ واحدة، فبالواحدة الربع، وبالاثنتین </w:t>
      </w:r>
      <w:r>
        <w:rPr>
          <w:rStyle w:val="FootnoteAnchor"/>
          <w:rtl w:val="true"/>
        </w:rPr>
        <w:footnoteReference w:id="427"/>
      </w:r>
      <w:r>
        <w:rPr>
          <w:rFonts w:ascii="IRNazanin" w:hAnsi="IRNazanin" w:eastAsia="IRNazanin"/>
          <w:color w:val="111111"/>
          <w:sz w:val="28"/>
          <w:sz w:val="28"/>
          <w:szCs w:val="28"/>
          <w:rtl w:val="true"/>
          <w:lang w:bidi="fa-IR"/>
        </w:rPr>
        <w:t xml:space="preserve">النصف، وبالثلاث ثلاثة الأرباع من غیر یمین، وبالیمین مع المرأتین ومع الرجل </w:t>
      </w:r>
      <w:r>
        <w:rPr>
          <w:rStyle w:val="FootnoteAnchor"/>
          <w:rtl w:val="true"/>
        </w:rPr>
        <w:footnoteReference w:id="428"/>
      </w:r>
      <w:r>
        <w:rPr>
          <w:rFonts w:ascii="IRNazanin" w:hAnsi="IRNazanin" w:eastAsia="IRNazanin"/>
          <w:color w:val="111111"/>
          <w:sz w:val="28"/>
          <w:sz w:val="28"/>
          <w:szCs w:val="28"/>
          <w:rtl w:val="true"/>
          <w:lang w:bidi="fa-IR"/>
        </w:rPr>
        <w:t>وفی ثبوت النصف بالرجل أو الربع من غیر یمین أو سقوط شهادته أصلاً،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مساواته للاثنتین، وعدم النصّ، وأ نّه لا یقصر عن المرأة،</w:t>
      </w:r>
    </w:p>
    <w:p>
      <w:pPr>
        <w:pStyle w:val="BookText"/>
        <w:rPr/>
      </w:pPr>
      <w:r>
        <w:rPr>
          <w:rFonts w:ascii="IRNazanin" w:hAnsi="IRNazanin" w:eastAsia="IRNazanin"/>
          <w:color w:val="111111"/>
          <w:sz w:val="28"/>
          <w:sz w:val="28"/>
          <w:szCs w:val="28"/>
          <w:rtl w:val="true"/>
          <w:lang w:bidi="fa-IR"/>
        </w:rPr>
        <w:t>والأوسط 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وأشکل منه الخنثی، وإلحاقه بالمرأة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للمرأة تضعیف المال؛ لیصیر ما أوصی به ربع ما شهدت به، للکذب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فعلت استباح الموصی له الجمیع مع علمه بالوصیّة، لا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فیما لا یثبت بشهادته الجمیع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بالنساء 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الیمین علی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الدیون والأموال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داخل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اُفرد لیعلم احتیاج النساء إلی الرجال فیه صریحاً </w:t>
      </w:r>
      <w:r>
        <w:rPr>
          <w:rStyle w:val="FootnoteAnchor"/>
          <w:rtl w:val="true"/>
        </w:rPr>
        <w:footnoteReference w:id="429"/>
      </w:r>
      <w:r>
        <w:rPr>
          <w:rFonts w:ascii="IRNazanin" w:hAnsi="IRNazanin" w:eastAsia="IRNazanin"/>
          <w:color w:val="111111"/>
          <w:sz w:val="28"/>
          <w:sz w:val="28"/>
          <w:szCs w:val="28"/>
          <w:rtl w:val="true"/>
          <w:lang w:bidi="fa-IR"/>
        </w:rPr>
        <w:t>ولیس بصحیح؛ لأنّ الانضمام یصدق 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الأوّل </w:t>
      </w:r>
      <w:r>
        <w:rPr>
          <w:rStyle w:val="FootnoteAnchor"/>
          <w:rtl w:val="true"/>
        </w:rPr>
        <w:footnoteReference w:id="430"/>
      </w:r>
      <w:r>
        <w:rPr>
          <w:rFonts w:ascii="IRNazanin" w:hAnsi="IRNazanin" w:eastAsia="IRNazanin"/>
          <w:color w:val="111111"/>
          <w:sz w:val="28"/>
          <w:sz w:val="28"/>
          <w:szCs w:val="28"/>
          <w:rtl w:val="true"/>
          <w:lang w:bidi="fa-IR"/>
        </w:rPr>
        <w:t xml:space="preserve">تصریح بانضمامهّن إلی الرجل صریحاً، فلو عکس المعتذر کان أولی، ولقد کان إبداله ببعض ما أشرنا إلیه من الأقسام سابقاً </w:t>
      </w:r>
      <w:r>
        <w:rPr>
          <w:rStyle w:val="FootnoteAnchor"/>
          <w:rtl w:val="true"/>
        </w:rPr>
        <w:footnoteReference w:id="431"/>
      </w:r>
      <w:r>
        <w:rPr>
          <w:rFonts w:ascii="IRNazanin" w:hAnsi="IRNazanin" w:eastAsia="IRNazanin"/>
          <w:color w:val="111111"/>
          <w:sz w:val="28"/>
          <w:sz w:val="28"/>
          <w:szCs w:val="28"/>
          <w:rtl w:val="true"/>
          <w:lang w:bidi="fa-IR"/>
        </w:rPr>
        <w:t xml:space="preserve">التی أدرجها، وإدراجه </w:t>
      </w:r>
      <w:r>
        <w:rPr>
          <w:rStyle w:val="FootnoteAnchor"/>
          <w:rtl w:val="true"/>
        </w:rPr>
        <w:footnoteReference w:id="432"/>
      </w:r>
      <w:r>
        <w:rPr>
          <w:rFonts w:ascii="IRNazanin" w:hAnsi="IRNazanin" w:eastAsia="IRNazanin"/>
          <w:color w:val="111111"/>
          <w:sz w:val="28"/>
          <w:sz w:val="28"/>
          <w:szCs w:val="28"/>
          <w:rtl w:val="true"/>
          <w:lang w:bidi="fa-IR"/>
        </w:rPr>
        <w:t xml:space="preserve">هو أولی کما فعل فی الدروس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152" w:name="pg19812_249310"/>
    </w:p>
    <w:p>
      <w:pPr>
        <w:pStyle w:val="Heading3"/>
        <w:numPr>
          <w:ilvl w:val="2"/>
          <w:numId w:val="1"/>
        </w:numPr>
        <w:rPr/>
      </w:pPr>
      <w:bookmarkStart w:id="153" w:name="__RefHeading___Toc2092866_2314609296"/>
      <w:bookmarkStart w:id="154" w:name="_Toc56"/>
      <w:bookmarkEnd w:id="152"/>
      <w:bookmarkEnd w:id="153"/>
      <w:r>
        <w:rPr>
          <w:rtl w:val="true"/>
        </w:rPr>
        <w:t>«</w:t>
      </w:r>
      <w:r>
        <w:rPr>
          <w:rtl w:val="true"/>
        </w:rPr>
        <w:t>الفصل الثالث</w:t>
      </w:r>
      <w:r>
        <w:rPr>
          <w:rtl w:val="true"/>
        </w:rPr>
        <w:t>» «</w:t>
      </w:r>
      <w:r>
        <w:rPr>
          <w:rtl w:val="true"/>
        </w:rPr>
        <w:t>فی الشهادة علی الشهادة</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ومحلّها حقوق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لم یکن عقوبة للّٰه‌تعالی مختصّة به إجماعاً، أو مشترکة علی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کالقصاص، أو غیر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حقّاً غیر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 والنسب والعتق، أو مالاً کالقرض وعقود المعاوضات وعیوب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وما بعده من أفراد الحقوق التی لیست مالاً رتّبها مشوّشة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والولادة، والاستهلال، والوکالة والوصیّة بقسمیها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إلیه، وله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یثبت فی حقّ اللّٰه تعالی محضاً کالزنا واللواط والسحق، أو مشترکاً کالسرقة والقذف علی خلاف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منشؤه مراعاة الحقّین، ولم یرجّح هنا شیئاً، وکذا فی الدروس </w:t>
      </w:r>
      <w:r>
        <w:rPr>
          <w:rStyle w:val="FootnoteAnchor"/>
          <w:rtl w:val="true"/>
        </w:rPr>
        <w:footnoteReference w:id="435"/>
      </w:r>
      <w:r>
        <w:rPr>
          <w:rFonts w:ascii="IRNazanin" w:hAnsi="IRNazanin" w:eastAsia="IRNazanin"/>
          <w:color w:val="111111"/>
          <w:sz w:val="28"/>
          <w:sz w:val="28"/>
          <w:szCs w:val="28"/>
          <w:rtl w:val="true"/>
          <w:lang w:bidi="fa-IR"/>
        </w:rPr>
        <w:t>والوقوف علی موضع الیقین أولی، وهو اختیار الأکثر فبقی</w:t>
      </w:r>
    </w:p>
    <w:p>
      <w:pPr>
        <w:pStyle w:val="BookText"/>
        <w:rPr/>
      </w:pPr>
      <w:r>
        <w:rPr>
          <w:rFonts w:ascii="IRNazanin" w:hAnsi="IRNazanin" w:eastAsia="IRNazanin"/>
          <w:color w:val="111111"/>
          <w:sz w:val="28"/>
          <w:sz w:val="28"/>
          <w:szCs w:val="28"/>
          <w:rtl w:val="true"/>
          <w:lang w:bidi="fa-IR"/>
        </w:rPr>
        <w:t>ضابط محلّ الشهادة علی الشهادة ما لیس بحدّ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اشتمل الحقّ علی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بالشهادة علی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خاصّة، فیثبت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إقراره بالزنا نشر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حقوق الآدمیّین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عقوبة للّٰه‌تعالی، وإنّما افتقر إلی إضافة الشهادة علی الشهادة لیصیر من أمثلة المبحث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شهد علی إقراره بالزنا شاهدان فالحکم کذلک علی خلاف، لکنّه من أحکام القسم السابق </w:t>
      </w:r>
      <w:r>
        <w:rPr>
          <w:rStyle w:val="FootnoteAnchor"/>
          <w:rtl w:val="true"/>
        </w:rPr>
        <w:footnoteReference w:id="436"/>
      </w:r>
      <w:r>
        <w:rPr>
          <w:rFonts w:ascii="IRNazanin" w:hAnsi="IRNazanin" w:eastAsia="IRNazanin"/>
          <w:color w:val="111111"/>
          <w:sz w:val="28"/>
          <w:sz w:val="28"/>
          <w:szCs w:val="28"/>
          <w:rtl w:val="true"/>
          <w:lang w:bidi="fa-IR"/>
        </w:rPr>
        <w:t xml:space="preserve">ومثله ما لو شهد علی إقراره بإتیان البهیمة شاهدان یثبت بالشهادة علیهما </w:t>
      </w:r>
      <w:r>
        <w:rPr>
          <w:rStyle w:val="FootnoteAnchor"/>
          <w:rtl w:val="true"/>
        </w:rPr>
        <w:footnoteReference w:id="437"/>
      </w:r>
      <w:r>
        <w:rPr>
          <w:rFonts w:ascii="IRNazanin" w:hAnsi="IRNazanin" w:eastAsia="IRNazanin"/>
          <w:color w:val="111111"/>
          <w:sz w:val="28"/>
          <w:sz w:val="28"/>
          <w:szCs w:val="28"/>
          <w:rtl w:val="true"/>
          <w:lang w:bidi="fa-IR"/>
        </w:rPr>
        <w:t>تحریم البهیمة وبیعها، دون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أن یشهد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لتثبت شهادته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شهدا علی الشاهدین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کالأربعة فی الزنا والنسوة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 وهو ثبوت شهادة کلّ واحد بعدلین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أن یکون الأصل فرعاً لآخر، فیثبت بشهادته مع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یقبل فیه شهادة النساء یجوز علی کلّ امرأة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النساء فرعاً </w:t>
      </w:r>
      <w:r>
        <w:rPr>
          <w:rStyle w:val="FootnoteAnchor"/>
          <w:rtl w:val="true"/>
        </w:rPr>
        <w:footnoteReference w:id="438"/>
      </w:r>
      <w:r>
        <w:rPr>
          <w:rFonts w:ascii="Amiri" w:hAnsi="Amiri" w:eastAsia="Amiri" w:cs="Amiri"/>
          <w:color w:val="111111"/>
          <w:sz w:val="28"/>
          <w:sz w:val="28"/>
          <w:szCs w:val="28"/>
          <w:rtl w:val="true"/>
          <w:lang w:bidi="ar-SA"/>
        </w:rPr>
        <w:t>لأنّ شهادة الفرع تثبت شهادة الأصل لا ما شهد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قبول شهادة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الأصل بموت أو مرض أو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فی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p>
    <w:p>
      <w:pPr>
        <w:pStyle w:val="BookText"/>
        <w:rPr/>
      </w:pPr>
      <w:r>
        <w:rPr>
          <w:rFonts w:ascii="Amiri" w:hAnsi="Amiri" w:eastAsia="Amiri" w:cs="Amiri"/>
          <w:color w:val="111111"/>
          <w:sz w:val="28"/>
          <w:sz w:val="28"/>
          <w:szCs w:val="28"/>
          <w:rtl w:val="true"/>
          <w:lang w:bidi="ar-SA"/>
        </w:rPr>
        <w:t>لم یبلغ حدّ التعذّر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 نّه لا یشترط تعدیل الفرع للأصل، وإنّما ذلک فرض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تعیینه، فلا تکفی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أشهدنا عدلان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أشهداهما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أشهدنا فلان أ نّه یشهد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سمعاهما یشهدان جازت شهادتهما علیهما وإن لم تکن شهادة الأصل عند حاکم علی الأقوی؛ لأنّ العدل لا یتسامح بذلک بشرط ذکر الأصل للسبب، وإلّا فلا، لاعتیاد التسامح عند غیر الحاکم به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تجوز شهادة الفرع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تقبل الشهادة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شاهد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w:t>
      </w:r>
      <w:bookmarkStart w:id="155" w:name="pg19812_249314"/>
    </w:p>
    <w:p>
      <w:pPr>
        <w:pStyle w:val="Heading3"/>
        <w:numPr>
          <w:ilvl w:val="2"/>
          <w:numId w:val="1"/>
        </w:numPr>
        <w:rPr/>
      </w:pPr>
      <w:bookmarkStart w:id="156" w:name="__RefHeading___Toc2092868_2314609296"/>
      <w:bookmarkStart w:id="157" w:name="_Toc57"/>
      <w:bookmarkEnd w:id="155"/>
      <w:bookmarkEnd w:id="156"/>
      <w:r>
        <w:rPr>
          <w:rtl w:val="true"/>
        </w:rPr>
        <w:t>«</w:t>
      </w:r>
      <w:r>
        <w:rPr>
          <w:rtl w:val="true"/>
        </w:rPr>
        <w:t>الفصل الرابع</w:t>
      </w:r>
      <w:r>
        <w:rPr>
          <w:rtl w:val="true"/>
        </w:rPr>
        <w:t>» «</w:t>
      </w:r>
      <w:r>
        <w:rPr>
          <w:rtl w:val="true"/>
        </w:rPr>
        <w:t>فی الرجوع</w:t>
      </w:r>
      <w:r>
        <w:rPr>
          <w:rtl w:val="true"/>
        </w:rPr>
        <w:t xml:space="preserve">» </w:t>
      </w:r>
      <w:r>
        <w:rPr>
          <w:rtl w:val="true"/>
        </w:rPr>
        <w:t>عن الشهادة</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الشاهدان فیما یعتبر فیه الشاهدان، أو الأکثر حیث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الحکم امتنع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تابع للشهادة وقد ارتفعت؛ ولأ نّه لا یدری أصدقوا فی الأوّل أو فی الثانی؟ فلا یبقی ظنّ الصدق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لم ینقض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وضمن </w:t>
      </w:r>
      <w:r>
        <w:rPr>
          <w:rStyle w:val="FootnoteAnchor"/>
          <w:rtl w:val="true"/>
        </w:rPr>
        <w:footnoteReference w:id="440"/>
      </w:r>
      <w:r>
        <w:rPr>
          <w:rFonts w:ascii="IRNazanin" w:hAnsi="IRNazanin" w:eastAsia="IRNazanin"/>
          <w:color w:val="111111"/>
          <w:sz w:val="28"/>
          <w:sz w:val="28"/>
          <w:szCs w:val="28"/>
          <w:rtl w:val="true"/>
          <w:lang w:bidi="fa-IR"/>
        </w:rPr>
        <w:t>الشاهدان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شهدا به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العین باقیة، أو تالفة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44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تستعاد العین القائمة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الشهادة علی قتل، أو رجم، أو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جرح أو حدّ وکان قبل استیفائه لم یستوف؛ لأنّها تسقط بالشبهة والرجوع شبهة، والمال لا یسقط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الحدّ فی معنی النقض، وفی القصاص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إلی الدیة؛ لأنّها بدل</w:t>
      </w:r>
    </w:p>
    <w:p>
      <w:pPr>
        <w:pStyle w:val="BookText"/>
        <w:rPr/>
      </w:pPr>
      <w:r>
        <w:rPr>
          <w:rFonts w:ascii="IRNazanin" w:hAnsi="IRNazanin" w:eastAsia="IRNazanin"/>
          <w:color w:val="111111"/>
          <w:sz w:val="28"/>
          <w:sz w:val="28"/>
          <w:szCs w:val="28"/>
          <w:rtl w:val="true"/>
          <w:lang w:bidi="fa-IR"/>
        </w:rPr>
        <w:t xml:space="preserve">ممکن عند فوات محلّه </w:t>
      </w:r>
      <w:r>
        <w:rPr>
          <w:rStyle w:val="FootnoteAnchor"/>
          <w:rtl w:val="true"/>
        </w:rPr>
        <w:footnoteReference w:id="443"/>
      </w:r>
      <w:r>
        <w:rPr>
          <w:rFonts w:ascii="IRNazanin" w:hAnsi="IRNazanin" w:eastAsia="IRNazanin"/>
          <w:color w:val="111111"/>
          <w:sz w:val="28"/>
          <w:sz w:val="28"/>
          <w:szCs w:val="28"/>
          <w:rtl w:val="true"/>
          <w:lang w:bidi="fa-IR"/>
        </w:rPr>
        <w:t>وعلیه 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لأنّها فرعه، فلا یثبت الفرع من دون الأصل </w:t>
      </w:r>
      <w:r>
        <w:rPr>
          <w:rStyle w:val="FootnoteAnchor"/>
          <w:rtl w:val="true"/>
        </w:rPr>
        <w:footnoteReference w:id="444"/>
      </w:r>
      <w:r>
        <w:rPr>
          <w:rFonts w:ascii="IRNazanin" w:hAnsi="IRNazanin" w:eastAsia="IRNazanin"/>
          <w:color w:val="111111"/>
          <w:sz w:val="28"/>
          <w:sz w:val="28"/>
          <w:szCs w:val="28"/>
          <w:rtl w:val="true"/>
          <w:lang w:bidi="fa-IR"/>
        </w:rPr>
        <w:t>فیکون ذلک فی معنی النقض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تدلّ بإطلاقها علی عدم النقض مطلقاً واستیفاء متعلّق الشهادة وإن کان حدّاً، والظاهر أ نّه لیس بمراد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الرجوع فیما یوجب الحدّ قبل استیفائه یبطل الحدّ، سواء کان للّٰه‌تعالی أو للإنسان؛ لقیام الشبهة الدارئة </w:t>
      </w:r>
      <w:r>
        <w:rPr>
          <w:rStyle w:val="FootnoteAnchor"/>
          <w:rtl w:val="true"/>
        </w:rPr>
        <w:footnoteReference w:id="445"/>
      </w:r>
      <w:r>
        <w:rPr>
          <w:rFonts w:ascii="IRNazanin" w:hAnsi="IRNazanin" w:eastAsia="IRNazanin"/>
          <w:color w:val="111111"/>
          <w:sz w:val="28"/>
          <w:sz w:val="28"/>
          <w:szCs w:val="28"/>
          <w:rtl w:val="true"/>
          <w:lang w:bidi="fa-IR"/>
        </w:rPr>
        <w:t>ولم یتعرّض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فإطلاق العبارة إمّا لیس بجیّد أو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بعد استیفاء المذکورات واتّفق موته بالحدّ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رجعوا واعترفوا بالتعمّد اقتصّ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إن شاء ولیّه، وردّ علی کلّ واحد ما زاد عن جنایته کما لو باشروا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علیه ما زاد عن جنایته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الباقون 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أخطأنا فالدیة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موزّعة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تفرّقوا فی العمد والخطأ فعلی کلّ واحد لازم قوله، فعلی المعترف بالعمد القصاص بعد ردّ ما یفضل من دیته عن جنایته، وعلی المخطئ نصیبه من الدیة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شهدا بطلاق ثم رجعا،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إلی الأوّل ویغرمان المهر للثانی </w:t>
      </w:r>
      <w:r>
        <w:rPr>
          <w:rStyle w:val="FootnoteAnchor"/>
          <w:rtl w:val="true"/>
        </w:rPr>
        <w:footnoteReference w:id="446"/>
      </w:r>
      <w:r>
        <w:rPr>
          <w:rFonts w:ascii="IRNazanin" w:hAnsi="IRNazanin" w:eastAsia="IRNazanin"/>
          <w:color w:val="111111"/>
          <w:sz w:val="28"/>
          <w:sz w:val="28"/>
          <w:szCs w:val="28"/>
          <w:rtl w:val="true"/>
          <w:lang w:bidi="fa-IR"/>
        </w:rPr>
        <w:t>وتبعه أبو الصلاح</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استناداً إلی روایة حسنة </w:t>
      </w:r>
      <w:r>
        <w:rPr>
          <w:rStyle w:val="FootnoteAnchor"/>
          <w:rtl w:val="true"/>
        </w:rPr>
        <w:footnoteReference w:id="448"/>
      </w:r>
      <w:r>
        <w:rPr>
          <w:rFonts w:ascii="IRNazanin" w:hAnsi="IRNazanin" w:eastAsia="IRNazanin"/>
          <w:color w:val="111111"/>
          <w:sz w:val="28"/>
          <w:sz w:val="28"/>
          <w:szCs w:val="28"/>
          <w:rtl w:val="true"/>
          <w:lang w:bidi="fa-IR"/>
        </w:rPr>
        <w:t>حملت</w:t>
      </w:r>
    </w:p>
    <w:p>
      <w:pPr>
        <w:pStyle w:val="BookText"/>
        <w:rPr/>
      </w:pPr>
      <w:r>
        <w:rPr>
          <w:rFonts w:ascii="IRNazanin" w:hAnsi="IRNazanin" w:eastAsia="IRNazanin"/>
          <w:color w:val="111111"/>
          <w:sz w:val="28"/>
          <w:sz w:val="28"/>
          <w:szCs w:val="28"/>
          <w:rtl w:val="true"/>
          <w:lang w:bidi="fa-IR"/>
        </w:rPr>
        <w:t xml:space="preserve">علی تزویجها بمجرّد سماع البیّنة، لا بحکم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بعد الدخول فلا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لاستقرار المهر فی ذمّته به فلا تفویت، والبضع لا یضمن بالتفویت، وإلّا لحُجر علی المریض بالطلاق إلّاأن یخرج البضع من ثلث ماله، ولأ نّه لا یضمن له لو قتلها قاتل أو قتلت نفسها، أو حرّمت نکاحها برضاع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زوجة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لا ینقض بعد وقوعه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قبل الدخول 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المهر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غرمه؛ لأ نّه وإن کان ثابتاً بالعقد کثبوت الجمیع بالدخول، إلّاأ نّه کان معرّضاً للسقوط بردّتها أو الفسخ لعیب، بخلافه بعد الدخول لاستقراره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الأقوی، وبه قطع فی الدروس </w:t>
      </w:r>
      <w:r>
        <w:rPr>
          <w:rStyle w:val="FootnoteAnchor"/>
          <w:rtl w:val="true"/>
        </w:rPr>
        <w:footnoteReference w:id="450"/>
      </w:r>
      <w:r>
        <w:rPr>
          <w:rFonts w:ascii="IRNazanin" w:hAnsi="IRNazanin" w:eastAsia="IRNazanin"/>
          <w:color w:val="111111"/>
          <w:sz w:val="28"/>
          <w:sz w:val="28"/>
          <w:szCs w:val="28"/>
          <w:rtl w:val="true"/>
          <w:lang w:bidi="fa-IR"/>
        </w:rPr>
        <w:t xml:space="preserve">ونقله هنا قولاً کالآخر یدلّ علی تردّده فیه، ولعلّه لمعارضة الروایة المعتبرة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 نّهم أطلقوا الحکم فی الطلاق من غیر فرق بین البائن والرجعیّ، ووجهه حصول السبب المزیل للنکاح فی الجملة، خصوصاً بعد انقضاء عدّة الرجعیّ، فالتفویت حاصل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بالفرق واختصاص الحکم بالبائن کان حسناً، فلو شهدا بالرجعیّ لم یضمنا؛ إذ لم یفوّتا شیئاً، لقدرته علی إزالة السبب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یراجع حتی انقضت العدّة احتُمل إلحاقه بالبائن والغرم وعدمه، لتقصیره بترک الرجعة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تقیید الحکم فی الطلاق مطلقاً بعدم عروض وجه مزیل للنکاح،</w:t>
      </w:r>
    </w:p>
    <w:p>
      <w:pPr>
        <w:pStyle w:val="BookText"/>
        <w:rPr/>
      </w:pPr>
      <w:r>
        <w:rPr>
          <w:rFonts w:ascii="IRNazanin" w:hAnsi="IRNazanin" w:eastAsia="IRNazanin"/>
          <w:color w:val="111111"/>
          <w:sz w:val="28"/>
          <w:sz w:val="28"/>
          <w:szCs w:val="28"/>
          <w:rtl w:val="true"/>
          <w:lang w:bidi="fa-IR"/>
        </w:rPr>
        <w:t>فلو شهدا به ففرّق فرجعا فقامت بیّنة أ نّه کان بینهما رضاع محرّم فلا غرم؛ إذ لا تفویت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ثبت تزویر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الحاکم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بإقرارهما؛ لأنّه رجوع، ولا بشهادة غیرهما؛ لأنّه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لتبیّن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المحکوم به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اغرموا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یلزمهم کلّ ما فات بشهادتهم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وعزّروا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ثبوته قبل الحکم أم بعده، فات شیء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بلدهم وما حولها، لتجتنب شهادتهم ویرتدع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کذلک من تبیّن غلطه أو ردّت شهادته لمعارضة بیّنة اُخری أو ظهور فسق أو تهمة، لإمکان کونه صادقاً فی نفس الأمر فلم یحصل منه بالشهادة أمر زائد</w:t>
      </w:r>
      <w:r>
        <w:rPr>
          <w:rFonts w:eastAsia="IRNazanin" w:cs="IRNazanin"/>
          <w:color w:val="111111"/>
          <w:sz w:val="28"/>
          <w:szCs w:val="28"/>
          <w:rtl w:val="true"/>
          <w:lang w:bidi="fa-IR"/>
        </w:rPr>
        <w:t>.</w:t>
      </w:r>
      <w:bookmarkStart w:id="158" w:name="pg19812_249318"/>
    </w:p>
    <w:p>
      <w:pPr>
        <w:pStyle w:val="Heading2"/>
        <w:numPr>
          <w:ilvl w:val="1"/>
          <w:numId w:val="1"/>
        </w:numPr>
        <w:rPr/>
      </w:pPr>
      <w:bookmarkStart w:id="159" w:name="__RefHeading___Toc2092870_2314609296"/>
      <w:bookmarkStart w:id="160" w:name="_Toc58"/>
      <w:bookmarkEnd w:id="158"/>
      <w:bookmarkEnd w:id="159"/>
      <w:r>
        <w:rPr>
          <w:rtl w:val="true"/>
        </w:rPr>
        <w:t>کتاب الوقف</w:t>
      </w:r>
      <w:bookmarkEnd w:id="1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2092872_2314609296"/>
      <w:bookmarkStart w:id="162" w:name="_Toc59"/>
      <w:bookmarkEnd w:id="161"/>
      <w:r>
        <w:rPr>
          <w:rtl w:val="true"/>
        </w:rPr>
        <w:t>اشارة</w:t>
      </w:r>
      <w:bookmarkStart w:id="163" w:name="pg19812_249320"/>
      <w:bookmarkEnd w:id="162"/>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الوقف</w:t>
      </w:r>
      <w:r>
        <w:rPr>
          <w:rFonts w:eastAsia="IRNazanin" w:cs="IRNazanin"/>
          <w:color w:val="111111"/>
          <w:sz w:val="28"/>
          <w:szCs w:val="28"/>
          <w:rtl w:val="true"/>
          <w:lang w:bidi="fa-IR"/>
        </w:rPr>
        <w:t>»</w:t>
      </w:r>
    </w:p>
    <w:p>
      <w:pPr>
        <w:pStyle w:val="Heading3"/>
        <w:numPr>
          <w:ilvl w:val="2"/>
          <w:numId w:val="1"/>
        </w:numPr>
        <w:rPr/>
      </w:pPr>
      <w:bookmarkStart w:id="164" w:name="__RefHeading___Toc2092874_2314609296"/>
      <w:bookmarkStart w:id="165" w:name="_Toc60"/>
      <w:bookmarkEnd w:id="164"/>
      <w:r>
        <w:rPr>
          <w:rtl w:val="true"/>
        </w:rPr>
        <w:t>[</w:t>
      </w:r>
      <w:r>
        <w:rPr>
          <w:rtl w:val="true"/>
        </w:rPr>
        <w:t>تعریفه‌و الفاظه</w:t>
      </w:r>
      <w:r>
        <w:rPr>
          <w:rtl w:val="true"/>
        </w:rPr>
        <w:t>]</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تحبیس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علی حالة لا یجوز التصرّف فیه شرعاً علی وجه ناقل له عن الملک إلّاما استثنی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تعریفاً، بل ذکر شیء من خصائصه، أو تعریف لفظیّ موافقة للحدیث الوارد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الأصل وسبّل الثمرة</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وإلّا لانتقض بالسکنی واختیها </w:t>
      </w:r>
      <w:r>
        <w:rPr>
          <w:rStyle w:val="FootnoteAnchor"/>
          <w:rtl w:val="true"/>
        </w:rPr>
        <w:footnoteReference w:id="454"/>
      </w:r>
      <w:r>
        <w:rPr>
          <w:rFonts w:ascii="IRNazanin" w:hAnsi="IRNazanin" w:eastAsia="IRNazanin"/>
          <w:color w:val="111111"/>
          <w:sz w:val="28"/>
          <w:sz w:val="28"/>
          <w:szCs w:val="28"/>
          <w:rtl w:val="true"/>
          <w:lang w:bidi="fa-IR"/>
        </w:rPr>
        <w:t>والحبس، وهی خارجة عن حقیقته کما سیشیر إلیه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الدروس عرّفه بأ نّه الصدقة الجاریة </w:t>
      </w:r>
      <w:r>
        <w:rPr>
          <w:rStyle w:val="FootnoteAnchor"/>
          <w:rtl w:val="true"/>
        </w:rPr>
        <w:footnoteReference w:id="455"/>
      </w:r>
      <w:r>
        <w:rPr>
          <w:rFonts w:ascii="IRNazanin" w:hAnsi="IRNazanin" w:eastAsia="IRNazanin"/>
          <w:color w:val="111111"/>
          <w:sz w:val="28"/>
          <w:sz w:val="28"/>
          <w:szCs w:val="28"/>
          <w:rtl w:val="true"/>
          <w:lang w:bidi="fa-IR"/>
        </w:rPr>
        <w:t>تبعاً لما ورد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ابن آدم انقطع عمله إلّامن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w:t>
      </w:r>
      <w:r>
        <w:rPr>
          <w:rFonts w:eastAsia="IRNazanin" w:cs="IRNazanin"/>
          <w:color w:val="111111"/>
          <w:sz w:val="28"/>
          <w:szCs w:val="28"/>
          <w:rtl w:val="true"/>
          <w:lang w:bidi="fa-IR"/>
        </w:rPr>
        <w:t xml:space="preserve">. . .» </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ولفظه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یفتقر فی دلالته علیه إلی شیء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علی أصحّ القولین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حبّست وسبّلت وحرّمت وتصدّقت فمفتقر إلی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کالتأبید ونفی البیع والهبة والإرث، فیصیر بذلک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الأوّلان صریحان أیضاً بدون الضمیمة </w:t>
      </w:r>
      <w:r>
        <w:rPr>
          <w:rStyle w:val="FootnoteAnchor"/>
          <w:rtl w:val="true"/>
        </w:rPr>
        <w:footnoteReference w:id="458"/>
      </w:r>
      <w:r>
        <w:rPr>
          <w:rFonts w:ascii="IRNazanin" w:hAnsi="IRNazanin" w:eastAsia="IRNazanin"/>
          <w:color w:val="111111"/>
          <w:sz w:val="28"/>
          <w:sz w:val="28"/>
          <w:szCs w:val="28"/>
          <w:rtl w:val="true"/>
          <w:lang w:bidi="fa-IR"/>
        </w:rPr>
        <w:t>ویضعّف باشتراکهما بینه وبین غیره، فلا یدلّ علی الخاصّ بذاته، فلابدّ من انضمام قرینة تعیّنه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مؤبّدة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وفاقاً للدروس </w:t>
      </w:r>
      <w:r>
        <w:rPr>
          <w:rStyle w:val="FootnoteAnchor"/>
          <w:rtl w:val="true"/>
        </w:rPr>
        <w:footnoteReference w:id="459"/>
      </w:r>
      <w:r>
        <w:rPr>
          <w:rFonts w:ascii="IRNazanin" w:hAnsi="IRNazanin" w:eastAsia="IRNazanin"/>
          <w:color w:val="111111"/>
          <w:sz w:val="28"/>
          <w:sz w:val="28"/>
          <w:szCs w:val="28"/>
          <w:rtl w:val="true"/>
          <w:lang w:bidi="fa-IR"/>
        </w:rPr>
        <w:t>لأنّه کالصریح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نوی الوقف فیما یفتقر إلی القرینة وقع باطناً ودُیّن بنیّته لو ادّعاه أو ادّعی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منه عدم اشتراط القبول مطلقاً، ولا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 فهو أصحّ الوجهین، لعدم دلیلٍ صالحٍ علی اشتراطها وإن توقّف علیها الثواب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الأوّل فهو أحد القولین </w:t>
      </w:r>
      <w:r>
        <w:rPr>
          <w:rStyle w:val="FootnoteAnchor"/>
          <w:rtl w:val="true"/>
        </w:rPr>
        <w:footnoteReference w:id="460"/>
      </w:r>
      <w:r>
        <w:rPr>
          <w:rFonts w:ascii="IRNazanin" w:hAnsi="IRNazanin" w:eastAsia="IRNazanin"/>
          <w:color w:val="111111"/>
          <w:sz w:val="28"/>
          <w:sz w:val="28"/>
          <w:szCs w:val="28"/>
          <w:rtl w:val="true"/>
          <w:lang w:bidi="fa-IR"/>
        </w:rPr>
        <w:t>وظاهر الأکثر؛ لأصالة عدم الاشتراط، ولأ نّه إزالة ملک، فیکفی فیه الإیجاب کالعتق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إن کان الوقف علی من یمکن فی حقّه القبول </w:t>
      </w:r>
      <w:r>
        <w:rPr>
          <w:rStyle w:val="FootnoteAnchor"/>
          <w:rtl w:val="true"/>
        </w:rPr>
        <w:footnoteReference w:id="461"/>
      </w:r>
      <w:r>
        <w:rPr>
          <w:rFonts w:ascii="IRNazanin" w:hAnsi="IRNazanin" w:eastAsia="IRNazanin"/>
          <w:color w:val="111111"/>
          <w:sz w:val="28"/>
          <w:sz w:val="28"/>
          <w:szCs w:val="28"/>
          <w:rtl w:val="true"/>
          <w:lang w:bidi="fa-IR"/>
        </w:rPr>
        <w:t>وهو أجود وبذلک دخل فی باب العقود؛ لأنّ إدخال</w:t>
      </w:r>
      <w:bookmarkStart w:id="166" w:name="pg19812_249322"/>
    </w:p>
    <w:p>
      <w:pPr>
        <w:pStyle w:val="BookText"/>
        <w:rPr/>
      </w:pPr>
      <w:bookmarkEnd w:id="166"/>
      <w:r>
        <w:rPr>
          <w:rFonts w:ascii="IRNazanin" w:hAnsi="IRNazanin" w:eastAsia="IRNazanin"/>
          <w:color w:val="111111"/>
          <w:sz w:val="28"/>
          <w:sz w:val="28"/>
          <w:szCs w:val="28"/>
          <w:rtl w:val="true"/>
          <w:lang w:bidi="fa-IR"/>
        </w:rPr>
        <w:t>شیءٍ فی ملک الغیر یتوقّف علی رضاه؛ وللشکّ فی تمام السبب بدونه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یعتبر فیه ما یعتبر فی العقود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اتصّاله بالإیجاب عادةً، ووقوعه بالعربیّة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علی جهة عامّة أو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یشترط وإن أمکن قبول الحاکم له، وهذا هو الذی قطع به فی الدروس </w:t>
      </w:r>
      <w:r>
        <w:rPr>
          <w:rStyle w:val="FootnoteAnchor"/>
          <w:rtl w:val="true"/>
        </w:rPr>
        <w:footnoteReference w:id="462"/>
      </w:r>
      <w:r>
        <w:rPr>
          <w:rFonts w:ascii="IRNazanin" w:hAnsi="IRNazanin" w:eastAsia="IRNazanin"/>
          <w:color w:val="111111"/>
          <w:sz w:val="28"/>
          <w:sz w:val="28"/>
          <w:szCs w:val="28"/>
          <w:rtl w:val="true"/>
          <w:lang w:bidi="fa-IR"/>
        </w:rPr>
        <w:t xml:space="preserve">وربما قیل باشتراط قبول الحاکم فیما له ولایته </w:t>
      </w:r>
      <w:r>
        <w:rPr>
          <w:rStyle w:val="FootnoteAnchor"/>
          <w:rtl w:val="true"/>
        </w:rPr>
        <w:footnoteReference w:id="463"/>
      </w:r>
      <w:r>
        <w:rPr>
          <w:rFonts w:ascii="IRNazanin" w:hAnsi="IRNazanin" w:eastAsia="IRNazanin"/>
          <w:color w:val="111111"/>
          <w:sz w:val="28"/>
          <w:sz w:val="28"/>
          <w:szCs w:val="28"/>
          <w:rtl w:val="true"/>
          <w:lang w:bidi="fa-IR"/>
        </w:rPr>
        <w:t>وعلی القولین لا یعتبر قبول البطن الثانی ولا رضاه؛ لتمامیّة الوقف قبله فلا ینقطع؛ ولأنّ قبوله لا یتّصل بالإیجاب، فلو اعتبر لم یقع له</w:t>
      </w:r>
      <w:r>
        <w:rPr>
          <w:rFonts w:eastAsia="IRNazanin" w:cs="IRNazanin"/>
          <w:color w:val="111111"/>
          <w:sz w:val="28"/>
          <w:szCs w:val="28"/>
          <w:rtl w:val="true"/>
          <w:lang w:bidi="fa-IR"/>
        </w:rPr>
        <w:t>.</w:t>
      </w:r>
    </w:p>
    <w:p>
      <w:pPr>
        <w:pStyle w:val="Heading3"/>
        <w:numPr>
          <w:ilvl w:val="2"/>
          <w:numId w:val="1"/>
        </w:numPr>
        <w:rPr/>
      </w:pPr>
      <w:bookmarkStart w:id="167" w:name="__RefHeading___Toc2092876_2314609296"/>
      <w:bookmarkStart w:id="168" w:name="_Toc61"/>
      <w:bookmarkEnd w:id="167"/>
      <w:r>
        <w:rPr>
          <w:rtl w:val="true"/>
        </w:rPr>
        <w:t>[</w:t>
      </w:r>
      <w:r>
        <w:rPr>
          <w:rtl w:val="true"/>
        </w:rPr>
        <w:t xml:space="preserve">لزوم القیض فیه </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بعد تمام صیغته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جهة عامّة قبضها الناظر فیها أو الحاکم، أو القیمّ المنصوب من قبل الواقف لقبضه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لامتناع التصرّف فی مال الغیر بغیر إذنه، والحال أ نّه لم ینتقل إلی الموقوف علیه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قبضه المستند إلی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عبید بن زرارة </w:t>
      </w:r>
      <w:r>
        <w:rPr>
          <w:rStyle w:val="FootnoteAnchor"/>
          <w:rtl w:val="true"/>
        </w:rPr>
        <w:footnoteReference w:id="464"/>
      </w:r>
      <w:r>
        <w:rPr>
          <w:rFonts w:ascii="IRNazanin" w:hAnsi="IRNazanin" w:eastAsia="IRNazanin"/>
          <w:color w:val="111111"/>
          <w:sz w:val="28"/>
          <w:sz w:val="28"/>
          <w:szCs w:val="28"/>
          <w:rtl w:val="true"/>
          <w:lang w:bidi="fa-IR"/>
        </w:rPr>
        <w:t>صریحة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 نّه لا تعتبر فوریّته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موت الموقوف علیه کذلک، مع احتمال قیام وارثه مقامه</w:t>
      </w:r>
      <w:r>
        <w:rPr>
          <w:rFonts w:eastAsia="IRNazanin" w:cs="IRNazanin"/>
          <w:color w:val="111111"/>
          <w:sz w:val="28"/>
          <w:szCs w:val="28"/>
          <w:rtl w:val="true"/>
          <w:lang w:bidi="fa-IR"/>
        </w:rPr>
        <w:t>.</w:t>
      </w:r>
      <w:bookmarkStart w:id="169" w:name="pg19812_249323"/>
    </w:p>
    <w:p>
      <w:pPr>
        <w:pStyle w:val="BookText"/>
        <w:rPr/>
      </w:pPr>
      <w:bookmarkEnd w:id="169"/>
      <w:r>
        <w:rPr>
          <w:rFonts w:ascii="IRNazanin" w:hAnsi="IRNazanin" w:eastAsia="IRNazanin"/>
          <w:color w:val="111111"/>
          <w:sz w:val="28"/>
          <w:sz w:val="28"/>
          <w:szCs w:val="28"/>
          <w:rtl w:val="true"/>
          <w:lang w:bidi="fa-IR"/>
        </w:rPr>
        <w:t>ویفهم من نفیه اللزوم بدونه أنّ العقد صحیح قبله، فینتقل الملک انتقالاً متزلزلاً یتمّ بالقبض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غیره </w:t>
      </w:r>
      <w:r>
        <w:rPr>
          <w:rStyle w:val="FootnoteAnchor"/>
          <w:rtl w:val="true"/>
        </w:rPr>
        <w:footnoteReference w:id="465"/>
      </w:r>
      <w:r>
        <w:rPr>
          <w:rFonts w:ascii="IRNazanin" w:hAnsi="IRNazanin" w:eastAsia="IRNazanin"/>
          <w:color w:val="111111"/>
          <w:sz w:val="28"/>
          <w:sz w:val="28"/>
          <w:szCs w:val="28"/>
          <w:rtl w:val="true"/>
          <w:lang w:bidi="fa-IR"/>
        </w:rPr>
        <w:t xml:space="preserve">وهو ظاهره فی الدروس </w:t>
      </w:r>
      <w:r>
        <w:rPr>
          <w:rStyle w:val="FootnoteAnchor"/>
          <w:rtl w:val="true"/>
        </w:rPr>
        <w:footnoteReference w:id="466"/>
      </w:r>
      <w:r>
        <w:rPr>
          <w:rFonts w:ascii="IRNazanin" w:hAnsi="IRNazanin" w:eastAsia="IRNazanin"/>
          <w:color w:val="111111"/>
          <w:sz w:val="28"/>
          <w:sz w:val="28"/>
          <w:szCs w:val="28"/>
          <w:rtl w:val="true"/>
          <w:lang w:bidi="fa-IR"/>
        </w:rPr>
        <w:t>أ نّه شرط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الفائدة فی النماء المتخلّل بینه وبین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یرید هنا باللزوم الصحّة، بقرینة حکمه بالبطلان لو مات قبله، فإنّ ذلک من مقتضی عدم الصحّة، لا اللزوم، کما صرّح به فی هبة الدروس </w:t>
      </w:r>
      <w:r>
        <w:rPr>
          <w:rStyle w:val="FootnoteAnchor"/>
          <w:rtl w:val="true"/>
        </w:rPr>
        <w:footnoteReference w:id="467"/>
      </w:r>
      <w:r>
        <w:rPr>
          <w:rFonts w:ascii="IRNazanin" w:hAnsi="IRNazanin" w:eastAsia="IRNazanin"/>
          <w:color w:val="111111"/>
          <w:sz w:val="28"/>
          <w:sz w:val="28"/>
          <w:szCs w:val="28"/>
          <w:rtl w:val="true"/>
          <w:lang w:bidi="fa-IR"/>
        </w:rPr>
        <w:t xml:space="preserve">واحتمل إرادته </w:t>
      </w:r>
      <w:r>
        <w:rPr>
          <w:rStyle w:val="FootnoteAnchor"/>
          <w:rtl w:val="true"/>
        </w:rPr>
        <w:footnoteReference w:id="468"/>
      </w:r>
      <w:r>
        <w:rPr>
          <w:rFonts w:ascii="IRNazanin" w:hAnsi="IRNazanin" w:eastAsia="IRNazanin"/>
          <w:color w:val="111111"/>
          <w:sz w:val="28"/>
          <w:sz w:val="28"/>
          <w:szCs w:val="28"/>
          <w:rtl w:val="true"/>
          <w:lang w:bidi="fa-IR"/>
        </w:rPr>
        <w:t xml:space="preserve">من کلام بعض الأصحاب فیها </w:t>
      </w:r>
      <w:r>
        <w:rPr>
          <w:rStyle w:val="FootnoteAnchor"/>
          <w:rtl w:val="true"/>
        </w:rPr>
        <w:footnoteReference w:id="4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ویدخل فی وقف الحیوان لبنه وصوفه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الموجودان حال العقد ما لم یستثنهما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یدخل ذلک فی البیع؛ لأنّهما کالجزء من الموقوف بدلالة العرف، وهو الفارق بینهما وبین الثمرة، فإنّها لا تدخل وإن کانت طلعاً لم یؤبّر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الرجوع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العقود اللازمة</w:t>
      </w:r>
      <w:r>
        <w:rPr>
          <w:rFonts w:eastAsia="IRNazanin" w:cs="IRNazanin"/>
          <w:color w:val="111111"/>
          <w:sz w:val="28"/>
          <w:szCs w:val="28"/>
          <w:rtl w:val="true"/>
          <w:lang w:bidi="fa-IR"/>
        </w:rPr>
        <w:t>.</w:t>
      </w:r>
    </w:p>
    <w:p>
      <w:pPr>
        <w:pStyle w:val="Heading3"/>
        <w:numPr>
          <w:ilvl w:val="2"/>
          <w:numId w:val="1"/>
        </w:numPr>
        <w:rPr/>
      </w:pPr>
      <w:bookmarkStart w:id="170" w:name="__RefHeading___Toc2092878_2314609296"/>
      <w:bookmarkStart w:id="171" w:name="_Toc62"/>
      <w:bookmarkEnd w:id="170"/>
      <w:r>
        <w:rPr>
          <w:rtl w:val="true"/>
        </w:rPr>
        <w:t>«</w:t>
      </w:r>
      <w:r>
        <w:rPr>
          <w:rtl w:val="true"/>
        </w:rPr>
        <w:t>وشرطه</w:t>
      </w:r>
      <w:r>
        <w:rPr>
          <w:rtl w:val="true"/>
        </w:rPr>
        <w:t>»</w:t>
      </w:r>
      <w:bookmarkEnd w:id="171"/>
    </w:p>
    <w:p>
      <w:pPr>
        <w:pStyle w:val="BookText"/>
        <w:rPr/>
      </w:pPr>
      <w:r>
        <w:rPr>
          <w:rFonts w:ascii="IRNazanin" w:hAnsi="IRNazanin" w:eastAsia="IRNazanin"/>
          <w:color w:val="111111"/>
          <w:sz w:val="28"/>
          <w:sz w:val="28"/>
          <w:szCs w:val="28"/>
          <w:rtl w:val="true"/>
          <w:lang w:bidi="fa-IR"/>
        </w:rPr>
        <w:t xml:space="preserve">مضافاً إلی 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علّقه علی شرط أو صفة بطل، إلّاأن یکون واقعاً والواقف عالم </w:t>
      </w:r>
      <w:r>
        <w:rPr>
          <w:rStyle w:val="FootnoteAnchor"/>
          <w:rtl w:val="true"/>
        </w:rPr>
        <w:footnoteReference w:id="470"/>
      </w:r>
      <w:r>
        <w:rPr>
          <w:rFonts w:ascii="IRNazanin" w:hAnsi="IRNazanin" w:eastAsia="IRNazanin"/>
          <w:color w:val="111111"/>
          <w:sz w:val="28"/>
          <w:sz w:val="28"/>
          <w:szCs w:val="28"/>
          <w:rtl w:val="true"/>
          <w:lang w:bidi="fa-IR"/>
        </w:rPr>
        <w:t>بوقوعه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إن کان الیوم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غیره من العقود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قرنه بمدّة أو جعله علی من ینقرض غالباً لم یکن وقفاً،</w:t>
      </w:r>
    </w:p>
    <w:p>
      <w:pPr>
        <w:pStyle w:val="BookText"/>
        <w:rPr/>
      </w:pPr>
      <w:r>
        <w:rPr>
          <w:rFonts w:ascii="IRNazanin" w:hAnsi="IRNazanin" w:eastAsia="IRNazanin"/>
          <w:color w:val="111111"/>
          <w:sz w:val="28"/>
          <w:sz w:val="28"/>
          <w:szCs w:val="28"/>
          <w:rtl w:val="true"/>
          <w:lang w:bidi="fa-IR"/>
        </w:rPr>
        <w:t xml:space="preserve">والأقوی صحّته حبساً یبطل بانقضائها وانقراضه </w:t>
      </w:r>
      <w:r>
        <w:rPr>
          <w:rStyle w:val="FootnoteAnchor"/>
          <w:rtl w:val="true"/>
        </w:rPr>
        <w:footnoteReference w:id="471"/>
      </w:r>
      <w:r>
        <w:rPr>
          <w:rFonts w:ascii="IRNazanin" w:hAnsi="IRNazanin" w:eastAsia="IRNazanin"/>
          <w:color w:val="111111"/>
          <w:sz w:val="28"/>
          <w:sz w:val="28"/>
          <w:szCs w:val="28"/>
          <w:rtl w:val="true"/>
          <w:lang w:bidi="fa-IR"/>
        </w:rPr>
        <w:t>فیرجع إلی الواقف أو وارثه حین انقراض الموقوف علیه کالولاء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إلی وارثه عند موته ویسترسل فیه إلی أن یصادف الانقراض، ویسمّی هذا منقطع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انقطع أوّله أو وسطه أو طرفاه فالأقوی بطلان ما بعد القطع، فیبطل الأوّل والأخیر ویصحّ أوّل الآخر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تسلیط الواقف للقابض علیه </w:t>
      </w:r>
      <w:r>
        <w:rPr>
          <w:rStyle w:val="FootnoteAnchor"/>
          <w:rtl w:val="true"/>
        </w:rPr>
        <w:footnoteReference w:id="473"/>
      </w:r>
      <w:r>
        <w:rPr>
          <w:rFonts w:ascii="IRNazanin" w:hAnsi="IRNazanin" w:eastAsia="IRNazanin"/>
          <w:color w:val="111111"/>
          <w:sz w:val="28"/>
          <w:sz w:val="28"/>
          <w:szCs w:val="28"/>
          <w:rtl w:val="true"/>
          <w:lang w:bidi="fa-IR"/>
        </w:rPr>
        <w:t>ورفع یده عنه له، وقد یغایر الإذن فی القبض الذی اعتبره سابقاً، بأن یأذن فیه ولا یرفع یده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وإخراجه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وقف علی نفسه بطل وإن عقّبه بما یصحّ الوقف علیه؛ لأنّه حینئذٍ منقطع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شرط لنفسه الخیار فی نقضه متی شاء أو فی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وقفه علی قبیل هو منهم ابتداءً أو صار منهم 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شرط عوده إلیه عند الحاجة فالمرویّ </w:t>
      </w:r>
      <w:r>
        <w:rPr>
          <w:rStyle w:val="FootnoteAnchor"/>
          <w:rtl w:val="true"/>
        </w:rPr>
        <w:footnoteReference w:id="474"/>
      </w:r>
      <w:r>
        <w:rPr>
          <w:rFonts w:ascii="IRNazanin" w:hAnsi="IRNazanin" w:eastAsia="IRNazanin"/>
          <w:color w:val="111111"/>
          <w:sz w:val="28"/>
          <w:sz w:val="28"/>
          <w:szCs w:val="28"/>
          <w:rtl w:val="true"/>
          <w:lang w:bidi="fa-IR"/>
        </w:rPr>
        <w:t>والمشهور اتّباع شرطه، ویعتبر حینئذٍ قصور ماله عن مؤونة سنته فیعود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ویورث عنه لو مات وإن کان قبلها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شرط أکل أهله منه صحّ الشرط، کما فعل النبیّ صلی الله علیه و آله بوقفه وکذلک فاطمة علیها السلام </w:t>
      </w:r>
      <w:r>
        <w:rPr>
          <w:rStyle w:val="FootnoteAnchor"/>
          <w:rtl w:val="true"/>
        </w:rPr>
        <w:footnoteReference w:id="476"/>
      </w:r>
      <w:r>
        <w:rPr>
          <w:rFonts w:ascii="IRNazanin" w:hAnsi="IRNazanin" w:eastAsia="IRNazanin"/>
          <w:color w:val="111111"/>
          <w:sz w:val="28"/>
          <w:sz w:val="28"/>
          <w:szCs w:val="28"/>
          <w:rtl w:val="true"/>
          <w:lang w:bidi="fa-IR"/>
        </w:rPr>
        <w:t>ولا یقدح کونهم واجبی النفقة، فتسقط نفقتهم إن اکتفوا به</w:t>
      </w:r>
      <w:r>
        <w:rPr>
          <w:rFonts w:eastAsia="IRNazanin" w:cs="IRNazanin"/>
          <w:color w:val="111111"/>
          <w:sz w:val="28"/>
          <w:szCs w:val="28"/>
          <w:rtl w:val="true"/>
          <w:lang w:bidi="fa-IR"/>
        </w:rPr>
        <w:t>.</w:t>
      </w:r>
      <w:bookmarkStart w:id="172" w:name="pg19812_249325"/>
    </w:p>
    <w:p>
      <w:pPr>
        <w:pStyle w:val="BookText"/>
        <w:rPr/>
      </w:pPr>
      <w:bookmarkEnd w:id="172"/>
      <w:r>
        <w:rPr>
          <w:rFonts w:ascii="IRNazanin" w:hAnsi="IRNazanin" w:eastAsia="IRNazanin"/>
          <w:color w:val="111111"/>
          <w:sz w:val="28"/>
          <w:sz w:val="28"/>
          <w:szCs w:val="28"/>
          <w:rtl w:val="true"/>
          <w:lang w:bidi="fa-IR"/>
        </w:rPr>
        <w:t>ولو وقف علی نفسه وغیره صحّ فی نصفه علی الأقوی إن اتّحد، وإن تعدّد فبحسبه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فی ربعه، ویحتمل النصف والبطلان رأساً</w:t>
      </w:r>
      <w:r>
        <w:rPr>
          <w:rFonts w:eastAsia="IRNazanin" w:cs="IRNazanin"/>
          <w:color w:val="111111"/>
          <w:sz w:val="28"/>
          <w:szCs w:val="28"/>
          <w:rtl w:val="true"/>
          <w:lang w:bidi="fa-IR"/>
        </w:rPr>
        <w:t>.</w:t>
      </w:r>
    </w:p>
    <w:p>
      <w:pPr>
        <w:pStyle w:val="Heading3"/>
        <w:numPr>
          <w:ilvl w:val="2"/>
          <w:numId w:val="1"/>
        </w:numPr>
        <w:rPr/>
      </w:pPr>
      <w:bookmarkStart w:id="173" w:name="__RefHeading___Toc2092880_2314609296"/>
      <w:bookmarkStart w:id="174" w:name="_Toc63"/>
      <w:bookmarkEnd w:id="173"/>
      <w:r>
        <w:rPr>
          <w:rtl w:val="true"/>
        </w:rPr>
        <w:t>«</w:t>
      </w:r>
      <w:r>
        <w:rPr>
          <w:rtl w:val="true"/>
        </w:rPr>
        <w:t>وشرط الموقوف</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وقف المنفعة ولا الدین ولا المبهم؛ لعدم الانتفاع به مع بقائه، وعدم وجوده خارجاً، والمقبوض والمعیّن بعده غیره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بالمملوکیّة صلاحیّتها له بالنظر إلی الواقف لیحترز عن وقف نحو الخمر والخنزیر من المسلم، فهو شرط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الملک الفعلی لیحترز به عن وقف ما لا یملک وإن صلح له، فهو شرط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یراد به الأعمّ وإن ذکر بعض تفصیله بعد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بها مع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وقف ما لا ینتفع به إلّامع ذهاب عینه کالخبز والطعام والفاکهة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الانتفاع به کونه فی الحال، بل یکفی المتوقّع کالعبد والجحش الصغیرین، والزمن الذی یرجی زوال زمانته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یعتبر طول زمان المنفعة؟ إطلاق العبارة والأکثر یقتضی عدمه، فیصحّ وقف ریحانٍ یسرع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اعتباره، لقلّة المنفعة ومنافاتها للتأبید المطلوب من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فی الدروس </w:t>
      </w:r>
      <w:r>
        <w:rPr>
          <w:rStyle w:val="FootnoteAnchor"/>
          <w:rtl w:val="true"/>
        </w:rPr>
        <w:footnoteReference w:id="478"/>
      </w:r>
      <w:r>
        <w:rPr>
          <w:rFonts w:ascii="IRNazanin" w:hAnsi="IRNazanin" w:eastAsia="IRNazanin"/>
          <w:color w:val="111111"/>
          <w:sz w:val="28"/>
          <w:sz w:val="28"/>
          <w:szCs w:val="28"/>
          <w:rtl w:val="true"/>
          <w:lang w:bidi="fa-IR"/>
        </w:rPr>
        <w:t>ولو کان مزروعاً صحّ، وکذا ما یطول نفعه کمسکٍ وعنبر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إقباضها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وقف الطیر فی الهواء، ولا السمک فی ماءٍ لا یمکن قبضه عادةً، ولا الآبق والمغصوب،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وقفه علی من یمکنه قبضه فالظاهر الصحّة؛ لأنّ الإقباض المعتبر من المالک هو الإذن فی قبضه وتسلیطه علیه، والمعتبر من الموقوف علیه تسلّمه وهو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وقف ما لا یملکه وقف علی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العقود؛ لأنّه عقد صدر من صحیح العبارة قابل للنقل وقد أجاز المالک فیصحّ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عدمها هنا وإن قیل به فی غیره؛ لأنّ عبارة الفضولی لا أثر لها، وتأثیر الإجازة غیر معلوم؛ لأنّ الوقف فکّ ملکٍ فی کثیر من موارده، ولا أثر لعبارة الغیر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المصنّف فی الدروس </w:t>
      </w:r>
      <w:r>
        <w:rPr>
          <w:rStyle w:val="FootnoteAnchor"/>
          <w:rtl w:val="true"/>
        </w:rPr>
        <w:footnoteReference w:id="479"/>
      </w:r>
      <w:r>
        <w:rPr>
          <w:rFonts w:ascii="IRNazanin" w:hAnsi="IRNazanin" w:eastAsia="IRNazanin"/>
          <w:color w:val="111111"/>
          <w:sz w:val="28"/>
          <w:sz w:val="28"/>
          <w:szCs w:val="28"/>
          <w:rtl w:val="true"/>
          <w:lang w:bidi="fa-IR"/>
        </w:rPr>
        <w:t xml:space="preserve">لأنّه نسب عدم الصحّة إلی قولٍ ولم یفت بشیءٍ؛ وکذا فی التذکرة </w:t>
      </w:r>
      <w:r>
        <w:rPr>
          <w:rStyle w:val="FootnoteAnchor"/>
          <w:rtl w:val="true"/>
        </w:rPr>
        <w:footnoteReference w:id="480"/>
      </w:r>
      <w:r>
        <w:rPr>
          <w:rFonts w:ascii="Amiri" w:hAnsi="Amiri" w:eastAsia="Amiri" w:cs="Amiri"/>
          <w:color w:val="111111"/>
          <w:sz w:val="28"/>
          <w:sz w:val="28"/>
          <w:szCs w:val="28"/>
          <w:rtl w:val="true"/>
          <w:lang w:bidi="ar-SA"/>
        </w:rPr>
        <w:t xml:space="preserve">وذهب جماعة </w:t>
      </w:r>
      <w:r>
        <w:rPr>
          <w:rStyle w:val="FootnoteAnchor"/>
          <w:rtl w:val="true"/>
        </w:rPr>
        <w:footnoteReference w:id="481"/>
      </w:r>
      <w:r>
        <w:rPr>
          <w:rFonts w:ascii="IRNazanin" w:hAnsi="IRNazanin" w:eastAsia="IRNazanin"/>
          <w:color w:val="111111"/>
          <w:sz w:val="28"/>
          <w:sz w:val="28"/>
          <w:szCs w:val="28"/>
          <w:rtl w:val="true"/>
          <w:lang w:bidi="fa-IR"/>
        </w:rPr>
        <w:t>إلی المنع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اعتبرنا فیه التقرّب قوی المنع؛ لعدم صحّة التقرّب بملک الغیر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ووقف المشاع جائز کالمقسوم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الغایة المطلوبة من الوقف، وهو تحبیس الأصل وإطلاق الثمرة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وقبضه کقبض المبیع فی توقّفه علی إذن المالک والشریک عند المصنّف مطلقاً </w:t>
      </w:r>
      <w:r>
        <w:rPr>
          <w:rStyle w:val="FootnoteAnchor"/>
          <w:rtl w:val="true"/>
        </w:rPr>
        <w:footnoteReference w:id="482"/>
      </w:r>
      <w:r>
        <w:rPr>
          <w:rFonts w:ascii="IRNazanin" w:hAnsi="IRNazanin" w:eastAsia="IRNazanin"/>
          <w:color w:val="111111"/>
          <w:sz w:val="28"/>
          <w:sz w:val="28"/>
          <w:szCs w:val="28"/>
          <w:rtl w:val="true"/>
          <w:lang w:bidi="fa-IR"/>
        </w:rPr>
        <w:t>والأقوی أنّ ذلک فی المنقول وغیره لا یتوقّف علی إذن الشریک؛ لعدم استلزام التخلیة التصرّف فی ملک الغیر</w:t>
      </w:r>
      <w:r>
        <w:rPr>
          <w:rFonts w:eastAsia="IRNazanin" w:cs="IRNazanin"/>
          <w:color w:val="111111"/>
          <w:sz w:val="28"/>
          <w:szCs w:val="28"/>
          <w:rtl w:val="true"/>
          <w:lang w:bidi="fa-IR"/>
        </w:rPr>
        <w:t>.</w:t>
      </w:r>
      <w:bookmarkStart w:id="175" w:name="pg19812_249327"/>
    </w:p>
    <w:p>
      <w:pPr>
        <w:pStyle w:val="Heading3"/>
        <w:numPr>
          <w:ilvl w:val="2"/>
          <w:numId w:val="1"/>
        </w:numPr>
        <w:rPr/>
      </w:pPr>
      <w:bookmarkStart w:id="176" w:name="__RefHeading___Toc2092882_2314609296"/>
      <w:bookmarkStart w:id="177" w:name="_Toc64"/>
      <w:bookmarkEnd w:id="175"/>
      <w:bookmarkEnd w:id="176"/>
      <w:r>
        <w:rPr>
          <w:rtl w:val="true"/>
        </w:rPr>
        <w:t>«</w:t>
      </w:r>
      <w:r>
        <w:rPr>
          <w:rtl w:val="true"/>
        </w:rPr>
        <w:t>وشرط الواقف</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والعقل والاختیار ورفع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أن یجعل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ولغیره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یشرطه </w:t>
      </w:r>
      <w:r>
        <w:rPr>
          <w:rStyle w:val="FootnoteAnchor"/>
          <w:rtl w:val="true"/>
        </w:rPr>
        <w:footnoteReference w:id="483"/>
      </w:r>
      <w:r>
        <w:rPr>
          <w:rFonts w:ascii="IRNazanin" w:hAnsi="IRNazanin" w:eastAsia="IRNazanin"/>
          <w:color w:val="111111"/>
          <w:sz w:val="28"/>
          <w:sz w:val="28"/>
          <w:szCs w:val="28"/>
          <w:rtl w:val="true"/>
          <w:lang w:bidi="fa-IR"/>
        </w:rPr>
        <w:t xml:space="preserve">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فالنظر فی الوقف العامّ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الوقف علی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والواقف مع الإطلاق کالأجنبیّ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المشروط له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والاهتداء إلی التصرّف، ولو عرض له الفسق انعزل، فإن عاد عادت </w:t>
      </w:r>
      <w:r>
        <w:rPr>
          <w:rStyle w:val="FootnoteAnchor"/>
          <w:rtl w:val="true"/>
        </w:rPr>
        <w:footnoteReference w:id="484"/>
      </w:r>
      <w:r>
        <w:rPr>
          <w:rFonts w:ascii="IRNazanin" w:hAnsi="IRNazanin" w:eastAsia="IRNazanin"/>
          <w:color w:val="111111"/>
          <w:sz w:val="28"/>
          <w:sz w:val="28"/>
          <w:szCs w:val="28"/>
          <w:rtl w:val="true"/>
          <w:lang w:bidi="fa-IR"/>
        </w:rPr>
        <w:t>إن کان مشروطاً من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المشروط له القبول، ولو قبل لم یجب علیه الاستمرار؛ لأنّه فی معنی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یبطل النظر یصیر کما لو لم یشرط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ووظیفة الناظر مع الإطلاق العمارة والإجارة، وتحصیل الغلّة وقسمتها علی مستحقّها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فوّض إلیه بعضها لم یتعدّه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جعله لاثنین وأطلق لم یستقلّ أحدهما بالتصرّف</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للواقف عزل المشروط فی العقد، وله عزل المنصوب من قبله لو شرط النظر لنفسه فولّاه؛ لأنّه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آجر الناظر مدّة فزادت الاُجرة فی المدّة أو ظهر طالب بالزیادة لم ینفسخ العقد؛ لأنّه جری بالغبطة فی وقته، إلّاأن یکون فی زمن خیاره فیتعیّن علیه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شرط له شیء عوضاً عن عمله لزم ولیس له غیره، وإلّا فله اُجرة المثل عن عمله مع قصده الاُجرة به</w:t>
      </w:r>
      <w:r>
        <w:rPr>
          <w:rFonts w:eastAsia="IRNazanin" w:cs="IRNazanin"/>
          <w:color w:val="111111"/>
          <w:sz w:val="28"/>
          <w:szCs w:val="28"/>
          <w:rtl w:val="true"/>
          <w:lang w:bidi="fa-IR"/>
        </w:rPr>
        <w:t>.</w:t>
      </w:r>
      <w:bookmarkStart w:id="178" w:name="pg19812_249328"/>
    </w:p>
    <w:p>
      <w:pPr>
        <w:pStyle w:val="Heading3"/>
        <w:numPr>
          <w:ilvl w:val="2"/>
          <w:numId w:val="1"/>
        </w:numPr>
        <w:rPr/>
      </w:pPr>
      <w:bookmarkStart w:id="179" w:name="__RefHeading___Toc2092884_2314609296"/>
      <w:bookmarkStart w:id="180" w:name="_Toc65"/>
      <w:bookmarkEnd w:id="178"/>
      <w:bookmarkEnd w:id="179"/>
      <w:r>
        <w:rPr>
          <w:rtl w:val="true"/>
        </w:rPr>
        <w:t>«</w:t>
      </w:r>
      <w:r>
        <w:rPr>
          <w:rtl w:val="true"/>
        </w:rPr>
        <w:t>وشرط الموقوف علیه</w:t>
      </w:r>
      <w:r>
        <w:rPr>
          <w:rtl w:val="true"/>
        </w:rPr>
        <w:t>»</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وصحّة تملکه، وإباحة الوقف علیه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المعدوم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یبدأ به ویجعله من الطبقة الاُولی فیوقف علی من یتجدّد من ولد شخص ثم علیه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یوقف علیه وعلی من یتجدّد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یصحّ تبعیّة المعدوم الممکن وجوده عادةً کالولد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یمکن وجوده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مطلقاً فإن ابتدأ به بطل الوقف، وإن أخّره کان منقطع الآخر أو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ضمّه إلی موجود بطل فیما یخصّه خاصّة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یصحّ تملّکه شرعاً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تشبّث بالحریّة کاُمّ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الملائکة والجنّ والبهائم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وقفاً علی سیّد العبد ومالک الدابّة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یستثنی من ذلک العبد المعدّ لخدمة الکعبة والمشهد والمسجد ونحوها من المصالح العامّة، والدابّة المعدّة لنحو ذلک أیضاً؛ لأ نّه کالوقف علی 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اشتراط أهلیّة الموقوف علیه للملک یوهم عدم صحّته علی ما لا یصحّ تملّکه من المصالح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کالمسجد والمشهد والقنطرة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علی صحّته وبیان وجهه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والوقف علی المساجد والقناطر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جعل متعلّقه بحسب اللفظ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 مصروف إلی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أفاد تخصیصه بذلک تخصیصه ببعض مصالح المسلمین، وذلک لا ینافی الصحّة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یرد أنّ ذلک یستلزم جواز الوقف علی البیع والکنائس کما یجوز الوقف</w:t>
      </w:r>
    </w:p>
    <w:p>
      <w:pPr>
        <w:pStyle w:val="BookText"/>
        <w:rPr/>
      </w:pPr>
      <w:r>
        <w:rPr>
          <w:rFonts w:ascii="IRNazanin" w:hAnsi="IRNazanin" w:eastAsia="IRNazanin"/>
          <w:color w:val="111111"/>
          <w:sz w:val="28"/>
          <w:sz w:val="28"/>
          <w:szCs w:val="28"/>
          <w:rtl w:val="true"/>
          <w:lang w:bidi="fa-IR"/>
        </w:rPr>
        <w:t>علی أهل الذمّة؛ لأنّ الوقف علی کنائسهم وشبهها وقف علی مصالحهم، للفرق؛ فإنّ الوقف علی المساجد مصلحة للمسلمین وهی مع ذلک طاعة وقربة، فهی جهة من جهات المصالح المأذون فیها، بخلاف الکنائس، فإنّ الوقف علیها وقف علی جهة خاصّة من مصالح أهل الذمّة لکنّها معصیة؛ لأنّها إعانة لهم علی الاجتماع إلیها للعبادات المحرّمة والکفر، بخلاف الوقف علیهم أنفسهم؛ لعدم استلزامه المعصیة بذاته؛ إذ نفعهم من حیث الحاجة وأ نّهم عباد اللّٰه ومن جملة بنی آدم المکرّمین ومن یجوز أن یتولّد منهم المسلمون لا معصیة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یترتّب علیه من إعانتهم به علی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کشرب الخمر وأکل لحم الخنزیر والذهاب إلی تلک الجهات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مقصوداً للواقف، حتی لو فرض قصده له حکمنا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الوقف علیهم لکونهم کفّاراً، کما لا یصحّ الوقف علی فسقة المسلمین من حیث هم فسقة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علی الزناة والعُصاة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هم کذلک؛ لأنّه إعانة علی الإثم والعدوان فیکون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وقف علی شخص متّصف بذلک لا من حیث کون الوصف مناط الوقف صحّ، سواء أطلق أم قصد جهة محلّلة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اعتقد الصلاة إلیها وإن لم یصلّ، لا مستحلّاً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الصلاة بالفعل </w:t>
      </w:r>
      <w:r>
        <w:rPr>
          <w:rStyle w:val="FootnoteAnchor"/>
          <w:rtl w:val="true"/>
        </w:rPr>
        <w:footnoteReference w:id="48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بالمؤمن </w:t>
      </w:r>
      <w:r>
        <w:rPr>
          <w:rStyle w:val="FootnoteAnchor"/>
          <w:rtl w:val="true"/>
        </w:rPr>
        <w:footnoteReference w:id="486"/>
      </w:r>
      <w:r>
        <w:rPr>
          <w:rFonts w:ascii="IRNazanin" w:hAnsi="IRNazanin" w:eastAsia="IRNazanin"/>
          <w:color w:val="111111"/>
          <w:sz w:val="28"/>
          <w:sz w:val="28"/>
          <w:szCs w:val="28"/>
          <w:rtl w:val="true"/>
          <w:lang w:bidi="fa-IR"/>
        </w:rPr>
        <w:t xml:space="preserve">وهما ضعیفان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إلّاالخوارج والغلاة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یدخلون فی مفهوم المسلمین وإن صلّوا إلیها للحکم بکفرهم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لتخصیصه بهما، بل کلّ من أنکر ما علم من الدین</w:t>
      </w:r>
    </w:p>
    <w:p>
      <w:pPr>
        <w:pStyle w:val="BookText"/>
        <w:rPr/>
      </w:pPr>
      <w:r>
        <w:rPr>
          <w:rFonts w:ascii="IRNazanin" w:hAnsi="IRNazanin" w:eastAsia="IRNazanin"/>
          <w:color w:val="111111"/>
          <w:sz w:val="28"/>
          <w:sz w:val="28"/>
          <w:szCs w:val="28"/>
          <w:rtl w:val="true"/>
          <w:lang w:bidi="fa-IR"/>
        </w:rPr>
        <w:t xml:space="preserve">ضرورةً کذلک عنده </w:t>
      </w:r>
      <w:r>
        <w:rPr>
          <w:rStyle w:val="FootnoteAnchor"/>
          <w:rtl w:val="true"/>
        </w:rPr>
        <w:footnoteReference w:id="487"/>
      </w:r>
      <w:r>
        <w:rPr>
          <w:rFonts w:ascii="IRNazanin" w:hAnsi="IRNazanin" w:eastAsia="IRNazanin"/>
          <w:color w:val="111111"/>
          <w:sz w:val="28"/>
          <w:sz w:val="28"/>
          <w:szCs w:val="28"/>
          <w:rtl w:val="true"/>
          <w:lang w:bidi="fa-IR"/>
        </w:rPr>
        <w:t>والنواصب کالخوارج فلابدّ من استثنائهم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المصنِّف بکفرهم فی باب الطهارة من الدروس وغیرها </w:t>
      </w:r>
      <w:r>
        <w:rPr>
          <w:rStyle w:val="FootnoteAnchor"/>
          <w:rtl w:val="true"/>
        </w:rPr>
        <w:footnoteReference w:id="488"/>
      </w:r>
      <w:r>
        <w:rPr>
          <w:rFonts w:ascii="IRNazanin" w:hAnsi="IRNazanin" w:eastAsia="IRNazanin"/>
          <w:color w:val="111111"/>
          <w:sz w:val="28"/>
          <w:sz w:val="28"/>
          <w:szCs w:val="28"/>
          <w:rtl w:val="true"/>
          <w:lang w:bidi="fa-IR"/>
        </w:rPr>
        <w:t xml:space="preserve">وفی هذا الباب منها نسب خروج المشبّهة منهم إلی القیل </w:t>
      </w:r>
      <w:r>
        <w:rPr>
          <w:rStyle w:val="FootnoteAnchor"/>
          <w:rtl w:val="true"/>
        </w:rPr>
        <w:footnoteReference w:id="489"/>
      </w:r>
      <w:r>
        <w:rPr>
          <w:rFonts w:ascii="IRNazanin" w:hAnsi="IRNazanin" w:eastAsia="IRNazanin"/>
          <w:color w:val="111111"/>
          <w:sz w:val="28"/>
          <w:sz w:val="28"/>
          <w:szCs w:val="28"/>
          <w:rtl w:val="true"/>
          <w:lang w:bidi="fa-IR"/>
        </w:rPr>
        <w:t>مشعراً بتوقّفه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إلّاأن یکون الواقف من إحدی الفرق فیدخل فیه مطلقاً </w:t>
      </w:r>
      <w:r>
        <w:rPr>
          <w:rStyle w:val="FootnoteAnchor"/>
          <w:rtl w:val="true"/>
        </w:rPr>
        <w:footnoteReference w:id="490"/>
      </w:r>
      <w:r>
        <w:rPr>
          <w:rFonts w:ascii="IRNazanin" w:hAnsi="IRNazanin" w:eastAsia="IRNazanin"/>
          <w:color w:val="111111"/>
          <w:sz w:val="28"/>
          <w:sz w:val="28"/>
          <w:szCs w:val="28"/>
          <w:rtl w:val="true"/>
          <w:lang w:bidi="fa-IR"/>
        </w:rPr>
        <w:t>نظراً إلی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ویدخل الإناث تبعاً، وکذا من بحکمهم کالأطفال والمجانین، ولدلالة العرف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شایع 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 فی الإمامة وإن لم یوافق علی إمامة باقی الأئمّة بعده، فیدخل فیهم الإمامیّة، والجارودیّة من الزیدیّة، والإسماعیلیّة غیر الملاحدة منهم، والواقفیّة، والفطحیّة،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بأنّ ذلک مخصوص بما إذا کان الواقف من غیرهم، أمّا لو کان منهم صرف إلی أهل نحلته خاصّة، نظراً إلی شاهد حاله وفحوی قوله </w:t>
      </w:r>
      <w:r>
        <w:rPr>
          <w:rStyle w:val="FootnoteAnchor"/>
          <w:rtl w:val="true"/>
        </w:rPr>
        <w:footnoteReference w:id="491"/>
      </w:r>
      <w:r>
        <w:rPr>
          <w:rFonts w:ascii="IRNazanin" w:hAnsi="IRNazanin" w:eastAsia="IRNazanin"/>
          <w:color w:val="111111"/>
          <w:sz w:val="28"/>
          <w:sz w:val="28"/>
          <w:szCs w:val="28"/>
          <w:rtl w:val="true"/>
          <w:lang w:bidi="fa-IR"/>
        </w:rPr>
        <w:t>وهو حسن مع وجود القرینة، وإلّا فحمل اللفظ علی عمومه أجود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القائلون بإمامة الاثنی عشر المعتقدون لها، وزاد فی الدروس اعتقاد عصمتهم علیهم السلام أیضاً </w:t>
      </w:r>
      <w:r>
        <w:rPr>
          <w:rStyle w:val="FootnoteAnchor"/>
          <w:rtl w:val="true"/>
        </w:rPr>
        <w:footnoteReference w:id="492"/>
      </w:r>
      <w:r>
        <w:rPr>
          <w:rFonts w:ascii="IRNazanin" w:hAnsi="IRNazanin" w:eastAsia="IRNazanin"/>
          <w:color w:val="111111"/>
          <w:sz w:val="28"/>
          <w:sz w:val="28"/>
          <w:szCs w:val="28"/>
          <w:rtl w:val="true"/>
          <w:lang w:bidi="fa-IR"/>
        </w:rPr>
        <w:t>لأنّه لازم المذهب</w:t>
      </w:r>
      <w:r>
        <w:rPr>
          <w:rFonts w:eastAsia="IRNazanin" w:cs="IRNazanin"/>
          <w:color w:val="111111"/>
          <w:sz w:val="28"/>
          <w:szCs w:val="28"/>
          <w:rtl w:val="true"/>
          <w:lang w:bidi="fa-IR"/>
        </w:rPr>
        <w:t>.</w:t>
      </w:r>
      <w:bookmarkStart w:id="181" w:name="pg19812_249331"/>
    </w:p>
    <w:p>
      <w:pPr>
        <w:pStyle w:val="BookText"/>
        <w:rPr/>
      </w:pPr>
      <w:bookmarkEnd w:id="181"/>
      <w:r>
        <w:rPr>
          <w:rFonts w:ascii="IRNazanin" w:hAnsi="IRNazanin" w:eastAsia="IRNazanin"/>
          <w:color w:val="111111"/>
          <w:sz w:val="28"/>
          <w:sz w:val="28"/>
          <w:szCs w:val="28"/>
          <w:rtl w:val="true"/>
          <w:lang w:bidi="fa-IR"/>
        </w:rPr>
        <w:t xml:space="preserve">ولا یشترط هنا اجتناب الکبائر اتّفاقاً وإن قیل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وربما أوهم کلامه فی الدروس </w:t>
      </w:r>
      <w:r>
        <w:rPr>
          <w:rStyle w:val="FootnoteAnchor"/>
          <w:rtl w:val="true"/>
        </w:rPr>
        <w:footnoteReference w:id="494"/>
      </w:r>
      <w:r>
        <w:rPr>
          <w:rFonts w:ascii="IRNazanin" w:hAnsi="IRNazanin" w:eastAsia="IRNazanin"/>
          <w:color w:val="111111"/>
          <w:sz w:val="28"/>
          <w:sz w:val="28"/>
          <w:szCs w:val="28"/>
          <w:rtl w:val="true"/>
          <w:lang w:bidi="fa-IR"/>
        </w:rPr>
        <w:t>ورود الخلاف هنا أیضاً، ولیس کذلک، ودلیل القائل یرشد إلی اختصاص الخلاف بالمؤمنین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هاشم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اتصّل إلیه بالأب وإن علا، دون الاُمّ علی 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کلّ قبیلة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کالعلویّة والحسینیّة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فیها من اتصّل بالمنسوب إلیه بالأب دون الاُمّ، ویستوی فیه الذکور والإناث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أفراده وإن اختلفوا بالذکوریّة والاُنوثیّة؛ لاستواء الإطلاق والاستحقاق بالنسبة إلی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عیّن، عملاً بمقتضی الشرط</w:t>
      </w:r>
      <w:r>
        <w:rPr>
          <w:rFonts w:eastAsia="IRNazanin" w:cs="IRNazanin"/>
          <w:color w:val="111111"/>
          <w:sz w:val="28"/>
          <w:szCs w:val="28"/>
          <w:rtl w:val="true"/>
          <w:lang w:bidi="fa-IR"/>
        </w:rPr>
        <w:t>.</w:t>
      </w:r>
    </w:p>
    <w:p>
      <w:pPr>
        <w:pStyle w:val="Heading3"/>
        <w:numPr>
          <w:ilvl w:val="2"/>
          <w:numId w:val="1"/>
        </w:numPr>
        <w:rPr/>
      </w:pPr>
      <w:bookmarkStart w:id="182" w:name="__RefHeading___Toc2092886_2314609296"/>
      <w:bookmarkStart w:id="183" w:name="_Toc66"/>
      <w:bookmarkEnd w:id="182"/>
      <w:r>
        <w:rPr>
          <w:rtl w:val="true"/>
        </w:rPr>
        <w:t>[«</w:t>
      </w:r>
      <w:r>
        <w:rPr>
          <w:rtl w:val="true"/>
        </w:rPr>
        <w:t>وهنا مسائل</w:t>
      </w:r>
      <w:r>
        <w:rPr>
          <w:rtl w:val="true"/>
        </w:rPr>
        <w:t>»]</w:t>
      </w:r>
      <w:bookmarkEnd w:id="183"/>
    </w:p>
    <w:p>
      <w:pPr>
        <w:pStyle w:val="Heading4"/>
        <w:numPr>
          <w:ilvl w:val="3"/>
          <w:numId w:val="1"/>
        </w:numPr>
        <w:rPr/>
      </w:pPr>
      <w:bookmarkStart w:id="184" w:name="__RefHeading___Toc2092888_2314609296"/>
      <w:bookmarkStart w:id="185" w:name="_Toc67"/>
      <w:bookmarkEnd w:id="184"/>
      <w:r>
        <w:rPr>
          <w:rtl w:val="true"/>
        </w:rPr>
        <w:t>[</w:t>
      </w:r>
      <w:r>
        <w:rPr>
          <w:rtl w:val="true"/>
        </w:rPr>
        <w:t>الاولی</w:t>
      </w:r>
      <w:r>
        <w:rPr>
          <w:rtl w:val="true"/>
        </w:rPr>
        <w:t>-</w:t>
      </w:r>
      <w:r>
        <w:rPr>
          <w:rtl w:val="true"/>
        </w:rPr>
        <w:t xml:space="preserve">نفقة العبد و الحیوان الموقوفین </w:t>
      </w:r>
      <w:r>
        <w:rPr>
          <w:rtl w:val="true"/>
        </w:rPr>
        <w:t>]</w:t>
      </w:r>
      <w:bookmarkEnd w:id="185"/>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العبد الموقوف والحیوان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معیّنین؛ لانتقال الملک إلیهم وهی تابعة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علی غیر معیّنین ففی کسبه مقدّمةً علی الموقوف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قصر الکسب ففی بیت المال إن کان، وإلّا وجب کفایة علی المکلّفین کغیره من المحتاجین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العبد فمؤونة</w:t>
      </w:r>
      <w:bookmarkStart w:id="186" w:name="pg19812_249332"/>
    </w:p>
    <w:p>
      <w:pPr>
        <w:pStyle w:val="BookText"/>
        <w:rPr/>
      </w:pPr>
      <w:bookmarkEnd w:id="186"/>
      <w:r>
        <w:rPr>
          <w:rFonts w:ascii="IRNazanin" w:hAnsi="IRNazanin" w:eastAsia="IRNazanin"/>
          <w:color w:val="111111"/>
          <w:sz w:val="28"/>
          <w:sz w:val="28"/>
          <w:szCs w:val="28"/>
          <w:rtl w:val="true"/>
          <w:lang w:bidi="fa-IR"/>
        </w:rPr>
        <w:t>تجهیزه کنفقته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الموقوف عقاراً فنفقته حیث شرط الواقف، فإن انتفی الشرط ففی غلّته، فإن قصرت لم یجب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عدمت لم تجب عمارته، بخلاف الحیوان، لوجوب صیانة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عمی العبد أو 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لم یکن موقوفاً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وسقطت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الملک </w:t>
      </w:r>
      <w:r>
        <w:rPr>
          <w:rStyle w:val="FootnoteAnchor"/>
          <w:rtl w:val="true"/>
        </w:rPr>
        <w:footnoteReference w:id="495"/>
      </w:r>
      <w:r>
        <w:rPr>
          <w:rFonts w:ascii="IRNazanin" w:hAnsi="IRNazanin" w:eastAsia="IRNazanin"/>
          <w:color w:val="111111"/>
          <w:sz w:val="28"/>
          <w:sz w:val="28"/>
          <w:szCs w:val="28"/>
          <w:rtl w:val="true"/>
          <w:lang w:bidi="fa-IR"/>
        </w:rPr>
        <w:t>لأنّها کانت تابعة له فإذا زال زالت</w:t>
      </w:r>
      <w:r>
        <w:rPr>
          <w:rFonts w:eastAsia="IRNazanin" w:cs="IRNazanin"/>
          <w:color w:val="111111"/>
          <w:sz w:val="28"/>
          <w:szCs w:val="28"/>
          <w:rtl w:val="true"/>
          <w:lang w:bidi="fa-IR"/>
        </w:rPr>
        <w:t>.</w:t>
      </w:r>
    </w:p>
    <w:p>
      <w:pPr>
        <w:pStyle w:val="Heading4"/>
        <w:numPr>
          <w:ilvl w:val="3"/>
          <w:numId w:val="1"/>
        </w:numPr>
        <w:rPr/>
      </w:pPr>
      <w:bookmarkStart w:id="187" w:name="__RefHeading___Toc2092890_2314609296"/>
      <w:bookmarkStart w:id="188" w:name="_Toc68"/>
      <w:bookmarkEnd w:id="187"/>
      <w:r>
        <w:rPr>
          <w:rtl w:val="true"/>
        </w:rPr>
        <w:t>[</w:t>
      </w:r>
      <w:r>
        <w:rPr>
          <w:rtl w:val="true"/>
        </w:rPr>
        <w:t>الثانیة الوقف علی الاولاد</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 فی سبیل اللّٰه انصرف إلی کلّ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اللّٰه تعالی أی إلی ثوابه ورضوانه، فیدخل فیه کلّ ما یوجب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نفع المحاویج </w:t>
      </w:r>
      <w:r>
        <w:rPr>
          <w:rStyle w:val="FootnoteAnchor"/>
          <w:rtl w:val="true"/>
        </w:rPr>
        <w:footnoteReference w:id="496"/>
      </w:r>
      <w:r>
        <w:rPr>
          <w:rFonts w:ascii="IRNazanin" w:hAnsi="IRNazanin" w:eastAsia="IRNazanin"/>
          <w:color w:val="111111"/>
          <w:sz w:val="28"/>
          <w:sz w:val="28"/>
          <w:szCs w:val="28"/>
          <w:rtl w:val="true"/>
          <w:lang w:bidi="fa-IR"/>
        </w:rPr>
        <w:t>وعمارة المساجد، وإصلاح الطرقات وتکفین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الجهاد </w:t>
      </w:r>
      <w:r>
        <w:rPr>
          <w:rStyle w:val="FootnoteAnchor"/>
          <w:rtl w:val="true"/>
        </w:rPr>
        <w:footnoteReference w:id="497"/>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الحجّ والعمرة إلیه </w:t>
      </w:r>
      <w:r>
        <w:rPr>
          <w:rStyle w:val="FootnoteAnchor"/>
          <w:rtl w:val="true"/>
        </w:rPr>
        <w:footnoteReference w:id="498"/>
      </w:r>
      <w:r>
        <w:rPr>
          <w:rFonts w:ascii="IRNazanin" w:hAnsi="IRNazanin" w:eastAsia="IRNazanin"/>
          <w:color w:val="111111"/>
          <w:sz w:val="28"/>
          <w:sz w:val="28"/>
          <w:szCs w:val="28"/>
          <w:rtl w:val="true"/>
          <w:lang w:bidi="fa-IR"/>
        </w:rPr>
        <w:t xml:space="preserve">والأوّل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الخیر، وسبیل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الثلاثة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الفقراء والمساکین ویبدأ بأقاربه، وسبیل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والمساکین وابن السبیل والغارمون الذین استدانوا لمصلحتهم، والمکاتبون </w:t>
      </w:r>
      <w:r>
        <w:rPr>
          <w:rStyle w:val="FootnoteAnchor"/>
          <w:rtl w:val="true"/>
        </w:rPr>
        <w:footnoteReference w:id="499"/>
      </w:r>
      <w:r>
        <w:rPr>
          <w:rFonts w:ascii="IRNazanin" w:hAnsi="IRNazanin" w:eastAsia="IRNazanin"/>
          <w:color w:val="111111"/>
          <w:sz w:val="28"/>
          <w:sz w:val="28"/>
          <w:szCs w:val="28"/>
          <w:rtl w:val="true"/>
          <w:lang w:bidi="fa-IR"/>
        </w:rPr>
        <w:t>والأوّل أقوی، إلّاأن یقصد الواقف غیره</w:t>
      </w:r>
      <w:r>
        <w:rPr>
          <w:rFonts w:eastAsia="IRNazanin" w:cs="IRNazanin"/>
          <w:color w:val="111111"/>
          <w:sz w:val="28"/>
          <w:szCs w:val="28"/>
          <w:rtl w:val="true"/>
          <w:lang w:bidi="fa-IR"/>
        </w:rPr>
        <w:t>.</w:t>
      </w:r>
      <w:bookmarkStart w:id="189" w:name="pg19812_249333"/>
    </w:p>
    <w:p>
      <w:pPr>
        <w:pStyle w:val="Heading4"/>
        <w:numPr>
          <w:ilvl w:val="3"/>
          <w:numId w:val="1"/>
        </w:numPr>
        <w:rPr/>
      </w:pPr>
      <w:bookmarkStart w:id="190" w:name="__RefHeading___Toc2092892_2314609296"/>
      <w:bookmarkStart w:id="191" w:name="_Toc69"/>
      <w:bookmarkEnd w:id="189"/>
      <w:bookmarkEnd w:id="190"/>
      <w:r>
        <w:rPr>
          <w:rtl w:val="true"/>
        </w:rPr>
        <w:t>[</w:t>
      </w:r>
      <w:r>
        <w:rPr>
          <w:rtl w:val="true"/>
        </w:rPr>
        <w:t>الثالثة الوقف علی الاولاد</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علی أولاده اشترک أولاد البنین والبنات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یشمل أولادهم استعمالاً شائعاً لغةً وشرعاً،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آدَمَ </w:t>
      </w:r>
      <w:r>
        <w:rPr>
          <w:rStyle w:val="FootnoteAnchor"/>
          <w:rtl w:val="true"/>
        </w:rPr>
        <w:footnoteReference w:id="500"/>
      </w:r>
      <w:r>
        <w:rPr>
          <w:rFonts w:ascii="Amiri" w:hAnsi="Amiri" w:eastAsia="Amiri" w:cs="Amiri"/>
          <w:color w:val="111111"/>
          <w:sz w:val="28"/>
          <w:sz w:val="28"/>
          <w:szCs w:val="28"/>
          <w:rtl w:val="true"/>
          <w:lang w:bidi="ar-SA"/>
        </w:rPr>
        <w:t xml:space="preserve">یٰا بَنِی إِسْرٰائِیلَ </w:t>
      </w:r>
      <w:r>
        <w:rPr>
          <w:rStyle w:val="FootnoteAnchor"/>
          <w:rtl w:val="true"/>
        </w:rPr>
        <w:footnoteReference w:id="501"/>
      </w:r>
      <w:r>
        <w:rPr>
          <w:rFonts w:ascii="Amiri" w:hAnsi="Amiri" w:eastAsia="Amiri" w:cs="Amiri"/>
          <w:color w:val="111111"/>
          <w:sz w:val="28"/>
          <w:sz w:val="28"/>
          <w:szCs w:val="28"/>
          <w:rtl w:val="true"/>
          <w:lang w:bidi="ar-SA"/>
        </w:rPr>
        <w:t xml:space="preserve">و یُوصِیکُمُ اَللّٰهُ فِی أَوْلاٰدِکُمْ </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وللإجماع علی تحریم حلیلة ولد الولد ذکراً واُنثی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أَبْنٰائِکُمُ </w:t>
      </w:r>
      <w:r>
        <w:rPr>
          <w:rStyle w:val="FootnoteAnchor"/>
          <w:rtl w:val="true"/>
        </w:rPr>
        <w:footnoteReference w:id="503"/>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تزرموا ابنی</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یعنی الحسن، أی لا تقطعوا علیه بولَه لمّا بال فی حجره، والأصل فی الاستعمال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الاستعمال کما دلّ علی دخول أولاد الأولاد فی الأولاد دلّ علی دخول أولاد الإناث أیضاً، وهذا أحد القولین فی المسألة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أولاد الأولاد مطلقاً فی اسم الأولاد، لعدم فهمه عند الاطلاق، ولصحة السلب فیقال فی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ولدی بل ولد ولدی </w:t>
      </w:r>
      <w:r>
        <w:rPr>
          <w:rStyle w:val="FootnoteAnchor"/>
          <w:rtl w:val="true"/>
        </w:rPr>
        <w:footnoteReference w:id="506"/>
      </w:r>
      <w:r>
        <w:rPr>
          <w:rFonts w:ascii="IRNazanin" w:hAnsi="IRNazanin" w:eastAsia="IRNazanin"/>
          <w:color w:val="111111"/>
          <w:sz w:val="28"/>
          <w:sz w:val="28"/>
          <w:szCs w:val="28"/>
          <w:rtl w:val="true"/>
          <w:lang w:bidi="fa-IR"/>
        </w:rPr>
        <w:t>وأجاب</w:t>
      </w:r>
      <w:bookmarkStart w:id="192" w:name="pg19812_249334"/>
    </w:p>
    <w:p>
      <w:pPr>
        <w:pStyle w:val="BookText"/>
        <w:rPr/>
      </w:pPr>
      <w:bookmarkEnd w:id="192"/>
      <w:r>
        <w:rPr>
          <w:rFonts w:ascii="IRNazanin" w:hAnsi="IRNazanin" w:eastAsia="IRNazanin"/>
          <w:color w:val="111111"/>
          <w:sz w:val="28"/>
          <w:sz w:val="28"/>
          <w:szCs w:val="28"/>
          <w:rtl w:val="true"/>
          <w:lang w:bidi="fa-IR"/>
        </w:rPr>
        <w:t xml:space="preserve">المصنّف فی الشرح عن الأدلّة الدالّة علی الدخول بأنه ثمّ من دلیل خارج، وبأنّ اسم الولد لو کان شاملاً للجمیع لزم الاشتراک وإن عورض بلزوم المجاز فهو أولی </w:t>
      </w:r>
      <w:r>
        <w:rPr>
          <w:rStyle w:val="FootnoteAnchor"/>
          <w:rtl w:val="true"/>
        </w:rPr>
        <w:footnoteReference w:id="507"/>
      </w:r>
      <w:r>
        <w:rPr>
          <w:rFonts w:ascii="IRNazanin" w:hAnsi="IRNazanin" w:eastAsia="IRNazanin"/>
          <w:color w:val="111111"/>
          <w:sz w:val="28"/>
          <w:sz w:val="28"/>
          <w:szCs w:val="28"/>
          <w:rtl w:val="true"/>
          <w:lang w:bidi="fa-IR"/>
        </w:rPr>
        <w:t>وهذا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دلّت قرینة علی دخولهم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الأعلی فالأعلی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دخول من دلّت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خالف فی دخولهم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کالفاضلین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فرضوا المسألة فیما لو وقف علی أولاد أولاده </w:t>
      </w:r>
      <w:r>
        <w:rPr>
          <w:rStyle w:val="FootnoteAnchor"/>
          <w:rtl w:val="true"/>
        </w:rPr>
        <w:footnoteReference w:id="508"/>
      </w:r>
      <w:r>
        <w:rPr>
          <w:rFonts w:ascii="IRNazanin" w:hAnsi="IRNazanin" w:eastAsia="IRNazanin"/>
          <w:color w:val="111111"/>
          <w:sz w:val="28"/>
          <w:sz w:val="28"/>
          <w:szCs w:val="28"/>
          <w:rtl w:val="true"/>
          <w:lang w:bidi="fa-IR"/>
        </w:rPr>
        <w:t>فإنّه حینئذٍ یدخل أولاد البنین والبنات بغیر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دخولهم بوجه فاشتراکهم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مقتضی الإطلاق، والأصل عدم التفاضل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بالصریح </w:t>
      </w:r>
      <w:r>
        <w:rPr>
          <w:rStyle w:val="FootnoteAnchor"/>
          <w:rtl w:val="true"/>
        </w:rPr>
        <w:footnoteReference w:id="509"/>
      </w:r>
      <w:r>
        <w:rPr>
          <w:rFonts w:ascii="IRNazanin" w:hAnsi="IRNazanin" w:eastAsia="IRNazanin"/>
          <w:color w:val="111111"/>
          <w:sz w:val="28"/>
          <w:sz w:val="28"/>
          <w:szCs w:val="28"/>
          <w:rtl w:val="true"/>
          <w:lang w:bidi="fa-IR"/>
        </w:rPr>
        <w:t>أو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 انتسب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أولاد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510"/>
      </w:r>
      <w:r>
        <w:rPr>
          <w:rFonts w:ascii="Amiri" w:hAnsi="Amiri" w:eastAsia="Amiri" w:cs="Amiri"/>
          <w:color w:val="111111"/>
          <w:sz w:val="28"/>
          <w:sz w:val="28"/>
          <w:szCs w:val="28"/>
          <w:rtl w:val="true"/>
          <w:lang w:bidi="ar-SA"/>
        </w:rPr>
        <w:t>عملاً بدلالة اللغة والعرف والاستعمال</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092894_2314609296"/>
      <w:bookmarkStart w:id="194" w:name="_Toc70"/>
      <w:bookmarkEnd w:id="193"/>
      <w:r>
        <w:rPr>
          <w:rtl w:val="true"/>
        </w:rPr>
        <w:t>[</w:t>
      </w:r>
      <w:r>
        <w:rPr>
          <w:rtl w:val="true"/>
        </w:rPr>
        <w:t>الرابعة</w:t>
      </w:r>
      <w:r>
        <w:rPr>
          <w:rtl w:val="true"/>
        </w:rPr>
        <w:t>-</w:t>
      </w:r>
      <w:r>
        <w:rPr>
          <w:rtl w:val="true"/>
        </w:rPr>
        <w:t>عدم الزوال الوقف بخراب القریه الوقف علی الفقراء و العلویین</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وقف مسجداً لم ینفکّ وقفه بخراب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الوقف وعدم صلاحیّة الخراب لزواله، لجواز عودها أو انتفاع المارّة به؛ وکذا لو خرب</w:t>
      </w:r>
    </w:p>
    <w:p>
      <w:pPr>
        <w:pStyle w:val="BookText"/>
        <w:rPr/>
      </w:pPr>
      <w:r>
        <w:rPr>
          <w:rFonts w:ascii="IRNazanin" w:hAnsi="IRNazanin" w:eastAsia="IRNazanin"/>
          <w:color w:val="111111"/>
          <w:sz w:val="28"/>
          <w:sz w:val="28"/>
          <w:szCs w:val="28"/>
          <w:rtl w:val="true"/>
          <w:lang w:bidi="fa-IR"/>
        </w:rPr>
        <w:t xml:space="preserve">المسجد </w:t>
      </w:r>
      <w:r>
        <w:rPr>
          <w:rStyle w:val="FootnoteAnchor"/>
          <w:rtl w:val="true"/>
        </w:rPr>
        <w:footnoteReference w:id="511"/>
      </w:r>
      <w:r>
        <w:rPr>
          <w:rFonts w:ascii="Amiri" w:hAnsi="Amiri" w:eastAsia="Amiri" w:cs="Amiri"/>
          <w:color w:val="111111"/>
          <w:sz w:val="28"/>
          <w:sz w:val="28"/>
          <w:szCs w:val="28"/>
          <w:rtl w:val="true"/>
          <w:lang w:bidi="ar-SA"/>
        </w:rPr>
        <w:t xml:space="preserve">خلافاً لبعض العامّة </w:t>
      </w:r>
      <w:r>
        <w:rPr>
          <w:rStyle w:val="FootnoteAnchor"/>
          <w:rtl w:val="true"/>
        </w:rPr>
        <w:footnoteReference w:id="512"/>
      </w:r>
      <w:r>
        <w:rPr>
          <w:rFonts w:ascii="IRNazanin" w:hAnsi="IRNazanin" w:eastAsia="IRNazanin"/>
          <w:color w:val="111111"/>
          <w:sz w:val="28"/>
          <w:sz w:val="28"/>
          <w:szCs w:val="28"/>
          <w:rtl w:val="true"/>
          <w:lang w:bidi="fa-IR"/>
        </w:rPr>
        <w:t>قیاساً علی عود الکفن إلی الورثة عند الیأس من المیّت، بجامع استغناء المسجد عن المصلّین کاستغناء المیّت عن الکفن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واضح؛ لأنّ الکفن ملک للوارث وإن وجب بذله فی التکفین، بخلاف المسجد، لخروجه بالوقف علی وجه فکّ الملک کالتحریر، ولإمکان الحاجة إلیه بعمارة القریة، وصلاة المارّ </w:t>
      </w:r>
      <w:r>
        <w:rPr>
          <w:rStyle w:val="FootnoteAnchor"/>
          <w:rtl w:val="true"/>
        </w:rPr>
        <w:footnoteReference w:id="513"/>
      </w:r>
      <w:r>
        <w:rPr>
          <w:rFonts w:ascii="IRNazanin" w:hAnsi="IRNazanin" w:eastAsia="IRNazanin"/>
          <w:color w:val="111111"/>
          <w:sz w:val="28"/>
          <w:sz w:val="28"/>
          <w:szCs w:val="28"/>
          <w:rtl w:val="true"/>
          <w:lang w:bidi="fa-IR"/>
        </w:rPr>
        <w:t>بخلاف 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وقف علی الفقراء أو </w:t>
      </w:r>
      <w:r>
        <w:rPr>
          <w:rStyle w:val="FootnoteAnchor"/>
          <w:rtl w:val="true"/>
        </w:rPr>
        <w:footnoteReference w:id="514"/>
      </w:r>
      <w:r>
        <w:rPr>
          <w:rFonts w:ascii="IRNazanin" w:hAnsi="IRNazanin" w:eastAsia="IRNazanin"/>
          <w:color w:val="111111"/>
          <w:sz w:val="28"/>
          <w:sz w:val="28"/>
          <w:szCs w:val="28"/>
          <w:rtl w:val="true"/>
          <w:lang w:bidi="fa-IR"/>
        </w:rPr>
        <w:t xml:space="preserve">العلویّة انصرف إلی من فی بلد الواقف منهم ومن حضره </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جواز الاقتصار علیهم من غیر أن یتتبّع غیرهم ممّن یشمله الوصف، فلو تتبّع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یجب انتظار من غاب منهم عند القسمة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یجب استیعاب من حضر؟ ظاهر العبارة ذلک، بناءً علی أنّ الموقوف علیه یستحقّ علی جهة الاشتراک لا علی وجه بیان المصرف، بخلاف الزکاة، وفی الروایة </w:t>
      </w:r>
      <w:r>
        <w:rPr>
          <w:rStyle w:val="FootnoteAnchor"/>
          <w:rtl w:val="true"/>
        </w:rPr>
        <w:footnoteReference w:id="516"/>
      </w:r>
      <w:r>
        <w:rPr>
          <w:rFonts w:ascii="IRNazanin" w:hAnsi="IRNazanin" w:eastAsia="IRNazanin"/>
          <w:color w:val="111111"/>
          <w:sz w:val="28"/>
          <w:sz w:val="28"/>
          <w:szCs w:val="28"/>
          <w:rtl w:val="true"/>
          <w:lang w:bidi="fa-IR"/>
        </w:rPr>
        <w:t>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جواز الاقتصار علی بعضهم، نظراً إلی کون الجهة المعیّنة مصرفاً، وعلی القولین </w:t>
      </w:r>
      <w:r>
        <w:rPr>
          <w:rStyle w:val="FootnoteAnchor"/>
          <w:rtl w:val="true"/>
        </w:rPr>
        <w:footnoteReference w:id="517"/>
      </w:r>
      <w:r>
        <w:rPr>
          <w:rFonts w:ascii="IRNazanin" w:hAnsi="IRNazanin" w:eastAsia="IRNazanin"/>
          <w:color w:val="111111"/>
          <w:sz w:val="28"/>
          <w:sz w:val="28"/>
          <w:szCs w:val="28"/>
          <w:rtl w:val="true"/>
          <w:lang w:bidi="fa-IR"/>
        </w:rPr>
        <w:t>لا یجوز الاقتصار علی أقلّ من ثلاثة، مراعاةً</w:t>
      </w:r>
      <w:bookmarkStart w:id="195" w:name="pg19812_249336"/>
    </w:p>
    <w:p>
      <w:pPr>
        <w:pStyle w:val="BookText"/>
        <w:rPr/>
      </w:pPr>
      <w:bookmarkEnd w:id="195"/>
      <w:r>
        <w:rPr>
          <w:rFonts w:ascii="IRNazanin" w:hAnsi="IRNazanin" w:eastAsia="IRNazanin"/>
          <w:color w:val="111111"/>
          <w:sz w:val="28"/>
          <w:sz w:val="28"/>
          <w:szCs w:val="28"/>
          <w:rtl w:val="true"/>
          <w:lang w:bidi="fa-IR"/>
        </w:rPr>
        <w:t>لصیغة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تجب التسویة بینهم، خصوصاً مع اختلافهم فی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الوقف علی المنحصرین فیجب التسویة بینهم والاستیعاب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الموجود فی نسخ الکتاب بلد الواقف، والّذی دلت علیه الروایة </w:t>
      </w:r>
      <w:r>
        <w:rPr>
          <w:rStyle w:val="FootnoteAnchor"/>
          <w:rtl w:val="true"/>
        </w:rPr>
        <w:footnoteReference w:id="518"/>
      </w:r>
      <w:r>
        <w:rPr>
          <w:rFonts w:ascii="IRNazanin" w:hAnsi="IRNazanin" w:eastAsia="IRNazanin"/>
          <w:color w:val="111111"/>
          <w:sz w:val="28"/>
          <w:sz w:val="28"/>
          <w:szCs w:val="28"/>
          <w:rtl w:val="true"/>
          <w:lang w:bidi="fa-IR"/>
        </w:rPr>
        <w:t xml:space="preserve">وذکره الأصحاب </w:t>
      </w:r>
      <w:r>
        <w:rPr>
          <w:rStyle w:val="FootnoteAnchor"/>
          <w:rtl w:val="true"/>
        </w:rPr>
        <w:footnoteReference w:id="519"/>
      </w:r>
      <w:r>
        <w:rPr>
          <w:rFonts w:ascii="IRNazanin" w:hAnsi="IRNazanin" w:eastAsia="IRNazanin"/>
          <w:color w:val="111111"/>
          <w:sz w:val="28"/>
          <w:sz w:val="28"/>
          <w:szCs w:val="28"/>
          <w:rtl w:val="true"/>
          <w:lang w:bidi="fa-IR"/>
        </w:rPr>
        <w:t xml:space="preserve">ومنهم المصنّف فی الدروس </w:t>
      </w:r>
      <w:r>
        <w:rPr>
          <w:rStyle w:val="FootnoteAnchor"/>
          <w:rtl w:val="true"/>
        </w:rPr>
        <w:footnoteReference w:id="520"/>
      </w:r>
      <w:r>
        <w:rPr>
          <w:rFonts w:ascii="IRNazanin" w:hAnsi="IRNazanin" w:eastAsia="IRNazanin"/>
          <w:color w:val="111111"/>
          <w:sz w:val="28"/>
          <w:sz w:val="28"/>
          <w:szCs w:val="28"/>
          <w:rtl w:val="true"/>
          <w:lang w:bidi="fa-IR"/>
        </w:rPr>
        <w:t>اعتبار بلد الوقف، لا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Heading4"/>
        <w:numPr>
          <w:ilvl w:val="3"/>
          <w:numId w:val="1"/>
        </w:numPr>
        <w:rPr/>
      </w:pPr>
      <w:bookmarkStart w:id="196" w:name="__RefHeading___Toc2092896_2314609296"/>
      <w:bookmarkStart w:id="197" w:name="_Toc71"/>
      <w:bookmarkEnd w:id="196"/>
      <w:r>
        <w:rPr>
          <w:rtl w:val="true"/>
        </w:rPr>
        <w:t>[</w:t>
      </w:r>
      <w:r>
        <w:rPr>
          <w:rtl w:val="true"/>
        </w:rPr>
        <w:t>الخامسة</w:t>
      </w:r>
      <w:r>
        <w:rPr>
          <w:rtl w:val="true"/>
        </w:rPr>
        <w:t xml:space="preserve">- </w:t>
      </w:r>
      <w:r>
        <w:rPr>
          <w:rtl w:val="true"/>
        </w:rPr>
        <w:t>ایجار البطن الاول الوقف و انقراضهم</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آجر البطن الأوّل الوقف ثم انقرضوا تبیّن بطلان الإجارة فی المدّة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لانتقال الحقّ إلی غیرهم، وحقّهم وإن کان ثابتاً عند الإجارة إلّاأ نّه مقیّد بحیاتهم، لا مطلقاً، فکانت الصحّة فی جمیع المدّة مراعاةً باستحقاقهم لها، حتی لو آجروها مدّة یُقطع فیها بعدم بقائهم إلیها عادة فالزائد باطل من الابتداء، ولا یباح لهم أخذ قسطه من الاُجرة، وإنّما اُبیح فی الممکن استصحاباً للاستحقاق بحسب الإمکان، ولأصالة البقاء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تبطل فی بعض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فیرجع المستأجر علی ورثة الآجر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بقسط المدّة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قبض الاُجرة وخلّف 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یخلّف مالاً لم یجب علی الوارث الوفاء من ماله کغیرها من الدیون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قد آجرها لمصلحته أو لم یکن ناظراً، فلو کان ناظراً وآجرها لمصلحة البطون لم تبطل الإجارة، وکذا لو کان المؤجر هو الناظر فی الوقف مع کونه غیر مستحقّ</w:t>
      </w:r>
      <w:r>
        <w:rPr>
          <w:rFonts w:eastAsia="IRNazanin" w:cs="IRNazanin"/>
          <w:color w:val="111111"/>
          <w:sz w:val="28"/>
          <w:szCs w:val="28"/>
          <w:rtl w:val="true"/>
          <w:lang w:bidi="fa-IR"/>
        </w:rPr>
        <w:t>.</w:t>
      </w:r>
      <w:bookmarkStart w:id="198" w:name="pg19812_249338"/>
    </w:p>
    <w:p>
      <w:pPr>
        <w:pStyle w:val="Heading2"/>
        <w:numPr>
          <w:ilvl w:val="1"/>
          <w:numId w:val="1"/>
        </w:numPr>
        <w:rPr/>
      </w:pPr>
      <w:bookmarkStart w:id="199" w:name="__RefHeading___Toc2092898_2314609296"/>
      <w:bookmarkStart w:id="200" w:name="_Toc72"/>
      <w:bookmarkEnd w:id="198"/>
      <w:bookmarkEnd w:id="199"/>
      <w:r>
        <w:rPr>
          <w:rtl w:val="true"/>
        </w:rPr>
        <w:t>کتاب العطیّة</w:t>
      </w:r>
      <w:bookmarkEnd w:id="20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2092900_2314609296"/>
      <w:bookmarkStart w:id="202" w:name="_Toc73"/>
      <w:bookmarkEnd w:id="201"/>
      <w:r>
        <w:rPr>
          <w:rtl w:val="true"/>
        </w:rPr>
        <w:t>اشارة</w:t>
      </w:r>
      <w:bookmarkStart w:id="203" w:name="pg19812_249340"/>
      <w:bookmarkEnd w:id="202"/>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العطیّة باعتبار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w:t>
      </w:r>
    </w:p>
    <w:p>
      <w:pPr>
        <w:pStyle w:val="Heading3"/>
        <w:numPr>
          <w:ilvl w:val="2"/>
          <w:numId w:val="1"/>
        </w:numPr>
        <w:rPr/>
      </w:pPr>
      <w:bookmarkStart w:id="204" w:name="__RefHeading___Toc2092902_2314609296"/>
      <w:bookmarkStart w:id="205" w:name="_Toc74"/>
      <w:bookmarkEnd w:id="204"/>
      <w:r>
        <w:rPr>
          <w:rtl w:val="true"/>
        </w:rPr>
        <w:t>«</w:t>
      </w:r>
      <w:r>
        <w:rPr>
          <w:rtl w:val="true"/>
        </w:rPr>
        <w:t>الأوّل</w:t>
      </w:r>
      <w:r>
        <w:rPr>
          <w:rtl w:val="true"/>
        </w:rPr>
        <w:t xml:space="preserve">: </w:t>
      </w:r>
      <w:r>
        <w:rPr>
          <w:rtl w:val="true"/>
        </w:rPr>
        <w:t>الصدقة</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عقد یفتقر إلی إیجاب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العقد علی نفس العطیّة لا یخلو من تساهل، بل فی إطلاقه علی جمیع المفهومات المشهورة من البیع والإجارة وغیرهما، وإنّما هو دالّ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فی إیجاب الصدقة وقبولها ما یعتبر فی غیرها من العقود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وقبضٍ بإذن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إذن </w:t>
      </w:r>
      <w:r>
        <w:rPr>
          <w:rStyle w:val="FootnoteAnchor"/>
          <w:rtl w:val="true"/>
        </w:rPr>
        <w:footnoteReference w:id="522"/>
      </w:r>
      <w:r>
        <w:rPr>
          <w:rFonts w:ascii="IRNazanin" w:hAnsi="IRNazanin" w:eastAsia="IRNazanin"/>
          <w:color w:val="111111"/>
          <w:sz w:val="28"/>
          <w:sz w:val="28"/>
          <w:szCs w:val="28"/>
          <w:rtl w:val="true"/>
          <w:lang w:bidi="fa-IR"/>
        </w:rPr>
        <w:t xml:space="preserve">المالک، فإنّه لو وکّل فی الإیجاب لم یکن للوکیل الإقباض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شرطها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بدونها وإن حصل الإیجاب والقبول والقبض؛ للروایات الصحیحة </w:t>
      </w:r>
      <w:r>
        <w:rPr>
          <w:rStyle w:val="FootnoteAnchor"/>
          <w:rtl w:val="true"/>
        </w:rPr>
        <w:footnoteReference w:id="523"/>
      </w:r>
      <w:r>
        <w:rPr>
          <w:rFonts w:ascii="IRNazanin" w:hAnsi="IRNazanin" w:eastAsia="IRNazanin"/>
          <w:color w:val="111111"/>
          <w:sz w:val="28"/>
          <w:sz w:val="28"/>
          <w:szCs w:val="28"/>
          <w:rtl w:val="true"/>
          <w:lang w:bidi="fa-IR"/>
        </w:rPr>
        <w:t>الدالّة علیه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الرجوع فیها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لتمام الملک وحصول العوض وهو</w:t>
      </w:r>
    </w:p>
    <w:p>
      <w:pPr>
        <w:pStyle w:val="BookText"/>
        <w:rPr/>
      </w:pPr>
      <w:r>
        <w:rPr>
          <w:rFonts w:ascii="IRNazanin" w:hAnsi="IRNazanin" w:eastAsia="IRNazanin"/>
          <w:color w:val="111111"/>
          <w:sz w:val="28"/>
          <w:sz w:val="28"/>
          <w:szCs w:val="28"/>
          <w:rtl w:val="true"/>
          <w:lang w:bidi="fa-IR"/>
        </w:rPr>
        <w:t>القربة، کما لا یصحّ الرجوع فی الهبة مع التعویض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تفریعه بالفاء إشارة إلی أنّ القربة عوض، بل العوض الاُخروی أقوی من العوض الدنیوی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ومفروضها محرّم علی بنی هاشم من غیرهم إلّامع قصور خمسهم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تعالی جعل لهم الخمس عوضاً عنها وحرّمها علیهم، معلّلاً بأنّها أوساخ الناس </w:t>
      </w:r>
      <w:r>
        <w:rPr>
          <w:rStyle w:val="FootnoteAnchor"/>
          <w:rtl w:val="true"/>
        </w:rPr>
        <w:footnoteReference w:id="524"/>
      </w:r>
      <w:r>
        <w:rPr>
          <w:rFonts w:ascii="IRNazanin" w:hAnsi="IRNazanin" w:eastAsia="IRNazanin"/>
          <w:color w:val="111111"/>
          <w:sz w:val="28"/>
          <w:sz w:val="28"/>
          <w:szCs w:val="28"/>
          <w:rtl w:val="true"/>
          <w:lang w:bidi="fa-IR"/>
        </w:rPr>
        <w:t>والأقوی اختصاص التحریم بالزکاة المفروضة، دون المنذورة والکفّارة وغیرهما، والتعلیل بالأوساخ یرشد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وتجوز الصدقة علی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 کان أم غیره، وعلی المخالف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غیر المؤمن وإن کانت ندباً </w:t>
      </w:r>
      <w:r>
        <w:rPr>
          <w:rStyle w:val="FootnoteAnchor"/>
          <w:rtl w:val="true"/>
        </w:rPr>
        <w:footnoteReference w:id="525"/>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وصدقة السرّ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مندوبة، للنصّ علیه فی الکتاب </w:t>
      </w:r>
      <w:r>
        <w:rPr>
          <w:rStyle w:val="FootnoteAnchor"/>
          <w:rtl w:val="true"/>
        </w:rPr>
        <w:footnoteReference w:id="526"/>
      </w:r>
      <w:r>
        <w:rPr>
          <w:rFonts w:ascii="Amiri" w:hAnsi="Amiri" w:eastAsia="Amiri" w:cs="Amiri"/>
          <w:color w:val="111111"/>
          <w:sz w:val="28"/>
          <w:sz w:val="28"/>
          <w:szCs w:val="28"/>
          <w:rtl w:val="true"/>
          <w:lang w:bidi="ar-SA"/>
        </w:rPr>
        <w:t xml:space="preserve">والسنّة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یتّهم بالترک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فالإظهار أفضل، دفعاً لجعل عِرضه عرضةً للتهم، فإنّ ذلک أمر مطلوب شرعاً، حتی للمعصوم، کما ورد فی الأخبار </w:t>
      </w:r>
      <w:r>
        <w:rPr>
          <w:rStyle w:val="FootnoteAnchor"/>
          <w:rtl w:val="true"/>
        </w:rPr>
        <w:footnoteReference w:id="528"/>
      </w:r>
      <w:r>
        <w:rPr>
          <w:rFonts w:ascii="IRNazanin" w:hAnsi="IRNazanin" w:eastAsia="IRNazanin"/>
          <w:color w:val="111111"/>
          <w:sz w:val="28"/>
          <w:sz w:val="28"/>
          <w:szCs w:val="28"/>
          <w:rtl w:val="true"/>
          <w:lang w:bidi="fa-IR"/>
        </w:rPr>
        <w:t xml:space="preserve">وکذا الأفضل إظهارها لو قصد به متابعة الناس له فیها؛ لما فیه من التحریض </w:t>
      </w:r>
      <w:r>
        <w:rPr>
          <w:rStyle w:val="FootnoteAnchor"/>
          <w:rtl w:val="true"/>
        </w:rPr>
        <w:footnoteReference w:id="529"/>
      </w:r>
      <w:r>
        <w:rPr>
          <w:rFonts w:ascii="IRNazanin" w:hAnsi="IRNazanin" w:eastAsia="IRNazanin"/>
          <w:color w:val="111111"/>
          <w:sz w:val="28"/>
          <w:sz w:val="28"/>
          <w:szCs w:val="28"/>
          <w:rtl w:val="true"/>
          <w:lang w:bidi="fa-IR"/>
        </w:rPr>
        <w:t>علی نفع الفقراء</w:t>
      </w:r>
      <w:r>
        <w:rPr>
          <w:rFonts w:eastAsia="IRNazanin" w:cs="IRNazanin"/>
          <w:color w:val="111111"/>
          <w:sz w:val="28"/>
          <w:szCs w:val="28"/>
          <w:rtl w:val="true"/>
          <w:lang w:bidi="fa-IR"/>
        </w:rPr>
        <w:t>.</w:t>
      </w:r>
      <w:bookmarkStart w:id="206" w:name="pg19812_249342"/>
    </w:p>
    <w:p>
      <w:pPr>
        <w:pStyle w:val="Heading3"/>
        <w:numPr>
          <w:ilvl w:val="2"/>
          <w:numId w:val="1"/>
        </w:numPr>
        <w:rPr/>
      </w:pPr>
      <w:bookmarkStart w:id="207" w:name="__RefHeading___Toc2092904_2314609296"/>
      <w:bookmarkStart w:id="208" w:name="_Toc75"/>
      <w:bookmarkEnd w:id="206"/>
      <w:bookmarkEnd w:id="207"/>
      <w:r>
        <w:rPr>
          <w:rtl w:val="true"/>
        </w:rPr>
        <w:t>«</w:t>
      </w:r>
      <w:r>
        <w:rPr>
          <w:rtl w:val="true"/>
        </w:rPr>
        <w:t>الثانی</w:t>
      </w:r>
      <w:r>
        <w:rPr>
          <w:rtl w:val="true"/>
        </w:rPr>
        <w:t xml:space="preserve">: </w:t>
      </w:r>
      <w:r>
        <w:rPr>
          <w:rtl w:val="true"/>
        </w:rPr>
        <w:t>الهبة</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 نحلة وعطیّة، وتفتقر إلی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کلّ لفظ دلّ علی تملیک العین من غیر عوض، کوهبتک وملّکتک وأعطیتک ونحلتک وأهدیت إلیک وهذا لک مع نیّتها،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اللفظ الدالّ علی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والقبض بإذن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مقبوضاً بیده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وهبه ما بیده لم یفتقر إلی قبض جدید، ولا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مضیّ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فیه قبضه، لحصول القبض المشترط </w:t>
      </w:r>
      <w:r>
        <w:rPr>
          <w:rStyle w:val="FootnoteAnchor"/>
          <w:rtl w:val="true"/>
        </w:rPr>
        <w:footnoteReference w:id="530"/>
      </w:r>
      <w:r>
        <w:rPr>
          <w:rFonts w:ascii="IRNazanin" w:hAnsi="IRNazanin" w:eastAsia="IRNazanin"/>
          <w:color w:val="111111"/>
          <w:sz w:val="28"/>
          <w:sz w:val="28"/>
          <w:szCs w:val="28"/>
          <w:rtl w:val="true"/>
          <w:lang w:bidi="fa-IR"/>
        </w:rPr>
        <w:t>فأغنی عن قبض آخر وعن مضیّ زمان یسعه؛ إذ لا مدخل للزمان فی ذلک مع کونه مقبوضاً، وإنّما کان معتبراً مع عدم القبض؛ لضرورة امتناع حصوله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العبارة یقتضی عدم الفرق بین کونه بیده بإیداع أو عاریة أو غصب أو غیر ذلک، والوجه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بالفرق بین القبض بإذن وغیره </w:t>
      </w:r>
      <w:r>
        <w:rPr>
          <w:rStyle w:val="FootnoteAnchor"/>
          <w:rtl w:val="true"/>
        </w:rPr>
        <w:footnoteReference w:id="531"/>
      </w:r>
      <w:r>
        <w:rPr>
          <w:rFonts w:ascii="IRNazanin" w:hAnsi="IRNazanin" w:eastAsia="IRNazanin"/>
          <w:color w:val="111111"/>
          <w:sz w:val="28"/>
          <w:sz w:val="28"/>
          <w:szCs w:val="28"/>
          <w:rtl w:val="true"/>
          <w:lang w:bidi="fa-IR"/>
        </w:rPr>
        <w:t xml:space="preserve">وهو حسن؛ إذ لا یَدَ للغاصب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إذا وهب الولیّ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ید الولیّ کفی 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تجدید القبض، لحصوله بیده وهی بمنزلة یده، ولا مضیّ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قصد القبض عن الطفل </w:t>
      </w:r>
      <w:r>
        <w:rPr>
          <w:rStyle w:val="FootnoteAnchor"/>
          <w:rtl w:val="true"/>
        </w:rPr>
        <w:footnoteReference w:id="532"/>
      </w:r>
      <w:r>
        <w:rPr>
          <w:rFonts w:ascii="IRNazanin" w:hAnsi="IRNazanin" w:eastAsia="IRNazanin"/>
          <w:color w:val="111111"/>
          <w:sz w:val="28"/>
          <w:sz w:val="28"/>
          <w:szCs w:val="28"/>
          <w:rtl w:val="true"/>
          <w:lang w:bidi="fa-IR"/>
        </w:rPr>
        <w:t>لأنّ المال مقبوض بید الولیّ له فلا ینصرف إلی الطفل إلّابصارف وهو القصد، وکلام الأصحاب مطلق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فی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إسقاط ما فی ذمّة الغیر من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إسقاط حقّ، لا نقل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لاشتماله علی المنّة ولا یجبر علی قبولها کهبة العین </w:t>
      </w:r>
      <w:r>
        <w:rPr>
          <w:rStyle w:val="FootnoteAnchor"/>
          <w:rtl w:val="true"/>
        </w:rPr>
        <w:footnoteReference w:id="533"/>
      </w:r>
      <w:r>
        <w:rPr>
          <w:rFonts w:ascii="IRNazanin" w:hAnsi="IRNazanin" w:eastAsia="IRNazanin"/>
          <w:color w:val="111111"/>
          <w:sz w:val="28"/>
          <w:sz w:val="28"/>
          <w:szCs w:val="28"/>
          <w:rtl w:val="true"/>
          <w:lang w:bidi="fa-IR"/>
        </w:rPr>
        <w:t>والفرق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الهبة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لکن لا یثاب علیها بدونها، ومعها تصیر عوضاً کالصدقة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تفضیل بعض الولد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اختلفوا فی الذکورة والاُنوثة؛ لما فیه من کسر قلب المفضّل علیه وتعریضهم للعداوة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النبیّ صلی الله علیه و آله قال لمن أعطی بعض أولاده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ولدک أعطیت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واعدلوا بین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فی تلک العطیّة </w:t>
      </w:r>
      <w:r>
        <w:rPr>
          <w:rStyle w:val="FootnoteAnchor"/>
          <w:rtl w:val="true"/>
        </w:rPr>
        <w:footnoteReference w:id="534"/>
      </w:r>
      <w:r>
        <w:rPr>
          <w:rFonts w:ascii="IRNazanin" w:hAnsi="IRNazanin" w:eastAsia="IRNazanin"/>
          <w:color w:val="111111"/>
          <w:sz w:val="28"/>
          <w:sz w:val="28"/>
          <w:szCs w:val="28"/>
          <w:rtl w:val="true"/>
          <w:lang w:bidi="fa-IR"/>
        </w:rPr>
        <w:t xml:space="preserve">وفی روایة اُخری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تُشهدنی علی جور</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وحیث یفعل یستحبّ الفسخ مع إمکانه؛ للخبر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بعض الأصحاب إلی التحریم </w:t>
      </w:r>
      <w:r>
        <w:rPr>
          <w:rStyle w:val="FootnoteAnchor"/>
          <w:rtl w:val="true"/>
        </w:rPr>
        <w:footnoteReference w:id="538"/>
      </w:r>
      <w:r>
        <w:rPr>
          <w:rFonts w:ascii="IRNazanin" w:hAnsi="IRNazanin" w:eastAsia="IRNazanin"/>
          <w:color w:val="111111"/>
          <w:sz w:val="28"/>
          <w:sz w:val="28"/>
          <w:szCs w:val="28"/>
          <w:rtl w:val="true"/>
          <w:lang w:bidi="fa-IR"/>
        </w:rPr>
        <w:t xml:space="preserve">وفی المختلف خصّ الکراهة بالمرض أو </w:t>
      </w:r>
      <w:r>
        <w:rPr>
          <w:rStyle w:val="FootnoteAnchor"/>
          <w:rtl w:val="true"/>
        </w:rPr>
        <w:footnoteReference w:id="539"/>
      </w:r>
      <w:r>
        <w:rPr>
          <w:rFonts w:ascii="IRNazanin" w:hAnsi="IRNazanin" w:eastAsia="IRNazanin"/>
          <w:color w:val="111111"/>
          <w:sz w:val="28"/>
          <w:sz w:val="28"/>
          <w:szCs w:val="28"/>
          <w:rtl w:val="true"/>
          <w:lang w:bidi="fa-IR"/>
        </w:rPr>
        <w:t xml:space="preserve">الإعسار </w:t>
      </w:r>
      <w:r>
        <w:rPr>
          <w:rStyle w:val="FootnoteAnchor"/>
          <w:rtl w:val="true"/>
        </w:rPr>
        <w:footnoteReference w:id="540"/>
      </w:r>
      <w:r>
        <w:rPr>
          <w:rFonts w:ascii="Amiri" w:hAnsi="Amiri" w:eastAsia="Amiri" w:cs="Amiri"/>
          <w:color w:val="111111"/>
          <w:sz w:val="28"/>
          <w:sz w:val="28"/>
          <w:szCs w:val="28"/>
          <w:rtl w:val="true"/>
          <w:lang w:bidi="ar-SA"/>
        </w:rPr>
        <w:t xml:space="preserve">لدلالة بعض الأخبار </w:t>
      </w:r>
      <w:r>
        <w:rPr>
          <w:rStyle w:val="FootnoteAnchor"/>
          <w:rtl w:val="true"/>
        </w:rPr>
        <w:footnoteReference w:id="541"/>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الکراهة مطلقاً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واستثنی من ذلک ما لو اشتمل المفضّل علی معنی یقتضیه، کحاجة زائدة</w:t>
      </w:r>
    </w:p>
    <w:p>
      <w:pPr>
        <w:pStyle w:val="BookText"/>
        <w:rPr/>
      </w:pPr>
      <w:r>
        <w:rPr>
          <w:rFonts w:ascii="IRNazanin" w:hAnsi="IRNazanin" w:eastAsia="IRNazanin"/>
          <w:color w:val="111111"/>
          <w:sz w:val="28"/>
          <w:sz w:val="28"/>
          <w:szCs w:val="28"/>
          <w:rtl w:val="true"/>
          <w:lang w:bidi="fa-IR"/>
        </w:rPr>
        <w:t>وزمانة واشتغال بعلم، أو نقص المفضّل علیه بسفه أو فسق أو بدعة،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الرجوع فی الهبة بعد الإقباض ما لم یتصرّف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الموهوب تصرّفاً متلفاً للعین، أو ناقلاً للملک، أو مانعاً من الردّ کالاستیلاد، أو مغیّراً للعین کقصارة الثوب ونجارة الخشب وطحن الحنطة، علی الأقوی من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التصرّف </w:t>
      </w:r>
      <w:r>
        <w:rPr>
          <w:rStyle w:val="FootnoteAnchor"/>
          <w:rtl w:val="true"/>
        </w:rPr>
        <w:footnoteReference w:id="542"/>
      </w:r>
      <w:r>
        <w:rPr>
          <w:rFonts w:ascii="IRNazanin" w:hAnsi="IRNazanin" w:eastAsia="IRNazanin"/>
          <w:color w:val="111111"/>
          <w:sz w:val="28"/>
          <w:sz w:val="28"/>
          <w:szCs w:val="28"/>
          <w:rtl w:val="true"/>
          <w:lang w:bidi="fa-IR"/>
        </w:rPr>
        <w:t>وهو ظاهر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تنزیل موت المتّهب منزلة التصرّف قولان </w:t>
      </w:r>
      <w:r>
        <w:rPr>
          <w:rStyle w:val="FootnoteAnchor"/>
          <w:rtl w:val="true"/>
        </w:rPr>
        <w:footnoteReference w:id="543"/>
      </w:r>
      <w:r>
        <w:rPr>
          <w:rFonts w:ascii="IRNazanin" w:hAnsi="IRNazanin" w:eastAsia="IRNazanin"/>
          <w:color w:val="111111"/>
          <w:sz w:val="28"/>
          <w:sz w:val="28"/>
          <w:szCs w:val="28"/>
          <w:rtl w:val="true"/>
          <w:lang w:bidi="fa-IR"/>
        </w:rPr>
        <w:t xml:space="preserve">من عدم وقوعه منه فتتناوله الأدلّة المجوِّزة للرجوع، ومن انتقال الملک عنه بالموت بفعله تعالی وهو أقوی من نقله بفعله وهو أقوی وخیرة المصنّف فی الدروس والشرح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بما یتّفقان علیه أو بمثلها أو قیمتها مع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یکن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قریباً وإن لم یحرم نکاحه، أو یکن زوجاً أو زوجةً علی الأقوی؛ لصحیحة زرارة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عابت لم یرجع بالأرش علی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بفعله؛ لأنّها غیر مضمونة علیه وقد سلّطه علی إتلافها مجّاناً، فأبعاضها 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زادت زیادة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کالسِمَن وإن کان بعلف المتّهب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جوّزنا الرجوع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کالولد واللبن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نماء حدث فی ملکه</w:t>
      </w:r>
    </w:p>
    <w:p>
      <w:pPr>
        <w:pStyle w:val="BookText"/>
        <w:rPr/>
      </w:pPr>
      <w:r>
        <w:rPr>
          <w:rFonts w:ascii="IRNazanin" w:hAnsi="IRNazanin" w:eastAsia="IRNazanin"/>
          <w:color w:val="111111"/>
          <w:sz w:val="28"/>
          <w:sz w:val="28"/>
          <w:szCs w:val="28"/>
          <w:rtl w:val="true"/>
          <w:lang w:bidi="fa-IR"/>
        </w:rPr>
        <w:t xml:space="preserve">فیختصّ به سواء کان الرجوع قبل انفصالها بالولادة والحلب </w:t>
      </w:r>
      <w:r>
        <w:rPr>
          <w:rStyle w:val="FootnoteAnchor"/>
          <w:rtl w:val="true"/>
        </w:rPr>
        <w:footnoteReference w:id="546"/>
      </w:r>
      <w:r>
        <w:rPr>
          <w:rFonts w:ascii="IRNazanin" w:hAnsi="IRNazanin" w:eastAsia="IRNazanin"/>
          <w:color w:val="111111"/>
          <w:sz w:val="28"/>
          <w:sz w:val="28"/>
          <w:szCs w:val="28"/>
          <w:rtl w:val="true"/>
          <w:lang w:bidi="fa-IR"/>
        </w:rPr>
        <w:t>أم بعده؛ لأنّه منفصل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تجدّدت الزیادة بعد ملک المتّهب بالقبض، فلو کان قبله فهی للواهب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وهب أو وقف أو تصدّق فی مرض موته فهی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أجود القولین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یجیز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فعل ذلک فی حال الصحّة وتأخّر القبض إلی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 فی الهبة عوضاً یساوی الموهوب نفذت من الأصل؛ لأنّها معاوضة بالمثل کالبیع بثمن المثل</w:t>
      </w:r>
      <w:r>
        <w:rPr>
          <w:rFonts w:eastAsia="IRNazanin" w:cs="IRNazanin"/>
          <w:color w:val="111111"/>
          <w:sz w:val="28"/>
          <w:szCs w:val="28"/>
          <w:rtl w:val="true"/>
          <w:lang w:bidi="fa-IR"/>
        </w:rPr>
        <w:t>.</w:t>
      </w:r>
      <w:bookmarkStart w:id="209" w:name="pg19812_249346"/>
    </w:p>
    <w:p>
      <w:pPr>
        <w:pStyle w:val="Heading3"/>
        <w:numPr>
          <w:ilvl w:val="2"/>
          <w:numId w:val="1"/>
        </w:numPr>
        <w:rPr/>
      </w:pPr>
      <w:bookmarkStart w:id="210" w:name="__RefHeading___Toc2092906_2314609296"/>
      <w:bookmarkStart w:id="211" w:name="_Toc76"/>
      <w:bookmarkEnd w:id="209"/>
      <w:bookmarkEnd w:id="210"/>
      <w:r>
        <w:rPr>
          <w:rtl w:val="true"/>
        </w:rPr>
        <w:t>«</w:t>
      </w:r>
      <w:r>
        <w:rPr>
          <w:rtl w:val="true"/>
        </w:rPr>
        <w:t>الثالث</w:t>
      </w:r>
      <w:r>
        <w:rPr>
          <w:rtl w:val="true"/>
        </w:rPr>
        <w:t xml:space="preserve">: </w:t>
      </w:r>
      <w:r>
        <w:rPr>
          <w:rtl w:val="true"/>
        </w:rPr>
        <w:t>السکنی</w:t>
      </w:r>
      <w:r>
        <w:rPr>
          <w:rtl w:val="true"/>
        </w:rPr>
        <w:t xml:space="preserve">» </w:t>
      </w:r>
      <w:r>
        <w:rPr>
          <w:rtl w:val="true"/>
        </w:rPr>
        <w:t>وتوابعها</w:t>
      </w:r>
      <w:bookmarkEnd w:id="211"/>
    </w:p>
    <w:p>
      <w:pPr>
        <w:pStyle w:val="BookText"/>
        <w:rPr/>
      </w:pPr>
      <w:r>
        <w:rPr>
          <w:rFonts w:ascii="IRNazanin" w:hAnsi="IRNazanin" w:eastAsia="IRNazanin"/>
          <w:color w:val="111111"/>
          <w:sz w:val="28"/>
          <w:sz w:val="28"/>
          <w:szCs w:val="28"/>
          <w:rtl w:val="true"/>
          <w:lang w:bidi="fa-IR"/>
        </w:rPr>
        <w:t xml:space="preserve">وکان الأولی عقد الباب للعُمری؛ لأنّها أعمّ موضوعاً کما فعل فی الدروس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فیها من إیجاب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کغیرها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لزومها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کانت جائزة کالمطلقة </w:t>
      </w:r>
      <w:r>
        <w:rPr>
          <w:rStyle w:val="FootnoteAnchor"/>
          <w:rtl w:val="true"/>
        </w:rPr>
        <w:footnoteReference w:id="549"/>
      </w:r>
      <w:r>
        <w:rPr>
          <w:rFonts w:ascii="IRNazanin" w:hAnsi="IRNazanin" w:eastAsia="IRNazanin"/>
          <w:color w:val="111111"/>
          <w:sz w:val="28"/>
          <w:sz w:val="28"/>
          <w:szCs w:val="28"/>
          <w:rtl w:val="true"/>
          <w:lang w:bidi="fa-IR"/>
        </w:rPr>
        <w:t>کان الإقباض شرطاً فی جواز التسلّط علی 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الفائدة بدونه منتفیة أطلق اشتراطه فیها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ویفهم من إطلاقه عدم اشتراط التقرّب، وبه صرّح فی الدروس </w:t>
      </w:r>
      <w:r>
        <w:rPr>
          <w:rStyle w:val="FootnoteAnchor"/>
          <w:rtl w:val="true"/>
        </w:rPr>
        <w:footnoteReference w:id="551"/>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Style w:val="FootnoteAnchor"/>
          <w:rtl w:val="true"/>
        </w:rPr>
        <w:footnoteReference w:id="552"/>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حصول الثواب متوقّف علی 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اُقّتت بأمدٍ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المسکن أو 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المدّة وما دام العمر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تؤقّت بأمد ولا عمر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جاز </w:t>
      </w:r>
      <w:r>
        <w:rPr>
          <w:rStyle w:val="FootnoteAnchor"/>
          <w:rtl w:val="true"/>
        </w:rPr>
        <w:footnoteReference w:id="553"/>
      </w:r>
      <w:r>
        <w:rPr>
          <w:rFonts w:ascii="IRNazanin" w:hAnsi="IRNazanin" w:eastAsia="IRNazanin"/>
          <w:color w:val="111111"/>
          <w:sz w:val="28"/>
          <w:sz w:val="28"/>
          <w:szCs w:val="28"/>
          <w:rtl w:val="true"/>
          <w:lang w:bidi="fa-IR"/>
        </w:rPr>
        <w:t>الرجوع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مات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یرجع، کما هو شأن العقود الجائزة، بخلاف الأوّلین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قرنت بعمر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قرنت بالمدّة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ویفترقان عنها بوقوعهما علی ما لا یصلح</w:t>
      </w:r>
    </w:p>
    <w:p>
      <w:pPr>
        <w:pStyle w:val="BookText"/>
        <w:rPr/>
      </w:pPr>
      <w:r>
        <w:rPr>
          <w:rFonts w:ascii="IRNazanin" w:hAnsi="IRNazanin" w:eastAsia="IRNazanin"/>
          <w:color w:val="111111"/>
          <w:sz w:val="28"/>
          <w:sz w:val="28"/>
          <w:szCs w:val="28"/>
          <w:rtl w:val="true"/>
          <w:lang w:bidi="fa-IR"/>
        </w:rPr>
        <w:t>للسکنی، فیکونان أعمّ منها من هذا الوجه، وإن کانت أعمّ منهما من حیث جواز إطلاقها فی المسکون مع اقترانها بالعمر والمدّة والإطلاق، بخلافهما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صحّ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أعیان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إعماره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وإرقابه وإن لم یکن مسکناً، وبهذا ظهر عموم موضوعهما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وإطلاق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للثلاثة حیث یتعلّق بالمسکن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سکناه بنفسه ومن جرت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عادة 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بإسکانه معه، کالزوجة والولد والخادم والضیف والدابّة إن کان فی المسکن موضع معدّ لمثلها؛ وکذا وضع ما جرت العادة بوضعه فیها </w:t>
      </w:r>
      <w:r>
        <w:rPr>
          <w:rStyle w:val="FootnoteAnchor"/>
          <w:rtl w:val="true"/>
        </w:rPr>
        <w:footnoteReference w:id="555"/>
      </w:r>
      <w:r>
        <w:rPr>
          <w:rFonts w:ascii="Amiri" w:hAnsi="Amiri" w:eastAsia="Amiri" w:cs="Amiri"/>
          <w:color w:val="111111"/>
          <w:sz w:val="28"/>
          <w:sz w:val="28"/>
          <w:szCs w:val="28"/>
          <w:rtl w:val="true"/>
          <w:lang w:bidi="ar-SA"/>
        </w:rPr>
        <w:t>من الأمتعة والغلّة بحسب حالها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أن یؤجرها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أن یسکن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وغیرمن جرت عادته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إلّابإذن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یجوزان مطلقاً </w:t>
      </w:r>
      <w:r>
        <w:rPr>
          <w:rStyle w:val="FootnoteAnchor"/>
          <w:rtl w:val="true"/>
        </w:rPr>
        <w:footnoteReference w:id="556"/>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تجوز الإجارة فالاُجرة للساکن</w:t>
      </w:r>
      <w:r>
        <w:rPr>
          <w:rFonts w:eastAsia="IRNazanin" w:cs="IRNazanin"/>
          <w:color w:val="111111"/>
          <w:sz w:val="28"/>
          <w:szCs w:val="28"/>
          <w:rtl w:val="true"/>
          <w:lang w:bidi="fa-IR"/>
        </w:rPr>
        <w:t>.</w:t>
      </w:r>
      <w:bookmarkStart w:id="212" w:name="pg19812_249348"/>
    </w:p>
    <w:p>
      <w:pPr>
        <w:pStyle w:val="Heading3"/>
        <w:numPr>
          <w:ilvl w:val="2"/>
          <w:numId w:val="1"/>
        </w:numPr>
        <w:rPr/>
      </w:pPr>
      <w:bookmarkStart w:id="213" w:name="__RefHeading___Toc2092908_2314609296"/>
      <w:bookmarkStart w:id="214" w:name="_Toc77"/>
      <w:bookmarkEnd w:id="212"/>
      <w:bookmarkEnd w:id="213"/>
      <w:r>
        <w:rPr>
          <w:rtl w:val="true"/>
        </w:rPr>
        <w:t>«</w:t>
      </w:r>
      <w:r>
        <w:rPr>
          <w:rtl w:val="true"/>
        </w:rPr>
        <w:t>الرابع</w:t>
      </w:r>
      <w:r>
        <w:rPr>
          <w:rtl w:val="true"/>
        </w:rPr>
        <w:t xml:space="preserve">: </w:t>
      </w:r>
      <w:r>
        <w:rPr>
          <w:rtl w:val="true"/>
        </w:rPr>
        <w:t>التحبیس</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وحکمه حکم السکنی فی اعتبار العقد والقبض والتقیید بمدّة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ومحلّه کالوقف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حبّس عبده أو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ممّا یصلح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أو علی زید، لزم ذلک ما دامت العین باقیة؛ وکذا لو حبّس عبده أو أمته فی خدمة الکعبة أو مسجد أو مشهد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وإطلاق العبارة یقتضی عدم الفرق بین إطلاق العقد وتقییده بالدوام، ولکن مع الإطلاق فی حبسه علی زید سیأتی ما یخالفه </w:t>
      </w:r>
      <w:r>
        <w:rPr>
          <w:rStyle w:val="FootnoteAnchor"/>
          <w:rtl w:val="true"/>
        </w:rPr>
        <w:footnoteReference w:id="558"/>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الحبس علی هذه القرب غیر زید یخرج عن الملک بالعقد </w:t>
      </w:r>
      <w:r>
        <w:rPr>
          <w:rStyle w:val="FootnoteAnchor"/>
          <w:rtl w:val="true"/>
        </w:rPr>
        <w:footnoteReference w:id="559"/>
      </w:r>
      <w:r>
        <w:rPr>
          <w:rFonts w:ascii="IRNazanin" w:hAnsi="IRNazanin" w:eastAsia="IRNazanin"/>
          <w:color w:val="111111"/>
          <w:sz w:val="28"/>
          <w:sz w:val="28"/>
          <w:szCs w:val="28"/>
          <w:rtl w:val="true"/>
          <w:lang w:bidi="fa-IR"/>
        </w:rPr>
        <w:t>ولم یذکر هو ولا غیره حکم ذلک لو قرنه بمدّة ولا حکم غیر المذکورات؛ وبالجملة فکلامهم فی هذا الباب غیر منقّح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حبس علی رجل ولم یعیّن وقتاً ومات الحابس کان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 نّه غیر لازم کالسُکنی فتبطل بالموت، ویجوز الرجوع فیه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قرن فیه بمدّة لزم فیها ورجع إلی ملکه بعدها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جملة أقسام المسألة کالسکنی، إمّا أن یکون علی قربة کالمسجد أو علی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إمّا أن یطلق أو یقرنه بمدّة أو یصرّح بالدوام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والمحبّس إمّا أن یکون عبداً أو فرساً أو غیرهما من الأموال التی یمکن الانتفاع بها فی ذلک الوجه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الآدمیّ یمکن فرض سائر الأموال لیستوفی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سبیل اللّٰه یمکن فرض العبد والفرس والبعیر والبغل والحمار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خدمة المسجد ونحوه یمکن فرض العبد والأمة والدابّة إذا احتیج إلیها فی نقل الماء ونحوه، وغیره من الأملاک لیُستوفی منفعتها بالإجارة، ویصرف </w:t>
      </w:r>
      <w:r>
        <w:rPr>
          <w:rStyle w:val="FootnoteAnchor"/>
          <w:rtl w:val="true"/>
        </w:rPr>
        <w:footnoteReference w:id="560"/>
      </w:r>
      <w:r>
        <w:rPr>
          <w:rFonts w:ascii="IRNazanin" w:hAnsi="IRNazanin" w:eastAsia="IRNazanin"/>
          <w:color w:val="111111"/>
          <w:sz w:val="28"/>
          <w:sz w:val="28"/>
          <w:szCs w:val="28"/>
          <w:rtl w:val="true"/>
          <w:lang w:bidi="fa-IR"/>
        </w:rPr>
        <w:t>علی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وکلامهم فی تحقیق أحکام هذه الصور قاصر جدّاً، فینبغی تأمّله</w:t>
      </w:r>
      <w:r>
        <w:rPr>
          <w:rFonts w:eastAsia="IRNazanin" w:cs="IRNazanin"/>
          <w:color w:val="111111"/>
          <w:sz w:val="28"/>
          <w:szCs w:val="28"/>
          <w:rtl w:val="true"/>
          <w:lang w:bidi="fa-IR"/>
        </w:rPr>
        <w:t>.</w:t>
      </w:r>
      <w:bookmarkStart w:id="215" w:name="pg19812_249350"/>
    </w:p>
    <w:p>
      <w:pPr>
        <w:pStyle w:val="Heading2"/>
        <w:numPr>
          <w:ilvl w:val="1"/>
          <w:numId w:val="1"/>
        </w:numPr>
        <w:rPr/>
      </w:pPr>
      <w:bookmarkStart w:id="216" w:name="__RefHeading___Toc2092910_2314609296"/>
      <w:bookmarkStart w:id="217" w:name="_Toc78"/>
      <w:bookmarkEnd w:id="215"/>
      <w:bookmarkEnd w:id="216"/>
      <w:r>
        <w:rPr>
          <w:rtl w:val="true"/>
        </w:rPr>
        <w:t>کتاب المتاجر</w:t>
      </w:r>
      <w:bookmarkEnd w:id="2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2092912_2314609296"/>
      <w:bookmarkStart w:id="219" w:name="_Toc79"/>
      <w:bookmarkEnd w:id="218"/>
      <w:r>
        <w:rPr>
          <w:rtl w:val="true"/>
        </w:rPr>
        <w:t>اشارة</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المتاجر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مَتجر، وهو مَفعَل من التجارة، إمّا مصدر میمی بمعناها کالمقتل، وهو هنا نفس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اسم مکان لمحلّ التجارة، وهی الأعیان المکتسب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ألیق بمقصود العلم، فإنّ الفقه </w:t>
      </w:r>
      <w:r>
        <w:rPr>
          <w:rStyle w:val="FootnoteAnchor"/>
          <w:rtl w:val="true"/>
        </w:rPr>
        <w:footnoteReference w:id="561"/>
      </w:r>
      <w:r>
        <w:rPr>
          <w:rFonts w:ascii="IRNazanin" w:hAnsi="IRNazanin" w:eastAsia="IRNazanin"/>
          <w:color w:val="111111"/>
          <w:sz w:val="28"/>
          <w:sz w:val="28"/>
          <w:szCs w:val="28"/>
          <w:rtl w:val="true"/>
          <w:lang w:bidi="fa-IR"/>
        </w:rPr>
        <w:t xml:space="preserve">یبحث عن فعل المکلّف والأعیان متعلّقات فعله، وقد أشار المصنّف إلی الأمرین معاً، فإلی الثانی بتقسیمه الأوّل </w:t>
      </w:r>
      <w:r>
        <w:rPr>
          <w:rStyle w:val="FootnoteAnchor"/>
          <w:rtl w:val="true"/>
        </w:rPr>
        <w:footnoteReference w:id="562"/>
      </w:r>
      <w:r>
        <w:rPr>
          <w:rFonts w:ascii="IRNazanin" w:hAnsi="IRNazanin" w:eastAsia="IRNazanin"/>
          <w:color w:val="111111"/>
          <w:sz w:val="28"/>
          <w:sz w:val="28"/>
          <w:szCs w:val="28"/>
          <w:rtl w:val="true"/>
          <w:lang w:bidi="fa-IR"/>
        </w:rPr>
        <w:t>وإلی الأوّل بقوله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التجارة </w:t>
      </w:r>
      <w:r>
        <w:rPr>
          <w:rStyle w:val="FootnoteAnchor"/>
          <w:rtl w:val="true"/>
        </w:rPr>
        <w:footnoteReference w:id="563"/>
      </w:r>
      <w:r>
        <w:rPr>
          <w:rFonts w:ascii="IRNazanin" w:hAnsi="IRNazanin" w:eastAsia="IRNazanin"/>
          <w:color w:val="111111"/>
          <w:sz w:val="28"/>
          <w:sz w:val="28"/>
          <w:szCs w:val="28"/>
          <w:rtl w:val="true"/>
          <w:lang w:bidi="fa-IR"/>
        </w:rPr>
        <w:t xml:space="preserve">تنقسم بأقسام </w:t>
      </w:r>
      <w:r>
        <w:rPr>
          <w:rStyle w:val="FootnoteAnchor"/>
          <w:rtl w:val="true"/>
        </w:rPr>
        <w:footnoteReference w:id="564"/>
      </w:r>
      <w:r>
        <w:rPr>
          <w:rFonts w:ascii="IRNazanin" w:hAnsi="IRNazanin" w:eastAsia="IRNazanin"/>
          <w:color w:val="111111"/>
          <w:sz w:val="28"/>
          <w:sz w:val="28"/>
          <w:szCs w:val="28"/>
          <w:rtl w:val="true"/>
          <w:lang w:bidi="fa-IR"/>
        </w:rPr>
        <w:t>الأحکام الخمسة</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والمراد بها هنا التکسّب بما هو أعمّ من البیع، فعقد الباب بعد ذکر الأقسام للبیع خاصّة غیر جیّد، وکان إفرادها بکتاب ثم ذکر البیع فی کتاب کغیره ممّا یحصل به الاکتساب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صنع فی الدروس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bookmarkStart w:id="220" w:name="pg19812_249354"/>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 :</w:t>
      </w:r>
    </w:p>
    <w:p>
      <w:pPr>
        <w:pStyle w:val="Heading3"/>
        <w:numPr>
          <w:ilvl w:val="2"/>
          <w:numId w:val="1"/>
        </w:numPr>
        <w:rPr/>
      </w:pPr>
      <w:bookmarkStart w:id="221" w:name="__RefHeading___Toc2092914_2314609296"/>
      <w:bookmarkStart w:id="222" w:name="_Toc80"/>
      <w:bookmarkEnd w:id="221"/>
      <w:r>
        <w:rPr>
          <w:rtl w:val="true"/>
        </w:rPr>
        <w:t xml:space="preserve">الفصل </w:t>
      </w:r>
      <w:r>
        <w:rPr>
          <w:rtl w:val="true"/>
        </w:rPr>
        <w:t>«</w:t>
      </w:r>
      <w:r>
        <w:rPr>
          <w:rtl w:val="true"/>
        </w:rPr>
        <w:t>الأوّل</w:t>
      </w:r>
      <w:r>
        <w:rPr>
          <w:rtl w:val="true"/>
        </w:rPr>
        <w:t>» «</w:t>
      </w:r>
      <w:r>
        <w:rPr>
          <w:rtl w:val="true"/>
        </w:rPr>
        <w:t>ینقسم موضوع التجارة</w:t>
      </w:r>
      <w:r>
        <w:rPr>
          <w:rtl w:val="true"/>
        </w:rPr>
        <w:t>»</w:t>
      </w:r>
      <w:bookmarkEnd w:id="222"/>
    </w:p>
    <w:p>
      <w:pPr>
        <w:pStyle w:val="Heading4"/>
        <w:numPr>
          <w:ilvl w:val="3"/>
          <w:numId w:val="1"/>
        </w:numPr>
        <w:rPr/>
      </w:pPr>
      <w:bookmarkStart w:id="223" w:name="__RefHeading___Toc2092916_2314609296"/>
      <w:bookmarkStart w:id="224" w:name="_Toc81"/>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 xml:space="preserve">وهو ما یکتسب به ویبحث فیها عن عوارضه اللاحقة له من حیث 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محرّم ومکروه ومباح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الحصر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المکتسب به إمّا أن یتعلّق به نهی أو لا، والثانی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إمّا أن یکون النهی عنه مانعاً من النقیض أولا، والأوّل الحرام والثانی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الحکمین الآخرین،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والاستحباب؛ لأنّهما من عوارض التجارة، کما سیأتی فی أقسامها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2092918_2314609296"/>
      <w:bookmarkStart w:id="226" w:name="_Toc82"/>
      <w:bookmarkEnd w:id="225"/>
      <w:r>
        <w:rPr>
          <w:rtl w:val="true"/>
        </w:rPr>
        <w:t>[«</w:t>
      </w:r>
      <w:r>
        <w:rPr>
          <w:rtl w:val="true"/>
        </w:rPr>
        <w:t>فالمحرّم</w:t>
      </w:r>
      <w:r>
        <w:rPr>
          <w:rtl w:val="true"/>
        </w:rPr>
        <w:t>» :]</w:t>
      </w:r>
      <w:bookmarkEnd w:id="2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 کالخمر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المتّخذ من 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المتّخذ من التمر، وغیرهما من الأنبذة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کالبتع والمِزْر والجِعَة والفضیخ والنقیع </w:t>
      </w:r>
      <w:r>
        <w:rPr>
          <w:rStyle w:val="FootnoteAnchor"/>
          <w:rtl w:val="true"/>
        </w:rPr>
        <w:footnoteReference w:id="568"/>
      </w:r>
      <w:r>
        <w:rPr>
          <w:rFonts w:ascii="IRNazanin" w:hAnsi="IRNazanin" w:eastAsia="IRNazanin"/>
          <w:color w:val="111111"/>
          <w:sz w:val="28"/>
          <w:sz w:val="28"/>
          <w:szCs w:val="28"/>
          <w:rtl w:val="true"/>
          <w:lang w:bidi="fa-IR"/>
        </w:rPr>
        <w:t>وضابطها المسکر وإن لم یکن مائعاً کالحشیشة، إن لم یفرض لها نفع آخر وقصد ببیعها</w:t>
      </w:r>
    </w:p>
    <w:p>
      <w:pPr>
        <w:pStyle w:val="BookText"/>
        <w:rPr/>
      </w:pPr>
      <w:r>
        <w:rPr>
          <w:rFonts w:ascii="IRNazanin" w:hAnsi="IRNazanin" w:eastAsia="IRNazanin"/>
          <w:color w:val="111111"/>
          <w:sz w:val="28"/>
          <w:sz w:val="28"/>
          <w:szCs w:val="28"/>
          <w:rtl w:val="true"/>
          <w:lang w:bidi="fa-IR"/>
        </w:rPr>
        <w:t>المنفعة المحللّة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مسکراً؛ لأنّه خمر استصغره الناس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والمائعِ النجس غیر القابل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لکون نجاسته ذاتیّة کألیات المیتة والمبانة من الحیّ، أو عرضیّة کما لو وقع فیه نجاسة وقلنا بعدم قبوله للطهارة کما هو أصحّ القولین </w:t>
      </w:r>
      <w:r>
        <w:rPr>
          <w:rStyle w:val="FootnoteAnchor"/>
          <w:rtl w:val="true"/>
        </w:rPr>
        <w:footnoteReference w:id="570"/>
      </w:r>
      <w:r>
        <w:rPr>
          <w:rFonts w:ascii="IRNazanin" w:hAnsi="IRNazanin" w:eastAsia="IRNazanin"/>
          <w:color w:val="111111"/>
          <w:sz w:val="28"/>
          <w:sz w:val="28"/>
          <w:szCs w:val="28"/>
          <w:rtl w:val="true"/>
          <w:lang w:bidi="fa-IR"/>
        </w:rPr>
        <w:t xml:space="preserve">فی غیر الماء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أصنافه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للضوء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 الظلال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w:t>
      </w:r>
      <w:r>
        <w:rPr>
          <w:rStyle w:val="FootnoteAnchor"/>
          <w:rtl w:val="true"/>
        </w:rPr>
        <w:footnoteReference w:id="571"/>
      </w:r>
      <w:r>
        <w:rPr>
          <w:rFonts w:ascii="Amiri" w:hAnsi="Amiri" w:eastAsia="Amiri" w:cs="Amiri"/>
          <w:color w:val="111111"/>
          <w:sz w:val="28"/>
          <w:sz w:val="28"/>
          <w:szCs w:val="28"/>
          <w:rtl w:val="true"/>
          <w:lang w:bidi="ar-SA"/>
        </w:rPr>
        <w:t>مطلقة، فجوازه مطلقاً متّجه، والاختصاص بالمشهور تعبّد، لا لنجاسة دخانه، فإنّ دخان النجس عندنا طاهر؛ لاستحالته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یعلّل بتصاعد شیء من أجزائه مع الدخان قبل إحالة النار له بسبب السخونة إلی أن یلقی الظلال فتتأثّر بنجاسته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عدم صلاحیّته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للمنع؛ لأنّ تنجیس مالک العین لها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الدهن النجس بالعَرَض کالزیت تموت فیه الفأرة ونحوه، لا بالذات کألیة المیتة، فإنّ استعماله محرّم مطلقاً؛ للنهی عن استعماله کذلک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وأجزائها التی تحلّها الحیاة، دون ما لا تحلّه مع طهارة أصله</w:t>
      </w:r>
    </w:p>
    <w:p>
      <w:pPr>
        <w:pStyle w:val="BookText"/>
        <w:rPr/>
      </w:pPr>
      <w:r>
        <w:rPr>
          <w:rFonts w:ascii="IRNazanin" w:hAnsi="IRNazanin" w:eastAsia="IRNazanin"/>
          <w:color w:val="111111"/>
          <w:sz w:val="28"/>
          <w:sz w:val="28"/>
          <w:szCs w:val="28"/>
          <w:rtl w:val="true"/>
          <w:lang w:bidi="fa-IR"/>
        </w:rPr>
        <w:t>بحسب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فرض له نفعٌ حکمیّ کالصبغ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وأرواث وأبوال 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فرض لهما نفع، أمّا هما ممّا یؤکل لحمه فیجوز مطلقاً؛ لطهارتهما ونفعهما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مطلقاً إلّابول الإبل للاستشفاء به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والخنزیر والکلب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البریّان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إلّاکلب الصید والماشیة والزرع والحائط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والجرو </w:t>
      </w:r>
      <w:r>
        <w:rPr>
          <w:rStyle w:val="FootnoteAnchor"/>
          <w:rtl w:val="true"/>
        </w:rPr>
        <w:footnoteReference w:id="575"/>
      </w:r>
      <w:r>
        <w:rPr>
          <w:rFonts w:ascii="IRNazanin" w:hAnsi="IRNazanin" w:eastAsia="IRNazanin"/>
          <w:color w:val="111111"/>
          <w:sz w:val="28"/>
          <w:sz w:val="28"/>
          <w:szCs w:val="28"/>
          <w:rtl w:val="true"/>
          <w:lang w:bidi="fa-IR"/>
        </w:rPr>
        <w:t>القابل للتعلیم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خرجت الماشیة عن ملکه أو حصد الزرع أو استغلّ الحائط لم یحرم اقتناؤها رجاءً لغیرها ما لم یطل الزمان بحیث یلحق بالهِراش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وآلاتُ اللهو</w:t>
      </w:r>
      <w:r>
        <w:rPr>
          <w:rFonts w:eastAsia="IRNazanin" w:cs="IRNazanin"/>
          <w:color w:val="111111"/>
          <w:sz w:val="28"/>
          <w:szCs w:val="28"/>
          <w:rtl w:val="true"/>
          <w:lang w:bidi="fa-IR"/>
        </w:rPr>
        <w:t xml:space="preserve">»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الدفّ والمزمار والقصب وغیرها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 لعبادة الکفّار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یبتدعه النصاری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وآلات القمار کالنرد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الشین فسکون الطاء ففتح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والبُقّیریٰ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الباء الموحّدة وتشدید القاف مفتوحةً وسکون الیاء المثنّاة من تحت وفتح الراء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لعبة للصبیان وهی کومة من تراب حولها خطوط </w:t>
      </w:r>
      <w:r>
        <w:rPr>
          <w:rStyle w:val="FootnoteAnchor"/>
          <w:rtl w:val="true"/>
        </w:rPr>
        <w:footnoteReference w:id="577"/>
      </w:r>
      <w:r>
        <w:rPr>
          <w:rFonts w:ascii="Amiri" w:hAnsi="Amiri" w:eastAsia="Amiri" w:cs="Amiri"/>
          <w:color w:val="111111"/>
          <w:sz w:val="28"/>
          <w:sz w:val="28"/>
          <w:szCs w:val="28"/>
          <w:rtl w:val="true"/>
          <w:lang w:bidi="ar-SA"/>
        </w:rPr>
        <w:t>وعن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الأربعة عشر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وبیع السلاح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السیف والرمح والقوس والسهام،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کانوا أم کفّاراً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قطّاع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الحرب أو التهیّؤ له،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أرادوا الاستعانة به علی قتال الکفّار لم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بالسلاح ما یعدّ جنّة للقتال کالدرع والبیضة وإن 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وإجارة المساکن والحَمولة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الحیوان الذی یصلح للحمل کالإبل والبغال والحمیر، والسفن داخلة فیه </w:t>
      </w:r>
      <w:r>
        <w:rPr>
          <w:rStyle w:val="FootnoteAnchor"/>
          <w:rtl w:val="true"/>
        </w:rPr>
        <w:footnoteReference w:id="579"/>
      </w:r>
      <w:r>
        <w:rPr>
          <w:rFonts w:ascii="IRNazanin" w:hAnsi="IRNazanin" w:eastAsia="IRNazanin"/>
          <w:color w:val="111111"/>
          <w:sz w:val="28"/>
          <w:sz w:val="28"/>
          <w:szCs w:val="28"/>
          <w:rtl w:val="true"/>
          <w:lang w:bidi="fa-IR"/>
        </w:rPr>
        <w:t xml:space="preserve">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 ورکوب الظلمة وإسکانهم لأجله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وبیع العنب والتمر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ممّا یعمل منه المسکر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شرطه فی العقد أم حصل الاتّفاق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والخشب لیصنع </w:t>
      </w:r>
      <w:r>
        <w:rPr>
          <w:rStyle w:val="FootnoteAnchor"/>
          <w:rtl w:val="true"/>
        </w:rPr>
        <w:footnoteReference w:id="580"/>
      </w:r>
      <w:r>
        <w:rPr>
          <w:rFonts w:ascii="IRNazanin" w:hAnsi="IRNazanin" w:eastAsia="IRNazanin"/>
          <w:color w:val="111111"/>
          <w:sz w:val="28"/>
          <w:sz w:val="28"/>
          <w:szCs w:val="28"/>
          <w:rtl w:val="true"/>
          <w:lang w:bidi="fa-IR"/>
        </w:rPr>
        <w:t>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الآلات المحرّمة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بیعه لمن یعمله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یبیعه لذلک إن لم یعلم أ نّه یعمله وإلّا فالأجود التحریم، وغلبة الظنّ کالعلم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ممّن یعمله مطلقاً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 عمل الصور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بالمجسّمة عن الصور المنقوشة علی نحو الوسادة والورق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تحریمه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ذلک بحمل الصفة علی الممثّل لا المثال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مدّ الصوت المشتمل علی الترجیع المُطرب، أو ما سمّی فی العرف غناءً وإن لم یطرب، سواء کان فی شعر أم قرآن أم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واستثنی منه المصنّف </w:t>
      </w:r>
      <w:r>
        <w:rPr>
          <w:rStyle w:val="FootnoteAnchor"/>
          <w:rtl w:val="true"/>
        </w:rPr>
        <w:footnoteReference w:id="582"/>
      </w:r>
      <w:r>
        <w:rPr>
          <w:rFonts w:ascii="IRNazanin" w:hAnsi="IRNazanin" w:eastAsia="IRNazanin"/>
          <w:color w:val="111111"/>
          <w:sz w:val="28"/>
          <w:sz w:val="28"/>
          <w:szCs w:val="28"/>
          <w:rtl w:val="true"/>
          <w:lang w:bidi="fa-IR"/>
        </w:rPr>
        <w:t xml:space="preserve">وغیره </w:t>
      </w:r>
      <w:r>
        <w:rPr>
          <w:rStyle w:val="FootnoteAnchor"/>
          <w:rtl w:val="true"/>
        </w:rPr>
        <w:footnoteReference w:id="583"/>
      </w:r>
      <w:r>
        <w:rPr>
          <w:rFonts w:ascii="IRNazanin" w:hAnsi="IRNazanin" w:eastAsia="IRNazanin"/>
          <w:color w:val="111111"/>
          <w:sz w:val="28"/>
          <w:sz w:val="28"/>
          <w:szCs w:val="28"/>
          <w:rtl w:val="true"/>
          <w:lang w:bidi="fa-IR"/>
        </w:rPr>
        <w:t>الحداء للإبل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w:t>
      </w:r>
      <w:r>
        <w:rPr>
          <w:rStyle w:val="FootnoteAnchor"/>
          <w:rtl w:val="true"/>
        </w:rPr>
        <w:footnoteReference w:id="584"/>
      </w:r>
      <w:r>
        <w:rPr>
          <w:rFonts w:ascii="IRNazanin" w:hAnsi="IRNazanin" w:eastAsia="IRNazanin"/>
          <w:color w:val="111111"/>
          <w:sz w:val="28"/>
          <w:sz w:val="28"/>
          <w:szCs w:val="28"/>
          <w:rtl w:val="true"/>
          <w:lang w:bidi="fa-IR"/>
        </w:rPr>
        <w:t xml:space="preserve">ومنهم المصنّف فی الدروس </w:t>
      </w:r>
      <w:r>
        <w:rPr>
          <w:rStyle w:val="FootnoteAnchor"/>
          <w:rtl w:val="true"/>
        </w:rPr>
        <w:footnoteReference w:id="585"/>
      </w:r>
      <w:r>
        <w:rPr>
          <w:rFonts w:ascii="IRNazanin" w:hAnsi="IRNazanin" w:eastAsia="IRNazanin"/>
          <w:color w:val="111111"/>
          <w:sz w:val="28"/>
          <w:sz w:val="28"/>
          <w:szCs w:val="28"/>
          <w:rtl w:val="true"/>
          <w:lang w:bidi="fa-IR"/>
        </w:rPr>
        <w:t>فعله للمرأة فی الأعراس إذا لم تتکلّم بباطل ولم تعمل بالملاهی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بدفّ فیه صَنْج </w:t>
      </w:r>
      <w:r>
        <w:rPr>
          <w:rStyle w:val="FootnoteAnchor"/>
          <w:rtl w:val="true"/>
        </w:rPr>
        <w:footnoteReference w:id="586"/>
      </w:r>
      <w:r>
        <w:rPr>
          <w:rFonts w:ascii="IRNazanin" w:hAnsi="IRNazanin" w:eastAsia="IRNazanin"/>
          <w:color w:val="111111"/>
          <w:sz w:val="28"/>
          <w:sz w:val="28"/>
          <w:szCs w:val="28"/>
          <w:rtl w:val="true"/>
          <w:lang w:bidi="fa-IR"/>
        </w:rPr>
        <w:t>لا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یسمع صوتها أجانب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ومعونة الظالمین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کالکتابة لهم وإحضار المظلوم ونحوه، لا معونتهم بالأعمال المحللّة کالخیاطة، وإن کره التکسّب بماله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والنوح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تصف </w:t>
      </w:r>
      <w:r>
        <w:rPr>
          <w:rStyle w:val="FootnoteAnchor"/>
          <w:rtl w:val="true"/>
        </w:rPr>
        <w:footnoteReference w:id="587"/>
      </w:r>
      <w:r>
        <w:rPr>
          <w:rFonts w:ascii="IRNazanin" w:hAnsi="IRNazanin" w:eastAsia="IRNazanin"/>
          <w:color w:val="111111"/>
          <w:sz w:val="28"/>
          <w:sz w:val="28"/>
          <w:szCs w:val="28"/>
          <w:rtl w:val="true"/>
          <w:lang w:bidi="fa-IR"/>
        </w:rPr>
        <w:t>المیّت بما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بالحقّ إذا لم تسمعها الأجانب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وهجاء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الهاء والمدّ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ذکر معایبهم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المؤمن بین الفاسق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هجاء غیرهم کما یجوز لعنهم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القول وما فی حکمه فی المؤمن بما یسوؤُه لو سمعه، مع اتّصافه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القول الإشارة بالید وغیرها من الجوارح، والتحاکی بقول أو فعل کمشیة الأعرج، والتعریض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لست متّصفاً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للّٰه‌الذی لم یجعلنی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معرّضاً بمن یفعله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فعل</w:t>
      </w:r>
    </w:p>
    <w:p>
      <w:pPr>
        <w:pStyle w:val="BookText"/>
        <w:rPr/>
      </w:pPr>
      <w:r>
        <w:rPr>
          <w:rFonts w:ascii="IRNazanin" w:hAnsi="IRNazanin" w:eastAsia="IRNazanin"/>
          <w:color w:val="111111"/>
          <w:sz w:val="28"/>
          <w:sz w:val="28"/>
          <w:szCs w:val="28"/>
          <w:rtl w:val="true"/>
          <w:lang w:bidi="fa-IR"/>
        </w:rPr>
        <w:t>ذلک بحضوره أو قال فیه ما لیس به فهو أغلظ تحریماً وأعظم تأثیماً وإن لم یکن غیبة 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المستشیر، وجرح الشاهد والتظلّم وسماعه، وردّ من ادّعی نسباً لیس له، والقدح فی مقالة أو دعوی باطلة فی الدین </w:t>
      </w:r>
      <w:r>
        <w:rPr>
          <w:rStyle w:val="FootnoteAnchor"/>
          <w:rtl w:val="true"/>
        </w:rPr>
        <w:footnoteReference w:id="588"/>
      </w:r>
      <w:r>
        <w:rPr>
          <w:rFonts w:ascii="IRNazanin" w:hAnsi="IRNazanin" w:eastAsia="IRNazanin"/>
          <w:color w:val="111111"/>
          <w:sz w:val="28"/>
          <w:sz w:val="28"/>
          <w:szCs w:val="28"/>
          <w:rtl w:val="true"/>
          <w:lang w:bidi="fa-IR"/>
        </w:rPr>
        <w:t>والاستعانة علی دفع المنکر، وردّ العاصی إلی الصلاح، وکون المقول فیه مستحقّاً للاستخفاف؛ لتظاهره بالفسق، والشهادة علی فاعل المحرّم حسبة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أفردنا لتحقیقها رسالة شریفة </w:t>
      </w:r>
      <w:r>
        <w:rPr>
          <w:rStyle w:val="FootnoteAnchor"/>
          <w:rtl w:val="true"/>
        </w:rPr>
        <w:footnoteReference w:id="589"/>
      </w:r>
      <w:r>
        <w:rPr>
          <w:rFonts w:ascii="IRNazanin" w:hAnsi="IRNazanin" w:eastAsia="IRNazanin"/>
          <w:color w:val="111111"/>
          <w:sz w:val="28"/>
          <w:sz w:val="28"/>
          <w:szCs w:val="28"/>
          <w:rtl w:val="true"/>
          <w:lang w:bidi="fa-IR"/>
        </w:rPr>
        <w:t>من أراد الإطّلاع علی حقائق أحکامها فلیقف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 کتب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التلف، أو عن ظهر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ونسخها ودرسها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ومطالعة ومذاکرة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أهلها بما اشتملت علیه ممّا یصلح دلیلاً لإثبات الحقّ أو نقض الباطل لمن کان من أهلهما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ذلک یجب إتلافها إن لم یمکن إفراد مواضع الضلال، وإلّا اقتصر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أو کتابة یحدث بسببه ضرر علی من عمل له فی بدنه أو عقله، ومنه عقد الرجل عن حلیلته وإلقاء البغضاء بینهما، واستخدام الجنّ والملائکة، واستنزال الشیاطین فی کشف الغائبات، وعلاج المصاب، وتلبّسهم ببدن صبیّ أو امرأة فی کشف أمر علی لسانه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ذلک کله وتعلیمه حرام والتکسّب به سُحت، ویقتل مستحلّه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له أثراً حقیقیّاً وهو أمر وجدانیّ، لا مجرّد التخییل کما زعم</w:t>
      </w:r>
    </w:p>
    <w:p>
      <w:pPr>
        <w:pStyle w:val="BookText"/>
        <w:rPr/>
      </w:pPr>
      <w:r>
        <w:rPr>
          <w:rFonts w:ascii="IRNazanin" w:hAnsi="IRNazanin" w:eastAsia="IRNazanin"/>
          <w:color w:val="111111"/>
          <w:sz w:val="28"/>
          <w:sz w:val="28"/>
          <w:szCs w:val="28"/>
          <w:rtl w:val="true"/>
          <w:lang w:bidi="fa-IR"/>
        </w:rPr>
        <w:t xml:space="preserve">کثیر </w:t>
      </w:r>
      <w:r>
        <w:rPr>
          <w:rStyle w:val="FootnoteAnchor"/>
          <w:rtl w:val="true"/>
        </w:rPr>
        <w:footnoteReference w:id="590"/>
      </w:r>
      <w:r>
        <w:rPr>
          <w:rFonts w:ascii="IRNazanin" w:hAnsi="IRNazanin" w:eastAsia="IRNazanin"/>
          <w:color w:val="111111"/>
          <w:sz w:val="28"/>
          <w:sz w:val="28"/>
          <w:szCs w:val="28"/>
          <w:rtl w:val="true"/>
          <w:lang w:bidi="fa-IR"/>
        </w:rPr>
        <w:t xml:space="preserve">ولا بأس بتعلّمه لیتوقّی به أو یدفع سحر المتنبّئ به، وربما وجب علی الکفایة؛ لذلک، کما اختاره المصنّف فی الدروس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والکهانة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عمل یوجب طاعة بعض الجانّ له فیما یأمره به، وهو قریب من السحر، أو أخصّ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الاستناد إلی علامات وأمارات یترتّب علیها إلحاق نسب ونحوه، وإنّما یحرم إذا رتّب علیها محرّم أو جزم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الأفعال العجیبة المتربَّة </w:t>
      </w:r>
      <w:r>
        <w:rPr>
          <w:rStyle w:val="FootnoteAnchor"/>
          <w:rtl w:val="true"/>
        </w:rPr>
        <w:footnoteReference w:id="592"/>
      </w:r>
      <w:r>
        <w:rPr>
          <w:rFonts w:ascii="IRNazanin" w:hAnsi="IRNazanin" w:eastAsia="IRNazanin"/>
          <w:color w:val="111111"/>
          <w:sz w:val="28"/>
          <w:sz w:val="28"/>
          <w:szCs w:val="28"/>
          <w:rtl w:val="true"/>
          <w:lang w:bidi="fa-IR"/>
        </w:rPr>
        <w:t xml:space="preserve">علی سرعة الید بالحرکة فیلبّس </w:t>
      </w:r>
      <w:r>
        <w:rPr>
          <w:rStyle w:val="FootnoteAnchor"/>
          <w:rtl w:val="true"/>
        </w:rPr>
        <w:footnoteReference w:id="593"/>
      </w:r>
      <w:r>
        <w:rPr>
          <w:rFonts w:ascii="Amiri" w:hAnsi="Amiri" w:eastAsia="Amiri" w:cs="Amiri"/>
          <w:color w:val="111111"/>
          <w:sz w:val="28"/>
          <w:sz w:val="28"/>
          <w:szCs w:val="28"/>
          <w:rtl w:val="true"/>
          <w:lang w:bidi="ar-SA"/>
        </w:rPr>
        <w:t>علی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عرّفها المصنّف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 من العلوم والصنائع المحرّمة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بالآلات المعدّة له، حتی اللعب بالخاتم والجوز والبیض، ولا یملک ما ترتّب </w:t>
      </w:r>
      <w:r>
        <w:rPr>
          <w:rStyle w:val="FootnoteAnchor"/>
          <w:rtl w:val="true"/>
        </w:rPr>
        <w:footnoteReference w:id="595"/>
      </w:r>
      <w:r>
        <w:rPr>
          <w:rFonts w:ascii="IRNazanin" w:hAnsi="IRNazanin" w:eastAsia="IRNazanin"/>
          <w:color w:val="111111"/>
          <w:sz w:val="28"/>
          <w:sz w:val="28"/>
          <w:szCs w:val="28"/>
          <w:rtl w:val="true"/>
          <w:lang w:bidi="fa-IR"/>
        </w:rPr>
        <w:t>علیه من الکسب وإن وقع من غیر المکلّف، فیجب ردّه علی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قبضه غیر مکلّف فالمخاطب بردّه الولیّ، فإن جهل مالکه تصدّق به عنه، ولو انحصر فی محصورین وجب التخلّص منهم ولو بالصلح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کشوب اللبن بالماء، ووضع الحریر فی البرودة لیکتسب 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بما لا یخفی، کمزج الحنطة بالتراب والتِبن</w:t>
      </w:r>
    </w:p>
    <w:p>
      <w:pPr>
        <w:pStyle w:val="BookText"/>
        <w:rPr/>
      </w:pPr>
      <w:r>
        <w:rPr>
          <w:rFonts w:ascii="IRNazanin" w:hAnsi="IRNazanin" w:eastAsia="IRNazanin"/>
          <w:color w:val="111111"/>
          <w:sz w:val="28"/>
          <w:sz w:val="28"/>
          <w:szCs w:val="28"/>
          <w:rtl w:val="true"/>
          <w:lang w:bidi="fa-IR"/>
        </w:rPr>
        <w:t>وجیّدها بردیئها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وتدلیس الماشطة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بإظهارها فی المرأة محاسن لیست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تحمیر وجهها ووصل شعرها، ونحوه ومثله فعل المرأة له من غیر ماشطة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انتفی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مزوّجة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وتزیین کلّ من الرجل والمرأة بما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کلبس الرجل السِوار والخلخال والثیاب المختصّة بها عادة، ویختلف ذلک باختلاف الأزمان والأصقاع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تزیّنه بالذهب وإن قلّ والحریر إلّاما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وکلبس المرأة ما یختصّ بالرجل، کالمِنطقة والعِمامة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والاُجرةُ علی تغسیل الموتی وتکفینهم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وحملهم إلی المغتسل وإلی القبر، وحفر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ودفنهم، والصلاة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الأفعال الواجبة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اشتملت هذه الأفعال علی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کتغسیلهم زیادة علی الواجب، وتنظیفهم ووضوئهم، وتکفینهم بالقطع المندوبة، وحفر القبر زیادة علی الواجب الجامع لوصفی کتم الریح وحراسة الجثّة إلی أن یبلغ القامة، وشقّ اللحد، ونقله إلی ما یدفن فیه من مکان زائد علی ما یمکن دفنه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التکسّب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والاُجرة علی الأفعال الخالیة من غرض حِکمی، کالعبث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الذهاب إلی مکان بعید أو فی الظلمة، أو رفع صخرة، ونحو ذلک ممّا لا یعتدّ بفائدته عند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والاُجرة علی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واللواط وما شاکلهما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ورُشا القاضی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بضمّ أوّله وکسره مقصوراً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رشوة بهما وقد تقدّم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والاُجرة علی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أشهر القولین </w:t>
      </w:r>
      <w:r>
        <w:rPr>
          <w:rStyle w:val="FootnoteAnchor"/>
          <w:rtl w:val="true"/>
        </w:rPr>
        <w:footnoteReference w:id="597"/>
      </w:r>
      <w:r>
        <w:rPr>
          <w:rFonts w:ascii="IRNazanin" w:hAnsi="IRNazanin" w:eastAsia="IRNazanin"/>
          <w:color w:val="111111"/>
          <w:sz w:val="28"/>
          <w:sz w:val="28"/>
          <w:szCs w:val="28"/>
          <w:rtl w:val="true"/>
          <w:lang w:bidi="fa-IR"/>
        </w:rPr>
        <w:t>ولا بأس بالرزق بالرزق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أنّ الاُجرة تفتقر إلی تقدیر العمل والعوض والمدّة والصیغة الخاصّة، والرزق منوط بنظر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تحریم الاُجرة بین کونها من معیّن ومن أهل البلد والمحلّة وبیت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بها أخذ ما اُعدّ للمؤذّنین من أوقاف مصالح المسجد وإن کان مقدّراً وباعثاً علی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یثاب فاعله إلّامع تمحّض الإخلاص به کغیره من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الناس؛ لوجوبه، سواء احتاج إلیها أم لا، وسواء تعیّن علیه القضاء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الرزق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القضاء </w:t>
      </w:r>
      <w:r>
        <w:rPr>
          <w:rStyle w:val="FootnoteAnchor"/>
          <w:rtl w:val="true"/>
        </w:rPr>
        <w:footnoteReference w:id="598"/>
      </w:r>
      <w:r>
        <w:rPr>
          <w:rFonts w:ascii="Amiri" w:hAnsi="Amiri" w:eastAsia="Amiri" w:cs="Amiri"/>
          <w:color w:val="111111"/>
          <w:sz w:val="28"/>
          <w:sz w:val="28"/>
          <w:szCs w:val="28"/>
          <w:rtl w:val="true"/>
          <w:lang w:bidi="ar-SA"/>
        </w:rPr>
        <w:t>أ نّه من جملة المرتزقة منه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والاُجرة علی تعلیم الواجب من التکلیف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وجب عیناً کالفاتحة والسورة وأحکام العبادات العینیّة، أم کفایة کالتفقّه فی الدین وما یتوقّف علیه من المقدّمات علماً وعملاً، وتعلیم المکلّفین صیغ العقود والإیقاعات،</w:t>
      </w:r>
      <w:bookmarkStart w:id="227" w:name="pg19812_249363"/>
    </w:p>
    <w:p>
      <w:pPr>
        <w:pStyle w:val="BookText"/>
        <w:rPr/>
      </w:pPr>
      <w:bookmarkEnd w:id="227"/>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Heading4"/>
        <w:numPr>
          <w:ilvl w:val="3"/>
          <w:numId w:val="1"/>
        </w:numPr>
        <w:rPr/>
      </w:pPr>
      <w:bookmarkStart w:id="228" w:name="__RefHeading___Toc2092920_2314609296"/>
      <w:bookmarkStart w:id="229" w:name="_Toc83"/>
      <w:bookmarkEnd w:id="228"/>
      <w:r>
        <w:rPr>
          <w:rtl w:val="true"/>
        </w:rPr>
        <w:t>[«</w:t>
      </w:r>
      <w:r>
        <w:rPr>
          <w:rtl w:val="true"/>
        </w:rPr>
        <w:t>وأمّا المکروه</w:t>
      </w:r>
      <w:r>
        <w:rPr>
          <w:rtl w:val="true"/>
        </w:rPr>
        <w:t>» :]</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فی الأخبار بأ نّه لا یسلم فاعله من الربا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وبیع الأکفان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یتمنّی کثرة الموت والوباء </w:t>
      </w:r>
      <w:r>
        <w:rPr>
          <w:rStyle w:val="FootnoteAnchor"/>
          <w:rtl w:val="true"/>
        </w:rPr>
        <w:footnoteReference w:id="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والرقیق</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فشرّ الناس من باع الناس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واحتکار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حبسه بتوقّع زیادة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تحریمه مع استغنائه عنه وحاجة الناس إلیه، وهو اختیاره فی الدروس </w:t>
      </w:r>
      <w:r>
        <w:rPr>
          <w:rStyle w:val="FootnoteAnchor"/>
          <w:rtl w:val="true"/>
        </w:rPr>
        <w:footnoteReference w:id="604"/>
      </w:r>
      <w:r>
        <w:rPr>
          <w:rFonts w:ascii="IRNazanin" w:hAnsi="IRNazanin" w:eastAsia="IRNazanin"/>
          <w:color w:val="111111"/>
          <w:sz w:val="28"/>
          <w:sz w:val="28"/>
          <w:szCs w:val="28"/>
          <w:rtl w:val="true"/>
          <w:lang w:bidi="fa-IR"/>
        </w:rPr>
        <w:t>وقد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الجالب مرزوق والمحتکر ملعون</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وسیأتی الکلام فی بقیّة أحکامه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لإفضائها إلی قسوة القلب وسلب الرحمة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تکره إذا اتّخذها حرفة وصنعة، لا مجرّد فعلها، کما لو احتاج إلی صرف دینار أو بیع کفن أو ذبح شاة، ونحو ذلک، والتعلیل بما ذکرناه فی الأخبار یرشد إلیه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ما یعمّ الحیاکة، والأخبار متضافرة بالنهی عنها والمبالغة فی ضعتها ونقصان فاعلها حتی نهی عن الصلاة خلفه </w:t>
      </w:r>
      <w:r>
        <w:rPr>
          <w:rStyle w:val="FootnoteAnchor"/>
          <w:rtl w:val="true"/>
        </w:rPr>
        <w:footnoteReference w:id="608"/>
      </w:r>
      <w:r>
        <w:rPr>
          <w:rFonts w:ascii="IRNazanin" w:hAnsi="IRNazanin" w:eastAsia="IRNazanin"/>
          <w:color w:val="111111"/>
          <w:sz w:val="28"/>
          <w:sz w:val="28"/>
          <w:szCs w:val="28"/>
          <w:rtl w:val="true"/>
          <w:lang w:bidi="fa-IR"/>
        </w:rPr>
        <w:t>والظاهر</w:t>
      </w:r>
      <w:bookmarkStart w:id="230" w:name="pg19812_249364"/>
    </w:p>
    <w:p>
      <w:pPr>
        <w:pStyle w:val="BookText"/>
        <w:rPr/>
      </w:pPr>
      <w:bookmarkEnd w:id="230"/>
      <w:r>
        <w:rPr>
          <w:rFonts w:ascii="IRNazanin" w:hAnsi="IRNazanin" w:eastAsia="IRNazanin"/>
          <w:color w:val="111111"/>
          <w:sz w:val="28"/>
          <w:sz w:val="28"/>
          <w:szCs w:val="28"/>
          <w:rtl w:val="true"/>
          <w:lang w:bidi="fa-IR"/>
        </w:rPr>
        <w:t xml:space="preserve">اختصاص النِساجة والحیاکة بالمغزول ونحوه، فلا یکره عمل الخوص ونحوه، بل روی أ نّه من أعمال الأنبیاء والأولیاء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شرط الاُجرة، لا بدونها، کما قیّده المصنّف فی غیره </w:t>
      </w:r>
      <w:r>
        <w:rPr>
          <w:rStyle w:val="FootnoteAnchor"/>
          <w:rtl w:val="true"/>
        </w:rPr>
        <w:footnoteReference w:id="610"/>
      </w:r>
      <w:r>
        <w:rPr>
          <w:rFonts w:ascii="IRNazanin" w:hAnsi="IRNazanin" w:eastAsia="IRNazanin"/>
          <w:color w:val="111111"/>
          <w:sz w:val="28"/>
          <w:sz w:val="28"/>
          <w:szCs w:val="28"/>
          <w:rtl w:val="true"/>
          <w:lang w:bidi="fa-IR"/>
        </w:rPr>
        <w:t xml:space="preserve">وغیره </w:t>
      </w:r>
      <w:r>
        <w:rPr>
          <w:rStyle w:val="FootnoteAnchor"/>
          <w:rtl w:val="true"/>
        </w:rPr>
        <w:footnoteReference w:id="611"/>
      </w:r>
      <w:r>
        <w:rPr>
          <w:rFonts w:ascii="IRNazanin" w:hAnsi="IRNazanin" w:eastAsia="IRNazanin"/>
          <w:color w:val="111111"/>
          <w:sz w:val="28"/>
          <w:sz w:val="28"/>
          <w:szCs w:val="28"/>
          <w:rtl w:val="true"/>
          <w:lang w:bidi="fa-IR"/>
        </w:rPr>
        <w:t xml:space="preserve">ودلّ علیه الخبر </w:t>
      </w:r>
      <w:r>
        <w:rPr>
          <w:rStyle w:val="FootnoteAnchor"/>
          <w:rtl w:val="true"/>
        </w:rPr>
        <w:footnoteReference w:id="612"/>
      </w:r>
      <w:r>
        <w:rPr>
          <w:rFonts w:ascii="IRNazanin" w:hAnsi="IRNazanin" w:eastAsia="IRNazanin"/>
          <w:color w:val="111111"/>
          <w:sz w:val="28"/>
          <w:sz w:val="28"/>
          <w:szCs w:val="28"/>
          <w:rtl w:val="true"/>
          <w:lang w:bidi="fa-IR"/>
        </w:rPr>
        <w:t>وظاهره هنا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وضِراب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یؤجره لذلک مع ضبطه بالمرّة والمرّات المعیّنة أو بالمدّة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کراهة فی ما یدفع إلیه علی جهة الکرامة لأجله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أصله؛ لما یدخله من الشبهة الناشئة من اجتراء الصبیّ علی ما لا یحلّ؛ لجهله أو علمه بارتفاع القلم عنه، ولو علم اکتسابه من محلّل فلا کراهة وإن أطلق الأکثر </w:t>
      </w:r>
      <w:r>
        <w:rPr>
          <w:rStyle w:val="FootnoteAnchor"/>
          <w:rtl w:val="true"/>
        </w:rPr>
        <w:footnoteReference w:id="613"/>
      </w:r>
      <w:r>
        <w:rPr>
          <w:rFonts w:ascii="IRNazanin" w:hAnsi="IRNazanin" w:eastAsia="IRNazanin"/>
          <w:color w:val="111111"/>
          <w:sz w:val="28"/>
          <w:sz w:val="28"/>
          <w:szCs w:val="28"/>
          <w:rtl w:val="true"/>
          <w:lang w:bidi="fa-IR"/>
        </w:rPr>
        <w:t>کما أ نّه لو علم تحصیله أو بعضه من محرّم وجب اجتنابه أو اجتناب ما علم منه أو اشتبه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الکراهة تکسّب الولیّ به، أو أخذه منه، أو الصبیّ بعد رفع الحجر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یکره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یجتنب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کسبه</w:t>
      </w:r>
      <w:r>
        <w:rPr>
          <w:rFonts w:eastAsia="IRNazanin" w:cs="IRNazanin"/>
          <w:color w:val="111111"/>
          <w:sz w:val="28"/>
          <w:szCs w:val="28"/>
          <w:rtl w:val="true"/>
          <w:lang w:bidi="fa-IR"/>
        </w:rPr>
        <w:t>.</w:t>
      </w:r>
    </w:p>
    <w:p>
      <w:pPr>
        <w:pStyle w:val="Heading4"/>
        <w:numPr>
          <w:ilvl w:val="3"/>
          <w:numId w:val="1"/>
        </w:numPr>
        <w:rPr/>
      </w:pPr>
      <w:bookmarkStart w:id="231" w:name="__RefHeading___Toc2092922_2314609296"/>
      <w:bookmarkStart w:id="232" w:name="_Toc84"/>
      <w:bookmarkEnd w:id="231"/>
      <w:r>
        <w:rPr>
          <w:rtl w:val="true"/>
        </w:rPr>
        <w:t>[</w:t>
      </w:r>
      <w:r>
        <w:rPr>
          <w:rtl w:val="true"/>
        </w:rPr>
        <w:t>المباح</w:t>
      </w:r>
      <w:r>
        <w:rPr>
          <w:rtl w:val="true"/>
        </w:rPr>
        <w:t>]</w:t>
      </w:r>
      <w:bookmarkEnd w:id="23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والمباح ما خلا عن وجه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الطرفین، بأن لا یکون راجحاً، ولا مرجوحاً لتتحقّق الإباحة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bookmarkStart w:id="233" w:name="pg19812_249365"/>
    </w:p>
    <w:p>
      <w:pPr>
        <w:pStyle w:val="Heading4"/>
        <w:numPr>
          <w:ilvl w:val="3"/>
          <w:numId w:val="1"/>
        </w:numPr>
        <w:rPr/>
      </w:pPr>
      <w:bookmarkStart w:id="234" w:name="__RefHeading___Toc2092924_2314609296"/>
      <w:bookmarkStart w:id="235" w:name="_Toc85"/>
      <w:bookmarkEnd w:id="233"/>
      <w:bookmarkEnd w:id="234"/>
      <w:r>
        <w:rPr>
          <w:rtl w:val="true"/>
        </w:rPr>
        <w:t>[</w:t>
      </w:r>
      <w:r>
        <w:rPr>
          <w:rtl w:val="true"/>
        </w:rPr>
        <w:t>اقسام التجاره</w:t>
      </w:r>
      <w:r>
        <w:rPr>
          <w:rtl w:val="true"/>
        </w:rPr>
        <w:t>]</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نفس التکسّب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تنقسم بأقسام </w:t>
      </w:r>
      <w:r>
        <w:rPr>
          <w:rStyle w:val="FootnoteAnchor"/>
          <w:rtl w:val="true"/>
        </w:rPr>
        <w:footnoteReference w:id="615"/>
      </w:r>
      <w:r>
        <w:rPr>
          <w:rFonts w:ascii="IRNazanin" w:hAnsi="IRNazanin" w:eastAsia="IRNazanin"/>
          <w:color w:val="111111"/>
          <w:sz w:val="28"/>
          <w:sz w:val="28"/>
          <w:szCs w:val="28"/>
          <w:rtl w:val="true"/>
          <w:lang w:bidi="fa-IR"/>
        </w:rPr>
        <w:t>الأحکام الخمسة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فالواجب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توقّف تحصیل مؤونته ومؤونة عیاله الواجبی النفقة علیه، ومطلق التجارة التی یتمّ بها نظام النوع الإنسانی، فإنّ ذلک من الواجبات الکفائیّة وإن زاد علی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والمستحبّ ما یحصل به المستحبّ، وهو التوسعة علی العیال، ونفع المؤمنین، ومطلق المحاویج غیر المضطرّین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والمباح ما یحصل به الزیادة فی المال من غیر الجهات الراجحة والمرجوحة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والمکروه والحرام التکسّب بالأعیان المکروهة والمحرّمة، وقد تقدّمت</w:t>
      </w:r>
      <w:r>
        <w:rPr>
          <w:rFonts w:eastAsia="IRNazanin" w:cs="IRNazanin"/>
          <w:color w:val="111111"/>
          <w:sz w:val="28"/>
          <w:szCs w:val="28"/>
          <w:rtl w:val="true"/>
          <w:lang w:bidi="fa-IR"/>
        </w:rPr>
        <w:t>.</w:t>
      </w:r>
      <w:bookmarkStart w:id="236" w:name="pg19812_249366"/>
    </w:p>
    <w:p>
      <w:pPr>
        <w:pStyle w:val="Heading3"/>
        <w:numPr>
          <w:ilvl w:val="2"/>
          <w:numId w:val="1"/>
        </w:numPr>
        <w:rPr/>
      </w:pPr>
      <w:bookmarkStart w:id="237" w:name="__RefHeading___Toc2092926_2314609296"/>
      <w:bookmarkStart w:id="238" w:name="_Toc86"/>
      <w:bookmarkEnd w:id="236"/>
      <w:bookmarkEnd w:id="237"/>
      <w:r>
        <w:rPr>
          <w:rtl w:val="true"/>
        </w:rPr>
        <w:t>«</w:t>
      </w:r>
      <w:r>
        <w:rPr>
          <w:rtl w:val="true"/>
        </w:rPr>
        <w:t>الفصل الثانی</w:t>
      </w:r>
      <w:r>
        <w:rPr>
          <w:rtl w:val="true"/>
        </w:rPr>
        <w:t>» «</w:t>
      </w:r>
      <w:r>
        <w:rPr>
          <w:rtl w:val="true"/>
        </w:rPr>
        <w:t>فی عقد البیع وآدابه</w:t>
      </w:r>
      <w:r>
        <w:rPr>
          <w:rtl w:val="true"/>
        </w:rPr>
        <w:t>»</w:t>
      </w:r>
      <w:bookmarkEnd w:id="238"/>
    </w:p>
    <w:p>
      <w:pPr>
        <w:pStyle w:val="Heading4"/>
        <w:numPr>
          <w:ilvl w:val="3"/>
          <w:numId w:val="1"/>
        </w:numPr>
        <w:rPr/>
      </w:pPr>
      <w:bookmarkStart w:id="239" w:name="__RefHeading___Toc2092928_2314609296"/>
      <w:bookmarkStart w:id="240" w:name="_Toc87"/>
      <w:bookmarkEnd w:id="239"/>
      <w:r>
        <w:rPr>
          <w:rtl w:val="true"/>
        </w:rPr>
        <w:t>[</w:t>
      </w:r>
      <w:r>
        <w:rPr>
          <w:rtl w:val="true"/>
        </w:rPr>
        <w:t xml:space="preserve">اعتبار الایجاب و القبول فیه </w:t>
      </w:r>
      <w:r>
        <w:rPr>
          <w:rtl w:val="true"/>
        </w:rPr>
        <w:t>]</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عقد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والقبول الدالّان علی نقل الملک بعوض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هو تعریف للعقد یصلح تعریفاً للبیع نفسه؛ لأنّه عند المصنّف </w:t>
      </w:r>
      <w:r>
        <w:rPr>
          <w:rStyle w:val="FootnoteAnchor"/>
          <w:rtl w:val="true"/>
        </w:rPr>
        <w:footnoteReference w:id="616"/>
      </w:r>
      <w:r>
        <w:rPr>
          <w:rFonts w:ascii="Amiri" w:hAnsi="Amiri" w:eastAsia="Amiri" w:cs="Amiri"/>
          <w:color w:val="111111"/>
          <w:sz w:val="28"/>
          <w:sz w:val="28"/>
          <w:szCs w:val="28"/>
          <w:rtl w:val="true"/>
          <w:lang w:bidi="ar-SA"/>
        </w:rPr>
        <w:t xml:space="preserve">وجماعة </w:t>
      </w:r>
      <w:r>
        <w:rPr>
          <w:rStyle w:val="FootnoteAnchor"/>
          <w:rtl w:val="true"/>
        </w:rPr>
        <w:footnoteReference w:id="617"/>
      </w:r>
      <w:r>
        <w:rPr>
          <w:rFonts w:ascii="IRNazanin" w:hAnsi="IRNazanin" w:eastAsia="IRNazanin"/>
          <w:color w:val="111111"/>
          <w:sz w:val="28"/>
          <w:sz w:val="28"/>
          <w:szCs w:val="28"/>
          <w:rtl w:val="true"/>
          <w:lang w:bidi="fa-IR"/>
        </w:rPr>
        <w:t>عبارة عن العقد المذکور، استناداً إلی أنّ ذلک هو المتبادر من معناه، فیکون حقیقة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الضمیر عائداً إلی البیع نفسه وأن یکون إضافة البیع 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أ نّه فی الدروس عرّف البیع بذلک مزیداً قید التراضی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جنس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صنع غیره </w:t>
      </w:r>
      <w:r>
        <w:rPr>
          <w:rStyle w:val="FootnoteAnchor"/>
          <w:rtl w:val="true"/>
        </w:rPr>
        <w:footnoteReference w:id="618"/>
      </w:r>
      <w:r>
        <w:rPr>
          <w:rFonts w:ascii="IRNazanin" w:hAnsi="IRNazanin" w:eastAsia="IRNazanin"/>
          <w:color w:val="111111"/>
          <w:sz w:val="28"/>
          <w:sz w:val="28"/>
          <w:szCs w:val="28"/>
          <w:rtl w:val="true"/>
          <w:lang w:bidi="fa-IR"/>
        </w:rPr>
        <w:t xml:space="preserve">لأنّهما جنس قریب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القیود خاصّة مرکّبة، یخرج بها من العقود ما لا نقل فیه کالودیعة والمضاربة والوکالة، وما تضمّن نقل الملک بغیر عوض کالهبة والوصیّة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وشمل ما کان ملکاً للعاقد وغیره،</w:t>
      </w:r>
      <w:bookmarkStart w:id="241" w:name="pg19812_249367"/>
    </w:p>
    <w:p>
      <w:pPr>
        <w:pStyle w:val="BookText"/>
        <w:rPr/>
      </w:pPr>
      <w:bookmarkEnd w:id="241"/>
      <w:r>
        <w:rPr>
          <w:rFonts w:ascii="IRNazanin" w:hAnsi="IRNazanin" w:eastAsia="IRNazanin"/>
          <w:color w:val="111111"/>
          <w:sz w:val="28"/>
          <w:sz w:val="28"/>
          <w:szCs w:val="28"/>
          <w:rtl w:val="true"/>
          <w:lang w:bidi="fa-IR"/>
        </w:rPr>
        <w:t>فدخل بیع الوکیل والولیّ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بالعوض المعلوم </w:t>
      </w:r>
      <w:r>
        <w:rPr>
          <w:rStyle w:val="FootnoteAnchor"/>
          <w:rtl w:val="true"/>
        </w:rPr>
        <w:footnoteReference w:id="619"/>
      </w:r>
      <w:r>
        <w:rPr>
          <w:rFonts w:ascii="IRNazanin" w:hAnsi="IRNazanin" w:eastAsia="IRNazanin"/>
          <w:color w:val="111111"/>
          <w:sz w:val="28"/>
          <w:sz w:val="28"/>
          <w:szCs w:val="28"/>
          <w:rtl w:val="true"/>
          <w:lang w:bidi="fa-IR"/>
        </w:rPr>
        <w:t>الهبة المشروط فیها مطلق الثواب، وبیع المکره حیث یقع صحیحاً؛ إذ لم یعتبر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وارد علی تعریفه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وبیع الأخرس بالإشارة وشراؤه، فإنّه یصدق به </w:t>
      </w:r>
      <w:r>
        <w:rPr>
          <w:rStyle w:val="FootnoteAnchor"/>
          <w:rtl w:val="true"/>
        </w:rPr>
        <w:footnoteReference w:id="620"/>
      </w:r>
      <w:r>
        <w:rPr>
          <w:rFonts w:ascii="IRNazanin" w:hAnsi="IRNazanin" w:eastAsia="IRNazanin"/>
          <w:color w:val="111111"/>
          <w:sz w:val="28"/>
          <w:sz w:val="28"/>
          <w:szCs w:val="28"/>
          <w:rtl w:val="true"/>
          <w:lang w:bidi="fa-IR"/>
        </w:rPr>
        <w:t>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 تعریف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جنساً کالشرائع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فیه دخول عقد الإجارة؛ إذ الملک یشمل العین والمنفعة، والهبة المشروط فیها عوض معیّن، والصلح المشتمل علی نقل الملک بعوض معلوم، فإنّه لیس بیعاً عند المصنّف </w:t>
      </w:r>
      <w:r>
        <w:rPr>
          <w:rStyle w:val="FootnoteAnchor"/>
          <w:rtl w:val="true"/>
        </w:rPr>
        <w:footnoteReference w:id="621"/>
      </w:r>
      <w:r>
        <w:rPr>
          <w:rFonts w:ascii="IRNazanin" w:hAnsi="IRNazanin" w:eastAsia="IRNazanin"/>
          <w:color w:val="111111"/>
          <w:sz w:val="28"/>
          <w:sz w:val="28"/>
          <w:szCs w:val="28"/>
          <w:rtl w:val="true"/>
          <w:lang w:bidi="fa-IR"/>
        </w:rPr>
        <w:t xml:space="preserve">والمتأخّرین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2092930_2314609296"/>
      <w:bookmarkStart w:id="243" w:name="_Toc88"/>
      <w:bookmarkEnd w:id="242"/>
      <w:r>
        <w:rPr>
          <w:rtl w:val="true"/>
        </w:rPr>
        <w:t>[</w:t>
      </w:r>
      <w:r>
        <w:rPr>
          <w:rtl w:val="true"/>
        </w:rPr>
        <w:t>الکلام فی المعاطاة</w:t>
      </w:r>
      <w:r>
        <w:rPr>
          <w:rtl w:val="true"/>
        </w:rPr>
        <w:t>]</w:t>
      </w:r>
      <w:bookmarkEnd w:id="243"/>
    </w:p>
    <w:p>
      <w:pPr>
        <w:pStyle w:val="BookText"/>
        <w:rPr/>
      </w:pPr>
      <w:r>
        <w:rPr>
          <w:rFonts w:ascii="IRNazanin" w:hAnsi="IRNazanin" w:eastAsia="IRNazanin"/>
          <w:color w:val="111111"/>
          <w:sz w:val="28"/>
          <w:sz w:val="28"/>
          <w:szCs w:val="28"/>
          <w:rtl w:val="true"/>
          <w:lang w:bidi="fa-IR"/>
        </w:rPr>
        <w:t xml:space="preserve">وحیث کان البیع عبارة عن الإیجاب والقبول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إعطاء کلّ واحد من المتبایعین ما یریده من المال عوضاً عمّا یأخذه من الآخر باتّفاقهما علی ذلک بغیر العقد المخصوص، سواء فی ذلک الجلیل والحقیر علی المشهور بین أصحابنا، بل کاد یکون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منهما فیما صار إلیه من العوض؛ لاستلزام دفع مالکه له علی هذا الوجه الإذن فی التصرّف فیه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هی إباحة، أم عقد متزلزل؟ ظاهر العبارة الأوّل؛ لأنّ الإباحة ظاهرة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p>
    <w:p>
      <w:pPr>
        <w:pStyle w:val="BookText"/>
        <w:rPr/>
      </w:pPr>
      <w:r>
        <w:rPr>
          <w:rFonts w:ascii="IRNazanin" w:hAnsi="IRNazanin" w:eastAsia="IRNazanin"/>
          <w:color w:val="111111"/>
          <w:sz w:val="28"/>
          <w:sz w:val="28"/>
          <w:szCs w:val="28"/>
          <w:rtl w:val="true"/>
          <w:lang w:bidi="fa-IR"/>
        </w:rPr>
        <w:t>لا ینافی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بعض الأصحاب </w:t>
      </w:r>
      <w:r>
        <w:rPr>
          <w:rStyle w:val="FootnoteAnchor"/>
          <w:rtl w:val="true"/>
        </w:rPr>
        <w:footnoteReference w:id="623"/>
      </w:r>
      <w:r>
        <w:rPr>
          <w:rFonts w:ascii="IRNazanin" w:hAnsi="IRNazanin" w:eastAsia="IRNazanin"/>
          <w:color w:val="111111"/>
          <w:sz w:val="28"/>
          <w:sz w:val="28"/>
          <w:szCs w:val="28"/>
          <w:rtl w:val="true"/>
          <w:lang w:bidi="fa-IR"/>
        </w:rPr>
        <w:t>الثانی؛ لتعبیره بجواز فسخها الدالّ علی وقوع أمر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الفائدة فی النماء، فعلی الثانی هو للقابض متی </w:t>
      </w:r>
      <w:r>
        <w:rPr>
          <w:rStyle w:val="FootnoteAnchor"/>
          <w:rtl w:val="true"/>
        </w:rPr>
        <w:footnoteReference w:id="624"/>
      </w:r>
      <w:r>
        <w:rPr>
          <w:rFonts w:ascii="IRNazanin" w:hAnsi="IRNazanin" w:eastAsia="IRNazanin"/>
          <w:color w:val="111111"/>
          <w:sz w:val="28"/>
          <w:sz w:val="28"/>
          <w:szCs w:val="28"/>
          <w:rtl w:val="true"/>
          <w:lang w:bidi="fa-IR"/>
        </w:rPr>
        <w:t>تحقّق اللزوم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یحتمله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جواز الرجوع مع بقاء العین عدمه مع ذهابها،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ویصدق بتلف العینین، وإحداهما، وبعض کلّ واحدةمنهما، ونقلها عن ملکه، وبتغیّرها کطحن الحنطة، فإنّ عین المنتقل غیر باقیة، مع احتمال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لبس الثوب مع عدم تغیّره فلا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صبغه وقصره وتفصیله وخیاطته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ذلک من التصرّفات المغیّرة للصفة مع بقاء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تقدیر الرجوع فی العین وقد استعملها من انتقلت إلیه یأخذها بغیر اُجرة؛ لإذنه فی التصرّف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نمت وتلف النماء فلا رجوع به کالأصل، وإلّا فالوجهان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تصیر مع ذهاب العین بیعاً، أو معاوضة خاصة؟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حصرهم المعاوضات ولیست أحدها، ومن اتّفاقهم علی أ نّها لیست بیعاً بالألفاظ الدالّة علی التراضی، فکیف تصیر بیعاً بالتلف؟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المعاطاة أ نّها مفاعلةمن الجانبین، فلو وقعت بقبض أحد العوضین خاصّة مع ضبط الآخر علی وجه یرفع الجهالة، ففی لحوق أحکامها نظر، من عدم تحقّقها، وحصول التراضی، وهو اختیاره فی الدروس </w:t>
      </w:r>
      <w:r>
        <w:rPr>
          <w:rStyle w:val="FootnoteAnchor"/>
          <w:rtl w:val="true"/>
        </w:rPr>
        <w:footnoteReference w:id="625"/>
      </w:r>
      <w:r>
        <w:rPr>
          <w:rFonts w:ascii="IRNazanin" w:hAnsi="IRNazanin" w:eastAsia="IRNazanin"/>
          <w:color w:val="111111"/>
          <w:sz w:val="28"/>
          <w:sz w:val="28"/>
          <w:szCs w:val="28"/>
          <w:rtl w:val="true"/>
          <w:lang w:bidi="fa-IR"/>
        </w:rPr>
        <w:t>علی تقدیر دفع</w:t>
      </w:r>
    </w:p>
    <w:p>
      <w:pPr>
        <w:pStyle w:val="BookText"/>
        <w:rPr/>
      </w:pPr>
      <w:r>
        <w:rPr>
          <w:rFonts w:ascii="Amiri" w:hAnsi="Amiri" w:eastAsia="Amiri" w:cs="Amiri"/>
          <w:color w:val="111111"/>
          <w:sz w:val="28"/>
          <w:sz w:val="28"/>
          <w:szCs w:val="28"/>
          <w:rtl w:val="true"/>
          <w:lang w:bidi="ar-SA"/>
        </w:rPr>
        <w:t>السِلعة دون الثمن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وقوعهما</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المشتری، وشریت منهما؛ لأنّه مشترک بین البیع والشراء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من البائع، والتخفیف من المشتری وتملّکت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الرضا علی الوجه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النطق لخرس وغیره، ولا تکفی مع القدرة، نعم تفید المعاطاة مع الإفهام الصریح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تقدیم الإیجاب علی القبول 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بتعیّنه </w:t>
      </w:r>
      <w:r>
        <w:rPr>
          <w:rStyle w:val="FootnoteAnchor"/>
          <w:rtl w:val="true"/>
        </w:rPr>
        <w:footnoteReference w:id="627"/>
      </w:r>
      <w:r>
        <w:rPr>
          <w:rFonts w:ascii="IRNazanin" w:hAnsi="IRNazanin" w:eastAsia="IRNazanin"/>
          <w:color w:val="111111"/>
          <w:sz w:val="28"/>
          <w:sz w:val="28"/>
          <w:szCs w:val="28"/>
          <w:rtl w:val="true"/>
          <w:lang w:bidi="fa-IR"/>
        </w:rPr>
        <w:t>ووجه عدم الاشتراط أصالة الصحّة وظهور کونه عقداً فیجب الوفاء به، ولتساویهما فی الدلالة علی الرضا وتساوی المالکین فی نقل ما یملکه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ترتّب الحکم مع تأخّره، ومخالفته للأصل، ولدلالة مفهوم القبول علی ترتّبه علی الإیجاب؛ لأنّه 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وجه الحسن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الخلاف ما لو وقع القبول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 وإن أضاف إلیه باقی الأرکان؛ لأنّه صریح فی البناء علی أمر لم یقع</w:t>
      </w:r>
      <w:r>
        <w:rPr>
          <w:rFonts w:eastAsia="IRNazanin" w:cs="IRNazanin"/>
          <w:color w:val="111111"/>
          <w:sz w:val="28"/>
          <w:szCs w:val="28"/>
          <w:rtl w:val="true"/>
          <w:lang w:bidi="fa-IR"/>
        </w:rPr>
        <w:t>.</w:t>
      </w:r>
      <w:bookmarkStart w:id="244" w:name="pg19812_249370"/>
    </w:p>
    <w:p>
      <w:pPr>
        <w:pStyle w:val="Heading4"/>
        <w:numPr>
          <w:ilvl w:val="3"/>
          <w:numId w:val="1"/>
        </w:numPr>
        <w:rPr/>
      </w:pPr>
      <w:bookmarkStart w:id="245" w:name="__RefHeading___Toc2092932_2314609296"/>
      <w:bookmarkStart w:id="246" w:name="_Toc89"/>
      <w:bookmarkEnd w:id="244"/>
      <w:bookmarkEnd w:id="245"/>
      <w:r>
        <w:rPr>
          <w:rtl w:val="true"/>
        </w:rPr>
        <w:t>[</w:t>
      </w:r>
      <w:r>
        <w:rPr>
          <w:rtl w:val="true"/>
        </w:rPr>
        <w:t>شروط المتعاقدین</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المتعاقدین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الحجر الجامع للبلوغ والعقل والرشد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والاختیار، إلّاأن یرضی المکره بعد زوال إکراهه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بالغ رشید قاصد إلی اللفظ دون مدلوله، وإنّما منع عدم الرضا، فإذا زال المانع أثّر العقد، کعقد الفضولی حیث انتفی القصد إلیه من مالکه مع تحقّق القصد إلی اللفظ فی الجملة، فلمّا لحقته إجازة المالک أثّرت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تعتبر مقارنته للعقد؛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العقد المسلوب بالأصل کعبارة الصبیّ، فلا تجبره إجازة الولیّ، ولا رضاه بعد بلوغه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والقصد، فلو أوقعه الغافل أو النائم أو الهازل 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لحقته الإجازة؛ لعدم القصد إلی اللفظ أصلاً، بخلاف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أشکل الفرق فی الهازل من ظهور قصده إلی اللفظ من حیث کونه عاقلاً مختاراً، وإنّما تخلّف قصد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المصنّف بذلک المکره علی وجه یرتفع قصده أصلاً، فلا یؤثّر فیه الرضا المتعقّب کالغافل والسکران </w:t>
      </w:r>
      <w:r>
        <w:rPr>
          <w:rStyle w:val="FootnoteAnchor"/>
          <w:rtl w:val="true"/>
        </w:rPr>
        <w:footnoteReference w:id="629"/>
      </w:r>
      <w:r>
        <w:rPr>
          <w:rFonts w:ascii="IRNazanin" w:hAnsi="IRNazanin" w:eastAsia="IRNazanin"/>
          <w:color w:val="111111"/>
          <w:sz w:val="28"/>
          <w:sz w:val="28"/>
          <w:szCs w:val="28"/>
          <w:rtl w:val="true"/>
          <w:lang w:bidi="fa-IR"/>
        </w:rPr>
        <w:t>وهو حسن مع تحقّق الإکراه بهذا المعنی، فإنّ الظاهر من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المکرِه للمکرَه علی الفعل خوفاً علی نفسه أو ما فی حکمها مع حضور عقله وتمیزه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بیع المکرَه إنّما یقع موقوفاً مع وقوعه بغیر حقّ، ومن ثمّ جاز بیعه فی مواضع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أجبره الحاکم علی بیع ماله لوفاء دینه ونفقة واجب النفقة، وتقویم العبد علی معتق نصیبه منه وفکّه من الرقّ لیرث، وإذا أسلم عبد الکافر أو اشتراه وسوّغناه أو اشتری المصحف، وبیعِ الحیوان إذا امتنع مالکه من القیام بحقّ نفقته، والطعام عند المخمصة یشتریه خائف التلف، والمحتکر مع عدم وجود غیره</w:t>
      </w:r>
      <w:bookmarkStart w:id="247" w:name="pg19812_249371"/>
    </w:p>
    <w:p>
      <w:pPr>
        <w:pStyle w:val="BookText"/>
        <w:rPr/>
      </w:pPr>
      <w:bookmarkEnd w:id="247"/>
      <w:r>
        <w:rPr>
          <w:rFonts w:ascii="IRNazanin" w:hAnsi="IRNazanin" w:eastAsia="IRNazanin"/>
          <w:color w:val="111111"/>
          <w:sz w:val="28"/>
          <w:sz w:val="28"/>
          <w:szCs w:val="28"/>
          <w:rtl w:val="true"/>
          <w:lang w:bidi="fa-IR"/>
        </w:rPr>
        <w:t>واحتیاج الناس إلیه، ونحو ذلک</w:t>
      </w:r>
      <w:r>
        <w:rPr>
          <w:rFonts w:eastAsia="IRNazanin" w:cs="IRNazanin"/>
          <w:color w:val="111111"/>
          <w:sz w:val="28"/>
          <w:szCs w:val="28"/>
          <w:rtl w:val="true"/>
          <w:lang w:bidi="fa-IR"/>
        </w:rPr>
        <w:t>.</w:t>
      </w:r>
    </w:p>
    <w:p>
      <w:pPr>
        <w:pStyle w:val="Heading4"/>
        <w:numPr>
          <w:ilvl w:val="3"/>
          <w:numId w:val="1"/>
        </w:numPr>
        <w:rPr/>
      </w:pPr>
      <w:bookmarkStart w:id="248" w:name="__RefHeading___Toc2092934_2314609296"/>
      <w:bookmarkStart w:id="249" w:name="_Toc90"/>
      <w:bookmarkEnd w:id="248"/>
      <w:r>
        <w:rPr>
          <w:rtl w:val="true"/>
        </w:rPr>
        <w:t>[</w:t>
      </w:r>
      <w:r>
        <w:rPr>
          <w:rtl w:val="true"/>
        </w:rPr>
        <w:t xml:space="preserve">بیع الفضولی </w:t>
      </w:r>
      <w:r>
        <w:rPr>
          <w:rtl w:val="true"/>
        </w:rPr>
        <w:t>]</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 اللزوم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 البائع والمشتری لما ینقله من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فبدونه یقع العقد موقوفاً علی إجازة المالک، لا باطلاً من أصله علی أشهر القولین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الإجازة اللاحقة من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عن صحّة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وقوعه، لا ناقلة له من حینها؛ لأنّ السبب الناقل للملک هو العقد المشروط بشرائط </w:t>
      </w:r>
      <w:r>
        <w:rPr>
          <w:rStyle w:val="FootnoteAnchor"/>
          <w:rtl w:val="true"/>
        </w:rPr>
        <w:footnoteReference w:id="631"/>
      </w:r>
      <w:r>
        <w:rPr>
          <w:rFonts w:ascii="IRNazanin" w:hAnsi="IRNazanin" w:eastAsia="IRNazanin"/>
          <w:color w:val="111111"/>
          <w:sz w:val="28"/>
          <w:sz w:val="28"/>
          <w:szCs w:val="28"/>
          <w:rtl w:val="true"/>
          <w:lang w:bidi="fa-IR"/>
        </w:rPr>
        <w:t xml:space="preserve">وکلّها کانت حاصلة إلّارضاء المالک، فإذا حصل الشرط عمل السبب التامّ عمله، لعموم الأمر بالوفاء بالعقود </w:t>
      </w:r>
      <w:r>
        <w:rPr>
          <w:rStyle w:val="FootnoteAnchor"/>
          <w:rtl w:val="true"/>
        </w:rPr>
        <w:footnoteReference w:id="632"/>
      </w:r>
      <w:r>
        <w:rPr>
          <w:rFonts w:ascii="IRNazanin" w:hAnsi="IRNazanin" w:eastAsia="IRNazanin"/>
          <w:color w:val="111111"/>
          <w:sz w:val="28"/>
          <w:sz w:val="28"/>
          <w:szCs w:val="28"/>
          <w:rtl w:val="true"/>
          <w:lang w:bidi="fa-IR"/>
        </w:rPr>
        <w:t xml:space="preserve">فلو توقّف العقد علی أمر آخر لزم أن لا یکون الوفاء بالعقد خاصّة، بل هو مع الأمر </w:t>
      </w:r>
      <w:r>
        <w:rPr>
          <w:rStyle w:val="FootnoteAnchor"/>
          <w:rtl w:val="true"/>
        </w:rPr>
        <w:footnoteReference w:id="633"/>
      </w:r>
      <w:r>
        <w:rPr>
          <w:rFonts w:ascii="IRNazanin" w:hAnsi="IRNazanin" w:eastAsia="IRNazanin"/>
          <w:color w:val="111111"/>
          <w:sz w:val="28"/>
          <w:sz w:val="28"/>
          <w:szCs w:val="28"/>
          <w:rtl w:val="true"/>
          <w:lang w:bidi="fa-IR"/>
        </w:rPr>
        <w:t xml:space="preserve">ووجه الثانی </w:t>
      </w:r>
      <w:r>
        <w:rPr>
          <w:rStyle w:val="FootnoteAnchor"/>
          <w:rtl w:val="true"/>
        </w:rPr>
        <w:footnoteReference w:id="634"/>
      </w:r>
      <w:r>
        <w:rPr>
          <w:rFonts w:ascii="IRNazanin" w:hAnsi="IRNazanin" w:eastAsia="IRNazanin"/>
          <w:color w:val="111111"/>
          <w:sz w:val="28"/>
          <w:sz w:val="28"/>
          <w:szCs w:val="28"/>
          <w:rtl w:val="true"/>
          <w:lang w:bidi="fa-IR"/>
        </w:rPr>
        <w:t>توقّف التأثیر علیه، فکان کجزء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الفائدة فی النماء، فإن جعلناها کاشفة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العقد والإجازة الحاصل من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 ونماء الثمن المعیّن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جعلناها ناقلة فهما للمالک المجیز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اتّحد العقد فالحکم کما ذکر، وإن ترتّبت العقود علی الثمن أو المثمن أو هما وأجاز الجمیع صحّ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أجاز أحدها، فإن کان المثمن صحّ فی</w:t>
      </w:r>
    </w:p>
    <w:p>
      <w:pPr>
        <w:pStyle w:val="BookText"/>
        <w:rPr/>
      </w:pPr>
      <w:r>
        <w:rPr>
          <w:rFonts w:ascii="IRNazanin" w:hAnsi="IRNazanin" w:eastAsia="IRNazanin"/>
          <w:color w:val="111111"/>
          <w:sz w:val="28"/>
          <w:sz w:val="28"/>
          <w:szCs w:val="28"/>
          <w:rtl w:val="true"/>
          <w:lang w:bidi="fa-IR"/>
        </w:rPr>
        <w:t>المجاز وما بعده من العقود، أو الثمن صحّ وما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إجازة المبیع توجب انتقاله عن ملک المالک المجیز إلی المشتری فتصحّ العقود المتأخّرة عنه وتبطل السابقة؛ لعدم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وإجازة الثمن توجب انتقاله إلی ملک المجیز فتبطل التصرّفات المتأخّرة عنه حیث لم یجزها وتصحّ السابقة؛ لأنّ ملک الثمن المتوسّط یتوقّف علی صحّة العقود السابقة، وإلّا لم یمکن تملّک ذلک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بیعت الأثمان فی جمیع العقود، أمّا لو تعلّقت العقود بالثمن الأوّل مراراً کان کالمثمن فی صحّة ما اُجیز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القید وارد علی ما أطلقه الجمیع </w:t>
      </w:r>
      <w:r>
        <w:rPr>
          <w:rStyle w:val="FootnoteAnchor"/>
          <w:rtl w:val="true"/>
        </w:rPr>
        <w:footnoteReference w:id="635"/>
      </w:r>
      <w:r>
        <w:rPr>
          <w:rFonts w:ascii="IRNazanin" w:hAnsi="IRNazanin" w:eastAsia="IRNazanin"/>
          <w:color w:val="111111"/>
          <w:sz w:val="28"/>
          <w:sz w:val="28"/>
          <w:szCs w:val="28"/>
          <w:rtl w:val="true"/>
          <w:lang w:bidi="fa-IR"/>
        </w:rPr>
        <w:t>فی هذه المسألة کما فصّلناه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مال المالک بثوب، ثم باع الثوب بمئة، ثم باعه المشتری بمئتین، ثم باعه مشتریه بثلاثمئة، فأجاز المالک العقد الأخیر، فإنّه لا یقتضی إجازة ما سبق، بل لا یصحّ سواه، ولو أجاز الوسط صحّ وما بعده کالمثمن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قد باع الثوب بکتاب، ثم باع الکتاب بسیف، ثم باع السیف بفرس، فإجازة بیع السیف بالفرس تقتضی إجازة ما سبقه من العقود؛ لأنّه إنّما یملک السیف إذا ملک العوض الذی اشتری به وهو الکتاب، ولا یملک الکتاب إلّاإذا ملک العوض الذی اشتری به وهو الثوب، فهنا یصحّ ما ذکروه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یکفی فی الإجازة السکوت 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السکوت أعمّ من الرضا فلا یدلّ علیه، بل لابدّ من لفظ صریح فیها کالعقد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أو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أنفذت، أو أمضیت، أو رضیت،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کأقررته، وأبقیته، والتزمت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یجز انتزعه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عین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بما لَه 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کسکنی الدار ورکوب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الرجوع بعوض المنافع وإن لم یستوفها مع وضع یده علیها؛ لأنّه حینئذٍ کالغاصب وإن کان جاهلاً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کان أم منفصلاً، باقیاً کان أم هالکاً، فیرجع علیه بعوضه وإن کان جاهلاً، وکذا یرجع بعوض المبیع نفسه لو هلک فی یده أو بعضه مع تلف بعضه بتفریط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فی القیمی قیمته یوم التلف إن کان التفاوت بسبب السوق، وبالأعلی إن کان بسبب زیادة عینیّة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المشتری علی البائع بالثمن إن کان باقیاً، عالماً کان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ماله ولم یحصل منه ما یوجب نقله عن ملکه، فإنّه إنّما دفعه عوضاً عن شیء لم یسلّم 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تلف،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 الأکثر </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ادّعی علیه فی التذکرة الإجماع </w:t>
      </w:r>
      <w:r>
        <w:rPr>
          <w:rStyle w:val="FootnoteAnchor"/>
          <w:rtl w:val="true"/>
        </w:rPr>
        <w:footnoteReference w:id="6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 غیر مالک ولا وکیل؛ لأنّه سلطّه علی إتلافه مع علمه بعدم استحقاقه له، فیکون بمنزلة الإباحة، بل ظاهر کلامهم عدم الرجوع به مطلقاً؛ لما ذکرناه من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بقاء العین فی غایة البعد، ومع 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مع توقّع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لم یبحه له مطلقاً بل دفعه متوقّعاً لکونه عوضاً عن المبیع فیکون مضموناً له، ولتصرّف البائع فیه تصرّفاً ممنوعاً منه فیکون مضموناً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بقائه فهو عین مال المشتری، ومع</w:t>
      </w:r>
    </w:p>
    <w:p>
      <w:pPr>
        <w:pStyle w:val="BookText"/>
        <w:rPr/>
      </w:pPr>
      <w:r>
        <w:rPr>
          <w:rFonts w:ascii="IRNazanin" w:hAnsi="IRNazanin" w:eastAsia="IRNazanin"/>
          <w:color w:val="111111"/>
          <w:sz w:val="28"/>
          <w:sz w:val="28"/>
          <w:szCs w:val="28"/>
          <w:rtl w:val="true"/>
          <w:lang w:bidi="fa-IR"/>
        </w:rPr>
        <w:t xml:space="preserve">تسلیم الإباحة لم یحصل ما یوجب الملک، فیکون القول بجواز الرجوع به مطلقاً قویّاً وإن کان نادراً، إن لم یثبت الإجماع علی خلافه، والواقع خلافه، فقد ذهب المحقّق إلی الرجوع به مطلقاً </w:t>
      </w:r>
      <w:r>
        <w:rPr>
          <w:rStyle w:val="FootnoteAnchor"/>
          <w:rtl w:val="true"/>
        </w:rPr>
        <w:footnoteReference w:id="638"/>
      </w:r>
      <w:r>
        <w:rPr>
          <w:rFonts w:ascii="IRNazanin" w:hAnsi="IRNazanin" w:eastAsia="IRNazanin"/>
          <w:color w:val="111111"/>
          <w:sz w:val="28"/>
          <w:sz w:val="28"/>
          <w:szCs w:val="28"/>
          <w:rtl w:val="true"/>
          <w:lang w:bidi="fa-IR"/>
        </w:rPr>
        <w:t>وکیف یجتمع تحریم تصرّف البائع فیه مع عدم رجوع المشتری به فی حال؟ فإنّه حینئذٍ لا محالة غاصب، آکل للمال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هذا الحکم بین الغاصب محضاً والبائع فضولیّاً مع عدم إجازة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اغترم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للمالک حتی بزیادة القیمة عن الثمن لو تلفت العین فرجع بها علیه علی الأقوی؛ لدخوله علی أن تکون له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قابل الثمن من القیمة فلا یرجع به؛ لرجوع عوضه إلیه، فلا یجمع بین العوض والمعوّض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بالقیمة مطلقاً </w:t>
      </w:r>
      <w:r>
        <w:rPr>
          <w:rStyle w:val="FootnoteAnchor"/>
          <w:rtl w:val="true"/>
        </w:rPr>
        <w:footnoteReference w:id="639"/>
      </w:r>
      <w:r>
        <w:rPr>
          <w:rFonts w:ascii="IRNazanin" w:hAnsi="IRNazanin" w:eastAsia="IRNazanin"/>
          <w:color w:val="111111"/>
          <w:sz w:val="28"/>
          <w:sz w:val="28"/>
          <w:szCs w:val="28"/>
          <w:rtl w:val="true"/>
          <w:lang w:bidi="fa-IR"/>
        </w:rPr>
        <w:t>لدخوله علی أن تکون العین مضمونة علیه، کما هو شأن البیع الصحیح والفاسد، کما لو تلفت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ضمانه للمثل أو القیمة أمر زائد علی فوات العین الذی قدم علی ضمانه وهو مغرور من البائع بکون المجموع له بالثمن، فالزائد بمنزلة ما رجع علیه به، وقد حصل له فی مقابلته نفع، بل أولی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الزیادة علی الثمن موجودة حال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تجدّدت بعده</w:t>
      </w:r>
      <w:bookmarkStart w:id="250" w:name="pg19812_249375"/>
    </w:p>
    <w:p>
      <w:pPr>
        <w:pStyle w:val="BookText"/>
        <w:rPr/>
      </w:pPr>
      <w:bookmarkEnd w:id="250"/>
      <w:r>
        <w:rPr>
          <w:rFonts w:ascii="IRNazanin" w:hAnsi="IRNazanin" w:eastAsia="IRNazanin"/>
          <w:color w:val="111111"/>
          <w:sz w:val="28"/>
          <w:sz w:val="28"/>
          <w:szCs w:val="28"/>
          <w:rtl w:val="true"/>
          <w:lang w:bidi="fa-IR"/>
        </w:rPr>
        <w:t>فحکمها حکم الثمرة، فیرجع بها أیضاً کغیرها ممّا حصل له فی مقابلته نفع علی الأقوی، لغروره ودخوله علی أن یکون ذلک له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أنفقه علیه ونحوه ممّا لم یحصل له فی مقابلته نفع فیرجع به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مالکاً أو مأذوناً، بأن ادّعی البائع ملکه أو الإذن فیه، أو سکت ولم یکن المشتری عالماً بالحال</w:t>
      </w:r>
      <w:r>
        <w:rPr>
          <w:rFonts w:eastAsia="IRNazanin" w:cs="IRNazanin"/>
          <w:color w:val="111111"/>
          <w:sz w:val="28"/>
          <w:szCs w:val="28"/>
          <w:rtl w:val="true"/>
          <w:lang w:bidi="fa-IR"/>
        </w:rPr>
        <w:t>.</w:t>
      </w:r>
    </w:p>
    <w:p>
      <w:pPr>
        <w:pStyle w:val="Heading4"/>
        <w:numPr>
          <w:ilvl w:val="3"/>
          <w:numId w:val="1"/>
        </w:numPr>
        <w:rPr/>
      </w:pPr>
      <w:bookmarkStart w:id="251" w:name="__RefHeading___Toc2092936_2314609296"/>
      <w:bookmarkStart w:id="252" w:name="_Toc91"/>
      <w:bookmarkEnd w:id="251"/>
      <w:r>
        <w:rPr>
          <w:rtl w:val="true"/>
        </w:rPr>
        <w:t>[</w:t>
      </w:r>
      <w:r>
        <w:rPr>
          <w:rtl w:val="true"/>
        </w:rPr>
        <w:t>بیع ما یملک و ما لا یملک</w:t>
      </w:r>
      <w:r>
        <w:rPr>
          <w:rtl w:val="true"/>
        </w:rPr>
        <w:t>]</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 غیر المملوک مع ملکه ولم یجز المالک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فی ما لا یملک علی إجازة مالکه، فإن أجاز صحّ البیع ولا 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بعض المبیع غیر مملوک للبائع، لتبعضّ الصفقة أو الشرکة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 رجع کلّ مال إلی مالکه،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بحصّته من الثمن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ویعلم مقدار الحصّة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تقویمهما جمیعاً ثم تقویم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ثم نسبة قیمته إلی قیمة المجموع، فیخصّه من الثمن مثل تلک النسبة، فإذا قوّما جمیعاً بعشرین وأحدهما بعشرة صحّ فی المملوک بنصف الثمن کائناً ما کان، وإنما أخذ بنسبة القیمة ولم یخصّه من الثمن قدر ما قوّم به لاحتمال زیادتها عنه ونقصانها، فربما جمع فی بعض الفروض بین الثمن والمثمن علی ذلک التقدیر کما لو کان قد اشتری المجموع فی المثال بعشرة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یعتبر قیمتهما مجتمعین إذا لم یکن لاجتماعهما مدخل فی زیادة قیمة کلّ واحد کثوبین، أمّا لو استلزم ذلک کمصراعی باب لم یقوّما مجتمعین؛ إذ لا یستحقّ مالک کلّ واحد ما له إلّامنفرداً، وحینئذٍ فیقوّم کلّ منهما منفرداً، وینسب قیمة أحدهما إلی مجموع القیمتین، ویؤخذ من الثمن بتلک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کانا لمالک واحد فأجاز فی أحدهما دون الآخر أمکن فیه ما أطلقوه، مع احتمال ما قیّدناه</w:t>
      </w:r>
      <w:r>
        <w:rPr>
          <w:rFonts w:eastAsia="IRNazanin" w:cs="IRNazanin"/>
          <w:color w:val="111111"/>
          <w:sz w:val="28"/>
          <w:szCs w:val="28"/>
          <w:rtl w:val="true"/>
          <w:lang w:bidi="fa-IR"/>
        </w:rPr>
        <w:t>.</w:t>
      </w:r>
      <w:bookmarkStart w:id="253" w:name="pg19812_249376"/>
    </w:p>
    <w:p>
      <w:pPr>
        <w:pStyle w:val="Heading4"/>
        <w:numPr>
          <w:ilvl w:val="3"/>
          <w:numId w:val="1"/>
        </w:numPr>
        <w:rPr/>
      </w:pPr>
      <w:bookmarkStart w:id="254" w:name="__RefHeading___Toc2092938_2314609296"/>
      <w:bookmarkStart w:id="255" w:name="_Toc92"/>
      <w:bookmarkEnd w:id="253"/>
      <w:bookmarkEnd w:id="254"/>
      <w:r>
        <w:rPr>
          <w:rtl w:val="true"/>
        </w:rPr>
        <w:t>[</w:t>
      </w:r>
      <w:r>
        <w:rPr>
          <w:rtl w:val="true"/>
        </w:rPr>
        <w:t>بیع ما یملک</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باع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 یُملک، کالعبد مع الحرّ والخنزیر مع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یصحّ فی المملوک بنسبة قیمته إلی مجموع القیمتین من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ویقوّم الحرّ لو کان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علیه من الأوصاف والکیفیّات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والخنزیر عند مستحلّیه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بإخبار جماعة منهم کثیرة یؤمن اجتماعهم علی الکذب ویحصل بقولهم العلم أو الظنّ المتاخِم له، أو بإخبار عدلین مسلمین یطّلعان علی حاله عندهم، لا منهم مطلقاً؛ لاشتراط عدالة المقوّم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جهل المشتری بالحال لیتمّ قصده إلی شرائهما ویعتبر العلم بثمن المجموع لا الأفراد، فیوزّع حیث لا یتمّ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 علمه بفساد البیع فیشکل صحّته؛ لإفضائه إلی الجهل بثمن المبیع حال البیع؛ لأنّه فی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العبد بما یخصّه من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وزّعت علیه وعلی شیء آخر لا یعلم مقداره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جهله فقصده إلی شراء المجموع ومعرفة مقدار ثمنه کافٍ وإن لم یعلم مقدار ما یخصّ کلّ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جریان الإشکال فی البائع مع 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بعد فی بطلانه من طرف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یکن المشتری قد دفع الثمن أو کانت عینه باقیة أو کان جاهلاً، وإلّا جاء فیه مع علمه بالفساد ما تقدّم فی الفضولی بالنسبة إلی الرجوع بالثمن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2092940_2314609296"/>
      <w:bookmarkStart w:id="257" w:name="_Toc93"/>
      <w:bookmarkEnd w:id="256"/>
      <w:r>
        <w:rPr>
          <w:rtl w:val="true"/>
        </w:rPr>
        <w:t>[</w:t>
      </w:r>
      <w:r>
        <w:rPr>
          <w:rtl w:val="true"/>
        </w:rPr>
        <w:t>صحة العقد من القائم مقام المالک</w:t>
      </w:r>
      <w:r>
        <w:rPr>
          <w:rtl w:val="true"/>
        </w:rPr>
        <w:t>]</w:t>
      </w:r>
      <w:bookmarkEnd w:id="2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یصحّ العقد من المالک یصحّ من القائم مقامه،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باعتبار معنی الموصول، ویجوز توحیده نظراً إلی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وإن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أحدهما علی الطفل والمجنون الأصلی ومن طرأ جنونه قبل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المالک أو من له الولایة حیث یجوز</w:t>
      </w:r>
    </w:p>
    <w:p>
      <w:pPr>
        <w:pStyle w:val="BookText"/>
        <w:rPr/>
      </w:pPr>
      <w:r>
        <w:rPr>
          <w:rFonts w:ascii="IRNazanin" w:hAnsi="IRNazanin" w:eastAsia="IRNazanin"/>
          <w:color w:val="111111"/>
          <w:sz w:val="28"/>
          <w:sz w:val="28"/>
          <w:szCs w:val="28"/>
          <w:rtl w:val="true"/>
          <w:lang w:bidi="fa-IR"/>
        </w:rPr>
        <w:t xml:space="preserve">له التوکیل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حیث تفقد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منصوبه لذلک أو ما هو أعمّ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وبحکم الحاکمِ المقاصّ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یکون له علی غیره مال فیجحده أو لا یدفعه إلیه مع وجوبه، فله الاستقلال بأخذه من ماله قهراً من جنس حقّه إن وجده، وإلّا فمن غیره بالقیمة، مخیّراً بین بیعه من غیره ومن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إذن الحاکم وإن أمکن لوجوده ووجود البیّنة المقبولة عنده فی الأشهر </w:t>
      </w:r>
      <w:r>
        <w:rPr>
          <w:rStyle w:val="FootnoteAnchor"/>
          <w:rtl w:val="true"/>
        </w:rPr>
        <w:footnoteReference w:id="641"/>
      </w:r>
      <w:r>
        <w:rPr>
          <w:rFonts w:ascii="IRNazanin" w:hAnsi="IRNazanin" w:eastAsia="IRNazanin"/>
          <w:color w:val="111111"/>
          <w:sz w:val="28"/>
          <w:sz w:val="28"/>
          <w:szCs w:val="28"/>
          <w:rtl w:val="true"/>
          <w:lang w:bidi="fa-IR"/>
        </w:rPr>
        <w:t xml:space="preserve">ولو تعذّر الأخذ إلّابزیادة جاز، فتکون فی یده أمانة فی قول </w:t>
      </w:r>
      <w:r>
        <w:rPr>
          <w:rStyle w:val="FootnoteAnchor"/>
          <w:rtl w:val="true"/>
        </w:rPr>
        <w:footnoteReference w:id="642"/>
      </w:r>
      <w:r>
        <w:rPr>
          <w:rFonts w:ascii="IRNazanin" w:hAnsi="IRNazanin" w:eastAsia="IRNazanin"/>
          <w:color w:val="111111"/>
          <w:sz w:val="28"/>
          <w:sz w:val="28"/>
          <w:szCs w:val="28"/>
          <w:rtl w:val="true"/>
          <w:lang w:bidi="fa-IR"/>
        </w:rPr>
        <w:t>إلی أن یتمکّن من ردّها، فیجب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توقّف أخذ الحقّ علی نقب جدار أم کسر قفل جاز، ولا ضمان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المأخوذ کونه زائداً علی المستثنی فی قضاء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تلف من المأخوذ شیء قبل تملّکه ففی ضمانه قولان </w:t>
      </w:r>
      <w:r>
        <w:rPr>
          <w:rStyle w:val="FootnoteAnchor"/>
          <w:rtl w:val="true"/>
        </w:rPr>
        <w:footnoteReference w:id="643"/>
      </w:r>
      <w:r>
        <w:rPr>
          <w:rFonts w:ascii="IRNazanin" w:hAnsi="IRNazanin" w:eastAsia="IRNazanin"/>
          <w:color w:val="111111"/>
          <w:sz w:val="28"/>
          <w:sz w:val="28"/>
          <w:szCs w:val="28"/>
          <w:rtl w:val="true"/>
          <w:lang w:bidi="fa-IR"/>
        </w:rPr>
        <w:t>ویکفی فی التملّک النیّة، سواء کان بالقیمة أم بالمثل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جواز المقاصّة من الودیعة قولان </w:t>
      </w:r>
      <w:r>
        <w:rPr>
          <w:rStyle w:val="FootnoteAnchor"/>
          <w:rtl w:val="true"/>
        </w:rPr>
        <w:footnoteReference w:id="644"/>
      </w:r>
      <w:r>
        <w:rPr>
          <w:rFonts w:ascii="IRNazanin" w:hAnsi="IRNazanin" w:eastAsia="IRNazanin"/>
          <w:color w:val="111111"/>
          <w:sz w:val="28"/>
          <w:sz w:val="28"/>
          <w:szCs w:val="28"/>
          <w:rtl w:val="true"/>
          <w:lang w:bidi="fa-IR"/>
        </w:rPr>
        <w:t xml:space="preserve">والمروّی العدم </w:t>
      </w:r>
      <w:r>
        <w:rPr>
          <w:rStyle w:val="FootnoteAnchor"/>
          <w:rtl w:val="true"/>
        </w:rPr>
        <w:footnoteReference w:id="645"/>
      </w:r>
      <w:r>
        <w:rPr>
          <w:rFonts w:ascii="IRNazanin" w:hAnsi="IRNazanin" w:eastAsia="IRNazanin"/>
          <w:color w:val="111111"/>
          <w:sz w:val="28"/>
          <w:sz w:val="28"/>
          <w:szCs w:val="28"/>
          <w:rtl w:val="true"/>
          <w:lang w:bidi="fa-IR"/>
        </w:rPr>
        <w:t>وحمل علی</w:t>
      </w:r>
      <w:bookmarkStart w:id="258" w:name="pg19812_249378"/>
    </w:p>
    <w:p>
      <w:pPr>
        <w:pStyle w:val="BookText"/>
        <w:rPr/>
      </w:pPr>
      <w:bookmarkEnd w:id="258"/>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 مقاصّة الغائب من غیر مطالبته وجهان، أجودهما العدم إلّا مع طولها بحیث یؤدّی إلی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الرجوع هنا إلی الحاکم فالأقوی توقّفه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 من له الولایة ممّن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طرفی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یبیع من نفسه وممّن له الولایة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إلّاالوکیل والمقاصّ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تولّیهما طرفیه، بل یبیعان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کونهما کغیرهما، وهو اختیاره فی الدروس </w:t>
      </w:r>
      <w:r>
        <w:rPr>
          <w:rStyle w:val="FootnoteAnchor"/>
          <w:rtl w:val="true"/>
        </w:rPr>
        <w:footnoteReference w:id="646"/>
      </w:r>
      <w:r>
        <w:rPr>
          <w:rFonts w:ascii="Amiri" w:hAnsi="Amiri" w:eastAsia="Amiri" w:cs="Amiri"/>
          <w:color w:val="111111"/>
          <w:sz w:val="28"/>
          <w:sz w:val="28"/>
          <w:szCs w:val="28"/>
          <w:rtl w:val="true"/>
          <w:lang w:bidi="ar-SA"/>
        </w:rPr>
        <w:t xml:space="preserve">لعموم الأدلّة </w:t>
      </w:r>
      <w:r>
        <w:rPr>
          <w:rStyle w:val="FootnoteAnchor"/>
          <w:rtl w:val="true"/>
        </w:rPr>
        <w:footnoteReference w:id="647"/>
      </w:r>
      <w:r>
        <w:rPr>
          <w:rFonts w:ascii="IRNazanin" w:hAnsi="IRNazanin" w:eastAsia="IRNazanin"/>
          <w:color w:val="111111"/>
          <w:sz w:val="28"/>
          <w:sz w:val="28"/>
          <w:szCs w:val="28"/>
          <w:rtl w:val="true"/>
          <w:lang w:bidi="fa-IR"/>
        </w:rPr>
        <w:t xml:space="preserve">وعدم وجود ما یصلح للتخصیص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استأذن الوکیل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المانع حینئذٍ</w:t>
      </w:r>
      <w:r>
        <w:rPr>
          <w:rFonts w:eastAsia="IRNazanin" w:cs="IRNazanin"/>
          <w:color w:val="111111"/>
          <w:sz w:val="28"/>
          <w:szCs w:val="28"/>
          <w:rtl w:val="true"/>
          <w:lang w:bidi="fa-IR"/>
        </w:rPr>
        <w:t>.</w:t>
      </w:r>
    </w:p>
    <w:p>
      <w:pPr>
        <w:pStyle w:val="Heading4"/>
        <w:numPr>
          <w:ilvl w:val="3"/>
          <w:numId w:val="1"/>
        </w:numPr>
        <w:rPr/>
      </w:pPr>
      <w:bookmarkStart w:id="259" w:name="__RefHeading___Toc2092942_2314609296"/>
      <w:bookmarkStart w:id="260" w:name="_Toc94"/>
      <w:bookmarkEnd w:id="259"/>
      <w:r>
        <w:rPr>
          <w:rtl w:val="true"/>
        </w:rPr>
        <w:t>[</w:t>
      </w:r>
      <w:r>
        <w:rPr>
          <w:rtl w:val="true"/>
        </w:rPr>
        <w:t xml:space="preserve">بیع المصحف و المسلم </w:t>
      </w:r>
      <w:r>
        <w:rPr>
          <w:rtl w:val="true"/>
        </w:rPr>
        <w:t>]</w:t>
      </w:r>
      <w:bookmarkEnd w:id="26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ویشترط کون المشتری مسلماً إذا ابتاع مصحفاً أو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 ملکه للأوّل من الإهانة، وللثانی من الإذلال وإثبات السبیل له علیه 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ویؤمر بإزالة ملکه </w:t>
      </w:r>
      <w:r>
        <w:rPr>
          <w:rStyle w:val="FootnoteAnchor"/>
          <w:rtl w:val="true"/>
        </w:rPr>
        <w:footnoteReference w:id="649"/>
      </w:r>
      <w:r>
        <w:rPr>
          <w:rFonts w:ascii="IRNazanin" w:hAnsi="IRNazanin" w:eastAsia="IRNazanin"/>
          <w:color w:val="111111"/>
          <w:sz w:val="28"/>
          <w:sz w:val="28"/>
          <w:szCs w:val="28"/>
          <w:rtl w:val="true"/>
          <w:lang w:bidi="fa-IR"/>
        </w:rPr>
        <w:t>وفی حکم المسلم ولده الصغیر والمجنون ومسبیّه المنفرد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ألحقناه به فیه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ولقیط یحکم بإسلامه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منع، لانتفاء السبیل بالعتق </w:t>
      </w:r>
      <w:r>
        <w:rPr>
          <w:rStyle w:val="FootnoteAnchor"/>
          <w:rtl w:val="true"/>
        </w:rPr>
        <w:footnoteReference w:id="651"/>
      </w:r>
      <w:r>
        <w:rPr>
          <w:rFonts w:ascii="IRNazanin" w:hAnsi="IRNazanin" w:eastAsia="IRNazanin"/>
          <w:color w:val="111111"/>
          <w:sz w:val="28"/>
          <w:sz w:val="28"/>
          <w:szCs w:val="28"/>
          <w:rtl w:val="true"/>
          <w:lang w:bidi="fa-IR"/>
        </w:rPr>
        <w:t>وفی حکمه مشروط العتق علیه فی البیع، ومن أقرّ بحرّیته وهو فی 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شرائه حیث یتعقّبه العتق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البیع تملّکه له اختیاراً کالهبة، لا بغیره کالإرث وإسلام عبده، بل یجبر علی بیعه من مسلم علی الفور مع الإمکان، وإلّا حیل بینهما بوضعه علی ید مسلم إلی أن یوجد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بیعه منه إجارته له الواقعة علی عینه لا علی ذمّته، کما لو استدان منه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حکم المصحف أبعاضه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ما یوجد منه فی کتاب غیره شاهداً ونحوه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الجزئیّة، وعدم صدق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إلحاق کتب الحدیث النبویّة به وجه</w:t>
      </w:r>
      <w:r>
        <w:rPr>
          <w:rFonts w:eastAsia="IRNazanin" w:cs="IRNazanin"/>
          <w:color w:val="111111"/>
          <w:sz w:val="28"/>
          <w:szCs w:val="28"/>
          <w:rtl w:val="true"/>
          <w:lang w:bidi="fa-IR"/>
        </w:rPr>
        <w:t>.</w:t>
      </w:r>
      <w:bookmarkStart w:id="261" w:name="pg19812_249380"/>
    </w:p>
    <w:p>
      <w:pPr>
        <w:pStyle w:val="Heading4"/>
        <w:numPr>
          <w:ilvl w:val="3"/>
          <w:numId w:val="1"/>
        </w:numPr>
        <w:rPr/>
      </w:pPr>
      <w:bookmarkStart w:id="262" w:name="__RefHeading___Toc2092944_2314609296"/>
      <w:bookmarkStart w:id="263" w:name="_Toc95"/>
      <w:bookmarkEnd w:id="261"/>
      <w:bookmarkEnd w:id="262"/>
      <w:r>
        <w:rPr>
          <w:rtl w:val="true"/>
        </w:rPr>
        <w:t>[«</w:t>
      </w:r>
      <w:r>
        <w:rPr>
          <w:rtl w:val="true"/>
        </w:rPr>
        <w:t>وهنا مسائل</w:t>
      </w:r>
      <w:r>
        <w:rPr>
          <w:rtl w:val="true"/>
        </w:rPr>
        <w:t>»]</w:t>
      </w:r>
      <w:bookmarkEnd w:id="263"/>
    </w:p>
    <w:p>
      <w:pPr>
        <w:pStyle w:val="Heading5"/>
        <w:numPr>
          <w:ilvl w:val="4"/>
          <w:numId w:val="1"/>
        </w:numPr>
        <w:rPr/>
      </w:pPr>
      <w:bookmarkStart w:id="264" w:name="__RefHeading___Toc2092946_2314609296"/>
      <w:bookmarkStart w:id="265" w:name="_Toc96"/>
      <w:bookmarkEnd w:id="264"/>
      <w:r>
        <w:rPr>
          <w:rtl w:val="true"/>
        </w:rPr>
        <w:t>[«</w:t>
      </w:r>
      <w:r>
        <w:rPr>
          <w:rtl w:val="true"/>
        </w:rPr>
        <w:t>الاُولی</w:t>
      </w:r>
      <w:r>
        <w:rPr>
          <w:rtl w:val="true"/>
        </w:rPr>
        <w:t>» : «</w:t>
      </w:r>
      <w:r>
        <w:rPr>
          <w:rtl w:val="true"/>
        </w:rPr>
        <w:t>یشترط کون المبیع ممّا یملک</w:t>
      </w:r>
      <w:r>
        <w:rPr>
          <w:rtl w:val="true"/>
        </w:rPr>
        <w:t>»]</w:t>
      </w:r>
      <w:bookmarkEnd w:id="26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یقبل الملک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الحرّ، ومالا نفع فیه غالباً کالحشرات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کالحیّات والعقارب والفئران </w:t>
      </w:r>
      <w:r>
        <w:rPr>
          <w:rStyle w:val="FootnoteAnchor"/>
          <w:rtl w:val="true"/>
        </w:rPr>
        <w:footnoteReference w:id="652"/>
      </w:r>
      <w:r>
        <w:rPr>
          <w:rFonts w:ascii="IRNazanin" w:hAnsi="IRNazanin" w:eastAsia="IRNazanin"/>
          <w:color w:val="111111"/>
          <w:sz w:val="28"/>
          <w:sz w:val="28"/>
          <w:szCs w:val="28"/>
          <w:rtl w:val="true"/>
          <w:lang w:bidi="fa-IR"/>
        </w:rPr>
        <w:t xml:space="preserve">والخنافس </w:t>
      </w:r>
      <w:r>
        <w:rPr>
          <w:rStyle w:val="FootnoteAnchor"/>
          <w:rtl w:val="true"/>
        </w:rPr>
        <w:footnoteReference w:id="653"/>
      </w:r>
      <w:r>
        <w:rPr>
          <w:rFonts w:ascii="IRNazanin" w:hAnsi="IRNazanin" w:eastAsia="IRNazanin"/>
          <w:color w:val="111111"/>
          <w:sz w:val="28"/>
          <w:sz w:val="28"/>
          <w:szCs w:val="28"/>
          <w:rtl w:val="true"/>
          <w:lang w:bidi="fa-IR"/>
        </w:rPr>
        <w:t xml:space="preserve">والنمل ونحوها؛ إذ لا نفع فیها یقابل بالمال، وإن ذکر لها منافع فی الخواصّ </w:t>
      </w:r>
      <w:r>
        <w:rPr>
          <w:rStyle w:val="FootnoteAnchor"/>
          <w:rtl w:val="true"/>
        </w:rPr>
        <w:footnoteReference w:id="654"/>
      </w:r>
      <w:r>
        <w:rPr>
          <w:rFonts w:ascii="IRNazanin" w:hAnsi="IRNazanin" w:eastAsia="IRNazanin"/>
          <w:color w:val="111111"/>
          <w:sz w:val="28"/>
          <w:sz w:val="28"/>
          <w:szCs w:val="28"/>
          <w:rtl w:val="true"/>
          <w:lang w:bidi="fa-IR"/>
        </w:rPr>
        <w:t>وهو الخارج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وفضلات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إلّالبن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بیعه والمعاوضة علیه مقدّراً بالمقدار المعلوم أو المدّة، لعظم الانتفاع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المباحات قبل الحیازة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الملک عنها حینئذٍ، والمتبایعان فیها سیّان، وکذا بعد الحیازة قبل نیّة التملّک إن اعتبرناها فیه، کما هو الأجود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الأرض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أی قهراً، کأرض العراق والشام؛ لأنّها للمسلمین قاطبة لا تملک علی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إلّاتبعاً لآثار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بناءٍ وشجر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فیصحّ فی </w:t>
      </w:r>
      <w:r>
        <w:rPr>
          <w:rStyle w:val="FootnoteAnchor"/>
          <w:rtl w:val="true"/>
        </w:rPr>
        <w:footnoteReference w:id="656"/>
      </w:r>
      <w:r>
        <w:rPr>
          <w:rFonts w:ascii="IRNazanin" w:hAnsi="IRNazanin" w:eastAsia="IRNazanin"/>
          <w:color w:val="111111"/>
          <w:sz w:val="28"/>
          <w:sz w:val="28"/>
          <w:szCs w:val="28"/>
          <w:rtl w:val="true"/>
          <w:lang w:bidi="fa-IR"/>
        </w:rPr>
        <w:t>الأقوی، وتبقی تابعة له ما دامت الآثار، فإذا زالت رجعت إلی 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منها المحیاة وقت الفتح، أمّا الموات فیملکها المحیی ویصحّ بیعها کغیرها من الأملاک</w:t>
      </w:r>
      <w:r>
        <w:rPr>
          <w:rFonts w:eastAsia="IRNazanin" w:cs="IRNazanin"/>
          <w:color w:val="111111"/>
          <w:sz w:val="28"/>
          <w:szCs w:val="28"/>
          <w:rtl w:val="true"/>
          <w:lang w:bidi="fa-IR"/>
        </w:rPr>
        <w:t>.</w:t>
      </w:r>
      <w:bookmarkStart w:id="266" w:name="pg19812_249381"/>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عدم جواز بیع رباع مکّة</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أی 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شرفاً، لنقل الشیخ فی الخلاف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جوازه </w:t>
      </w:r>
      <w:r>
        <w:rPr>
          <w:rStyle w:val="FootnoteAnchor"/>
          <w:rtl w:val="true"/>
        </w:rPr>
        <w:footnoteReference w:id="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إنّها فتحت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لاستواء الناس فیها حینئذٍ، ولو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فتحت صلحاً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تقیید المنع بالقول بفتحها عنوة مع تعلیله بنقل الإجماع المنقول بخبر الواحد تنافر؛ لأنّ الإجماع إن ثبت لم یتوقّف علی أمر آخر، وإن لم یثبت افتقر إلی التعلیل بالفتح عنوة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علی ما اختاره سابقاً من ملکه تبعاً للآثار ینبغی الجواز، للقطع بتجدّد الآثار فی جمیع دورها عمّا کانت علیه عام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علّل المنع بالروایة عن النبیّ صلی الله علیه و آله بالنهی عنه </w:t>
      </w:r>
      <w:r>
        <w:rPr>
          <w:rStyle w:val="FootnoteAnchor"/>
          <w:rtl w:val="true"/>
        </w:rPr>
        <w:footnoteReference w:id="659"/>
      </w:r>
      <w:r>
        <w:rPr>
          <w:rFonts w:ascii="IRNazanin" w:hAnsi="IRNazanin" w:eastAsia="IRNazanin"/>
          <w:color w:val="111111"/>
          <w:sz w:val="28"/>
          <w:sz w:val="28"/>
          <w:szCs w:val="28"/>
          <w:rtl w:val="true"/>
          <w:lang w:bidi="fa-IR"/>
        </w:rPr>
        <w:t xml:space="preserve">وبکونها فی حکم المسجد، لآیة الإسراء </w:t>
      </w:r>
      <w:r>
        <w:rPr>
          <w:rStyle w:val="FootnoteAnchor"/>
          <w:rtl w:val="true"/>
        </w:rPr>
        <w:footnoteReference w:id="660"/>
      </w:r>
      <w:r>
        <w:rPr>
          <w:rFonts w:ascii="Amiri" w:hAnsi="Amiri" w:eastAsia="Amiri" w:cs="Amiri"/>
          <w:color w:val="111111"/>
          <w:sz w:val="28"/>
          <w:sz w:val="28"/>
          <w:szCs w:val="28"/>
          <w:rtl w:val="true"/>
          <w:lang w:bidi="ar-SA"/>
        </w:rPr>
        <w:t xml:space="preserve">مع أ نّه کان من بیت اُمّ هانئ </w:t>
      </w:r>
      <w:r>
        <w:rPr>
          <w:rStyle w:val="FootnoteAnchor"/>
          <w:rtl w:val="true"/>
        </w:rPr>
        <w:footnoteReference w:id="661"/>
      </w:r>
      <w:r>
        <w:rPr>
          <w:rFonts w:ascii="IRNazanin" w:hAnsi="IRNazanin" w:eastAsia="IRNazanin"/>
          <w:color w:val="111111"/>
          <w:sz w:val="28"/>
          <w:sz w:val="28"/>
          <w:szCs w:val="28"/>
          <w:rtl w:val="true"/>
          <w:lang w:bidi="fa-IR"/>
        </w:rPr>
        <w:t>لکن الخبر لم یثبت، وحقیقة المسجدیّة منتفیة، ومجاز المجاورة والشرف والحرمة ممکن والإجماع غیر متحقّق، فالجواز متّجه</w:t>
      </w:r>
      <w:r>
        <w:rPr>
          <w:rFonts w:eastAsia="IRNazanin" w:cs="IRNazanin"/>
          <w:color w:val="111111"/>
          <w:sz w:val="28"/>
          <w:szCs w:val="28"/>
          <w:rtl w:val="true"/>
          <w:lang w:bidi="fa-IR"/>
        </w:rPr>
        <w:t>.</w:t>
      </w:r>
    </w:p>
    <w:p>
      <w:pPr>
        <w:pStyle w:val="Heading5"/>
        <w:numPr>
          <w:ilvl w:val="4"/>
          <w:numId w:val="1"/>
        </w:numPr>
        <w:rPr/>
      </w:pPr>
      <w:bookmarkStart w:id="267" w:name="__RefHeading___Toc2092948_2314609296"/>
      <w:bookmarkStart w:id="268" w:name="_Toc97"/>
      <w:bookmarkEnd w:id="267"/>
      <w:r>
        <w:rPr>
          <w:rtl w:val="true"/>
        </w:rPr>
        <w:t>[</w:t>
      </w:r>
      <w:r>
        <w:rPr>
          <w:rtl w:val="true"/>
        </w:rPr>
        <w:t>الثانیة یشترط ان یکون مقدورا علی تسلیمه</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مقدوراً علی تسلیمه، فلو باع الحمام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من الطیور المملوکة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 إلّاأن تقضی العادة بعوده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لأنّه حینئذٍ کالعبد المنفَذ فی الحوائج والدابّة المرسلة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المتعذّر تسلیمه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مع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یصحّ بیعه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وقدر علی إثبات یده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کان الثمن بإزاء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الآبق بالنسبة إلی الثمن منزلة المعدوم، ولکن لا یخرج بالتعذّر عن ملک المشتری، فیصحّ عتقه عن الکفّارة وبیعه لغیره مع الضمیمة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خیار للمشتری مع العلم بإباقه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لقدومه علی النقص، أمّا لو جهل جاز الفسخ إن کان البیع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بیعه ما یشترط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معلوماً موجوداً عند العقد وغیر ذلک سوی القدرة علی تسلیمه، فلو ظهر تلفه حین البیع أو استحقاقه لغیر البائع أو مخالفاً للوصف بطل البیع فیما یقابله فی الأوّلین وتخیّر المشتری فی الأخیر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قدر المشتری علی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عدم اشتراط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البیع؛ لحصول الشرط وهو القدرة علی تسلّمه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الموجب للضمیمة بالنصّ </w:t>
      </w:r>
      <w:r>
        <w:rPr>
          <w:rStyle w:val="FootnoteAnchor"/>
          <w:rtl w:val="true"/>
        </w:rPr>
        <w:footnoteReference w:id="662"/>
      </w:r>
      <w:r>
        <w:rPr>
          <w:rFonts w:ascii="IRNazanin" w:hAnsi="IRNazanin" w:eastAsia="IRNazanin"/>
          <w:color w:val="111111"/>
          <w:sz w:val="28"/>
          <w:sz w:val="28"/>
          <w:szCs w:val="28"/>
          <w:rtl w:val="true"/>
          <w:lang w:bidi="fa-IR"/>
        </w:rPr>
        <w:t>وکون الشرط التسلیم، وهو أمر آخر غیر التسلّم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ویضعّف بأنّ الغایة المقصودة من التسلیم حصوله بید المشتری بغیر مانع وهی موجودة، والموجبة للضمیمة العجز عن تحصیله وهی مفقودة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لحوق أحکامها لو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فیوزّع الثمن علیهما لو لم یقدر علی تحصیله أو تلف قبل القبض، ولا یتخیّر لو لم یعلم بإباقه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یشترط فی الضمیمة صحّة إفرادها بالبیع؛ لأنّه حینئذٍ بمنزلة المقبوض، وغیر ذلک من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یلحق بالآبق غیره ممّا فی معناه، کالبعیر الشارد والفرس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العائر </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علی الأقوی، بل المملوک المتعذّر تسلیمه بغیر الإباق،</w:t>
      </w:r>
    </w:p>
    <w:p>
      <w:pPr>
        <w:pStyle w:val="BookText"/>
        <w:rPr/>
      </w:pPr>
      <w:r>
        <w:rPr>
          <w:rFonts w:ascii="IRNazanin" w:hAnsi="IRNazanin" w:eastAsia="IRNazanin"/>
          <w:color w:val="111111"/>
          <w:sz w:val="28"/>
          <w:sz w:val="28"/>
          <w:szCs w:val="28"/>
          <w:rtl w:val="true"/>
          <w:lang w:bidi="fa-IR"/>
        </w:rPr>
        <w:t xml:space="preserve">اقتصاراً فیما خالف الأصل </w:t>
      </w:r>
      <w:r>
        <w:rPr>
          <w:rStyle w:val="FootnoteAnchor"/>
          <w:rtl w:val="true"/>
        </w:rPr>
        <w:footnoteReference w:id="664"/>
      </w:r>
      <w:r>
        <w:rPr>
          <w:rFonts w:ascii="IRNazanin" w:hAnsi="IRNazanin" w:eastAsia="IRNazanin"/>
          <w:color w:val="111111"/>
          <w:sz w:val="28"/>
          <w:sz w:val="28"/>
          <w:szCs w:val="28"/>
          <w:rtl w:val="true"/>
          <w:lang w:bidi="fa-IR"/>
        </w:rPr>
        <w:t>علی المنصوص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الضالّ والمجحود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إباق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البیع، ویراعی بإمکان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أمکن فی وقت قریب لا یفوت به شیء من المنافع یعتدّ به أو رضی المشتری بالصبر إلی أن یسلّم 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w:t>
      </w:r>
      <w:r>
        <w:rPr>
          <w:rStyle w:val="FootnoteAnchor"/>
          <w:rtl w:val="true"/>
        </w:rPr>
        <w:footnoteReference w:id="665"/>
      </w:r>
      <w:r>
        <w:rPr>
          <w:rFonts w:ascii="IRNazanin" w:hAnsi="IRNazanin" w:eastAsia="IRNazanin"/>
          <w:color w:val="111111"/>
          <w:sz w:val="28"/>
          <w:sz w:val="28"/>
          <w:szCs w:val="28"/>
          <w:rtl w:val="true"/>
          <w:lang w:bidi="fa-IR"/>
        </w:rPr>
        <w:t>تعذّر فسخ المشتری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 التزم وبقی علی ملکه ینتفع به بالعتق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بطلان البیع، لفقد شرط الصحّة، وهو إمکان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یجوز جعل الآبق مثمناً یجوز جعله ثمناً، سواء کان فی مقابله </w:t>
      </w:r>
      <w:r>
        <w:rPr>
          <w:rStyle w:val="FootnoteAnchor"/>
          <w:rtl w:val="true"/>
        </w:rPr>
        <w:footnoteReference w:id="666"/>
      </w:r>
      <w:r>
        <w:rPr>
          <w:rFonts w:ascii="IRNazanin" w:hAnsi="IRNazanin" w:eastAsia="IRNazanin"/>
          <w:color w:val="111111"/>
          <w:sz w:val="28"/>
          <w:sz w:val="28"/>
          <w:szCs w:val="28"/>
          <w:rtl w:val="true"/>
          <w:lang w:bidi="fa-IR"/>
        </w:rPr>
        <w:t>آبق آخر أم غیره؛ لحصول معنی البیع فی الثمن والمثمن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احتیاج العبد الآبق المجعول ثمناً إلی الضمیمة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لاشتراکهما فی العلّة المقتضیة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یجوز أن یکون أحدهما ثمناً والآخر مثمناً مع الضمیمتین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الضمیمة فی الثمن والمثمن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آبق آخر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من الضمیمة أن تکون ثمناً إذا تعذّر تحصیله، فتکون جامعة لشرائطه التی من جملتها إمکان التسلیم، والآبق الآخر لیس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تعدّدت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الثمن والمثمن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 ضمیمة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الضمیمة مع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فیها کونها متموّلة إذا وزّعت علی کلّ واحد؛ لأنّ ذلک یصیر بمنزلة ضمائم، مع أنّ الواحدة کافیة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الفروع من خواصّ هذا الکتاب </w:t>
      </w:r>
      <w:r>
        <w:rPr>
          <w:rStyle w:val="FootnoteAnchor"/>
          <w:rtl w:val="true"/>
        </w:rPr>
        <w:footnoteReference w:id="667"/>
      </w:r>
      <w:r>
        <w:rPr>
          <w:rFonts w:ascii="IRNazanin" w:hAnsi="IRNazanin" w:eastAsia="IRNazanin"/>
          <w:color w:val="111111"/>
          <w:sz w:val="28"/>
          <w:sz w:val="28"/>
          <w:szCs w:val="28"/>
          <w:rtl w:val="true"/>
          <w:lang w:bidi="fa-IR"/>
        </w:rPr>
        <w:t>ومثلها فی تضاعیفه کثیر ننبّه علیه إن شاء اللّٰه تعالی فی مواضعه</w:t>
      </w:r>
      <w:r>
        <w:rPr>
          <w:rFonts w:eastAsia="IRNazanin" w:cs="IRNazanin"/>
          <w:color w:val="111111"/>
          <w:sz w:val="28"/>
          <w:szCs w:val="28"/>
          <w:rtl w:val="true"/>
          <w:lang w:bidi="fa-IR"/>
        </w:rPr>
        <w:t>.</w:t>
      </w:r>
      <w:bookmarkStart w:id="269" w:name="pg19812_249384"/>
    </w:p>
    <w:p>
      <w:pPr>
        <w:pStyle w:val="Heading5"/>
        <w:numPr>
          <w:ilvl w:val="4"/>
          <w:numId w:val="1"/>
        </w:numPr>
        <w:rPr/>
      </w:pPr>
      <w:bookmarkStart w:id="270" w:name="__RefHeading___Toc2092950_2314609296"/>
      <w:bookmarkStart w:id="271" w:name="_Toc98"/>
      <w:bookmarkEnd w:id="269"/>
      <w:bookmarkEnd w:id="270"/>
      <w:r>
        <w:rPr>
          <w:rtl w:val="true"/>
        </w:rPr>
        <w:t>[</w:t>
      </w:r>
      <w:r>
        <w:rPr>
          <w:rtl w:val="true"/>
        </w:rPr>
        <w:t>الثالثة یشترط</w:t>
      </w:r>
      <w:r>
        <w:rPr>
          <w:rtl w:val="true"/>
        </w:rPr>
        <w:t xml:space="preserve">: </w:t>
      </w:r>
      <w:r>
        <w:rPr>
          <w:rtl w:val="true"/>
        </w:rPr>
        <w:t>ان یکون طلقا</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طلقاً، فلا یصحّ بیع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مطلقاً إلّا أن یتلاشی ویضمحلّ بحیث لا یمکن الانتفاع به فی الجهة المقصودة مطلقاً، کحصیر یبلی ولا یصلح للانتفاع به فی محلّ الوقف، وجذع ینکسر کذلک ولا یمکن صرفهما بأعیانهما فی الوقود لمصالحه کآجر المسجد، فیجوز بیعه حینئذٍ وصرفه فی مصالحه، إن لم یمکن الاعتیاض عنه بوقف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أصله موقوفاً بل اشتری للمسجد مثلاً من غلّته أو بذله له باذل، صحّ للناظر بیعه مع المصلحة مطلقاً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أدّی بقاؤه إلی خرابه لخلف بین أربابه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المحصور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جواز بیعه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اکتفی فی جواز بیعه بخوف خرابه أو خلف أربابه المؤدّی إلی فساد </w:t>
      </w:r>
      <w:r>
        <w:rPr>
          <w:rStyle w:val="FootnoteAnchor"/>
          <w:rtl w:val="true"/>
        </w:rPr>
        <w:footnoteReference w:id="670"/>
      </w:r>
      <w:r>
        <w:rPr>
          <w:rFonts w:ascii="IRNazanin" w:hAnsi="IRNazanin" w:eastAsia="IRNazanin"/>
          <w:color w:val="111111"/>
          <w:sz w:val="28"/>
          <w:sz w:val="28"/>
          <w:szCs w:val="28"/>
          <w:rtl w:val="true"/>
          <w:lang w:bidi="fa-IR"/>
        </w:rPr>
        <w:t xml:space="preserve">وقلّ أن یتّفق فی هذه المسألة فتوی واحدٍ، بل فی کتاب واحدٍ فی باب البیع والوقف، فتأمّلها أو طالع شرح المصنّف للإرشاد </w:t>
      </w:r>
      <w:r>
        <w:rPr>
          <w:rStyle w:val="FootnoteAnchor"/>
          <w:rtl w:val="true"/>
        </w:rPr>
        <w:footnoteReference w:id="671"/>
      </w:r>
      <w:r>
        <w:rPr>
          <w:rFonts w:ascii="IRNazanin" w:hAnsi="IRNazanin" w:eastAsia="IRNazanin"/>
          <w:color w:val="111111"/>
          <w:sz w:val="28"/>
          <w:sz w:val="28"/>
          <w:szCs w:val="28"/>
          <w:rtl w:val="true"/>
          <w:lang w:bidi="fa-IR"/>
        </w:rPr>
        <w:t>تطّلع علی 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فی المسألة ما دلّت علیه صحیحة علیّ بن مهزیار عن أبی جعفر الجواد علیه السلام من جواز بیعه إذا وقع بین أربابه خلفٌ شدید، وعلّله علیه السلام بأ نّه ربما جاء فیه تلف الأموال والنفوس </w:t>
      </w:r>
      <w:r>
        <w:rPr>
          <w:rStyle w:val="FootnoteAnchor"/>
          <w:rtl w:val="true"/>
        </w:rPr>
        <w:footnoteReference w:id="672"/>
      </w:r>
      <w:r>
        <w:rPr>
          <w:rFonts w:ascii="IRNazanin" w:hAnsi="IRNazanin" w:eastAsia="IRNazanin"/>
          <w:color w:val="111111"/>
          <w:sz w:val="28"/>
          <w:sz w:val="28"/>
          <w:szCs w:val="28"/>
          <w:rtl w:val="true"/>
          <w:lang w:bidi="fa-IR"/>
        </w:rPr>
        <w:t>وظاهره أنّ خوف أدائه إلیهما أو إلی أحدهما لیس بشرط، بل هو مظنّة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الحدیث اختلفت أفهامهم فی الشرط</w:t>
      </w:r>
    </w:p>
    <w:p>
      <w:pPr>
        <w:pStyle w:val="BookText"/>
        <w:rPr/>
      </w:pPr>
      <w:r>
        <w:rPr>
          <w:rFonts w:ascii="IRNazanin" w:hAnsi="IRNazanin" w:eastAsia="IRNazanin"/>
          <w:color w:val="111111"/>
          <w:sz w:val="28"/>
          <w:sz w:val="28"/>
          <w:szCs w:val="28"/>
          <w:rtl w:val="true"/>
          <w:lang w:bidi="fa-IR"/>
        </w:rPr>
        <w:t xml:space="preserve">المسوّغ للبیع، ففهم المصنّف هنا أنّ المعتبر الخلف المؤدّی إلی الخراب نظراً إلی تعلیله بتلف المال، فإنّ الظاهر أنّ المراد بالمال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دخل لغیره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بیعه فی غیر ما ذکرناه وإن احتاج إلی بیعه أرباب الوقف ولم تکفهم غلّته، أو کان بیعه أعودَ، أو غیر ذلک مما قیل </w:t>
      </w:r>
      <w:r>
        <w:rPr>
          <w:rStyle w:val="FootnoteAnchor"/>
          <w:rtl w:val="true"/>
        </w:rPr>
        <w:footnoteReference w:id="673"/>
      </w:r>
      <w:r>
        <w:rPr>
          <w:rFonts w:ascii="IRNazanin" w:hAnsi="IRNazanin" w:eastAsia="IRNazanin"/>
          <w:color w:val="111111"/>
          <w:sz w:val="28"/>
          <w:sz w:val="28"/>
          <w:szCs w:val="28"/>
          <w:rtl w:val="true"/>
          <w:lang w:bidi="fa-IR"/>
        </w:rPr>
        <w:t>لعدم دلیل صالح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یجوز بیعه یشتری بثمنه ما یکون وقفاً علی ذلک الوجه إن أمکن، مراعیاً للأقرب إلی صفته فالأقرب، والمتولّی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 إن کان، وإلّا الموقوف علیهم إن انحصروا، وإلّا فالناظر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الاستیلاد المانع من البیع بعلوقها فی ملکه وإن لم تلجه الروح کما سیأتی،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 الولد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الأغلب أو علی التجوّز؛ لأنّه قبل ولوج الروح لا یوصف بالحیاة إلّا مجازاً، ولو مات صارت کغیرها من إمائه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حیاته فلا یجوز 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ثمانیة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الجمع من خواصّ هذا الکتاب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ثمن رقبتها مع إعسار مولاها، سواء کان حیّاً أو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الموت فموضع وفاق، وأمّا مع الحیاة فعلی أصحّ القولین </w:t>
      </w:r>
      <w:r>
        <w:rPr>
          <w:rStyle w:val="FootnoteAnchor"/>
          <w:rtl w:val="true"/>
        </w:rPr>
        <w:footnoteReference w:id="675"/>
      </w:r>
      <w:r>
        <w:rPr>
          <w:rFonts w:ascii="IRNazanin" w:hAnsi="IRNazanin" w:eastAsia="IRNazanin"/>
          <w:color w:val="111111"/>
          <w:sz w:val="28"/>
          <w:sz w:val="28"/>
          <w:szCs w:val="28"/>
          <w:rtl w:val="true"/>
          <w:lang w:bidi="fa-IR"/>
        </w:rPr>
        <w:t>لإطلاق</w:t>
      </w:r>
    </w:p>
    <w:p>
      <w:pPr>
        <w:pStyle w:val="BookText"/>
        <w:rPr/>
      </w:pPr>
      <w:r>
        <w:rPr>
          <w:rFonts w:ascii="Amiri" w:hAnsi="Amiri" w:eastAsia="Amiri" w:cs="Amiri"/>
          <w:color w:val="111111"/>
          <w:sz w:val="28"/>
          <w:sz w:val="28"/>
          <w:szCs w:val="28"/>
          <w:rtl w:val="true"/>
          <w:lang w:bidi="ar-SA"/>
        </w:rPr>
        <w:t xml:space="preserve">النصّ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بإعساره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من المال ما یوفی ثمنها زائداً علی المستثنیات فی وفاء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جنت علی غیر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 ثمنها فی الجنایة أو رقبتها إن رضی المجنیّ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الجنایة علی مولاها لم یجز؛ لأنّه لا یثبت له علی ماله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تأدّیها ببیع بعضها وجب الاقتصار علیه، وقوفاً فیما خالف الأصل علی موضع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قریبها ولا وارث له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لتعتق وترثه، وهو تعجیل عتق أولی بالحکم من إبقائها لتعتق بعد وفاة مولاها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علوقها بعد الارتهان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حقّ المرتهن لسبقه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حق الاستیلاد </w:t>
      </w:r>
      <w:r>
        <w:rPr>
          <w:rStyle w:val="FootnoteAnchor"/>
          <w:rtl w:val="true"/>
        </w:rPr>
        <w:footnoteReference w:id="677"/>
      </w:r>
      <w:r>
        <w:rPr>
          <w:rFonts w:ascii="IRNazanin" w:hAnsi="IRNazanin" w:eastAsia="IRNazanin"/>
          <w:color w:val="111111"/>
          <w:sz w:val="28"/>
          <w:sz w:val="28"/>
          <w:szCs w:val="28"/>
          <w:rtl w:val="true"/>
          <w:lang w:bidi="fa-IR"/>
        </w:rPr>
        <w:t xml:space="preserve">لبناء العتق علی التغلیب، ولعموم النهی عن بیعها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علوقها بعد الإفلاس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الحجر علی المفلس، فإنّ مجرّد ظهور الإفلاس لا یوجب تعلّق حقّ الدیّان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 هنا </w:t>
      </w:r>
      <w:r>
        <w:rPr>
          <w:rStyle w:val="FootnoteAnchor"/>
          <w:rtl w:val="true"/>
        </w:rPr>
        <w:footnoteReference w:id="679"/>
      </w:r>
      <w:r>
        <w:rPr>
          <w:rFonts w:ascii="IRNazanin" w:hAnsi="IRNazanin" w:eastAsia="IRNazanin"/>
          <w:color w:val="111111"/>
          <w:sz w:val="28"/>
          <w:sz w:val="28"/>
          <w:szCs w:val="28"/>
          <w:rtl w:val="true"/>
          <w:lang w:bidi="fa-IR"/>
        </w:rPr>
        <w:t>کالرهن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مولاها ولم یخلّف سواها وعلیه دین مستغرق وإن لم</w:t>
      </w:r>
    </w:p>
    <w:p>
      <w:pPr>
        <w:pStyle w:val="BookText"/>
        <w:rPr/>
      </w:pPr>
      <w:r>
        <w:rPr>
          <w:rFonts w:ascii="IRNazanin" w:hAnsi="IRNazanin" w:eastAsia="IRNazanin"/>
          <w:color w:val="111111"/>
          <w:sz w:val="28"/>
          <w:sz w:val="28"/>
          <w:szCs w:val="28"/>
          <w:rtl w:val="true"/>
          <w:lang w:bidi="fa-IR"/>
        </w:rPr>
        <w:t>یکن ثمناً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إنّما تعتق بموت مولاها من نصیب ولدها ولا نصیب له مع استغراق الدین، فلا تعتق وتصرف فی الدین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بیعها علی من تنعتق علیه، فإنّه فی قوّة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تعجیل</w:t>
      </w:r>
    </w:p>
    <w:p>
      <w:pPr>
        <w:pStyle w:val="BookText"/>
        <w:rPr/>
      </w:pPr>
      <w:r>
        <w:rPr>
          <w:rFonts w:ascii="IRNazanin" w:hAnsi="IRNazanin" w:eastAsia="IRNazanin"/>
          <w:color w:val="111111"/>
          <w:sz w:val="28"/>
          <w:sz w:val="28"/>
          <w:szCs w:val="28"/>
          <w:rtl w:val="true"/>
          <w:lang w:bidi="fa-IR"/>
        </w:rPr>
        <w:t>خیر یستفاد من مفهوم الموافقة، حیث إنّ المنع من البیع لأجل 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جواز بیعها بشرط العتق نظر، أقربه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 </w:t>
      </w:r>
      <w:r>
        <w:rPr>
          <w:rStyle w:val="FootnoteAnchor"/>
          <w:rtl w:val="true"/>
        </w:rPr>
        <w:footnoteReference w:id="680"/>
      </w:r>
      <w:r>
        <w:rPr>
          <w:rFonts w:ascii="IRNazanin" w:hAnsi="IRNazanin" w:eastAsia="IRNazanin"/>
          <w:color w:val="111111"/>
          <w:sz w:val="28"/>
          <w:sz w:val="28"/>
          <w:szCs w:val="28"/>
          <w:rtl w:val="true"/>
          <w:lang w:bidi="fa-IR"/>
        </w:rPr>
        <w:t xml:space="preserve">فإن لم یفِ المشتری بالشرط فسخ البیع وجوباً، وإن لم یفسخه المولی احتمل انفساخه بنفسه، وفسخ الحاکم إن اتّفق </w:t>
      </w:r>
      <w:r>
        <w:rPr>
          <w:rStyle w:val="FootnoteAnchor"/>
          <w:rtl w:val="true"/>
        </w:rPr>
        <w:footnoteReference w:id="681"/>
      </w:r>
      <w:r>
        <w:rPr>
          <w:rFonts w:ascii="IRNazanin" w:hAnsi="IRNazanin" w:eastAsia="IRNazanin"/>
          <w:color w:val="111111"/>
          <w:sz w:val="28"/>
          <w:sz w:val="28"/>
          <w:szCs w:val="28"/>
          <w:rtl w:val="true"/>
          <w:lang w:bidi="fa-IR"/>
        </w:rPr>
        <w:t>وهذا موضع 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الأوّل من هذه المواضع غیر منصوص بخصوصه، وللنظر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حکاها فی الدروس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جعله احتمالاً </w:t>
      </w:r>
      <w:r>
        <w:rPr>
          <w:rStyle w:val="FootnoteAnchor"/>
          <w:rtl w:val="true"/>
        </w:rPr>
        <w:footnoteReference w:id="682"/>
      </w:r>
      <w:r>
        <w:rPr>
          <w:rFonts w:ascii="IRNazanin" w:hAnsi="IRNazanin" w:eastAsia="IRNazanin"/>
          <w:color w:val="111111"/>
          <w:sz w:val="28"/>
          <w:sz w:val="28"/>
          <w:szCs w:val="28"/>
          <w:rtl w:val="true"/>
          <w:lang w:bidi="fa-IR"/>
        </w:rPr>
        <w:t>من غیر ترجیح لشیء منها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بعضهم مواضع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کفن سیّدها إذا لم یخلّف سواها ولم یمکن بیع بعضها فیه، وإلّا اقتصر علیه </w:t>
      </w:r>
      <w:r>
        <w:rPr>
          <w:rStyle w:val="FootnoteAnchor"/>
          <w:rtl w:val="true"/>
        </w:rPr>
        <w:footnoteReference w:id="683"/>
      </w:r>
      <w:r>
        <w:rPr>
          <w:rFonts w:ascii="IRNazanin" w:hAnsi="IRNazanin" w:eastAsia="IRNazanin"/>
          <w:color w:val="111111"/>
          <w:sz w:val="28"/>
          <w:sz w:val="28"/>
          <w:szCs w:val="28"/>
          <w:rtl w:val="true"/>
          <w:lang w:bidi="fa-IR"/>
        </w:rPr>
        <w:t>وحادی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أسلمت قبل مولاها الکافر </w:t>
      </w:r>
      <w:r>
        <w:rPr>
          <w:rStyle w:val="FootnoteAnchor"/>
          <w:rtl w:val="true"/>
        </w:rPr>
        <w:footnoteReference w:id="684"/>
      </w:r>
      <w:r>
        <w:rPr>
          <w:rFonts w:ascii="IRNazanin" w:hAnsi="IRNazanin" w:eastAsia="IRNazanin"/>
          <w:color w:val="111111"/>
          <w:sz w:val="28"/>
          <w:sz w:val="28"/>
          <w:szCs w:val="28"/>
          <w:rtl w:val="true"/>
          <w:lang w:bidi="fa-IR"/>
        </w:rPr>
        <w:t>وثانی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ولدها غیر وارث، لکونه قاتلاً أو کافراً </w:t>
      </w:r>
      <w:r>
        <w:rPr>
          <w:rStyle w:val="FootnoteAnchor"/>
          <w:rtl w:val="true"/>
        </w:rPr>
        <w:footnoteReference w:id="685"/>
      </w:r>
      <w:r>
        <w:rPr>
          <w:rFonts w:ascii="IRNazanin" w:hAnsi="IRNazanin" w:eastAsia="IRNazanin"/>
          <w:color w:val="111111"/>
          <w:sz w:val="28"/>
          <w:sz w:val="28"/>
          <w:szCs w:val="28"/>
          <w:rtl w:val="true"/>
          <w:lang w:bidi="fa-IR"/>
        </w:rPr>
        <w:t>لأ نّها لا تنعتق بموت مولاها حینئذٍ؛ إذ لا نصیب لولدها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جنت علی مولاها جنایة تستغرق قیمتها </w:t>
      </w:r>
      <w:r>
        <w:rPr>
          <w:rStyle w:val="FootnoteAnchor"/>
          <w:rtl w:val="true"/>
        </w:rPr>
        <w:footnoteReference w:id="686"/>
      </w:r>
      <w:r>
        <w:rPr>
          <w:rFonts w:ascii="IRNazanin" w:hAnsi="IRNazanin" w:eastAsia="IRNazanin"/>
          <w:color w:val="111111"/>
          <w:sz w:val="28"/>
          <w:sz w:val="28"/>
          <w:szCs w:val="28"/>
          <w:rtl w:val="true"/>
          <w:lang w:bidi="fa-IR"/>
        </w:rPr>
        <w:t>ورابع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قتلته خطأ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72" w:name="pg19812_249388"/>
    </w:p>
    <w:p>
      <w:pPr>
        <w:pStyle w:val="BookText"/>
        <w:rPr/>
      </w:pPr>
      <w:bookmarkEnd w:id="272"/>
      <w:r>
        <w:rPr>
          <w:rFonts w:ascii="IRNazanin" w:hAnsi="IRNazanin" w:eastAsia="IRNazanin"/>
          <w:color w:val="111111"/>
          <w:sz w:val="28"/>
          <w:sz w:val="28"/>
          <w:szCs w:val="28"/>
          <w:rtl w:val="true"/>
          <w:lang w:bidi="fa-IR"/>
        </w:rPr>
        <w:t>وخامس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حملت فی زمن خیار البائع أو المشترک ثم فسخ البائع بخیاره </w:t>
      </w:r>
      <w:r>
        <w:rPr>
          <w:rStyle w:val="FootnoteAnchor"/>
          <w:rtl w:val="true"/>
        </w:rPr>
        <w:footnoteReference w:id="687"/>
      </w:r>
      <w:r>
        <w:rPr>
          <w:rFonts w:ascii="IRNazanin" w:hAnsi="IRNazanin" w:eastAsia="IRNazanin"/>
          <w:color w:val="111111"/>
          <w:sz w:val="28"/>
          <w:sz w:val="28"/>
          <w:szCs w:val="28"/>
          <w:rtl w:val="true"/>
          <w:lang w:bidi="fa-IR"/>
        </w:rPr>
        <w:t>وسادس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مولاها عن الذمّة وملکت أمواله التی هی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لحقت هی بدار الحرب ثم استرقّت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وثامن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لمکاتب مشروط، ثم فسخ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وتاسع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أداء الضمان منها قبل الاستیلاد ثم أولدها، فإنّ حقّ المضمون له أسبق من حقّ الاستیلاد، کالرهن والفلس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أبوها أو جدّها وهی مجنونة أو صغیرة ثم استولدها الکافر بعد البلوغ قبل أن تخرج عن ملکه، وهذه فی حکم إسلامها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هذه المواضع نظر</w:t>
      </w:r>
      <w:r>
        <w:rPr>
          <w:rFonts w:eastAsia="IRNazanin" w:cs="IRNazanin"/>
          <w:color w:val="111111"/>
          <w:sz w:val="28"/>
          <w:szCs w:val="28"/>
          <w:rtl w:val="true"/>
          <w:lang w:bidi="fa-IR"/>
        </w:rPr>
        <w:t>.</w:t>
      </w:r>
    </w:p>
    <w:p>
      <w:pPr>
        <w:pStyle w:val="Heading5"/>
        <w:numPr>
          <w:ilvl w:val="4"/>
          <w:numId w:val="1"/>
        </w:numPr>
        <w:rPr/>
      </w:pPr>
      <w:bookmarkStart w:id="273" w:name="__RefHeading___Toc2092952_2314609296"/>
      <w:bookmarkStart w:id="274" w:name="_Toc99"/>
      <w:bookmarkEnd w:id="273"/>
      <w:r>
        <w:rPr>
          <w:rtl w:val="true"/>
        </w:rPr>
        <w:t>[</w:t>
      </w:r>
      <w:r>
        <w:rPr>
          <w:rtl w:val="true"/>
        </w:rPr>
        <w:t>الرابعة</w:t>
      </w:r>
      <w:r>
        <w:rPr>
          <w:rtl w:val="true"/>
        </w:rPr>
        <w:t xml:space="preserve">: </w:t>
      </w:r>
      <w:r>
        <w:rPr>
          <w:rtl w:val="true"/>
        </w:rPr>
        <w:t>جنایة العبد لا تمنع من بیعه</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العبد خطأ لم تمنع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یخرج عن ملک مولاه بها، والتخیّر فی فکّه للمولی، فإن شاء فکّه بأقلّ الأمرین، من أرش الجنایة وقیمته، وإن شاء دفعه إلی المجنیّ علیه أو ولیّه لیستوفی من رقبته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باعه بعد الجنایة کان التزاماً بالفداء علی أصحّ القولین </w:t>
      </w:r>
      <w:r>
        <w:rPr>
          <w:rStyle w:val="FootnoteAnchor"/>
          <w:rtl w:val="true"/>
        </w:rPr>
        <w:footnoteReference w:id="688"/>
      </w:r>
      <w:r>
        <w:rPr>
          <w:rFonts w:ascii="IRNazanin" w:hAnsi="IRNazanin" w:eastAsia="IRNazanin"/>
          <w:color w:val="111111"/>
          <w:sz w:val="28"/>
          <w:sz w:val="28"/>
          <w:szCs w:val="28"/>
          <w:rtl w:val="true"/>
          <w:lang w:bidi="fa-IR"/>
        </w:rPr>
        <w:t>ثم إن فداه، وإلّا جاز للمجنیّ علیه استرقاقه، فیفسخ البیع إن استوعبت قیمته؛ لأنّ حقّه أسبق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المشتری جاهلاً بعیبه تخیّر أیضاً</w:t>
      </w:r>
      <w:r>
        <w:rPr>
          <w:rFonts w:eastAsia="IRNazanin" w:cs="IRNazanin"/>
          <w:color w:val="111111"/>
          <w:sz w:val="28"/>
          <w:szCs w:val="28"/>
          <w:rtl w:val="true"/>
          <w:lang w:bidi="fa-IR"/>
        </w:rPr>
        <w:t>.</w:t>
      </w:r>
      <w:bookmarkStart w:id="275" w:name="pg19812_249389"/>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جنی عمداً فالأقرب 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رضا المجنیّ علیه، أو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التخیّر فی جنایة العمد إلیه وإن لم یخرج عن ملک سیّده، فبالثانی یصحّ البیع، وبالأوّل یثبت التخیّر، فیضعّف قول الشیخ ببطلان البیع فیه </w:t>
      </w:r>
      <w:r>
        <w:rPr>
          <w:rStyle w:val="FootnoteAnchor"/>
          <w:rtl w:val="true"/>
        </w:rPr>
        <w:footnoteReference w:id="689"/>
      </w:r>
      <w:r>
        <w:rPr>
          <w:rFonts w:ascii="IRNazanin" w:hAnsi="IRNazanin" w:eastAsia="IRNazanin"/>
          <w:color w:val="111111"/>
          <w:sz w:val="28"/>
          <w:sz w:val="28"/>
          <w:szCs w:val="28"/>
          <w:rtl w:val="true"/>
          <w:lang w:bidi="fa-IR"/>
        </w:rPr>
        <w:t>نظراً إلی تعلّق حقّ المجنیّ علیه قبله ورجوع الأمر إلیه، فإنّ ذلک لا یقتضی البطلان، ولا یقصر عن بیع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أجازالبیع ورضی بفدائه بالمال وفکّه المولی لزم البیع، وإن قتله أو استرقّه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المشتری قبل استقرار حاله مع جهله للعیب المعرّض للفوات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الجنایة فی غیر النفس واستوفی فباقیه مبیع، وللمشتری الخیار مع جهله؛ للتبعیض، مضافاً إلی العیب سابقاً</w:t>
      </w:r>
      <w:r>
        <w:rPr>
          <w:rFonts w:eastAsia="IRNazanin" w:cs="IRNazanin"/>
          <w:color w:val="111111"/>
          <w:sz w:val="28"/>
          <w:szCs w:val="28"/>
          <w:rtl w:val="true"/>
          <w:lang w:bidi="fa-IR"/>
        </w:rPr>
        <w:t>.</w:t>
      </w:r>
    </w:p>
    <w:p>
      <w:pPr>
        <w:pStyle w:val="Heading5"/>
        <w:numPr>
          <w:ilvl w:val="4"/>
          <w:numId w:val="1"/>
        </w:numPr>
        <w:rPr/>
      </w:pPr>
      <w:bookmarkStart w:id="276" w:name="__RefHeading___Toc2092954_2314609296"/>
      <w:bookmarkStart w:id="277" w:name="_Toc100"/>
      <w:bookmarkEnd w:id="276"/>
      <w:r>
        <w:rPr>
          <w:rtl w:val="true"/>
        </w:rPr>
        <w:t>[</w:t>
      </w:r>
      <w:r>
        <w:rPr>
          <w:rtl w:val="true"/>
        </w:rPr>
        <w:t>الخامسة</w:t>
      </w:r>
      <w:r>
        <w:rPr>
          <w:rtl w:val="true"/>
        </w:rPr>
        <w:t xml:space="preserve">: </w:t>
      </w:r>
      <w:r>
        <w:rPr>
          <w:rtl w:val="true"/>
        </w:rPr>
        <w:t>یشترط العلم بالثمن</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یشترط علم الثمن قدراً وجنساً ووصفاً</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قبل إیقاع عقد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البیع بحکم أحد المتعاقدین أو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وإن ورد فی روایة شاذّة جواز تحکیم المشتری </w:t>
      </w:r>
      <w:r>
        <w:rPr>
          <w:rStyle w:val="FootnoteAnchor"/>
          <w:rtl w:val="true"/>
        </w:rPr>
        <w:footnoteReference w:id="691"/>
      </w:r>
      <w:r>
        <w:rPr>
          <w:rFonts w:ascii="IRNazanin" w:hAnsi="IRNazanin" w:eastAsia="IRNazanin"/>
          <w:color w:val="111111"/>
          <w:sz w:val="28"/>
          <w:sz w:val="28"/>
          <w:szCs w:val="28"/>
          <w:rtl w:val="true"/>
          <w:lang w:bidi="fa-IR"/>
        </w:rPr>
        <w:t xml:space="preserve">فیلزمه الحکم بالقیمة فما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بثمن مجهول القدر وإن شوهد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لبقاء الجهالة وثبوت الغرر المنفیّ </w:t>
      </w:r>
      <w:r>
        <w:rPr>
          <w:rStyle w:val="FootnoteAnchor"/>
          <w:rtl w:val="true"/>
        </w:rPr>
        <w:footnoteReference w:id="692"/>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 فی</w:t>
      </w:r>
      <w:bookmarkStart w:id="278" w:name="pg19812_249390"/>
    </w:p>
    <w:p>
      <w:pPr>
        <w:pStyle w:val="BookText"/>
        <w:rPr/>
      </w:pPr>
      <w:bookmarkEnd w:id="278"/>
      <w:r>
        <w:rPr>
          <w:rFonts w:ascii="IRNazanin" w:hAnsi="IRNazanin" w:eastAsia="IRNazanin"/>
          <w:color w:val="111111"/>
          <w:sz w:val="28"/>
          <w:sz w:val="28"/>
          <w:szCs w:val="28"/>
          <w:rtl w:val="true"/>
          <w:lang w:bidi="fa-IR"/>
        </w:rPr>
        <w:t xml:space="preserve">الموزون </w:t>
      </w:r>
      <w:r>
        <w:rPr>
          <w:rStyle w:val="FootnoteAnchor"/>
          <w:rtl w:val="true"/>
        </w:rPr>
        <w:footnoteReference w:id="693"/>
      </w:r>
      <w:r>
        <w:rPr>
          <w:rFonts w:ascii="Amiri" w:hAnsi="Amiri" w:eastAsia="Amiri" w:cs="Amiri"/>
          <w:color w:val="111111"/>
          <w:sz w:val="28"/>
          <w:sz w:val="28"/>
          <w:szCs w:val="28"/>
          <w:rtl w:val="true"/>
          <w:lang w:bidi="ar-SA"/>
        </w:rPr>
        <w:t xml:space="preserve">وللمرتضی فی مال السَلَم </w:t>
      </w:r>
      <w:r>
        <w:rPr>
          <w:rStyle w:val="FootnoteAnchor"/>
          <w:rtl w:val="true"/>
        </w:rPr>
        <w:footnoteReference w:id="694"/>
      </w:r>
      <w:r>
        <w:rPr>
          <w:rFonts w:ascii="IRNazanin" w:hAnsi="IRNazanin" w:eastAsia="IRNazanin"/>
          <w:color w:val="111111"/>
          <w:sz w:val="28"/>
          <w:sz w:val="28"/>
          <w:szCs w:val="28"/>
          <w:rtl w:val="true"/>
          <w:lang w:bidi="fa-IR"/>
        </w:rPr>
        <w:t xml:space="preserve">ولابن الجنید فی المجهول مطلقاً إذا کان المبیع صبرة مع اختلافهما جنساً </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مجهول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کمئة درهم وإن کانت مشاهدة لا یعلم وصفها مع تعدد النقد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مجهول الجنس وإن علم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الجهالة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کذلک کان فاسداً وإن اتّصل به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کالمعاطاة؛ لأنّ شرطها اجتماع شرائط صحّة البیع سوی العقد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قبض المشتری المبیع والحال هذه کان مضموناً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وبالعکس فیرجع به وبزوائده متّصلة ومنفصلة، وبمنافعه المستوفاة وغیرها علی الأقوی، ویضمنه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بقیمته یوم التلف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القبض </w:t>
      </w:r>
      <w:r>
        <w:rPr>
          <w:rStyle w:val="FootnoteAnchor"/>
          <w:rtl w:val="true"/>
        </w:rPr>
        <w:footnoteReference w:id="69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الأعلی منه إلیه </w:t>
      </w:r>
      <w:r>
        <w:rPr>
          <w:rStyle w:val="FootnoteAnchor"/>
          <w:rtl w:val="true"/>
        </w:rPr>
        <w:footnoteReference w:id="697"/>
      </w:r>
      <w:r>
        <w:rPr>
          <w:rFonts w:ascii="IRNazanin" w:hAnsi="IRNazanin" w:eastAsia="IRNazanin"/>
          <w:color w:val="111111"/>
          <w:sz w:val="28"/>
          <w:sz w:val="28"/>
          <w:szCs w:val="28"/>
          <w:rtl w:val="true"/>
          <w:lang w:bidi="fa-IR"/>
        </w:rPr>
        <w:t>وهو حسن إن کان التفاوت بسبب نقص فی العین أو زیادة، أمّا باختلاف السوق فالأوّل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مثلیّاً ضمنه بمثله، فإن تعذّر فقیمته یوم الإعواز علی الأقوی</w:t>
      </w:r>
      <w:r>
        <w:rPr>
          <w:rFonts w:eastAsia="IRNazanin" w:cs="IRNazanin"/>
          <w:color w:val="111111"/>
          <w:sz w:val="28"/>
          <w:szCs w:val="28"/>
          <w:rtl w:val="true"/>
          <w:lang w:bidi="fa-IR"/>
        </w:rPr>
        <w:t>.</w:t>
      </w:r>
    </w:p>
    <w:p>
      <w:pPr>
        <w:pStyle w:val="Heading5"/>
        <w:numPr>
          <w:ilvl w:val="4"/>
          <w:numId w:val="1"/>
        </w:numPr>
        <w:rPr/>
      </w:pPr>
      <w:bookmarkStart w:id="279" w:name="__RefHeading___Toc2092956_2314609296"/>
      <w:bookmarkStart w:id="280" w:name="_Toc101"/>
      <w:bookmarkEnd w:id="279"/>
      <w:r>
        <w:rPr>
          <w:rtl w:val="true"/>
        </w:rPr>
        <w:t>[</w:t>
      </w:r>
      <w:r>
        <w:rPr>
          <w:rtl w:val="true"/>
        </w:rPr>
        <w:t>السادسة</w:t>
      </w:r>
      <w:r>
        <w:rPr>
          <w:rtl w:val="true"/>
        </w:rPr>
        <w:t xml:space="preserve">: </w:t>
      </w:r>
      <w:r>
        <w:rPr>
          <w:rtl w:val="true"/>
        </w:rPr>
        <w:t>ما یشترط فی بیع المکیل و الموزن و المعدود</w:t>
      </w:r>
      <w:r>
        <w:rPr>
          <w:rtl w:val="true"/>
        </w:rPr>
        <w:t>]</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العوضان من المکیل أو الموزون أو المعدود، فلابدّ من</w:t>
      </w:r>
    </w:p>
    <w:p>
      <w:pPr>
        <w:pStyle w:val="BookText"/>
        <w:rPr/>
      </w:pPr>
      <w:r>
        <w:rPr>
          <w:rFonts w:ascii="IRNazanin" w:hAnsi="IRNazanin" w:eastAsia="IRNazanin"/>
          <w:color w:val="111111"/>
          <w:sz w:val="28"/>
          <w:sz w:val="28"/>
          <w:szCs w:val="28"/>
          <w:rtl w:val="true"/>
          <w:lang w:bidi="fa-IR"/>
        </w:rPr>
        <w:t>اعتبارهما بالمعتاد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الکیل والوزن والعدد، فلا یکفی المکیال المجهول، کقصعة حاضرة وإن تراضیا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الوزن المجهول، کالاعتماد علی صخرة معیّنة وإن عرفا قدرها تخمیناً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العدّ المجهول بأن عوّلا علی ملء الید أو آلة یجهل ما تشتمل علیه ثم اعتبرا العدّ به؛ للغرر المنهیّ عنه </w:t>
      </w:r>
      <w:r>
        <w:rPr>
          <w:rStyle w:val="FootnoteAnchor"/>
          <w:rtl w:val="true"/>
        </w:rPr>
        <w:footnoteReference w:id="698"/>
      </w:r>
      <w:r>
        <w:rPr>
          <w:rFonts w:ascii="Amiri" w:hAnsi="Amiri" w:eastAsia="Amiri" w:cs="Amiri"/>
          <w:color w:val="111111"/>
          <w:sz w:val="28"/>
          <w:sz w:val="28"/>
          <w:szCs w:val="28"/>
          <w:rtl w:val="true"/>
          <w:lang w:bidi="ar-SA"/>
        </w:rPr>
        <w:t>فی ذلک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 المعدود وزناً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لارتفاع الجهالة به وربما کان أضبط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باع الموزون کیلاً أو بالعکس أمکن الصحّة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للانضباط، وروایة وهب عن الصادق علیه السلام </w:t>
      </w:r>
      <w:r>
        <w:rPr>
          <w:rStyle w:val="FootnoteAnchor"/>
          <w:rtl w:val="true"/>
        </w:rPr>
        <w:footnoteReference w:id="699"/>
      </w:r>
      <w:r>
        <w:rPr>
          <w:rFonts w:ascii="IRNazanin" w:hAnsi="IRNazanin" w:eastAsia="IRNazanin"/>
          <w:color w:val="111111"/>
          <w:sz w:val="28"/>
          <w:sz w:val="28"/>
          <w:szCs w:val="28"/>
          <w:rtl w:val="true"/>
          <w:lang w:bidi="fa-IR"/>
        </w:rPr>
        <w:t xml:space="preserve">ورجّحه فی سلم الدروس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صحّة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بیع المکیل 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الطرد؛ لأنّ الوزن أصل للکیل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وأضبط منه، وإنّما عدل إلی الکیل تسهیلاً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شقّ 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المعدود لکثرته أو 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مکیال ونسب الباقی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واغتفر التفاوت الحاصل بسببه، وکذا القول فی المکیل والموزون حیث یشقّ وزنهما وکیلهما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کثیر من الأصحاب فی ذلک بتعذّر العدّ </w:t>
      </w:r>
      <w:r>
        <w:rPr>
          <w:rStyle w:val="FootnoteAnchor"/>
          <w:rtl w:val="true"/>
        </w:rPr>
        <w:footnoteReference w:id="702"/>
      </w:r>
      <w:r>
        <w:rPr>
          <w:rFonts w:ascii="IRNazanin" w:hAnsi="IRNazanin" w:eastAsia="IRNazanin"/>
          <w:color w:val="111111"/>
          <w:sz w:val="28"/>
          <w:sz w:val="28"/>
          <w:szCs w:val="28"/>
          <w:rtl w:val="true"/>
          <w:lang w:bidi="fa-IR"/>
        </w:rPr>
        <w:t>والاکتفاء بالمشقّة والعسر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بل لو قیل بجوازه مطلقاً؛ لزوال الغرر وحصول العلم واغتفار التفاوت کان حسناً، وفی بعض الأخبار </w:t>
      </w:r>
      <w:r>
        <w:rPr>
          <w:rStyle w:val="FootnoteAnchor"/>
          <w:rtl w:val="true"/>
        </w:rPr>
        <w:footnoteReference w:id="703"/>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bookmarkStart w:id="281" w:name="pg19812_249392"/>
    </w:p>
    <w:p>
      <w:pPr>
        <w:pStyle w:val="Heading5"/>
        <w:numPr>
          <w:ilvl w:val="4"/>
          <w:numId w:val="1"/>
        </w:numPr>
        <w:rPr/>
      </w:pPr>
      <w:bookmarkStart w:id="282" w:name="__RefHeading___Toc2092958_2314609296"/>
      <w:bookmarkStart w:id="283" w:name="_Toc102"/>
      <w:bookmarkEnd w:id="281"/>
      <w:bookmarkEnd w:id="282"/>
      <w:r>
        <w:rPr>
          <w:rtl w:val="true"/>
        </w:rPr>
        <w:t>[</w:t>
      </w:r>
      <w:r>
        <w:rPr>
          <w:rtl w:val="true"/>
        </w:rPr>
        <w:t>السابعة</w:t>
      </w:r>
      <w:r>
        <w:rPr>
          <w:rtl w:val="true"/>
        </w:rPr>
        <w:t xml:space="preserve">: </w:t>
      </w:r>
      <w:r>
        <w:rPr>
          <w:rtl w:val="true"/>
        </w:rPr>
        <w:t>حکم ابتیاع الجزء مشاعا</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ابتیاع جزء معلوم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والثلث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 تساوت أجزاؤه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کالحبوب والأدهان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کالجواهر والحیوان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بیع جزؤه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یعتبر فیه من کیل أو وزن أو عدّ أو 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بیع نصف الصبرة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والوصف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الشاة </w:t>
      </w:r>
      <w:r>
        <w:rPr>
          <w:rStyle w:val="FootnoteAnchor"/>
          <w:rtl w:val="true"/>
        </w:rPr>
        <w:footnoteReference w:id="704"/>
      </w:r>
      <w:r>
        <w:rPr>
          <w:rFonts w:ascii="Amiri" w:hAnsi="Amiri" w:eastAsia="Amiri" w:cs="Amiri"/>
          <w:color w:val="111111"/>
          <w:sz w:val="28"/>
          <w:sz w:val="28"/>
          <w:szCs w:val="28"/>
          <w:rtl w:val="true"/>
          <w:lang w:bidi="ar-SA"/>
        </w:rPr>
        <w:t>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بالمشاهدة أو الوصف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 شاة غیر معلومة من قطیع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علم عدد ما اشتمل علیه من الشیاه وتساوت أثمانها؛ لجهالة عین 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 قفیزاً من صبرة صحّ، وإن لم یعلم کمیّة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المبیع مضبوط المقدار وظاهره الصحّة وإن لم یعلم اشتمال الصبرة علی القدر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نقصت تخیّر المشتری بین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للموجود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بحصّته من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لتبعّض الصفقة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بعضهم العلم </w:t>
      </w:r>
      <w:r>
        <w:rPr>
          <w:rStyle w:val="FootnoteAnchor"/>
          <w:rtl w:val="true"/>
        </w:rPr>
        <w:footnoteReference w:id="705"/>
      </w:r>
      <w:r>
        <w:rPr>
          <w:rFonts w:ascii="IRNazanin" w:hAnsi="IRNazanin" w:eastAsia="IRNazanin"/>
          <w:color w:val="111111"/>
          <w:sz w:val="28"/>
          <w:sz w:val="28"/>
          <w:szCs w:val="28"/>
          <w:rtl w:val="true"/>
          <w:lang w:bidi="fa-IR"/>
        </w:rPr>
        <w:t xml:space="preserve">باشتمالها علی المبیع أو إخبار البائع به </w:t>
      </w:r>
      <w:r>
        <w:rPr>
          <w:rStyle w:val="FootnoteAnchor"/>
          <w:rtl w:val="true"/>
        </w:rPr>
        <w:footnoteReference w:id="706"/>
      </w:r>
      <w:r>
        <w:rPr>
          <w:rFonts w:ascii="IRNazanin" w:hAnsi="IRNazanin" w:eastAsia="IRNazanin"/>
          <w:color w:val="111111"/>
          <w:sz w:val="28"/>
          <w:sz w:val="28"/>
          <w:szCs w:val="28"/>
          <w:rtl w:val="true"/>
          <w:lang w:bidi="fa-IR"/>
        </w:rPr>
        <w:t>وإلّا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بالاکتفاء بالظنّ الغالب باشتمالها علیه کان متّجهاً، وتفرّع علیه ما ذکره أیضاً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أقسام بیع الصبرة عشرة ذکر المصنّف بعضها منطوقاً وبعضها مفهوماً</w:t>
      </w:r>
      <w:r>
        <w:rPr>
          <w:rFonts w:eastAsia="IRNazanin" w:cs="IRNazanin"/>
          <w:color w:val="111111"/>
          <w:sz w:val="28"/>
          <w:szCs w:val="28"/>
          <w:rtl w:val="true"/>
          <w:lang w:bidi="fa-IR"/>
        </w:rPr>
        <w:t>.</w:t>
      </w:r>
      <w:bookmarkStart w:id="284" w:name="pg19812_249393"/>
    </w:p>
    <w:p>
      <w:pPr>
        <w:pStyle w:val="BookText"/>
        <w:rPr/>
      </w:pPr>
      <w:bookmarkEnd w:id="284"/>
      <w:r>
        <w:rPr>
          <w:rFonts w:ascii="IRNazanin" w:hAnsi="IRNazanin" w:eastAsia="IRNazanin"/>
          <w:color w:val="111111"/>
          <w:sz w:val="28"/>
          <w:sz w:val="28"/>
          <w:szCs w:val="28"/>
          <w:rtl w:val="true"/>
          <w:lang w:bidi="fa-IR"/>
        </w:rPr>
        <w:t>وجملتها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إمّا أن تکون معلومة المقدار، أو مجهولته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معلومة صحّ بیعها أجمع، وبیع جزء منها معلوم مشاع، وبیع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علیه، وبیعها کلّ قفیز بکذا، لا بیع کلّ قفیز منها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والمجهولة یبطل بیعها فی جمیع الأقسام الخمسة إلّاالثالث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ینزّل القدر المعلوم فی الصورتین علی الإشاعة، أو یکون المبیع ذلک المقدار فی الجملة؟ وجهان، أجودهما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الفائدة فیما لو تلف بعضها، فعلی الإشاعة یتلف من المبیع بالنسبة، وعلی الثانی یبقی المبیع ما بقی قدره</w:t>
      </w:r>
      <w:r>
        <w:rPr>
          <w:rFonts w:eastAsia="IRNazanin" w:cs="IRNazanin"/>
          <w:color w:val="111111"/>
          <w:sz w:val="28"/>
          <w:szCs w:val="28"/>
          <w:rtl w:val="true"/>
          <w:lang w:bidi="fa-IR"/>
        </w:rPr>
        <w:t>.</w:t>
      </w:r>
    </w:p>
    <w:p>
      <w:pPr>
        <w:pStyle w:val="Heading5"/>
        <w:numPr>
          <w:ilvl w:val="4"/>
          <w:numId w:val="1"/>
        </w:numPr>
        <w:rPr/>
      </w:pPr>
      <w:bookmarkStart w:id="285" w:name="__RefHeading___Toc2092960_2314609296"/>
      <w:bookmarkStart w:id="286" w:name="_Toc103"/>
      <w:bookmarkEnd w:id="285"/>
      <w:r>
        <w:rPr>
          <w:rtl w:val="true"/>
        </w:rPr>
        <w:t>[</w:t>
      </w:r>
      <w:r>
        <w:rPr>
          <w:rtl w:val="true"/>
        </w:rPr>
        <w:t>الثامنة</w:t>
      </w:r>
      <w:r>
        <w:rPr>
          <w:rtl w:val="true"/>
        </w:rPr>
        <w:t xml:space="preserve">: </w:t>
      </w:r>
      <w:r>
        <w:rPr>
          <w:rtl w:val="true"/>
        </w:rPr>
        <w:t>کفایة المشاهد عن الوصف</w:t>
      </w:r>
      <w:r>
        <w:rPr>
          <w:rtl w:val="true"/>
        </w:rPr>
        <w:t>]</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المشاهدة عن الوصف ولو غاب وقت الابتیاع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لا یکون ممّا لا </w:t>
      </w:r>
      <w:r>
        <w:rPr>
          <w:rStyle w:val="FootnoteAnchor"/>
          <w:rtl w:val="true"/>
        </w:rPr>
        <w:footnoteReference w:id="708"/>
      </w:r>
      <w:r>
        <w:rPr>
          <w:rFonts w:ascii="IRNazanin" w:hAnsi="IRNazanin" w:eastAsia="IRNazanin"/>
          <w:color w:val="111111"/>
          <w:sz w:val="28"/>
          <w:sz w:val="28"/>
          <w:szCs w:val="28"/>
          <w:rtl w:val="true"/>
          <w:lang w:bidi="fa-IR"/>
        </w:rPr>
        <w:t>یتغیّر عادة، کالأرض والأوانی والحدید والنحاس، أو لا تمضی مدّة یتغیّر فیها عادة ویختلف باختلافه زیادة ونقصاناً، کالفاکهة والطعام والحیوان، فلو مضت المدّة کذلک لم یصحّ؛ لتحقّق الجهالة المترتّبة علی تغیّره عن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 الأمرین صحّ، عملاً بأصالة البقاء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بزیادته أو نقصانه، فإن کان یسیراً یتسامح بمثله عادة فلا خیار، وإلّا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وهو البائع إن ظهر زائداً، والمشتری إن ظهر ناقصاً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اختلفا فی التغیّر قدّم قول المشتری مع یمینه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هو المدّعی للتغیّر الموجب للخیار والبائع ینکره؛ لأنّ البائع یدّعی علمه بهذه الصفة وهو ینکره، ولأنّ الأصل عدم وصول حقّه إلیه، فیکون فی معنی المنکر، ولأصالة بقاء یده علی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بتقدیم قول البائع </w:t>
      </w:r>
      <w:r>
        <w:rPr>
          <w:rStyle w:val="FootnoteAnchor"/>
          <w:rtl w:val="true"/>
        </w:rPr>
        <w:footnoteReference w:id="710"/>
      </w:r>
      <w:r>
        <w:rPr>
          <w:rFonts w:ascii="IRNazanin" w:hAnsi="IRNazanin" w:eastAsia="IRNazanin"/>
          <w:color w:val="111111"/>
          <w:sz w:val="28"/>
          <w:sz w:val="28"/>
          <w:szCs w:val="28"/>
          <w:rtl w:val="true"/>
          <w:lang w:bidi="fa-IR"/>
        </w:rPr>
        <w:t>لتحقّق الاطّلاع المجوّز للبیع، وأصالة عدم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انعکس الفرض بأن ادّعی البائع تغیّره فی جانب الزیادة وأنکر المشتری، احتمل تقدیم قول المشتری أیضاً، کما یقتضیه إطلاق العبارة؛ لأصالة عدم التغیّر ولزوم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تقدیم قول البائع؛ لعین ما ذکر فی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تقدیم قول المشتری فیهما جمع بین متنافیین مدّعیً ودلیلاً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فی کلامهم هو القسم الأوّل </w:t>
      </w:r>
      <w:r>
        <w:rPr>
          <w:rStyle w:val="FootnoteAnchor"/>
          <w:rtl w:val="true"/>
        </w:rPr>
        <w:footnoteReference w:id="711"/>
      </w:r>
      <w:r>
        <w:rPr>
          <w:rFonts w:ascii="IRNazanin" w:hAnsi="IRNazanin" w:eastAsia="IRNazanin"/>
          <w:color w:val="111111"/>
          <w:sz w:val="28"/>
          <w:sz w:val="28"/>
          <w:szCs w:val="28"/>
          <w:rtl w:val="true"/>
          <w:lang w:bidi="fa-IR"/>
        </w:rPr>
        <w:t xml:space="preserve">فلذا أطلق المصنّف هنا </w:t>
      </w:r>
      <w:r>
        <w:rPr>
          <w:rStyle w:val="FootnoteAnchor"/>
          <w:rtl w:val="true"/>
        </w:rPr>
        <w:footnoteReference w:id="712"/>
      </w:r>
      <w:r>
        <w:rPr>
          <w:rFonts w:ascii="IRNazanin" w:hAnsi="IRNazanin" w:eastAsia="IRNazanin"/>
          <w:color w:val="111111"/>
          <w:sz w:val="28"/>
          <w:sz w:val="28"/>
          <w:szCs w:val="28"/>
          <w:rtl w:val="true"/>
          <w:lang w:bidi="fa-IR"/>
        </w:rPr>
        <w:t xml:space="preserve">لکن نافره تعمیمه الخیار للمغبون منهما قبله </w:t>
      </w:r>
      <w:r>
        <w:rPr>
          <w:rStyle w:val="FootnoteAnchor"/>
          <w:rtl w:val="true"/>
        </w:rPr>
        <w:footnoteReference w:id="713"/>
      </w:r>
      <w:r>
        <w:rPr>
          <w:rFonts w:ascii="IRNazanin" w:hAnsi="IRNazanin" w:eastAsia="IRNazanin"/>
          <w:color w:val="111111"/>
          <w:sz w:val="28"/>
          <w:sz w:val="28"/>
          <w:szCs w:val="28"/>
          <w:rtl w:val="true"/>
          <w:lang w:bidi="fa-IR"/>
        </w:rPr>
        <w:t>وعطفه علیه مطلقاً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اتّفقا علی تغیّره لکن اختلفا فی تقدّمه علی البیع وتأخّره فإن شهدت القرائن بأحدهما حکم به، وإن احتمل الأمران فالوجهان، وکذا لو وجداه تالفاً وکان ممّایکفی فی قبضه التخلیة واختلفا فی تقدّم التلف عن البیع وتأخّره أو لم یختلفا، فإنّه یتعارض أصلاً عدم تقدّم کلّ منهما فیتساوقان ویتساقطان، ویتّجه تقدیم حقّ المشتری، لأصالة بقاء یده وملکه للثمن والعقد الناقل قد شکّ فی تأثیره؛ لتعارض الأصلین</w:t>
      </w:r>
      <w:r>
        <w:rPr>
          <w:rFonts w:eastAsia="IRNazanin" w:cs="IRNazanin"/>
          <w:color w:val="111111"/>
          <w:sz w:val="28"/>
          <w:szCs w:val="28"/>
          <w:rtl w:val="true"/>
          <w:lang w:bidi="fa-IR"/>
        </w:rPr>
        <w:t>.</w:t>
      </w:r>
      <w:bookmarkStart w:id="287" w:name="pg19812_249395"/>
    </w:p>
    <w:p>
      <w:pPr>
        <w:pStyle w:val="Heading5"/>
        <w:numPr>
          <w:ilvl w:val="4"/>
          <w:numId w:val="1"/>
        </w:numPr>
        <w:rPr/>
      </w:pPr>
      <w:bookmarkStart w:id="288" w:name="__RefHeading___Toc2092962_2314609296"/>
      <w:bookmarkStart w:id="289" w:name="_Toc104"/>
      <w:bookmarkEnd w:id="287"/>
      <w:bookmarkEnd w:id="288"/>
      <w:r>
        <w:rPr>
          <w:rtl w:val="true"/>
        </w:rPr>
        <w:t>[</w:t>
      </w:r>
      <w:r>
        <w:rPr>
          <w:rtl w:val="true"/>
        </w:rPr>
        <w:t>التاسعة</w:t>
      </w:r>
      <w:r>
        <w:rPr>
          <w:rtl w:val="true"/>
        </w:rPr>
        <w:t xml:space="preserve">: </w:t>
      </w:r>
      <w:r>
        <w:rPr>
          <w:rtl w:val="true"/>
        </w:rPr>
        <w:t>جواز اختبار ما یراد طعمه و ریحه</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 </w:t>
      </w:r>
      <w:r>
        <w:rPr>
          <w:rStyle w:val="FootnoteAnchor"/>
          <w:rtl w:val="true"/>
        </w:rPr>
        <w:footnoteReference w:id="714"/>
      </w:r>
      <w:r>
        <w:rPr>
          <w:rFonts w:ascii="IRNazanin" w:hAnsi="IRNazanin" w:eastAsia="IRNazanin"/>
          <w:color w:val="111111"/>
          <w:sz w:val="28"/>
          <w:sz w:val="28"/>
          <w:szCs w:val="28"/>
          <w:rtl w:val="true"/>
          <w:lang w:bidi="fa-IR"/>
        </w:rPr>
        <w:t>ما یراد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کالمسک، أو یوصف، علی الأولی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اختبار ولا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به من غیر هذه الجهة، کالقوام واللون وغیرهما ممّا یختلف قیمته باختلافه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بیعه إلّابالاعتبار أو الوصف کغیره؛ للغرر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جواز البناء علی الأصل إحالة علی مقتضی الطبع، فإنّه أمر مضبوط عرفاً لا یتغیّر غالباً إلّالعیب فیجوز الاعتماد علیه؛ لارتفاع الغرر به، کالاکتفاء برؤیة ما یدلّ بعضه علی باقیه غالباً، کظاهر الصبرة واُنموذج المتماثل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وینجبر النقص بالخیار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معیباً تخیّر المشتری بین الردّ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یتصرّف فیه تصرّفاً زائداً علی اختباره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ویتعیّن الأرش لو 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غیره من أنواع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لتناول الأدلّة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لسلّار حیث خیّر الأعمی بین الردّ والأرش </w:t>
      </w:r>
      <w:r>
        <w:rPr>
          <w:rStyle w:val="FootnoteAnchor"/>
          <w:rtl w:val="true"/>
        </w:rPr>
        <w:footnoteReference w:id="717"/>
      </w:r>
      <w:r>
        <w:rPr>
          <w:rFonts w:ascii="Amiri" w:hAnsi="Amiri" w:eastAsia="Amiri" w:cs="Amiri"/>
          <w:color w:val="111111"/>
          <w:sz w:val="28"/>
          <w:sz w:val="28"/>
          <w:szCs w:val="28"/>
          <w:rtl w:val="true"/>
          <w:lang w:bidi="ar-SA"/>
        </w:rPr>
        <w:t>وإن تصرّف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وأبلغ فی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باختباره، کالبطّیخ</w:t>
      </w:r>
    </w:p>
    <w:p>
      <w:pPr>
        <w:pStyle w:val="BookText"/>
        <w:rPr/>
      </w:pPr>
      <w:r>
        <w:rPr>
          <w:rFonts w:ascii="IRNazanin" w:hAnsi="IRNazanin" w:eastAsia="IRNazanin"/>
          <w:color w:val="111111"/>
          <w:sz w:val="28"/>
          <w:sz w:val="28"/>
          <w:szCs w:val="28"/>
          <w:rtl w:val="true"/>
          <w:lang w:bidi="fa-IR"/>
        </w:rPr>
        <w:t>والجوز والبیض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الضرورة والحرج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 فظهر صحیحاً فذاک،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بأرشه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له الردّ، للتصرّف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له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لمکسوره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کالبیض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لبطلان البیع حیث لا یقابل الثمن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یکون العقد مفسوخاً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عدم المالیّة من حین العقد فیقع باطلاً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یطرأ علیه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الکسر وظهور الفساد التفاتاً إلی حصول شرط الصحّة حین العقد وإنّما تبیّن الفساد بالکسر فیکون هو المفسد؟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ورجحان الأوّل واضح؛ لأنّ ظهور الفساد کشف عن عدم المالیّة فی نفس الأمر حین البیع، لا أحدث عدمها حینه، والصحّة مبنیّة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جزم بالثانی وجعل الأوّل احتمالاً وظاهر کلام الجماعة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فی مؤونة نقله عن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اشتراه فیه إلی موضع اختباره، فعلی الأوّل علی البائع، وعلی الثانی علی المشتری؛ لوقوعه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 نّه وإن کان ملکاً للبائع حینئذٍ لکن نقله بغیر أمره، فلا یتجّه الرجوع علیه بالمؤونة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المشتری هنا کجاهل استحقاق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یرجع بما 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یتّجه مع الغرور، وهو منفیّ هنا؛ لاشتراکهما فی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اُرید بها مؤونة نقله من موضع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مملوکاً وطلب مالکه نقله أو ما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انعکس الحکم واتّجه کونه علی البائع مطلقاً؛ لبطلان البیع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کونه علی المشتری؛ لکونه من فعله وزوال المالیّة عنهما مشترک أیضاً بین الوجهین، وکیف کان فبناء حکمها علی الوجهین لیس بواضح</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قیل بظهور الفائدة أیضاً فی ما لو تبرّأ البائع من عیبه، فیتّجه کون</w:t>
      </w:r>
      <w:bookmarkStart w:id="290" w:name="pg19812_249397"/>
    </w:p>
    <w:p>
      <w:pPr>
        <w:pStyle w:val="BookText"/>
        <w:rPr/>
      </w:pPr>
      <w:bookmarkEnd w:id="290"/>
      <w:r>
        <w:rPr>
          <w:rFonts w:ascii="IRNazanin" w:hAnsi="IRNazanin" w:eastAsia="IRNazanin"/>
          <w:color w:val="111111"/>
          <w:sz w:val="28"/>
          <w:sz w:val="28"/>
          <w:szCs w:val="28"/>
          <w:rtl w:val="true"/>
          <w:lang w:bidi="fa-IR"/>
        </w:rPr>
        <w:t xml:space="preserve">تلفه من المشتری علی الثانی </w:t>
      </w:r>
      <w:r>
        <w:rPr>
          <w:rStyle w:val="FootnoteAnchor"/>
          <w:rtl w:val="true"/>
        </w:rPr>
        <w:footnoteReference w:id="719"/>
      </w:r>
      <w:r>
        <w:rPr>
          <w:rFonts w:ascii="Amiri" w:hAnsi="Amiri" w:eastAsia="Amiri" w:cs="Amiri"/>
          <w:color w:val="111111"/>
          <w:sz w:val="28"/>
          <w:sz w:val="28"/>
          <w:szCs w:val="28"/>
          <w:rtl w:val="true"/>
          <w:lang w:bidi="ar-SA"/>
        </w:rPr>
        <w:t xml:space="preserve">دون الأوّل </w:t>
      </w:r>
      <w:r>
        <w:rPr>
          <w:rStyle w:val="FootnoteAnchor"/>
          <w:rtl w:val="true"/>
        </w:rPr>
        <w:footnoteReference w:id="720"/>
      </w:r>
      <w:r>
        <w:rPr>
          <w:rFonts w:ascii="IRNazanin" w:hAnsi="IRNazanin" w:eastAsia="IRNazanin"/>
          <w:color w:val="111111"/>
          <w:sz w:val="28"/>
          <w:sz w:val="28"/>
          <w:szCs w:val="28"/>
          <w:rtl w:val="true"/>
          <w:lang w:bidi="fa-IR"/>
        </w:rPr>
        <w:t xml:space="preserve">ویشکل صحّة الشرط </w:t>
      </w:r>
      <w:r>
        <w:rPr>
          <w:rStyle w:val="FootnoteAnchor"/>
          <w:rtl w:val="true"/>
        </w:rPr>
        <w:footnoteReference w:id="721"/>
      </w:r>
      <w:r>
        <w:rPr>
          <w:rFonts w:ascii="IRNazanin" w:hAnsi="IRNazanin" w:eastAsia="IRNazanin"/>
          <w:color w:val="111111"/>
          <w:sz w:val="28"/>
          <w:sz w:val="28"/>
          <w:szCs w:val="28"/>
          <w:rtl w:val="true"/>
          <w:lang w:bidi="fa-IR"/>
        </w:rPr>
        <w:t>علی تقدیر فساد الجمیع؛ لمنافاته لمقتضی العقد؛ إذ لا شیء فی مقابلة الثمن فیکون أکل 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ما لو رضی به المشتری بعد الکسر </w:t>
      </w:r>
      <w:r>
        <w:rPr>
          <w:rStyle w:val="FootnoteAnchor"/>
          <w:rtl w:val="true"/>
        </w:rPr>
        <w:footnoteReference w:id="722"/>
      </w:r>
      <w:r>
        <w:rPr>
          <w:rFonts w:ascii="IRNazanin" w:hAnsi="IRNazanin" w:eastAsia="IRNazanin"/>
          <w:color w:val="111111"/>
          <w:sz w:val="28"/>
          <w:sz w:val="28"/>
          <w:szCs w:val="28"/>
          <w:rtl w:val="true"/>
          <w:lang w:bidi="fa-IR"/>
        </w:rPr>
        <w:t>وفیه أیضاً نظر؛ لأنّ الرضا بعد الحکم بالبطلان لا أثر له</w:t>
      </w:r>
      <w:r>
        <w:rPr>
          <w:rFonts w:eastAsia="IRNazanin" w:cs="IRNazanin"/>
          <w:color w:val="111111"/>
          <w:sz w:val="28"/>
          <w:szCs w:val="28"/>
          <w:rtl w:val="true"/>
          <w:lang w:bidi="fa-IR"/>
        </w:rPr>
        <w:t>.</w:t>
      </w:r>
    </w:p>
    <w:p>
      <w:pPr>
        <w:pStyle w:val="Heading5"/>
        <w:numPr>
          <w:ilvl w:val="4"/>
          <w:numId w:val="1"/>
        </w:numPr>
        <w:rPr/>
      </w:pPr>
      <w:bookmarkStart w:id="291" w:name="__RefHeading___Toc2092964_2314609296"/>
      <w:bookmarkStart w:id="292" w:name="_Toc105"/>
      <w:bookmarkEnd w:id="291"/>
      <w:r>
        <w:rPr>
          <w:rtl w:val="true"/>
        </w:rPr>
        <w:t>[</w:t>
      </w:r>
      <w:r>
        <w:rPr>
          <w:rtl w:val="true"/>
        </w:rPr>
        <w:t>العاشرة</w:t>
      </w:r>
      <w:r>
        <w:rPr>
          <w:rtl w:val="true"/>
        </w:rPr>
        <w:t xml:space="preserve">: </w:t>
      </w:r>
      <w:r>
        <w:rPr>
          <w:rtl w:val="true"/>
        </w:rPr>
        <w:t>جواز بیع السمک فی فارة</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المسک فی فأره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 جمع فأرة، به أیضاً، کالفأرة فی غیره </w:t>
      </w:r>
      <w:r>
        <w:rPr>
          <w:rStyle w:val="FootnoteAnchor"/>
          <w:rtl w:val="true"/>
        </w:rPr>
        <w:footnoteReference w:id="723"/>
      </w:r>
      <w:r>
        <w:rPr>
          <w:rFonts w:ascii="IRNazanin" w:hAnsi="IRNazanin" w:eastAsia="IRNazanin"/>
          <w:color w:val="111111"/>
          <w:sz w:val="28"/>
          <w:sz w:val="28"/>
          <w:szCs w:val="28"/>
          <w:rtl w:val="true"/>
          <w:lang w:bidi="fa-IR"/>
        </w:rPr>
        <w:t xml:space="preserve">وهی الجلدة المشتملة علی المسک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أصل السلامة، فإن ظهر بعد فتقه معیباً تخیّر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یدخل فیه 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بإبرة ثم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لترتفع الجهالة رأساً</w:t>
      </w:r>
      <w:r>
        <w:rPr>
          <w:rFonts w:eastAsia="IRNazanin" w:cs="IRNazanin"/>
          <w:color w:val="111111"/>
          <w:sz w:val="28"/>
          <w:szCs w:val="28"/>
          <w:rtl w:val="true"/>
          <w:lang w:bidi="fa-IR"/>
        </w:rPr>
        <w:t>.</w:t>
      </w:r>
    </w:p>
    <w:p>
      <w:pPr>
        <w:pStyle w:val="Heading5"/>
        <w:numPr>
          <w:ilvl w:val="4"/>
          <w:numId w:val="1"/>
        </w:numPr>
        <w:rPr/>
      </w:pPr>
      <w:bookmarkStart w:id="293" w:name="__RefHeading___Toc2092966_2314609296"/>
      <w:bookmarkStart w:id="294" w:name="_Toc106"/>
      <w:bookmarkEnd w:id="293"/>
      <w:r>
        <w:rPr>
          <w:rtl w:val="true"/>
        </w:rPr>
        <w:t>[</w:t>
      </w:r>
      <w:r>
        <w:rPr>
          <w:rtl w:val="true"/>
        </w:rPr>
        <w:t xml:space="preserve">الحادیة عشر عدم جواز بیع مجهول المقدار </w:t>
      </w:r>
      <w:r>
        <w:rPr>
          <w:rtl w:val="true"/>
        </w:rPr>
        <w:t>]</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سمک الآجام، مع ضمیمة القصب،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للجهالة ولو فی بعض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اللبن فی الضرع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الضاد، وهو الثدی لکلّ</w:t>
      </w:r>
    </w:p>
    <w:p>
      <w:pPr>
        <w:pStyle w:val="BookText"/>
        <w:rPr/>
      </w:pPr>
      <w:r>
        <w:rPr>
          <w:rFonts w:ascii="IRNazanin" w:hAnsi="IRNazanin" w:eastAsia="IRNazanin"/>
          <w:color w:val="111111"/>
          <w:sz w:val="28"/>
          <w:sz w:val="28"/>
          <w:szCs w:val="28"/>
          <w:rtl w:val="true"/>
          <w:lang w:bidi="fa-IR"/>
        </w:rPr>
        <w:t xml:space="preserve">ذات خفّ أو ظلف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وإن ضمّ إلیه شیئاً ولو لبناً محلوباً؛ لأنّ ضمیمة المعلوم إلی المجهول تصیّر المعلوم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الجواز بدون الضمیمة فموضع وفاق، وأمّا معها فالمشهور أ نّه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یصحّ </w:t>
      </w:r>
      <w:r>
        <w:rPr>
          <w:rStyle w:val="FootnoteAnchor"/>
          <w:rtl w:val="true"/>
        </w:rPr>
        <w:footnoteReference w:id="724"/>
      </w:r>
      <w:r>
        <w:rPr>
          <w:rFonts w:ascii="IRNazanin" w:hAnsi="IRNazanin" w:eastAsia="IRNazanin"/>
          <w:color w:val="111111"/>
          <w:sz w:val="28"/>
          <w:sz w:val="28"/>
          <w:szCs w:val="28"/>
          <w:rtl w:val="true"/>
          <w:lang w:bidi="fa-IR"/>
        </w:rPr>
        <w:t xml:space="preserve">استناداً إلی روایة ضعیفة </w:t>
      </w:r>
      <w:r>
        <w:rPr>
          <w:rStyle w:val="FootnoteAnchor"/>
          <w:rtl w:val="true"/>
        </w:rPr>
        <w:footnoteReference w:id="725"/>
      </w:r>
      <w:r>
        <w:rPr>
          <w:rFonts w:ascii="IRNazanin" w:hAnsi="IRNazanin" w:eastAsia="IRNazanin"/>
          <w:color w:val="111111"/>
          <w:sz w:val="28"/>
          <w:sz w:val="28"/>
          <w:szCs w:val="28"/>
          <w:rtl w:val="true"/>
          <w:lang w:bidi="fa-IR"/>
        </w:rPr>
        <w:t xml:space="preserve">وبالغ الشیخ فجوّز ضمیمة ما فی الضرع إلی ما یتجدّد مدّة معلومة </w:t>
      </w:r>
      <w:r>
        <w:rPr>
          <w:rStyle w:val="FootnoteAnchor"/>
          <w:rtl w:val="true"/>
        </w:rPr>
        <w:footnoteReference w:id="726"/>
      </w:r>
      <w:r>
        <w:rPr>
          <w:rFonts w:ascii="IRNazanin" w:hAnsi="IRNazanin" w:eastAsia="IRNazanin"/>
          <w:color w:val="111111"/>
          <w:sz w:val="28"/>
          <w:sz w:val="28"/>
          <w:szCs w:val="28"/>
          <w:rtl w:val="true"/>
          <w:lang w:bidi="fa-IR"/>
        </w:rPr>
        <w:t>والوجه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وقع ذلک بلفظ الصلح اتّجه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وفصّل آخرون </w:t>
      </w:r>
      <w:r>
        <w:rPr>
          <w:rStyle w:val="FootnoteAnchor"/>
          <w:rtl w:val="true"/>
        </w:rPr>
        <w:footnoteReference w:id="727"/>
      </w:r>
      <w:r>
        <w:rPr>
          <w:rFonts w:ascii="IRNazanin" w:hAnsi="IRNazanin" w:eastAsia="IRNazanin"/>
          <w:color w:val="111111"/>
          <w:sz w:val="28"/>
          <w:sz w:val="28"/>
          <w:szCs w:val="28"/>
          <w:rtl w:val="true"/>
          <w:lang w:bidi="fa-IR"/>
        </w:rPr>
        <w:t>فحکموا بالصحّة مع کون المقصود بالذات المعلوم وکون المجهول تابعاً، والبطلان مع العکس وتساویهما فی القصد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وکذا القول فی کلّ مجهول ضمّ إلی معلوم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الجلود والأصواف والأشعار علی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ضمّ إلیه غیره أیضاً؛ لجهالة مقدراه، مع کون غیر الجلود موزوناً فلا یباع جزافاً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مستجزّاً أو شرط </w:t>
      </w:r>
      <w:r>
        <w:rPr>
          <w:rStyle w:val="FootnoteAnchor"/>
          <w:rtl w:val="true"/>
        </w:rPr>
        <w:footnoteReference w:id="728"/>
      </w:r>
      <w:r>
        <w:rPr>
          <w:rFonts w:ascii="IRNazanin" w:hAnsi="IRNazanin" w:eastAsia="IRNazanin"/>
          <w:color w:val="111111"/>
          <w:sz w:val="28"/>
          <w:sz w:val="28"/>
          <w:szCs w:val="28"/>
          <w:rtl w:val="true"/>
          <w:lang w:bidi="fa-IR"/>
        </w:rPr>
        <w:t>جزّه فالأقرب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المبیع حینئذ مشاهد، والوزن غیر معتبر مع کونه علی ظهرها وإن استجزّت، کالثمرة علی الشجرة وإن استجذّت</w:t>
      </w:r>
      <w:r>
        <w:rPr>
          <w:rFonts w:eastAsia="IRNazanin" w:cs="IRNazanin"/>
          <w:color w:val="111111"/>
          <w:sz w:val="28"/>
          <w:szCs w:val="28"/>
          <w:rtl w:val="true"/>
          <w:lang w:bidi="fa-IR"/>
        </w:rPr>
        <w:t>.</w:t>
      </w:r>
      <w:bookmarkStart w:id="295" w:name="pg19812_249399"/>
    </w:p>
    <w:p>
      <w:pPr>
        <w:pStyle w:val="BookText"/>
        <w:rPr/>
      </w:pPr>
      <w:bookmarkEnd w:id="295"/>
      <w:r>
        <w:rPr>
          <w:rFonts w:ascii="IRNazanin" w:hAnsi="IRNazanin" w:eastAsia="IRNazanin"/>
          <w:color w:val="111111"/>
          <w:sz w:val="28"/>
          <w:sz w:val="28"/>
          <w:szCs w:val="28"/>
          <w:rtl w:val="true"/>
          <w:lang w:bidi="fa-IR"/>
        </w:rPr>
        <w:t>وینبغی علی هذا عدم اعتبار اشتراط جزّه؛ لأنّ ذلک لا مدخل له فی الصحّة، بل غایته مع تأخیره أن یمتزج بمال البائع، وهو لا یقتضی بطلان البیع، کما لو امتزجت لقطة الخضر بغیرها، فیرجع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تأخیره مدّة معلومة وتبعیّة المتجدّد بنی علی القاعدة السالفة، فإن کان المقصود بالذات هو الموجود صحّ، وإلّا فلا</w:t>
      </w:r>
      <w:r>
        <w:rPr>
          <w:rFonts w:eastAsia="IRNazanin" w:cs="IRNazanin"/>
          <w:color w:val="111111"/>
          <w:sz w:val="28"/>
          <w:szCs w:val="28"/>
          <w:rtl w:val="true"/>
          <w:lang w:bidi="fa-IR"/>
        </w:rPr>
        <w:t>.</w:t>
      </w:r>
    </w:p>
    <w:p>
      <w:pPr>
        <w:pStyle w:val="Heading5"/>
        <w:numPr>
          <w:ilvl w:val="4"/>
          <w:numId w:val="1"/>
        </w:numPr>
        <w:rPr/>
      </w:pPr>
      <w:bookmarkStart w:id="296" w:name="__RefHeading___Toc2092968_2314609296"/>
      <w:bookmarkStart w:id="297" w:name="_Toc107"/>
      <w:bookmarkEnd w:id="296"/>
      <w:r>
        <w:rPr>
          <w:rtl w:val="true"/>
        </w:rPr>
        <w:t>[</w:t>
      </w:r>
      <w:r>
        <w:rPr>
          <w:rtl w:val="true"/>
        </w:rPr>
        <w:t>الثانیة عشر</w:t>
      </w:r>
      <w:r>
        <w:rPr>
          <w:rtl w:val="true"/>
        </w:rPr>
        <w:t xml:space="preserve">: </w:t>
      </w:r>
      <w:r>
        <w:rPr>
          <w:rtl w:val="true"/>
        </w:rPr>
        <w:t>جواز بیع دود القز</w:t>
      </w:r>
      <w:r>
        <w:rPr>
          <w:rtl w:val="true"/>
        </w:rPr>
        <w:t>]</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دود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حیوان طاهر ینتفع به منفعة مقصودة محلّلة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القزّ وإن کان الدود فیه؛ لأنّه کالنوی فی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 من بیعه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احتمل المنع؛ لأنّه إن کان حیّاً عرّضه </w:t>
      </w:r>
      <w:r>
        <w:rPr>
          <w:rStyle w:val="FootnoteAnchor"/>
          <w:rtl w:val="true"/>
        </w:rPr>
        <w:footnoteReference w:id="729"/>
      </w:r>
      <w:r>
        <w:rPr>
          <w:rFonts w:ascii="IRNazanin" w:hAnsi="IRNazanin" w:eastAsia="IRNazanin"/>
          <w:color w:val="111111"/>
          <w:sz w:val="28"/>
          <w:sz w:val="28"/>
          <w:szCs w:val="28"/>
          <w:rtl w:val="true"/>
          <w:lang w:bidi="fa-IR"/>
        </w:rPr>
        <w:t xml:space="preserve">للفساد، وإن کان میّتاً دخل فی عموم النهی عن بیع المیتة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ضعیف؛ لأنّ عرضة الفساد لا یقتضی المنع، والدود لا یقصد بالبیع حتی تمنع میتته </w:t>
      </w:r>
      <w:r>
        <w:rPr>
          <w:rStyle w:val="FootnoteAnchor"/>
          <w:rtl w:val="true"/>
        </w:rPr>
        <w:footnoteReference w:id="731"/>
      </w:r>
      <w:r>
        <w:rPr>
          <w:rFonts w:ascii="IRNazanin" w:hAnsi="IRNazanin" w:eastAsia="IRNazanin"/>
          <w:color w:val="111111"/>
          <w:sz w:val="28"/>
          <w:sz w:val="28"/>
          <w:szCs w:val="28"/>
          <w:rtl w:val="true"/>
          <w:lang w:bidi="fa-IR"/>
        </w:rPr>
        <w:t>وإلی جوابه أشار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کالنوی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النوی منفعة مقصودة کعلَف الدوابّ، بخلاف الدود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لا تمنع من صحّة البیع</w:t>
      </w:r>
      <w:r>
        <w:rPr>
          <w:rFonts w:eastAsia="IRNazanin" w:cs="IRNazanin"/>
          <w:color w:val="111111"/>
          <w:sz w:val="28"/>
          <w:szCs w:val="28"/>
          <w:rtl w:val="true"/>
          <w:lang w:bidi="fa-IR"/>
        </w:rPr>
        <w:t>.</w:t>
      </w:r>
      <w:bookmarkStart w:id="298" w:name="pg19812_249400"/>
    </w:p>
    <w:p>
      <w:pPr>
        <w:pStyle w:val="Heading5"/>
        <w:numPr>
          <w:ilvl w:val="4"/>
          <w:numId w:val="1"/>
        </w:numPr>
        <w:rPr/>
      </w:pPr>
      <w:bookmarkStart w:id="299" w:name="__RefHeading___Toc2092970_2314609296"/>
      <w:bookmarkStart w:id="300" w:name="_Toc108"/>
      <w:bookmarkEnd w:id="298"/>
      <w:bookmarkEnd w:id="299"/>
      <w:r>
        <w:rPr>
          <w:rtl w:val="true"/>
        </w:rPr>
        <w:t>[</w:t>
      </w:r>
      <w:r>
        <w:rPr>
          <w:rtl w:val="true"/>
        </w:rPr>
        <w:t>الثالثة عشر</w:t>
      </w:r>
      <w:r>
        <w:rPr>
          <w:rtl w:val="true"/>
        </w:rPr>
        <w:t xml:space="preserve">: </w:t>
      </w:r>
      <w:r>
        <w:rPr>
          <w:rtl w:val="true"/>
        </w:rPr>
        <w:t>حکم ظرف المبیع</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المبیع فی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بیعه مع وزنه 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 ما جرت العادة به للظرف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 جرت به زائداً عن وزن الظرف قطعاً أم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تطرّد العادة لم یجز إسقاط ما یزید إلّامع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إسقاطه بغیر ثمن أصلاً وبثمن مغایر للمظروف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باعه مع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وضع جاعلاً مجموع الظرف والمظروف مبیعاً واحداً بوزن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معرفة الجملة الرافعة للجهالة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الجهل بمقدار کلّ منهما منفرداً؛ لأنّ المبیع هو الجملة، لا کلّ فرد بخصوصه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حتی یعلم مقدار کلّ منهما </w:t>
      </w:r>
      <w:r>
        <w:rPr>
          <w:rStyle w:val="FootnoteAnchor"/>
          <w:rtl w:val="true"/>
        </w:rPr>
        <w:footnoteReference w:id="732"/>
      </w:r>
      <w:r>
        <w:rPr>
          <w:rFonts w:ascii="Amiri" w:hAnsi="Amiri" w:eastAsia="Amiri" w:cs="Amiri"/>
          <w:color w:val="111111"/>
          <w:sz w:val="28"/>
          <w:sz w:val="28"/>
          <w:szCs w:val="28"/>
          <w:rtl w:val="true"/>
          <w:lang w:bidi="ar-SA"/>
        </w:rPr>
        <w:t xml:space="preserve">لأنّهما فی قوّة مبیعین </w:t>
      </w:r>
      <w:r>
        <w:rPr>
          <w:rStyle w:val="FootnoteAnchor"/>
          <w:rtl w:val="true"/>
        </w:rPr>
        <w:footnoteReference w:id="733"/>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bookmarkStart w:id="301" w:name="pg19812_249401"/>
    </w:p>
    <w:p>
      <w:pPr>
        <w:pStyle w:val="Heading4"/>
        <w:numPr>
          <w:ilvl w:val="3"/>
          <w:numId w:val="1"/>
        </w:numPr>
        <w:rPr/>
      </w:pPr>
      <w:bookmarkStart w:id="302" w:name="__RefHeading___Toc2092972_2314609296"/>
      <w:bookmarkStart w:id="303" w:name="_Toc109"/>
      <w:bookmarkEnd w:id="301"/>
      <w:bookmarkEnd w:id="302"/>
      <w:r>
        <w:rPr>
          <w:rtl w:val="true"/>
        </w:rPr>
        <w:t>[«</w:t>
      </w:r>
      <w:r>
        <w:rPr>
          <w:rtl w:val="true"/>
        </w:rPr>
        <w:t>القول فی الآداب</w:t>
      </w:r>
      <w:r>
        <w:rPr>
          <w:rtl w:val="true"/>
        </w:rPr>
        <w:t>»]</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أربعة وعشرون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فیما یتولّاه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التکسّب، لیعرف صحیح العقد من فاسده، ویسلم من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معرفة الأحکام بالاستدلال کما یقتضیه ظاهر الأمر بالتفقّه </w:t>
      </w:r>
      <w:r>
        <w:rPr>
          <w:rStyle w:val="FootnoteAnchor"/>
          <w:rtl w:val="true"/>
        </w:rPr>
        <w:footnoteReference w:id="735"/>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به هنا معرفتها علی وجه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بغیر علم فقد ارتطم فی الربا ثم ارتطم</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المعاملین فی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یفرّق بین المماکس وغیره، ولا بین الشریف والحقیر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فاوت بینهم بسبب فضیلة ودین </w:t>
      </w:r>
      <w:r>
        <w:rPr>
          <w:rStyle w:val="FootnoteAnchor"/>
          <w:rtl w:val="true"/>
        </w:rPr>
        <w:footnoteReference w:id="737"/>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یکره للآخذ قبول ذلک، ولقد کان السلف یوکّلون فی الشراء ممّن لا یُعرف، هرباً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إقالة النادم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عبد مسلم أقال مسلماً فی بیع أقال اللّٰه عثرته یوم القیامة</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وهو مطلق فی النادم وغیره، إلّاأنّ ترتّب الغایة مشعر به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یفتقر إلی الإقالة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تفرّقا من المجلس أو شرطا عدم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للمشتری خیارٌ فسخ به ولم یکن محتاجاً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تشرع الإقالة فی زمن الخیار؟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لشمول الأدلّة له، خصوصاً الحدیث السابق، فإنّه لم یتقیّد بتوقّف المطلوب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یکاد تتحقّق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الإقالة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إلّاإذا قلنا هی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فیترتّب علیها أحکام البیع من الشفعة وغیرها، بخلاف 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 بأنّ الإقالة من ذی الخیار إسقاط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لدلالتها علی الالتزام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وإسقاط الخیار لا یختصّ بلفظ، بل یحصل بکلّ ما دلّ علیه من قول وفعل، وتظهر الفائدة حینئذ فیما لو تبیّن بطلان الإقالة فلیس له الفسخ بالخیار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سقوط خیاره بنفس طلبها مع علمه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 من الوجه، ومن ثمّ قیل بسقوط الخیار لمن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w:t>
      </w:r>
      <w:r>
        <w:rPr>
          <w:rStyle w:val="FootnoteAnchor"/>
          <w:rtl w:val="true"/>
        </w:rPr>
        <w:footnoteReference w:id="739"/>
      </w:r>
      <w:r>
        <w:rPr>
          <w:rFonts w:ascii="Amiri" w:hAnsi="Amiri" w:eastAsia="Amiri" w:cs="Amiri"/>
          <w:color w:val="111111"/>
          <w:sz w:val="28"/>
          <w:sz w:val="28"/>
          <w:szCs w:val="28"/>
          <w:rtl w:val="true"/>
          <w:lang w:bidi="ar-SA"/>
        </w:rPr>
        <w:t xml:space="preserve">وهو مرویّ </w:t>
      </w:r>
      <w:r>
        <w:rPr>
          <w:rStyle w:val="FootnoteAnchor"/>
          <w:rtl w:val="true"/>
        </w:rPr>
        <w:footnoteReference w:id="740"/>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والأقوی عدم السقوط فی الحالین </w:t>
      </w:r>
      <w:r>
        <w:rPr>
          <w:rStyle w:val="FootnoteAnchor"/>
          <w:rtl w:val="true"/>
        </w:rPr>
        <w:footnoteReference w:id="741"/>
      </w:r>
      <w:r>
        <w:rPr>
          <w:rFonts w:ascii="IRNazanin" w:hAnsi="IRNazanin" w:eastAsia="IRNazanin"/>
          <w:color w:val="111111"/>
          <w:sz w:val="28"/>
          <w:sz w:val="28"/>
          <w:szCs w:val="28"/>
          <w:rtl w:val="true"/>
          <w:lang w:bidi="fa-IR"/>
        </w:rPr>
        <w:t>لعدم دلالته علی الالتزام حتی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یکون مطلوبه من الإقالة تحصیل الثواب بها فلا ینافی إمکان فسخه بسبب آخر، وهو من أتمّ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تزیین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فیه الجاهل مع عدم غایة اُخری للزینة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تزیینه لغایة اُخری کما لو کانت الزینة مطلوبة عادة فلا بأس</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فی متاعه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عیب</w:t>
      </w:r>
    </w:p>
    <w:p>
      <w:pPr>
        <w:pStyle w:val="BookText"/>
        <w:rPr/>
      </w:pPr>
      <w:r>
        <w:rPr>
          <w:rFonts w:ascii="Amiri" w:hAnsi="Amiri" w:eastAsia="Amiri" w:cs="Amiri"/>
          <w:color w:val="111111"/>
          <w:sz w:val="28"/>
          <w:sz w:val="28"/>
          <w:szCs w:val="28"/>
          <w:rtl w:val="true"/>
          <w:lang w:bidi="ar-SA"/>
        </w:rPr>
        <w:t xml:space="preserve">ظاهراً کان أم خفیّاً؛ للخبر </w:t>
      </w:r>
      <w:r>
        <w:rPr>
          <w:rStyle w:val="FootnoteAnchor"/>
          <w:rtl w:val="true"/>
        </w:rPr>
        <w:footnoteReference w:id="742"/>
      </w:r>
      <w:r>
        <w:rPr>
          <w:rFonts w:ascii="IRNazanin" w:hAnsi="IRNazanin" w:eastAsia="IRNazanin"/>
          <w:color w:val="111111"/>
          <w:sz w:val="28"/>
          <w:sz w:val="28"/>
          <w:szCs w:val="28"/>
          <w:rtl w:val="true"/>
          <w:lang w:bidi="fa-IR"/>
        </w:rPr>
        <w:t>ولأنّ ذلک من تمام الإیمان والنصیحة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الحلف علی البیع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للتاجر من لا واللّٰه وبلی واللّٰه</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واشتری فلیحفظ خمس خصال، وإلّا فلا یشتر ولا یبیع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والحلف، وکتمان العیب، والمدح إذاباع، والذمّ إذا اشتری</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وقال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ینظر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رجل اتّخذ اللّٰه عزّ وجلّ بضاعة لا یشتری إلّابیمین ولا یبیع إلّابیمین</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وموضع الأدب الحلف صادقاً، أمّا الکاذب فعلیه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المسامحة فیهما وخصوصاً فی شراء آلات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موجبٌ للبرکة والزیادة، وکذا یستحبّ فی القضاء والاقتضاء </w:t>
      </w:r>
      <w:r>
        <w:rPr>
          <w:rStyle w:val="FootnoteAnchor"/>
          <w:rtl w:val="true"/>
        </w:rPr>
        <w:footnoteReference w:id="746"/>
      </w:r>
      <w:r>
        <w:rPr>
          <w:rFonts w:ascii="IRNazanin" w:hAnsi="IRNazanin" w:eastAsia="IRNazanin"/>
          <w:color w:val="111111"/>
          <w:sz w:val="28"/>
          <w:sz w:val="28"/>
          <w:szCs w:val="28"/>
          <w:rtl w:val="true"/>
          <w:lang w:bidi="fa-IR"/>
        </w:rPr>
        <w:t xml:space="preserve">للخبر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وتشهدّه الشهادتین بعد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ولیقل بعدهما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اشتریته التمس فیه من فضلک فاجعل لی فیه فضلاً، اللّهمّ إنّی اشتریته ألتمس فیه رزقاً فاجعل لی فیه رزقاً</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یقبض ناقصاً ویدفع راجحاً، نقصاناً ورجحاناً لا یؤدّی إلی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یزید کثیراً بحیث یجهل مقداره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تنازعا فی تحصیل الفضیلة قدّم من بیده المیزان والمکیال؛ لأنّه الفاعل المأمور بذلک، زیادة علی کونه معطیاً وآخذاً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یمدح أحدهما سلعتَه ولا یذمّ سلعة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المتقدّم وغیره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ذمّ سلعة نفسه بما لا یشتمل علی الکذب فلا بأس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الربح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ربح المؤمن علی المؤمن حرام، إلّاأن یشتری بأکثر من مئة درهم فاربح علیه قوت یومک، أو یشتریه للتجارة فاربحوا علیهم وارفقوا بهم</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الحاجة فیأخذ منهم نفقة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موزّعة علی المعاملین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 مع انضباطهم، وإلّا ترک الربح علی المعاملین بعد تحصیل قوت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شرائهم للقوت، أمّا للتجارة فلا بأس مع الرفق، کما دلّ 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الربح علی الموعود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اُحسن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فیجعل إحسانه الموعود به ترکَ الربح علیه،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 للرجل هلمَّ اُحسن بیعک یحرم علیه الربح</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والمراد به الکراهة المؤکّدة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السبق إلی السوق والتأخّر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یبادر إلی قضاء حاجته ویخرج منه؛ لأنّه مأوی الشیاطین کما أنّ المسجد مأوی الملائکة </w:t>
      </w:r>
      <w:r>
        <w:rPr>
          <w:rStyle w:val="FootnoteAnchor"/>
          <w:rtl w:val="true"/>
        </w:rPr>
        <w:footnoteReference w:id="752"/>
      </w:r>
      <w:r>
        <w:rPr>
          <w:rFonts w:ascii="IRNazanin" w:hAnsi="IRNazanin" w:eastAsia="IRNazanin"/>
          <w:color w:val="111111"/>
          <w:sz w:val="28"/>
          <w:sz w:val="28"/>
          <w:szCs w:val="28"/>
          <w:rtl w:val="true"/>
          <w:lang w:bidi="fa-IR"/>
        </w:rPr>
        <w:t>فیکون علی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التاجر وغیره، ولا بین أهل السوق</w:t>
      </w:r>
    </w:p>
    <w:p>
      <w:pPr>
        <w:pStyle w:val="BookText"/>
        <w:rPr/>
      </w:pPr>
      <w:r>
        <w:rPr>
          <w:rFonts w:ascii="IRNazanin" w:hAnsi="IRNazanin" w:eastAsia="IRNazanin"/>
          <w:color w:val="111111"/>
          <w:sz w:val="28"/>
          <w:sz w:val="28"/>
          <w:szCs w:val="28"/>
          <w:rtl w:val="true"/>
          <w:lang w:bidi="fa-IR"/>
        </w:rPr>
        <w:t>عادةً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معاملة الأدنین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یحاسبون علی الشیء الدون </w:t>
      </w:r>
      <w:r>
        <w:rPr>
          <w:rStyle w:val="FootnoteAnchor"/>
          <w:rtl w:val="true"/>
        </w:rPr>
        <w:footnoteReference w:id="753"/>
      </w:r>
      <w:r>
        <w:rPr>
          <w:rFonts w:ascii="IRNazanin" w:hAnsi="IRNazanin" w:eastAsia="IRNazanin"/>
          <w:color w:val="111111"/>
          <w:sz w:val="28"/>
          <w:sz w:val="28"/>
          <w:szCs w:val="28"/>
          <w:rtl w:val="true"/>
          <w:lang w:bidi="fa-IR"/>
        </w:rPr>
        <w:t xml:space="preserve">أو من لا یسرّه الإحسان ولا تسوؤه الإساءة، أو من لا یبالی بما قال ولا ما قیل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والمحارفین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الذین لا یبارک لهم فی کسبهم،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محدود محروم، وهو خلاف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وقد حورف کسب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شدّد علیه فی معاشه، کأ نّه میل برزقه عنه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ذوی الآفة والنقص فی أبدانهم، للنهی عنه فی الأخبار، معلّلاً بأ نّهم أظلم شیء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للحدیث عن الصادق علیه السلام، معلّلاً بأ نّهم حیّ من أحیاء الجنّ کشف اللّٰه عنهم الغطاء </w:t>
      </w:r>
      <w:r>
        <w:rPr>
          <w:rStyle w:val="FootnoteAnchor"/>
          <w:rtl w:val="true"/>
        </w:rPr>
        <w:footnoteReference w:id="756"/>
      </w:r>
      <w:r>
        <w:rPr>
          <w:rFonts w:ascii="IRNazanin" w:hAnsi="IRNazanin" w:eastAsia="IRNazanin"/>
          <w:color w:val="111111"/>
          <w:sz w:val="28"/>
          <w:sz w:val="28"/>
          <w:szCs w:val="28"/>
          <w:rtl w:val="true"/>
          <w:lang w:bidi="fa-IR"/>
        </w:rPr>
        <w:t xml:space="preserve">ونهی فیه أیضاً عن مخالطتهم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w:t>
      </w:r>
      <w:r>
        <w:rPr>
          <w:rStyle w:val="FootnoteAnchor"/>
          <w:rtl w:val="true"/>
        </w:rPr>
        <w:footnoteReference w:id="758"/>
      </w:r>
      <w:r>
        <w:rPr>
          <w:rFonts w:ascii="IRNazanin" w:hAnsi="IRNazanin" w:eastAsia="IRNazanin"/>
          <w:color w:val="111111"/>
          <w:sz w:val="28"/>
          <w:sz w:val="28"/>
          <w:szCs w:val="28"/>
          <w:rtl w:val="true"/>
          <w:lang w:bidi="fa-IR"/>
        </w:rPr>
        <w:t xml:space="preserve">ولا یتعدّی إلی غیرهم من أصناف الکفّار؛ للأصل، والفارق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وذوی الشبهة </w:t>
      </w:r>
      <w:r>
        <w:rPr>
          <w:rStyle w:val="FootnoteAnchor"/>
          <w:rtl w:val="true"/>
        </w:rPr>
        <w:footnoteReference w:id="759"/>
      </w:r>
      <w:r>
        <w:rPr>
          <w:rFonts w:ascii="IRNazanin" w:hAnsi="IRNazanin" w:eastAsia="IRNazanin"/>
          <w:color w:val="111111"/>
          <w:sz w:val="28"/>
          <w:sz w:val="28"/>
          <w:szCs w:val="28"/>
          <w:rtl w:val="true"/>
          <w:lang w:bidi="fa-IR"/>
        </w:rPr>
        <w:t>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کالظَلَمة؛ لسریان شبههم إلی ماله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التعرض للکیل أو </w:t>
      </w:r>
      <w:r>
        <w:rPr>
          <w:rStyle w:val="FootnoteAnchor"/>
          <w:rtl w:val="true"/>
        </w:rPr>
        <w:footnoteReference w:id="760"/>
      </w:r>
      <w:r>
        <w:rPr>
          <w:rFonts w:ascii="IRNazanin" w:hAnsi="IRNazanin" w:eastAsia="IRNazanin"/>
          <w:color w:val="111111"/>
          <w:sz w:val="28"/>
          <w:sz w:val="28"/>
          <w:szCs w:val="28"/>
          <w:rtl w:val="true"/>
          <w:lang w:bidi="fa-IR"/>
        </w:rPr>
        <w:t>الوزن إذا لم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الزیادة والنقصان المؤدّیین إلی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حینئذٍ؛ للنهی عنه فی</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761"/>
      </w:r>
      <w:r>
        <w:rPr>
          <w:rFonts w:ascii="IRNazanin" w:hAnsi="IRNazanin" w:eastAsia="IRNazanin"/>
          <w:color w:val="111111"/>
          <w:sz w:val="28"/>
          <w:sz w:val="28"/>
          <w:szCs w:val="28"/>
          <w:rtl w:val="true"/>
          <w:lang w:bidi="fa-IR"/>
        </w:rPr>
        <w:t>المقتضی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الزیادة فی السِلعة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من الدلّال، بل یصبر حتّی یسکت ثمّ یزید إن أراد، لقول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نادی المنادی فلیس لک أن تزید، وإنّما یحرّم الزیادة النداء ویحلّها السکوت</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الاشتغال بالتجارة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طلوع الفجر إلی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لنهی النبیّ صلی الله علیه و آله عنه </w:t>
      </w:r>
      <w:r>
        <w:rPr>
          <w:rStyle w:val="FootnoteAnchor"/>
          <w:rtl w:val="true"/>
        </w:rPr>
        <w:footnoteReference w:id="763"/>
      </w:r>
      <w:r>
        <w:rPr>
          <w:rFonts w:ascii="IRNazanin" w:hAnsi="IRNazanin" w:eastAsia="IRNazanin"/>
          <w:color w:val="111111"/>
          <w:sz w:val="28"/>
          <w:sz w:val="28"/>
          <w:szCs w:val="28"/>
          <w:rtl w:val="true"/>
          <w:lang w:bidi="fa-IR"/>
        </w:rPr>
        <w:t>ولأ نّه وقت دعاءٍ ومسألةٍ للّٰه‌تعالی، لا وقت تجارة، 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الدعاء فیه أبلغ فی طلب الرزق من الضرب فی البلاد</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دخول المؤمن فی سوم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 وشراءً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یطلب ابتیاع الذی یرید أن یشتریه ویبذل زیادة عنه لیقدّمه البائع، أو یبذل للمشتری متاعاً غیر ما اتّفق هو والبائع علیه؛ لقول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یسوم الرجل علی سوم أخیه</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وهو خبرٌ معناه النهی، ومن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w:t>
      </w:r>
      <w:r>
        <w:rPr>
          <w:rStyle w:val="FootnoteAnchor"/>
          <w:rtl w:val="true"/>
        </w:rPr>
        <w:footnoteReference w:id="766"/>
      </w:r>
      <w:r>
        <w:rPr>
          <w:rFonts w:ascii="IRNazanin" w:hAnsi="IRNazanin" w:eastAsia="IRNazanin"/>
          <w:color w:val="111111"/>
          <w:sz w:val="28"/>
          <w:sz w:val="28"/>
          <w:szCs w:val="28"/>
          <w:rtl w:val="true"/>
          <w:lang w:bidi="fa-IR"/>
        </w:rPr>
        <w:t>لأنّه الأصل فی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یکره أو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التراضی أو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ظهر له</w:t>
      </w:r>
    </w:p>
    <w:p>
      <w:pPr>
        <w:pStyle w:val="BookText"/>
        <w:rPr/>
      </w:pPr>
      <w:r>
        <w:rPr>
          <w:rFonts w:ascii="IRNazanin" w:hAnsi="IRNazanin" w:eastAsia="IRNazanin"/>
          <w:color w:val="111111"/>
          <w:sz w:val="28"/>
          <w:sz w:val="28"/>
          <w:szCs w:val="28"/>
          <w:rtl w:val="true"/>
          <w:lang w:bidi="fa-IR"/>
        </w:rPr>
        <w:t>ما یدلّ علی عدمه فلا کراهة ولا تحریم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السوم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دخل أحدهما علی النهی أم لا، بأن ابتدآ فیه معاً قبل محلّ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نفسه بدلاً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الدخول فی السوم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کراهیة فیما یکون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موضوعة عرفاً لطلب الزیادة ما دام الدلّال یطلبها، فإذا حصل الاتّفاق بین الدلّال والغریم </w:t>
      </w:r>
      <w:r>
        <w:rPr>
          <w:rStyle w:val="FootnoteAnchor"/>
          <w:rtl w:val="true"/>
        </w:rPr>
        <w:footnoteReference w:id="767"/>
      </w:r>
      <w:r>
        <w:rPr>
          <w:rFonts w:ascii="IRNazanin" w:hAnsi="IRNazanin" w:eastAsia="IRNazanin"/>
          <w:color w:val="111111"/>
          <w:sz w:val="28"/>
          <w:sz w:val="28"/>
          <w:szCs w:val="28"/>
          <w:rtl w:val="true"/>
          <w:lang w:bidi="fa-IR"/>
        </w:rPr>
        <w:t>تعلّقت الکراهة؛ لأ نّه لا یکون حینئذ فی الدلالة وإن کان بید الدلّال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کراهیة طلب المشتری من بعض الطالبین الترک له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صدق الدخول فی السوم من حیث الطلب منه، ومن مساواته له فی المعنی حیث أراد أن یحرمه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القطع بعدم التحریم علی القول به فی السوم، وإنّما الشکّ فی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کراهیة فی ترک الملتمس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قضاء حاجة لأخیه، وربما استحبّت إجابته لو کان مؤمناً، ویحتمل الکراهة لو قلنا بکراهة طلبه؛ لإعانته له علی فعل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الفروع من خواصّ الکتاب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توکّل حاضر 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الغریب الجالب للبلد وإن کان قرویّاً،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یتوکّل حاضر لباد، دعوا الناس یرزق اللّٰه بعضهم من بعض</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وحمل بعضهم النهی علی التحریم </w:t>
      </w:r>
      <w:r>
        <w:rPr>
          <w:rStyle w:val="FootnoteAnchor"/>
          <w:rtl w:val="true"/>
        </w:rPr>
        <w:footnoteReference w:id="769"/>
      </w:r>
      <w:r>
        <w:rPr>
          <w:rFonts w:ascii="IRNazanin" w:hAnsi="IRNazanin" w:eastAsia="IRNazanin"/>
          <w:color w:val="111111"/>
          <w:sz w:val="28"/>
          <w:sz w:val="28"/>
          <w:szCs w:val="28"/>
          <w:rtl w:val="true"/>
          <w:lang w:bidi="fa-IR"/>
        </w:rPr>
        <w:t>وهو حسن لو صحّ الحدیث،</w:t>
      </w:r>
    </w:p>
    <w:p>
      <w:pPr>
        <w:pStyle w:val="BookText"/>
        <w:rPr/>
      </w:pPr>
      <w:r>
        <w:rPr>
          <w:rFonts w:ascii="IRNazanin" w:hAnsi="IRNazanin" w:eastAsia="IRNazanin"/>
          <w:color w:val="111111"/>
          <w:sz w:val="28"/>
          <w:sz w:val="28"/>
          <w:szCs w:val="28"/>
          <w:rtl w:val="true"/>
          <w:lang w:bidi="fa-IR"/>
        </w:rPr>
        <w:t>وإلّا فالکراهة أوجه، للتسامح فی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الحضریّ به، فلو التمسه منه الغریب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 الغریب بسعر البلد، فلو علم به لم یکره، بل کانت مساعدته محض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 مع النهی انعقد وإن قیل بتحریمه، ولا بأس بشراء البلدیّ له؛ 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للرکبان </w:t>
      </w:r>
      <w:r>
        <w:rPr>
          <w:rStyle w:val="FootnoteAnchor"/>
          <w:rtl w:val="true"/>
        </w:rPr>
        <w:footnoteReference w:id="770"/>
      </w:r>
      <w:r>
        <w:rPr>
          <w:rFonts w:ascii="IRNazanin" w:hAnsi="IRNazanin" w:eastAsia="IRNazanin"/>
          <w:color w:val="111111"/>
          <w:sz w:val="28"/>
          <w:sz w:val="28"/>
          <w:szCs w:val="28"/>
          <w:rtl w:val="true"/>
          <w:lang w:bidi="fa-IR"/>
        </w:rPr>
        <w:t xml:space="preserve">وهو الخروج إلی الرکب القاصد إلی بلد للبیع علیهم أو الشراء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دون، فلا یکره ما زاد؛ لأنّه سفر للتجارة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لأجله، فلو اتّفق مصادفة الرکب فی خروجه لغرض لم یکن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 البائع أو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البلد، فلو علم به لم یُکره، کما یشعر به تعلیله صلی الله علیه و آله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یتلقّ أحدکم تجارة خارجاً من المصر، والمسلمون یرزق اللّٰه بعضهم من بعض</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والاعتبار بعلم من یعامله خاصّة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شراء ما یتلقّی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اشتراه من الرکب بالشرائط ومن ترتّبت یده علی یده وإن ترامی،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تلقَّ ولا تشتر ما یتلقّی ولا تأکل منه</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وذهب جماعة إلی التحریم </w:t>
      </w:r>
      <w:r>
        <w:rPr>
          <w:rStyle w:val="FootnoteAnchor"/>
          <w:rtl w:val="true"/>
        </w:rPr>
        <w:footnoteReference w:id="773"/>
      </w:r>
      <w:r>
        <w:rPr>
          <w:rFonts w:ascii="IRNazanin" w:hAnsi="IRNazanin" w:eastAsia="IRNazanin"/>
          <w:color w:val="111111"/>
          <w:sz w:val="28"/>
          <w:sz w:val="28"/>
          <w:szCs w:val="28"/>
          <w:rtl w:val="true"/>
          <w:lang w:bidi="fa-IR"/>
        </w:rPr>
        <w:t>لظاهر النهی فی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القولین یصحّ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للبائع والمشتری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فیتخیّر المغبون علی الفور فی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کراهة فی الشراء والبیع منه بعد وصوله إلی حدود البلد بحیث لا یصدق التلقّی وإن کان جاهلاً بسعره؛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بیع نحو المأکول والعلف علیهم وإن تلقّی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الحُکرة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جمع الطعام وحبسه یتربّص به الغلاء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تحریمه مع حاجة الناس إلیه؛ لصحّة الخبر بالنهی عنه عن النبیّ </w:t>
      </w:r>
      <w:r>
        <w:rPr>
          <w:rStyle w:val="FootnoteAnchor"/>
          <w:rtl w:val="true"/>
        </w:rPr>
        <w:footnoteReference w:id="774"/>
      </w:r>
      <w:r>
        <w:rPr>
          <w:rFonts w:ascii="IRNazanin" w:hAnsi="IRNazanin" w:eastAsia="IRNazanin"/>
          <w:color w:val="111111"/>
          <w:sz w:val="28"/>
          <w:sz w:val="28"/>
          <w:szCs w:val="28"/>
          <w:rtl w:val="true"/>
          <w:lang w:bidi="fa-IR"/>
        </w:rPr>
        <w:t xml:space="preserve">صلی الله علیه و آله وأ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یحتکر الطعام إلّاخاطئ</w:t>
      </w:r>
      <w:r>
        <w:rPr>
          <w:rFonts w:eastAsia="IRNazanin" w:cs="IRNazanin"/>
          <w:color w:val="111111"/>
          <w:sz w:val="28"/>
          <w:szCs w:val="28"/>
          <w:rtl w:val="true"/>
          <w:lang w:bidi="fa-IR"/>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ملعون</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تثبت الحکرة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الحنطة والشعیر والتمر والزبیب والسَمن والزیت والملح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یکره إذا وجد باذل غیره یکتفی به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یوجد غیره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یتقیّد بثلاثة أیّام فی الغلاء وأربعین فی الرُخص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روی من التحدید بذلک </w:t>
      </w:r>
      <w:r>
        <w:rPr>
          <w:rStyle w:val="FootnoteAnchor"/>
          <w:rtl w:val="true"/>
        </w:rPr>
        <w:footnoteReference w:id="777"/>
      </w:r>
      <w:r>
        <w:rPr>
          <w:rFonts w:ascii="IRNazanin" w:hAnsi="IRNazanin" w:eastAsia="IRNazanin"/>
          <w:color w:val="111111"/>
          <w:sz w:val="28"/>
          <w:sz w:val="28"/>
          <w:szCs w:val="28"/>
          <w:rtl w:val="true"/>
          <w:lang w:bidi="fa-IR"/>
        </w:rPr>
        <w:t xml:space="preserve">محمول علی حصول الحاجة فی ذلک الوقت؛ لأنّه مظنّتها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ویسعّر </w:t>
      </w:r>
      <w:r>
        <w:rPr>
          <w:rStyle w:val="FootnoteAnchor"/>
          <w:rtl w:val="true"/>
        </w:rPr>
        <w:footnoteReference w:id="77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یجب علیه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الثمن؛ لما فیه من الإضرار المنفیّ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التسعیر فی الرخص مع عدم الحاجة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أ نّه مع الإجحاف</w:t>
      </w:r>
    </w:p>
    <w:p>
      <w:pPr>
        <w:pStyle w:val="BookText"/>
        <w:rPr/>
      </w:pPr>
      <w:r>
        <w:rPr>
          <w:rFonts w:ascii="IRNazanin" w:hAnsi="IRNazanin" w:eastAsia="IRNazanin"/>
          <w:color w:val="111111"/>
          <w:sz w:val="28"/>
          <w:sz w:val="28"/>
          <w:szCs w:val="28"/>
          <w:rtl w:val="true"/>
          <w:lang w:bidi="fa-IR"/>
        </w:rPr>
        <w:t>حیث یؤمر به لا یسعّر علیه أیضاً، بل یؤمر بالنزول عن المجحف وإن کان فی معنی التسعیر، إلّاأ نّه لا یحصر فی قدر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الربا فی المعدود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الصحیحة الدالّة علی اختصاصه بالمکیل والموزون </w:t>
      </w:r>
      <w:r>
        <w:rPr>
          <w:rStyle w:val="FootnoteAnchor"/>
          <w:rtl w:val="true"/>
        </w:rPr>
        <w:footnoteReference w:id="779"/>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فیه أیضاً </w:t>
      </w:r>
      <w:r>
        <w:rPr>
          <w:rStyle w:val="FootnoteAnchor"/>
          <w:rtl w:val="true"/>
        </w:rPr>
        <w:footnoteReference w:id="780"/>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781"/>
      </w:r>
      <w:r>
        <w:rPr>
          <w:rFonts w:ascii="IRNazanin" w:hAnsi="IRNazanin" w:eastAsia="IRNazanin"/>
          <w:color w:val="111111"/>
          <w:sz w:val="28"/>
          <w:sz w:val="28"/>
          <w:szCs w:val="28"/>
          <w:rtl w:val="true"/>
          <w:lang w:bidi="fa-IR"/>
        </w:rPr>
        <w:t xml:space="preserve">ظاهرة فی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فی 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کالتمر بالزبیب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کره فیه؛ للأخبار الدالّة علی النهی عنه </w:t>
      </w:r>
      <w:r>
        <w:rPr>
          <w:rStyle w:val="FootnoteAnchor"/>
          <w:rtl w:val="true"/>
        </w:rPr>
        <w:footnoteReference w:id="782"/>
      </w:r>
      <w:r>
        <w:rPr>
          <w:rFonts w:ascii="IRNazanin" w:hAnsi="IRNazanin" w:eastAsia="IRNazanin"/>
          <w:color w:val="111111"/>
          <w:sz w:val="28"/>
          <w:sz w:val="28"/>
          <w:szCs w:val="28"/>
          <w:rtl w:val="true"/>
          <w:lang w:bidi="fa-IR"/>
        </w:rPr>
        <w:t>إلّا أ نّها فی الکراهة أظهر؛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الجنس فبیعوا کیف شئتم</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بتحریمه </w:t>
      </w:r>
      <w:r>
        <w:rPr>
          <w:rStyle w:val="FootnoteAnchor"/>
          <w:rtl w:val="true"/>
        </w:rPr>
        <w:footnoteReference w:id="784"/>
      </w:r>
      <w:r>
        <w:rPr>
          <w:rFonts w:ascii="IRNazanin" w:hAnsi="IRNazanin" w:eastAsia="IRNazanin"/>
          <w:color w:val="111111"/>
          <w:sz w:val="28"/>
          <w:sz w:val="28"/>
          <w:szCs w:val="28"/>
          <w:rtl w:val="true"/>
          <w:lang w:bidi="fa-IR"/>
        </w:rPr>
        <w:t>لظاهر النهی، کالسابق</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نسبة الربح والوضیعة إلی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بمئة وربح المئة عشرة، أو وضیعتها؛ للنهی عنه </w:t>
      </w:r>
      <w:r>
        <w:rPr>
          <w:rStyle w:val="FootnoteAnchor"/>
          <w:rtl w:val="true"/>
        </w:rPr>
        <w:footnoteReference w:id="785"/>
      </w:r>
      <w:r>
        <w:rPr>
          <w:rFonts w:ascii="IRNazanin" w:hAnsi="IRNazanin" w:eastAsia="IRNazanin"/>
          <w:color w:val="111111"/>
          <w:sz w:val="28"/>
          <w:sz w:val="28"/>
          <w:szCs w:val="28"/>
          <w:rtl w:val="true"/>
          <w:lang w:bidi="fa-IR"/>
        </w:rPr>
        <w:t>ولأ نّه بصورة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Style w:val="FootnoteAnchor"/>
          <w:rtl w:val="true"/>
        </w:rPr>
        <w:footnoteReference w:id="786"/>
      </w:r>
      <w:r>
        <w:rPr>
          <w:rFonts w:ascii="IRNazanin" w:hAnsi="IRNazanin" w:eastAsia="IRNazanin"/>
          <w:color w:val="111111"/>
          <w:sz w:val="28"/>
          <w:sz w:val="28"/>
          <w:szCs w:val="28"/>
          <w:rtl w:val="true"/>
          <w:lang w:bidi="fa-IR"/>
        </w:rPr>
        <w:t>عملاً بظاهر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نسبته کذلک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بکذا وربح کذا، أو وضیعته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بیع ما لم یقبض </w:t>
      </w:r>
      <w:r>
        <w:rPr>
          <w:rStyle w:val="FootnoteAnchor"/>
          <w:rtl w:val="true"/>
        </w:rPr>
        <w:footnoteReference w:id="787"/>
      </w:r>
      <w:r>
        <w:rPr>
          <w:rFonts w:ascii="IRNazanin" w:hAnsi="IRNazanin" w:eastAsia="IRNazanin"/>
          <w:color w:val="111111"/>
          <w:sz w:val="28"/>
          <w:sz w:val="28"/>
          <w:szCs w:val="28"/>
          <w:rtl w:val="true"/>
          <w:lang w:bidi="fa-IR"/>
        </w:rPr>
        <w:t>ممّا یکال أو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فی أخبار صحیحة </w:t>
      </w:r>
      <w:r>
        <w:rPr>
          <w:rStyle w:val="FootnoteAnchor"/>
          <w:rtl w:val="true"/>
        </w:rPr>
        <w:footnoteReference w:id="788"/>
      </w:r>
      <w:r>
        <w:rPr>
          <w:rFonts w:ascii="IRNazanin" w:hAnsi="IRNazanin" w:eastAsia="IRNazanin"/>
          <w:color w:val="111111"/>
          <w:sz w:val="28"/>
          <w:sz w:val="28"/>
          <w:szCs w:val="28"/>
          <w:rtl w:val="true"/>
          <w:lang w:bidi="fa-IR"/>
        </w:rPr>
        <w:t xml:space="preserve">حملت علی الکراهة، جمعاً بینها وبین ما دلّ علی الجواز </w:t>
      </w:r>
      <w:r>
        <w:rPr>
          <w:rStyle w:val="FootnoteAnchor"/>
          <w:rtl w:val="true"/>
        </w:rPr>
        <w:footnoteReference w:id="789"/>
      </w:r>
      <w:r>
        <w:rPr>
          <w:rFonts w:ascii="IRNazanin" w:hAnsi="IRNazanin" w:eastAsia="IRNazanin"/>
          <w:color w:val="111111"/>
          <w:sz w:val="28"/>
          <w:sz w:val="28"/>
          <w:szCs w:val="28"/>
          <w:rtl w:val="true"/>
          <w:lang w:bidi="fa-IR"/>
        </w:rPr>
        <w:t xml:space="preserve">والأقوی التحریم، وفاقاً للشیخ رحمه الله فی المبسوط مدّعیاً للإجماع </w:t>
      </w:r>
      <w:r>
        <w:rPr>
          <w:rStyle w:val="FootnoteAnchor"/>
          <w:rtl w:val="true"/>
        </w:rPr>
        <w:footnoteReference w:id="790"/>
      </w:r>
      <w:r>
        <w:rPr>
          <w:rFonts w:ascii="IRNazanin" w:hAnsi="IRNazanin" w:eastAsia="IRNazanin"/>
          <w:color w:val="111111"/>
          <w:sz w:val="28"/>
          <w:sz w:val="28"/>
          <w:szCs w:val="28"/>
          <w:rtl w:val="true"/>
          <w:lang w:bidi="fa-IR"/>
        </w:rPr>
        <w:t xml:space="preserve">والعلّامة رحمه الله فی التذکرة والإرشاد </w:t>
      </w:r>
      <w:r>
        <w:rPr>
          <w:rStyle w:val="FootnoteAnchor"/>
          <w:rtl w:val="true"/>
        </w:rPr>
        <w:footnoteReference w:id="791"/>
      </w:r>
      <w:r>
        <w:rPr>
          <w:rFonts w:ascii="IRNazanin" w:hAnsi="IRNazanin" w:eastAsia="IRNazanin"/>
          <w:color w:val="111111"/>
          <w:sz w:val="28"/>
          <w:sz w:val="28"/>
          <w:szCs w:val="28"/>
          <w:rtl w:val="true"/>
          <w:lang w:bidi="fa-IR"/>
        </w:rPr>
        <w:t>لضعف روایات الجواز المقتضیة لحمل النهی فی الأخبار الصحیحة علی غیر ظاهره</w:t>
      </w:r>
      <w:r>
        <w:rPr>
          <w:rFonts w:eastAsia="IRNazanin" w:cs="IRNazanin"/>
          <w:color w:val="111111"/>
          <w:sz w:val="28"/>
          <w:szCs w:val="28"/>
          <w:rtl w:val="true"/>
          <w:lang w:bidi="fa-IR"/>
        </w:rPr>
        <w:t>.</w:t>
      </w:r>
      <w:bookmarkStart w:id="304" w:name="pg19812_249412"/>
    </w:p>
    <w:p>
      <w:pPr>
        <w:pStyle w:val="Heading3"/>
        <w:numPr>
          <w:ilvl w:val="2"/>
          <w:numId w:val="1"/>
        </w:numPr>
        <w:rPr/>
      </w:pPr>
      <w:bookmarkStart w:id="305" w:name="__RefHeading___Toc2092974_2314609296"/>
      <w:bookmarkStart w:id="306" w:name="_Toc110"/>
      <w:bookmarkEnd w:id="304"/>
      <w:bookmarkEnd w:id="305"/>
      <w:r>
        <w:rPr>
          <w:rtl w:val="true"/>
        </w:rPr>
        <w:t>«</w:t>
      </w:r>
      <w:r>
        <w:rPr>
          <w:rtl w:val="true"/>
        </w:rPr>
        <w:t>الفصل الثالث</w:t>
      </w:r>
      <w:r>
        <w:rPr>
          <w:rtl w:val="true"/>
        </w:rPr>
        <w:t>» «</w:t>
      </w:r>
      <w:r>
        <w:rPr>
          <w:rtl w:val="true"/>
        </w:rPr>
        <w:t>فی بیع الحیوان</w:t>
      </w:r>
      <w:r>
        <w:rPr>
          <w:rtl w:val="true"/>
        </w:rPr>
        <w:t>»</w:t>
      </w:r>
      <w:bookmarkEnd w:id="306"/>
    </w:p>
    <w:p>
      <w:pPr>
        <w:pStyle w:val="Heading4"/>
        <w:numPr>
          <w:ilvl w:val="3"/>
          <w:numId w:val="1"/>
        </w:numPr>
        <w:rPr/>
      </w:pPr>
      <w:bookmarkStart w:id="307" w:name="__RefHeading___Toc2092976_2314609296"/>
      <w:bookmarkStart w:id="308" w:name="_Toc111"/>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أناسیّ </w:t>
      </w:r>
      <w:r>
        <w:rPr>
          <w:rStyle w:val="FootnoteAnchor"/>
          <w:rtl w:val="true"/>
        </w:rPr>
        <w:footnoteReference w:id="792"/>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البحث عن البیع موقوفاً علی الملک وکان تملّک الأوّل موقوفاً علی شرائط نبّه علیها أوّلاً ثم عقّبه بأحکام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وإن کان کذلک، إلّاأنّ لذکر ما یقبل الملک منه محلاًّ آخر بحسب ما اصطلحوا علیه، فقال</w:t>
      </w:r>
      <w:r>
        <w:rPr>
          <w:rFonts w:eastAsia="IRNazanin" w:cs="IRNazanin"/>
          <w:color w:val="111111"/>
          <w:sz w:val="28"/>
          <w:szCs w:val="28"/>
          <w:rtl w:val="true"/>
          <w:lang w:bidi="fa-IR"/>
        </w:rPr>
        <w:t>:</w:t>
      </w:r>
    </w:p>
    <w:p>
      <w:pPr>
        <w:pStyle w:val="Heading4"/>
        <w:numPr>
          <w:ilvl w:val="3"/>
          <w:numId w:val="1"/>
        </w:numPr>
        <w:rPr/>
      </w:pPr>
      <w:bookmarkStart w:id="309" w:name="__RefHeading___Toc2092978_2314609296"/>
      <w:bookmarkStart w:id="310" w:name="_Toc112"/>
      <w:bookmarkEnd w:id="309"/>
      <w:r>
        <w:rPr>
          <w:rtl w:val="true"/>
        </w:rPr>
        <w:t>[</w:t>
      </w:r>
      <w:r>
        <w:rPr>
          <w:rtl w:val="true"/>
        </w:rPr>
        <w:t xml:space="preserve">بیه الاناسی </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والأناسیّ تملک بالسبی مع الکفر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وکونهم غیر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بالأصلی عن الارتداد، فلا یجوز السبی وإن کان المرتدّ بحکم الکافر فی جملة 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یملکون بالسبی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أعقابهم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أسلموا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عتق أو کتابة أو تنکیل، أو رحم علی وجه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والملقوط فی دار الحرب رقّ إذا لم یکن فیها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لتولّده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حرّ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ویرشد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ویقرّ علی نفسه بالرقّ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فیقبل منه علی أصحّ القولین </w:t>
      </w:r>
      <w:r>
        <w:rPr>
          <w:rStyle w:val="FootnoteAnchor"/>
          <w:rtl w:val="true"/>
        </w:rPr>
        <w:footnoteReference w:id="793"/>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w:t>
      </w:r>
    </w:p>
    <w:p>
      <w:pPr>
        <w:pStyle w:val="BookText"/>
        <w:rPr/>
      </w:pPr>
      <w:r>
        <w:rPr>
          <w:rFonts w:ascii="IRNazanin" w:hAnsi="IRNazanin" w:eastAsia="IRNazanin"/>
          <w:color w:val="111111"/>
          <w:sz w:val="28"/>
          <w:sz w:val="28"/>
          <w:szCs w:val="28"/>
          <w:rtl w:val="true"/>
          <w:lang w:bidi="fa-IR"/>
        </w:rPr>
        <w:t>العقلاء علی أنفسهم جائز</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لسبق الحکم بحرّیته شرعاً ولا یتعقبّها الرقّ بذلک </w:t>
      </w:r>
      <w:r>
        <w:rPr>
          <w:rStyle w:val="FootnoteAnchor"/>
          <w:rtl w:val="true"/>
        </w:rPr>
        <w:footnoteReference w:id="795"/>
      </w:r>
      <w:r>
        <w:rPr>
          <w:rFonts w:ascii="IRNazanin" w:hAnsi="IRNazanin" w:eastAsia="IRNazanin"/>
          <w:color w:val="111111"/>
          <w:sz w:val="28"/>
          <w:sz w:val="28"/>
          <w:szCs w:val="28"/>
          <w:rtl w:val="true"/>
          <w:lang w:bidi="fa-IR"/>
        </w:rPr>
        <w:t>وکذا القول فی لقیط دار الحرب إذا کان فیها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مقرّ بالرقیّة بعد بلوغه ورشده وجهالة نسبه مسلماً کان أم کافراً، لمسلم أقرّ أم لکافر، وإن بیع علی الکافر لو کان المقرّ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والمسبیّ حال الغیبة یجوز تملّکه، ولا 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علیه السلام ولا لفریقه وإن کان حقّه أن یکون للإمام علیه السلام خاصّة؛ لکونه مغنوماً بغیر إذنه، إلّا أ نّهم علیهم السلام أذنوا لنا فی تملّکه کذلک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غیرنا فتقرّ یده علیه ویحکم له بظاهر الملک؛ للشبهة </w:t>
      </w:r>
      <w:r>
        <w:rPr>
          <w:rStyle w:val="FootnoteAnchor"/>
          <w:rtl w:val="true"/>
        </w:rPr>
        <w:footnoteReference w:id="797"/>
      </w:r>
      <w:r>
        <w:rPr>
          <w:rFonts w:ascii="IRNazanin" w:hAnsi="IRNazanin" w:eastAsia="IRNazanin"/>
          <w:color w:val="111111"/>
          <w:sz w:val="28"/>
          <w:sz w:val="28"/>
          <w:szCs w:val="28"/>
          <w:rtl w:val="true"/>
          <w:lang w:bidi="fa-IR"/>
        </w:rPr>
        <w:t>کتملّک الخراج والمقاسمة، فلا یؤخذ منه بغیر رضاه مطلقاً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یستقرّ للرجل ملک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الأبوان وآباؤهما وإن 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الأولاد ذکوراً وإناثاً وإن سفلن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والإناث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کالعمّة والخالة والاُخت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798"/>
      </w:r>
      <w:r>
        <w:rPr>
          <w:rFonts w:ascii="IRNazanin" w:hAnsi="IRNazanin" w:eastAsia="IRNazanin"/>
          <w:color w:val="111111"/>
          <w:sz w:val="28"/>
          <w:sz w:val="28"/>
          <w:szCs w:val="28"/>
          <w:rtl w:val="true"/>
          <w:lang w:bidi="fa-IR"/>
        </w:rPr>
        <w:t xml:space="preserve">للخبر الصحیح معلّلاً فیه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ولأنّ الرضاع لحمة کلحمة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ملک العمودین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وإن علوا والأولاد وإن سفلوا، ویستقرّ علی غیرهما وإن حرم نکاحه کالأخ والعمّ والخال وإن استحبّ لها إعتاق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إلحاق الخنثی هنا بالرجل أو المرأة نظر، من الشکّ فی الذکوریّة التی هی سبب عتق غیر العمودین فیوجب الشکّ فی عتقهم والتمسّک بأصالة بقاء الملک، ومن إمکانها فیعتقون؛ لبنائه علی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الإشکال لو کان مملوکاً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وإلحاقه بالاُنثی فی الأوّل وبالذکر فی الثانی </w:t>
      </w:r>
      <w:r>
        <w:rPr>
          <w:rStyle w:val="FootnoteAnchor"/>
          <w:rtl w:val="true"/>
        </w:rPr>
        <w:footnoteReference w:id="800"/>
      </w:r>
      <w:r>
        <w:rPr>
          <w:rFonts w:ascii="IRNazanin" w:hAnsi="IRNazanin" w:eastAsia="IRNazanin"/>
          <w:color w:val="111111"/>
          <w:sz w:val="28"/>
          <w:sz w:val="28"/>
          <w:szCs w:val="28"/>
          <w:rtl w:val="true"/>
          <w:lang w:bidi="fa-IR"/>
        </w:rPr>
        <w:t>لا یخلو من قوّة، تمسّکاً بالأصل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بعدم استقرار ملک من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یملک ابتداءً بوجود سبب الملک آناً قلیلاً لا یقبل غیر العتق ثم یعتقون؛ إذ لولا الملک لما حصل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عبّر من الأصحاب بأ نّهما لا یملکان ذلک </w:t>
      </w:r>
      <w:r>
        <w:rPr>
          <w:rStyle w:val="FootnoteAnchor"/>
          <w:rtl w:val="true"/>
        </w:rPr>
        <w:footnoteReference w:id="801"/>
      </w:r>
      <w:r>
        <w:rPr>
          <w:rFonts w:ascii="IRNazanin" w:hAnsi="IRNazanin" w:eastAsia="IRNazanin"/>
          <w:color w:val="111111"/>
          <w:sz w:val="28"/>
          <w:sz w:val="28"/>
          <w:szCs w:val="28"/>
          <w:rtl w:val="true"/>
          <w:lang w:bidi="fa-IR"/>
        </w:rPr>
        <w:t>تجوّز فی إطلاقه علی 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کلّه بین الملک القهریّ والاختیاریّ، ولا بین الکلّ والبعض، فیقوّم علیه باقیه إن کان مختاراً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وقرابة الشبهة </w:t>
      </w:r>
      <w:r>
        <w:rPr>
          <w:rStyle w:val="FootnoteAnchor"/>
          <w:rtl w:val="true"/>
        </w:rPr>
        <w:footnoteReference w:id="802"/>
      </w:r>
      <w:r>
        <w:rPr>
          <w:rFonts w:ascii="IRNazanin" w:hAnsi="IRNazanin" w:eastAsia="IRNazanin"/>
          <w:color w:val="111111"/>
          <w:sz w:val="28"/>
          <w:sz w:val="28"/>
          <w:szCs w:val="28"/>
          <w:rtl w:val="true"/>
          <w:lang w:bidi="fa-IR"/>
        </w:rPr>
        <w:t>بحکم الصحیح، بخلاف قرابة الزنا علی الأقوی؛ لأنّ الحکم الشرعی یتبع الشرع، لا اللغة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ویفهم من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والمرأة أنّ الصبیّ والصبیّة لا یعتق علیهم ذلک لو ملکوه إلی أن یبلغوا، والأخبار </w:t>
      </w:r>
      <w:r>
        <w:rPr>
          <w:rStyle w:val="FootnoteAnchor"/>
          <w:rtl w:val="true"/>
        </w:rPr>
        <w:footnoteReference w:id="803"/>
      </w:r>
      <w:r>
        <w:rPr>
          <w:rFonts w:ascii="IRNazanin" w:hAnsi="IRNazanin" w:eastAsia="IRNazanin"/>
          <w:color w:val="111111"/>
          <w:sz w:val="28"/>
          <w:sz w:val="28"/>
          <w:szCs w:val="28"/>
          <w:rtl w:val="true"/>
          <w:lang w:bidi="fa-IR"/>
        </w:rPr>
        <w:t>مطلقة فی الرجل والمرأة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ویعضده أصالة البراءة وإن کان خطاب الوضع غیر مقصور علی المکلّف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تمنع الزوجیّة من الشراء فتبطل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الزوجیّة ویقع الملک، فإن کان المشتری الزوج استباحها بالملک، وإن کانت الزوجة حرم علیها وطء مملوکها مطلقاً </w:t>
      </w:r>
      <w:r>
        <w:rPr>
          <w:rStyle w:val="FootnoteAnchor"/>
          <w:rtl w:val="true"/>
        </w:rPr>
        <w:footnoteReference w:id="804"/>
      </w:r>
      <w:r>
        <w:rPr>
          <w:rFonts w:ascii="IRNazanin" w:hAnsi="IRNazanin" w:eastAsia="IRNazanin"/>
          <w:color w:val="111111"/>
          <w:sz w:val="28"/>
          <w:sz w:val="28"/>
          <w:szCs w:val="28"/>
          <w:rtl w:val="true"/>
          <w:lang w:bidi="fa-IR"/>
        </w:rPr>
        <w:t>وهو موضع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ذلک بأنّ التفصیل فی حلّ الوطء </w:t>
      </w:r>
      <w:r>
        <w:rPr>
          <w:rStyle w:val="FootnoteAnchor"/>
          <w:rtl w:val="true"/>
        </w:rPr>
        <w:footnoteReference w:id="805"/>
      </w:r>
      <w:r>
        <w:rPr>
          <w:rFonts w:ascii="IRNazanin" w:hAnsi="IRNazanin" w:eastAsia="IRNazanin"/>
          <w:color w:val="111111"/>
          <w:sz w:val="28"/>
          <w:sz w:val="28"/>
          <w:szCs w:val="28"/>
          <w:rtl w:val="true"/>
          <w:lang w:bidi="fa-IR"/>
        </w:rPr>
        <w:t>یقطع الاشتراک بین الأسباب، وباستلزامه اجتماع علّتین علی معلول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بأنّ علل الشرع معرّفات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وملک البعض کالکلّ؛ لأنّ البضع لا یتبعّض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والحمل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 الحامل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شرط دخوله، لا بدونه فی أصحّ القولین </w:t>
      </w:r>
      <w:r>
        <w:rPr>
          <w:rStyle w:val="FootnoteAnchor"/>
          <w:rtl w:val="true"/>
        </w:rPr>
        <w:footnoteReference w:id="806"/>
      </w:r>
      <w:r>
        <w:rPr>
          <w:rFonts w:ascii="IRNazanin" w:hAnsi="IRNazanin" w:eastAsia="IRNazanin"/>
          <w:color w:val="111111"/>
          <w:sz w:val="28"/>
          <w:sz w:val="28"/>
          <w:szCs w:val="28"/>
          <w:rtl w:val="true"/>
          <w:lang w:bidi="fa-IR"/>
        </w:rPr>
        <w:t>للمغایرة، کالثمرة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بدخوله مطلقاً ینظر إلی أ نّه کالجزء من الاُمّ، وفرّع علیه عدم جواز استثنائه، کما لا یجوز استثناء الجزء المعیّن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المختار لا تمنع جهالته من دخوله مع الشرط؛ لأنّه تابع، سواء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بعتکها وحملها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وشرطت لک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معلوماً واُرید إدخاله فالعبارة الثانیة ونحوها،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یشرطه واحتمل وجوده عند العقد وعدمه فهو للمشتری؛ لأصالة عدم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اختلفا فی وقت العقد قدّم قول البائع مع الیمین وعدم البیّنة؛ للأصل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والبیض تابع مطلقاً، لا کالحمل، کسائر الأجزاء وما یحتویه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فسقط قبل القبض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من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لفوات بعض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یقوّم حاملاً ومجهضاً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مسقطاً، لا حائلاً؛ للاختلاف ومطابقة الأوّل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ویرجع بنسبة التفاوت بین القیمتین من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ابتیاع جزءٍ مشاع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والثلث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کالرأس والجلد، ولا یکون شریکاً بنسبة قیمته علی الأصحّ؛ لضعف مستند الحکم بالشرکة </w:t>
      </w:r>
      <w:r>
        <w:rPr>
          <w:rStyle w:val="FootnoteAnchor"/>
          <w:rtl w:val="true"/>
        </w:rPr>
        <w:footnoteReference w:id="807"/>
      </w:r>
      <w:r>
        <w:rPr>
          <w:rFonts w:ascii="IRNazanin" w:hAnsi="IRNazanin" w:eastAsia="IRNazanin"/>
          <w:color w:val="111111"/>
          <w:sz w:val="28"/>
          <w:sz w:val="28"/>
          <w:szCs w:val="28"/>
          <w:rtl w:val="true"/>
          <w:lang w:bidi="fa-IR"/>
        </w:rPr>
        <w:t>وتحقّق الجهالة، وعدم القصد إلی الإشاعة، فیبطل البیع بذلک، إلّاأن یکون مذبوحاً، أو یراد ذبحه، فیقوی صحّة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النظر إلی وجه المملوکة إذا أراد شراءها، وإلی محاسنها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مواضع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کالکفّین والرجلین والشعر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یأذن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تجوز الزیادة عن ذلک إلّابإذنه، ومعه یکون تحلیلاً یتبع ما دلّ علیه لفظه حتّی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مسّ ما اُبیح له نظره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یباح له النظر إلی ما عدا العورة بدون الإذن </w:t>
      </w:r>
      <w:r>
        <w:rPr>
          <w:rStyle w:val="FootnoteAnchor"/>
          <w:rtl w:val="true"/>
        </w:rPr>
        <w:footnoteReference w:id="808"/>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تغییر اسم المملوک عند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بعده، وقوّی فی الدروس اطّراده فی الملک الحادث مطلقاً </w:t>
      </w:r>
      <w:r>
        <w:rPr>
          <w:rStyle w:val="FootnoteAnchor"/>
          <w:rtl w:val="true"/>
        </w:rPr>
        <w:footnoteReference w:id="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 عنه بأربعة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المولودة من الزنا بالملک أو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w:t>
      </w:r>
    </w:p>
    <w:p>
      <w:pPr>
        <w:pStyle w:val="BookText"/>
        <w:rPr/>
      </w:pPr>
      <w:r>
        <w:rPr>
          <w:rFonts w:ascii="IRNazanin" w:hAnsi="IRNazanin" w:eastAsia="IRNazanin"/>
          <w:color w:val="111111"/>
          <w:sz w:val="28"/>
          <w:sz w:val="28"/>
          <w:szCs w:val="28"/>
          <w:rtl w:val="true"/>
          <w:lang w:bidi="fa-IR"/>
        </w:rPr>
        <w:t xml:space="preserve">فی الخبر، معلّلاً بأنّ ولد الزنا لا یفلح وبالعار </w:t>
      </w:r>
      <w:r>
        <w:rPr>
          <w:rStyle w:val="FootnoteAnchor"/>
          <w:rtl w:val="true"/>
        </w:rPr>
        <w:footnoteReference w:id="810"/>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بناءً علی کفره </w:t>
      </w:r>
      <w:r>
        <w:rPr>
          <w:rStyle w:val="FootnoteAnchor"/>
          <w:rtl w:val="true"/>
        </w:rPr>
        <w:footnoteReference w:id="811"/>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والعبد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مطلقاً علی الأقوی، عملاً بظاهر الآیة </w:t>
      </w:r>
      <w:r>
        <w:rPr>
          <w:rStyle w:val="FootnoteAnchor"/>
          <w:rtl w:val="true"/>
        </w:rPr>
        <w:footnoteReference w:id="812"/>
      </w:r>
      <w:r>
        <w:rPr>
          <w:rFonts w:ascii="IRNazanin" w:hAnsi="IRNazanin" w:eastAsia="IRNazanin"/>
          <w:color w:val="111111"/>
          <w:sz w:val="28"/>
          <w:sz w:val="28"/>
          <w:szCs w:val="28"/>
          <w:rtl w:val="true"/>
          <w:lang w:bidi="fa-IR"/>
        </w:rPr>
        <w:t>والأکثر علی أ نّه یملک فی الجملة،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الضریبة </w:t>
      </w:r>
      <w:r>
        <w:rPr>
          <w:rStyle w:val="FootnoteAnchor"/>
          <w:rtl w:val="true"/>
        </w:rPr>
        <w:footnoteReference w:id="813"/>
      </w:r>
      <w:r>
        <w:rPr>
          <w:rFonts w:ascii="Amiri" w:hAnsi="Amiri" w:eastAsia="Amiri" w:cs="Amiri"/>
          <w:color w:val="111111"/>
          <w:sz w:val="28"/>
          <w:sz w:val="28"/>
          <w:szCs w:val="28"/>
          <w:rtl w:val="true"/>
          <w:lang w:bidi="ar-SA"/>
        </w:rPr>
        <w:t xml:space="preserve">وهو مروّی </w:t>
      </w:r>
      <w:r>
        <w:rPr>
          <w:rStyle w:val="FootnoteAnchor"/>
          <w:rtl w:val="true"/>
        </w:rPr>
        <w:footnoteReference w:id="81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 الجنایة </w:t>
      </w:r>
      <w:r>
        <w:rPr>
          <w:rStyle w:val="FootnoteAnchor"/>
          <w:rtl w:val="true"/>
        </w:rPr>
        <w:footnoteReference w:id="81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ملّکه مولاه معهما </w:t>
      </w:r>
      <w:r>
        <w:rPr>
          <w:rStyle w:val="FootnoteAnchor"/>
          <w:rtl w:val="true"/>
        </w:rPr>
        <w:footnoteReference w:id="816"/>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817"/>
      </w:r>
      <w:r>
        <w:rPr>
          <w:rFonts w:ascii="IRNazanin" w:hAnsi="IRNazanin" w:eastAsia="IRNazanin"/>
          <w:color w:val="111111"/>
          <w:sz w:val="28"/>
          <w:sz w:val="28"/>
          <w:szCs w:val="28"/>
          <w:rtl w:val="true"/>
          <w:lang w:bidi="fa-IR"/>
        </w:rPr>
        <w:t xml:space="preserve">لکنّه محجور علیه بالرقّ، استناداً إلی أخبار </w:t>
      </w:r>
      <w:r>
        <w:rPr>
          <w:rStyle w:val="FootnoteAnchor"/>
          <w:rtl w:val="true"/>
        </w:rPr>
        <w:footnoteReference w:id="818"/>
      </w:r>
      <w:r>
        <w:rPr>
          <w:rFonts w:ascii="IRNazanin" w:hAnsi="IRNazanin" w:eastAsia="IRNazanin"/>
          <w:color w:val="111111"/>
          <w:sz w:val="28"/>
          <w:sz w:val="28"/>
          <w:szCs w:val="28"/>
          <w:rtl w:val="true"/>
          <w:lang w:bidi="fa-IR"/>
        </w:rPr>
        <w:t>یمکن حملها علی إباحة تصرّفه فی ذلک بالإذن، جمعاً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اشتراه ومعه مال فللبایع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الجمیع مال المولی، فلا یدخل فی بیع نفسه؛ لعدم دلالته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إلّابالشرط، فیراعی فیه شروط</w:t>
      </w:r>
    </w:p>
    <w:p>
      <w:pPr>
        <w:pStyle w:val="BookText"/>
        <w:rPr/>
      </w:pP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معلوماً لهما أو ما فی حکمه </w:t>
      </w:r>
      <w:r>
        <w:rPr>
          <w:rStyle w:val="FootnoteAnchor"/>
          <w:rtl w:val="true"/>
        </w:rPr>
        <w:footnoteReference w:id="819"/>
      </w:r>
      <w:r>
        <w:rPr>
          <w:rFonts w:ascii="IRNazanin" w:hAnsi="IRNazanin" w:eastAsia="IRNazanin"/>
          <w:color w:val="111111"/>
          <w:sz w:val="28"/>
          <w:sz w:val="28"/>
          <w:szCs w:val="28"/>
          <w:rtl w:val="true"/>
          <w:lang w:bidi="fa-IR"/>
        </w:rPr>
        <w:t>وسلامته من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الثمن مخالفاً لجنسه الربویّ، أو زائداً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وقبض مقابل الربویّ فی المجلس،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علی شرائه لم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صحّة تصرّفه بالحَجر وعدم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إن کان له مال بناءً علی القول بملکه </w:t>
      </w:r>
      <w:r>
        <w:rPr>
          <w:rStyle w:val="FootnoteAnchor"/>
          <w:rtl w:val="true"/>
        </w:rPr>
        <w:footnoteReference w:id="820"/>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الأمة قبل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قد وطئها وإن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بحیضة أو مضیّ خمسة وأربعین یوماً فی من لا تحیض وهی فی سنّ من تحیض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المشتری أیضاً استبراؤها</w:t>
      </w:r>
      <w:r>
        <w:rPr>
          <w:rFonts w:eastAsia="IRNazanin" w:cs="IRNazanin"/>
          <w:color w:val="111111"/>
          <w:sz w:val="28"/>
          <w:szCs w:val="28"/>
          <w:rtl w:val="true"/>
          <w:lang w:bidi="fa-IR"/>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یخبره الثقة بالاستبراء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وإنّما عبّر به تبعاً للروایة </w:t>
      </w:r>
      <w:r>
        <w:rPr>
          <w:rStyle w:val="FootnoteAnchor"/>
          <w:rtl w:val="true"/>
        </w:rPr>
        <w:footnoteReference w:id="822"/>
      </w:r>
      <w:r>
        <w:rPr>
          <w:rFonts w:ascii="IRNazanin" w:hAnsi="IRNazanin" w:eastAsia="IRNazanin"/>
          <w:color w:val="111111"/>
          <w:sz w:val="28"/>
          <w:sz w:val="28"/>
          <w:szCs w:val="28"/>
          <w:rtl w:val="true"/>
          <w:lang w:bidi="fa-IR"/>
        </w:rPr>
        <w:t>مع احتمال الاکتفاء بمن تسکن النفس إلی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إخباره له بالاستبراء إخباره بعدم وطئها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تکون 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أمکن تحلیلها لرجل؛ لإطلاق النصّ </w:t>
      </w:r>
      <w:r>
        <w:rPr>
          <w:rStyle w:val="FootnoteAnchor"/>
          <w:rtl w:val="true"/>
        </w:rPr>
        <w:footnoteReference w:id="823"/>
      </w:r>
      <w:r>
        <w:rPr>
          <w:rFonts w:ascii="IRNazanin" w:hAnsi="IRNazanin" w:eastAsia="IRNazanin"/>
          <w:color w:val="111111"/>
          <w:sz w:val="28"/>
          <w:sz w:val="28"/>
          <w:szCs w:val="28"/>
          <w:rtl w:val="true"/>
          <w:lang w:bidi="fa-IR"/>
        </w:rPr>
        <w:t>ولا یلحق بها العنّین والمجبوب والصغیر الذی لا یمکن فی حقّه الوطء وإن شارک فیما ظنّ کونه علّة؛ لبطلان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یجعل بیعها من امرأة ثم شراؤُها منها وسیلة إلی إسقاط الاستبراء، نظراً إلی إطلاق النص، من غیر التفات إلی التعلیل بالأمن من وطئها؛ لأنّها لیست منصوصة، ومنع العلّة المستنبطة وإن</w:t>
      </w:r>
    </w:p>
    <w:p>
      <w:pPr>
        <w:pStyle w:val="BookText"/>
        <w:rPr/>
      </w:pPr>
      <w:r>
        <w:rPr>
          <w:rFonts w:ascii="IRNazanin" w:hAnsi="IRNazanin" w:eastAsia="IRNazanin"/>
          <w:color w:val="111111"/>
          <w:sz w:val="28"/>
          <w:sz w:val="28"/>
          <w:szCs w:val="28"/>
          <w:rtl w:val="true"/>
          <w:lang w:bidi="fa-IR"/>
        </w:rPr>
        <w:t xml:space="preserve">کانت 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یائسة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صغیرة، أو حائضاً، إلّازمان حیضها وإن بقی منه لحظة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واستبراء الحامل بوضع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لإطلاق النهی عن وطئها فی بعض الأخبار حتی تضع ولدها </w:t>
      </w:r>
      <w:r>
        <w:rPr>
          <w:rStyle w:val="FootnoteAnchor"/>
          <w:rtl w:val="true"/>
        </w:rPr>
        <w:footnoteReference w:id="824"/>
      </w:r>
      <w:r>
        <w:rPr>
          <w:rFonts w:ascii="IRNazanin" w:hAnsi="IRNazanin" w:eastAsia="IRNazanin"/>
          <w:color w:val="111111"/>
          <w:sz w:val="28"/>
          <w:sz w:val="28"/>
          <w:szCs w:val="28"/>
          <w:rtl w:val="true"/>
          <w:lang w:bidi="fa-IR"/>
        </w:rPr>
        <w:t xml:space="preserve">واستثنی فی الدروس ما لو کان الحمل عن زنا فلا حرمة له </w:t>
      </w:r>
      <w:r>
        <w:rPr>
          <w:rStyle w:val="FootnoteAnchor"/>
          <w:rtl w:val="true"/>
        </w:rPr>
        <w:footnoteReference w:id="825"/>
      </w:r>
      <w:r>
        <w:rPr>
          <w:rFonts w:ascii="IRNazanin" w:hAnsi="IRNazanin" w:eastAsia="IRNazanin"/>
          <w:color w:val="111111"/>
          <w:sz w:val="28"/>
          <w:sz w:val="28"/>
          <w:szCs w:val="28"/>
          <w:rtl w:val="true"/>
          <w:lang w:bidi="fa-IR"/>
        </w:rPr>
        <w:t xml:space="preserve">والأقوی الاکتفاء بمضیّ أربعة أشهر وعشرة أیّام لحملها وکراهة وطئها بعدها، إلّاأن یکون من زنا فیجوز مطلقاً علی کراهیة، جمعاً بین الأخبار الدالّ بعضها علی المنع مطلقاً کالسابق، وبعض علی التحدید بهذه الغایة </w:t>
      </w:r>
      <w:r>
        <w:rPr>
          <w:rStyle w:val="FootnoteAnchor"/>
          <w:rtl w:val="true"/>
        </w:rPr>
        <w:footnoteReference w:id="826"/>
      </w:r>
      <w:r>
        <w:rPr>
          <w:rFonts w:ascii="IRNazanin" w:hAnsi="IRNazanin" w:eastAsia="IRNazanin"/>
          <w:color w:val="111111"/>
          <w:sz w:val="28"/>
          <w:sz w:val="28"/>
          <w:szCs w:val="28"/>
          <w:rtl w:val="true"/>
          <w:lang w:bidi="fa-IR"/>
        </w:rPr>
        <w:t>بحمل الزائد علی الکراهة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یحرم فی مدّة الاستبراء غیر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ودبراً من الاستمتاع علی الأقوی، للخبر الصحیح </w:t>
      </w:r>
      <w:r>
        <w:rPr>
          <w:rStyle w:val="FootnoteAnchor"/>
          <w:rtl w:val="true"/>
        </w:rPr>
        <w:footnoteReference w:id="827"/>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الجمیع </w:t>
      </w:r>
      <w:r>
        <w:rPr>
          <w:rStyle w:val="FootnoteAnchor"/>
          <w:rtl w:val="true"/>
        </w:rPr>
        <w:footnoteReference w:id="828"/>
      </w:r>
      <w:r>
        <w:rPr>
          <w:rFonts w:ascii="IRNazanin" w:hAnsi="IRNazanin" w:eastAsia="IRNazanin"/>
          <w:color w:val="111111"/>
          <w:sz w:val="28"/>
          <w:sz w:val="28"/>
          <w:szCs w:val="28"/>
          <w:rtl w:val="true"/>
          <w:lang w:bidi="fa-IR"/>
        </w:rPr>
        <w:t>ولو وطئ فی زمن الاستبراء أثم وعزّر مع العلم بالتحریم، ولحق بها الولد؛ لأنّه فراش کوطئها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سقوط الاستبراء حینئذ وجه؛ لانتفاء فائدته حیث قد اختلط الماءان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وجوب الاجتناب بقیّة المدّة؛ لإطلاق النهی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وطئ الحامل بعد مدّة الاستبراء عزل، فإن لم یفعل کره بیع الولد، واستحبّ له عزل قسط من ماله یعیش به؛ للخبر معلّلاً بتغذیته بنطفته وأ نّه شارک فی إتمامه </w:t>
      </w:r>
      <w:r>
        <w:rPr>
          <w:rStyle w:val="FootnoteAnchor"/>
          <w:rtl w:val="true"/>
        </w:rPr>
        <w:footnoteReference w:id="829"/>
      </w:r>
      <w:r>
        <w:rPr>
          <w:rFonts w:ascii="IRNazanin" w:hAnsi="IRNazanin" w:eastAsia="IRNazanin"/>
          <w:color w:val="111111"/>
          <w:sz w:val="28"/>
          <w:sz w:val="28"/>
          <w:szCs w:val="28"/>
          <w:rtl w:val="true"/>
          <w:lang w:bidi="fa-IR"/>
        </w:rPr>
        <w:t>ولیس فی الأخبار تقدیر 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یعتقه ویجعل له شیئاً یعیش به؛ لأنّه غذّاه بنطفته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یجب الاستبراء فی البیع یجب فی کلّ ملک زائل وحادث بغیره من العقود وبالسبی والإرث، وقصره علی البیع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باعها من غیر استبراء أثم وصحّ البیع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ویتعیّن حینئذ تسلیمها إلی المشتری ومن فی حکمه إذا طلبها؛ لصیرورتها ملکاً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إبقاؤُها برضاه مدّة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بالوضع فی 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ولا یجب علی المشتری الإجابة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التفرقة بین الطفل والاُمّ قبل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 والاُنثی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الذکر حولان </w:t>
      </w:r>
      <w:r>
        <w:rPr>
          <w:rStyle w:val="FootnoteAnchor"/>
          <w:rtl w:val="true"/>
        </w:rPr>
        <w:footnoteReference w:id="831"/>
      </w:r>
      <w:r>
        <w:rPr>
          <w:rFonts w:ascii="IRNazanin" w:hAnsi="IRNazanin" w:eastAsia="IRNazanin"/>
          <w:color w:val="111111"/>
          <w:sz w:val="28"/>
          <w:sz w:val="28"/>
          <w:szCs w:val="28"/>
          <w:rtl w:val="true"/>
          <w:lang w:bidi="fa-IR"/>
        </w:rPr>
        <w:t>وهو أجود؛ لثبوت ذلک فی حضانة الحرّة، ففی الأمة أولی؛ لفقد النصّ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التفریق فی المدّة </w:t>
      </w:r>
      <w:r>
        <w:rPr>
          <w:rStyle w:val="FootnoteAnchor"/>
          <w:rtl w:val="true"/>
        </w:rPr>
        <w:footnoteReference w:id="832"/>
      </w:r>
      <w:r>
        <w:rPr>
          <w:rFonts w:ascii="IRNazanin" w:hAnsi="IRNazanin" w:eastAsia="IRNazanin"/>
          <w:color w:val="111111"/>
          <w:sz w:val="28"/>
          <w:sz w:val="28"/>
          <w:szCs w:val="28"/>
          <w:rtl w:val="true"/>
          <w:lang w:bidi="fa-IR"/>
        </w:rPr>
        <w:t xml:space="preserve">لتضافر الأخبار بالنهی عنه </w:t>
      </w:r>
      <w:r>
        <w:rPr>
          <w:rStyle w:val="FootnoteAnchor"/>
          <w:rtl w:val="true"/>
        </w:rPr>
        <w:footnoteReference w:id="833"/>
      </w:r>
      <w:r>
        <w:rPr>
          <w:rFonts w:ascii="IRNazanin" w:hAnsi="IRNazanin" w:eastAsia="IRNazanin"/>
          <w:color w:val="111111"/>
          <w:sz w:val="28"/>
          <w:sz w:val="28"/>
          <w:szCs w:val="28"/>
          <w:rtl w:val="true"/>
          <w:lang w:bidi="fa-IR"/>
        </w:rPr>
        <w:t>وقد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فرّق بین والدة وولدها فرّق اللّٰه بینه وبین أحبّته</w:t>
      </w:r>
      <w:r>
        <w:rPr>
          <w:rFonts w:eastAsia="IRNazanin" w:cs="IRNazanin"/>
          <w:color w:val="111111"/>
          <w:sz w:val="28"/>
          <w:szCs w:val="28"/>
          <w:rtl w:val="true"/>
          <w:lang w:bidi="fa-IR"/>
        </w:rPr>
        <w:t xml:space="preserve">»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والتحریم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یزول التحریم أو </w:t>
      </w:r>
      <w:r>
        <w:rPr>
          <w:rStyle w:val="FootnoteAnchor"/>
          <w:rtl w:val="true"/>
        </w:rPr>
        <w:footnoteReference w:id="835"/>
      </w:r>
      <w:r>
        <w:rPr>
          <w:rFonts w:ascii="IRNazanin" w:hAnsi="IRNazanin" w:eastAsia="IRNazanin"/>
          <w:color w:val="111111"/>
          <w:sz w:val="28"/>
          <w:sz w:val="28"/>
          <w:szCs w:val="28"/>
          <w:rtl w:val="true"/>
          <w:lang w:bidi="fa-IR"/>
        </w:rPr>
        <w:t>الکراهة برضاهما أو رضی الاُمّ؟ وجهان، أجودهما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البیع وغیره علی الأقوی</w:t>
      </w:r>
      <w:r>
        <w:rPr>
          <w:rFonts w:eastAsia="IRNazanin" w:cs="IRNazanin"/>
          <w:color w:val="111111"/>
          <w:sz w:val="28"/>
          <w:szCs w:val="28"/>
          <w:rtl w:val="true"/>
          <w:lang w:bidi="fa-IR"/>
        </w:rPr>
        <w:t>.</w:t>
      </w:r>
      <w:bookmarkStart w:id="311" w:name="pg19812_249421"/>
    </w:p>
    <w:p>
      <w:pPr>
        <w:pStyle w:val="BookText"/>
        <w:rPr/>
      </w:pPr>
      <w:bookmarkEnd w:id="311"/>
      <w:r>
        <w:rPr>
          <w:rFonts w:ascii="IRNazanin" w:hAnsi="IRNazanin" w:eastAsia="IRNazanin"/>
          <w:color w:val="111111"/>
          <w:sz w:val="28"/>
          <w:sz w:val="28"/>
          <w:szCs w:val="28"/>
          <w:rtl w:val="true"/>
          <w:lang w:bidi="fa-IR"/>
        </w:rPr>
        <w:t xml:space="preserve">وهل یتعدّی الحکم إلی غیر الاُمّ من الأرحام المشارکة لها فی الاستئناس والشفقة، کالاُخت والعمّة والخالة؟ قولان </w:t>
      </w:r>
      <w:r>
        <w:rPr>
          <w:rStyle w:val="FootnoteAnchor"/>
          <w:rtl w:val="true"/>
        </w:rPr>
        <w:footnoteReference w:id="836"/>
      </w:r>
      <w:r>
        <w:rPr>
          <w:rFonts w:ascii="IRNazanin" w:hAnsi="IRNazanin" w:eastAsia="IRNazanin"/>
          <w:color w:val="111111"/>
          <w:sz w:val="28"/>
          <w:sz w:val="28"/>
          <w:szCs w:val="28"/>
          <w:rtl w:val="true"/>
          <w:lang w:bidi="fa-IR"/>
        </w:rPr>
        <w:t xml:space="preserve">أجودهما ذلک؛ لدلالة بعض الأخبار </w:t>
      </w:r>
      <w:r>
        <w:rPr>
          <w:rStyle w:val="FootnoteAnchor"/>
          <w:rtl w:val="true"/>
        </w:rPr>
        <w:footnoteReference w:id="837"/>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یتعدّی الحکم إلی البهیمة؛ للأصل، فیجوز التفرقة بینهما بعد استغنائه عن اللبن مطلقاً، وقبله إن کان ممّا یقع علیه الذکاة، أو کان له ما یمونه من غیر لبن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الخلاف بعد سقی الاُمّ اللِبأ </w:t>
      </w:r>
      <w:r>
        <w:rPr>
          <w:rStyle w:val="FootnoteAnchor"/>
          <w:rtl w:val="true"/>
        </w:rPr>
        <w:footnoteReference w:id="838"/>
      </w:r>
      <w:r>
        <w:rPr>
          <w:rFonts w:ascii="IRNazanin" w:hAnsi="IRNazanin" w:eastAsia="IRNazanin"/>
          <w:color w:val="111111"/>
          <w:sz w:val="28"/>
          <w:sz w:val="28"/>
          <w:szCs w:val="28"/>
          <w:rtl w:val="true"/>
          <w:lang w:bidi="fa-IR"/>
        </w:rPr>
        <w:t xml:space="preserve">أمّا قبله فلا یجوز مطلقاً؛ لما فیه من التسبّب إلی هلاک الولد، فإنّه لا یعیش بدونه، علی ما صرّح به جماعة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2092980_2314609296"/>
      <w:bookmarkStart w:id="313" w:name="_Toc113"/>
      <w:bookmarkEnd w:id="312"/>
      <w:r>
        <w:rPr>
          <w:rtl w:val="true"/>
        </w:rPr>
        <w:t>[«</w:t>
      </w:r>
      <w:r>
        <w:rPr>
          <w:rtl w:val="true"/>
        </w:rPr>
        <w:t>وهنا مسائل</w:t>
      </w:r>
      <w:r>
        <w:rPr>
          <w:rtl w:val="true"/>
        </w:rPr>
        <w:t>»]</w:t>
      </w:r>
      <w:bookmarkEnd w:id="313"/>
    </w:p>
    <w:p>
      <w:pPr>
        <w:pStyle w:val="Heading5"/>
        <w:numPr>
          <w:ilvl w:val="4"/>
          <w:numId w:val="1"/>
        </w:numPr>
        <w:rPr/>
      </w:pPr>
      <w:bookmarkStart w:id="314" w:name="__RefHeading___Toc2092982_2314609296"/>
      <w:bookmarkStart w:id="315" w:name="_Toc114"/>
      <w:bookmarkEnd w:id="314"/>
      <w:r>
        <w:rPr>
          <w:rtl w:val="true"/>
        </w:rPr>
        <w:t>[</w:t>
      </w:r>
      <w:r>
        <w:rPr>
          <w:rtl w:val="true"/>
        </w:rPr>
        <w:t>الاولی</w:t>
      </w:r>
      <w:r>
        <w:rPr>
          <w:rtl w:val="true"/>
        </w:rPr>
        <w:t xml:space="preserve">: </w:t>
      </w:r>
      <w:r>
        <w:rPr>
          <w:rtl w:val="true"/>
        </w:rPr>
        <w:t xml:space="preserve">حدوث العیب فی الحیوان قبل القبض </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حدث فی الحیوان عیب قبل القبض فللمشتری الردّ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الردّ فموضع وفاق، وأمّا الأرش فهو أصحّ القولین </w:t>
      </w:r>
      <w:r>
        <w:rPr>
          <w:rStyle w:val="FootnoteAnchor"/>
          <w:rtl w:val="true"/>
        </w:rPr>
        <w:footnoteReference w:id="840"/>
      </w:r>
      <w:r>
        <w:rPr>
          <w:rFonts w:ascii="IRNazanin" w:hAnsi="IRNazanin" w:eastAsia="IRNazanin"/>
          <w:color w:val="111111"/>
          <w:sz w:val="28"/>
          <w:sz w:val="28"/>
          <w:szCs w:val="28"/>
          <w:rtl w:val="true"/>
          <w:lang w:bidi="fa-IR"/>
        </w:rPr>
        <w:t>لأنّه عوض عن جزء فائت، وإذا کانت الجملة مضمونة علی البائع قبل القبض فکذا أجزاؤُها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بالمشتری أو المشترک بینه وبین البائع أو غیره؛ لأنّ الجملة فیه مضمونة علی البائع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الخیار مختصّاً بالبائع</w:t>
      </w:r>
      <w:bookmarkStart w:id="316" w:name="pg19812_249422"/>
    </w:p>
    <w:p>
      <w:pPr>
        <w:pStyle w:val="BookText"/>
        <w:rPr/>
      </w:pPr>
      <w:bookmarkEnd w:id="316"/>
      <w:r>
        <w:rPr>
          <w:rFonts w:ascii="IRNazanin" w:hAnsi="IRNazanin" w:eastAsia="IRNazanin"/>
          <w:color w:val="111111"/>
          <w:sz w:val="28"/>
          <w:sz w:val="28"/>
          <w:szCs w:val="28"/>
          <w:rtl w:val="true"/>
          <w:lang w:bidi="fa-IR"/>
        </w:rPr>
        <w:t>أو مشترکاً بینه وبین أجنبیّ، فلا خیار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التعیّب من قِبل اللّٰه تعالی أو 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من أجنبیّ فللمشتری علیه الأرش خاصّة ولو کان بتفریط المشتری فلا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الحیوان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فی تلف المبیع أجمع، إلّاأنّ الرجوع فیه بمجموع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التلف من قِبل اللّٰه تعالی والخیار للمشتری ولو بمشارکة غیره فالتلف من البائع، وإلّا فمن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التلف من البائع أو من أجنبیّ وللمشتری خیار واختار الفسخ والرجوع بالثمن، وإلّا رجع علی المتلف بالمثل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الخیار للبائع والمتلف أجنبیّ أو المشتری تخیّر ورجع علی المتلف</w:t>
      </w:r>
      <w:r>
        <w:rPr>
          <w:rFonts w:eastAsia="IRNazanin" w:cs="IRNazanin"/>
          <w:color w:val="111111"/>
          <w:sz w:val="28"/>
          <w:szCs w:val="28"/>
          <w:rtl w:val="true"/>
          <w:lang w:bidi="fa-IR"/>
        </w:rPr>
        <w:t>.</w:t>
      </w:r>
    </w:p>
    <w:p>
      <w:pPr>
        <w:pStyle w:val="Heading5"/>
        <w:numPr>
          <w:ilvl w:val="4"/>
          <w:numId w:val="1"/>
        </w:numPr>
        <w:rPr/>
      </w:pPr>
      <w:bookmarkStart w:id="317" w:name="__RefHeading___Toc2092984_2314609296"/>
      <w:bookmarkStart w:id="318" w:name="_Toc115"/>
      <w:bookmarkEnd w:id="317"/>
      <w:r>
        <w:rPr>
          <w:rtl w:val="true"/>
        </w:rPr>
        <w:t>[</w:t>
      </w:r>
      <w:r>
        <w:rPr>
          <w:rtl w:val="true"/>
        </w:rPr>
        <w:t>الثانیة</w:t>
      </w:r>
      <w:r>
        <w:rPr>
          <w:rtl w:val="true"/>
        </w:rPr>
        <w:t xml:space="preserve">: </w:t>
      </w:r>
      <w:r>
        <w:rPr>
          <w:rtl w:val="true"/>
        </w:rPr>
        <w:t xml:space="preserve">حدوث العیب فی زمن الخیار </w:t>
      </w:r>
      <w:r>
        <w:rPr>
          <w:rtl w:val="true"/>
        </w:rPr>
        <w:t>]</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من غیر جهة المشتری فی زمن الخیار فله الردّ بأصل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العیب الحادث غیر مانع منه هنا؛ لأنّه مضمون علی البائع فلا یکون مؤثّراً فی رفع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والأقرب جواز الردّ بالعیب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مضموناً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وتظهر الفائدة لو أسقط الخیار الأصلی والمشترط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الردّ بالعیب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الفائدة أیضاً فی ثبوت الخیار بعد انقضاء الثلاثة وعدمه، فعلی اعتبار خیار الحیوان خاصّة یسقط الخیار، وعلی ما اختاره المصنّف رحمه الله یبقی؛ إذ لا یتقیّد خیار العیب بالثلاثة وإن اشترط حصوله فی الثلاثة فما قبلها، وغایته ثبوته فیها بسببین، وهو غیر قادح، فإنّها معرّفات یمکن اجتماع کثیر منها فی وقت واحد، کما فی خیار المجلس والحیوان والشرط والغبن إذا اجتمعت فی عین واحدة قبل التفرّق</w:t>
      </w:r>
      <w:r>
        <w:rPr>
          <w:rFonts w:eastAsia="IRNazanin" w:cs="IRNazanin"/>
          <w:color w:val="111111"/>
          <w:sz w:val="28"/>
          <w:szCs w:val="28"/>
          <w:rtl w:val="true"/>
          <w:lang w:bidi="fa-IR"/>
        </w:rPr>
        <w:t>.</w:t>
      </w:r>
      <w:bookmarkStart w:id="319" w:name="pg19812_249423"/>
    </w:p>
    <w:p>
      <w:pPr>
        <w:pStyle w:val="BookText"/>
        <w:rPr/>
      </w:pPr>
      <w:bookmarkEnd w:id="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الفاضل نجم الدین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سعید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Style w:val="FootnoteAnchor"/>
          <w:rtl w:val="true"/>
        </w:rPr>
        <w:footnoteReference w:id="8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 إلّابالخیار، وهو ینافی حکمه فی الشرائع بأنّ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لنقص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التلف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بعد ذلک بلا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الأرش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کان مضموناً علی البائع کالجملة لزمه الحکم بالأرش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لکون الجزء مضموناً إلّا ثبوت أرشه؛ لأنّ الأرش عوض الجزء الفائت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التخییر بینه وبین الردّ، کما أنّ ضمان الجملة یقتضی الرجوع بمجموع عوضها وهو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التخیّر </w:t>
      </w:r>
      <w:r>
        <w:rPr>
          <w:rStyle w:val="FootnoteAnchor"/>
          <w:rtl w:val="true"/>
        </w:rPr>
        <w:footnoteReference w:id="843"/>
      </w:r>
      <w:r>
        <w:rPr>
          <w:rFonts w:ascii="IRNazanin" w:hAnsi="IRNazanin" w:eastAsia="IRNazanin"/>
          <w:color w:val="111111"/>
          <w:sz w:val="28"/>
          <w:sz w:val="28"/>
          <w:szCs w:val="28"/>
          <w:rtl w:val="true"/>
          <w:lang w:bidi="fa-IR"/>
        </w:rPr>
        <w:t xml:space="preserve">بین الردّ والأرش کالمتقدّم </w:t>
      </w:r>
      <w:r>
        <w:rPr>
          <w:rStyle w:val="FootnoteAnchor"/>
          <w:rtl w:val="true"/>
        </w:rPr>
        <w:footnoteReference w:id="844"/>
      </w:r>
      <w:r>
        <w:rPr>
          <w:rFonts w:ascii="IRNazanin" w:hAnsi="IRNazanin" w:eastAsia="IRNazanin"/>
          <w:color w:val="111111"/>
          <w:sz w:val="28"/>
          <w:sz w:val="28"/>
          <w:szCs w:val="28"/>
          <w:rtl w:val="true"/>
          <w:lang w:bidi="fa-IR"/>
        </w:rPr>
        <w:t xml:space="preserve">لاشتراکهما فی ضمان البائع وعدم المانعیّة من الردّ، وهو المنقول عن شیخه نجیب الدین بن نما رحمه الله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حدوث العیب بعد الثلاثة منع الردّ بالعیب السابق، لکونه غیر مضمون علی البائع مع تغیّر المبیع، فإنّ ردّه مشروط ببقائه علی ما کان فیثبت فی السابق الأرش خاصّة</w:t>
      </w:r>
      <w:r>
        <w:rPr>
          <w:rFonts w:eastAsia="IRNazanin" w:cs="IRNazanin"/>
          <w:color w:val="111111"/>
          <w:sz w:val="28"/>
          <w:szCs w:val="28"/>
          <w:rtl w:val="true"/>
          <w:lang w:bidi="fa-IR"/>
        </w:rPr>
        <w:t>.</w:t>
      </w:r>
    </w:p>
    <w:p>
      <w:pPr>
        <w:pStyle w:val="Heading5"/>
        <w:numPr>
          <w:ilvl w:val="4"/>
          <w:numId w:val="1"/>
        </w:numPr>
        <w:rPr/>
      </w:pPr>
      <w:bookmarkStart w:id="320" w:name="__RefHeading___Toc2092986_2314609296"/>
      <w:bookmarkStart w:id="321" w:name="_Toc116"/>
      <w:bookmarkEnd w:id="320"/>
      <w:r>
        <w:rPr>
          <w:rtl w:val="true"/>
        </w:rPr>
        <w:t>[</w:t>
      </w:r>
      <w:r>
        <w:rPr>
          <w:rtl w:val="true"/>
        </w:rPr>
        <w:t>الثالثة</w:t>
      </w:r>
      <w:r>
        <w:rPr>
          <w:rtl w:val="true"/>
        </w:rPr>
        <w:t xml:space="preserve">: </w:t>
      </w:r>
      <w:r>
        <w:rPr>
          <w:rtl w:val="true"/>
        </w:rPr>
        <w:t xml:space="preserve">لو ظهرت الامة مستحقة للغیر </w:t>
      </w:r>
      <w:r>
        <w:rPr>
          <w:rtl w:val="true"/>
        </w:rPr>
        <w:t>]</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الأمة مستحقّة فاُغرم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الواطئ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بکراً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ثیّباً؛ لما تقدّم من جواز رجوع المالک علی</w:t>
      </w:r>
    </w:p>
    <w:p>
      <w:pPr>
        <w:pStyle w:val="BookText"/>
        <w:rPr/>
      </w:pP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کان أم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بالعین ومنافعها المستوفاة وغیرها، وأنّ ذلک هو عوض بضع الأمة، للنصّ الدالّ علی ذلک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القاعدة الکلیّة فی عوض البُضع بمنزلة قیمة المثل فی غیره، وإطراحاً للنص الدالّ علی التقدیر بالعشر أو نصفه </w:t>
      </w:r>
      <w:r>
        <w:rPr>
          <w:rStyle w:val="FootnoteAnchor"/>
          <w:rtl w:val="true"/>
        </w:rPr>
        <w:footnoteReference w:id="847"/>
      </w:r>
      <w:r>
        <w:rPr>
          <w:rFonts w:ascii="IRNazanin" w:hAnsi="IRNazanin" w:eastAsia="IRNazanin"/>
          <w:color w:val="111111"/>
          <w:sz w:val="28"/>
          <w:sz w:val="28"/>
          <w:szCs w:val="28"/>
          <w:rtl w:val="true"/>
          <w:lang w:bidi="fa-IR"/>
        </w:rPr>
        <w:t xml:space="preserve">وهذا التردید توقّف من المصنّف فی الحکم، أو إشارة إلی القولین </w:t>
      </w:r>
      <w:r>
        <w:rPr>
          <w:rStyle w:val="FootnoteAnchor"/>
          <w:rtl w:val="true"/>
        </w:rPr>
        <w:footnoteReference w:id="848"/>
      </w:r>
      <w:r>
        <w:rPr>
          <w:rFonts w:ascii="IRNazanin" w:hAnsi="IRNazanin" w:eastAsia="IRNazanin"/>
          <w:color w:val="111111"/>
          <w:sz w:val="28"/>
          <w:sz w:val="28"/>
          <w:szCs w:val="28"/>
          <w:rtl w:val="true"/>
          <w:lang w:bidi="fa-IR"/>
        </w:rPr>
        <w:t xml:space="preserve">لا تخییر بین الأمرین، والمشهور منهما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استوفاه من منافعها أو فاتت تحت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وقیمة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ولادته ولو کان قد أحبلها وولدته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بهذه المذکورات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مستحقّة؛ لما تقدّم من رجوع المشتری الجاهل بفساد البیع علی البائع بجمیع ما یغرمه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والغرض من ذکر هذه هنا التنبیه علی مقدار ما یرجع به مالک الأمة علی مشتریها الواطئ لها مع استیلادها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ثبوت العقر </w:t>
      </w:r>
      <w:r>
        <w:rPr>
          <w:rStyle w:val="FootnoteAnchor"/>
          <w:rtl w:val="true"/>
        </w:rPr>
        <w:footnoteReference w:id="850"/>
      </w:r>
      <w:r>
        <w:rPr>
          <w:rFonts w:ascii="IRNazanin" w:hAnsi="IRNazanin" w:eastAsia="IRNazanin"/>
          <w:color w:val="111111"/>
          <w:sz w:val="28"/>
          <w:sz w:val="28"/>
          <w:szCs w:val="28"/>
          <w:rtl w:val="true"/>
          <w:lang w:bidi="fa-IR"/>
        </w:rPr>
        <w:t xml:space="preserve">بالوطء بین علم الأمة بعدم صحّة البیع وجهلها علی أصحّ القولین </w:t>
      </w:r>
      <w:r>
        <w:rPr>
          <w:rStyle w:val="FootnoteAnchor"/>
          <w:rtl w:val="true"/>
        </w:rPr>
        <w:footnoteReference w:id="851"/>
      </w:r>
      <w:r>
        <w:rPr>
          <w:rFonts w:ascii="IRNazanin" w:hAnsi="IRNazanin" w:eastAsia="IRNazanin"/>
          <w:color w:val="111111"/>
          <w:sz w:val="28"/>
          <w:sz w:val="28"/>
          <w:szCs w:val="28"/>
          <w:rtl w:val="true"/>
          <w:lang w:bidi="fa-IR"/>
        </w:rPr>
        <w:t>وهو الذی یقتضیه إطلاق</w:t>
      </w:r>
      <w:bookmarkStart w:id="322" w:name="pg19812_249425"/>
    </w:p>
    <w:p>
      <w:pPr>
        <w:pStyle w:val="BookText"/>
        <w:rPr/>
      </w:pPr>
      <w:bookmarkEnd w:id="322"/>
      <w:r>
        <w:rPr>
          <w:rFonts w:ascii="Amiri" w:hAnsi="Amiri" w:eastAsia="Amiri" w:cs="Amiri"/>
          <w:color w:val="111111"/>
          <w:sz w:val="28"/>
          <w:sz w:val="28"/>
          <w:szCs w:val="28"/>
          <w:rtl w:val="true"/>
          <w:lang w:bidi="ar-SA"/>
        </w:rPr>
        <w:t>العبارة؛ لأنّ ذلک حقّ للمولی وَ 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852"/>
      </w:r>
      <w:r>
        <w:rPr>
          <w:rFonts w:ascii="IRNazanin" w:hAnsi="IRNazanin" w:eastAsia="IRNazanin"/>
          <w:color w:val="111111"/>
          <w:sz w:val="28"/>
          <w:sz w:val="28"/>
          <w:szCs w:val="28"/>
          <w:rtl w:val="true"/>
          <w:lang w:bidi="fa-IR"/>
        </w:rPr>
        <w:t>ولا تصیر بذلک اُمّ ولد؛ لأنّها فی نفس الأمر ملک غیر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الدروس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علیه بالمهر إلّامع الإکراه استناداً إلی أ نّه لا مهر لبغیّ </w:t>
      </w:r>
      <w:r>
        <w:rPr>
          <w:rStyle w:val="FootnoteAnchor"/>
          <w:rtl w:val="true"/>
        </w:rPr>
        <w:footnoteReference w:id="854"/>
      </w:r>
      <w:r>
        <w:rPr>
          <w:rFonts w:ascii="Amiri" w:hAnsi="Amiri" w:eastAsia="Amiri" w:cs="Amiri"/>
          <w:color w:val="111111"/>
          <w:sz w:val="28"/>
          <w:sz w:val="28"/>
          <w:szCs w:val="28"/>
          <w:rtl w:val="true"/>
          <w:lang w:bidi="ar-SA"/>
        </w:rPr>
        <w:t xml:space="preserve">ویضعّف بما مرّ </w:t>
      </w:r>
      <w:r>
        <w:rPr>
          <w:rStyle w:val="FootnoteAnchor"/>
          <w:rtl w:val="true"/>
        </w:rPr>
        <w:footnoteReference w:id="855"/>
      </w:r>
      <w:r>
        <w:rPr>
          <w:rFonts w:ascii="IRNazanin" w:hAnsi="IRNazanin" w:eastAsia="IRNazanin"/>
          <w:color w:val="111111"/>
          <w:sz w:val="28"/>
          <w:sz w:val="28"/>
          <w:szCs w:val="28"/>
          <w:rtl w:val="true"/>
          <w:lang w:bidi="fa-IR"/>
        </w:rPr>
        <w:t xml:space="preserve">وأنّ المهر المنفیّ مهر الحرّة بظاهر الاستحقاق </w:t>
      </w:r>
      <w:r>
        <w:rPr>
          <w:rStyle w:val="FootnoteAnchor"/>
          <w:rtl w:val="true"/>
        </w:rPr>
        <w:footnoteReference w:id="856"/>
      </w:r>
      <w:r>
        <w:rPr>
          <w:rFonts w:ascii="IRNazanin" w:hAnsi="IRNazanin" w:eastAsia="IRNazanin"/>
          <w:color w:val="111111"/>
          <w:sz w:val="28"/>
          <w:sz w:val="28"/>
          <w:szCs w:val="28"/>
          <w:rtl w:val="true"/>
          <w:lang w:bidi="fa-IR"/>
        </w:rPr>
        <w:t>ونسبة المهر، ومن ثمّ یطلق علیها المهیرة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نقصت بالولادة ضمن نقصها مضافاً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ماتت ضمن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یضمن مع ما ذکر أرش البکارة لو کانت بکراً، أم یقتصر علی أحد الأمرین؟ </w:t>
      </w:r>
      <w:r>
        <w:rPr>
          <w:rStyle w:val="FootnoteAnchor"/>
          <w:rtl w:val="true"/>
        </w:rPr>
        <w:footnoteReference w:id="857"/>
      </w:r>
      <w:r>
        <w:rPr>
          <w:rFonts w:ascii="IRNazanin" w:hAnsi="IRNazanin" w:eastAsia="IRNazanin"/>
          <w:color w:val="111111"/>
          <w:sz w:val="28"/>
          <w:sz w:val="28"/>
          <w:szCs w:val="28"/>
          <w:rtl w:val="true"/>
          <w:lang w:bidi="fa-IR"/>
        </w:rPr>
        <w:t>وجهان، أجودهما عدم التداخل؛ لأنّ أحد الأمرین عوض الوطء وأرش البکارة عوض جنایة، فلا یدخل أحدهما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المشتری عالماً باستحقاقها حال الانتفاع لم یرجع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مع ذلک بالتحریم کان زانیاً والولد رقّ، وعلیه المهر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اختلفت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جاهلاً عند البیع ثم تجدّد 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بما غرمه حال الجهل وسقط الباقی</w:t>
      </w:r>
      <w:r>
        <w:rPr>
          <w:rFonts w:eastAsia="IRNazanin" w:cs="IRNazanin"/>
          <w:color w:val="111111"/>
          <w:sz w:val="28"/>
          <w:szCs w:val="28"/>
          <w:rtl w:val="true"/>
          <w:lang w:bidi="fa-IR"/>
        </w:rPr>
        <w:t>.</w:t>
      </w:r>
    </w:p>
    <w:p>
      <w:pPr>
        <w:pStyle w:val="Heading5"/>
        <w:numPr>
          <w:ilvl w:val="4"/>
          <w:numId w:val="1"/>
        </w:numPr>
        <w:rPr/>
      </w:pPr>
      <w:bookmarkStart w:id="323" w:name="__RefHeading___Toc2092988_2314609296"/>
      <w:bookmarkStart w:id="324" w:name="_Toc117"/>
      <w:bookmarkEnd w:id="323"/>
      <w:r>
        <w:rPr>
          <w:rtl w:val="true"/>
        </w:rPr>
        <w:t>[</w:t>
      </w:r>
      <w:r>
        <w:rPr>
          <w:rtl w:val="true"/>
        </w:rPr>
        <w:t>الرابعة</w:t>
      </w:r>
      <w:r>
        <w:rPr>
          <w:rtl w:val="true"/>
        </w:rPr>
        <w:t xml:space="preserve">: </w:t>
      </w:r>
      <w:r>
        <w:rPr>
          <w:rtl w:val="true"/>
        </w:rPr>
        <w:t xml:space="preserve">اختلاف المولی الماذون و غیره فی عتق العبد </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 مولی 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عبد أعتقه المأذون عن الغیر، ولا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لمولی المأذون ولا للغیر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مولی المأذون واسترقّ</w:t>
      </w:r>
    </w:p>
    <w:p>
      <w:pPr>
        <w:pStyle w:val="BookText"/>
        <w:rPr/>
      </w:pPr>
      <w:r>
        <w:rPr>
          <w:rFonts w:ascii="IRNazanin" w:hAnsi="IRNazanin" w:eastAsia="IRNazanin"/>
          <w:color w:val="111111"/>
          <w:sz w:val="28"/>
          <w:sz w:val="28"/>
          <w:szCs w:val="28"/>
          <w:rtl w:val="true"/>
          <w:lang w:bidi="fa-IR"/>
        </w:rPr>
        <w:t>العبد المعتق؛ لأنّ یده علی ما بید المأذون فیکون قوله مقدّماً علی من خرج عند عدم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بین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العبد الذی أعتقه المأذون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للمأذون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الروایة </w:t>
      </w:r>
      <w:r>
        <w:rPr>
          <w:rStyle w:val="FootnoteAnchor"/>
          <w:rtl w:val="true"/>
        </w:rPr>
        <w:footnoteReference w:id="858"/>
      </w:r>
      <w:r>
        <w:rPr>
          <w:rFonts w:ascii="IRNazanin" w:hAnsi="IRNazanin" w:eastAsia="IRNazanin"/>
          <w:color w:val="111111"/>
          <w:sz w:val="28"/>
          <w:sz w:val="28"/>
          <w:szCs w:val="28"/>
          <w:rtl w:val="true"/>
          <w:lang w:bidi="fa-IR"/>
        </w:rPr>
        <w:t xml:space="preserve">تضمّنت کونه أباه، لاشتراکهما فی المعنی المقتضی لترجیح قول ذی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بین دعوی مولی الأب شراءه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قد دفع للمأذون مالاً یتّجر به فاشتری أباه من سیّده 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 التقدیر الأوّل یدّعی فساد البیع، ومدّعی صحّته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خارج؛ لمعارضة یده القدیمة ید المأذون الحادثة فیقدّم، والروایة تضمّنت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بین استئجاره علی حجّ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لا مدخل له فی الترجیح وإن کانت الروایة تضمّنت الأوّل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 هذه المسألة روایة علیّ بن أشیم عن الباقر علیه السلام فی من دفع إلی مأذون ألفاً لیعتق عنه نسمة ویحجّ عنه بالباقی فأعتق أباه وأحجّه بعد موت الدافع، فادّعی وارثه ذلک، وزعم کلّ من مولی المأذون ومولی الأب أ نّه اشتراه بماله،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الحجّة تمضی ویردّ رقّاً لمولاه حتی یقیم الباقون بینّة</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 xml:space="preserve">وعمل بمضمونها الشیخ </w:t>
      </w:r>
      <w:r>
        <w:rPr>
          <w:rStyle w:val="FootnoteAnchor"/>
          <w:rtl w:val="true"/>
        </w:rPr>
        <w:footnoteReference w:id="860"/>
      </w:r>
      <w:r>
        <w:rPr>
          <w:rFonts w:ascii="IRNazanin" w:hAnsi="IRNazanin" w:eastAsia="IRNazanin"/>
          <w:color w:val="111111"/>
          <w:sz w:val="28"/>
          <w:sz w:val="28"/>
          <w:szCs w:val="28"/>
          <w:rtl w:val="true"/>
          <w:lang w:bidi="fa-IR"/>
        </w:rPr>
        <w:t xml:space="preserve">ومن تبعه </w:t>
      </w:r>
      <w:r>
        <w:rPr>
          <w:rStyle w:val="FootnoteAnchor"/>
          <w:rtl w:val="true"/>
        </w:rPr>
        <w:footnoteReference w:id="861"/>
      </w:r>
      <w:r>
        <w:rPr>
          <w:rFonts w:ascii="IRNazanin" w:hAnsi="IRNazanin" w:eastAsia="IRNazanin"/>
          <w:color w:val="111111"/>
          <w:sz w:val="28"/>
          <w:sz w:val="28"/>
          <w:szCs w:val="28"/>
          <w:rtl w:val="true"/>
          <w:lang w:bidi="fa-IR"/>
        </w:rPr>
        <w:t xml:space="preserve">ومال إلیه فی الدروس </w:t>
      </w:r>
      <w:r>
        <w:rPr>
          <w:rStyle w:val="FootnoteAnchor"/>
          <w:rtl w:val="true"/>
        </w:rPr>
        <w:footnoteReference w:id="862"/>
      </w:r>
      <w:r>
        <w:rPr>
          <w:rFonts w:ascii="IRNazanin" w:hAnsi="IRNazanin" w:eastAsia="IRNazanin"/>
          <w:color w:val="111111"/>
          <w:sz w:val="28"/>
          <w:sz w:val="28"/>
          <w:szCs w:val="28"/>
          <w:rtl w:val="true"/>
          <w:lang w:bidi="fa-IR"/>
        </w:rPr>
        <w:t>والمصنّف هنا وجماعة أطرحوا الروایة، لضعف سندها ومخالفتها لاُصول المذهب فی ردّ العبد إلی مولاه</w:t>
      </w:r>
    </w:p>
    <w:p>
      <w:pPr>
        <w:pStyle w:val="BookText"/>
        <w:rPr/>
      </w:pPr>
      <w:r>
        <w:rPr>
          <w:rFonts w:ascii="IRNazanin" w:hAnsi="IRNazanin" w:eastAsia="IRNazanin"/>
          <w:color w:val="111111"/>
          <w:sz w:val="28"/>
          <w:sz w:val="28"/>
          <w:szCs w:val="28"/>
          <w:rtl w:val="true"/>
          <w:lang w:bidi="fa-IR"/>
        </w:rPr>
        <w:t xml:space="preserve">مع اعترافه ببیعه ودعواه فساده، ومدّعی الصحّة مقدّم، وهی </w:t>
      </w:r>
      <w:r>
        <w:rPr>
          <w:rStyle w:val="FootnoteAnchor"/>
          <w:rtl w:val="true"/>
        </w:rPr>
        <w:footnoteReference w:id="863"/>
      </w:r>
      <w:r>
        <w:rPr>
          <w:rFonts w:ascii="IRNazanin" w:hAnsi="IRNazanin" w:eastAsia="IRNazanin"/>
          <w:color w:val="111111"/>
          <w:sz w:val="28"/>
          <w:sz w:val="28"/>
          <w:szCs w:val="28"/>
          <w:rtl w:val="true"/>
          <w:lang w:bidi="fa-IR"/>
        </w:rPr>
        <w:t>مشترکة بین الآخرین، إلّاأنّ مولی المأذون أقوی یداً، فیقدّم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واعتذر فی الدروس عن ذلک بأنّ المأذون بیده مالٌ لمولی الأب وغیره، وبتصادم الدعاوی المتکافئة یرجع إلی أصالة بقاء الملک علی مالکه،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تعارضه فتواهم بتقدیم دعوی الصحّة علی الفساد؛ لأنّها مشترکة بین متقابلین متکافئین، فتساقطا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وفیهما نظر؛ لمنع تکافئها مع کون من عدا مولاه خارجاً والداخل مقدّم فسقطا، دونه، ولم یتمّ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عدم تکافؤ الدعویین الاُخریین، لخروج الآمر وورثته عمّا فی ید المأذون التی هی بمنزلة ید سیّده، والخارجة لا تکافئ الداخلة فتقدّم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وإقرار المأذون بما فی یده لغیر المولی غیر مسموع فلزم إطراح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ولاشتمالها علی مضیّ الحجّ، مع أنّ ظاهر الأمر حجّه بنفسه ولم یفعل، ومجامعة صحّة الحجّ لعوده رقّاً وقد حجّ بغیر إذن سیّده فما اختاره هنا أوضح</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بین دعوی مولی الأب شراءه من ماله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الشیخ ومن تبعه </w:t>
      </w:r>
      <w:r>
        <w:rPr>
          <w:rStyle w:val="FootnoteAnchor"/>
          <w:rtl w:val="true"/>
        </w:rPr>
        <w:footnoteReference w:id="865"/>
      </w:r>
      <w:r>
        <w:rPr>
          <w:rFonts w:ascii="IRNazanin" w:hAnsi="IRNazanin" w:eastAsia="IRNazanin"/>
          <w:color w:val="111111"/>
          <w:sz w:val="28"/>
          <w:sz w:val="28"/>
          <w:szCs w:val="28"/>
          <w:rtl w:val="true"/>
          <w:lang w:bidi="fa-IR"/>
        </w:rPr>
        <w:t>حیث حکموا بما ذکر مع اعترافهم بدعوی مولی الأب فساد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خلاف العلّامة </w:t>
      </w:r>
      <w:r>
        <w:rPr>
          <w:rStyle w:val="FootnoteAnchor"/>
          <w:rtl w:val="true"/>
        </w:rPr>
        <w:footnoteReference w:id="866"/>
      </w:r>
      <w:r>
        <w:rPr>
          <w:rFonts w:ascii="IRNazanin" w:hAnsi="IRNazanin" w:eastAsia="IRNazanin"/>
          <w:color w:val="111111"/>
          <w:sz w:val="28"/>
          <w:sz w:val="28"/>
          <w:szCs w:val="28"/>
          <w:rtl w:val="true"/>
          <w:lang w:bidi="fa-IR"/>
        </w:rPr>
        <w:t>حیث حملها علی إنکار مولی الأب البیع لا فسادَه، هرباً من تقدیم مدّعی الفساد، والتجاءً إلی تقدیم منکر بیع عبده</w:t>
      </w:r>
      <w:r>
        <w:rPr>
          <w:rFonts w:eastAsia="IRNazanin" w:cs="IRNazanin"/>
          <w:color w:val="111111"/>
          <w:sz w:val="28"/>
          <w:szCs w:val="28"/>
          <w:rtl w:val="true"/>
          <w:lang w:bidi="fa-IR"/>
        </w:rPr>
        <w:t>.</w:t>
      </w:r>
      <w:bookmarkStart w:id="325" w:name="pg19812_249428"/>
    </w:p>
    <w:p>
      <w:pPr>
        <w:pStyle w:val="BookText"/>
        <w:rPr/>
      </w:pPr>
      <w:bookmarkEnd w:id="325"/>
      <w:r>
        <w:rPr>
          <w:rFonts w:ascii="IRNazanin" w:hAnsi="IRNazanin" w:eastAsia="IRNazanin"/>
          <w:color w:val="111111"/>
          <w:sz w:val="28"/>
          <w:sz w:val="28"/>
          <w:szCs w:val="28"/>
          <w:rtl w:val="true"/>
          <w:lang w:bidi="fa-IR"/>
        </w:rPr>
        <w:t>وقد عرفت ضعف تقدیم مدّعی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الثانی بمنافاته لمنطوق الروایة الدالّة علی دعوی کونه اشتری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البیّنة، ومعها تقدّم إن کانت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لاثنین أو للجمیع بنی علی تقدیم بیّنة الداخل أو الخارج عند التعارض، فعلی الأوّل الحکم کما ذکر، وعلی الثانی یتعارض الخارجان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ویقوی تقدیم ورثة الآمر بمرجّح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الاختلاف یقتضی تعدّد المختلفین، والمصنّف اقتصر علی نسبته إلی مولی المأذون، وکان حقّه إضافة غیره معه، وکأ نّه اقتصر علیه لدلالة المقام علی الغیر، أو علی ما اشتهر من المتنازعین فی هذه المادّة</w:t>
      </w:r>
      <w:r>
        <w:rPr>
          <w:rFonts w:eastAsia="IRNazanin" w:cs="IRNazanin"/>
          <w:color w:val="111111"/>
          <w:sz w:val="28"/>
          <w:szCs w:val="28"/>
          <w:rtl w:val="true"/>
          <w:lang w:bidi="fa-IR"/>
        </w:rPr>
        <w:t>.</w:t>
      </w:r>
    </w:p>
    <w:p>
      <w:pPr>
        <w:pStyle w:val="Heading5"/>
        <w:numPr>
          <w:ilvl w:val="4"/>
          <w:numId w:val="1"/>
        </w:numPr>
        <w:rPr/>
      </w:pPr>
      <w:bookmarkStart w:id="326" w:name="__RefHeading___Toc2092990_2314609296"/>
      <w:bookmarkStart w:id="327" w:name="_Toc118"/>
      <w:bookmarkEnd w:id="326"/>
      <w:r>
        <w:rPr>
          <w:rtl w:val="true"/>
        </w:rPr>
        <w:t>[</w:t>
      </w:r>
      <w:r>
        <w:rPr>
          <w:rtl w:val="true"/>
        </w:rPr>
        <w:t>الخامسة</w:t>
      </w:r>
      <w:r>
        <w:rPr>
          <w:rtl w:val="true"/>
        </w:rPr>
        <w:t xml:space="preserve">: </w:t>
      </w:r>
      <w:r>
        <w:rPr>
          <w:rtl w:val="true"/>
        </w:rPr>
        <w:t>حکم تنازع الماذونین</w:t>
      </w:r>
      <w:r>
        <w:rPr>
          <w:rtl w:val="true"/>
        </w:rPr>
        <w:t>]</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 المأذونان بعد شراء کلّ منهما صاحبه فی الأسبق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لیبطل بیع المتأخّر؛ لبطلان الإذن بزوال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ولا لأحدهما بالتقدّم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بها مطلقاً غیر معلوم، والذی نقله المصنّف وغیره </w:t>
      </w:r>
      <w:r>
        <w:rPr>
          <w:rStyle w:val="FootnoteAnchor"/>
          <w:rtl w:val="true"/>
        </w:rPr>
        <w:footnoteReference w:id="867"/>
      </w:r>
      <w:r>
        <w:rPr>
          <w:rFonts w:ascii="IRNazanin" w:hAnsi="IRNazanin" w:eastAsia="IRNazanin"/>
          <w:color w:val="111111"/>
          <w:sz w:val="28"/>
          <w:sz w:val="28"/>
          <w:szCs w:val="28"/>
          <w:rtl w:val="true"/>
          <w:lang w:bidi="fa-IR"/>
        </w:rPr>
        <w:t>عن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بها مع تساوی الطریقین </w:t>
      </w:r>
      <w:r>
        <w:rPr>
          <w:rStyle w:val="FootnoteAnchor"/>
          <w:rtl w:val="true"/>
        </w:rPr>
        <w:footnoteReference w:id="868"/>
      </w:r>
      <w:r>
        <w:rPr>
          <w:rFonts w:ascii="IRNazanin" w:hAnsi="IRNazanin" w:eastAsia="IRNazanin"/>
          <w:color w:val="111111"/>
          <w:sz w:val="28"/>
          <w:sz w:val="28"/>
          <w:szCs w:val="28"/>
          <w:rtl w:val="true"/>
          <w:lang w:bidi="fa-IR"/>
        </w:rPr>
        <w:t xml:space="preserve">عملاً بروایة وردت بذلک </w:t>
      </w:r>
      <w:r>
        <w:rPr>
          <w:rStyle w:val="FootnoteAnchor"/>
          <w:rtl w:val="true"/>
        </w:rPr>
        <w:footnoteReference w:id="869"/>
      </w:r>
      <w:r>
        <w:rPr>
          <w:rFonts w:ascii="IRNazanin" w:hAnsi="IRNazanin" w:eastAsia="IRNazanin"/>
          <w:color w:val="111111"/>
          <w:sz w:val="28"/>
          <w:sz w:val="28"/>
          <w:szCs w:val="28"/>
          <w:rtl w:val="true"/>
          <w:lang w:bidi="fa-IR"/>
        </w:rPr>
        <w:t xml:space="preserve">وقیل بها مع اشتباه السابق أو السبق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سلکها کلّ واحد منهما إلی مولی الآخر،</w:t>
      </w:r>
    </w:p>
    <w:p>
      <w:pPr>
        <w:pStyle w:val="BookText"/>
        <w:rPr/>
      </w:pPr>
      <w:r>
        <w:rPr>
          <w:rFonts w:ascii="IRNazanin" w:hAnsi="IRNazanin" w:eastAsia="IRNazanin"/>
          <w:color w:val="111111"/>
          <w:sz w:val="28"/>
          <w:sz w:val="28"/>
          <w:szCs w:val="28"/>
          <w:rtl w:val="true"/>
          <w:lang w:bidi="fa-IR"/>
        </w:rPr>
        <w:t xml:space="preserve">ویحکم بالسبق لمن طریقه أقرب مع تساویهما فی المشی، فان تساویا بطل البیعان، لظهور الاقتران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لم یجز المولیان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اُجیز عقدهما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تقدّم العقد من أحدهما صحّ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توقّف علی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إجازة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العقدان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کانا وکیلین صحّا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الإذن والوکالة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الإذن ما جعلت </w:t>
      </w:r>
      <w:r>
        <w:rPr>
          <w:rStyle w:val="FootnoteAnchor"/>
          <w:rtl w:val="true"/>
        </w:rPr>
        <w:footnoteReference w:id="872"/>
      </w:r>
      <w:r>
        <w:rPr>
          <w:rFonts w:ascii="IRNazanin" w:hAnsi="IRNazanin" w:eastAsia="IRNazanin"/>
          <w:color w:val="111111"/>
          <w:sz w:val="28"/>
          <w:sz w:val="28"/>
          <w:szCs w:val="28"/>
          <w:rtl w:val="true"/>
          <w:lang w:bidi="fa-IR"/>
        </w:rPr>
        <w:t>تابعة للملک، والوکالة ما أباحت التصرّف المأذون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بینهما مع اشتراکهما فی مطلق الإذن إمّا تصریح المولی بالخصوصیّتین، أو دلالة القرائن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تجرّد اللفظ عن القرینة لأحدهما فالظاهر حمله علی الإذن، لدلالة العرف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القول بالقرعة مطلقاً لا یتمّ فی صورة الاقتران؛ لأنّها لإظهار المشتبه، ولا اشتباه حینئذٍ، وأولی بالمنع تخصیصها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بمسح الطریق مستند إلی روایة </w:t>
      </w:r>
      <w:r>
        <w:rPr>
          <w:rStyle w:val="FootnoteAnchor"/>
          <w:rtl w:val="true"/>
        </w:rPr>
        <w:footnoteReference w:id="873"/>
      </w:r>
      <w:r>
        <w:rPr>
          <w:rFonts w:ascii="IRNazanin" w:hAnsi="IRNazanin" w:eastAsia="IRNazanin"/>
          <w:color w:val="111111"/>
          <w:sz w:val="28"/>
          <w:sz w:val="28"/>
          <w:szCs w:val="28"/>
          <w:rtl w:val="true"/>
          <w:lang w:bidi="fa-IR"/>
        </w:rPr>
        <w:t>لیست سلیمة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للسابق مع علمه لا إشکال فیه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القول بوقوفه مع الاقتران کذلک، ومع الاشتباه تتجّه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 اشتباه السابق یستخرج برقعتین لإخراجه، ومع اشتباه السبق والاقتران ینبغی ثلاث رقع فی إحداها الاقتران لیحکم بالوقوف معه</w:t>
      </w:r>
      <w:r>
        <w:rPr>
          <w:rFonts w:eastAsia="IRNazanin" w:cs="IRNazanin"/>
          <w:color w:val="111111"/>
          <w:sz w:val="28"/>
          <w:szCs w:val="28"/>
          <w:rtl w:val="true"/>
          <w:lang w:bidi="fa-IR"/>
        </w:rPr>
        <w:t>.</w:t>
      </w:r>
      <w:bookmarkStart w:id="328" w:name="pg19812_249430"/>
    </w:p>
    <w:p>
      <w:pPr>
        <w:pStyle w:val="BookText"/>
        <w:rPr/>
      </w:pPr>
      <w:bookmarkEnd w:id="328"/>
      <w:r>
        <w:rPr>
          <w:rFonts w:ascii="IRNazanin" w:hAnsi="IRNazanin" w:eastAsia="IRNazanin"/>
          <w:color w:val="111111"/>
          <w:sz w:val="28"/>
          <w:sz w:val="28"/>
          <w:szCs w:val="28"/>
          <w:rtl w:val="true"/>
          <w:lang w:bidi="fa-IR"/>
        </w:rPr>
        <w:t>هذا إذا کان شراؤُهما لمولاهما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لأنفسهما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أحلنا ملک العبد بطلا، وإن أجزناه صحّ السابق وبطل المقارن واللاحق حتماً، إذ لا یتصور ملک العبد لسیّده</w:t>
      </w:r>
      <w:r>
        <w:rPr>
          <w:rFonts w:eastAsia="IRNazanin" w:cs="IRNazanin"/>
          <w:color w:val="111111"/>
          <w:sz w:val="28"/>
          <w:szCs w:val="28"/>
          <w:rtl w:val="true"/>
          <w:lang w:bidi="fa-IR"/>
        </w:rPr>
        <w:t>.</w:t>
      </w:r>
    </w:p>
    <w:p>
      <w:pPr>
        <w:pStyle w:val="Heading5"/>
        <w:numPr>
          <w:ilvl w:val="4"/>
          <w:numId w:val="1"/>
        </w:numPr>
        <w:rPr/>
      </w:pPr>
      <w:bookmarkStart w:id="329" w:name="__RefHeading___Toc2092992_2314609296"/>
      <w:bookmarkStart w:id="330" w:name="_Toc119"/>
      <w:bookmarkEnd w:id="329"/>
      <w:r>
        <w:rPr>
          <w:rtl w:val="true"/>
        </w:rPr>
        <w:t>[</w:t>
      </w:r>
      <w:r>
        <w:rPr>
          <w:rtl w:val="true"/>
        </w:rPr>
        <w:t>السادسة</w:t>
      </w:r>
      <w:r>
        <w:rPr>
          <w:rtl w:val="true"/>
        </w:rPr>
        <w:t xml:space="preserve">: </w:t>
      </w:r>
      <w:r>
        <w:rPr>
          <w:rtl w:val="true"/>
        </w:rPr>
        <w:t>عدم جواز شراء الامة المسروقة من ارض الصلح</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المسروقة من أرض الصلح لا یجوز شراؤها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مال أهلها محترم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اشتراها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بالسرقة أو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بائعها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واستعاد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یوجد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اُعسر البائع، أو امتنع عن ردّه ولم یمکن إجباره، أو بغیر ذلک من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وقیل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لروایة مسکین السّمان عن الصادق علیه السلام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بجهالة الراوی، ومخالفة الحکم للاُصول، حیث إنّها ملک للغیر وسعیها کذلک، ومالکها لم یظلمه فی الثمن فکیف یستوفیه من سعیها؟ مع أنّ ظالمه لا یستحقّها ولا کسبها، ومن ثمّ نسبه المصنّف إلی القول، تمریضاً 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یشکل حکمه بردّها إلّاأن یحمل علی ردّها علی مالکها، لا علی البائع، طرحاً للروایة </w:t>
      </w:r>
      <w:r>
        <w:rPr>
          <w:rStyle w:val="FootnoteAnchor"/>
          <w:rtl w:val="true"/>
        </w:rPr>
        <w:footnoteReference w:id="876"/>
      </w:r>
      <w:r>
        <w:rPr>
          <w:rFonts w:ascii="IRNazanin" w:hAnsi="IRNazanin" w:eastAsia="IRNazanin"/>
          <w:color w:val="111111"/>
          <w:sz w:val="28"/>
          <w:sz w:val="28"/>
          <w:szCs w:val="28"/>
          <w:rtl w:val="true"/>
          <w:lang w:bidi="fa-IR"/>
        </w:rPr>
        <w:t>الدالّة علی ردّها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استقرب العمل بالروایة المشتملة علی ردّها علی البائع واستسعائها فی ثمنها </w:t>
      </w:r>
      <w:r>
        <w:rPr>
          <w:rStyle w:val="FootnoteAnchor"/>
          <w:rtl w:val="true"/>
        </w:rPr>
        <w:footnoteReference w:id="877"/>
      </w:r>
      <w:r>
        <w:rPr>
          <w:rFonts w:ascii="IRNazanin" w:hAnsi="IRNazanin" w:eastAsia="IRNazanin"/>
          <w:color w:val="111111"/>
          <w:sz w:val="28"/>
          <w:sz w:val="28"/>
          <w:szCs w:val="28"/>
          <w:rtl w:val="true"/>
          <w:lang w:bidi="fa-IR"/>
        </w:rPr>
        <w:t>لو تعذّر علی المشتری أخذه من البائع ووارثه مع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واعتذر عن الردّ إلیه بأ نّه تکلیف له</w:t>
      </w:r>
    </w:p>
    <w:p>
      <w:pPr>
        <w:pStyle w:val="BookText"/>
        <w:rPr/>
      </w:pPr>
      <w:r>
        <w:rPr>
          <w:rFonts w:ascii="IRNazanin" w:hAnsi="IRNazanin" w:eastAsia="IRNazanin"/>
          <w:color w:val="111111"/>
          <w:sz w:val="28"/>
          <w:sz w:val="28"/>
          <w:szCs w:val="28"/>
          <w:rtl w:val="true"/>
          <w:lang w:bidi="fa-IR"/>
        </w:rPr>
        <w:t>لیردّها إلی أهلها، إمّا لأنه سارق، أو لأنّه ترتّبت یده علیه، وعن استسعائها بأنّ فیه جمعاً بین حق المشتری وحقّ صاحبها، نظراً إلی أنّ مال الحربی فیء فی الحقیقة وإنّما صار محترماً بالصلح احتراماً عرضیّاً، فلا یعارض ذهاب مال محترم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مثل ذلک لا یصلح لتأسیس مثل هذا الحکم، وتقریبه للنصّ إنّما یتمّ لو کانت الروایة ممّا تصلح للحجّة، وهی بعیدة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وتکلیف البائع بالردّ لا یقتضی جواز دفعها إلیه کما فی کلّ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یده لا أثر له فی هذا الحکم، وإلّا لکان الغاصب من الغاصب یجب علیه الردّ إلیه، 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فی المال بین المحترم بالأصل والعارض لا مدخل له فی هذا الترجیح مع اشتراکهما فی التحریم وکون المتلف للثمن لیس هو مولی الأمة، فکیف یستوفی من ماله؟ وینتقض بمال أهل الذمّة، فإنّ تحریمه عارض ولا یرجّح علیه مال المسلم المحترم بالأصل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إطراح الروایة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وشهرتها لم تبلغ حدّ وجوب العمل بها، وإنّما عمل بها الشیخ </w:t>
      </w:r>
      <w:r>
        <w:rPr>
          <w:rStyle w:val="FootnoteAnchor"/>
          <w:rtl w:val="true"/>
        </w:rPr>
        <w:footnoteReference w:id="878"/>
      </w:r>
      <w:r>
        <w:rPr>
          <w:rFonts w:ascii="IRNazanin" w:hAnsi="IRNazanin" w:eastAsia="IRNazanin"/>
          <w:color w:val="111111"/>
          <w:sz w:val="28"/>
          <w:sz w:val="28"/>
          <w:szCs w:val="28"/>
          <w:rtl w:val="true"/>
          <w:lang w:bidi="fa-IR"/>
        </w:rPr>
        <w:t xml:space="preserve">علی قاعدته </w:t>
      </w:r>
      <w:r>
        <w:rPr>
          <w:rStyle w:val="FootnoteAnchor"/>
          <w:rtl w:val="true"/>
        </w:rPr>
        <w:footnoteReference w:id="879"/>
      </w:r>
      <w:r>
        <w:rPr>
          <w:rFonts w:ascii="IRNazanin" w:hAnsi="IRNazanin" w:eastAsia="IRNazanin"/>
          <w:color w:val="111111"/>
          <w:sz w:val="28"/>
          <w:sz w:val="28"/>
          <w:szCs w:val="28"/>
          <w:rtl w:val="true"/>
          <w:lang w:bidi="fa-IR"/>
        </w:rPr>
        <w:t xml:space="preserve">واشتهرت بین أتباعه </w:t>
      </w:r>
      <w:r>
        <w:rPr>
          <w:rStyle w:val="FootnoteAnchor"/>
          <w:rtl w:val="true"/>
        </w:rPr>
        <w:footnoteReference w:id="880"/>
      </w:r>
      <w:r>
        <w:rPr>
          <w:rFonts w:ascii="IRNazanin" w:hAnsi="IRNazanin" w:eastAsia="IRNazanin"/>
          <w:color w:val="111111"/>
          <w:sz w:val="28"/>
          <w:sz w:val="28"/>
          <w:szCs w:val="28"/>
          <w:rtl w:val="true"/>
          <w:lang w:bidi="fa-IR"/>
        </w:rPr>
        <w:t xml:space="preserve">وردّها المستنبطون </w:t>
      </w:r>
      <w:r>
        <w:rPr>
          <w:rStyle w:val="FootnoteAnchor"/>
          <w:rtl w:val="true"/>
        </w:rPr>
        <w:footnoteReference w:id="881"/>
      </w:r>
      <w:r>
        <w:rPr>
          <w:rFonts w:ascii="IRNazanin" w:hAnsi="IRNazanin" w:eastAsia="IRNazanin"/>
          <w:color w:val="111111"/>
          <w:sz w:val="28"/>
          <w:sz w:val="28"/>
          <w:szCs w:val="28"/>
          <w:rtl w:val="true"/>
          <w:lang w:bidi="fa-IR"/>
        </w:rPr>
        <w:t>لمخالفتها للاُصول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وجوب ردّ المشتری لها علی مالکها أو وکیله أو وارثه، ومع</w:t>
      </w:r>
      <w:bookmarkStart w:id="331" w:name="pg19812_249432"/>
    </w:p>
    <w:p>
      <w:pPr>
        <w:pStyle w:val="BookText"/>
        <w:rPr/>
      </w:pPr>
      <w:bookmarkEnd w:id="331"/>
      <w:r>
        <w:rPr>
          <w:rFonts w:ascii="IRNazanin" w:hAnsi="IRNazanin" w:eastAsia="IRNazanin"/>
          <w:color w:val="111111"/>
          <w:sz w:val="28"/>
          <w:sz w:val="28"/>
          <w:szCs w:val="28"/>
          <w:rtl w:val="true"/>
          <w:lang w:bidi="fa-IR"/>
        </w:rPr>
        <w:t>التعذّر علی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الثمن فیطالب به البائع مع بقاء عینه مطلقاً، ومع تلفه إن کان المشتری جاهلاً بسرقتها، ولا تستسعی الأمة مطلقاً</w:t>
      </w:r>
      <w:r>
        <w:rPr>
          <w:rFonts w:eastAsia="IRNazanin" w:cs="IRNazanin"/>
          <w:color w:val="111111"/>
          <w:sz w:val="28"/>
          <w:szCs w:val="28"/>
          <w:rtl w:val="true"/>
          <w:lang w:bidi="fa-IR"/>
        </w:rPr>
        <w:t>.</w:t>
      </w:r>
    </w:p>
    <w:p>
      <w:pPr>
        <w:pStyle w:val="Heading5"/>
        <w:numPr>
          <w:ilvl w:val="4"/>
          <w:numId w:val="1"/>
        </w:numPr>
        <w:rPr/>
      </w:pPr>
      <w:bookmarkStart w:id="332" w:name="__RefHeading___Toc2092994_2314609296"/>
      <w:bookmarkStart w:id="333" w:name="_Toc120"/>
      <w:bookmarkEnd w:id="332"/>
      <w:r>
        <w:rPr>
          <w:rtl w:val="true"/>
        </w:rPr>
        <w:t>[</w:t>
      </w:r>
      <w:r>
        <w:rPr>
          <w:rtl w:val="true"/>
        </w:rPr>
        <w:t>السابعة</w:t>
      </w:r>
      <w:r>
        <w:rPr>
          <w:rtl w:val="true"/>
        </w:rPr>
        <w:t xml:space="preserve">: </w:t>
      </w:r>
      <w:r>
        <w:rPr>
          <w:rtl w:val="true"/>
        </w:rPr>
        <w:t xml:space="preserve">عدم جواز بیع عبد من عبدین </w:t>
      </w:r>
      <w:r>
        <w:rPr>
          <w:rtl w:val="true"/>
        </w:rPr>
        <w:t>]</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عبد من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تعیین، سواء کانا متساویین فی القیمة والصفات أم مختلفین؛ لجهالة المبیع المقتضیة للبطلان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مطلقاً </w:t>
      </w:r>
      <w:r>
        <w:rPr>
          <w:rStyle w:val="FootnoteAnchor"/>
          <w:rtl w:val="true"/>
        </w:rPr>
        <w:footnoteReference w:id="882"/>
      </w:r>
      <w:r>
        <w:rPr>
          <w:rFonts w:ascii="IRNazanin" w:hAnsi="IRNazanin" w:eastAsia="IRNazanin"/>
          <w:color w:val="111111"/>
          <w:sz w:val="28"/>
          <w:sz w:val="28"/>
          <w:szCs w:val="28"/>
          <w:rtl w:val="true"/>
          <w:lang w:bidi="fa-IR"/>
        </w:rPr>
        <w:t xml:space="preserve">استناداً إلی ظاهر روایة ضعیفة </w:t>
      </w:r>
      <w:r>
        <w:rPr>
          <w:rStyle w:val="FootnoteAnchor"/>
          <w:rtl w:val="true"/>
        </w:rPr>
        <w:footnoteReference w:id="88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مع تساویهما من کلّ وجه کما یصحّ بیع قفیز من صُبرة متساویة الأجزاء </w:t>
      </w:r>
      <w:r>
        <w:rPr>
          <w:rStyle w:val="FootnoteAnchor"/>
          <w:rtl w:val="true"/>
        </w:rPr>
        <w:footnoteReference w:id="884"/>
      </w:r>
      <w:r>
        <w:rPr>
          <w:rFonts w:ascii="IRNazanin" w:hAnsi="IRNazanin" w:eastAsia="IRNazanin"/>
          <w:color w:val="111111"/>
          <w:sz w:val="28"/>
          <w:sz w:val="28"/>
          <w:szCs w:val="28"/>
          <w:rtl w:val="true"/>
          <w:lang w:bidi="fa-IR"/>
        </w:rPr>
        <w:t>ویضعّف بمنع تساوی العبدین علی وجه یلحق بالمثلیّ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الصحّة مطلقاً واضح</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شراؤه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شراء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ترتفع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ضابط المسلَم فیه ما یمکن ضبطه کذلک، وهو منه کغیره من الحیوان إلّاما یستثنی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لتساویهما فی المعنی المصحّح للبیع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باعه عبداً کذلک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إلیه عبدین للتخیّر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لیتخیّر ما شاء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فأبق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الآبق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ضمان المقبوض 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قبضه لیشتریه فتلف فی یده بغیر تفریط، فإن قلنا بضمانه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هنا؛ لأنّه فی معناه؛ إذ الخصوصیّة لیست لقبض السوم، بل لعموم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وهو 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بعدم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مقبوضاً بإذن المالک والحال أ نّه لا تفریط، فیکون کالودعیّ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عدم الضمان هنا وإن قلنا به ثَمّ؛ لأنّ المقبوض بالسوم مبیع بالقوّة أو مجازاً بما یؤول إلیه، وصحیح المبیع وفاسده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صورة الفرض؛ لأنّ المقبوض لیس کذلک، لوقوع البیع سابقاً وإنّما هو محض استیفاء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یندفع ذلک بأنّ المبیع لمّا کان أمراً کلّیاً وکان کلّ واحد من المدفوع صالحاً لکونه فرداً له کان فی قوّة المبیع، بل دفعهما للتخیّر حصر له فیهما، فیکون بمنزلة المبیع حیث إنّه منحصر فیهما، فالحکم هنا بالضمان أولی منه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بطریق ضعیف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عمل به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 حقّه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الإشاعة، لا کون حقّه أحدهما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المشتری، فینفسخ نصف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تنزیلاً للآبق منزلة التالف قبل القبض، مع أنّ نصفه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 الثمن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عوض التالف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یجد الآبق یوماً فیتخیّر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أخذ أیّهما شاء، وهو مبنیّ علی کونهما بالوصف المطابق للمبیع وتساویهما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انحصار حقّه فیهما کونه عیّنهما للتخیّر، کما لو حصر الحقّ فی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ضمان الآبق إمّا لعدم ضمان المقبوض بالسوم، أو کون القبض علی هذا الوجه یخالف قبض السوم، للوجه الذی ذکرناه، أو غیره، أو تنزیلاً لهذا التخیّر منزلة الخیار الذی لا یضمن الحیوان التالف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بانحصار الحقّ الکلّی قبل تعیّنه </w:t>
      </w:r>
      <w:r>
        <w:rPr>
          <w:rStyle w:val="FootnoteAnchor"/>
          <w:rtl w:val="true"/>
        </w:rPr>
        <w:footnoteReference w:id="888"/>
      </w:r>
      <w:r>
        <w:rPr>
          <w:rFonts w:ascii="IRNazanin" w:hAnsi="IRNazanin" w:eastAsia="IRNazanin"/>
          <w:color w:val="111111"/>
          <w:sz w:val="28"/>
          <w:sz w:val="28"/>
          <w:szCs w:val="28"/>
          <w:rtl w:val="true"/>
          <w:lang w:bidi="fa-IR"/>
        </w:rPr>
        <w:t>فی فردین، ومنع ثبوت الفرق بین حصره فی واحد وبقائه کلّیاً، وثبوت المبیع فی نصف الموجود المقتضی للشرکة مع عدم الموجب لها ثم الرجوع إلی التخیّر لو وجد الآبق، وأنّ دفعه الاثنین لیس تشخیصاً وإن حصر الأمر فیهما؛ لأصالة بقاء الحقّ فی الذّمة إلی أن یثبت المزیل شرعاً، کما لو حصره فی عشرة وأکثر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ضعف الروایة عن إثبات مثل هذه الأحکام المخالفة للاُصول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انسحابه فی الزیادة علی اثنین إن قلنا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الاثنین وعملنا بالروایة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العبدین فی الجملة وعدم ظهور تأثیر الزیادة مع کون محلّ التخیّر زائداً عن الحقّ، والخروج عن المنصوص المخالف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سحبنا الحکم وکانوا ثلاثة فأبق واحد فات ثلث المبیع وارتجع ثلث الثمن إلی آخر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بقاء التخیّر وعدم فوات شیء، سواء حکمنا بضمان الآبق أم لا؛ لبقاء محلّ التخیّر الزائد عن الحقّ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کان المبیع غیر عبد، کأمة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 إلیه أمتین أو إماء، وقطع فی الدروس بثبوت الحکم هنا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انسحاب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أیّة </w:t>
      </w:r>
      <w:r>
        <w:rPr>
          <w:rStyle w:val="FootnoteAnchor"/>
          <w:rtl w:val="true"/>
        </w:rPr>
        <w:footnoteReference w:id="890"/>
      </w: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کثوب وکتاب إذا دفع إلیه منه اثنین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المشارکة فیما ظنّ کونه علّة الحکم، وبطلان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القطع هنا بعدم الانسحاب؛ لأنّه قیاس محض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هلک أحد العبدین ففی انسحاب الحکم الوجهان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تنزیل الإباق منزلة التلف یقتضی الحکم مع التلف بطریق أولی، ومن ضعفه بتنجیز التنصیف من غیر رجاء لعود التخیّر، بخلاف الإباق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 اللحاق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العمل بالروایة نظراً إلی انجبار ضعفها بما زعموه من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أراه منع الشهرة فی ذلک، وإنّما حکم الشیخ بهذه ونظائرها علی قاعدته، والشهرةُ بین أتباعه خاصّة، کما أشرنا إلیه فی غیرها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یناسب الأصل أنّ العبدین إن کانا مطابقین للمبیع تخیّر بین اختیار الآبق والباقی، فإن اختار الآبق ردّ الموجود ولا شیء له، وإن اختار الباقی انحصر حقّه فیه وبنی ضمان الآبق علی ما سبق </w:t>
      </w:r>
      <w:r>
        <w:rPr>
          <w:rStyle w:val="FootnoteAnchor"/>
          <w:rtl w:val="true"/>
        </w:rPr>
        <w:footnoteReference w:id="892"/>
      </w:r>
      <w:r>
        <w:rPr>
          <w:rFonts w:ascii="IRNazanin" w:hAnsi="IRNazanin" w:eastAsia="IRNazanin"/>
          <w:color w:val="111111"/>
          <w:sz w:val="28"/>
          <w:sz w:val="28"/>
          <w:szCs w:val="28"/>
          <w:rtl w:val="true"/>
          <w:lang w:bidi="fa-IR"/>
        </w:rPr>
        <w:t>ولا فرق حینئذ بین العبدین وغیرهما من الزائد والمخالف وهذا هو الأقوی</w:t>
      </w:r>
      <w:r>
        <w:rPr>
          <w:rFonts w:eastAsia="IRNazanin" w:cs="IRNazanin"/>
          <w:color w:val="111111"/>
          <w:sz w:val="28"/>
          <w:szCs w:val="28"/>
          <w:rtl w:val="true"/>
          <w:lang w:bidi="fa-IR"/>
        </w:rPr>
        <w:t>.</w:t>
      </w:r>
      <w:bookmarkStart w:id="334" w:name="pg19812_249436"/>
    </w:p>
    <w:p>
      <w:pPr>
        <w:pStyle w:val="Heading3"/>
        <w:numPr>
          <w:ilvl w:val="2"/>
          <w:numId w:val="1"/>
        </w:numPr>
        <w:rPr/>
      </w:pPr>
      <w:bookmarkStart w:id="335" w:name="__RefHeading___Toc2092996_2314609296"/>
      <w:bookmarkStart w:id="336" w:name="_Toc121"/>
      <w:bookmarkEnd w:id="334"/>
      <w:bookmarkEnd w:id="335"/>
      <w:r>
        <w:rPr>
          <w:rtl w:val="true"/>
        </w:rPr>
        <w:t>«</w:t>
      </w:r>
      <w:r>
        <w:rPr>
          <w:rtl w:val="true"/>
        </w:rPr>
        <w:t>الفصل الرابع</w:t>
      </w:r>
      <w:r>
        <w:rPr>
          <w:rtl w:val="true"/>
        </w:rPr>
        <w:t>» «</w:t>
      </w:r>
      <w:r>
        <w:rPr>
          <w:rtl w:val="true"/>
        </w:rPr>
        <w:t>فی</w:t>
      </w:r>
      <w:r>
        <w:rPr>
          <w:rtl w:val="true"/>
        </w:rPr>
        <w:t xml:space="preserve">» </w:t>
      </w:r>
      <w:r>
        <w:rPr>
          <w:rtl w:val="true"/>
        </w:rPr>
        <w:t xml:space="preserve">بیع </w:t>
      </w:r>
      <w:r>
        <w:rPr>
          <w:rtl w:val="true"/>
        </w:rPr>
        <w:t>«</w:t>
      </w:r>
      <w:r>
        <w:rPr>
          <w:rtl w:val="true"/>
        </w:rPr>
        <w:t>الثمار</w:t>
      </w:r>
      <w:r>
        <w:rPr>
          <w:rtl w:val="true"/>
        </w:rPr>
        <w:t>»</w:t>
      </w:r>
      <w:bookmarkEnd w:id="336"/>
    </w:p>
    <w:p>
      <w:pPr>
        <w:pStyle w:val="Heading4"/>
        <w:numPr>
          <w:ilvl w:val="3"/>
          <w:numId w:val="1"/>
        </w:numPr>
        <w:rPr/>
      </w:pPr>
      <w:bookmarkStart w:id="337" w:name="__RefHeading___Toc2092998_2314609296"/>
      <w:bookmarkStart w:id="338" w:name="_Toc122"/>
      <w:bookmarkEnd w:id="337"/>
      <w:r>
        <w:rPr>
          <w:rtl w:val="true"/>
        </w:rPr>
        <w:t>اشارة</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الثمار</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بیع الثمرة قبل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بروزها إلی الوجود وإن کانت فی طَلع </w:t>
      </w:r>
      <w:r>
        <w:rPr>
          <w:rStyle w:val="FootnoteAnchor"/>
          <w:rtl w:val="true"/>
        </w:rPr>
        <w:footnoteReference w:id="894"/>
      </w:r>
      <w:r>
        <w:rPr>
          <w:rFonts w:ascii="Amiri" w:hAnsi="Amiri" w:eastAsia="Amiri" w:cs="Amiri"/>
          <w:color w:val="111111"/>
          <w:sz w:val="28"/>
          <w:sz w:val="28"/>
          <w:szCs w:val="28"/>
          <w:rtl w:val="true"/>
          <w:lang w:bidi="ar-SA"/>
        </w:rPr>
        <w:t xml:space="preserve">أو کِمام </w:t>
      </w:r>
      <w:r>
        <w:rPr>
          <w:rStyle w:val="FootnoteAnchor"/>
          <w:rtl w:val="true"/>
        </w:rPr>
        <w:footnoteReference w:id="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بمعنی ثمرة ذلک العام وإن وجدت فی شهر أو أقلّ، سواء فی ذلک ثمرة النخل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وسواء ضمّ إلیها شیئاً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بیعها قبل ظهورها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للغرر، ولم یخالف فیه إلّاالصدوق </w:t>
      </w:r>
      <w:r>
        <w:rPr>
          <w:rStyle w:val="FootnoteAnchor"/>
          <w:rtl w:val="true"/>
        </w:rPr>
        <w:footnoteReference w:id="896"/>
      </w:r>
      <w:r>
        <w:rPr>
          <w:rFonts w:ascii="IRNazanin" w:hAnsi="IRNazanin" w:eastAsia="IRNazanin"/>
          <w:color w:val="111111"/>
          <w:sz w:val="28"/>
          <w:sz w:val="28"/>
          <w:szCs w:val="28"/>
          <w:rtl w:val="true"/>
          <w:lang w:bidi="fa-IR"/>
        </w:rPr>
        <w:t xml:space="preserve">لصحیحة یعقوب بن شعیب عن أبی عبد اللّٰه علیه السلام الدالّة علی الجواز </w:t>
      </w:r>
      <w:r>
        <w:rPr>
          <w:rStyle w:val="FootnoteAnchor"/>
          <w:rtl w:val="true"/>
        </w:rPr>
        <w:footnoteReference w:id="897"/>
      </w:r>
      <w:r>
        <w:rPr>
          <w:rFonts w:ascii="IRNazanin" w:hAnsi="IRNazanin" w:eastAsia="IRNazanin"/>
          <w:color w:val="111111"/>
          <w:sz w:val="28"/>
          <w:sz w:val="28"/>
          <w:szCs w:val="28"/>
          <w:rtl w:val="true"/>
          <w:lang w:bidi="fa-IR"/>
        </w:rPr>
        <w:t>ولا یخلو من قوّة إن لم یثبت الإجماع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بدوّ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جوازه قبله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ضمیمة ولا زیادة عن عام ولا مع الأصل ولا بشرط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أقربه الکراهة </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الأخبار بحمل ما دلّ منها علی النهی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الآخر للأکثر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یصحّ إفراده بالبیع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یقطع بعد ذلک مع تراضیهما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بیعها 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معنی الضمیمة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المسوّغ للبیع مطلقاً أو من غیر کراهة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احمرار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بالمثنّاة من فوق مجازاً فی ثمرة النخل باعتبار ما یؤول إلیه </w:t>
      </w:r>
      <w:r>
        <w:rPr>
          <w:rStyle w:val="FootnoteAnchor"/>
          <w:rtl w:val="true"/>
        </w:rPr>
        <w:footnoteReference w:id="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اصفراره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انعقاد ثمرة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 الفواکه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فی کِمام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جمع أکِمَّة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وکسر الکاف وفتح المیم 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غطاء الثمرة والنور کالرمّان، وکذا لو کانت فی کمامین کالجوز واللوز، وهذا هو الظهور المجوّز للبیع أیضاً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یختلف بدوّ الصلاح والظهور فی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فی غیرها عند جعله تناثر الزهر بعد الانعقاد، أو تلوّن الثمرة، أو صفاء لونها، أو الحلاوة وطیب الأکل فی مثل التفّاح، أو النُضج فی مثل البطّیخ أو تناهی عِظَم بعضه فی مثل القثّاء، کما زعمه الشیخ رحمه الله فی المبسوط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بیع الخضر بعد انعقادها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یتناه عظمها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لقطة ولقطات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معلومة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یجوز شراء الثمرة الظاهرة وما یتجدّد فی تلک السنة و </w:t>
      </w:r>
      <w:r>
        <w:rPr>
          <w:rStyle w:val="FootnoteAnchor"/>
          <w:rtl w:val="true"/>
        </w:rPr>
        <w:footnoteReference w:id="902"/>
      </w:r>
      <w:r>
        <w:rPr>
          <w:rFonts w:ascii="IRNazanin" w:hAnsi="IRNazanin" w:eastAsia="IRNazanin"/>
          <w:color w:val="111111"/>
          <w:sz w:val="28"/>
          <w:sz w:val="28"/>
          <w:szCs w:val="28"/>
          <w:rtl w:val="true"/>
          <w:lang w:bidi="fa-IR"/>
        </w:rPr>
        <w:t>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ضبط السنین؛ لأنّ الظاهر </w:t>
      </w:r>
      <w:r>
        <w:rPr>
          <w:rStyle w:val="FootnoteAnchor"/>
          <w:rtl w:val="true"/>
        </w:rPr>
        <w:footnoteReference w:id="903"/>
      </w:r>
      <w:r>
        <w:rPr>
          <w:rFonts w:ascii="IRNazanin" w:hAnsi="IRNazanin" w:eastAsia="IRNazanin"/>
          <w:color w:val="111111"/>
          <w:sz w:val="28"/>
          <w:sz w:val="28"/>
          <w:szCs w:val="28"/>
          <w:rtl w:val="true"/>
          <w:lang w:bidi="fa-IR"/>
        </w:rPr>
        <w:t>منها بمنزلة الضمیمة إلی المعدوم، سواء کانت المتجدّدة من جنس الخارجة أم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فی اللقطة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دلّ علی صلاحیّته للقطع یقطع، وما دلّ علی عدمه لصغره أو شکّ فیه 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المشکوک فیه فلأصالة بقائه علی ملک مالکه وعدم دخوله فیما اُخرج باللقط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امتزجت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بالاُولی لتأخیر المشتری </w:t>
      </w:r>
      <w:r>
        <w:rPr>
          <w:rStyle w:val="FootnoteAnchor"/>
          <w:rtl w:val="true"/>
        </w:rPr>
        <w:footnoteReference w:id="904"/>
      </w:r>
      <w:r>
        <w:rPr>
          <w:rFonts w:ascii="IRNazanin" w:hAnsi="IRNazanin" w:eastAsia="IRNazanin"/>
          <w:color w:val="111111"/>
          <w:sz w:val="28"/>
          <w:sz w:val="28"/>
          <w:szCs w:val="28"/>
          <w:rtl w:val="true"/>
          <w:lang w:bidi="fa-IR"/>
        </w:rPr>
        <w:t xml:space="preserve">قطعها فی أوانه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 بین الفسخ والشرکة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للتعیّب بها، ولتعذّر تسلیم المبیع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اختار الشرکة فطریق التخلّص بالصلح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اختار الإمضاء فهل للبائع الفسخ، لعیب الشرکة؟ نظر، أقربه ذلک إذا لم یکن تأخّر القطع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قد منع المشتری منه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 إذ یکون الخیار للبائع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الاختلاط بتفریط المشتری مع تمکین البایع وقبض المشتری أمکن عدم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للمشتری؛ لأنّ التعیّب جاء من قبله فیکون درکه علیه، لا علی البایع کما لو حصل مجموع التلف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الاختلاط إن کان قبل القبض 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لحصول النقص مضموناً علی البائع کما یضمن الجملة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بعده فلا خیار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لاستقرار البیع بالقبض وبراءة البائع من درکه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لم یذکر فی الدروس غیره جازماً به </w:t>
      </w:r>
      <w:r>
        <w:rPr>
          <w:rStyle w:val="FootnoteAnchor"/>
          <w:rtl w:val="true"/>
        </w:rPr>
        <w:footnoteReference w:id="905"/>
      </w:r>
      <w:r>
        <w:rPr>
          <w:rFonts w:ascii="IRNazanin" w:hAnsi="IRNazanin" w:eastAsia="IRNazanin"/>
          <w:color w:val="111111"/>
          <w:sz w:val="28"/>
          <w:sz w:val="28"/>
          <w:szCs w:val="28"/>
          <w:rtl w:val="true"/>
          <w:lang w:bidi="fa-IR"/>
        </w:rPr>
        <w:t xml:space="preserve">وهو حسن إن لم یکن الاختلاط قبل القبض بتفریط المشتری، وإلّا فعدم الخیار له أحسن </w:t>
      </w:r>
      <w:r>
        <w:rPr>
          <w:rStyle w:val="FootnoteAnchor"/>
          <w:rtl w:val="true"/>
        </w:rPr>
        <w:footnoteReference w:id="906"/>
      </w:r>
      <w:r>
        <w:rPr>
          <w:rFonts w:ascii="IRNazanin" w:hAnsi="IRNazanin" w:eastAsia="IRNazanin"/>
          <w:color w:val="111111"/>
          <w:sz w:val="28"/>
          <w:sz w:val="28"/>
          <w:szCs w:val="28"/>
          <w:rtl w:val="true"/>
          <w:lang w:bidi="fa-IR"/>
        </w:rPr>
        <w:t>لأنّ العیب من جهته فلا یکون مضموناً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یثبت الخیار للمشتری بوجه لا یسقط ببذل البائع له ما شاء ولا الجمیع علی الأقوی؛ لأصالة بقاء الخیار وإن انتفت العلّة الموجبة له، کما لو بذل للمغبون التفاوت، ولما فی قبول المسموح به من المنّة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یجوز بیع ما یخرط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الخرط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یقبض بالید علی أعلی القضیب ثم یمرّها علیه إلی أسفله لیأخذ عنه الورق، ومنه المثل السائر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هنا ما یقصد من ثمرته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کالحنّاء والتوت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بالتاءین المثنّاتین من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خرطة وخرطات، وما یجزّ کالرطبة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الراء وسکون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الفصّة </w:t>
      </w:r>
      <w:r>
        <w:rPr>
          <w:rStyle w:val="FootnoteAnchor"/>
          <w:rtl w:val="true"/>
        </w:rPr>
        <w:footnoteReference w:id="907"/>
      </w:r>
      <w:r>
        <w:rPr>
          <w:rFonts w:ascii="IRNazanin" w:hAnsi="IRNazanin" w:eastAsia="IRNazanin"/>
          <w:color w:val="111111"/>
          <w:sz w:val="28"/>
          <w:sz w:val="28"/>
          <w:szCs w:val="28"/>
          <w:rtl w:val="true"/>
          <w:lang w:bidi="fa-IR"/>
        </w:rPr>
        <w:t xml:space="preserve">والقضب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کالنعناع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جزّة وجزّات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ولا غیره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تدخل فی بیعه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التأبیر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نقل أصل النخل بغیر البیع فکغیره من الشجر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استثناء ثمرة شجرة معیّنة أو شجرات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وجزء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والثلث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وأرطال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استثناء الجزء المشاع والأرطال المعلومة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یسقط من الثُنیا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المستثنی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بنسبته إلی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خاست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کالشجرة والشجرات، فإنّ استثناءها کبیع الباقی منفرداً، فلا یسقط منها بتلف شیء من المبیع شیء؛ لامتیاز حقّ کلّ واحد منهما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الأوّل؛ لأنّه حقّ شائع فی الجمیع فیوزّع الناقص علیهما إذا کان التلف بغیر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یفهم من هذا التوزیع تنزیل شراء صاع من الصبرة علی الإشاعة </w:t>
      </w:r>
      <w:r>
        <w:rPr>
          <w:rStyle w:val="FootnoteAnchor"/>
          <w:rtl w:val="true"/>
        </w:rPr>
        <w:footnoteReference w:id="909"/>
      </w:r>
      <w:r>
        <w:rPr>
          <w:rFonts w:ascii="Amiri" w:hAnsi="Amiri" w:eastAsia="Amiri" w:cs="Amiri"/>
          <w:color w:val="111111"/>
          <w:sz w:val="28"/>
          <w:sz w:val="28"/>
          <w:szCs w:val="28"/>
          <w:rtl w:val="true"/>
          <w:lang w:bidi="ar-SA"/>
        </w:rPr>
        <w:t xml:space="preserve">وقد تقدّم ما یرجّح عدمه </w:t>
      </w:r>
      <w:r>
        <w:rPr>
          <w:rStyle w:val="FootnoteAnchor"/>
          <w:rtl w:val="true"/>
        </w:rPr>
        <w:footnoteReference w:id="910"/>
      </w:r>
      <w:r>
        <w:rPr>
          <w:rFonts w:ascii="IRNazanin" w:hAnsi="IRNazanin" w:eastAsia="IRNazanin"/>
          <w:color w:val="111111"/>
          <w:sz w:val="28"/>
          <w:sz w:val="28"/>
          <w:szCs w:val="28"/>
          <w:rtl w:val="true"/>
          <w:lang w:bidi="fa-IR"/>
        </w:rPr>
        <w:t>ففیه سؤال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توزیع النقص علی الحصّة المشاعة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الذاهب علیهما والباقی لهما علی نسبة الجزء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الأرطال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الجملة بالتخمین وینسب إلیها المستثنی، ثم ینظر الذاهب فیسقط منه بتلک النسبة</w:t>
      </w:r>
      <w:r>
        <w:rPr>
          <w:rFonts w:eastAsia="IRNazanin" w:cs="IRNazanin"/>
          <w:color w:val="111111"/>
          <w:sz w:val="28"/>
          <w:szCs w:val="28"/>
          <w:rtl w:val="true"/>
          <w:lang w:bidi="fa-IR"/>
        </w:rPr>
        <w:t>.</w:t>
      </w:r>
      <w:bookmarkStart w:id="339" w:name="pg19812_249441"/>
    </w:p>
    <w:p>
      <w:pPr>
        <w:pStyle w:val="Heading4"/>
        <w:numPr>
          <w:ilvl w:val="3"/>
          <w:numId w:val="1"/>
        </w:numPr>
        <w:rPr/>
      </w:pPr>
      <w:bookmarkStart w:id="340" w:name="__RefHeading___Toc2093000_2314609296"/>
      <w:bookmarkStart w:id="341" w:name="_Toc123"/>
      <w:bookmarkEnd w:id="339"/>
      <w:bookmarkEnd w:id="340"/>
      <w:r>
        <w:rPr>
          <w:rtl w:val="true"/>
        </w:rPr>
        <w:t>[</w:t>
      </w:r>
      <w:r>
        <w:rPr>
          <w:rtl w:val="true"/>
        </w:rPr>
        <w:t xml:space="preserve">مسائل </w:t>
      </w:r>
      <w:r>
        <w:rPr>
          <w:rtl w:val="true"/>
        </w:rPr>
        <w:t>]</w:t>
      </w:r>
      <w:bookmarkEnd w:id="341"/>
    </w:p>
    <w:p>
      <w:pPr>
        <w:pStyle w:val="Heading5"/>
        <w:numPr>
          <w:ilvl w:val="4"/>
          <w:numId w:val="1"/>
        </w:numPr>
        <w:rPr/>
      </w:pPr>
      <w:bookmarkStart w:id="342" w:name="__RefHeading___Toc2093002_2314609296"/>
      <w:bookmarkStart w:id="343" w:name="_Toc124"/>
      <w:bookmarkEnd w:id="342"/>
      <w:r>
        <w:rPr>
          <w:rtl w:val="true"/>
        </w:rPr>
        <w:t>[</w:t>
      </w:r>
      <w:r>
        <w:rPr>
          <w:rtl w:val="true"/>
        </w:rPr>
        <w:t>الاولی</w:t>
      </w:r>
      <w:r>
        <w:rPr>
          <w:rtl w:val="true"/>
        </w:rPr>
        <w:t xml:space="preserve">: </w:t>
      </w:r>
      <w:r>
        <w:rPr>
          <w:rtl w:val="true"/>
        </w:rPr>
        <w:t>عدم جواز بیع الثمرة بجنسها علی اصولها</w:t>
      </w:r>
      <w:r>
        <w:rPr>
          <w:rtl w:val="true"/>
        </w:rPr>
        <w:t>]</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الثمرة بجنسها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نوعها الخاصّ کالعنب بالعنب والزبیب، والرطب بالرطب والتمر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جمعها فیصحّ مع التساوی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المبیع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الثمار، إجماعاً فی الأوّل وعلی المشهور فی الثانی، تعدیة للعلّة المنصوصة فی المنع من بیع الرطب بالتمر </w:t>
      </w:r>
      <w:r>
        <w:rPr>
          <w:rStyle w:val="FootnoteAnchor"/>
          <w:rtl w:val="true"/>
        </w:rPr>
        <w:footnoteReference w:id="912"/>
      </w:r>
      <w:r>
        <w:rPr>
          <w:rFonts w:ascii="IRNazanin" w:hAnsi="IRNazanin" w:eastAsia="IRNazanin"/>
          <w:color w:val="111111"/>
          <w:sz w:val="28"/>
          <w:sz w:val="28"/>
          <w:szCs w:val="28"/>
          <w:rtl w:val="true"/>
          <w:lang w:bidi="fa-IR"/>
        </w:rPr>
        <w:t>وهی نقصانه عند الجفاف إن بیعت بیابس، وتطرّق احتمال الزیادة فی کلّ من العوضین الربویّین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المنع بین کون الثمن منها ومن غیرها، وإن کان الأوّل أظهر منعاً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فی النخل 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مفاعلة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الدفع،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لبنائها علی التخمین المقتضی للغبن، فیرید المغبون دفعه والغابن خلافه، فیتدافعان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 التعریف بالنخل، للنصّ علیه بخصوصه مفسّراً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عبد الرحمن بن أبی عبد اللّٰه عن الصادق علیه السلام </w:t>
      </w:r>
      <w:r>
        <w:rPr>
          <w:rStyle w:val="FootnoteAnchor"/>
          <w:rtl w:val="true"/>
        </w:rPr>
        <w:footnoteReference w:id="913"/>
      </w:r>
      <w:r>
        <w:rPr>
          <w:rFonts w:ascii="IRNazanin" w:hAnsi="IRNazanin" w:eastAsia="IRNazanin"/>
          <w:color w:val="111111"/>
          <w:sz w:val="28"/>
          <w:sz w:val="28"/>
          <w:szCs w:val="28"/>
          <w:rtl w:val="true"/>
          <w:lang w:bidi="fa-IR"/>
        </w:rPr>
        <w:t xml:space="preserve">واُلحق به غیره، لما ذکرناه </w:t>
      </w:r>
      <w:r>
        <w:rPr>
          <w:rStyle w:val="FootnoteAnchor"/>
          <w:rtl w:val="true"/>
        </w:rPr>
        <w:footnoteReference w:id="914"/>
      </w:r>
      <w:r>
        <w:rPr>
          <w:rFonts w:ascii="IRNazanin" w:hAnsi="IRNazanin" w:eastAsia="IRNazanin"/>
          <w:color w:val="111111"/>
          <w:sz w:val="28"/>
          <w:sz w:val="28"/>
          <w:szCs w:val="28"/>
          <w:rtl w:val="true"/>
          <w:lang w:bidi="fa-IR"/>
        </w:rPr>
        <w:t>وفی إلحاق الیابس وجه، والرَطب نظر</w:t>
      </w:r>
      <w:r>
        <w:rPr>
          <w:rFonts w:eastAsia="IRNazanin" w:cs="IRNazanin"/>
          <w:color w:val="111111"/>
          <w:sz w:val="28"/>
          <w:szCs w:val="28"/>
          <w:rtl w:val="true"/>
          <w:lang w:bidi="fa-IR"/>
        </w:rPr>
        <w:t>.</w:t>
      </w:r>
      <w:bookmarkStart w:id="344" w:name="pg19812_249442"/>
    </w:p>
    <w:p>
      <w:pPr>
        <w:pStyle w:val="BookText"/>
        <w:rPr/>
      </w:pPr>
      <w:bookmarkEnd w:id="3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السنبل بحبّ منه أو من غیره من جنسه، ویسمّی محاقلة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الحَقل جمع حَقلة </w:t>
      </w:r>
      <w:r>
        <w:rPr>
          <w:rStyle w:val="FootnoteAnchor"/>
          <w:rtl w:val="true"/>
        </w:rPr>
        <w:footnoteReference w:id="915"/>
      </w:r>
      <w:r>
        <w:rPr>
          <w:rFonts w:ascii="IRNazanin" w:hAnsi="IRNazanin" w:eastAsia="IRNazanin"/>
          <w:color w:val="111111"/>
          <w:sz w:val="28"/>
          <w:sz w:val="28"/>
          <w:szCs w:val="28"/>
          <w:rtl w:val="true"/>
          <w:lang w:bidi="fa-IR"/>
        </w:rPr>
        <w:t>وهی الساحة التی تزرع، سمّیت بذلک لتعلّقها بزرع فی حقلة، وخرج بالسنبل بیعه قبل ظهور الحبّ، فإنّه جائز؛ لأنّه حینئذ غیر مطعوم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إلّاالعریّة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استثناء من تحریم بیع المزابنة، والمراد بها النخلة تکون فی دار الإنسان أو بستانه، فیشتری مالکهما أو مستأجرهما أو مستعیرهما رُطَبَها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بخرصها تمراً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 موصوفاً حالاًّ، وإن لم یقبض فی المجلس، أو بلغت خمسة أوسق </w:t>
      </w:r>
      <w:r>
        <w:rPr>
          <w:rStyle w:val="FootnoteAnchor"/>
          <w:rtl w:val="true"/>
        </w:rPr>
        <w:footnoteReference w:id="916"/>
      </w:r>
      <w:r>
        <w:rPr>
          <w:rFonts w:ascii="IRNazanin" w:hAnsi="IRNazanin" w:eastAsia="IRNazanin"/>
          <w:color w:val="111111"/>
          <w:sz w:val="28"/>
          <w:sz w:val="28"/>
          <w:szCs w:val="28"/>
          <w:rtl w:val="true"/>
          <w:lang w:bidi="fa-IR"/>
        </w:rPr>
        <w:t>ولا یجوز بتمر منها؛ لئلّا یتّحد العوضان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مطابقة ثمرتها جافّة لثمنها فی الواقع، بل تکفی المطابقة ظنّاً، فلو زادت عند الجفاف عنه أو نقصت لم یقدح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عریّة فی غیر النخل، فإن ألحقناه بالمزابنة وإلّا لم یتقیّد بقیودها</w:t>
      </w:r>
      <w:r>
        <w:rPr>
          <w:rFonts w:eastAsia="IRNazanin" w:cs="IRNazanin"/>
          <w:color w:val="111111"/>
          <w:sz w:val="28"/>
          <w:szCs w:val="28"/>
          <w:rtl w:val="true"/>
          <w:lang w:bidi="fa-IR"/>
        </w:rPr>
        <w:t>.</w:t>
      </w:r>
    </w:p>
    <w:p>
      <w:pPr>
        <w:pStyle w:val="Heading5"/>
        <w:numPr>
          <w:ilvl w:val="4"/>
          <w:numId w:val="1"/>
        </w:numPr>
        <w:rPr/>
      </w:pPr>
      <w:bookmarkStart w:id="345" w:name="__RefHeading___Toc2093004_2314609296"/>
      <w:bookmarkStart w:id="346" w:name="_Toc125"/>
      <w:bookmarkEnd w:id="345"/>
      <w:r>
        <w:rPr>
          <w:rtl w:val="true"/>
        </w:rPr>
        <w:t>[</w:t>
      </w:r>
      <w:r>
        <w:rPr>
          <w:rtl w:val="true"/>
        </w:rPr>
        <w:t>الثانیة</w:t>
      </w:r>
      <w:r>
        <w:rPr>
          <w:rtl w:val="true"/>
        </w:rPr>
        <w:t xml:space="preserve">: </w:t>
      </w:r>
      <w:r>
        <w:rPr>
          <w:rtl w:val="true"/>
        </w:rPr>
        <w:t>جواز بیع الزرع قائما</w:t>
      </w:r>
      <w:r>
        <w:rPr>
          <w:rtl w:val="true"/>
        </w:rPr>
        <w:t>]</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الزرع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اُصوله سواء أحصد </w:t>
      </w:r>
      <w:r>
        <w:rPr>
          <w:rStyle w:val="FootnoteAnchor"/>
          <w:rtl w:val="true"/>
        </w:rPr>
        <w:footnoteReference w:id="917"/>
      </w:r>
      <w:r>
        <w:rPr>
          <w:rFonts w:ascii="IRNazanin" w:hAnsi="IRNazanin" w:eastAsia="IRNazanin"/>
          <w:color w:val="111111"/>
          <w:sz w:val="28"/>
          <w:sz w:val="28"/>
          <w:szCs w:val="28"/>
          <w:rtl w:val="true"/>
          <w:lang w:bidi="fa-IR"/>
        </w:rPr>
        <w:t xml:space="preserve">أم لا، قُصد قصله أم لا؛ لأنّه قابل للعلم مملوک فتتناوله </w:t>
      </w:r>
      <w:r>
        <w:rPr>
          <w:rStyle w:val="FootnoteAnchor"/>
          <w:rtl w:val="true"/>
        </w:rPr>
        <w:footnoteReference w:id="918"/>
      </w:r>
      <w:r>
        <w:rPr>
          <w:rFonts w:ascii="IRNazanin" w:hAnsi="IRNazanin" w:eastAsia="IRNazanin"/>
          <w:color w:val="111111"/>
          <w:sz w:val="28"/>
          <w:sz w:val="28"/>
          <w:szCs w:val="28"/>
          <w:rtl w:val="true"/>
          <w:lang w:bidi="fa-IR"/>
        </w:rPr>
        <w:t>الأدلّة، خلافاً للصدوق حیث شرط کونه</w:t>
      </w:r>
    </w:p>
    <w:p>
      <w:pPr>
        <w:pStyle w:val="BookText"/>
        <w:rPr/>
      </w:pPr>
      <w:r>
        <w:rPr>
          <w:rFonts w:ascii="IRNazanin" w:hAnsi="IRNazanin" w:eastAsia="IRNazanin"/>
          <w:color w:val="111111"/>
          <w:sz w:val="28"/>
          <w:sz w:val="28"/>
          <w:szCs w:val="28"/>
          <w:rtl w:val="true"/>
          <w:lang w:bidi="fa-IR"/>
        </w:rPr>
        <w:t xml:space="preserve">سنبلاً أو القصل </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محصوداً وإن لم یعلم مقدار ما فیه؛ لأنّه حینئذ غیر مکیل ولا موزون، بل یکفی فی معرفته المشاهدة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مقطوعاً بالقوّة، بأن شرط قطعه قبل أن یحصد لعلف الدوابّ، فإذا باعه کذلک وجب علی المشتری قصله بحسب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یقصله المشتری فللبائع قصله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وتفریغ أرضه منه؛ لأنّه حینئذ ظالم، ولا حقّ لعرق ظالم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المطالبة باُجرة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المدّة التی بقی فیها بعد إمکان قصله مع الإطلاق، وبعد المدة التی شرطا قصله فیها مع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شراؤه قبل أوان قصله وجب علی البائع الصبر إلی أوانه مع الإطلاق، کما لو باع الثمرة والزرع للحصاد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الإطلاق جواز تولّی البائع قطعه مع امتناع المشتری منه وإن قدر علی الحاکم، وکذا أطلق جماعة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توقّفه علی إذنه حیث یمتنع المشتری مع إمکانه، فإن تعذّر جاز له حینئذ مباشرة القطع، دفعاً للضرر المنفیّ </w:t>
      </w:r>
      <w:r>
        <w:rPr>
          <w:rStyle w:val="FootnoteAnchor"/>
          <w:rtl w:val="true"/>
        </w:rPr>
        <w:footnoteReference w:id="922"/>
      </w:r>
      <w:r>
        <w:rPr>
          <w:rFonts w:ascii="IRNazanin" w:hAnsi="IRNazanin" w:eastAsia="IRNazanin"/>
          <w:color w:val="111111"/>
          <w:sz w:val="28"/>
          <w:sz w:val="28"/>
          <w:szCs w:val="28"/>
          <w:rtl w:val="true"/>
          <w:lang w:bidi="fa-IR"/>
        </w:rPr>
        <w:t>وله إبقاؤه والمطالبة باُجرة الأرض عن زمن العدوان، وأرش الأرض إن نقصت بسببه إذا کان التأخیر بغیر رضاه</w:t>
      </w:r>
      <w:r>
        <w:rPr>
          <w:rFonts w:eastAsia="IRNazanin" w:cs="IRNazanin"/>
          <w:color w:val="111111"/>
          <w:sz w:val="28"/>
          <w:szCs w:val="28"/>
          <w:rtl w:val="true"/>
          <w:lang w:bidi="fa-IR"/>
        </w:rPr>
        <w:t>.</w:t>
      </w:r>
      <w:bookmarkStart w:id="347" w:name="pg19812_249444"/>
    </w:p>
    <w:p>
      <w:pPr>
        <w:pStyle w:val="Heading5"/>
        <w:numPr>
          <w:ilvl w:val="4"/>
          <w:numId w:val="1"/>
        </w:numPr>
        <w:rPr/>
      </w:pPr>
      <w:bookmarkStart w:id="348" w:name="__RefHeading___Toc2093006_2314609296"/>
      <w:bookmarkStart w:id="349" w:name="_Toc126"/>
      <w:bookmarkEnd w:id="347"/>
      <w:bookmarkEnd w:id="348"/>
      <w:r>
        <w:rPr>
          <w:rtl w:val="true"/>
        </w:rPr>
        <w:t>[</w:t>
      </w:r>
      <w:r>
        <w:rPr>
          <w:rtl w:val="true"/>
        </w:rPr>
        <w:t>الثالثة</w:t>
      </w:r>
      <w:r>
        <w:rPr>
          <w:rtl w:val="true"/>
        </w:rPr>
        <w:t xml:space="preserve">: </w:t>
      </w:r>
      <w:r>
        <w:rPr>
          <w:rtl w:val="true"/>
        </w:rPr>
        <w:t>جواز تقبل احد الشریکین بحصة صاحبه من الثمرة</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یتقبّل أحد الشریکین بحصّة صاحبه من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بخرص معلوم وإن کان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لم یشترط فیه شروط البیع، بل معاملة مستقلّة، وفی الدروس أ نّه نوع من الصلح </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بشرط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صلحاً للزم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المصنّف رحمه الله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الصیغة بلفظ القَبالة </w:t>
      </w:r>
      <w:r>
        <w:rPr>
          <w:rStyle w:val="FootnoteAnchor"/>
          <w:rtl w:val="true"/>
        </w:rPr>
        <w:footnoteReference w:id="924"/>
      </w:r>
      <w:r>
        <w:rPr>
          <w:rFonts w:ascii="IRNazanin" w:hAnsi="IRNazanin" w:eastAsia="IRNazanin"/>
          <w:color w:val="111111"/>
          <w:sz w:val="28"/>
          <w:sz w:val="28"/>
          <w:szCs w:val="28"/>
          <w:rtl w:val="true"/>
          <w:lang w:bidi="fa-IR"/>
        </w:rPr>
        <w:t xml:space="preserve">وظاهر الأخبار </w:t>
      </w:r>
      <w:r>
        <w:rPr>
          <w:rStyle w:val="FootnoteAnchor"/>
          <w:rtl w:val="true"/>
        </w:rPr>
        <w:footnoteReference w:id="925"/>
      </w:r>
      <w:r>
        <w:rPr>
          <w:rFonts w:ascii="Amiri" w:hAnsi="Amiri" w:eastAsia="Amiri" w:cs="Amiri"/>
          <w:color w:val="111111"/>
          <w:sz w:val="28"/>
          <w:sz w:val="28"/>
          <w:szCs w:val="28"/>
          <w:rtl w:val="true"/>
          <w:lang w:bidi="ar-SA"/>
        </w:rPr>
        <w:t>تأدّیه بما دلّ علی ما اتّفقا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ویملک المتقبّل </w:t>
      </w:r>
      <w:r>
        <w:rPr>
          <w:rStyle w:val="FootnoteAnchor"/>
          <w:rtl w:val="true"/>
        </w:rPr>
        <w:footnoteReference w:id="926"/>
      </w:r>
      <w:r>
        <w:rPr>
          <w:rFonts w:ascii="IRNazanin" w:hAnsi="IRNazanin" w:eastAsia="IRNazanin"/>
          <w:color w:val="111111"/>
          <w:sz w:val="28"/>
          <w:sz w:val="28"/>
          <w:szCs w:val="28"/>
          <w:rtl w:val="true"/>
          <w:lang w:bidi="fa-IR"/>
        </w:rPr>
        <w:t>الزائد ویلزمه لو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 بأنّ قراره مشروط بالسلامة فوجهه غیر واضح، والنصّ خال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وتوجیهه بأنّ المتقبّل </w:t>
      </w:r>
      <w:r>
        <w:rPr>
          <w:rStyle w:val="FootnoteAnchor"/>
          <w:rtl w:val="true"/>
        </w:rPr>
        <w:footnoteReference w:id="927"/>
      </w:r>
      <w:r>
        <w:rPr>
          <w:rFonts w:ascii="IRNazanin" w:hAnsi="IRNazanin" w:eastAsia="IRNazanin"/>
          <w:color w:val="111111"/>
          <w:sz w:val="28"/>
          <w:sz w:val="28"/>
          <w:szCs w:val="28"/>
          <w:rtl w:val="true"/>
          <w:lang w:bidi="fa-IR"/>
        </w:rPr>
        <w:t>لمّا رضی بحصّة معیّنة فی العین صار بمنزلة الشریک،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العوض غیر لازم کونه منها، وإن جاز ذلک فالرضا بالقدر، لا به مشترکاً، إلّاأن ینزّل علی الإشاعة کما تقدّم </w:t>
      </w:r>
      <w:r>
        <w:rPr>
          <w:rStyle w:val="FootnoteAnchor"/>
          <w:rtl w:val="true"/>
        </w:rPr>
        <w:footnoteReference w:id="928"/>
      </w:r>
      <w:r>
        <w:rPr>
          <w:rFonts w:ascii="IRNazanin" w:hAnsi="IRNazanin" w:eastAsia="IRNazanin"/>
          <w:color w:val="111111"/>
          <w:sz w:val="28"/>
          <w:sz w:val="28"/>
          <w:szCs w:val="28"/>
          <w:rtl w:val="true"/>
          <w:lang w:bidi="fa-IR"/>
        </w:rPr>
        <w:t>ولو کان النقصان لا بآفة بل لخلل فی الخرص لم ینقص شیء، کما لا ینقص لو کان بتفریط المتقبّل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الأصحاب سدّ باب هذه المعاملة، لمخالفتها للاُصول الشرعیّة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أصلها ثابت، ولزومها مقتضی العقد، وباقی فروعها لا دلیل علیه</w:t>
      </w:r>
      <w:r>
        <w:rPr>
          <w:rFonts w:eastAsia="IRNazanin" w:cs="IRNazanin"/>
          <w:color w:val="111111"/>
          <w:sz w:val="28"/>
          <w:szCs w:val="28"/>
          <w:rtl w:val="true"/>
          <w:lang w:bidi="fa-IR"/>
        </w:rPr>
        <w:t>.</w:t>
      </w:r>
      <w:bookmarkStart w:id="350" w:name="pg19812_249445"/>
    </w:p>
    <w:p>
      <w:pPr>
        <w:pStyle w:val="Heading5"/>
        <w:numPr>
          <w:ilvl w:val="4"/>
          <w:numId w:val="1"/>
        </w:numPr>
        <w:rPr/>
      </w:pPr>
      <w:bookmarkStart w:id="351" w:name="__RefHeading___Toc2093008_2314609296"/>
      <w:bookmarkStart w:id="352" w:name="_Toc127"/>
      <w:bookmarkEnd w:id="350"/>
      <w:bookmarkEnd w:id="351"/>
      <w:r>
        <w:rPr>
          <w:rtl w:val="true"/>
        </w:rPr>
        <w:t>[</w:t>
      </w:r>
      <w:r>
        <w:rPr>
          <w:rtl w:val="true"/>
        </w:rPr>
        <w:t>الرابعة</w:t>
      </w:r>
      <w:r>
        <w:rPr>
          <w:rtl w:val="true"/>
        </w:rPr>
        <w:t xml:space="preserve">: </w:t>
      </w:r>
      <w:r>
        <w:rPr>
          <w:rtl w:val="true"/>
        </w:rPr>
        <w:t>حکم اکل الماره</w:t>
      </w:r>
      <w:r>
        <w:rPr>
          <w:rtl w:val="true"/>
        </w:rPr>
        <w:t>]</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الأکل ممّا یمرّ به من ثمر النخل والفواکه والزرع، بشرط عدم القصد وعدم 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أصل الجواز فعلیه الأکثر </w:t>
      </w:r>
      <w:r>
        <w:rPr>
          <w:rStyle w:val="FootnoteAnchor"/>
          <w:rtl w:val="true"/>
        </w:rPr>
        <w:footnoteReference w:id="930"/>
      </w:r>
      <w:r>
        <w:rPr>
          <w:rFonts w:ascii="IRNazanin" w:hAnsi="IRNazanin" w:eastAsia="IRNazanin"/>
          <w:color w:val="111111"/>
          <w:sz w:val="28"/>
          <w:sz w:val="28"/>
          <w:szCs w:val="28"/>
          <w:rtl w:val="true"/>
          <w:lang w:bidi="fa-IR"/>
        </w:rPr>
        <w:t xml:space="preserve">ورواه ابن أبی عمیر مرسلاً عن الصادق علیه السلام </w:t>
      </w:r>
      <w:r>
        <w:rPr>
          <w:rStyle w:val="FootnoteAnchor"/>
          <w:rtl w:val="true"/>
        </w:rPr>
        <w:footnoteReference w:id="931"/>
      </w:r>
      <w:r>
        <w:rPr>
          <w:rFonts w:ascii="IRNazanin" w:hAnsi="IRNazanin" w:eastAsia="IRNazanin"/>
          <w:color w:val="111111"/>
          <w:sz w:val="28"/>
          <w:sz w:val="28"/>
          <w:szCs w:val="28"/>
          <w:rtl w:val="true"/>
          <w:lang w:bidi="fa-IR"/>
        </w:rPr>
        <w:t xml:space="preserve">ورواه غیره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اشتراط عدم القصد فلدلالة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کون الطریق قریبة منها بحیث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لا أن یکون طریقه علی نفس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الشرط الثانی فرواه عبد اللّٰه بن سنان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منها ولا یفسد</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والمراد به أن یأکل کثیراً بحیث یؤثّر فیها أثراً بیّناً ویصدق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ویختلف ذلک بکثرة الثمرة والمارّة وقلّتهما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بعضهم عدم علم الکراهة ولا ظنّها، وکون الثمرة علی الشجرة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أن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شیئاً منها وإن قلّ؛ للنهی عنه صریحاً فی الأخبار </w:t>
      </w:r>
      <w:r>
        <w:rPr>
          <w:rStyle w:val="FootnoteAnchor"/>
          <w:rtl w:val="true"/>
        </w:rPr>
        <w:footnoteReference w:id="935"/>
      </w:r>
      <w:r>
        <w:rPr>
          <w:rFonts w:ascii="IRNazanin" w:hAnsi="IRNazanin" w:eastAsia="IRNazanin"/>
          <w:color w:val="111111"/>
          <w:sz w:val="28"/>
          <w:sz w:val="28"/>
          <w:szCs w:val="28"/>
          <w:rtl w:val="true"/>
          <w:lang w:bidi="fa-IR"/>
        </w:rPr>
        <w:t>ومثله أن یطعم أصحابه، وقوفاً فیما خالف الأصل علی موضع الرخصة، وهو أکله بالشرط</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وترکه بالکلّیة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 فیه، ولما روی أیضاً من المنع منه </w:t>
      </w:r>
      <w:r>
        <w:rPr>
          <w:rStyle w:val="FootnoteAnchor"/>
          <w:rtl w:val="true"/>
        </w:rPr>
        <w:footnoteReference w:id="936"/>
      </w:r>
      <w:r>
        <w:rPr>
          <w:rFonts w:ascii="IRNazanin" w:hAnsi="IRNazanin" w:eastAsia="IRNazanin"/>
          <w:color w:val="111111"/>
          <w:sz w:val="28"/>
          <w:sz w:val="28"/>
          <w:szCs w:val="28"/>
          <w:rtl w:val="true"/>
          <w:lang w:bidi="fa-IR"/>
        </w:rPr>
        <w:t xml:space="preserve">مع اعتضاده بنصّ الکتاب </w:t>
      </w:r>
      <w:r>
        <w:rPr>
          <w:rStyle w:val="FootnoteAnchor"/>
          <w:rtl w:val="true"/>
        </w:rPr>
        <w:footnoteReference w:id="937"/>
      </w:r>
      <w:r>
        <w:rPr>
          <w:rFonts w:ascii="IRNazanin" w:hAnsi="IRNazanin" w:eastAsia="IRNazanin"/>
          <w:color w:val="111111"/>
          <w:sz w:val="28"/>
          <w:sz w:val="28"/>
          <w:szCs w:val="28"/>
          <w:rtl w:val="true"/>
          <w:lang w:bidi="fa-IR"/>
        </w:rPr>
        <w:t xml:space="preserve">الدالّ علی النهی عن أکل أموال الناس بالباطل وبغیر تراض، ولقبح التصرّف فی مال الغیر، وباشتمال أخبار النهی علی الحظر، وهو مقدّم علی ما تضمّن الإباحة والرخصة، ولمنع کثیر من العمل بخبر الواحد فیما وافق الأصل فکیف فیما خالفه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bookmarkStart w:id="353" w:name="pg19812_249448"/>
    </w:p>
    <w:p>
      <w:pPr>
        <w:pStyle w:val="Heading3"/>
        <w:numPr>
          <w:ilvl w:val="2"/>
          <w:numId w:val="1"/>
        </w:numPr>
        <w:rPr/>
      </w:pPr>
      <w:bookmarkStart w:id="354" w:name="__RefHeading___Toc2093010_2314609296"/>
      <w:bookmarkStart w:id="355" w:name="_Toc128"/>
      <w:bookmarkEnd w:id="353"/>
      <w:bookmarkEnd w:id="354"/>
      <w:r>
        <w:rPr>
          <w:rtl w:val="true"/>
        </w:rPr>
        <w:t>«</w:t>
      </w:r>
      <w:r>
        <w:rPr>
          <w:rtl w:val="true"/>
        </w:rPr>
        <w:t>الفصل الخامس</w:t>
      </w:r>
      <w:r>
        <w:rPr>
          <w:rtl w:val="true"/>
        </w:rPr>
        <w:t>» «</w:t>
      </w:r>
      <w:r>
        <w:rPr>
          <w:rtl w:val="true"/>
        </w:rPr>
        <w:t>فی الصرف</w:t>
      </w:r>
      <w:r>
        <w:rPr>
          <w:rtl w:val="true"/>
        </w:rPr>
        <w:t>»</w:t>
      </w:r>
      <w:bookmarkEnd w:id="355"/>
    </w:p>
    <w:p>
      <w:pPr>
        <w:pStyle w:val="Heading4"/>
        <w:numPr>
          <w:ilvl w:val="3"/>
          <w:numId w:val="1"/>
        </w:numPr>
        <w:rPr/>
      </w:pPr>
      <w:bookmarkStart w:id="356" w:name="__RefHeading___Toc2093012_2314609296"/>
      <w:bookmarkStart w:id="357" w:name="_Toc129"/>
      <w:bookmarkEnd w:id="356"/>
      <w:r>
        <w:rPr>
          <w:rtl w:val="true"/>
        </w:rPr>
        <w:t>اشارة</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بیع الأثمان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الذهب والفضّة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غیره من أفراد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التقابض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 فیه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اصطحابهما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المشی عرفاً وإن فارقاه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ویصدق الاصطحاب بعدم زیادة المسافة التی بینهما عنها وقت العقد، فلو زادت ولو خطوة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رضا الغریم الذی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آخر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ذمّة المدیون الذی هو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مقبوضاً، أقام المصدر مقام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فی ذمّته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یصیر بمنزلة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لزید فی ذمّة عمرو دینار فیشتری زید من عمرو بالدینار عشرة دراهم فی ذمّته ویوکلّه فی قبضها فی الذمّة بمعنی رضاه بکونها فی ذمّته، فإنّ البیع والقبض صحیحان؛ لأنّ ما فی الذمّة بمنزلة المقبوض بید من هو فی ذمّته، فإذا جعله وکیلاً فی القبض صار کأ نّه قابض لما فی ذمّته، فصدق التقابض قبل التفرّق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 هذه المسألة ما روی فی من قال لمن فی ذمّته دراهم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حوّلها</w:t>
      </w:r>
    </w:p>
    <w:p>
      <w:pPr>
        <w:pStyle w:val="BookText"/>
        <w:rPr/>
      </w:pPr>
      <w:r>
        <w:rPr>
          <w:rFonts w:ascii="IRNazanin" w:hAnsi="IRNazanin" w:eastAsia="IRNazanin"/>
          <w:color w:val="111111"/>
          <w:sz w:val="28"/>
          <w:sz w:val="28"/>
          <w:szCs w:val="28"/>
          <w:rtl w:val="true"/>
          <w:lang w:bidi="fa-IR"/>
        </w:rPr>
        <w:t>إلی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یصحّ وإن لم یتقابضا، معلّلاً بأنّ النقدین من واحد </w:t>
      </w:r>
      <w:r>
        <w:rPr>
          <w:rStyle w:val="FootnoteAnchor"/>
          <w:rtl w:val="true"/>
        </w:rPr>
        <w:footnoteReference w:id="939"/>
      </w:r>
      <w:r>
        <w:rPr>
          <w:rFonts w:ascii="IRNazanin" w:hAnsi="IRNazanin" w:eastAsia="IRNazanin"/>
          <w:color w:val="111111"/>
          <w:sz w:val="28"/>
          <w:sz w:val="28"/>
          <w:szCs w:val="28"/>
          <w:rtl w:val="true"/>
          <w:lang w:bidi="fa-IR"/>
        </w:rPr>
        <w:t xml:space="preserve">والمصنّف رحمه الله عدل عن ظاهر الروایة إلی الشراء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والتوکیل صریحاً </w:t>
      </w:r>
      <w:r>
        <w:rPr>
          <w:rStyle w:val="FootnoteAnchor"/>
          <w:rtl w:val="true"/>
        </w:rPr>
        <w:footnoteReference w:id="940"/>
      </w:r>
      <w:r>
        <w:rPr>
          <w:rFonts w:ascii="IRNazanin" w:hAnsi="IRNazanin" w:eastAsia="IRNazanin"/>
          <w:color w:val="111111"/>
          <w:sz w:val="28"/>
          <w:sz w:val="28"/>
          <w:szCs w:val="28"/>
          <w:rtl w:val="true"/>
          <w:lang w:bidi="fa-IR"/>
        </w:rPr>
        <w:t xml:space="preserve">فی القبض والرضا فیه بکونه فی ذمّة الوکیل القابض؛ لاحتیاج الروایة إلی تکلّف إرادة هذه الشروط بجعل الأمر بالتحویل توکیلاً فی تولّی طرفی العقد، وبنائه </w:t>
      </w:r>
      <w:r>
        <w:rPr>
          <w:rStyle w:val="FootnoteAnchor"/>
          <w:rtl w:val="true"/>
        </w:rPr>
        <w:footnoteReference w:id="941"/>
      </w:r>
      <w:r>
        <w:rPr>
          <w:rFonts w:ascii="IRNazanin" w:hAnsi="IRNazanin" w:eastAsia="IRNazanin"/>
          <w:color w:val="111111"/>
          <w:sz w:val="28"/>
          <w:sz w:val="28"/>
          <w:szCs w:val="28"/>
          <w:rtl w:val="true"/>
          <w:lang w:bidi="fa-IR"/>
        </w:rPr>
        <w:t>علی صحّته وصحّة القبض إذا توقّف البیع علیه بمجرّد التوکیل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التوکیل فی شیء إذن فی لوازمه التی یتوقّف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ذلک أمراً خفیّاً عدل المصنّف رحمه الله إلی التصریح بالشروط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قبض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قبل التفرّق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ذلک البعض المقبوض وبطل فی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فی إجازة ما صحّ فیه وفسخه؛ لتبّعض الصفقة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من أحدهما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تأخیر القبض، ولو کان تأخیره بتفریطهما فلا خیار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اختصّ أحدهما به سقط خیاره، دون الآخر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قبض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القبض عنهما أو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العقد قبل تفرّق المتعاقدین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اعتبار بتفرّق الوکیل وأحدهما أو هما، أو الوکیلین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 مجلس العقد ما تقدّم </w:t>
      </w:r>
      <w:r>
        <w:rPr>
          <w:rStyle w:val="FootnoteAnchor"/>
          <w:rtl w:val="true"/>
        </w:rPr>
        <w:footnoteReference w:id="942"/>
      </w:r>
      <w:r>
        <w:rPr>
          <w:rFonts w:ascii="IRNazanin" w:hAnsi="IRNazanin" w:eastAsia="IRNazanin"/>
          <w:color w:val="111111"/>
          <w:sz w:val="28"/>
          <w:sz w:val="28"/>
          <w:szCs w:val="28"/>
          <w:rtl w:val="true"/>
          <w:lang w:bidi="fa-IR"/>
        </w:rPr>
        <w:t>فکان یغنی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تفرّق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لشمول الثانی لما فی حکم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وکیلاً فی القبض، دون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وکیلاً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مع ذلک وکیلاً فی القبض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وقع العقد معه، دون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التقابض قبل تفرّق المتعاقدین، سواء کانا مالکین أم وکیلین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التفاضل فی الجنس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حینئذ یجمع حکم الربا والصرف، فیعتبر فیه التقابض فی المجلس نظراً إلی الصرف، وعدم التفاضل نظراً إلی الربا، سواء اتّفقا فی الجودة والرداءة والصفة أم اختلفا،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أحدهما مکسوراً أو ردیئاً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صحیحاً أو جیّد الجوهر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وتراب معدن أحدهما یباع بالآخر أو بجنسٍ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بجنسه؛ لاحتمال زیادة أحد العوضین عن الآخر، فیدخل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زیادة الثمن عمّا فی التراب من جنسه لم یصحّ هنا وإن صحّ فی المغشوش بغیره؛ لأنّ التراب لا قیمة له لیصلح فی مقابلة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وتراباهما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جُمعا أو اُرید بیعهما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فینصرف کلّ إلی مخالفه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بیعهما بأحدهما مع زیادة الثمن علی مجانسه بما یصلح عوضاً فی مقابل الآخر، وأولی منهما بیعهما بغیرهما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عبرة بالیسیر من الذهب فی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والیسیر من الفضّة فی الرصاص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یمنع من صحّة البیع بذلک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یعلم زیادة الثمن عن ذلک الیسیر ولم یقبض فی المجلس ما یساویه؛ لأنّه مضمحلّ وتابع غیر مقصود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المنقوش منهما علی السقوف والجدران بحیث لا یحصل منه شیء یعتدّ به علی تقدیر نزعه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المنع من الزیادة فی أحد المتجانسین بین العینیّة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الزیادة فی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والحکمیّة کما لو بیع المتساویان وشرط مع أحدهما شرطاً </w:t>
      </w:r>
      <w:r>
        <w:rPr>
          <w:rStyle w:val="FootnoteAnchor"/>
          <w:rtl w:val="true"/>
        </w:rPr>
        <w:footnoteReference w:id="943"/>
      </w:r>
      <w:r>
        <w:rPr>
          <w:rFonts w:ascii="IRNazanin" w:hAnsi="IRNazanin" w:eastAsia="IRNazanin"/>
          <w:color w:val="111111"/>
          <w:sz w:val="28"/>
          <w:sz w:val="28"/>
          <w:szCs w:val="28"/>
          <w:rtl w:val="true"/>
          <w:lang w:bidi="fa-IR"/>
        </w:rPr>
        <w:t>وإن کان صنعة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اشتراط صیاغة خاتم فی شراء درهم بدرهم </w:t>
      </w:r>
      <w:r>
        <w:rPr>
          <w:rStyle w:val="FootnoteAnchor"/>
          <w:rtl w:val="true"/>
        </w:rPr>
        <w:footnoteReference w:id="944"/>
      </w:r>
      <w:r>
        <w:rPr>
          <w:rFonts w:ascii="IRNazanin" w:hAnsi="IRNazanin" w:eastAsia="IRNazanin"/>
          <w:color w:val="111111"/>
          <w:sz w:val="28"/>
          <w:sz w:val="28"/>
          <w:szCs w:val="28"/>
          <w:rtl w:val="true"/>
          <w:lang w:bidi="fa-IR"/>
        </w:rPr>
        <w:t>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رواها أبو الصباح الکنانی رحمه الله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یقول للصائغ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 لی هذا الخاتم، واُبدل لک درهماً طازجیّاً </w:t>
      </w:r>
      <w:r>
        <w:rPr>
          <w:rStyle w:val="FootnoteAnchor"/>
          <w:rtl w:val="true"/>
        </w:rPr>
        <w:footnoteReference w:id="945"/>
      </w:r>
      <w:r>
        <w:rPr>
          <w:rFonts w:ascii="IRNazanin" w:hAnsi="IRNazanin" w:eastAsia="IRNazanin"/>
          <w:color w:val="111111"/>
          <w:sz w:val="28"/>
          <w:sz w:val="28"/>
          <w:szCs w:val="28"/>
          <w:rtl w:val="true"/>
          <w:lang w:bidi="fa-IR"/>
        </w:rPr>
        <w:t>بدرهم غِلّة؟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واختلفوا فی تنزیل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حکمها مستثنی من الزیادة الممنوعة، فیجوز بیع درهم بدرهم مع شرط صیاغة الخاتم، ولا یتعدّی إلی غیره، اقتصاراً فیما خالف الأصل علی موضع النصّ، وهو القول الذی حکاه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إلی کلّ شرط؛ لعدم الفرق </w:t>
      </w:r>
      <w:r>
        <w:rPr>
          <w:rStyle w:val="FootnoteAnchor"/>
          <w:rtl w:val="true"/>
        </w:rPr>
        <w:footnoteReference w:id="947"/>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کلّ شرط حکمیّ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والأقوال کلّها ضعیفة؛ لأنّ بناءها علی دلالة الروایة علی أصل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غیر صریحة فی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تضمّنت إبدال درهم طازج بدرهم غلّة مع شرط الصیاغة من جانب الغِلّة وقد ذکر أهل اللغة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الخالص،</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وهو المغشوش </w:t>
      </w:r>
      <w:r>
        <w:rPr>
          <w:rStyle w:val="FootnoteAnchor"/>
          <w:rtl w:val="true"/>
        </w:rPr>
        <w:footnoteReference w:id="949"/>
      </w:r>
      <w:r>
        <w:rPr>
          <w:rFonts w:ascii="IRNazanin" w:hAnsi="IRNazanin" w:eastAsia="IRNazanin"/>
          <w:color w:val="111111"/>
          <w:sz w:val="28"/>
          <w:sz w:val="28"/>
          <w:szCs w:val="28"/>
          <w:rtl w:val="true"/>
          <w:lang w:bidi="fa-IR"/>
        </w:rPr>
        <w:t xml:space="preserve">وحینئذ فالزیادة الحکمیّة وهی الصیاغة فی مقابلة الغشّ، وهذا لا مانع منه مطلقاً وعلی هذا یصحّ الحکم ویتعدّی، لا فی مطلق الدرهم کما ذکروه ونقله عنهم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للأصل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حملت علی الإطلاق کما ذکروه؛ لأنّ الأصل المطّرد عدم جواز الزیادة من أحد الجانبین، حکمیّة کانت أم عینیّة، فلا یجوز الاستناد فیما خالف الأصل إلی هذه الروایة؛ مع أنّ فی طریقها من لا یعلم حاله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والأوانی المصوغة من النقدین إذا بیعت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بیعت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اشترطت زیادته علی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الزیادة فی مقابلة الجنس الآخر، بحیث تصلح ثمناً له وإن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الحالین بین العلم بقدر کلّ واحد منهما وعدمه، ولا بین إمکان تخلیص أحدهما عن الآخر وعدمه، ولا بین بیعها بالأقلّ ممّا فیها من النقدین والأکثر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غلبة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زیادة الثمن علی مجانسه من الجوهر، لعُسر العلم الیقینی بقدره غالباً، ومشقّة التخلیص الموجب له </w:t>
      </w:r>
      <w:r>
        <w:rPr>
          <w:rStyle w:val="FootnoteAnchor"/>
          <w:rtl w:val="true"/>
        </w:rPr>
        <w:footnoteReference w:id="952"/>
      </w:r>
      <w:r>
        <w:rPr>
          <w:rFonts w:ascii="IRNazanin" w:hAnsi="IRNazanin" w:eastAsia="IRNazanin"/>
          <w:color w:val="111111"/>
          <w:sz w:val="28"/>
          <w:sz w:val="28"/>
          <w:szCs w:val="28"/>
          <w:rtl w:val="true"/>
          <w:lang w:bidi="fa-IR"/>
        </w:rPr>
        <w:t xml:space="preserve">وفی الدروس اعتبر القطع بزیادة الثمن </w:t>
      </w:r>
      <w:r>
        <w:rPr>
          <w:rStyle w:val="FootnoteAnchor"/>
          <w:rtl w:val="true"/>
        </w:rPr>
        <w:footnoteReference w:id="953"/>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وحِلیة السیف والمرکب یعتبر فیهما العلم إن اُرید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بیع الحِلیة والمحلّی، لکن لمّا کان الغرض التخلّص من الربا</w:t>
      </w:r>
    </w:p>
    <w:p>
      <w:pPr>
        <w:pStyle w:val="BookText"/>
        <w:rPr/>
      </w:pPr>
      <w:r>
        <w:rPr>
          <w:rFonts w:ascii="IRNazanin" w:hAnsi="IRNazanin" w:eastAsia="IRNazanin"/>
          <w:color w:val="111111"/>
          <w:sz w:val="28"/>
          <w:sz w:val="28"/>
          <w:szCs w:val="28"/>
          <w:rtl w:val="true"/>
          <w:lang w:bidi="fa-IR"/>
        </w:rPr>
        <w:t>والصرف خصّ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مع بیعها بجنسها زیادة الثمن علیها، لتکون الزیادة فی مقابلة السیف والمرکب إن ضمّهما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الظنّ الغالب بزیادة الثمن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والأجود اعتبار القطع، وفاقاً للدروس </w:t>
      </w:r>
      <w:r>
        <w:rPr>
          <w:rStyle w:val="FootnoteAnchor"/>
          <w:rtl w:val="true"/>
        </w:rPr>
        <w:footnoteReference w:id="954"/>
      </w:r>
      <w:r>
        <w:rPr>
          <w:rFonts w:ascii="IRNazanin" w:hAnsi="IRNazanin" w:eastAsia="IRNazanin"/>
          <w:color w:val="111111"/>
          <w:sz w:val="28"/>
          <w:sz w:val="28"/>
          <w:szCs w:val="28"/>
          <w:rtl w:val="true"/>
          <w:lang w:bidi="fa-IR"/>
        </w:rPr>
        <w:t xml:space="preserve">وظاهر الأکثر </w:t>
      </w:r>
      <w:r>
        <w:rPr>
          <w:rStyle w:val="FootnoteAnchor"/>
          <w:rtl w:val="true"/>
        </w:rPr>
        <w:footnoteReference w:id="955"/>
      </w:r>
      <w:r>
        <w:rPr>
          <w:rFonts w:ascii="IRNazanin" w:hAnsi="IRNazanin" w:eastAsia="IRNazanin"/>
          <w:color w:val="111111"/>
          <w:sz w:val="28"/>
          <w:sz w:val="28"/>
          <w:szCs w:val="28"/>
          <w:rtl w:val="true"/>
          <w:lang w:bidi="fa-IR"/>
        </w:rPr>
        <w:t xml:space="preserve">فإن تعذّر بیعت بغیر جنسها، بل یجوز بیعها بغیر الجنس مطلقاً کغیرها، وإنّما خصّ المصنّف موضع الاشتباه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باعه بنصف دینار فشِقّ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نصف کامل مشاع؛ لأنّ النصف حقیقة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هناک نصف مضروب بحیث ینصرف الإطلاق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یصرّح بإرادة الصحیح وإن لم یکن الإطلاق محمولاً علیه فینصرف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فلو باعه بنصف دینار آخر تخیّر بین أن یعطیه شقیّ دینارین ویصیر شریکاً فیهما، وبین أن یعطیه دیناراً کاملاً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لا یجب قبول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وأجزائهما غیر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تراب الذهب والفضّة عند الصیّاغة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وتشدید الیاء جمع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بیعه مع اجتماعهما بهما وبغیرهما، وبأحدهما مع العلم بزیادة الثمن عن مجانسه، ومع الانفراد بغیر جنسه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به مع جهل أربابه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علمهم فی محصورین وجب التخلّص منهم ولو بالصلح مع جهل حقّ کلّ واحد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مع الجهل بین الصدقة بعینه وقیمته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الضمان لو ظهروا ولم یرضوا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بالصدقة؛ لعموم الأدلّة الدالّة علی ضمان ما أخذت الید </w:t>
      </w:r>
      <w:r>
        <w:rPr>
          <w:rStyle w:val="FootnoteAnchor"/>
          <w:rtl w:val="true"/>
        </w:rPr>
        <w:footnoteReference w:id="957"/>
      </w:r>
      <w:r>
        <w:rPr>
          <w:rFonts w:ascii="IRNazanin" w:hAnsi="IRNazanin" w:eastAsia="IRNazanin"/>
          <w:color w:val="111111"/>
          <w:sz w:val="28"/>
          <w:sz w:val="28"/>
          <w:szCs w:val="28"/>
          <w:rtl w:val="true"/>
          <w:lang w:bidi="fa-IR"/>
        </w:rPr>
        <w:t>خرج منه ما إذا رضوا أو استمرّ الاشتباه، فیبقی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العدم إذن الشارع له فی الصدقة </w:t>
      </w:r>
      <w:r>
        <w:rPr>
          <w:rStyle w:val="FootnoteAnchor"/>
          <w:rtl w:val="true"/>
        </w:rPr>
        <w:footnoteReference w:id="958"/>
      </w:r>
      <w:r>
        <w:rPr>
          <w:rFonts w:ascii="IRNazanin" w:hAnsi="IRNazanin" w:eastAsia="IRNazanin"/>
          <w:color w:val="111111"/>
          <w:sz w:val="28"/>
          <w:sz w:val="28"/>
          <w:szCs w:val="28"/>
          <w:rtl w:val="true"/>
          <w:lang w:bidi="fa-IR"/>
        </w:rPr>
        <w:t>فلا یتعقّب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ومصرف هذه الصدقة الفقراء والمساکین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ویلحق بها ما شابهها من الصنائع الموجبة لتخلّف أثر المال، کالحِدادة والطحن والخِیاطة والخِبازة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بعضهم معلوماً وجب الخروج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یجب التخلّص من کلّ غریم یعلمه، وذلک یتحقّق عند الفراغ من عمل کلّ واحد، فلو أخّر حتی صار مجهولاً أثم بالتأخیر ولزمه حکم ما سبق</w:t>
      </w:r>
      <w:r>
        <w:rPr>
          <w:rFonts w:eastAsia="IRNazanin" w:cs="IRNazanin"/>
          <w:color w:val="111111"/>
          <w:sz w:val="28"/>
          <w:szCs w:val="28"/>
          <w:rtl w:val="true"/>
          <w:lang w:bidi="fa-IR"/>
        </w:rPr>
        <w:t>.</w:t>
      </w:r>
      <w:bookmarkStart w:id="358" w:name="pg19812_249455"/>
    </w:p>
    <w:p>
      <w:pPr>
        <w:pStyle w:val="Heading4"/>
        <w:numPr>
          <w:ilvl w:val="3"/>
          <w:numId w:val="1"/>
        </w:numPr>
        <w:rPr/>
      </w:pPr>
      <w:bookmarkStart w:id="359" w:name="__RefHeading___Toc2093014_2314609296"/>
      <w:bookmarkStart w:id="360" w:name="_Toc130"/>
      <w:bookmarkEnd w:id="358"/>
      <w:bookmarkEnd w:id="359"/>
      <w:r>
        <w:rPr>
          <w:rtl w:val="true"/>
        </w:rPr>
        <w:t>«</w:t>
      </w:r>
      <w:r>
        <w:rPr>
          <w:rtl w:val="true"/>
        </w:rPr>
        <w:t>خاتمة</w:t>
      </w:r>
      <w:r>
        <w:rPr>
          <w:rtl w:val="true"/>
        </w:rPr>
        <w:t>» «</w:t>
      </w:r>
      <w:r>
        <w:rPr>
          <w:rtl w:val="true"/>
        </w:rPr>
        <w:t>الدراهم والدنانیر یتعیّنان بالتعیین</w:t>
      </w:r>
      <w:r>
        <w:rPr>
          <w:rtl w:val="true"/>
        </w:rPr>
        <w:t>»</w:t>
      </w:r>
      <w:bookmarkEnd w:id="360"/>
    </w:p>
    <w:p>
      <w:pPr>
        <w:pStyle w:val="BookText"/>
        <w:rPr/>
      </w:pP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الصرف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الأدلّة الدالّة علی التعیین والوفاء بالعقد، ولقیام المقتضی فی غیرها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ظهر عیب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ثمناً کان أم مثمناً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ظهرت الدراهم نحاساً أو رصاصاً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وقع علیه العقد غیر مقصود بالشراء والعقد تابع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بإزائه مجانسه </w:t>
      </w:r>
      <w:r>
        <w:rPr>
          <w:rStyle w:val="FootnoteAnchor"/>
          <w:rtl w:val="true"/>
        </w:rPr>
        <w:footnoteReference w:id="960"/>
      </w:r>
      <w:r>
        <w:rPr>
          <w:rFonts w:ascii="IRNazanin" w:hAnsi="IRNazanin" w:eastAsia="IRNazanin"/>
          <w:color w:val="111111"/>
          <w:sz w:val="28"/>
          <w:sz w:val="28"/>
          <w:szCs w:val="28"/>
          <w:rtl w:val="true"/>
          <w:lang w:bidi="fa-IR"/>
        </w:rPr>
        <w:t>بطل البیع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ظهر الجمیع کذلک، وإلّا فبالنسبة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کدراهم بدراهم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بإزائه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السلیم وما قابله، 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بالعیب؛ لتبعّض الصفقة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العیب من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کخشونة الجوهر واضطراب السکّة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بإزائه مجانس، فله الردّ بغیر 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یلزم زیادة جانب المعیب المفضی إلی الربا؛ لأنّ هذا النقص حکمیّ فهو فی حکم الصحیح</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بإزاء المعیب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باعه ذهباً بفضّة فظهر أحدهما معیباً فی الجنس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الأرش فی المجلس والردّ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ثبوت الأرش فللعیب، ولا یضرّ هنا زیادة عوضه؛ للاختلاف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کونه فی المجلس؛</w:t>
      </w:r>
    </w:p>
    <w:p>
      <w:pPr>
        <w:pStyle w:val="BookText"/>
        <w:rPr/>
      </w:pPr>
      <w:r>
        <w:rPr>
          <w:rFonts w:ascii="IRNazanin" w:hAnsi="IRNazanin" w:eastAsia="IRNazanin"/>
          <w:color w:val="111111"/>
          <w:sz w:val="28"/>
          <w:sz w:val="28"/>
          <w:szCs w:val="28"/>
          <w:rtl w:val="true"/>
          <w:lang w:bidi="fa-IR"/>
        </w:rPr>
        <w:t>للصرف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الردّ ظاهر؛ لأنّه مقتضی خیار العیب بشرطه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التفرّق له الردّ، ولا یجوز أخذ الأرش من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یکون صرفاً بعد التفرّق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العلّامة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Style w:val="FootnoteAnchor"/>
          <w:rtl w:val="true"/>
        </w:rPr>
        <w:footnoteReference w:id="962"/>
      </w:r>
      <w:r>
        <w:rPr>
          <w:rFonts w:ascii="IRNazanin" w:hAnsi="IRNazanin" w:eastAsia="IRNazanin"/>
          <w:color w:val="111111"/>
          <w:sz w:val="28"/>
          <w:sz w:val="28"/>
          <w:szCs w:val="28"/>
          <w:rtl w:val="true"/>
          <w:lang w:bidi="fa-IR"/>
        </w:rPr>
        <w:t>لأنّه حینئذ کالمعاوضة بغیر الأثمان، فیکون جملة العقد بمنزلة بیع وصرف، والبیع ما اُخذ عوضه بعد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الأرش جزء من الثمن والمعتبر فیه النقد الغالب، فإذا اختار الأرش لزم النقد حینئذ، واتّفاقهما علی غیره معاوضة علی النقد الثابت فی الذمّة أرشاً لا نفس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 الثابت وإن کان هو النقد لکن لمّا لم یتعیّن إلّاباختیاره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ردّ لم یکن الأرش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ابتداء تعلّقه بالذمّة الذی هو بمنزلة المعاوضة اختیاره، فیعتبر حینئذ قبضه قبل التفرّق مراعاة للصرف، وکما یکفی فی لزوم معاوضة الصرف دفع نفس الأثمان قبل التفرّق کذا یکفی دفع عوضها قبله، بل مطلق براءة ذمّة من یُطلب منه منه، فإذا اتّفقا علی جعله من غیر النقدین جاز وکانت المعاوضة کأ نّها واقعة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یقتضی جواز أخذه فی مجلس اختیاره من النقدین أیضاً ولا یقولون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ولزومه وإن کان موقوفاً علی اختیاره، إلّاأنّ سببه العیب الثابت حالة العقد، فقد صدق التفرّق قبل أخذه وإن لم یکن مستقرّاً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 نّا إن اعتبرنا فی ثبوت الأرش السبب لزم بطلان البیع فیما قابله بالتفرّق قبل قبضه مطلقاً </w:t>
      </w:r>
      <w:r>
        <w:rPr>
          <w:rStyle w:val="FootnoteAnchor"/>
          <w:rtl w:val="true"/>
        </w:rPr>
        <w:footnoteReference w:id="963"/>
      </w:r>
      <w:r>
        <w:rPr>
          <w:rFonts w:ascii="IRNazanin" w:hAnsi="IRNazanin" w:eastAsia="IRNazanin"/>
          <w:color w:val="111111"/>
          <w:sz w:val="28"/>
          <w:sz w:val="28"/>
          <w:szCs w:val="28"/>
          <w:rtl w:val="true"/>
          <w:lang w:bidi="fa-IR"/>
        </w:rPr>
        <w:t>وإن اعتبرنا حالة اختیاره أو جعلناه تمام السبب علی</w:t>
      </w:r>
    </w:p>
    <w:p>
      <w:pPr>
        <w:pStyle w:val="BookText"/>
        <w:rPr/>
      </w:pPr>
      <w:r>
        <w:rPr>
          <w:rFonts w:ascii="IRNazanin" w:hAnsi="IRNazanin" w:eastAsia="IRNazanin"/>
          <w:color w:val="111111"/>
          <w:sz w:val="28"/>
          <w:sz w:val="28"/>
          <w:szCs w:val="28"/>
          <w:rtl w:val="true"/>
          <w:lang w:bidi="fa-IR"/>
        </w:rPr>
        <w:t>وجه النقل لزم جواز أخذه فی مجلسه مطلقاً وإن جعلنا ذلک کاشفاً عن ثبوته بالعقد لزم البطلان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فالمعتبر منه النقد الغالب، وما اتّفقا علی أخذه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الأخیر </w:t>
      </w:r>
      <w:r>
        <w:rPr>
          <w:rStyle w:val="FootnoteAnchor"/>
          <w:rtl w:val="true"/>
        </w:rPr>
        <w:footnoteReference w:id="964"/>
      </w:r>
      <w:r>
        <w:rPr>
          <w:rFonts w:ascii="IRNazanin" w:hAnsi="IRNazanin" w:eastAsia="IRNazanin"/>
          <w:color w:val="111111"/>
          <w:sz w:val="28"/>
          <w:sz w:val="28"/>
          <w:szCs w:val="28"/>
          <w:rtl w:val="true"/>
          <w:lang w:bidi="fa-IR"/>
        </w:rPr>
        <w:t>أوضح، فیتّجه مع اختیاره البطلان فیما قابله مطلقاً، وإن رضی بالمدفوع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المدفوع أرشاً لیس هو أحد عوضی الصرف، وإنّما هو عوض صفة فائتة فی أحد العوضین، ویترتّب استحقاقها علی صحّة العقد وقد حصل التقابض فی کلّ من العوضین فلا مقتضی للبطلان، إذ وجوب التقابض إنّما هو فی عوضی الصرف، لا فیما وجب بسببهما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الأرش وإن لم یکن أحد العوضین، لکنّه کالجزء من الناقص منهما، ومن ثمّ حکموا بأ نّه جزء من الثمن نسبته إلیه کنسبة قیمة الصحیح إلی المعیب </w:t>
      </w:r>
      <w:r>
        <w:rPr>
          <w:rStyle w:val="FootnoteAnchor"/>
          <w:rtl w:val="true"/>
        </w:rPr>
        <w:footnoteReference w:id="965"/>
      </w:r>
      <w:r>
        <w:rPr>
          <w:rFonts w:ascii="IRNazanin" w:hAnsi="IRNazanin" w:eastAsia="IRNazanin"/>
          <w:color w:val="111111"/>
          <w:sz w:val="28"/>
          <w:sz w:val="28"/>
          <w:szCs w:val="28"/>
          <w:rtl w:val="true"/>
          <w:lang w:bidi="fa-IR"/>
        </w:rPr>
        <w:t xml:space="preserve">والتقابض الحاصل فی العوضین وقع متزلزلاً؛ إذ یحتمل ردّه رأساً وأخذ أرش النقصان الذی هو کتتمّة العوض الناقص، فکان بمنزلة بعض العوض، والتخیّر </w:t>
      </w:r>
      <w:r>
        <w:rPr>
          <w:rStyle w:val="FootnoteAnchor"/>
          <w:rtl w:val="true"/>
        </w:rPr>
        <w:footnoteReference w:id="966"/>
      </w:r>
      <w:r>
        <w:rPr>
          <w:rFonts w:ascii="IRNazanin" w:hAnsi="IRNazanin" w:eastAsia="IRNazanin"/>
          <w:color w:val="111111"/>
          <w:sz w:val="28"/>
          <w:sz w:val="28"/>
          <w:szCs w:val="28"/>
          <w:rtl w:val="true"/>
          <w:lang w:bidi="fa-IR"/>
        </w:rPr>
        <w:t>بین أخذه والعفو عنه وردّ المبیع لا ینافی ثبوته، غایته التخییر بینه وبین أمر آخر، فیکون ثابتاً ثبوتاً تخییریّاً بینه وبین ما ذکر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 الجنسی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العوض الآخر 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جواز الردّ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للمعیب حکمه شرعاً، ولا مانع</w:t>
      </w:r>
    </w:p>
    <w:p>
      <w:pPr>
        <w:pStyle w:val="BookText"/>
        <w:rPr/>
      </w:pPr>
      <w:r>
        <w:rPr>
          <w:rFonts w:ascii="IRNazanin" w:hAnsi="IRNazanin" w:eastAsia="IRNazanin"/>
          <w:color w:val="111111"/>
          <w:sz w:val="28"/>
          <w:sz w:val="28"/>
          <w:szCs w:val="28"/>
          <w:rtl w:val="true"/>
          <w:lang w:bidi="fa-IR"/>
        </w:rPr>
        <w:t xml:space="preserve">منه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قبل التفرّق أم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العوضان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معیّنین فله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ظهور العیب جنسیّاً کان أم خارجیّاً؛ لأنّ العقد وقع علی أمر کلّی والمقبوض غیره، فإذا لم یکن مطابقاً لم یتعیّن لوجوده فی ضمنه، لکن الإبدال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داما فی المجلس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بعده فلا؛ لأنّه یقتضی عدم الرضا بالمقبوض قبل التفرّق وأنّ الأمر الکلّی باق فی الذمّة فیؤدّی إلی فساد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العیب من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غیره فالمقبوض لیس ما وقع علیه العقد مطلقاً فیبطل بالتفرّق؛ لعدم التقابض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قویّاً مع کون العیب جنسیّاً جواز إبداله بعد التفرّق؛ لصدق التقابض فی العوضین قبله، والمقبوض محسوب عوضاً وإن کان معیباً، لکونه من الجنس فلا یخرج عن حقیقة العوض المعیّن، غایته کونه مفوّتاً لبعض الأوصاف فاستدراکه ممکن بالخیار، ومن ثمّ لو رضی به استقرّ ملکه علیه، ونماؤه له علی التقدیرین، بخلاف غیر الجنسی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فإذا فسخ رجع الحقّ إلی الذمّة، فیتعیّن حینئذٍ کونه </w:t>
      </w:r>
      <w:r>
        <w:rPr>
          <w:rStyle w:val="FootnoteAnchor"/>
          <w:rtl w:val="true"/>
        </w:rPr>
        <w:footnoteReference w:id="967"/>
      </w:r>
      <w:r>
        <w:rPr>
          <w:rFonts w:ascii="IRNazanin" w:hAnsi="IRNazanin" w:eastAsia="IRNazanin"/>
          <w:color w:val="111111"/>
          <w:sz w:val="28"/>
          <w:sz w:val="28"/>
          <w:szCs w:val="28"/>
          <w:rtl w:val="true"/>
          <w:lang w:bidi="fa-IR"/>
        </w:rPr>
        <w:t>عوضاً صحیحاً، لکن یجب قبض البدل فی مجلس الردّ بناءً علی أنّ الفسخ رفع العوض، فإذا لم یقدح فی الصحّة سابقاً یتعیّن القبض حینئذٍ لیتحقّق التقابض</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قویّاً سقوط اعتباره أیضاً؛ لصدق التقابض فی العوضین الذی هو شرط الصحّة، وللحکم بصحّة الصرف بالقبض السابق فیستصحب إلی أن یثبت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وقع غیر کافٍ فی الحکم بوجوب التقابض؛ لأنّه حکم طارئ</w:t>
      </w:r>
    </w:p>
    <w:p>
      <w:pPr>
        <w:pStyle w:val="BookText"/>
        <w:rPr/>
      </w:pPr>
      <w:r>
        <w:rPr>
          <w:rFonts w:ascii="IRNazanin" w:hAnsi="IRNazanin" w:eastAsia="IRNazanin"/>
          <w:color w:val="111111"/>
          <w:sz w:val="28"/>
          <w:sz w:val="28"/>
          <w:szCs w:val="28"/>
          <w:rtl w:val="true"/>
          <w:lang w:bidi="fa-IR"/>
        </w:rPr>
        <w:t>بعد ثبوت البیع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الصرف له الإبدال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المانع منه مع وجود المقتضی له وهو العیب فی عین لم یتعیّن عوضاً</w:t>
      </w:r>
      <w:r>
        <w:rPr>
          <w:rFonts w:eastAsia="IRNazanin" w:cs="IRNazanin"/>
          <w:color w:val="111111"/>
          <w:sz w:val="28"/>
          <w:szCs w:val="28"/>
          <w:rtl w:val="true"/>
          <w:lang w:bidi="fa-IR"/>
        </w:rPr>
        <w:t>.</w:t>
      </w:r>
      <w:bookmarkStart w:id="361" w:name="pg19812_249460"/>
    </w:p>
    <w:p>
      <w:pPr>
        <w:pStyle w:val="Heading3"/>
        <w:numPr>
          <w:ilvl w:val="2"/>
          <w:numId w:val="1"/>
        </w:numPr>
        <w:rPr/>
      </w:pPr>
      <w:bookmarkStart w:id="362" w:name="__RefHeading___Toc2093016_2314609296"/>
      <w:bookmarkStart w:id="363" w:name="_Toc131"/>
      <w:bookmarkEnd w:id="361"/>
      <w:bookmarkEnd w:id="362"/>
      <w:r>
        <w:rPr>
          <w:rtl w:val="true"/>
        </w:rPr>
        <w:t>«</w:t>
      </w:r>
      <w:r>
        <w:rPr>
          <w:rtl w:val="true"/>
        </w:rPr>
        <w:t>الفصل السادس</w:t>
      </w:r>
      <w:r>
        <w:rPr>
          <w:rtl w:val="true"/>
        </w:rPr>
        <w:t>» «</w:t>
      </w:r>
      <w:r>
        <w:rPr>
          <w:rtl w:val="true"/>
        </w:rPr>
        <w:t>فی السلف</w:t>
      </w:r>
      <w:r>
        <w:rPr>
          <w:rtl w:val="true"/>
        </w:rPr>
        <w:t>»</w:t>
      </w:r>
      <w:bookmarkEnd w:id="363"/>
    </w:p>
    <w:p>
      <w:pPr>
        <w:pStyle w:val="BookText"/>
        <w:rPr/>
      </w:pPr>
      <w:r>
        <w:rPr>
          <w:rFonts w:ascii="IRNazanin" w:hAnsi="IRNazanin" w:eastAsia="IRNazanin"/>
          <w:color w:val="111111"/>
          <w:sz w:val="28"/>
          <w:sz w:val="28"/>
          <w:szCs w:val="28"/>
          <w:rtl w:val="true"/>
          <w:lang w:bidi="fa-IR"/>
        </w:rPr>
        <w:t xml:space="preserve">وهو بیع مضمون فی الذمّة مضبوط بمال معلوم مقبوضٍ فی المجلس إلی أجل معلوم بصیغة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وینعقد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 المُسلِم وهو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إلیک، أو أسفلتک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سلّفتک بالتضعیف، وفی سلّمتک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کذا إلی کذا، ویقبل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المُسلَم إلیه وهو البائع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وشبهه، ولو جعل الإیجاب منه جاز بلفظ البیع والتملیک واستلمت منک واستلفت وتسلّفت، ونحوه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البیع بأسرها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بشروط </w:t>
      </w:r>
      <w:r>
        <w:rPr>
          <w:rFonts w:eastAsia="IRNazanin" w:cs="IRNazanin"/>
          <w:color w:val="111111"/>
          <w:sz w:val="28"/>
          <w:szCs w:val="28"/>
          <w:rtl w:val="true"/>
          <w:lang w:bidi="fa-IR"/>
        </w:rPr>
        <w:t xml:space="preserve">]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هنا </w:t>
      </w:r>
      <w:r>
        <w:rPr>
          <w:rStyle w:val="FootnoteAnchor"/>
          <w:rtl w:val="true"/>
        </w:rPr>
        <w:footnoteReference w:id="969"/>
      </w:r>
      <w:r>
        <w:rPr>
          <w:rFonts w:ascii="IRNazanin" w:hAnsi="IRNazanin" w:eastAsia="IRNazanin"/>
          <w:color w:val="111111"/>
          <w:sz w:val="28"/>
          <w:sz w:val="28"/>
          <w:szCs w:val="28"/>
          <w:rtl w:val="true"/>
          <w:lang w:bidi="fa-IR"/>
        </w:rPr>
        <w:t xml:space="preserve">الحقیقة النوعیّة کالحنطة والشعیر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والوصف الرافع للجهالة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بین أصناف ذلک النوع، لا مطلق الوصف،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یختلف لأجله الثمن اختلافاً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یتسامح بمثله عادةً، فلا یقدح الاختلاف الیسیر غیر المؤدّی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الأوصاف إلی العرف، وربما کان العامی أعرف بها من الفقیه، وحظّ الفقیه منها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من الوصف ما یتناوله الاسم</w:t>
      </w:r>
    </w:p>
    <w:p>
      <w:pPr>
        <w:pStyle w:val="BookText"/>
        <w:rPr/>
      </w:pPr>
      <w:r>
        <w:rPr>
          <w:rFonts w:ascii="IRNazanin" w:hAnsi="IRNazanin" w:eastAsia="IRNazanin"/>
          <w:color w:val="111111"/>
          <w:sz w:val="28"/>
          <w:sz w:val="28"/>
          <w:szCs w:val="28"/>
          <w:rtl w:val="true"/>
          <w:lang w:bidi="fa-IR"/>
        </w:rPr>
        <w:t xml:space="preserve">المزیل لاختلاف أثمان الأفراد الداخلة فی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یبلغ فیه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بلغها وأفضی إلی عزّة الوجود بطل، وإلّا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الجیّد والردیء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تحصیلهما بسهولة، والواجب أقلّ ما یُطلق علیه اسم الجیّد، فإن زاد عنه زاد خیراً، وما یصدق علیه اسم الردیء، وکلّما قلّل الوصف فقد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الأجود والأردأ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الانضباط؛ إذ ما من جیّد إلّا ویمکن وجود أجود منه، وکذا الأردأ، والحکم فی الأجود وفاق، وأمّا الأردأ فالأجود أ 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بصحّته والاکتفاء بکونه فی المرتبة الثانیة من الردیء وبتحقّق </w:t>
      </w:r>
      <w:r>
        <w:rPr>
          <w:rStyle w:val="FootnoteAnchor"/>
          <w:rtl w:val="true"/>
        </w:rPr>
        <w:footnoteReference w:id="970"/>
      </w:r>
      <w:r>
        <w:rPr>
          <w:rFonts w:ascii="Amiri" w:hAnsi="Amiri" w:eastAsia="Amiri" w:cs="Amiri"/>
          <w:color w:val="111111"/>
          <w:sz w:val="28"/>
          <w:sz w:val="28"/>
          <w:szCs w:val="28"/>
          <w:rtl w:val="true"/>
          <w:lang w:bidi="ar-SA"/>
        </w:rPr>
        <w:t xml:space="preserve">الأفضلیّة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کان الفرد المدفوع أردأ فهو الحقّ، وإلّا فدفع الجیّد عن الردیء جائز وقبوله لازم، فیمکن التخلّص بخلاف الأجود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بأنّ ضبط المُسلَم فیه معتبر علی وجه یمکن الرجوع إلیه عند الحاجة مطلقاً، ومن جملتها ما لو امتنع المُسلَمُ إلیه من دفعه فیؤخذ من ماله بأمر الحاکم قهراً، وذلک غیر ممکن هنا؛ لأنّ الجیّد غیر متعیّن علیه فلا یجوز لغیره دفعه فیتعذّر التخلّص، فعدم الصحّة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وتردّد المصنّف فی الدروس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لا یضبط وصفه یمتنع السَلَم فیه، کاللحم والخُبز والنبل المنحوت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قبلَه؛ لإمکان ضبطها </w:t>
      </w:r>
      <w:r>
        <w:rPr>
          <w:rStyle w:val="FootnoteAnchor"/>
          <w:rtl w:val="true"/>
        </w:rPr>
        <w:footnoteReference w:id="973"/>
      </w:r>
      <w:r>
        <w:rPr>
          <w:rFonts w:ascii="IRNazanin" w:hAnsi="IRNazanin" w:eastAsia="IRNazanin"/>
          <w:color w:val="111111"/>
          <w:sz w:val="28"/>
          <w:sz w:val="28"/>
          <w:szCs w:val="28"/>
          <w:rtl w:val="true"/>
          <w:lang w:bidi="fa-IR"/>
        </w:rPr>
        <w:t xml:space="preserve">بالعدد والوزن، وما یبقی فیه من الاختلاف غیر قادح؛ لعدم اختلاف الثمن بسببه، بخلاف المعمول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لتعذّر ضبطها، وبالوزن لا یفید الوصف المعتبر؛ لأنّ أهمّ أوصافها السَمْک </w:t>
      </w:r>
      <w:r>
        <w:rPr>
          <w:rStyle w:val="FootnoteAnchor"/>
          <w:rtl w:val="true"/>
        </w:rPr>
        <w:footnoteReference w:id="974"/>
      </w:r>
      <w:r>
        <w:rPr>
          <w:rFonts w:ascii="IRNazanin" w:hAnsi="IRNazanin" w:eastAsia="IRNazanin"/>
          <w:color w:val="111111"/>
          <w:sz w:val="28"/>
          <w:sz w:val="28"/>
          <w:szCs w:val="28"/>
          <w:rtl w:val="true"/>
          <w:lang w:bidi="fa-IR"/>
        </w:rPr>
        <w:t>ولا یحصل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لإمکان ضبطه بالمشاهدة </w:t>
      </w:r>
      <w:r>
        <w:rPr>
          <w:rStyle w:val="FootnoteAnchor"/>
          <w:rtl w:val="true"/>
        </w:rPr>
        <w:footnoteReference w:id="975"/>
      </w:r>
      <w:r>
        <w:rPr>
          <w:rFonts w:ascii="IRNazanin" w:hAnsi="IRNazanin" w:eastAsia="IRNazanin"/>
          <w:color w:val="111111"/>
          <w:sz w:val="28"/>
          <w:sz w:val="28"/>
          <w:szCs w:val="28"/>
          <w:rtl w:val="true"/>
          <w:lang w:bidi="fa-IR"/>
        </w:rPr>
        <w:t>ورُدّ بأ نّه خروج عن السَلَم؛ لأنّه دین، ویمکن الجمع بمشاهدة جملة یدخل المسلَم فیه فی ضمنها من غیر تعیین، وهو غیر مُخرِج عن وضعه، کاشتراطه من غلّة قریة معیّنة لا تخیس عادة، وحینئذٍ فیکفی مشاهدة الحیوان عن الإمعان فی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المنع مطلقاً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والجواهر واللآلئ الکبار؛ لتعذّر ضبطها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یرفع بسببه اختلاف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وتفاوت الثمن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تفاوتاً باعتبارات لا تحصل بدون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اللآلئ الصغار التی لا تشتمل علی أوصاف کثیرة تختلف القیمة باختلافها، فیجوز مع ضبط ما یعتبر فیها، سواء فی ذلک المتّخذة للدواء وغیرها؛ وکذا القول فی بعض الجواهر التی لا یتفاوت الثمن باعتبارها تفاوتاً بیّناً کبعض العقیق، وهو خیرة الدروس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الحبوب والفواکه والخُضَر والشحم والطیب والحیوان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ناطقاً وصامتاً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شاةٍ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ضبطها وکثرة وجود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وجهالةُ مقدار اللبن غیرُ مانعة علی تقدیر وجوده؛ لأنّه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ویلزم تسلیم شاة یمکن أن تُحلب فی مقارب </w:t>
      </w:r>
      <w:r>
        <w:rPr>
          <w:rStyle w:val="FootnoteAnchor"/>
          <w:rtl w:val="true"/>
        </w:rPr>
        <w:footnoteReference w:id="977"/>
      </w:r>
      <w:r>
        <w:rPr>
          <w:rFonts w:ascii="IRNazanin" w:hAnsi="IRNazanin" w:eastAsia="IRNazanin"/>
          <w:color w:val="111111"/>
          <w:sz w:val="28"/>
          <w:sz w:val="28"/>
          <w:szCs w:val="28"/>
          <w:rtl w:val="true"/>
          <w:lang w:bidi="fa-IR"/>
        </w:rPr>
        <w:t>زمان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الحامل وإن قرب زمان ولادتها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یشترط أن یکون اللبن حاصلاً بالفعل حینئذٍ، فلو حلبها وسلّمها أجزأت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اسم الشاة اللبون علیها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الجاریة الحامل أو ذات الولد أو </w:t>
      </w:r>
      <w:r>
        <w:rPr>
          <w:rStyle w:val="FootnoteAnchor"/>
          <w:rtl w:val="true"/>
        </w:rPr>
        <w:footnoteReference w:id="979"/>
      </w:r>
      <w:r>
        <w:rPr>
          <w:rFonts w:ascii="IRNazanin" w:hAnsi="IRNazanin" w:eastAsia="IRNazanin"/>
          <w:color w:val="111111"/>
          <w:sz w:val="28"/>
          <w:sz w:val="28"/>
          <w:szCs w:val="28"/>
          <w:rtl w:val="true"/>
          <w:lang w:bidi="fa-IR"/>
        </w:rPr>
        <w:t>الشاة کذلک، فالأقرب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لاعتبار وصف کلّ واحد منهما فیعزّ اجتماعهما فی واحد، ولجهالة الحمل وعدم إمکان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الجمیع </w:t>
      </w:r>
      <w:r>
        <w:rPr>
          <w:rStyle w:val="FootnoteAnchor"/>
          <w:rtl w:val="true"/>
        </w:rPr>
        <w:footnoteReference w:id="980"/>
      </w:r>
      <w:r>
        <w:rPr>
          <w:rFonts w:ascii="IRNazanin" w:hAnsi="IRNazanin" w:eastAsia="IRNazanin"/>
          <w:color w:val="111111"/>
          <w:sz w:val="28"/>
          <w:sz w:val="28"/>
          <w:szCs w:val="28"/>
          <w:rtl w:val="true"/>
          <w:lang w:bidi="fa-IR"/>
        </w:rPr>
        <w:t>لإمکانه من غیر عسر واغتفار الجهالة فی الحمل؛ لأنّه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جوّز فی الحامل مطلقاً، وفی ذات الولد المقصود بها الخدمة دون التسرّی </w:t>
      </w:r>
      <w:r>
        <w:rPr>
          <w:rStyle w:val="FootnoteAnchor"/>
          <w:rtl w:val="true"/>
        </w:rPr>
        <w:footnoteReference w:id="981"/>
      </w:r>
      <w:r>
        <w:rPr>
          <w:rFonts w:ascii="IRNazanin" w:hAnsi="IRNazanin" w:eastAsia="IRNazanin"/>
          <w:color w:val="111111"/>
          <w:sz w:val="28"/>
          <w:sz w:val="28"/>
          <w:szCs w:val="28"/>
          <w:rtl w:val="true"/>
          <w:lang w:bidi="fa-IR"/>
        </w:rPr>
        <w:t>والأجود الجواز مطلقاً؛ لأنّ عزّة وجود مثل ذلک غیر واضح، وعموم الأمر بالوفاء بالعقد یقتضیه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قبض الثمن قبل التفرّق أو المحاسبة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المُسلَم </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یشترط ذلک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یجعل الثمن نفس ما فی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لأنّه بیع دین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المسلَم فیه</w:t>
      </w:r>
    </w:p>
    <w:p>
      <w:pPr>
        <w:pStyle w:val="BookText"/>
        <w:rPr/>
      </w:pPr>
      <w:r>
        <w:rPr>
          <w:rFonts w:ascii="IRNazanin" w:hAnsi="IRNazanin" w:eastAsia="IRNazanin"/>
          <w:color w:val="111111"/>
          <w:sz w:val="28"/>
          <w:sz w:val="28"/>
          <w:szCs w:val="28"/>
          <w:rtl w:val="true"/>
          <w:lang w:bidi="fa-IR"/>
        </w:rPr>
        <w:t xml:space="preserve">دیناً فواضح، وأمّا الثمن الذی فی الذمّة فلأ نّه دین فی ذمّة المسلَم، فإذا جعل عوضاً للمسلَم فیه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الدین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نفس الدین قد قُرن بالباء فصار ثمناً، بخلاف المحاسبة علیه قبل التفرّق إذا لم یشترط؛ لأنّه استیفاء دین قبل التفرّق مع عدم ورود العقد علیه، فلا یقصر عمّا لو أطلقاه ثمّ أحضره قبل التفرّق، وإنّما یفتقر إلی المحاسبة مع تخالفهما جنساً أو وصفاً، أمّا لو اتّفق ما فی الذمّة والثمن فیهما وقع التهاتر قهریّاً ولزم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المصنّف فی الدروس استشکل علی هذا </w:t>
      </w:r>
      <w:r>
        <w:rPr>
          <w:rStyle w:val="FootnoteAnchor"/>
          <w:rtl w:val="true"/>
        </w:rPr>
        <w:footnoteReference w:id="983"/>
      </w:r>
      <w:r>
        <w:rPr>
          <w:rFonts w:ascii="IRNazanin" w:hAnsi="IRNazanin" w:eastAsia="IRNazanin"/>
          <w:color w:val="111111"/>
          <w:sz w:val="28"/>
          <w:sz w:val="28"/>
          <w:szCs w:val="28"/>
          <w:rtl w:val="true"/>
          <w:lang w:bidi="fa-IR"/>
        </w:rPr>
        <w:t xml:space="preserve">صحّةَ العقد، استناداً إلی أ نّه یلزم منه کون مورد العقد دیناً بدین </w:t>
      </w:r>
      <w:r>
        <w:rPr>
          <w:rStyle w:val="FootnoteAnchor"/>
          <w:rtl w:val="true"/>
        </w:rPr>
        <w:footnoteReference w:id="984"/>
      </w:r>
      <w:r>
        <w:rPr>
          <w:rFonts w:ascii="IRNazanin" w:hAnsi="IRNazanin" w:eastAsia="IRNazanin"/>
          <w:color w:val="111111"/>
          <w:sz w:val="28"/>
          <w:sz w:val="28"/>
          <w:szCs w:val="28"/>
          <w:rtl w:val="true"/>
          <w:lang w:bidi="fa-IR"/>
        </w:rPr>
        <w:t>ویندفع بأنّ بیع الدین بالدین لا یتحقّق إلّا إذا جعلا معاً فی نفس العقد متقابلین فی المعاوضة قضیّةً للباء، وهی منتفیة هنا؛ لأنّ الثمن هنا أمر کلّی، وتعیینه بعد العقد فی شخصٍ لا یقتضی کونه هو الثمن الذی جری علیه العقد، ومثل هذا التقاصّ والتحاسب استیفاء، لا 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أثّر مثل ذلک لأثّر مع إطلاقه ثمّ دفعه فی المجلس؛ لصدق بیع الدین بالدین علیه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بجواز الصورة الثانیة أیضاً </w:t>
      </w:r>
      <w:r>
        <w:rPr>
          <w:rStyle w:val="FootnoteAnchor"/>
          <w:rtl w:val="true"/>
        </w:rPr>
        <w:footnoteReference w:id="985"/>
      </w:r>
      <w:r>
        <w:rPr>
          <w:rFonts w:ascii="IRNazanin" w:hAnsi="IRNazanin" w:eastAsia="IRNazanin"/>
          <w:color w:val="111111"/>
          <w:sz w:val="28"/>
          <w:sz w:val="28"/>
          <w:szCs w:val="28"/>
          <w:rtl w:val="true"/>
          <w:lang w:bidi="fa-IR"/>
        </w:rPr>
        <w:t>وهی ما لو جعل الدین ثمناً فی العقد، نظراً إلی أنّ ما فی الذمّة بمنزلة المقبوض</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وتقدیره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المسلَم فیه أو ما یعمّ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بالکیل أو الوزن المعلومین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یکال أو یوزن وفیما لا یُضبط إلّابه، وإن جاز بیعه جزافاً</w:t>
      </w:r>
    </w:p>
    <w:p>
      <w:pPr>
        <w:pStyle w:val="BookText"/>
        <w:rPr/>
      </w:pPr>
      <w:r>
        <w:rPr>
          <w:rFonts w:ascii="IRNazanin" w:hAnsi="IRNazanin" w:eastAsia="IRNazanin"/>
          <w:color w:val="111111"/>
          <w:sz w:val="28"/>
          <w:sz w:val="28"/>
          <w:szCs w:val="28"/>
          <w:rtl w:val="true"/>
          <w:lang w:bidi="fa-IR"/>
        </w:rPr>
        <w:t>کالحطب والحجارة؛ لأنّ المشاهدة ترفع الغرر، بخلاف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بالمعلومین عن الإحالة علی مکیال وصنجة مجهولین فیبطل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العدد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قلّة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کالصنف الخاصّ من الجوز واللوز، أمّا مع کثرته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بغیر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البیض ملحق بالجوز فی جوازه مع تعیّن </w:t>
      </w:r>
      <w:r>
        <w:rPr>
          <w:rStyle w:val="FootnoteAnchor"/>
          <w:rtl w:val="true"/>
        </w:rPr>
        <w:footnoteReference w:id="988"/>
      </w:r>
      <w:r>
        <w:rPr>
          <w:rFonts w:ascii="IRNazanin" w:hAnsi="IRNazanin" w:eastAsia="IRNazanin"/>
          <w:color w:val="111111"/>
          <w:sz w:val="28"/>
          <w:sz w:val="28"/>
          <w:szCs w:val="28"/>
          <w:rtl w:val="true"/>
          <w:lang w:bidi="fa-IR"/>
        </w:rPr>
        <w:t>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قطع بإلحاقه بالرمّان الممتنع به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مثل الثوب یعتبر ضبطه بالذرع وإن جاز بیعه بدونه مع المشاهدة،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أن یذکره أیضاً؛ لخروجه عن الاعتبارات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جُعلت هذه الأشیاء ثمناً فإن کان مُشاهَداً لَحِقه حکم البیع المطلق، فیکفی مشاهدة ما یکفی مشاهدته فیه واعتبار ما یعتبر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وتعیین الأجل المحروس من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یحتمل الزیادة والنقصان إن اُرید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به مطلق البیع لم یشترط وإن وقع بلفظ السلم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مع عموم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وجود المسلَم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مقدوراً علی تسلیمه حیث یکون مستحقّاً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السلم بعض جزئیّات البیع، وقد استعمل لفظه فی نقل الملک علی الوجه المخصوص فجاز استعماله فی الجنس؛ لدلالته علیه حیث یصرَّح بإرادة المعنی العامّ، وذلک عند قصد الحلول، کما ینعقد البیع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w:t>
      </w:r>
    </w:p>
    <w:p>
      <w:pPr>
        <w:pStyle w:val="BookText"/>
        <w:rPr/>
      </w:pPr>
      <w:r>
        <w:rPr>
          <w:rFonts w:ascii="IRNazanin" w:hAnsi="IRNazanin" w:eastAsia="IRNazanin"/>
          <w:color w:val="111111"/>
          <w:sz w:val="28"/>
          <w:sz w:val="28"/>
          <w:szCs w:val="28"/>
          <w:rtl w:val="true"/>
          <w:lang w:bidi="fa-IR"/>
        </w:rPr>
        <w:t>کذا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التملیک موضوع لمعنی آخر، إلّاأنّ قرینة العوض المقابل عیّنته للبیع، بل هذا أولی؛ لأنّه بعض أفراده، بخلاف التملیک المستعمل شرعاً فی الهبة بحیث لا یتبادر عند الإطلاق غیرها، وإنّما صرفه عنها القیود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القول فیما لو استعملا السلم فی بیع عین شخصیّة، وأولی بالجواز؛ لأ نّها أبعد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والحلول أدخل فی إمکان التسلیم من التأجیل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التعلیل </w:t>
      </w:r>
      <w:r>
        <w:rPr>
          <w:rStyle w:val="FootnoteAnchor"/>
          <w:rtl w:val="true"/>
        </w:rPr>
        <w:footnoteReference w:id="990"/>
      </w:r>
      <w:r>
        <w:rPr>
          <w:rFonts w:ascii="IRNazanin" w:hAnsi="IRNazanin" w:eastAsia="IRNazanin"/>
          <w:color w:val="111111"/>
          <w:sz w:val="28"/>
          <w:sz w:val="28"/>
          <w:szCs w:val="28"/>
          <w:rtl w:val="true"/>
          <w:lang w:bidi="fa-IR"/>
        </w:rPr>
        <w:t xml:space="preserve">یلوح وجه المنع فیهما </w:t>
      </w:r>
      <w:r>
        <w:rPr>
          <w:rStyle w:val="FootnoteAnchor"/>
          <w:rtl w:val="true"/>
        </w:rPr>
        <w:footnoteReference w:id="991"/>
      </w:r>
      <w:r>
        <w:rPr>
          <w:rFonts w:ascii="IRNazanin" w:hAnsi="IRNazanin" w:eastAsia="IRNazanin"/>
          <w:color w:val="111111"/>
          <w:sz w:val="28"/>
          <w:sz w:val="28"/>
          <w:szCs w:val="28"/>
          <w:rtl w:val="true"/>
          <w:lang w:bidi="fa-IR"/>
        </w:rPr>
        <w:t>حیث إنّ بناءه علی البیع المؤجّل مثمنه الثابت فی الذمّة، وقد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أسلف فلیُسلف فی کیل معلوم، أو وزن معلوم، أو أجل معلوم</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واُجیب بتسلیمه حیث یُقصد السلم الخاصّ والبحث فیما لو قصدا به البیع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ظاهر عبارة المصنّف هنا وفی الدروس </w:t>
      </w:r>
      <w:r>
        <w:rPr>
          <w:rStyle w:val="FootnoteAnchor"/>
          <w:rtl w:val="true"/>
        </w:rPr>
        <w:footnoteReference w:id="993"/>
      </w:r>
      <w:r>
        <w:rPr>
          <w:rFonts w:ascii="Amiri" w:hAnsi="Amiri" w:eastAsia="Amiri" w:cs="Amiri"/>
          <w:color w:val="111111"/>
          <w:sz w:val="28"/>
          <w:sz w:val="28"/>
          <w:szCs w:val="28"/>
          <w:rtl w:val="true"/>
          <w:lang w:bidi="ar-SA"/>
        </w:rPr>
        <w:t xml:space="preserve">وکثیرٍ </w:t>
      </w:r>
      <w:r>
        <w:rPr>
          <w:rStyle w:val="FootnoteAnchor"/>
          <w:rtl w:val="true"/>
        </w:rPr>
        <w:footnoteReference w:id="994"/>
      </w:r>
      <w:r>
        <w:rPr>
          <w:rFonts w:ascii="IRNazanin" w:hAnsi="IRNazanin" w:eastAsia="IRNazanin"/>
          <w:color w:val="111111"/>
          <w:sz w:val="28"/>
          <w:sz w:val="28"/>
          <w:szCs w:val="28"/>
          <w:rtl w:val="true"/>
          <w:lang w:bidi="fa-IR"/>
        </w:rPr>
        <w:t>أنّ الخلاف مع قصد السلم، وأنّ المختار جوازه مؤجَّلاً وحالّاً مع التصریح بالحلول ولو قصداً، بل مع الإطلاق أیضاً، ویحمل علی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یرشد إلیه التعلیل والجواب أنّ الخلاف فیما لو قصد به البیع المطلق واستعمل السلم فیه بالقرائن، أمّا إذا اُرید به السلف المطلق اشترط ذکر الأجل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کونه عامّ الوجود عند رأس الأجل إذا شرط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البلد الذی شرط تسلیمه فیه، أو بلد العقد حیث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رأی المصنّف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فیما قاربه بحیث ینقل إلیه عادةً، ولا یکفی وجوده فیما لا یعتاد نقله منه إلیه إلّا نادراً، کما لا یشترط وجوده حالَ العقد حیث یکون مؤجّلاً، ولا فیما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عیّن غلّة بلد لم یکفِ وجوده فی غیره وإن اعتید نقله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بأن عیّن غلّة غیره مع لزوم التسلیم به شارطاً نقلَه إلیه، فالوجه الصحّة وإن کان یبطل مع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أنّ بلد التسلیم حینئذٍ بمنزلة شرط آخر، والمعتبر هو بلد المسلم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والشهور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إمکانه کما إذا وقع العقد فی أوّل الشهر، ولو وقع فی أثنائه ففی عدّه هلالیّاً یجبره مقدار ما مضی منه، أو إکماله 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أو انکسار الجمیع لو کان معه غیره، وعدّها ثلاثین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أوجهٌ، أوسطها الوسط، وقوّاه فی الدروس </w:t>
      </w:r>
      <w:r>
        <w:rPr>
          <w:rStyle w:val="FootnoteAnchor"/>
          <w:rtl w:val="true"/>
        </w:rPr>
        <w:footnoteReference w:id="997"/>
      </w:r>
      <w:r>
        <w:rPr>
          <w:rFonts w:ascii="IRNazanin" w:hAnsi="IRNazanin" w:eastAsia="IRNazanin"/>
          <w:color w:val="111111"/>
          <w:sz w:val="28"/>
          <w:sz w:val="28"/>
          <w:szCs w:val="28"/>
          <w:rtl w:val="true"/>
          <w:lang w:bidi="fa-IR"/>
        </w:rPr>
        <w:t>ویظهر من العبارة الأوّل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تأجیل بعض الثمن بطل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المؤجَّل فظاهر؛ لاشتراط قبض الثمن قبل التفرّق المنافی له، وعلی تقدیر عدم منافاته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لقصر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یمتنع من وجه آخر؛ لأنّه بیع الکالئ بالکالئ، فقد فسّره أهل اللغة بأ نّه بیع مضمون مؤجَّل بمثله </w:t>
      </w:r>
      <w:r>
        <w:rPr>
          <w:rStyle w:val="FootnoteAnchor"/>
          <w:rtl w:val="true"/>
        </w:rPr>
        <w:footnoteReference w:id="998"/>
      </w:r>
      <w:r>
        <w:rPr>
          <w:rFonts w:ascii="IRNazanin" w:hAnsi="IRNazanin" w:eastAsia="IRNazanin"/>
          <w:color w:val="111111"/>
          <w:sz w:val="28"/>
          <w:sz w:val="28"/>
          <w:szCs w:val="28"/>
          <w:rtl w:val="true"/>
          <w:lang w:bidi="fa-IR"/>
        </w:rPr>
        <w:t>وأمّا البطلان فی الحالّ علی تقدیر بطلان المؤجّل فلجهالة قسطه من الثمن وإن جعل کلّاً منهما قدراً معلوماً کتأجیل خمسین من مئة؛ لأنّ المعجَّل یقابل من المبیع قسطاً أکثر ممّا یقابله المؤجَّل؛ لتقسیط الثمن علی الأجل أیضاً، والنسبة عند العقد غیر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بالصحّة </w:t>
      </w:r>
      <w:r>
        <w:rPr>
          <w:rStyle w:val="FootnoteAnchor"/>
          <w:rtl w:val="true"/>
        </w:rPr>
        <w:footnoteReference w:id="999"/>
      </w:r>
      <w:r>
        <w:rPr>
          <w:rFonts w:ascii="IRNazanin" w:hAnsi="IRNazanin" w:eastAsia="IRNazanin"/>
          <w:color w:val="111111"/>
          <w:sz w:val="28"/>
          <w:sz w:val="28"/>
          <w:szCs w:val="28"/>
          <w:rtl w:val="true"/>
          <w:lang w:bidi="fa-IR"/>
        </w:rPr>
        <w:t>للعلم بجملة الثمن، والتقسیط غیر مانع، کما لا یمنع لو باع ماله ومال غیره فلم یُجز المالک، بل لو باع الحرّ والعبد بثمن واحد مع کون بیع الحرّ باطلاً من حین العقد کالمؤجَّل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موضع التسلیم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الوفاء بالشرط السائغ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یشرط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التسلیم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کنظائره من المبیع المؤجّل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أحد الأقوال فی المسألة </w:t>
      </w:r>
      <w:r>
        <w:rPr>
          <w:rStyle w:val="FootnoteAnchor"/>
          <w:rtl w:val="true"/>
        </w:rPr>
        <w:footnoteReference w:id="1001"/>
      </w: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تعیین موضعه مطلقاً </w:t>
      </w:r>
      <w:r>
        <w:rPr>
          <w:rStyle w:val="FootnoteAnchor"/>
          <w:rtl w:val="true"/>
        </w:rPr>
        <w:footnoteReference w:id="1002"/>
      </w:r>
      <w:r>
        <w:rPr>
          <w:rFonts w:ascii="IRNazanin" w:hAnsi="IRNazanin" w:eastAsia="IRNazanin"/>
          <w:color w:val="111111"/>
          <w:sz w:val="28"/>
          <w:sz w:val="28"/>
          <w:szCs w:val="28"/>
          <w:rtl w:val="true"/>
          <w:lang w:bidi="fa-IR"/>
        </w:rPr>
        <w:t xml:space="preserve">وهو اختیاره فی الدروس </w:t>
      </w:r>
      <w:r>
        <w:rPr>
          <w:rStyle w:val="FootnoteAnchor"/>
          <w:rtl w:val="true"/>
        </w:rPr>
        <w:footnoteReference w:id="1003"/>
      </w:r>
      <w:r>
        <w:rPr>
          <w:rFonts w:ascii="IRNazanin" w:hAnsi="IRNazanin" w:eastAsia="IRNazanin"/>
          <w:color w:val="111111"/>
          <w:sz w:val="28"/>
          <w:sz w:val="28"/>
          <w:szCs w:val="28"/>
          <w:rtl w:val="true"/>
          <w:lang w:bidi="fa-IR"/>
        </w:rPr>
        <w:t>لاختلاف الأغراض باختلافه الموجبة لاختلاف الثمن والرغبة، ولجهالة موضع الاستحقاق؛ لابتنائه علی موضع الحلول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فارق القرض المحمول علی موضعه؛ لکونه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النسیئة فخرج بالإجماع علی عدم اشتراط تعیین محلّه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وفصّل ثالث باشتراطه إن کان فی حمله مؤونة، وعدمه بعدمه </w:t>
      </w:r>
      <w:r>
        <w:rPr>
          <w:rStyle w:val="FootnoteAnchor"/>
          <w:rtl w:val="true"/>
        </w:rPr>
        <w:footnoteReference w:id="1004"/>
      </w:r>
      <w:r>
        <w:rPr>
          <w:rFonts w:ascii="IRNazanin" w:hAnsi="IRNazanin" w:eastAsia="IRNazanin"/>
          <w:color w:val="111111"/>
          <w:sz w:val="28"/>
          <w:sz w:val="28"/>
          <w:szCs w:val="28"/>
          <w:rtl w:val="true"/>
          <w:lang w:bidi="fa-IR"/>
        </w:rPr>
        <w:t xml:space="preserve">ورابع بکونهما فی مکانٍ قصدُهما مفارقته وعدمه </w:t>
      </w:r>
      <w:r>
        <w:rPr>
          <w:rStyle w:val="FootnoteAnchor"/>
          <w:rtl w:val="true"/>
        </w:rPr>
        <w:footnoteReference w:id="1005"/>
      </w:r>
      <w:r>
        <w:rPr>
          <w:rFonts w:ascii="IRNazanin" w:hAnsi="IRNazanin" w:eastAsia="IRNazanin"/>
          <w:color w:val="111111"/>
          <w:sz w:val="28"/>
          <w:sz w:val="28"/>
          <w:szCs w:val="28"/>
          <w:rtl w:val="true"/>
          <w:lang w:bidi="fa-IR"/>
        </w:rPr>
        <w:t xml:space="preserve">وخامس باشتراطه فیهما </w:t>
      </w:r>
      <w:r>
        <w:rPr>
          <w:rStyle w:val="FootnoteAnchor"/>
          <w:rtl w:val="true"/>
        </w:rPr>
        <w:footnoteReference w:id="1006"/>
      </w:r>
      <w:r>
        <w:rPr>
          <w:rFonts w:ascii="IRNazanin" w:hAnsi="IRNazanin" w:eastAsia="IRNazanin"/>
          <w:color w:val="111111"/>
          <w:sz w:val="28"/>
          <w:sz w:val="28"/>
          <w:szCs w:val="28"/>
          <w:rtl w:val="true"/>
          <w:lang w:bidi="fa-IR"/>
        </w:rPr>
        <w:t>ووجه</w:t>
      </w:r>
    </w:p>
    <w:p>
      <w:pPr>
        <w:pStyle w:val="BookText"/>
        <w:rPr/>
      </w:pPr>
      <w:r>
        <w:rPr>
          <w:rFonts w:ascii="IRNazanin" w:hAnsi="IRNazanin" w:eastAsia="IRNazanin"/>
          <w:color w:val="111111"/>
          <w:sz w:val="28"/>
          <w:sz w:val="28"/>
          <w:szCs w:val="28"/>
          <w:rtl w:val="true"/>
          <w:lang w:bidi="fa-IR"/>
        </w:rPr>
        <w:t xml:space="preserve">الثلاثة مرکّب من الأوّلین </w:t>
      </w:r>
      <w:r>
        <w:rPr>
          <w:rStyle w:val="FootnoteAnchor"/>
          <w:rtl w:val="true"/>
        </w:rPr>
        <w:footnoteReference w:id="1007"/>
      </w:r>
      <w:r>
        <w:rPr>
          <w:rFonts w:ascii="IRNazanin" w:hAnsi="IRNazanin" w:eastAsia="IRNazanin"/>
          <w:color w:val="111111"/>
          <w:sz w:val="28"/>
          <w:sz w:val="28"/>
          <w:szCs w:val="28"/>
          <w:rtl w:val="true"/>
          <w:lang w:bidi="fa-IR"/>
        </w:rPr>
        <w:t>ولا ریب أنّ التعیین مطلقاً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اشتراط السائغ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کاشتراط حمله إلی موضع معیّن، وتسلیمه کذلک ورهن وضمین، وکونه من غلّة أرض أو بلد لا تخیس فیها غالباً،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بعدَ 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الغریم وغیره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 ذلک فی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تبیعنَّ شیئاً حتّی تقبضه</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 xml:space="preserve">ونحوه </w:t>
      </w:r>
      <w:r>
        <w:rPr>
          <w:rStyle w:val="FootnoteAnchor"/>
          <w:rtl w:val="true"/>
        </w:rPr>
        <w:footnoteReference w:id="1009"/>
      </w:r>
      <w:r>
        <w:rPr>
          <w:rFonts w:ascii="IRNazanin" w:hAnsi="IRNazanin" w:eastAsia="IRNazanin"/>
          <w:color w:val="111111"/>
          <w:sz w:val="28"/>
          <w:sz w:val="28"/>
          <w:szCs w:val="28"/>
          <w:rtl w:val="true"/>
          <w:lang w:bidi="fa-IR"/>
        </w:rPr>
        <w:t>المحمول علی الکراهة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وخصّها بعضهم بالمکیل والموزون </w:t>
      </w:r>
      <w:r>
        <w:rPr>
          <w:rStyle w:val="FootnoteAnchor"/>
          <w:rtl w:val="true"/>
        </w:rPr>
        <w:footnoteReference w:id="1010"/>
      </w:r>
      <w:r>
        <w:rPr>
          <w:rFonts w:ascii="IRNazanin" w:hAnsi="IRNazanin" w:eastAsia="IRNazanin"/>
          <w:color w:val="111111"/>
          <w:sz w:val="28"/>
          <w:sz w:val="28"/>
          <w:szCs w:val="28"/>
          <w:rtl w:val="true"/>
          <w:lang w:bidi="fa-IR"/>
        </w:rPr>
        <w:t xml:space="preserve">وآخرون بالطعام </w:t>
      </w:r>
      <w:r>
        <w:rPr>
          <w:rStyle w:val="FootnoteAnchor"/>
          <w:rtl w:val="true"/>
        </w:rPr>
        <w:footnoteReference w:id="1011"/>
      </w:r>
      <w:r>
        <w:rPr>
          <w:rFonts w:ascii="IRNazanin" w:hAnsi="IRNazanin" w:eastAsia="IRNazanin"/>
          <w:color w:val="111111"/>
          <w:sz w:val="28"/>
          <w:sz w:val="28"/>
          <w:szCs w:val="28"/>
          <w:rtl w:val="true"/>
          <w:lang w:bidi="fa-IR"/>
        </w:rPr>
        <w:t xml:space="preserve">وحرّمه آخرون فیهما </w:t>
      </w:r>
      <w:r>
        <w:rPr>
          <w:rStyle w:val="FootnoteAnchor"/>
          <w:rtl w:val="true"/>
        </w:rPr>
        <w:footnoteReference w:id="1012"/>
      </w:r>
      <w:r>
        <w:rPr>
          <w:rFonts w:ascii="IRNazanin" w:hAnsi="IRNazanin" w:eastAsia="IRNazanin"/>
          <w:color w:val="111111"/>
          <w:sz w:val="28"/>
          <w:sz w:val="28"/>
          <w:szCs w:val="28"/>
          <w:rtl w:val="true"/>
          <w:lang w:bidi="fa-IR"/>
        </w:rPr>
        <w:t xml:space="preserve">وهو الأقوی، حملاً لما ورد صحیحاً من النهی علی ظاهره؛ لضعف المعارض </w:t>
      </w:r>
      <w:r>
        <w:rPr>
          <w:rStyle w:val="FootnoteAnchor"/>
          <w:rtl w:val="true"/>
        </w:rPr>
        <w:footnoteReference w:id="1013"/>
      </w:r>
      <w:r>
        <w:rPr>
          <w:rFonts w:ascii="IRNazanin" w:hAnsi="IRNazanin" w:eastAsia="IRNazanin"/>
          <w:color w:val="111111"/>
          <w:sz w:val="28"/>
          <w:sz w:val="28"/>
          <w:szCs w:val="28"/>
          <w:rtl w:val="true"/>
          <w:lang w:bidi="fa-IR"/>
        </w:rPr>
        <w:t>الدالّ علی الجواز الحامل للنهی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النهی عن بیع مطلق ما لم یُقبض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بیعه قبلَ حلوله فلا؛ لعدم استحقاقه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صالح علیه فالأقوی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الصفة وجب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خیر وإحسان، فالامتناع منه عناد؛ ولأنّ الجَودة صفة لا یمکن فصلها، فهی تابعة، بخلاف ما لو دفع أزید قدراً یمکن فصله ولو فی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w:t>
      </w:r>
      <w:r>
        <w:rPr>
          <w:rStyle w:val="FootnoteAnchor"/>
          <w:rtl w:val="true"/>
        </w:rPr>
        <w:footnoteReference w:id="1014"/>
      </w:r>
      <w:r>
        <w:rPr>
          <w:rFonts w:ascii="IRNazanin" w:hAnsi="IRNazanin" w:eastAsia="IRNazanin"/>
          <w:color w:val="111111"/>
          <w:sz w:val="28"/>
          <w:sz w:val="28"/>
          <w:szCs w:val="28"/>
          <w:rtl w:val="true"/>
          <w:lang w:bidi="fa-IR"/>
        </w:rPr>
        <w:t xml:space="preserve">لما فیه من المنّة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دون الصفة المشترطة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وإن کان أجود من وجه آخر؛ لأنّه لیس حقّه مع تضرّره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تسلیم الحنطة ونحوها عند الإطلاق نقیّة من الزُوان </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والمدر </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والتراب والقشر غیر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وتسلیم التمر والزبیب جافّین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والعنب والرُطب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ویُعفی عن الیسیر المحتمل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بالأدون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أسقط حقّه من الزائد برضاه، کما یلزم لو رضی بغیر جنسه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مؤجَّلاً ممکنَ الحصول بعد الأجل عادةً فاتّفق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برأس ماله؛ لتعذّر الوصول إلی حقّه وانتفاء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لا یفسخ ولا یصبر، بل یأخذ قیمته حینئذٍ؛ لأنّ ذلک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أنّ الخیار لیس فوریّاً، فله الرجوع بعد الصبر إلی أحد الأمرین ما لم یُصرّح بإسقاط حقّه من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الانقطاع بعد بذله له ورضاه بالتأخیر سقط خیاره، بخلاف ما لو کان بعدم المطالبة أو بمنع البائع مع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 انقطاعه عند الحلول موت المسلم إلیه قبلَ الأجل وقبلَ وجوده، لا العلم قبلَه بعدمه بعدَه، بل یتوقّف الخیار علی الحلول علی الأقوی؛ لعدم وجود المقتضی له الآن؛ إذ لم یستحقّ شیئاً حینئذٍ</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قبض البعض تخیّر أیضاً بین الفسخ فی الجمیع والصبر، وبین أخذ ما قبض والمطالبة بحصّة غیره من الثمن أو قیمة المثمن علی القول الآخر </w:t>
      </w:r>
      <w:r>
        <w:rPr>
          <w:rStyle w:val="FootnoteAnchor"/>
          <w:rtl w:val="true"/>
        </w:rPr>
        <w:footnoteReference w:id="1017"/>
      </w:r>
      <w:r>
        <w:rPr>
          <w:rFonts w:ascii="IRNazanin" w:hAnsi="IRNazanin" w:eastAsia="IRNazanin"/>
          <w:color w:val="111111"/>
          <w:sz w:val="28"/>
          <w:sz w:val="28"/>
          <w:szCs w:val="28"/>
          <w:rtl w:val="true"/>
          <w:lang w:bidi="fa-IR"/>
        </w:rPr>
        <w:t>وفی تخیّر المسلَم إلیه مع الفسخ فی البعض وجه قویّ؛ لتبعّض الصفقة علیه، إلّاأن یکون الانقطاع من تقصیره فلا خیار له</w:t>
      </w:r>
      <w:r>
        <w:rPr>
          <w:rFonts w:eastAsia="IRNazanin" w:cs="IRNazanin"/>
          <w:color w:val="111111"/>
          <w:sz w:val="28"/>
          <w:szCs w:val="28"/>
          <w:rtl w:val="true"/>
          <w:lang w:bidi="fa-IR"/>
        </w:rPr>
        <w:t>.</w:t>
      </w:r>
      <w:bookmarkStart w:id="364" w:name="pg19812_249472"/>
    </w:p>
    <w:p>
      <w:pPr>
        <w:pStyle w:val="Heading3"/>
        <w:numPr>
          <w:ilvl w:val="2"/>
          <w:numId w:val="1"/>
        </w:numPr>
        <w:rPr/>
      </w:pPr>
      <w:bookmarkStart w:id="365" w:name="__RefHeading___Toc2093018_2314609296"/>
      <w:bookmarkStart w:id="366" w:name="_Toc132"/>
      <w:bookmarkEnd w:id="364"/>
      <w:bookmarkEnd w:id="365"/>
      <w:r>
        <w:rPr>
          <w:rtl w:val="true"/>
        </w:rPr>
        <w:t>«</w:t>
      </w:r>
      <w:r>
        <w:rPr>
          <w:rtl w:val="true"/>
        </w:rPr>
        <w:t>الفصل السابع</w:t>
      </w:r>
      <w:r>
        <w:rPr>
          <w:rtl w:val="true"/>
        </w:rPr>
        <w:t>» «</w:t>
      </w:r>
      <w:r>
        <w:rPr>
          <w:rtl w:val="true"/>
        </w:rPr>
        <w:t>فی أقسام البیع</w:t>
      </w:r>
      <w:r>
        <w:rPr>
          <w:rtl w:val="true"/>
        </w:rPr>
        <w:t>» «</w:t>
      </w:r>
      <w:r>
        <w:rPr>
          <w:rtl w:val="true"/>
        </w:rPr>
        <w:t>بالنسبة إلی الإخبار بالثمن وعدمه</w:t>
      </w:r>
      <w:r>
        <w:rPr>
          <w:rtl w:val="true"/>
        </w:rPr>
        <w:t>»</w:t>
      </w:r>
      <w:bookmarkEnd w:id="366"/>
    </w:p>
    <w:p>
      <w:pPr>
        <w:pStyle w:val="Heading4"/>
        <w:numPr>
          <w:ilvl w:val="3"/>
          <w:numId w:val="1"/>
        </w:numPr>
        <w:rPr/>
      </w:pPr>
      <w:bookmarkStart w:id="367" w:name="__RefHeading___Toc2093020_2314609296"/>
      <w:bookmarkStart w:id="368" w:name="_Toc133"/>
      <w:bookmarkEnd w:id="367"/>
      <w:r>
        <w:rPr>
          <w:rtl w:val="true"/>
        </w:rPr>
        <w:t>اشارة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إمّا أن یُخبر به أو لا، 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إمّا أن یبیع معه برأس المال، أو بزیادة علیه، أو نقصان عنه، والأوّل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المواضعة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وبقی قسم خامس وهو إعطاء بعض المبیع برأس ماله، ولم یذکره کثیر وذکره المصنّف هنا </w:t>
      </w:r>
      <w:r>
        <w:rPr>
          <w:rStyle w:val="FootnoteAnchor"/>
          <w:rtl w:val="true"/>
        </w:rPr>
        <w:footnoteReference w:id="1018"/>
      </w:r>
      <w:r>
        <w:rPr>
          <w:rFonts w:ascii="IRNazanin" w:hAnsi="IRNazanin" w:eastAsia="IRNazanin"/>
          <w:color w:val="111111"/>
          <w:sz w:val="28"/>
          <w:sz w:val="28"/>
          <w:szCs w:val="28"/>
          <w:rtl w:val="true"/>
          <w:lang w:bidi="fa-IR"/>
        </w:rPr>
        <w:t xml:space="preserve">وفی الدروس </w:t>
      </w:r>
      <w:r>
        <w:rPr>
          <w:rStyle w:val="FootnoteAnchor"/>
          <w:rtl w:val="true"/>
        </w:rPr>
        <w:footnoteReference w:id="1019"/>
      </w:r>
      <w:r>
        <w:rPr>
          <w:rFonts w:ascii="IRNazanin" w:hAnsi="IRNazanin" w:eastAsia="IRNazanin"/>
          <w:color w:val="111111"/>
          <w:sz w:val="28"/>
          <w:sz w:val="28"/>
          <w:szCs w:val="28"/>
          <w:rtl w:val="true"/>
          <w:lang w:bidi="fa-IR"/>
        </w:rPr>
        <w:t xml:space="preserve">وفی بعض الأخبار دلالة علیه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تجتمع الأقسام فی عقد واحد، بأن اشتری خمسةٌ ثوباً بالسویّة، لکن ثمن نصیب أحدهم عشرون، والآخر خمسة عشر، والثالث عشرة، والرابع خمسة، والخامس لم یُبیِّن، ثمّ باع مَن عدا الرابع نصیبَهم بستّین بعد إخبارهم بالحال، والرابع شرّک فی حصّته، فهو بالنسبة إلی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واجتماعُ</w:t>
      </w:r>
      <w:bookmarkStart w:id="369" w:name="pg19812_249473"/>
    </w:p>
    <w:p>
      <w:pPr>
        <w:pStyle w:val="BookText"/>
        <w:rPr/>
      </w:pPr>
      <w:bookmarkEnd w:id="369"/>
      <w:r>
        <w:rPr>
          <w:rFonts w:ascii="IRNazanin" w:hAnsi="IRNazanin" w:eastAsia="IRNazanin"/>
          <w:color w:val="111111"/>
          <w:sz w:val="28"/>
          <w:sz w:val="28"/>
          <w:szCs w:val="28"/>
          <w:rtl w:val="true"/>
          <w:lang w:bidi="fa-IR"/>
        </w:rPr>
        <w:t>قسمین وثلاثة وأربعة منها علی قیاس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والأقسام الأربعة</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2093022_2314609296"/>
      <w:bookmarkStart w:id="371" w:name="_Toc134"/>
      <w:bookmarkEnd w:id="370"/>
      <w:r>
        <w:rPr>
          <w:rtl w:val="true"/>
        </w:rPr>
        <w:t>[</w:t>
      </w:r>
      <w:r>
        <w:rPr>
          <w:rtl w:val="true"/>
        </w:rPr>
        <w:t>القسم الاول</w:t>
      </w:r>
      <w:r>
        <w:rPr>
          <w:rtl w:val="true"/>
        </w:rPr>
        <w:t xml:space="preserve">: </w:t>
      </w:r>
      <w:r>
        <w:rPr>
          <w:rtl w:val="true"/>
        </w:rPr>
        <w:t>المساومة</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وهی البیع بما یتّفقان علیه من غیر تعرّض للإخبار بالثمن، سواء علمه المشتری أم لا، وهی أفضل الأقسام</w:t>
      </w:r>
      <w:r>
        <w:rPr>
          <w:rFonts w:eastAsia="IRNazanin" w:cs="IRNazanin"/>
          <w:color w:val="111111"/>
          <w:sz w:val="28"/>
          <w:szCs w:val="28"/>
          <w:rtl w:val="true"/>
          <w:lang w:bidi="fa-IR"/>
        </w:rPr>
        <w:t>.</w:t>
      </w:r>
    </w:p>
    <w:p>
      <w:pPr>
        <w:pStyle w:val="Heading4"/>
        <w:numPr>
          <w:ilvl w:val="3"/>
          <w:numId w:val="1"/>
        </w:numPr>
        <w:rPr/>
      </w:pPr>
      <w:bookmarkStart w:id="372" w:name="__RefHeading___Toc2093024_2314609296"/>
      <w:bookmarkStart w:id="373" w:name="_Toc135"/>
      <w:bookmarkEnd w:id="372"/>
      <w:r>
        <w:rPr>
          <w:rtl w:val="true"/>
        </w:rPr>
        <w:t>[</w:t>
      </w:r>
      <w:r>
        <w:rPr>
          <w:rtl w:val="true"/>
        </w:rPr>
        <w:t>القسم الثانی</w:t>
      </w:r>
      <w:r>
        <w:rPr>
          <w:rtl w:val="true"/>
        </w:rPr>
        <w:t xml:space="preserve">: </w:t>
      </w:r>
      <w:r>
        <w:rPr>
          <w:rtl w:val="true"/>
        </w:rPr>
        <w:t>المرابحه</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المرابحة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 کلّ من البائع والمشتری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الثمن،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والغرامة والمُؤَن إن ضمّها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علی البائع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الثمن، والمُؤَن، وما طرأ من موجب النقص، والأجل،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یُحدث فیه زیادة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أو هو علیَّ، أو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زاد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غرامة 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بالواقع،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بکذا وعملت فیه عملاً یساوی کذا، ومثله ما لو عمل فیه متطوّع</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باستئجاره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لأنّ الشراء لا یدخل فیه إلّاالثمن،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یدخل فیه الثمن وما یلحقه من اُجرة الکیّال والدلّال والحارس والمَحْرَس والقصّار والرفّاء </w:t>
      </w:r>
      <w:r>
        <w:rPr>
          <w:rStyle w:val="FootnoteAnchor"/>
          <w:rtl w:val="true"/>
        </w:rPr>
        <w:footnoteReference w:id="1021"/>
      </w:r>
      <w:r>
        <w:rPr>
          <w:rFonts w:ascii="IRNazanin" w:hAnsi="IRNazanin" w:eastAsia="IRNazanin"/>
          <w:color w:val="111111"/>
          <w:sz w:val="28"/>
          <w:sz w:val="28"/>
          <w:szCs w:val="28"/>
          <w:rtl w:val="true"/>
          <w:lang w:bidi="fa-IR"/>
        </w:rPr>
        <w:t>والصبّاغ، وسائر المؤن المرادة للاسترباح، لا ما یُقصد به استبقاء الملک دون الاسترباح، کنفقة العبد وکسوته وعلف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العلف الزائد علی المعتاد للتسمین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والاُجرة وما فی معناها لا تُضمّ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p>
    <w:p>
      <w:pPr>
        <w:pStyle w:val="BookText"/>
        <w:rPr/>
      </w:pP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واستأجرت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الاُجرة تنضمّ حینئذٍ إلی الثمن؛ للتصریح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دخول المذکورات لیس من جهة الإخبار، بل فائدته إعلام المشتری بذلک لیدخل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بما اشتریت، أو بما قام علیَّ، أو بما اشتریت واستأجرت وربح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طرأ عیب وجب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لنقص المبیع به عمّا کان حین شراه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أخذ أرشاً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الأرش جزءٌ من الثمن، فکأ نّه اشتراه بما عداه، وإن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لطروء النقصان الذی هو بمنزلة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الأرش بسبب جنایة لم یسقط من الثمن؛ لأنّها حقّ متجدّد لا یقتضیها العقد کنتاج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العین وإن کان حادثاً بعد العقد حیث یُضمن؛ لأ نّه بمقتضی العقد أیضاً فکان کالموجود 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العبارة إسقاط مطلق الأرش 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قیّدناه صرّح فی الدروس </w:t>
      </w:r>
      <w:r>
        <w:rPr>
          <w:rStyle w:val="FootnoteAnchor"/>
          <w:rtl w:val="true"/>
        </w:rPr>
        <w:footnoteReference w:id="1022"/>
      </w:r>
      <w:r>
        <w:rPr>
          <w:rFonts w:ascii="IRNazanin" w:hAnsi="IRNazanin" w:eastAsia="IRNazanin"/>
          <w:color w:val="111111"/>
          <w:sz w:val="28"/>
          <w:sz w:val="28"/>
          <w:szCs w:val="28"/>
          <w:rtl w:val="true"/>
          <w:lang w:bidi="fa-IR"/>
        </w:rPr>
        <w:t xml:space="preserve">کغیره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یقوّم أبعاض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ویُخبر بما یقتضیه التقسیط من الثمن وإن کانت متساویةً أو أخبر بالحال؛ لأنّ المبیع المقابل بالثمن هو المجموع، لا الأفراد وإن یُقسّط الثمن علیها فی بعض الموارد، کما لو تلف بعضها أو ظهر مستحقّاً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الإخبار بقدر الثمن أو ما فی حکمه </w:t>
      </w:r>
      <w:r>
        <w:rPr>
          <w:rStyle w:val="FootnoteAnchor"/>
          <w:rtl w:val="true"/>
        </w:rPr>
        <w:footnoteReference w:id="1024"/>
      </w:r>
      <w:r>
        <w:rPr>
          <w:rFonts w:ascii="IRNazanin" w:hAnsi="IRNazanin" w:eastAsia="IRNazanin"/>
          <w:color w:val="111111"/>
          <w:sz w:val="28"/>
          <w:sz w:val="28"/>
          <w:szCs w:val="28"/>
          <w:rtl w:val="true"/>
          <w:lang w:bidi="fa-IR"/>
        </w:rPr>
        <w:t xml:space="preserve">أو جنسه أو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ببیّنة أو 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ردّه وأخذه بالثمن</w:t>
      </w:r>
    </w:p>
    <w:p>
      <w:pPr>
        <w:pStyle w:val="BookText"/>
        <w:rPr/>
      </w:pPr>
      <w:r>
        <w:rPr>
          <w:rFonts w:ascii="IRNazanin" w:hAnsi="IRNazanin" w:eastAsia="IRNazanin"/>
          <w:color w:val="111111"/>
          <w:sz w:val="28"/>
          <w:sz w:val="28"/>
          <w:szCs w:val="28"/>
          <w:rtl w:val="true"/>
          <w:lang w:bidi="fa-IR"/>
        </w:rPr>
        <w:t>الذی وقع علیه العقد؛ لغروره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أخذه بحطّ الزیادة وربحها </w:t>
      </w:r>
      <w:r>
        <w:rPr>
          <w:rStyle w:val="FootnoteAnchor"/>
          <w:rtl w:val="true"/>
        </w:rPr>
        <w:footnoteReference w:id="1025"/>
      </w:r>
      <w:r>
        <w:rPr>
          <w:rFonts w:ascii="IRNazanin" w:hAnsi="IRNazanin" w:eastAsia="IRNazanin"/>
          <w:color w:val="111111"/>
          <w:sz w:val="28"/>
          <w:sz w:val="28"/>
          <w:szCs w:val="28"/>
          <w:rtl w:val="true"/>
          <w:lang w:bidi="fa-IR"/>
        </w:rPr>
        <w:t>لکذبه مع کون ذلک هو مقتضی المرابحة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بعدم العقد علی ذلک فکیف یثبت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فی ثبوت خیار المشتری علی الأوّل بقاؤه علی ملکه؟ وجهان، أجودهما العدم؛ لأصالة بقائه مع وجود المقتضی وعدم صلاحیّة ذلک للمانع، فمع التلف أو انتقاله عن ملکه انتقالاً لازماً، أو وجود مانع من ردّه کالاستیلاد یردّ مثله أو قیمته إن اختار الفسخ، ویأخذ الثمن أو عوضه مع فقده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الإخبار بما اشتراه من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 لأنّه 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وتدلیس، فلو فعل ذلک أثم وصحّ البیع، لکن یتخیّر المشتری إذا علم بین ردّه وأخذه بالثمن، کما لو ظهر کذبه فی الإخبار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أو غلامه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 غیر سابقة بیع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مواطأة علی الزیادة وإن لم یکن </w:t>
      </w:r>
      <w:r>
        <w:rPr>
          <w:rStyle w:val="FootnoteAnchor"/>
          <w:rtl w:val="true"/>
        </w:rPr>
        <w:footnoteReference w:id="1026"/>
      </w:r>
      <w:r>
        <w:rPr>
          <w:rFonts w:ascii="IRNazanin" w:hAnsi="IRNazanin" w:eastAsia="IRNazanin"/>
          <w:color w:val="111111"/>
          <w:sz w:val="28"/>
          <w:sz w:val="28"/>
          <w:szCs w:val="28"/>
          <w:rtl w:val="true"/>
          <w:lang w:bidi="fa-IR"/>
        </w:rPr>
        <w:t xml:space="preserve">سبق منه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المانع حینئذٍ؛ إذ لا مانع من معاملة مَن ذُکر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بما قوّم علیه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له الزائد من غیر أن یعقد معه البیع؛ لأنّه کاذب فی إخباره؛ إذ مجرّد التقویم لا یوجبه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بیعه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وللدلّال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عمل عملاً له اُجرة عادةً، فإذا فات المشترَط رجع إلی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ابتداء التاجر له به واستدعاء الدلّال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w:t>
      </w:r>
      <w:bookmarkStart w:id="374" w:name="pg19812_249476"/>
    </w:p>
    <w:p>
      <w:pPr>
        <w:pStyle w:val="BookText"/>
        <w:rPr/>
      </w:pPr>
      <w:bookmarkEnd w:id="374"/>
      <w:r>
        <w:rPr>
          <w:rFonts w:ascii="IRNazanin" w:hAnsi="IRNazanin" w:eastAsia="IRNazanin"/>
          <w:color w:val="111111"/>
          <w:sz w:val="28"/>
          <w:sz w:val="28"/>
          <w:szCs w:val="28"/>
          <w:rtl w:val="true"/>
          <w:lang w:bidi="fa-IR"/>
        </w:rPr>
        <w:t xml:space="preserve">للشیخین رحمهما الله </w:t>
      </w:r>
      <w:r>
        <w:rPr>
          <w:rStyle w:val="FootnoteAnchor"/>
          <w:rtl w:val="true"/>
        </w:rPr>
        <w:footnoteReference w:id="1027"/>
      </w:r>
      <w:r>
        <w:rPr>
          <w:rFonts w:ascii="IRNazanin" w:hAnsi="IRNazanin" w:eastAsia="IRNazanin"/>
          <w:color w:val="111111"/>
          <w:sz w:val="28"/>
          <w:sz w:val="28"/>
          <w:szCs w:val="28"/>
          <w:rtl w:val="true"/>
          <w:lang w:bidi="fa-IR"/>
        </w:rPr>
        <w:t xml:space="preserve">حیث حکما بملک الدلّال الزائدَ فی الأوّل استناداً إلی أخبار صحیحة </w:t>
      </w:r>
      <w:r>
        <w:rPr>
          <w:rStyle w:val="FootnoteAnchor"/>
          <w:rtl w:val="true"/>
        </w:rPr>
        <w:footnoteReference w:id="1028"/>
      </w:r>
      <w:r>
        <w:rPr>
          <w:rFonts w:ascii="IRNazanin" w:hAnsi="IRNazanin" w:eastAsia="IRNazanin"/>
          <w:color w:val="111111"/>
          <w:sz w:val="28"/>
          <w:sz w:val="28"/>
          <w:szCs w:val="28"/>
          <w:rtl w:val="true"/>
          <w:lang w:bidi="fa-IR"/>
        </w:rPr>
        <w:t>یمکن حملها علی الجعالة، بناءً علی أ نّه لا یقدح فیها هذا النوع من الجهالة</w:t>
      </w:r>
      <w:r>
        <w:rPr>
          <w:rFonts w:eastAsia="IRNazanin" w:cs="IRNazanin"/>
          <w:color w:val="111111"/>
          <w:sz w:val="28"/>
          <w:szCs w:val="28"/>
          <w:rtl w:val="true"/>
          <w:lang w:bidi="fa-IR"/>
        </w:rPr>
        <w:t>.</w:t>
      </w:r>
    </w:p>
    <w:p>
      <w:pPr>
        <w:pStyle w:val="Heading4"/>
        <w:numPr>
          <w:ilvl w:val="3"/>
          <w:numId w:val="1"/>
        </w:numPr>
        <w:rPr/>
      </w:pPr>
      <w:bookmarkStart w:id="375" w:name="__RefHeading___Toc2093026_2314609296"/>
      <w:bookmarkStart w:id="376" w:name="_Toc136"/>
      <w:bookmarkEnd w:id="375"/>
      <w:r>
        <w:rPr>
          <w:rtl w:val="true"/>
        </w:rPr>
        <w:t>[</w:t>
      </w:r>
      <w:r>
        <w:rPr>
          <w:rtl w:val="true"/>
        </w:rPr>
        <w:t>القسم الثالث</w:t>
      </w:r>
      <w:r>
        <w:rPr>
          <w:rtl w:val="true"/>
        </w:rPr>
        <w:t xml:space="preserve">: </w:t>
      </w:r>
      <w:r>
        <w:rPr>
          <w:rtl w:val="true"/>
        </w:rPr>
        <w:t>المواضعه</w:t>
      </w:r>
      <w:r>
        <w:rPr>
          <w:rtl w:val="true"/>
        </w:rPr>
        <w:t>]</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کالمرابحة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الإخبار علی الوجوه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 نّها بنقیصة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بما اشتریته أو تقوّم علیَّ ووضیعة کذا، أو حطّ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قد اشتراه بمئة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بمئة ووضیعة درهمٍ من کلّ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فالثمن تسعون،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عشرةُ أجزاء من أحد عشر جزءاً من درهم؛ لأنّ الموضوع فی الأوّل من نفس العشرة عملاً بظاهر التبعیض، وفی الثانی من خارجها، فکأ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أحد عشر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أضاف الوضیعة إلی العشرة احتمل الأمرین، نظراً إلی احتمال الإضافة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هو الأوّل؛ لأنّ شرط الإضافة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تبیینیّة لا تبعیضیّة، بمعنی کون المضاف جزئیّاً من جزئیّات المضاف إلیه بحیث یصحّ إطلاقه علی المضاف وغیره والإخبار به عنه کخاتم فضّة، لا جزءاً من کلّ کبعض القوم وید زید، فإنّ کلّ القوم لا یطلق علی بعضه ولا زیدٌ علی یده، والموضوع هنا بعض العشرة فلا یخبر بها عنه، فتکون بمعنی اللام</w:t>
      </w:r>
      <w:r>
        <w:rPr>
          <w:rFonts w:eastAsia="IRNazanin" w:cs="IRNazanin"/>
          <w:color w:val="111111"/>
          <w:sz w:val="28"/>
          <w:szCs w:val="28"/>
          <w:rtl w:val="true"/>
          <w:lang w:bidi="fa-IR"/>
        </w:rPr>
        <w:t>.</w:t>
      </w:r>
      <w:bookmarkStart w:id="377" w:name="pg19812_249477"/>
    </w:p>
    <w:p>
      <w:pPr>
        <w:pStyle w:val="Heading4"/>
        <w:numPr>
          <w:ilvl w:val="3"/>
          <w:numId w:val="1"/>
        </w:numPr>
        <w:rPr/>
      </w:pPr>
      <w:bookmarkStart w:id="378" w:name="__RefHeading___Toc2093028_2314609296"/>
      <w:bookmarkStart w:id="379" w:name="_Toc137"/>
      <w:bookmarkEnd w:id="377"/>
      <w:bookmarkEnd w:id="378"/>
      <w:r>
        <w:rPr>
          <w:rtl w:val="true"/>
        </w:rPr>
        <w:t>[</w:t>
      </w:r>
      <w:r>
        <w:rPr>
          <w:rtl w:val="true"/>
        </w:rPr>
        <w:t xml:space="preserve">القسم الرابع </w:t>
      </w:r>
      <w:r>
        <w:rPr>
          <w:rtl w:val="true"/>
        </w:rPr>
        <w:t>«</w:t>
      </w:r>
      <w:r>
        <w:rPr>
          <w:rtl w:val="true"/>
        </w:rPr>
        <w:t>التولیة</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الإعطاء برأس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بعد علمهما بالثمن وما تبعه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ولّیتک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قبل لزمه مثله جنساً وقدراً وصفة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أکمله بالثمن، أو بما قام علیه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یفتقر فی الأوّل إلی ذکره </w:t>
      </w:r>
      <w:r>
        <w:rPr>
          <w:rStyle w:val="FootnoteAnchor"/>
          <w:rtl w:val="true"/>
        </w:rPr>
        <w:footnoteReference w:id="1029"/>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ولّیتک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فی الدروس الجواز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والتشریک جائز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له فیه نصیباً بما یخصّه من الثمن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بنصفه بنسبة ما اشتریت، مع علمهما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تعدیته بالهمزة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أشرکتک بالنصف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ولزمه نصفُ مثل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أشرکتک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الربع، إلّاأن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بنصف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یبیّن الحصّة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أطلق بطل؛ للجهل بالمبیع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حمل الثانی </w:t>
      </w:r>
      <w:r>
        <w:rPr>
          <w:rStyle w:val="FootnoteAnchor"/>
          <w:rtl w:val="true"/>
        </w:rPr>
        <w:footnoteReference w:id="1031"/>
      </w:r>
      <w:r>
        <w:rPr>
          <w:rFonts w:ascii="IRNazanin" w:hAnsi="IRNazanin" w:eastAsia="IRNazanin"/>
          <w:color w:val="111111"/>
          <w:sz w:val="28"/>
          <w:sz w:val="28"/>
          <w:szCs w:val="28"/>
          <w:rtl w:val="true"/>
          <w:lang w:bidi="fa-IR"/>
        </w:rPr>
        <w:t>علی التنصیف</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Style w:val="FootnoteAnchor"/>
          <w:rtl w:val="true"/>
        </w:rPr>
        <w:footnoteReference w:id="1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بیع الجزء المشاع برأس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یختصّ عن مطلق البیع بصحّته بلفظه</w:t>
      </w:r>
      <w:r>
        <w:rPr>
          <w:rFonts w:eastAsia="IRNazanin" w:cs="IRNazanin"/>
          <w:color w:val="111111"/>
          <w:sz w:val="28"/>
          <w:szCs w:val="28"/>
          <w:rtl w:val="true"/>
          <w:lang w:bidi="fa-IR"/>
        </w:rPr>
        <w:t>.</w:t>
      </w:r>
      <w:bookmarkStart w:id="380" w:name="pg19812_249478"/>
    </w:p>
    <w:p>
      <w:pPr>
        <w:pStyle w:val="Heading3"/>
        <w:numPr>
          <w:ilvl w:val="2"/>
          <w:numId w:val="1"/>
        </w:numPr>
        <w:rPr/>
      </w:pPr>
      <w:bookmarkStart w:id="381" w:name="__RefHeading___Toc2093030_2314609296"/>
      <w:bookmarkStart w:id="382" w:name="_Toc138"/>
      <w:bookmarkEnd w:id="380"/>
      <w:bookmarkEnd w:id="381"/>
      <w:r>
        <w:rPr>
          <w:rtl w:val="true"/>
        </w:rPr>
        <w:t>«</w:t>
      </w:r>
      <w:r>
        <w:rPr>
          <w:rtl w:val="true"/>
        </w:rPr>
        <w:t>الفصل الثامن</w:t>
      </w:r>
      <w:r>
        <w:rPr>
          <w:rtl w:val="true"/>
        </w:rPr>
        <w:t>» «</w:t>
      </w:r>
      <w:r>
        <w:rPr>
          <w:rtl w:val="true"/>
        </w:rPr>
        <w:t>فی الربا</w:t>
      </w:r>
      <w:r>
        <w:rPr>
          <w:rtl w:val="true"/>
        </w:rPr>
        <w:t>»</w:t>
      </w:r>
      <w:bookmarkEnd w:id="382"/>
    </w:p>
    <w:p>
      <w:pPr>
        <w:pStyle w:val="BookText"/>
        <w:rPr/>
      </w:pPr>
      <w:r>
        <w:rPr>
          <w:rFonts w:ascii="IRNazanin" w:hAnsi="IRNazanin" w:eastAsia="IRNazanin"/>
          <w:color w:val="111111"/>
          <w:sz w:val="28"/>
          <w:sz w:val="28"/>
          <w:szCs w:val="28"/>
          <w:rtl w:val="true"/>
          <w:lang w:bidi="fa-IR"/>
        </w:rPr>
        <w:t xml:space="preserve">بالقصر، وألِفُه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محلّ وروده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المتجانسان إذا قُدّرا بالکیل أو الوزن وزاد </w:t>
      </w:r>
      <w:r>
        <w:rPr>
          <w:rStyle w:val="FootnoteAnchor"/>
          <w:rtl w:val="true"/>
        </w:rPr>
        <w:footnoteReference w:id="1033"/>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Style w:val="FootnoteAnchor"/>
          <w:rtl w:val="true"/>
        </w:rPr>
        <w:footnoteReference w:id="1034"/>
      </w:r>
      <w:r>
        <w:rPr>
          <w:rFonts w:ascii="Amiri" w:hAnsi="Amiri" w:eastAsia="Amiri" w:cs="Amiri"/>
          <w:color w:val="111111"/>
          <w:sz w:val="28"/>
          <w:sz w:val="28"/>
          <w:szCs w:val="28"/>
          <w:rtl w:val="true"/>
          <w:lang w:bidi="ar-SA"/>
        </w:rPr>
        <w:t>الآخر قدراً ولو بکونه مؤجّلاً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وتحریمه مؤکَّد، وهو من أعظم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والدرهم منه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سبعین زنیة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بفتح أوّله وکسره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بذات محرم، رواه هشام بن سالم عن الصادق علیه السلام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وضابط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تحت اللفظ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کالتمر والزبیب واللحم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لجمیع أصنافه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والزبیب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والحنطة والشعیر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اختلفا لفظاً واشتملا علی أصناف؛ لدلالة الأخبار الصحیحة علی اتّحادهما </w:t>
      </w:r>
      <w:r>
        <w:rPr>
          <w:rStyle w:val="FootnoteAnchor"/>
          <w:rtl w:val="true"/>
        </w:rPr>
        <w:footnoteReference w:id="1036"/>
      </w:r>
      <w:r>
        <w:rPr>
          <w:rFonts w:ascii="IRNazanin" w:hAnsi="IRNazanin" w:eastAsia="IRNazanin"/>
          <w:color w:val="111111"/>
          <w:sz w:val="28"/>
          <w:sz w:val="28"/>
          <w:szCs w:val="28"/>
          <w:rtl w:val="true"/>
          <w:lang w:bidi="fa-IR"/>
        </w:rPr>
        <w:t>الخالیة عن</w:t>
      </w:r>
    </w:p>
    <w:p>
      <w:pPr>
        <w:pStyle w:val="BookText"/>
        <w:rPr/>
      </w:pPr>
      <w:r>
        <w:rPr>
          <w:rFonts w:ascii="IRNazanin" w:hAnsi="IRNazanin" w:eastAsia="IRNazanin"/>
          <w:color w:val="111111"/>
          <w:sz w:val="28"/>
          <w:sz w:val="28"/>
          <w:szCs w:val="28"/>
          <w:rtl w:val="true"/>
          <w:lang w:bidi="fa-IR"/>
        </w:rPr>
        <w:t xml:space="preserve">المعارض،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الشعیر من الحنطة</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فدعوی اختلافهما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اختلافهما صورةً وشکلاً ولوناً وطعماً وإدراکاً وحسّاً واسماً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فی غیر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جنسان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واللحوم تابعة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فلحم الضأن والمعز جنس؛ لشمول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والبقر والجاموس جنس، والعراب والبخاتی جنس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ربا فی المعدود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علی أصحّ القولین </w:t>
      </w:r>
      <w:r>
        <w:rPr>
          <w:rStyle w:val="FootnoteAnchor"/>
          <w:rtl w:val="true"/>
        </w:rPr>
        <w:footnoteReference w:id="1038"/>
      </w:r>
      <w:r>
        <w:rPr>
          <w:rFonts w:ascii="Amiri" w:hAnsi="Amiri" w:eastAsia="Amiri" w:cs="Amiri"/>
          <w:color w:val="111111"/>
          <w:sz w:val="28"/>
          <w:sz w:val="28"/>
          <w:szCs w:val="28"/>
          <w:rtl w:val="true"/>
          <w:lang w:bidi="ar-SA"/>
        </w:rPr>
        <w:t>نعم یُکره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بین الوالد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لکلّ منهما أخذ الفضل علی الأصحّ </w:t>
      </w:r>
      <w:r>
        <w:rPr>
          <w:rStyle w:val="FootnoteAnchor"/>
          <w:rtl w:val="true"/>
        </w:rPr>
        <w:footnoteReference w:id="1039"/>
      </w:r>
      <w:r>
        <w:rPr>
          <w:rFonts w:ascii="IRNazanin" w:hAnsi="IRNazanin" w:eastAsia="IRNazanin"/>
          <w:color w:val="111111"/>
          <w:sz w:val="28"/>
          <w:sz w:val="28"/>
          <w:szCs w:val="28"/>
          <w:rtl w:val="true"/>
          <w:lang w:bidi="fa-IR"/>
        </w:rPr>
        <w:t>والأجود اختصاص الحکم بالنَسَبی مع الأب، فلا یتعدّی إلیه مع الاُمّ، ولا مع الجدّ ولو للأب، ولا إلی ولد الرضاع، اقتصاراً بالرخصة علی مورد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التعدّی فی الأخیرین لإطلاق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بین الزوج وزوجته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دواماً ومتعةً علی الأظهر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بین المسلم والحربی، إذا أخذ المسلمُ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الحربی بین المعاهد وغیره، ولا بین کونه فی دار الحرب والإسلام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ویثبت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یثبت </w:t>
      </w:r>
      <w:r>
        <w:rPr>
          <w:rStyle w:val="FootnoteAnchor"/>
          <w:rtl w:val="true"/>
        </w:rPr>
        <w:footnoteReference w:id="1040"/>
      </w:r>
      <w:r>
        <w:rPr>
          <w:rFonts w:ascii="IRNazanin" w:hAnsi="IRNazanin" w:eastAsia="IRNazanin"/>
          <w:color w:val="111111"/>
          <w:sz w:val="28"/>
          <w:sz w:val="28"/>
          <w:szCs w:val="28"/>
          <w:rtl w:val="true"/>
          <w:lang w:bidi="fa-IR"/>
        </w:rPr>
        <w:t xml:space="preserve">کالحربی؛ للروایة المخصّصة له </w:t>
      </w:r>
      <w:r>
        <w:rPr>
          <w:rStyle w:val="FootnoteAnchor"/>
          <w:rtl w:val="true"/>
        </w:rPr>
        <w:footnoteReference w:id="1041"/>
      </w:r>
      <w:r>
        <w:rPr>
          <w:rFonts w:ascii="Amiri" w:hAnsi="Amiri" w:eastAsia="Amiri" w:cs="Amiri"/>
          <w:color w:val="111111"/>
          <w:sz w:val="28"/>
          <w:sz w:val="28"/>
          <w:szCs w:val="28"/>
          <w:rtl w:val="true"/>
          <w:lang w:bidi="ar-SA"/>
        </w:rPr>
        <w:t xml:space="preserve">کما خَصّصت غیره </w:t>
      </w:r>
      <w:r>
        <w:rPr>
          <w:rStyle w:val="FootnoteAnchor"/>
          <w:rtl w:val="true"/>
        </w:rPr>
        <w:footnoteReference w:id="1042"/>
      </w:r>
      <w:r>
        <w:rPr>
          <w:rFonts w:ascii="IRNazanin" w:hAnsi="IRNazanin" w:eastAsia="IRNazanin"/>
          <w:color w:val="111111"/>
          <w:sz w:val="28"/>
          <w:sz w:val="28"/>
          <w:szCs w:val="28"/>
          <w:rtl w:val="true"/>
          <w:lang w:bidi="fa-IR"/>
        </w:rPr>
        <w:t>وموضع الخلاف ما إذا أخذ المسلمُ الفضل، أمّا إعطاؤه إیّاه فحرام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لیست بیعاً ولا معاوضة، بل هی تمییز الحقّ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جعلها بیعاً مطلقاً </w:t>
      </w:r>
      <w:r>
        <w:rPr>
          <w:rStyle w:val="FootnoteAnchor"/>
          <w:rtl w:val="true"/>
        </w:rPr>
        <w:footnoteReference w:id="1043"/>
      </w:r>
      <w:r>
        <w:rPr>
          <w:rFonts w:ascii="IRNazanin" w:hAnsi="IRNazanin" w:eastAsia="IRNazanin"/>
          <w:color w:val="111111"/>
          <w:sz w:val="28"/>
          <w:sz w:val="28"/>
          <w:szCs w:val="28"/>
          <w:rtl w:val="true"/>
          <w:lang w:bidi="fa-IR"/>
        </w:rPr>
        <w:t xml:space="preserve">أو مع اشتمالها علی الردّ </w:t>
      </w:r>
      <w:r>
        <w:rPr>
          <w:rStyle w:val="FootnoteAnchor"/>
          <w:rtl w:val="true"/>
        </w:rPr>
        <w:footnoteReference w:id="1044"/>
      </w:r>
      <w:r>
        <w:rPr>
          <w:rFonts w:ascii="IRNazanin" w:hAnsi="IRNazanin" w:eastAsia="IRNazanin"/>
          <w:color w:val="111111"/>
          <w:sz w:val="28"/>
          <w:sz w:val="28"/>
          <w:szCs w:val="28"/>
          <w:rtl w:val="true"/>
          <w:lang w:bidi="fa-IR"/>
        </w:rPr>
        <w:t>أثبت فیها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یضرّ عُقَد التِبن والزُوان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الزای وکسرها وبالهمز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العوضین دون الآخر، أو زیادةً عنه؛ لأنّ ذلک لا یقدح فی إطلاق المثلیّة والمساواة قدراً، ولو خرجا عن المعتاد ضرّا، ومثلهما یسیر التراب وغیره ممّا لا ینفکّ الصنف عنه غالباً کالدُرْدیّ </w:t>
      </w:r>
      <w:r>
        <w:rPr>
          <w:rStyle w:val="FootnoteAnchor"/>
          <w:rtl w:val="true"/>
        </w:rPr>
        <w:footnoteReference w:id="1045"/>
      </w:r>
      <w:r>
        <w:rPr>
          <w:rFonts w:ascii="IRNazanin" w:hAnsi="IRNazanin" w:eastAsia="IRNazanin"/>
          <w:color w:val="111111"/>
          <w:sz w:val="28"/>
          <w:sz w:val="28"/>
          <w:szCs w:val="28"/>
          <w:rtl w:val="true"/>
          <w:lang w:bidi="fa-IR"/>
        </w:rPr>
        <w:t>فی الدِبس والزیت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الربا إذا اُرید بیع أحد المتنجانسین بالآخر متفاضلاً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الناقص منهما، أو الضمیمة إلیهما مع اشتباه الحال، لتکون </w:t>
      </w:r>
      <w:r>
        <w:rPr>
          <w:rStyle w:val="FootnoteAnchor"/>
          <w:rtl w:val="true"/>
        </w:rPr>
        <w:footnoteReference w:id="1046"/>
      </w:r>
      <w:r>
        <w:rPr>
          <w:rFonts w:ascii="IRNazanin" w:hAnsi="IRNazanin" w:eastAsia="IRNazanin"/>
          <w:color w:val="111111"/>
          <w:sz w:val="28"/>
          <w:sz w:val="28"/>
          <w:szCs w:val="28"/>
          <w:rtl w:val="true"/>
          <w:lang w:bidi="fa-IR"/>
        </w:rPr>
        <w:t>الضمیمة فی مقابل الزیادة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ویجوز بیع مُدّ عَجْوَةٍ </w:t>
      </w:r>
      <w:r>
        <w:rPr>
          <w:rStyle w:val="FootnoteAnchor"/>
          <w:rtl w:val="true"/>
        </w:rPr>
        <w:footnoteReference w:id="1047"/>
      </w:r>
      <w:r>
        <w:rPr>
          <w:rFonts w:ascii="Amiri" w:hAnsi="Amiri" w:eastAsia="Amiri" w:cs="Amiri"/>
          <w:color w:val="111111"/>
          <w:sz w:val="28"/>
          <w:sz w:val="28"/>
          <w:szCs w:val="28"/>
          <w:rtl w:val="true"/>
          <w:lang w:bidi="ar-SA"/>
        </w:rPr>
        <w:t>ودرهمٍ بمُدّین أو درهمین، وبمُدّین ودرهمین، وأمداد ودراهم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ویُصرف کلٌّ إلی مخالفه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یقصده؛ وکذا لو ضُمّ غیرُ ربویّ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یشترط فی الضمیمة أن تکون ذات وقْع فی مقابل الزیادة، فلو ضمّ دیناراً إلی ألف درهم ثمناً لألفی درهم جاز؛ للروایة </w:t>
      </w:r>
      <w:r>
        <w:rPr>
          <w:rStyle w:val="FootnoteAnchor"/>
          <w:rtl w:val="true"/>
        </w:rPr>
        <w:footnoteReference w:id="1049"/>
      </w:r>
      <w:r>
        <w:rPr>
          <w:rFonts w:ascii="IRNazanin" w:hAnsi="IRNazanin" w:eastAsia="IRNazanin"/>
          <w:color w:val="111111"/>
          <w:sz w:val="28"/>
          <w:sz w:val="28"/>
          <w:szCs w:val="28"/>
          <w:rtl w:val="true"/>
          <w:lang w:bidi="fa-IR"/>
        </w:rPr>
        <w:t>وحصول التفاوت عند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وتوزیع الثمن علیهما باعتبار القیمة علی بعض الوجوه لا یقدح؛ لحصوله حینئذٍ بالتقسیط لا بالبیع، فإنّه إنّما وقع علی المجموع بالمجموع، فالتقسیط غیر معتبر ولا مفتقر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عرض سبب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تلف الدرهم المعیّن قبل القبض أو ظهر مستحقّاً وکان فی مقابله ما یوجب الزیادة المفضیة إلی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بطلانُ البیع حینئذٍ؛ للزوم التفاوت فی الجنس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والبطلانُ فی مخالف التالف خاصّة؛ لأنّ کلّاً من الجنسین قد قوبل بمخالفه، فإذا بطل بطل ما قوبل به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الأجود والموافق لاُصول المذهب والمصحّح لأصل البیع وإلّا کان مقتضی المقابلة لزوم الربا من 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یتخلّص أیضاً من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یبیعه بالمماثل ویهبه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واحد أو بعد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للهبة فی عقد البیع؛ لأنّ الشرط حینئذٍ زیادة فی العوض المصاحب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یُقرض کلّ منهما صاحبَه ویتبارءا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التقابض الموجب لملک کلّ منهما ما اقترضه وصیرورة عوضه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وهب کلّ منهما الآخر عوضه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یقدح فی ذلک کلّه کون هذه العقود غیر مقصودة بالذات، مع أنّ العقود</w:t>
      </w:r>
    </w:p>
    <w:p>
      <w:pPr>
        <w:pStyle w:val="BookText"/>
        <w:rPr/>
      </w:pPr>
      <w:r>
        <w:rPr>
          <w:rFonts w:ascii="IRNazanin" w:hAnsi="IRNazanin" w:eastAsia="IRNazanin"/>
          <w:color w:val="111111"/>
          <w:sz w:val="28"/>
          <w:sz w:val="28"/>
          <w:szCs w:val="28"/>
          <w:rtl w:val="true"/>
          <w:lang w:bidi="fa-IR"/>
        </w:rPr>
        <w:t>تابعة للقصود؛ لأنّ قصد التخلّص من الربا الذی لا یتمّ إلّابالقصد إلی بیعٍ صحیحٍ أو قرضٍ أو غیرهما کافٍ فی القصد إلیها؛ لأنّ ذلک غایة مترتّبة علی صحّة العقد مقصودةٌ، فیکفی جعلها غایة؛ إذ لا یعتبر قصد جمیع الغایات المترتّبة علی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بیع الرطب بالتمر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المعلِّل بکونه ینقص إذا جفّ </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کلّ ما ینقص مع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کالعنب بالزبیب تعدیةً للعلّة المنصوصة إلی ما یشارکه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فی الأوّل من غیر تعدیة </w:t>
      </w:r>
      <w:r>
        <w:rPr>
          <w:rStyle w:val="FootnoteAnchor"/>
          <w:rtl w:val="true"/>
        </w:rPr>
        <w:footnoteReference w:id="1051"/>
      </w:r>
      <w:r>
        <w:rPr>
          <w:rFonts w:ascii="IRNazanin" w:hAnsi="IRNazanin" w:eastAsia="IRNazanin"/>
          <w:color w:val="111111"/>
          <w:sz w:val="28"/>
          <w:sz w:val="28"/>
          <w:szCs w:val="28"/>
          <w:rtl w:val="true"/>
          <w:lang w:bidi="fa-IR"/>
        </w:rPr>
        <w:t>ردّاً لقیاس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بالجواز فی الجمیع </w:t>
      </w:r>
      <w:r>
        <w:rPr>
          <w:rStyle w:val="FootnoteAnchor"/>
          <w:rtl w:val="true"/>
        </w:rPr>
        <w:footnoteReference w:id="1052"/>
      </w:r>
      <w:r>
        <w:rPr>
          <w:rFonts w:ascii="IRNazanin" w:hAnsi="IRNazanin" w:eastAsia="IRNazanin"/>
          <w:color w:val="111111"/>
          <w:sz w:val="28"/>
          <w:sz w:val="28"/>
          <w:szCs w:val="28"/>
          <w:rtl w:val="true"/>
          <w:lang w:bidi="fa-IR"/>
        </w:rPr>
        <w:t>ردّاً لخبر الواحد واستناداً إلی ما یدلّ بظاهره علی اعتبار المماثلة بین الرطب والیابس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اختاره المصنّف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جعل التعدیة إلی غیر المنصوص أولی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اختلاف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التفاضل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الأقوی؛ للأصل، والأخبار </w:t>
      </w:r>
      <w:r>
        <w:rPr>
          <w:rStyle w:val="FootnoteAnchor"/>
          <w:rtl w:val="true"/>
        </w:rPr>
        <w:footnoteReference w:id="1054"/>
      </w:r>
      <w:r>
        <w:rPr>
          <w:rFonts w:ascii="IRNazanin" w:hAnsi="IRNazanin" w:eastAsia="IRNazanin"/>
          <w:color w:val="111111"/>
          <w:sz w:val="28"/>
          <w:sz w:val="28"/>
          <w:szCs w:val="28"/>
          <w:rtl w:val="true"/>
          <w:lang w:bidi="fa-IR"/>
        </w:rPr>
        <w:t xml:space="preserve">واستند المانع </w:t>
      </w:r>
      <w:r>
        <w:rPr>
          <w:rStyle w:val="FootnoteAnchor"/>
          <w:rtl w:val="true"/>
        </w:rPr>
        <w:footnoteReference w:id="1055"/>
      </w:r>
      <w:r>
        <w:rPr>
          <w:rFonts w:ascii="IRNazanin" w:hAnsi="IRNazanin" w:eastAsia="IRNazanin"/>
          <w:color w:val="111111"/>
          <w:sz w:val="28"/>
          <w:sz w:val="28"/>
          <w:szCs w:val="28"/>
          <w:rtl w:val="true"/>
          <w:lang w:bidi="fa-IR"/>
        </w:rPr>
        <w:t xml:space="preserve">إلی خبرٍ دلّ بظاهره علی الکراهة </w:t>
      </w:r>
      <w:r>
        <w:rPr>
          <w:rStyle w:val="FootnoteAnchor"/>
          <w:rtl w:val="true"/>
        </w:rPr>
        <w:footnoteReference w:id="1056"/>
      </w:r>
      <w:r>
        <w:rPr>
          <w:rFonts w:ascii="IRNazanin" w:hAnsi="IRNazanin" w:eastAsia="IRNazanin"/>
          <w:color w:val="111111"/>
          <w:sz w:val="28"/>
          <w:sz w:val="28"/>
          <w:szCs w:val="28"/>
          <w:rtl w:val="true"/>
          <w:lang w:bidi="fa-IR"/>
        </w:rPr>
        <w:t>ونحن نقول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عبرة بالأجزاء المائیّة فی الخبز والخَلّ والدقیق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یُجهل مقداره فی کلٍّ من العوضین الموجب لجهالة مقدارهما، وکذا لو کانت مفقودة من أحدهما کالخبز الیابس واللیِّن؛ لإطلاق الحقیقة علیهما، مع کون الرطوبة یسیرة غیر مقصودة، کقلیل الزُوان والتبن فی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یظهر ذلک للحسّ ظهوراً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یظهر التفاوت بینهما فیمنع، مع احتمال عدم منعه مطلقاً، کما أطلقه فی الدروس </w:t>
      </w:r>
      <w:r>
        <w:rPr>
          <w:rStyle w:val="FootnoteAnchor"/>
          <w:rtl w:val="true"/>
        </w:rPr>
        <w:footnoteReference w:id="1057"/>
      </w:r>
      <w:r>
        <w:rPr>
          <w:rFonts w:ascii="IRNazanin" w:hAnsi="IRNazanin" w:eastAsia="IRNazanin"/>
          <w:color w:val="111111"/>
          <w:sz w:val="28"/>
          <w:sz w:val="28"/>
          <w:szCs w:val="28"/>
          <w:rtl w:val="true"/>
          <w:lang w:bidi="fa-IR"/>
        </w:rPr>
        <w:t xml:space="preserve">وغیره </w:t>
      </w:r>
      <w:r>
        <w:rPr>
          <w:rStyle w:val="FootnoteAnchor"/>
          <w:rtl w:val="true"/>
        </w:rPr>
        <w:footnoteReference w:id="1058"/>
      </w:r>
      <w:r>
        <w:rPr>
          <w:rFonts w:ascii="IRNazanin" w:hAnsi="IRNazanin" w:eastAsia="IRNazanin"/>
          <w:color w:val="111111"/>
          <w:sz w:val="28"/>
          <w:sz w:val="28"/>
          <w:szCs w:val="28"/>
          <w:rtl w:val="true"/>
          <w:lang w:bidi="fa-IR"/>
        </w:rPr>
        <w:t>لبقاء الاسم الذی یترتّب علیه تساوی الجنسین عرفاً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یباع اللحم بالحیوان مع التماثل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کلحم الغنم بالشاة إن کان مذبوحاً؛ لأنّه فی قوّة اللحم، فلا بدّ من تحقّق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حیّاً فالجواز قویّ؛ لأنّه حینئذٍ غیر مقدّر بالوزن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لانتفاء المانع مع وجود المصحّح</w:t>
      </w:r>
      <w:r>
        <w:rPr>
          <w:rFonts w:eastAsia="IRNazanin" w:cs="IRNazanin"/>
          <w:color w:val="111111"/>
          <w:sz w:val="28"/>
          <w:szCs w:val="28"/>
          <w:rtl w:val="true"/>
          <w:lang w:bidi="fa-IR"/>
        </w:rPr>
        <w:t>.</w:t>
      </w:r>
      <w:bookmarkStart w:id="383" w:name="pg19812_249484"/>
    </w:p>
    <w:p>
      <w:pPr>
        <w:pStyle w:val="Heading3"/>
        <w:numPr>
          <w:ilvl w:val="2"/>
          <w:numId w:val="1"/>
        </w:numPr>
        <w:rPr/>
      </w:pPr>
      <w:bookmarkStart w:id="384" w:name="__RefHeading___Toc2093032_2314609296"/>
      <w:bookmarkStart w:id="385" w:name="_Toc139"/>
      <w:bookmarkEnd w:id="383"/>
      <w:bookmarkEnd w:id="384"/>
      <w:r>
        <w:rPr>
          <w:rtl w:val="true"/>
        </w:rPr>
        <w:t>«</w:t>
      </w:r>
      <w:r>
        <w:rPr>
          <w:rtl w:val="true"/>
        </w:rPr>
        <w:t>الفصل التاسع</w:t>
      </w:r>
      <w:r>
        <w:rPr>
          <w:rtl w:val="true"/>
        </w:rPr>
        <w:t>» «</w:t>
      </w:r>
      <w:r>
        <w:rPr>
          <w:rtl w:val="true"/>
        </w:rPr>
        <w:t>فی الخیار</w:t>
      </w:r>
      <w:r>
        <w:rPr>
          <w:rtl w:val="true"/>
        </w:rPr>
        <w:t>»</w:t>
      </w:r>
      <w:bookmarkEnd w:id="385"/>
    </w:p>
    <w:p>
      <w:pPr>
        <w:pStyle w:val="Heading4"/>
        <w:numPr>
          <w:ilvl w:val="3"/>
          <w:numId w:val="1"/>
        </w:numPr>
        <w:rPr/>
      </w:pPr>
      <w:bookmarkStart w:id="386" w:name="__RefHeading___Toc2093034_2314609296"/>
      <w:bookmarkStart w:id="387" w:name="_Toc140"/>
      <w:bookmarkEnd w:id="386"/>
      <w:r>
        <w:rPr>
          <w:rtl w:val="true"/>
        </w:rPr>
        <w:t>اشارة</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وجمعه بهذا القدر من خواصّ الکتاب</w:t>
      </w:r>
      <w:r>
        <w:rPr>
          <w:rFonts w:eastAsia="IRNazanin" w:cs="IRNazanin"/>
          <w:color w:val="111111"/>
          <w:sz w:val="28"/>
          <w:szCs w:val="28"/>
          <w:rtl w:val="true"/>
          <w:lang w:bidi="fa-IR"/>
        </w:rPr>
        <w:t>.</w:t>
      </w:r>
    </w:p>
    <w:p>
      <w:pPr>
        <w:pStyle w:val="Heading4"/>
        <w:numPr>
          <w:ilvl w:val="3"/>
          <w:numId w:val="1"/>
        </w:numPr>
        <w:rPr/>
      </w:pPr>
      <w:bookmarkStart w:id="388" w:name="__RefHeading___Toc2093036_2314609296"/>
      <w:bookmarkStart w:id="389" w:name="_Toc141"/>
      <w:bookmarkEnd w:id="388"/>
      <w:r>
        <w:rPr>
          <w:rtl w:val="true"/>
        </w:rPr>
        <w:t>«</w:t>
      </w:r>
      <w:r>
        <w:rPr>
          <w:rtl w:val="true"/>
        </w:rPr>
        <w:t>الأوّل</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أضافه إلی موضع الجلوس مع کونه غیر معتبر فی ثبوته، وإنّما المعتبر عدم التفرّق، إمّا تجوّزاً فی إطلاق بعض أفراد الحقیقة، أو حقیقة عرفیّة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مختصّ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بأنواعه، ولا یثبت فی غیره من عقود المعاوضات وإن قام مقامه، کالصلح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ویثبت للمتبایعین ما لم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یزول بالحائل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غلیظاً کان أم رقیقاً مانعاً من الاجتماع أم غیر مانع؛ لصدق عدم التفرّق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مصطحبین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طال الزمان ما لم یتباعد ما بینهما عنه حالةَ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بعدم زواله لو تقاربا عنه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باشتراط سقوطه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أو عن أحدهما بحسب</w:t>
      </w:r>
      <w:bookmarkStart w:id="390" w:name="pg19812_249485"/>
    </w:p>
    <w:p>
      <w:pPr>
        <w:pStyle w:val="BookText"/>
        <w:rPr/>
      </w:pPr>
      <w:bookmarkEnd w:id="390"/>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وبإسقاطه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أسقطنا الخیار، أو أوجبنا المنع، أو التزمناه، أو اخترناه، أو ما أدّی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وبمفارقة أحدهما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بخطوة اختیاراً، فلو اُکرها أو أحدُهما علیه لم یسقط مع منعهما من التخایر، فإذا زال الإکراه فلهما الخیار فی مجلس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یُمنعا من التخایر لزم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التزم به أحدهما سقط خیاره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ارتباط لحقّ أحدهما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فسخ أحدهما وأجاز الآخر قُدِّم الفاسخ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تأخّر عن الإجازة؛ لأنّ إثبات الخیار إنّما قصد به التمکّن من الفسخ دون الإجازة؛ لأصالتها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الفاسخ علی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خیار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 الجمیع فی العلّة التی أشرنا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خیّره فسکت فخیارهما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الساکت فظاهر؛ إذ لم یحصل منه ما یدلّ علی سقوط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المخیّر فلأنّ تخییره صاحبَه أعمّ من اختیاره العقد فلا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خیاره </w:t>
      </w:r>
      <w:r>
        <w:rPr>
          <w:rStyle w:val="FootnoteAnchor"/>
          <w:rtl w:val="true"/>
        </w:rPr>
        <w:footnoteReference w:id="1060"/>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061"/>
      </w:r>
      <w:r>
        <w:rPr>
          <w:rFonts w:ascii="IRNazanin" w:hAnsi="IRNazanin" w:eastAsia="IRNazanin"/>
          <w:color w:val="111111"/>
          <w:sz w:val="28"/>
          <w:sz w:val="28"/>
          <w:szCs w:val="28"/>
          <w:rtl w:val="true"/>
          <w:lang w:bidi="fa-IR"/>
        </w:rPr>
        <w:t>لم تثبت عندنا</w:t>
      </w:r>
      <w:r>
        <w:rPr>
          <w:rFonts w:eastAsia="IRNazanin" w:cs="IRNazanin"/>
          <w:color w:val="111111"/>
          <w:sz w:val="28"/>
          <w:szCs w:val="28"/>
          <w:rtl w:val="true"/>
          <w:lang w:bidi="fa-IR"/>
        </w:rPr>
        <w:t>.</w:t>
      </w:r>
    </w:p>
    <w:p>
      <w:pPr>
        <w:pStyle w:val="Heading4"/>
        <w:numPr>
          <w:ilvl w:val="3"/>
          <w:numId w:val="1"/>
        </w:numPr>
        <w:rPr/>
      </w:pPr>
      <w:bookmarkStart w:id="391" w:name="__RefHeading___Toc2093038_2314609296"/>
      <w:bookmarkStart w:id="392" w:name="_Toc142"/>
      <w:bookmarkEnd w:id="391"/>
      <w:r>
        <w:rPr>
          <w:rtl w:val="true"/>
        </w:rPr>
        <w:t>«</w:t>
      </w:r>
      <w:r>
        <w:rPr>
          <w:rtl w:val="true"/>
        </w:rPr>
        <w:t>الثانی</w:t>
      </w:r>
      <w:r>
        <w:rPr>
          <w:rtl w:val="true"/>
        </w:rPr>
        <w:t xml:space="preserve">: </w:t>
      </w:r>
      <w:r>
        <w:rPr>
          <w:rtl w:val="true"/>
        </w:rPr>
        <w:t>خیار الحیوان</w:t>
      </w:r>
      <w:r>
        <w:rPr>
          <w:rtl w:val="true"/>
        </w:rPr>
        <w:t>»</w:t>
      </w:r>
      <w:bookmarkEnd w:id="39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ثابت للمشتری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Style w:val="FootnoteAnchor"/>
          <w:rtl w:val="true"/>
        </w:rPr>
        <w:footnoteReference w:id="1062"/>
      </w:r>
      <w:r>
        <w:rPr>
          <w:rFonts w:ascii="IRNazanin" w:hAnsi="IRNazanin" w:eastAsia="IRNazanin"/>
          <w:color w:val="111111"/>
          <w:sz w:val="28"/>
          <w:sz w:val="28"/>
          <w:szCs w:val="28"/>
          <w:rtl w:val="true"/>
          <w:lang w:bidi="fa-IR"/>
        </w:rPr>
        <w:t>وبه روایة</w:t>
      </w:r>
      <w:bookmarkStart w:id="393" w:name="pg19812_249486"/>
    </w:p>
    <w:p>
      <w:pPr>
        <w:pStyle w:val="BookText"/>
        <w:rPr/>
      </w:pPr>
      <w:bookmarkEnd w:id="393"/>
      <w:r>
        <w:rPr>
          <w:rFonts w:ascii="IRNazanin" w:hAnsi="IRNazanin" w:eastAsia="IRNazanin"/>
          <w:color w:val="111111"/>
          <w:sz w:val="28"/>
          <w:sz w:val="28"/>
          <w:szCs w:val="28"/>
          <w:rtl w:val="true"/>
          <w:lang w:bidi="fa-IR"/>
        </w:rPr>
        <w:t xml:space="preserve">صحیحة </w:t>
      </w:r>
      <w:r>
        <w:rPr>
          <w:rStyle w:val="FootnoteAnchor"/>
          <w:rtl w:val="true"/>
        </w:rPr>
        <w:footnoteReference w:id="1063"/>
      </w:r>
      <w:r>
        <w:rPr>
          <w:rFonts w:ascii="IRNazanin" w:hAnsi="IRNazanin" w:eastAsia="IRNazanin"/>
          <w:color w:val="111111"/>
          <w:sz w:val="28"/>
          <w:sz w:val="28"/>
          <w:szCs w:val="28"/>
          <w:rtl w:val="true"/>
          <w:lang w:bidi="fa-IR"/>
        </w:rPr>
        <w:t>ولو کان حیواناً بحیوان قوی ثبوتُه لهما، کما یقوی ثبوته للبائع وحدَه لو کان الثمن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قرن بالباء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ومدّة هذا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مبدؤها 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اجتماع خیارین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حین التفرّق </w:t>
      </w:r>
      <w:r>
        <w:rPr>
          <w:rStyle w:val="FootnoteAnchor"/>
          <w:rtl w:val="true"/>
        </w:rPr>
        <w:footnoteReference w:id="1064"/>
      </w:r>
      <w:r>
        <w:rPr>
          <w:rFonts w:ascii="IRNazanin" w:hAnsi="IRNazanin" w:eastAsia="IRNazanin"/>
          <w:color w:val="111111"/>
          <w:sz w:val="28"/>
          <w:sz w:val="28"/>
          <w:szCs w:val="28"/>
          <w:rtl w:val="true"/>
          <w:lang w:bidi="fa-IR"/>
        </w:rPr>
        <w:t>بناءً علی حصول الملک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باشتراط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إسقاطه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کما تقدّم </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تصرّف ذی الخیار، سواء کان لازماً کالبیع، أم لم یکن کالهبة قبل القبض، بل مطلق الانتفاع، کرکوب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طریق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ونعلِها، وحلبِ ما یُحلب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الثوب وقصارته، وسکنی الدار </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قصد به الاستخبار ولم یتجاوز مقدارَ الحاجة ففی منعه من الردّ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سوق الدابّة إلی منزله، فإن کان قریباً بحیث لا یُعدّ تصرّفاً عرفاً فلا أثر له، وإن کان بعیداً مفرطاً احتمل قویّاً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فکلّ ما یُعدّ تصرّفاً عرفاً یمنع، وإلّا فلا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4" w:name="__RefHeading___Toc2093040_2314609296"/>
      <w:bookmarkStart w:id="395" w:name="_Toc143"/>
      <w:bookmarkEnd w:id="394"/>
      <w:r>
        <w:rPr>
          <w:rtl w:val="true"/>
        </w:rPr>
        <w:t>«</w:t>
      </w:r>
      <w:r>
        <w:rPr>
          <w:rtl w:val="true"/>
        </w:rPr>
        <w:t>الثالث</w:t>
      </w:r>
      <w:r>
        <w:rPr>
          <w:rtl w:val="true"/>
        </w:rPr>
        <w:t xml:space="preserve">: </w:t>
      </w:r>
      <w:r>
        <w:rPr>
          <w:rtl w:val="true"/>
        </w:rPr>
        <w:t>خیار الشرط</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بحسب الشرط إذا کان الأجل مضبوطاً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بالعقد أم منفصلاً، فلو کان منفصلاً صار العقد جائزاً بعد لزومه مع تأخّره عن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اشتراطه لأحدهما ولکلّ منهما، ولأجنبیّ عنهما أو 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ولأجنبیٍّ مع أحدهما عنه، وعن الآخر، ومعهما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الأجبنیّ تحکیم لا توکیل عمّن جُعل عنه، فلا اختیار له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واشتراط 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مفاعَلة من الأمر، بمعنی اشتراطهما أو أحدهما استئمارَ من سمّیاه والرجوع إلی أمره مدّة مضبوطة، فیلزم العقد من جهتهما ویتوقّف علی أمره، فإن أمر بالفسخ جاز للمشروط له استئماره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 نّه لا یتعیّن علیه؛ لأنّ الشرط مجرّد استئماره، لا التزام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أمره بالالتزام لم یکن له الفسخ قطعاً وإن کان الفسخ أصلح عملاً بالشرط؛ ولأ نّه لم یجعل لنفسه خیاراً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الفسخ یتوقّف علی أمره؛ لأنّه خلاف مقتضی العقد، فیرجع إلی الشرط، وأمّا الالتزام بالعقد فلا یتوقّف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الفسخ ولا الالتزام، وإنّما إلیه الأمر والرأی خاصّة، فقول المصنّف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المستأمر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فسخت أو أجزت فذاک، وإن سکت فالأقرب اللزوم، ولا </w:t>
      </w:r>
      <w:r>
        <w:rPr>
          <w:rStyle w:val="FootnoteAnchor"/>
          <w:rtl w:val="true"/>
        </w:rPr>
        <w:footnoteReference w:id="1067"/>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قُرئ المستأمر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اُشکل بما ذکرناه، وإن قُرئ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المشروط له المؤامَرة لغیره،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أمره له بالفسخ،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أمره له بالإجازة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سکت 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یلتزم </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ولم یفسخ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فعل ذلک بغیر استئمار</w:t>
      </w:r>
    </w:p>
    <w:p>
      <w:pPr>
        <w:pStyle w:val="BookText"/>
        <w:rPr/>
      </w:pPr>
      <w:r>
        <w:rPr>
          <w:rFonts w:ascii="IRNazanin" w:hAnsi="IRNazanin" w:eastAsia="IRNazanin"/>
          <w:color w:val="111111"/>
          <w:sz w:val="28"/>
          <w:sz w:val="28"/>
          <w:szCs w:val="28"/>
          <w:rtl w:val="true"/>
          <w:lang w:bidi="fa-IR"/>
        </w:rPr>
        <w:t>أم بعده ولم یفعل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لما بیّنّاه من أ نّه لا یجب علیه امتثال الأمر، وإنّما یتوقّف فسخه علی موافقة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أنسب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دلالة ظاهر العبارة علی الأوّل أرجح، خصوصاً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یلزم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اللزوم المنفیّ لیس إلّاعمّن جُعل له المؤامرة،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المجعول له هنا الخیار هو الأجنبیّ المستشار، لا المشروط له إلّاأنّ للمشروط له حظّاً من الخیار عند أمر الأجنبیّ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أنّ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الفسخ ولا الإجازة وإنّما إلیه الأمر، وحکم امتثاله ما 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فالفرق بین اشتراط المؤامرة لأجنبیّ وجعل الخیار له واضح؛ لأنّ الغرض من المؤامرة الانتهاء إلی أمره لا جعل الخیار له، بخلاف من جُعل له الخیار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الأوّل </w:t>
      </w:r>
      <w:r>
        <w:rPr>
          <w:rStyle w:val="FootnoteAnchor"/>
          <w:rtl w:val="true"/>
        </w:rPr>
        <w:footnoteReference w:id="1070"/>
      </w:r>
      <w:r>
        <w:rPr>
          <w:rFonts w:ascii="IRNazanin" w:hAnsi="IRNazanin" w:eastAsia="IRNazanin"/>
          <w:color w:val="111111"/>
          <w:sz w:val="28"/>
          <w:sz w:val="28"/>
          <w:szCs w:val="28"/>
          <w:rtl w:val="true"/>
          <w:lang w:bidi="fa-IR"/>
        </w:rPr>
        <w:t>یشکل الفرق بین المؤامرة وشرط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کلّ من جُعل له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إن فسخ أو أجاز نفذ، وإن سکت إلی أن انقضت مدّة الخیار لزم البیع، کما أنّ المستأمَر هنا لو سکت عن الأمر أو المستأمِر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سکت عن الاستئمار لزم العقد؛ لأنّ الأصل فیه اللزوم إلّابأمر خارج وهو منتفٍ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ویجب اشتراط مدّة المؤامرة </w:t>
      </w:r>
      <w:r>
        <w:rPr>
          <w:rStyle w:val="FootnoteAnchor"/>
          <w:rtl w:val="true"/>
        </w:rPr>
        <w:footnoteReference w:id="1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منضبط، حذراً من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w:t>
      </w:r>
      <w:r>
        <w:rPr>
          <w:rStyle w:val="FootnoteAnchor"/>
          <w:rtl w:val="true"/>
        </w:rPr>
        <w:footnoteReference w:id="1072"/>
      </w:r>
      <w:r>
        <w:rPr>
          <w:rFonts w:ascii="IRNazanin" w:hAnsi="IRNazanin" w:eastAsia="IRNazanin"/>
          <w:color w:val="111111"/>
          <w:sz w:val="28"/>
          <w:sz w:val="28"/>
          <w:szCs w:val="28"/>
          <w:rtl w:val="true"/>
          <w:lang w:bidi="fa-IR"/>
        </w:rPr>
        <w:t>حیث جوّز الإطلاق</w:t>
      </w:r>
      <w:r>
        <w:rPr>
          <w:rFonts w:eastAsia="IRNazanin" w:cs="IRNazanin"/>
          <w:color w:val="111111"/>
          <w:sz w:val="28"/>
          <w:szCs w:val="28"/>
          <w:rtl w:val="true"/>
          <w:lang w:bidi="fa-IR"/>
        </w:rPr>
        <w:t>.</w:t>
      </w:r>
      <w:bookmarkStart w:id="396" w:name="pg19812_249489"/>
    </w:p>
    <w:p>
      <w:pPr>
        <w:pStyle w:val="Heading4"/>
        <w:numPr>
          <w:ilvl w:val="3"/>
          <w:numId w:val="1"/>
        </w:numPr>
        <w:rPr/>
      </w:pPr>
      <w:bookmarkStart w:id="397" w:name="__RefHeading___Toc2093042_2314609296"/>
      <w:bookmarkStart w:id="398" w:name="_Toc144"/>
      <w:bookmarkEnd w:id="396"/>
      <w:bookmarkEnd w:id="397"/>
      <w:r>
        <w:rPr>
          <w:rtl w:val="true"/>
        </w:rPr>
        <w:t>«</w:t>
      </w:r>
      <w:r>
        <w:rPr>
          <w:rtl w:val="true"/>
        </w:rPr>
        <w:t>الرابع</w:t>
      </w:r>
      <w:r>
        <w:rPr>
          <w:rtl w:val="true"/>
        </w:rPr>
        <w:t xml:space="preserve">: </w:t>
      </w:r>
      <w:r>
        <w:rPr>
          <w:rtl w:val="true"/>
        </w:rPr>
        <w:t>خیار التأخیر</w:t>
      </w:r>
      <w:r>
        <w:rPr>
          <w:rtl w:val="true"/>
        </w:rPr>
        <w:t>»</w:t>
      </w:r>
      <w:bookmarkEnd w:id="398"/>
    </w:p>
    <w:p>
      <w:pPr>
        <w:pStyle w:val="BookText"/>
        <w:rPr/>
      </w:pPr>
      <w:r>
        <w:rPr>
          <w:rFonts w:ascii="IRNazanin" w:hAnsi="IRNazanin" w:eastAsia="IRNazanin"/>
          <w:color w:val="111111"/>
          <w:sz w:val="28"/>
          <w:sz w:val="28"/>
          <w:szCs w:val="28"/>
          <w:rtl w:val="true"/>
          <w:lang w:bidi="fa-IR"/>
        </w:rPr>
        <w:t xml:space="preserve">أی تأخیر إقباض الثمن والمثمن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ثلاثة أیّام فیمن باع ولا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أقبض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شرط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تأخیر الإقباض والقبض، فللبائع الخیار بعد الثلاثة فی الفسخ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وقبضُ البعض کلا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عدم قبض الثمن وإقباض المثمن مجتمعاً ومنفرداً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قبض الجمیع أو أقبضه فلا خیار وإن عاد إلیه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القبض المانع کونُه بإذن المالک، فلا أثر لما یقع بدونه؛ وکذا لو ظهر الثمن مستحقّاً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یسقط بمطالبة البائع بالثمن بعد الثلاثة وإن کان </w:t>
      </w:r>
      <w:r>
        <w:rPr>
          <w:rStyle w:val="FootnoteAnchor"/>
          <w:rtl w:val="true"/>
        </w:rPr>
        <w:footnoteReference w:id="1074"/>
      </w:r>
      <w:r>
        <w:rPr>
          <w:rFonts w:ascii="IRNazanin" w:hAnsi="IRNazanin" w:eastAsia="IRNazanin"/>
          <w:color w:val="111111"/>
          <w:sz w:val="28"/>
          <w:sz w:val="28"/>
          <w:szCs w:val="28"/>
          <w:rtl w:val="true"/>
          <w:lang w:bidi="fa-IR"/>
        </w:rPr>
        <w:t>قرینة الرضا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بذل المشتری الثمن بعدَها قبل الفسخ ففی سقوط الخیار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ومنشؤهما الاستصحاب، وزوال الضرر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البائع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الثلاثة وبعدَها؛ لأنّه غیر مقبوض، وکلّ مبیع تلف قبل قبضه 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بالإطلاق علی خلاف بعض الأصحاب </w:t>
      </w:r>
      <w:r>
        <w:rPr>
          <w:rStyle w:val="FootnoteAnchor"/>
          <w:rtl w:val="true"/>
        </w:rPr>
        <w:footnoteReference w:id="1075"/>
      </w:r>
      <w:r>
        <w:rPr>
          <w:rFonts w:ascii="IRNazanin" w:hAnsi="IRNazanin" w:eastAsia="IRNazanin"/>
          <w:color w:val="111111"/>
          <w:sz w:val="28"/>
          <w:sz w:val="28"/>
          <w:szCs w:val="28"/>
          <w:rtl w:val="true"/>
          <w:lang w:bidi="fa-IR"/>
        </w:rPr>
        <w:t xml:space="preserve">حیث زعم أنّ تلفه فی الثلاثة من المشتری؛ لانتقال المبیع إلیه وکون التأخیر لمصلحته </w:t>
      </w:r>
      <w:r>
        <w:rPr>
          <w:rStyle w:val="FootnoteAnchor"/>
          <w:rtl w:val="true"/>
        </w:rPr>
        <w:footnoteReference w:id="1076"/>
      </w:r>
      <w:r>
        <w:rPr>
          <w:rFonts w:ascii="IRNazanin" w:hAnsi="IRNazanin" w:eastAsia="IRNazanin"/>
          <w:color w:val="111111"/>
          <w:sz w:val="28"/>
          <w:sz w:val="28"/>
          <w:szCs w:val="28"/>
          <w:rtl w:val="true"/>
          <w:lang w:bidi="fa-IR"/>
        </w:rPr>
        <w:t>وهو غیر مسموع فی مقابلة القاعدة الکلّیة</w:t>
      </w:r>
      <w:bookmarkStart w:id="399" w:name="pg19812_249490"/>
    </w:p>
    <w:p>
      <w:pPr>
        <w:pStyle w:val="BookText"/>
        <w:rPr/>
      </w:pPr>
      <w:bookmarkEnd w:id="399"/>
      <w:r>
        <w:rPr>
          <w:rFonts w:ascii="Amiri" w:hAnsi="Amiri" w:eastAsia="Amiri" w:cs="Amiri"/>
          <w:color w:val="111111"/>
          <w:sz w:val="28"/>
          <w:sz w:val="28"/>
          <w:szCs w:val="28"/>
          <w:rtl w:val="true"/>
          <w:lang w:bidi="ar-SA"/>
        </w:rPr>
        <w:t xml:space="preserve">الثابتة بالنصّ </w:t>
      </w:r>
      <w:r>
        <w:rPr>
          <w:rStyle w:val="FootnoteAnchor"/>
          <w:rtl w:val="true"/>
        </w:rPr>
        <w:footnoteReference w:id="1077"/>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Heading4"/>
        <w:numPr>
          <w:ilvl w:val="3"/>
          <w:numId w:val="1"/>
        </w:numPr>
        <w:rPr/>
      </w:pPr>
      <w:bookmarkStart w:id="400" w:name="__RefHeading___Toc2093044_2314609296"/>
      <w:bookmarkStart w:id="401" w:name="_Toc145"/>
      <w:bookmarkEnd w:id="400"/>
      <w:r>
        <w:rPr>
          <w:rtl w:val="true"/>
        </w:rPr>
        <w:t>«</w:t>
      </w:r>
      <w:r>
        <w:rPr>
          <w:rtl w:val="true"/>
        </w:rPr>
        <w:t>الخامس</w:t>
      </w:r>
      <w:r>
        <w:rPr>
          <w:rtl w:val="true"/>
        </w:rPr>
        <w:t xml:space="preserve">: </w:t>
      </w:r>
      <w:r>
        <w:rPr>
          <w:rtl w:val="true"/>
        </w:rPr>
        <w:t>خیار ما یفسد لیومه</w:t>
      </w:r>
      <w:r>
        <w:rPr>
          <w:rtl w:val="true"/>
        </w:rPr>
        <w:t>»</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ثابت بعد 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الموافق لمدلول الروایة </w:t>
      </w:r>
      <w:r>
        <w:rPr>
          <w:rStyle w:val="FootnoteAnchor"/>
          <w:rtl w:val="true"/>
        </w:rPr>
        <w:footnoteReference w:id="1078"/>
      </w:r>
      <w:r>
        <w:rPr>
          <w:rFonts w:ascii="IRNazanin" w:hAnsi="IRNazanin" w:eastAsia="IRNazanin"/>
          <w:color w:val="111111"/>
          <w:sz w:val="28"/>
          <w:sz w:val="28"/>
          <w:szCs w:val="28"/>
          <w:rtl w:val="true"/>
          <w:lang w:bidi="fa-IR"/>
        </w:rPr>
        <w:t>ولکن یُشکل بأنّ الخیار لدفع الضرر، وإذا توقّف ثبوته علی دخول اللیل مع کون الفساد یحصل فی یومه لا یندفع الضرر، وإنّما یندفع بالفسخ قبل الفساد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وفَرَضَه المصنّف فی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 ما یفسده المبیت</w:t>
      </w:r>
      <w:r>
        <w:rPr>
          <w:rFonts w:eastAsia="Amiri" w:cs="Amiri" w:ascii="Amiri" w:hAnsi="Amiri"/>
          <w:color w:val="111111"/>
          <w:sz w:val="28"/>
          <w:szCs w:val="28"/>
          <w:rtl w:val="true"/>
          <w:lang w:bidi="ar-SA"/>
        </w:rPr>
        <w:t xml:space="preserve">» </w:t>
      </w:r>
      <w:r>
        <w:rPr>
          <w:rStyle w:val="FootnoteAnchor"/>
          <w:rtl w:val="true"/>
        </w:rPr>
        <w:footnoteReference w:id="1079"/>
      </w:r>
      <w:r>
        <w:rPr>
          <w:rFonts w:ascii="IRNazanin" w:hAnsi="IRNazanin" w:eastAsia="IRNazanin"/>
          <w:color w:val="111111"/>
          <w:sz w:val="28"/>
          <w:sz w:val="28"/>
          <w:szCs w:val="28"/>
          <w:rtl w:val="true"/>
          <w:lang w:bidi="fa-IR"/>
        </w:rPr>
        <w:t xml:space="preserve">وهو حسن وإن کان فیه خروج عن النصّ؛ لتلافیه بخبر الضرار </w:t>
      </w:r>
      <w:r>
        <w:rPr>
          <w:rStyle w:val="FootnoteAnchor"/>
          <w:rtl w:val="true"/>
        </w:rPr>
        <w:footnoteReference w:id="1080"/>
      </w:r>
      <w:r>
        <w:rPr>
          <w:rFonts w:ascii="IRNazanin" w:hAnsi="IRNazanin" w:eastAsia="IRNazanin"/>
          <w:color w:val="111111"/>
          <w:sz w:val="28"/>
          <w:sz w:val="28"/>
          <w:szCs w:val="28"/>
          <w:rtl w:val="true"/>
          <w:lang w:bidi="fa-IR"/>
        </w:rPr>
        <w:t>واستقرب تعدیته إلی کلّ ما یتسارع إلیه الفساد عند خوفه ولا یتقیّد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واکتفی فی الفساد بنقص الوصف وفوات الرغبة کما فی الخضراوات واللحم والعنب وکثیر من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واستشکل فیما لو استلزم التأخیر فوات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w:t>
      </w:r>
      <w:r>
        <w:rPr>
          <w:rStyle w:val="FootnoteAnchor"/>
          <w:rtl w:val="true"/>
        </w:rPr>
        <w:footnoteReference w:id="1081"/>
      </w:r>
      <w:r>
        <w:rPr>
          <w:rFonts w:ascii="IRNazanin" w:hAnsi="IRNazanin" w:eastAsia="IRNazanin"/>
          <w:color w:val="111111"/>
          <w:sz w:val="28"/>
          <w:sz w:val="28"/>
          <w:szCs w:val="28"/>
          <w:rtl w:val="true"/>
          <w:lang w:bidi="fa-IR"/>
        </w:rPr>
        <w:t>لو کان ممّا یفسد فی یومین تأخّر الخیار عن اللیل إلی حین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متّجه وإن خرج عن مدلول النصّ الدالّ علی هذا الحکم؛ لقصوره عن إفادة الحکم متناً </w:t>
      </w:r>
      <w:r>
        <w:rPr>
          <w:rStyle w:val="FootnoteAnchor"/>
          <w:rtl w:val="true"/>
        </w:rPr>
        <w:footnoteReference w:id="1082"/>
      </w:r>
      <w:r>
        <w:rPr>
          <w:rFonts w:ascii="Amiri" w:hAnsi="Amiri" w:eastAsia="Amiri" w:cs="Amiri"/>
          <w:color w:val="111111"/>
          <w:sz w:val="28"/>
          <w:sz w:val="28"/>
          <w:szCs w:val="28"/>
          <w:rtl w:val="true"/>
          <w:lang w:bidi="ar-SA"/>
        </w:rPr>
        <w:t xml:space="preserve">وسنداً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w:t>
      </w:r>
      <w:bookmarkStart w:id="402" w:name="pg19812_249491"/>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المتّفق علیه یفیده فی الجمیع</w:t>
      </w:r>
      <w:r>
        <w:rPr>
          <w:rFonts w:eastAsia="IRNazanin" w:cs="IRNazanin"/>
          <w:color w:val="111111"/>
          <w:sz w:val="28"/>
          <w:szCs w:val="28"/>
          <w:rtl w:val="true"/>
          <w:lang w:bidi="fa-IR"/>
        </w:rPr>
        <w:t>.</w:t>
      </w:r>
    </w:p>
    <w:p>
      <w:pPr>
        <w:pStyle w:val="Heading4"/>
        <w:numPr>
          <w:ilvl w:val="3"/>
          <w:numId w:val="1"/>
        </w:numPr>
        <w:rPr/>
      </w:pPr>
      <w:bookmarkStart w:id="403" w:name="__RefHeading___Toc2093046_2314609296"/>
      <w:bookmarkStart w:id="404" w:name="_Toc146"/>
      <w:bookmarkEnd w:id="403"/>
      <w:r>
        <w:rPr>
          <w:rtl w:val="true"/>
        </w:rPr>
        <w:t>«</w:t>
      </w:r>
      <w:r>
        <w:rPr>
          <w:rtl w:val="true"/>
        </w:rPr>
        <w:t>السادس</w:t>
      </w:r>
      <w:r>
        <w:rPr>
          <w:rtl w:val="true"/>
        </w:rPr>
        <w:t xml:space="preserve">: </w:t>
      </w:r>
      <w:r>
        <w:rPr>
          <w:rtl w:val="true"/>
        </w:rPr>
        <w:t>خیار الرؤیة</w:t>
      </w:r>
      <w:r>
        <w:rPr>
          <w:rtl w:val="true"/>
        </w:rPr>
        <w:t>»</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ثابت لمن لم 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أو اشتری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اشتری برؤیة قدیمة فکذلک یتخیّر لو ظهر بخلاف ما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طرف البائع، إلّاأ نّه لیس من أفراد هذا القسم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بدّ فیه من ذکر الجنس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فإنّه مقصور علی ما لم یرَ أصلاً؛ إذ لا یشترط </w:t>
      </w:r>
      <w:r>
        <w:rPr>
          <w:rStyle w:val="FootnoteAnchor"/>
          <w:rtl w:val="true"/>
        </w:rPr>
        <w:footnoteReference w:id="1084"/>
      </w:r>
      <w:r>
        <w:rPr>
          <w:rFonts w:ascii="IRNazanin" w:hAnsi="IRNazanin" w:eastAsia="IRNazanin"/>
          <w:color w:val="111111"/>
          <w:sz w:val="28"/>
          <w:sz w:val="28"/>
          <w:szCs w:val="28"/>
          <w:rtl w:val="true"/>
          <w:lang w:bidi="fa-IR"/>
        </w:rPr>
        <w:t>وصف ما سبقت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یثبت الخیار فیما لم 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زاد فی طرف البائع، أو نقص فی طرف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وُصف لهما فزاد ونقص باعتبارین تخیّرا وقُدّم الفاسخ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هو علی الفور أو التراخی؟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أجودهما الأوّل وهو خیرته فی الدروس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بیع ما یترتّب علیه خیار الرؤیة وهو العین الشخصیّة الغائبة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الجنس والوصف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الرافعین للجهالة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والإشارة إلی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انتفی الوصف بطل، ولو انتفت الإشارة کان المبیع کلّیاً لا یوجب الخیار لو لم یطابق المدفوع، بل علیه إبداله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رأی البعض ووصف الباقی تخیّر فی الجمیع مع عدم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الاقتصار علی فسخ ما لم یرَ؛ لأنّه مبیع واحد</w:t>
      </w:r>
      <w:r>
        <w:rPr>
          <w:rFonts w:eastAsia="IRNazanin" w:cs="IRNazanin"/>
          <w:color w:val="111111"/>
          <w:sz w:val="28"/>
          <w:szCs w:val="28"/>
          <w:rtl w:val="true"/>
          <w:lang w:bidi="fa-IR"/>
        </w:rPr>
        <w:t>.</w:t>
      </w:r>
      <w:bookmarkStart w:id="405" w:name="pg19812_249492"/>
    </w:p>
    <w:p>
      <w:pPr>
        <w:pStyle w:val="Heading4"/>
        <w:numPr>
          <w:ilvl w:val="3"/>
          <w:numId w:val="1"/>
        </w:numPr>
        <w:rPr/>
      </w:pPr>
      <w:bookmarkStart w:id="406" w:name="__RefHeading___Toc2093048_2314609296"/>
      <w:bookmarkStart w:id="407" w:name="_Toc147"/>
      <w:bookmarkEnd w:id="405"/>
      <w:bookmarkEnd w:id="406"/>
      <w:r>
        <w:rPr>
          <w:rtl w:val="true"/>
        </w:rPr>
        <w:t>«</w:t>
      </w:r>
      <w:r>
        <w:rPr>
          <w:rtl w:val="true"/>
        </w:rPr>
        <w:t>السابع</w:t>
      </w:r>
      <w:r>
        <w:rPr>
          <w:rtl w:val="true"/>
        </w:rPr>
        <w:t xml:space="preserve">: </w:t>
      </w:r>
      <w:r>
        <w:rPr>
          <w:rtl w:val="true"/>
        </w:rPr>
        <w:t>خیار الغبن</w:t>
      </w:r>
      <w:r>
        <w:rPr>
          <w:rtl w:val="true"/>
        </w:rPr>
        <w:t>»</w:t>
      </w:r>
      <w:bookmarkEnd w:id="407"/>
    </w:p>
    <w:p>
      <w:pPr>
        <w:pStyle w:val="BookText"/>
        <w:rPr/>
      </w:pP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الخدیعة، والمراد هنا البیع أو الشراء بغیر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المشهور لکلّ من البائع والمشتری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الغبن وهو الشراء بزیادة عن القیمة أو البیع بنقصان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فیه إلی العادة؛ لعدم تقدیره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القیمة وقتَ العقد، ویرجع فیها إلی البیّنة عند الاختلاف، وفی الجهالة إلیها للمطّلع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قبول قوله فیها بیمینه مع إمکانها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یسقط الخیار ببذل الغابن التفاوتَ وإن انتفی موجبه، استصحاباً لما ثبت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اتّفقا علی إسقاطه بالعوض صحّ کغیره من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المتصرّفُ الغابنَ أم المغبون، وسواء خرج به عن الملک کالبیع أم منع مانعٌ من ردّه کالاستیلاد،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 المغبون المشتری وقد أخرجه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خیاره؛ إذ لا یمکنه ردّ العین المنتقلة إلیه لیأخذ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لو عرض له </w:t>
      </w:r>
      <w:r>
        <w:rPr>
          <w:rStyle w:val="FootnoteAnchor"/>
          <w:rtl w:val="true"/>
        </w:rPr>
        <w:footnoteReference w:id="1086"/>
      </w:r>
      <w:r>
        <w:rPr>
          <w:rFonts w:ascii="IRNazanin" w:hAnsi="IRNazanin" w:eastAsia="IRNazanin"/>
          <w:color w:val="111111"/>
          <w:sz w:val="28"/>
          <w:sz w:val="28"/>
          <w:szCs w:val="28"/>
          <w:rtl w:val="true"/>
          <w:lang w:bidi="fa-IR"/>
        </w:rPr>
        <w:t>ما یمنع من الردّ شرعاً کالاستیلاد وإن لم یخرج عن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المشهور وعلیه عمل المصنّف رحمه الله فی غیر الکتاب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نظر؛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المشتری مع تصرّفه فیه علی وجه یمنع من ردّه لو قلنا بسقوط خیاره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بالغبن أو بالخیار والضرر منفیّ</w:t>
      </w:r>
    </w:p>
    <w:p>
      <w:pPr>
        <w:pStyle w:val="BookText"/>
        <w:rPr/>
      </w:pPr>
      <w:r>
        <w:rPr>
          <w:rFonts w:ascii="IRNazanin" w:hAnsi="IRNazanin" w:eastAsia="IRNazanin"/>
          <w:color w:val="111111"/>
          <w:sz w:val="28"/>
          <w:sz w:val="28"/>
          <w:szCs w:val="28"/>
          <w:rtl w:val="true"/>
          <w:lang w:bidi="fa-IR"/>
        </w:rPr>
        <w:t xml:space="preserve">بالخبر </w:t>
      </w:r>
      <w:r>
        <w:rPr>
          <w:rStyle w:val="FootnoteAnchor"/>
          <w:rtl w:val="true"/>
        </w:rPr>
        <w:footnoteReference w:id="1088"/>
      </w:r>
      <w:r>
        <w:rPr>
          <w:rFonts w:ascii="IRNazanin" w:hAnsi="IRNazanin" w:eastAsia="IRNazanin"/>
          <w:color w:val="111111"/>
          <w:sz w:val="28"/>
          <w:sz w:val="28"/>
          <w:szCs w:val="28"/>
          <w:rtl w:val="true"/>
          <w:lang w:bidi="fa-IR"/>
        </w:rPr>
        <w:t xml:space="preserve">بل هو مستند خیار الغبن؛ إذ لا نصّ فیه بخصوصه، وحینئذٍ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تصرّفه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وإلزامه بالقیمة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مثلیّاً جمعاً بین الحقّین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استولد الأمة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یثبت ذلک لو کان المتصرّفُ المشتری والمغبونُ البائعَ، فإنّه إذا فسخ فلم یجد العین یرجع إلی 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متوجّه، لکن لم أقف علی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عاد إلی ملکه بفسخ أو إقالة أو غیرهما أو موت الولد جاز له الفسخ إن لم ینافِ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التصرّف مع ثبوت الغبن إمّا أن یکون فی المبیع المغبون فیه، أو فی ثمنه، أو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إمّا أن یخرج عن الملک، أو یمنع من الردّ کالاستیلاد، أو یرد علی المنفعة خاصّة کالإجارة، أو یوجب تغیّر العین بالزیادة العینیّة کغرس الأرض، أو الحکمیّة کقصارة الثوب، أو المشوبة کصبغه، أو النقصان بعیب ونحوه، أو بامتزاجها بمثلها بما یوجب الشرکة بالمساوی أو الأجود أو الأردأ، أو بغیرها أو بهما علی وجه الاضمحلال کالزیت یعمل صابوناً، أو لا یوجب شیئاً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إمّا أن یزول المانع من الردّ قبل الحکم ببطلان الخیار، أو بعده، أو لا یزول، والمغبون إمّا البائع، أو المشتری، أو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أقسام المسألة، ومضروبها یزید عن مئتی مسألة، وهی ممّا تعمّ بها البلوی، وحکمها غیر مستوفی فی کلامهم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وجملة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المغبون إن کان هو البائع لم یسقط خیاره بتصرّف المشتری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فسخ ووجد العین باقیة علی ملکه لم تتغیّر تغیّراً یوجب</w:t>
      </w:r>
    </w:p>
    <w:p>
      <w:pPr>
        <w:pStyle w:val="BookText"/>
        <w:rPr/>
      </w:pPr>
      <w:r>
        <w:rPr>
          <w:rFonts w:ascii="IRNazanin" w:hAnsi="IRNazanin" w:eastAsia="IRNazanin"/>
          <w:color w:val="111111"/>
          <w:sz w:val="28"/>
          <w:sz w:val="28"/>
          <w:szCs w:val="28"/>
          <w:rtl w:val="true"/>
          <w:lang w:bidi="fa-IR"/>
        </w:rPr>
        <w:t>زیادة القیمة ولا یمنع من ردّها،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وجدها متغیّرة بصفة 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کالطحن والقصارة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فللمشتری اُجرةُ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زادت قیمة العین بها شارکه فی الزیادة بنسبة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صفةً من وجه وعیناً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شریکاً بنسبته کما مرّ، وأولی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الزیادة عیناً 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المبیع وتخیّر بین قلع الغرس بالأرش وإبقائه بالاُجرة؛ لأنّه وَضع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رضی ببقائه بها واختار المشتری قلعه فالظاهر أ نّه لا أرش له، وعلیه تسویة الحُفَر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زرعاً وجب إبقاؤُه إلی أوان بلوغه بالاُجرة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وجدها ناقصة أخذها مجّاناً کذلک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وجدها ممتزجة بغیرها فإن کان بمساوٍ أو أردأ صار شریکاً إن شاء، وإن کان بأجود ففی سقوط خیاره أو کونه شریکاً بنسبة القیمة أو الرجوع إلی الصلح،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مزجها بغیر الجنس بحیث لا یتمیّز فکالمعدومة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وجدها منتقلة عن ملکه بعقد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المثل أو القیمة؛ وکذا لو وجدها علی ملکه مع عدم إمکان ردّها کالمستولدة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استمرّ المانع استمرّ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زال قبل الحکم بالعوض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رجعت إلی ملکه أو مات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العدم؛ لبطلان حقّه بالخروج فلا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العود بعد الحکم بالعوض، ففی رجوعه إلی العین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بطلان حقّه من العین، وکون العوض للحیلولة وقد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الناقل ممّا یمکن 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بخیار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بالفسخ، فإن امتنع فسخه الحاکم، فإن تعذّر فسخه المغبون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وجدها منقولة المنافع جاز له الفسخ وانتظار انقضاء المدّة، وتصیر ملکه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فسخ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النقل جائزاً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کالسکنی المطلقة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یکن تصرّف فی الثمن تصرّفاً یمنع من ردّه، وإلّا سقط خیاره، کما لو تصرّف المشتری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والاحتمال السابق </w:t>
      </w:r>
      <w:r>
        <w:rPr>
          <w:rStyle w:val="FootnoteAnchor"/>
          <w:rtl w:val="true"/>
        </w:rPr>
        <w:footnoteReference w:id="1089"/>
      </w:r>
      <w:r>
        <w:rPr>
          <w:rFonts w:ascii="IRNazanin" w:hAnsi="IRNazanin" w:eastAsia="IRNazanin"/>
          <w:color w:val="111111"/>
          <w:sz w:val="28"/>
          <w:sz w:val="28"/>
          <w:szCs w:val="28"/>
          <w:rtl w:val="true"/>
          <w:lang w:bidi="fa-IR"/>
        </w:rPr>
        <w:t>قائم فیهما، فإن قلنا به دفع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المغبون هو المشتری لم یسقط خیاره بتصرّف البائع فی الثمن مطلقاً، فیرجع إلی عین الثمن أو مثله أو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تصرّفه فیما غُبن فیه فإن لم یکن ناقلاً عن الملک علی وجه لازم ولا مانعاً من الردّ ولا منقّصاً </w:t>
      </w:r>
      <w:r>
        <w:rPr>
          <w:rStyle w:val="FootnoteAnchor"/>
          <w:rtl w:val="true"/>
        </w:rPr>
        <w:footnoteReference w:id="1090"/>
      </w:r>
      <w:r>
        <w:rPr>
          <w:rFonts w:ascii="IRNazanin" w:hAnsi="IRNazanin" w:eastAsia="IRNazanin"/>
          <w:color w:val="111111"/>
          <w:sz w:val="28"/>
          <w:sz w:val="28"/>
          <w:szCs w:val="28"/>
          <w:rtl w:val="true"/>
          <w:lang w:bidi="fa-IR"/>
        </w:rPr>
        <w:t>للعین فله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الناقل والمانع ما تقدّم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کان قد زادها فأولی بجوازه </w:t>
      </w:r>
      <w:r>
        <w:rPr>
          <w:rStyle w:val="FootnoteAnchor"/>
          <w:rtl w:val="true"/>
        </w:rPr>
        <w:footnoteReference w:id="1092"/>
      </w:r>
      <w:r>
        <w:rPr>
          <w:rFonts w:ascii="IRNazanin" w:hAnsi="IRNazanin" w:eastAsia="IRNazanin"/>
          <w:color w:val="111111"/>
          <w:sz w:val="28"/>
          <w:sz w:val="28"/>
          <w:szCs w:val="28"/>
          <w:rtl w:val="true"/>
          <w:lang w:bidi="fa-IR"/>
        </w:rPr>
        <w:t>أو نَقّصها أو مَزَجها أو آجرها فوجهان، وظاهر کلامهم أ نّه غیر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إن کان النقص من قِبَله ردّها مع الأرش، وإن کان من قبل اللّٰه تعالی فالظاهر أ نّه کذلک کما لو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الأرض مغروسة فعلیه قلعه من غیر أرش إن لم یرضَ البائع بالاُجرة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خلطه بالأردأ 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وبالأجود إن بذل له بنسبته فقد أنصفه، وإلّا فإشکال</w:t>
      </w:r>
      <w:r>
        <w:rPr>
          <w:rFonts w:eastAsia="IRNazanin" w:cs="IRNazanin"/>
          <w:color w:val="111111"/>
          <w:sz w:val="28"/>
          <w:szCs w:val="28"/>
          <w:rtl w:val="true"/>
          <w:lang w:bidi="fa-IR"/>
        </w:rPr>
        <w:t>.</w:t>
      </w:r>
      <w:bookmarkStart w:id="408" w:name="pg19812_249496"/>
    </w:p>
    <w:p>
      <w:pPr>
        <w:pStyle w:val="Heading4"/>
        <w:numPr>
          <w:ilvl w:val="3"/>
          <w:numId w:val="1"/>
        </w:numPr>
        <w:rPr/>
      </w:pPr>
      <w:bookmarkStart w:id="409" w:name="__RefHeading___Toc2093050_2314609296"/>
      <w:bookmarkStart w:id="410" w:name="_Toc148"/>
      <w:bookmarkEnd w:id="408"/>
      <w:bookmarkEnd w:id="409"/>
      <w:r>
        <w:rPr>
          <w:rtl w:val="true"/>
        </w:rPr>
        <w:t>«</w:t>
      </w:r>
      <w:r>
        <w:rPr>
          <w:rtl w:val="true"/>
        </w:rPr>
        <w:t>الثامن</w:t>
      </w:r>
      <w:r>
        <w:rPr>
          <w:rtl w:val="true"/>
        </w:rPr>
        <w:t xml:space="preserve">: </w:t>
      </w:r>
      <w:r>
        <w:rPr>
          <w:rtl w:val="true"/>
        </w:rPr>
        <w:t>خیار العیب</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کلّ ما زاد عن الخلقة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خلقة أکثر النوع الذی یعتبر فیه ذلک ذاتاً وصفةً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والناقص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علی الخمس أو ناقصةً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 کالحُمّی ولو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یشتریه فیجده محموماً أو یَحُمّ قبلَ القبض وإن برئ لیومه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وجد ذلک فی المبیع سواءٌ أنقص قیمته أم زادها فضلاً عن المساواة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فللمشتری الخیارُ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بالعیب عند الشراء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الردّ والأرش،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الثمن، نسبته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نسبة التفاوت بین القیمتین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یُقوَّم المبیع صحیحاً ومعیباً ویؤخذ من الثمن مثل تلک النسبة، لا تفاوت ما بین المعیب والصحیح؛ لأنّه قد یحیط بالثمن أو یزید علیه، فیلزم أخذه العوض والمعوَّض، کما إذا اشتراه بخمسین وقُوِّم معیباً بها وصحیحاً بمئة أو أزید، وعلی اعتبار النسبة یرجع فی المثال بخمسة وعشرین وعلی هذا القیاس</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تعدّدت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لاختلاف المقوّمین، أو لاختلاف قیمة أفراد ذلک النوع المساویة للمبیع، فإنّ ذلک قد یتّفق نادراً، والأکثر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المصنّف رحمه الله فی الدروس </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عبّروا عن ذلک باختلاف المقوّمین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اُخذت قیمة واحدة متساویة النسبة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منتزعة منه نسبتها إلیه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الثلاث ثُلثها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الخَمس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قیمة منتزعة من المجموع نسبتها إلیه کنسبة الواحد إلی عدد تلک القیم، وذلک لانتفاء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تُجمع القِیَم الصحیحة علی حدة والمعیبة کذلک، وتُنسب إحداهما إلی الاُخری ویؤخذ بتلک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اختلاف المقوّمین فی قیمته صحیحاً ومعیباً، وفی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یُنسب معیب کلّ قیمة إلی صحیحها ویجمع قدر النسبة ویؤخذ من المجتمع بنسبتها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الطریق منسوب إلی المصنّف </w:t>
      </w:r>
      <w:r>
        <w:rPr>
          <w:rStyle w:val="FootnoteAnchor"/>
          <w:rtl w:val="true"/>
        </w:rPr>
        <w:footnoteReference w:id="1094"/>
      </w:r>
      <w:r>
        <w:rPr>
          <w:rFonts w:ascii="IRNazanin" w:hAnsi="IRNazanin" w:eastAsia="IRNazanin"/>
          <w:color w:val="111111"/>
          <w:sz w:val="28"/>
          <w:sz w:val="28"/>
          <w:szCs w:val="28"/>
          <w:rtl w:val="true"/>
          <w:lang w:bidi="fa-IR"/>
        </w:rPr>
        <w:t xml:space="preserve">وعبارته هنا وفی الدروس </w:t>
      </w:r>
      <w:r>
        <w:rPr>
          <w:rStyle w:val="FootnoteAnchor"/>
          <w:rtl w:val="true"/>
        </w:rPr>
        <w:footnoteReference w:id="1095"/>
      </w:r>
      <w:r>
        <w:rPr>
          <w:rFonts w:ascii="Amiri" w:hAnsi="Amiri" w:eastAsia="Amiri" w:cs="Amiri"/>
          <w:color w:val="111111"/>
          <w:sz w:val="28"/>
          <w:sz w:val="28"/>
          <w:szCs w:val="28"/>
          <w:rtl w:val="true"/>
          <w:lang w:bidi="ar-SA"/>
        </w:rPr>
        <w:t xml:space="preserve">لا تدلّ علیه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الأکثر یتّحد الطریقان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یختلفان فی یسیر، کما لو قالت إحدی</w:t>
      </w:r>
    </w:p>
    <w:p>
      <w:pPr>
        <w:pStyle w:val="BookText"/>
        <w:rPr/>
      </w:pPr>
      <w:r>
        <w:rPr>
          <w:rFonts w:ascii="IRNazanin" w:hAnsi="IRNazanin" w:eastAsia="IRNazanin"/>
          <w:color w:val="111111"/>
          <w:sz w:val="28"/>
          <w:sz w:val="28"/>
          <w:szCs w:val="28"/>
          <w:rtl w:val="true"/>
          <w:lang w:bidi="fa-IR"/>
        </w:rPr>
        <w:t>البیّنتین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قیمته اثنا عشر صحیحاً وعشرة معیباً، 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صحیحاً وخمسةٌ معیباً، فالتفاوت بین القیمتین الصحیحتین ومجموع المعیبتین الربع، فیرجع بربع الثمن، وهو ثلاثة من اثنی عشر لو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یؤخذ تفاوت ما بین القیمتین علی قول الاُولی </w:t>
      </w:r>
      <w:r>
        <w:rPr>
          <w:rStyle w:val="FootnoteAnchor"/>
          <w:rtl w:val="true"/>
        </w:rPr>
        <w:footnoteReference w:id="1097"/>
      </w:r>
      <w:r>
        <w:rPr>
          <w:rFonts w:ascii="IRNazanin" w:hAnsi="IRNazanin" w:eastAsia="IRNazanin"/>
          <w:color w:val="111111"/>
          <w:sz w:val="28"/>
          <w:sz w:val="28"/>
          <w:szCs w:val="28"/>
          <w:rtl w:val="true"/>
          <w:lang w:bidi="fa-IR"/>
        </w:rPr>
        <w:t>وهو السدس، وعلی قول الثانیة ثلاثة أثمان، ومجموع ذلک من الاثنی عشر ستّة ونصف، یؤخذ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وربع، فظهر التفاوت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ثلاثاً، فقالت إحداها کالاُولی،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صحیحاً وثمانیة معیباً،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صحیحاً وستّة معیباً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فالصحیحة ثلاثون، والمعیبة أربعة وعشرون، والتفاوت ستّة هی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یجمع سدس الثمن وخمسه وربعه ویؤخذ ثلث المجموع، وهو یزید عن الأوّل بثُلث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اتّفقت علی الصحیحة کاثنی عشر، دون المعیبة، فقالت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فطریقه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تنصیف المعیبتین ونسبة النصف إلی الصحیحة، أو تجمع المعیبتین مع تضعیف الصحیحة وأخذ مثل نسبة المجموع إلیه، وهو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یؤخذ من الاُولی السدس ومن الثانیة النصف ویؤخذ نصفه، وهو الثلث أیضاً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انعکس بأن اتّفقتا علی الستّة معیباً، وقالت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صحیحاً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فإن شئت جمعتهما وأخذت التفاوت وهو الثلث، أو أخذت نصف الصحیحتین ونسبتَه إلی المعیبة وهو الثلث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یکون التفاوت ربعاً وخُمسَین فنصفه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ثمن وخمس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عن الثلث بنصف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 الردّ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المبیع، سواء کان قبل علمه بالعیب أم بعده، وسواء کان التصرّف ناقلاً للملک أم لا، مغیّراً للعین أم لا، عاد إلیه بعد خروجه عن ملکه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 فی تصرّف الحیوان </w:t>
      </w:r>
      <w:r>
        <w:rPr>
          <w:rStyle w:val="FootnoteAnchor"/>
          <w:rtl w:val="true"/>
        </w:rPr>
        <w:footnoteReference w:id="1098"/>
      </w:r>
      <w:r>
        <w:rPr>
          <w:rFonts w:ascii="Amiri" w:hAnsi="Amiri" w:eastAsia="Amiri" w:cs="Amiri"/>
          <w:color w:val="111111"/>
          <w:sz w:val="28"/>
          <w:sz w:val="28"/>
          <w:szCs w:val="28"/>
          <w:rtl w:val="true"/>
          <w:lang w:bidi="ar-SA"/>
        </w:rPr>
        <w:t>آتٍ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حدوث عیب 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علی المشتری، سواء کان حدوثه من جهته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واحترزنا بالمضمون علیه عمّا لو کان حیواناً وحدث فیه العیب فی الثلاثة من غیر جهة المشتری، فإنّه حینئذٍ لا یمنع من الردّ ولا الأرش؛ لأنّه مضمون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رضی البائع بردّه مجبوراً بالأرش أو غیر مجبور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حکمه ما لو اشتری صفقةً متعدّداً وظهر فیه عیب وتلف أحدها، أو اشتری اثنان صفقةً فامتنع أحدهما من الردّ، فإنّ الآخر یُمنع منه وله الأرش وإن أسقطه الآخر، سواءٌ اتّحدت العین أم تعدّدت، اقتسماها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 بالمنع من التفرّق الورّاثُ عن واحد؛ لأنّ التعدّد هنا طارئٌ علی العقد، سواء فی ذلک خیار العیب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الحکم لو اشتری شیئین فصاعداً فظهر فی أحدهما عیب، فلیس له ردّه، بل ردّهما أو إمساکهما وأرش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یسقط الردّ دون الأرش إذا اشتری من ینعتق علیه؛ لانعتاقه بنفس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ردّه إلی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یسقط الردّ بإسقاطه مع اختیاره الأرش أو لا معه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یسقط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الأرش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الردّ والأرش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قدومه علیه عالماً به رضا بالمعیب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وبالرضا به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مقیّد بالأرش، وأولی منه إسقاط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براءة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العیوب ولو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 جمیع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w:t>
      </w:r>
      <w:r>
        <w:rPr>
          <w:rStyle w:val="FootnoteAnchor"/>
          <w:rtl w:val="true"/>
        </w:rPr>
        <w:footnoteReference w:id="1099"/>
      </w:r>
      <w:r>
        <w:rPr>
          <w:rFonts w:ascii="IRNazanin" w:hAnsi="IRNazanin" w:eastAsia="IRNazanin"/>
          <w:color w:val="111111"/>
          <w:sz w:val="28"/>
          <w:sz w:val="28"/>
          <w:szCs w:val="28"/>
          <w:rtl w:val="true"/>
          <w:lang w:bidi="fa-IR"/>
        </w:rPr>
        <w:t>ولا فرق بین علم البائع والمشتری بالعیوب وجهلهما والتفریق، ولا بین الحیوان وغیره، ولا بین العیوب الباطنة وغیرها، ولا بین الموجودة حالةَ العقد والمتجدّدة حیث تکون مضمونة علی البائع؛ لأنّ الخیار بها ثابت بأصل العقد وإن کان السبب حینئذٍ غیر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شأنها الحیض بحسب سنّها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العبارة الاکتفاء بوقوع الإباق مرّةً قبلَ العقد، وبه صرّح بعضهم </w:t>
      </w:r>
      <w:r>
        <w:rPr>
          <w:rStyle w:val="FootnoteAnchor"/>
          <w:rtl w:val="true"/>
        </w:rPr>
        <w:footnoteReference w:id="1100"/>
      </w:r>
      <w:r>
        <w:rPr>
          <w:rFonts w:ascii="IRNazanin" w:hAnsi="IRNazanin" w:eastAsia="IRNazanin"/>
          <w:color w:val="111111"/>
          <w:sz w:val="28"/>
          <w:sz w:val="28"/>
          <w:szCs w:val="28"/>
          <w:rtl w:val="true"/>
          <w:lang w:bidi="fa-IR"/>
        </w:rPr>
        <w:t>والأقوی اعتبار اعتیاده، وأقلّ ما یتحقّق بمرّتین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إباقه عند المشتری، بل متی تحقّق ذلک عند البائع جاز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تجدّد عند المشتری فی الثلاثة من غیر تصرّف فهو کما لو وقع عند البائع</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یعتبر فی ثبوت عیب الحیض مضیّ ستّة أشهر کما ذکره جماعة </w:t>
      </w:r>
      <w:r>
        <w:rPr>
          <w:rStyle w:val="FootnoteAnchor"/>
          <w:rtl w:val="true"/>
        </w:rPr>
        <w:footnoteReference w:id="1101"/>
      </w:r>
      <w:r>
        <w:rPr>
          <w:rFonts w:ascii="IRNazanin" w:hAnsi="IRNazanin" w:eastAsia="IRNazanin"/>
          <w:color w:val="111111"/>
          <w:sz w:val="28"/>
          <w:sz w:val="28"/>
          <w:szCs w:val="28"/>
          <w:rtl w:val="true"/>
          <w:lang w:bidi="fa-IR"/>
        </w:rPr>
        <w:t xml:space="preserve">بل یثبت بمضیّ مدّة تحیض فیها أسنانها فی تلک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الثُفل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المثلّثة وهو ما استقرّ تحت المائع من کُدرة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bookmarkStart w:id="411" w:name="pg19812_249501"/>
    </w:p>
    <w:p>
      <w:pPr>
        <w:pStyle w:val="BookText"/>
        <w:rPr/>
      </w:pPr>
      <w:bookmarkEnd w:id="411"/>
      <w:r>
        <w:rPr>
          <w:rFonts w:ascii="IRNazanin" w:hAnsi="IRNazanin" w:eastAsia="IRNazanin"/>
          <w:color w:val="111111"/>
          <w:sz w:val="28"/>
          <w:sz w:val="28"/>
          <w:szCs w:val="28"/>
          <w:rtl w:val="true"/>
          <w:lang w:bidi="fa-IR"/>
        </w:rPr>
        <w:t>المعتاد منه فلیس بعیب؛ لاقتضاء طبیعة الزیت وشبهه کون ذلک فیه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یشکل صحّة البیع مع زیادته عن المعتاد بجهالة قدر المبیع المقصود بالذات فیجهل مقدار ثمنه؛ لأنّ مثل ذلک غیر قادح مع معرفة مقدار الجملة، کما تقدّم فی نظائره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2093052_2314609296"/>
      <w:bookmarkStart w:id="413" w:name="_Toc149"/>
      <w:bookmarkEnd w:id="412"/>
      <w:r>
        <w:rPr>
          <w:rtl w:val="true"/>
        </w:rPr>
        <w:t>«</w:t>
      </w:r>
      <w:r>
        <w:rPr>
          <w:rtl w:val="true"/>
        </w:rPr>
        <w:t>التاسع</w:t>
      </w:r>
      <w:r>
        <w:rPr>
          <w:rtl w:val="true"/>
        </w:rPr>
        <w:t xml:space="preserve">: </w:t>
      </w:r>
      <w:r>
        <w:rPr>
          <w:rtl w:val="true"/>
        </w:rPr>
        <w:t>خیار التدلیس</w:t>
      </w:r>
      <w:r>
        <w:rPr>
          <w:rtl w:val="true"/>
        </w:rPr>
        <w:t>»</w:t>
      </w:r>
      <w:bookmarkEnd w:id="413"/>
    </w:p>
    <w:p>
      <w:pPr>
        <w:pStyle w:val="BookText"/>
        <w:rPr/>
      </w:pPr>
      <w:r>
        <w:rPr>
          <w:rFonts w:ascii="Amiri" w:hAnsi="Amiri" w:eastAsia="Amiri" w:cs="Amiri"/>
          <w:color w:val="111111"/>
          <w:sz w:val="28"/>
          <w:sz w:val="28"/>
          <w:szCs w:val="28"/>
          <w:rtl w:val="true"/>
          <w:lang w:bidi="ar-SA"/>
        </w:rPr>
        <w:t>وهو تفعیل من الدَلَس محرّکاً، وهو الظلمة، کأنّ المُدلِّس یُظلم الأمر ویُبهمه حتّی یوهم غیر الواقع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اشتراط صفة فتفوت، سواء کان من البائع أم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 صفة کمال کالبَکارة أو توهّمها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کمالاً ذاتیّاً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کتحمیر الوجه ووصلِ الشعر فظهر الخلاف 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الفسخ والإمضاء بالثمن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 بالعیب والواقع لیس بعیب، بل فوات أمر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ذلک فی البکارة من حیث إنّها بمقتضی الطبیعة وفواتها نقص یحدث علی الأمة ویؤثّر فی نقصان القیمة تأثیراً بیّناً فیتخیّر بین الردّ والأرش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یحتمل ثبوتهما وإن لم یشترط؛ لما ذکرناه، خصوصاً فی الصغیرة التی لیست محلَّ الوطء، فإنّ أصل الخلقة والغالب متطابقان فی مثلها علی البَکارة فیکون فواتها 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الصغیرة قویّ وفی غیرها متّجه، إلّاأنّ الغالب لمّا کان علی خلافه فی الإماء کانت الثیوبة فیهنّ بمنزلة الخلقة الأصلیّة وإن کانت 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یثبت الحکم مع العلم بسبق الثیوبة علی البیع بالبیّنة، أو إقرار البائع، أو قرب زمان الاختبار إلی زمان البیع بحیث لا یمکن تجدّد الثیوبة فیه عادة، وإلّا فلا خیار؛ لأنّها قد تذهب بالعلّة والنزوة </w:t>
      </w:r>
      <w:r>
        <w:rPr>
          <w:rStyle w:val="FootnoteAnchor"/>
          <w:rtl w:val="true"/>
        </w:rPr>
        <w:footnoteReference w:id="1103"/>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تجدّدت فی زمن خیار الحیوان أو خیار الشرط ترتّب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انعکس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یشترط الثیوبة فظهرت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تخیّره أیضاً بین الردّ والإمساک بغیر أرش؛ لجواز تعلّق غرضه بذلک، فلا یقدح فیه کون البکر أتمّ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التصریة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لبن الشاة وما فی حکمها فی ضرعها بترکها بغیر حلب ولا رضاع، فیظنّ الجاهل بحالها کثرة ما تحلبه فیرغب فی شرائها بزیادة، وهو تدلیس محرَّم، وحکمه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والبقرة والناقة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1104"/>
      </w:r>
      <w:r>
        <w:rPr>
          <w:rFonts w:ascii="Amiri" w:hAnsi="Amiri" w:eastAsia="Amiri" w:cs="Amiri"/>
          <w:color w:val="111111"/>
          <w:sz w:val="28"/>
          <w:sz w:val="28"/>
          <w:szCs w:val="28"/>
          <w:rtl w:val="true"/>
          <w:lang w:bidi="ar-SA"/>
        </w:rPr>
        <w:t xml:space="preserve">فإن ثبت فهو الحجّة، وإلّا فالمنصوص الشاة </w:t>
      </w:r>
      <w:r>
        <w:rPr>
          <w:rStyle w:val="FootnoteAnchor"/>
          <w:rtl w:val="true"/>
        </w:rPr>
        <w:footnoteReference w:id="1105"/>
      </w:r>
      <w:r>
        <w:rPr>
          <w:rFonts w:ascii="IRNazanin" w:hAnsi="IRNazanin" w:eastAsia="IRNazanin"/>
          <w:color w:val="111111"/>
          <w:sz w:val="28"/>
          <w:sz w:val="28"/>
          <w:szCs w:val="28"/>
          <w:rtl w:val="true"/>
          <w:lang w:bidi="fa-IR"/>
        </w:rPr>
        <w:t>وإلحاق غیرها بها قیاس، إلّاأن یُعلّل بالتدلیس العامّ فیلحقان بها، وهو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 بعضُ الأصحاب الحکمَ فی سائر الحیوانات حتّی الآدمی </w:t>
      </w:r>
      <w:r>
        <w:rPr>
          <w:rStyle w:val="FootnoteAnchor"/>
          <w:rtl w:val="true"/>
        </w:rPr>
        <w:footnoteReference w:id="1106"/>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لیس بذلک البعید؛ للتدلیس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وتثبت التصریة إن لم یعترف بها البائع ولم تقم بها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اختبارها ثلاثة</w:t>
      </w:r>
    </w:p>
    <w:p>
      <w:pPr>
        <w:pStyle w:val="BookText"/>
        <w:rPr/>
      </w:pP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اتّفقت فیها الحلبات عادةً أو زادت اللاحقة فلیست مصرّاةً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اختلفت فی الثلاثة فکان بعضها ناقصاً عن الاُولی نقصاناً خارجاً عن العادة وإن زاد بعدها فی الثلاثة ثبت الخیار بعد الثلاثة بلا فصل 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ثبتت بالإقرار أو البیّنة جاز الفسخ من حین الثبوت مدّة الثلاثة ما لم یتصرّف بغیر الاختبار بشرط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فلوتساوت أو زادت هبةً من اللّٰه تعالی فالأقوی زواله، ومثله ما لو لم یعلم بالعیب حتّی 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اختار 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حلبه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بعد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مثلَه لو تلف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ردّ الموجود فظاهر؛ لأنّه جزء من المبیع، وأمّا المتجدّد فلإطلاق النصّ بالردّ </w:t>
      </w:r>
      <w:r>
        <w:rPr>
          <w:rStyle w:val="FootnoteAnchor"/>
          <w:rtl w:val="true"/>
        </w:rPr>
        <w:footnoteReference w:id="1108"/>
      </w:r>
      <w:r>
        <w:rPr>
          <w:rFonts w:ascii="IRNazanin" w:hAnsi="IRNazanin" w:eastAsia="IRNazanin"/>
          <w:color w:val="111111"/>
          <w:sz w:val="28"/>
          <w:sz w:val="28"/>
          <w:szCs w:val="28"/>
          <w:rtl w:val="true"/>
          <w:lang w:bidi="fa-IR"/>
        </w:rPr>
        <w:t>الشامل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 نّه نماء المبیع الذی هو ملکه والعقد إنّما ینفسخ من حینه، والأقوی عدم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واستشکل فی الدروس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یتلف اللبن لکن تغیّر فی ذاته أو صفته بأن عمل جُبُناً أو مخیضاً ونحوهما، ففی ردّه بالأرش إن نقص، أو مجّاناً، أو الانتقال إلی بدله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اختبارها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الخیار المستند إلی الاختبار بعد الثلاثة کما ذکرناه سابقاً، وبهذا یظهر الفرق بین مدّة التصریة وخیار الحیوان، فإنّ الخیار فی ثلاثة الحیوان فیها وفی ثلاثة التصریة بعدها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ثبت التصریة بعد البیع بالإقرار أو البیّنة فالخیار ثلاثة، ولا فور فیه</w:t>
      </w:r>
      <w:bookmarkStart w:id="414" w:name="pg19812_249504"/>
    </w:p>
    <w:p>
      <w:pPr>
        <w:pStyle w:val="BookText"/>
        <w:rPr/>
      </w:pPr>
      <w:bookmarkEnd w:id="414"/>
      <w:r>
        <w:rPr>
          <w:rFonts w:ascii="IRNazanin" w:hAnsi="IRNazanin" w:eastAsia="IRNazanin"/>
          <w:color w:val="111111"/>
          <w:sz w:val="28"/>
          <w:sz w:val="28"/>
          <w:szCs w:val="28"/>
          <w:rtl w:val="true"/>
          <w:lang w:bidi="fa-IR"/>
        </w:rPr>
        <w:t xml:space="preserve">فیها </w:t>
      </w:r>
      <w:r>
        <w:rPr>
          <w:rStyle w:val="FootnoteAnchor"/>
          <w:rtl w:val="true"/>
        </w:rPr>
        <w:footnoteReference w:id="1110"/>
      </w:r>
      <w:r>
        <w:rPr>
          <w:rFonts w:ascii="IRNazanin" w:hAnsi="IRNazanin" w:eastAsia="IRNazanin"/>
          <w:color w:val="111111"/>
          <w:sz w:val="28"/>
          <w:sz w:val="28"/>
          <w:szCs w:val="28"/>
          <w:rtl w:val="true"/>
          <w:lang w:bidi="fa-IR"/>
        </w:rPr>
        <w:t xml:space="preserve">علی الأقوی، وهو اختیاره فی الدروس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حینئذٍ الفرق، بل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بانتفاء فائدة خیار التصریة حینئذٍ </w:t>
      </w:r>
      <w:r>
        <w:rPr>
          <w:rStyle w:val="FootnoteAnchor"/>
          <w:rtl w:val="true"/>
        </w:rPr>
        <w:footnoteReference w:id="1112"/>
      </w:r>
      <w:r>
        <w:rPr>
          <w:rFonts w:ascii="IRNazanin" w:hAnsi="IRNazanin" w:eastAsia="IRNazanin"/>
          <w:color w:val="111111"/>
          <w:sz w:val="28"/>
          <w:sz w:val="28"/>
          <w:szCs w:val="28"/>
          <w:rtl w:val="true"/>
          <w:lang w:bidi="fa-IR"/>
        </w:rPr>
        <w:t>لجواز الفسخ فی الثلاثة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ویندفع بجواز تعدّد الأسباب، وتظهر الفائدة فیما لو أسقط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الدروس تقیّد </w:t>
      </w:r>
      <w:r>
        <w:rPr>
          <w:rStyle w:val="FootnoteAnchor"/>
          <w:rtl w:val="true"/>
        </w:rPr>
        <w:footnoteReference w:id="1113"/>
      </w:r>
      <w:r>
        <w:rPr>
          <w:rFonts w:ascii="IRNazanin" w:hAnsi="IRNazanin" w:eastAsia="IRNazanin"/>
          <w:color w:val="111111"/>
          <w:sz w:val="28"/>
          <w:sz w:val="28"/>
          <w:szCs w:val="28"/>
          <w:rtl w:val="true"/>
          <w:lang w:bidi="fa-IR"/>
        </w:rPr>
        <w:t xml:space="preserve">خیار التصریة بالثلاثة مطلقاً </w:t>
      </w:r>
      <w:r>
        <w:rPr>
          <w:rStyle w:val="FootnoteAnchor"/>
          <w:rtl w:val="true"/>
        </w:rPr>
        <w:footnoteReference w:id="1114"/>
      </w:r>
      <w:r>
        <w:rPr>
          <w:rFonts w:ascii="IRNazanin" w:hAnsi="IRNazanin" w:eastAsia="IRNazanin"/>
          <w:color w:val="111111"/>
          <w:sz w:val="28"/>
          <w:sz w:val="28"/>
          <w:szCs w:val="28"/>
          <w:rtl w:val="true"/>
          <w:lang w:bidi="fa-IR"/>
        </w:rPr>
        <w:t xml:space="preserve">ونقل عن الشیخ أ نّها لمکان خیار الحیوان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بإطلاق توقّفه علی الاختبار ثلاثة، فلا یجامعها حیث لا تثبت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بکونه یتخیّر فی آخر جزء منها یوجب المجاز فی الثلاثة</w:t>
      </w:r>
      <w:r>
        <w:rPr>
          <w:rFonts w:eastAsia="IRNazanin" w:cs="IRNazanin"/>
          <w:color w:val="111111"/>
          <w:sz w:val="28"/>
          <w:szCs w:val="28"/>
          <w:rtl w:val="true"/>
          <w:lang w:bidi="fa-IR"/>
        </w:rPr>
        <w:t>.</w:t>
      </w:r>
    </w:p>
    <w:p>
      <w:pPr>
        <w:pStyle w:val="Heading4"/>
        <w:numPr>
          <w:ilvl w:val="3"/>
          <w:numId w:val="1"/>
        </w:numPr>
        <w:rPr/>
      </w:pPr>
      <w:bookmarkStart w:id="415" w:name="__RefHeading___Toc2093054_2314609296"/>
      <w:bookmarkStart w:id="416" w:name="_Toc150"/>
      <w:bookmarkEnd w:id="415"/>
      <w:r>
        <w:rPr>
          <w:rtl w:val="true"/>
        </w:rPr>
        <w:t>«</w:t>
      </w:r>
      <w:r>
        <w:rPr>
          <w:rtl w:val="true"/>
        </w:rPr>
        <w:t>العاشر</w:t>
      </w:r>
      <w:r>
        <w:rPr>
          <w:rtl w:val="true"/>
        </w:rPr>
        <w:t xml:space="preserve">: </w:t>
      </w:r>
      <w:r>
        <w:rPr>
          <w:rtl w:val="true"/>
        </w:rPr>
        <w:t>خیار الاشتراط</w:t>
      </w:r>
      <w:r>
        <w:rPr>
          <w:rtl w:val="true"/>
        </w:rPr>
        <w:t>»</w:t>
      </w:r>
      <w:bookmarkEnd w:id="41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لا یسلم الشرط لمشترطه بائعاً ومشتریاً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اشتراط سائغٍ فی العقد إذا لم یؤدّ إلی جهالة فی أحد العوضین، أو یمنع منه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ذلک شرطاً بعد قید السائغ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شرط تأخیر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منهما، هذا مثال</w:t>
      </w:r>
    </w:p>
    <w:p>
      <w:pPr>
        <w:pStyle w:val="BookText"/>
        <w:rPr/>
      </w:pPr>
      <w:r>
        <w:rPr>
          <w:rFonts w:ascii="IRNazanin" w:hAnsi="IRNazanin" w:eastAsia="IRNazanin"/>
          <w:color w:val="111111"/>
          <w:sz w:val="28"/>
          <w:sz w:val="28"/>
          <w:szCs w:val="28"/>
          <w:rtl w:val="true"/>
          <w:lang w:bidi="fa-IR"/>
        </w:rPr>
        <w:t xml:space="preserve">ما یؤدّی إلی جهالةٍ فی أحدهما، فإنّ الأجل له قسط من الثمن، فإذا کان مجهولاً یُجهل الثمن، وکذا القول فی جانب المعوَّض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عدم وطء الأمة،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البائع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البیع مرّةً أو أزید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أمثلة ما یمنع منه الکتاب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باشتراط 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للمشروط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کاشتراط حمل الدابّة فیما بعدُ، أو أنّ الزرع یبلغ السنبل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شرط علیه أن یبلغ ذلک بفعله أم بفعل اللّٰه؛ لاشتراکهما فی عدم المقدوریّة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تبقیة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إذا بیع أحدُهما 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أوان السنبل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مقدور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تعیین مدّة البقاء، بل یحمل علی المتعارف من البلوغ؛ لأنّه منضبط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غیر السائغ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فی أصحّ القولین </w:t>
      </w:r>
      <w:r>
        <w:rPr>
          <w:rStyle w:val="FootnoteAnchor"/>
          <w:rtl w:val="true"/>
        </w:rPr>
        <w:footnoteReference w:id="1116"/>
      </w:r>
      <w:r>
        <w:rPr>
          <w:rFonts w:ascii="IRNazanin" w:hAnsi="IRNazanin" w:eastAsia="IRNazanin"/>
          <w:color w:val="111111"/>
          <w:sz w:val="28"/>
          <w:sz w:val="28"/>
          <w:szCs w:val="28"/>
          <w:rtl w:val="true"/>
          <w:lang w:bidi="fa-IR"/>
        </w:rPr>
        <w:t>لامتناع بقائه بدونه؛ لأنّه غیر مقصود بانفراده وما هو مقصود لم یسلم، ولأنّ للشرط قسطاً من الثمن فإذا بطل یُجهل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الشرط خاصّة؛ لأ نّه الممتنع شرعاً دون البیع، ولتعلّق التراضی بکلّ منهما </w:t>
      </w:r>
      <w:r>
        <w:rPr>
          <w:rStyle w:val="FootnoteAnchor"/>
          <w:rtl w:val="true"/>
        </w:rPr>
        <w:footnoteReference w:id="1117"/>
      </w:r>
      <w:r>
        <w:rPr>
          <w:rFonts w:ascii="Amiri" w:hAnsi="Amiri" w:eastAsia="Amiri" w:cs="Amiri"/>
          <w:color w:val="111111"/>
          <w:sz w:val="28"/>
          <w:sz w:val="28"/>
          <w:szCs w:val="28"/>
          <w:rtl w:val="true"/>
          <w:lang w:bidi="ar-SA"/>
        </w:rPr>
        <w:t>ویضعَّف بعدم قصده منفرداً، وهو شرط الصحّة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عتقَ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باعه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شرط سائغ، بل راجح، سواء شرط عتقه عن المشتری أم أطلق، ولو شرطه عنه </w:t>
      </w:r>
      <w:r>
        <w:rPr>
          <w:rStyle w:val="FootnoteAnchor"/>
          <w:rtl w:val="true"/>
        </w:rPr>
        <w:footnoteReference w:id="1118"/>
      </w:r>
      <w:r>
        <w:rPr>
          <w:rFonts w:ascii="Amiri" w:hAnsi="Amiri" w:eastAsia="Amiri" w:cs="Amiri"/>
          <w:color w:val="111111"/>
          <w:sz w:val="28"/>
          <w:sz w:val="28"/>
          <w:szCs w:val="28"/>
          <w:rtl w:val="true"/>
          <w:lang w:bidi="ar-SA"/>
        </w:rPr>
        <w:t>ففی صحّته</w:t>
      </w:r>
    </w:p>
    <w:p>
      <w:pPr>
        <w:pStyle w:val="BookText"/>
        <w:rPr/>
      </w:pPr>
      <w:r>
        <w:rPr>
          <w:rFonts w:ascii="IRNazanin" w:hAnsi="IRNazanin" w:eastAsia="IRNazanin"/>
          <w:color w:val="111111"/>
          <w:sz w:val="28"/>
          <w:sz w:val="28"/>
          <w:szCs w:val="28"/>
          <w:rtl w:val="true"/>
          <w:lang w:bidi="fa-IR"/>
        </w:rPr>
        <w:t xml:space="preserve">قولان </w:t>
      </w:r>
      <w:r>
        <w:rPr>
          <w:rStyle w:val="FootnoteAnchor"/>
          <w:rtl w:val="true"/>
        </w:rPr>
        <w:footnoteReference w:id="1119"/>
      </w:r>
      <w:r>
        <w:rPr>
          <w:rFonts w:ascii="IRNazanin" w:hAnsi="IRNazanin" w:eastAsia="IRNazanin"/>
          <w:color w:val="111111"/>
          <w:sz w:val="28"/>
          <w:sz w:val="28"/>
          <w:szCs w:val="28"/>
          <w:rtl w:val="true"/>
          <w:lang w:bidi="fa-IR"/>
        </w:rPr>
        <w:t xml:space="preserve">أجودهما المنع؛ إذ لا عتق إلّافی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تخیّر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فسخ البیع وإمضائه، فإن فسخ استردّه وإن انتقل قبله عن ملک المشتری، وکذا یتخیّر لو مات قبل العتق، فإن فسخ رجع بقیمته یوم التلف؛ لأنّه وقت الانتقال إلی القیمة؛ وکذا لو انعتق قهراً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کلّ شرط لم یسلم لمشترطه، فإنّه یفید تخیّره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فسخ العقد المشروط فیه وإمضائه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 علی المشترط علیه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فائدته جعل البیع عرضةً للزوال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سلامة الشرط، ولزومه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الوفاء بالشرط ولا یتسلّط المشروط له علی الفسخ إلّامع تعذّر وصوله إلی شرطه </w:t>
      </w:r>
      <w:r>
        <w:rPr>
          <w:rStyle w:val="FootnoteAnchor"/>
          <w:rtl w:val="true"/>
        </w:rPr>
        <w:footnoteReference w:id="1120"/>
      </w:r>
      <w:r>
        <w:rPr>
          <w:rFonts w:ascii="IRNazanin" w:hAnsi="IRNazanin" w:eastAsia="IRNazanin"/>
          <w:color w:val="111111"/>
          <w:sz w:val="28"/>
          <w:sz w:val="28"/>
          <w:szCs w:val="28"/>
          <w:rtl w:val="true"/>
          <w:lang w:bidi="fa-IR"/>
        </w:rPr>
        <w:t xml:space="preserve">لعموم الأمر بالوفاء بالعقد </w:t>
      </w:r>
      <w:r>
        <w:rPr>
          <w:rStyle w:val="FootnoteAnchor"/>
          <w:rtl w:val="true"/>
        </w:rPr>
        <w:footnoteReference w:id="1121"/>
      </w:r>
      <w:r>
        <w:rPr>
          <w:rFonts w:ascii="IRNazanin" w:hAnsi="IRNazanin" w:eastAsia="IRNazanin"/>
          <w:color w:val="111111"/>
          <w:sz w:val="28"/>
          <w:sz w:val="28"/>
          <w:szCs w:val="28"/>
          <w:rtl w:val="true"/>
          <w:lang w:bidi="fa-IR"/>
        </w:rPr>
        <w:t>الدالّ علی الوجوب، 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 إلّامن عصی اللّٰه</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فعلی هذا لو امتنع المشروط علیه من الوفاء بالشرط ولم یمکن إجباره رفع أمره إلی الحاکم لیُجبره علیه إن کان مذهبه ذلک، فإن تعذّر فسخ حینئذٍ إن شاء</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وللمصنّف رحمه الله فی بعض تحقیقاته </w:t>
      </w:r>
      <w:r>
        <w:rPr>
          <w:rStyle w:val="FootnoteAnchor"/>
          <w:rtl w:val="true"/>
        </w:rPr>
        <w:footnoteReference w:id="1123"/>
      </w:r>
      <w:r>
        <w:rPr>
          <w:rFonts w:ascii="IRNazanin" w:hAnsi="IRNazanin" w:eastAsia="IRNazanin"/>
          <w:color w:val="111111"/>
          <w:sz w:val="28"/>
          <w:sz w:val="28"/>
          <w:szCs w:val="28"/>
          <w:rtl w:val="true"/>
          <w:lang w:bidi="fa-IR"/>
        </w:rPr>
        <w:t>تفصیل، وهو أنّ الشرط الواقع فی العقد</w:t>
      </w:r>
      <w:bookmarkStart w:id="417" w:name="pg19812_249507"/>
    </w:p>
    <w:p>
      <w:pPr>
        <w:pStyle w:val="BookText"/>
        <w:rPr/>
      </w:pPr>
      <w:bookmarkEnd w:id="417"/>
      <w:r>
        <w:rPr>
          <w:rFonts w:ascii="IRNazanin" w:hAnsi="IRNazanin" w:eastAsia="IRNazanin"/>
          <w:color w:val="111111"/>
          <w:sz w:val="28"/>
          <w:sz w:val="28"/>
          <w:szCs w:val="28"/>
          <w:rtl w:val="true"/>
          <w:lang w:bidi="fa-IR"/>
        </w:rPr>
        <w:t xml:space="preserve">اللازم إن کان العقد کافیاً فی تحقّقه ولا یحتاج بعده إلی صیغة فهو لازم لا یجوز الإخلال به کشرط الوکالة فی العقد، وإن احتاج بعده إلی أمر آخر وراء ذکره فی العقد کشرط العتق فلیس بلازم، بل یقلب العقد اللازم جائزاً، وجعل السرّ فیه أنّ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العقدُ کافٍ فی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کجزء من الإیجاب والقبول، فهو تابع لهما فی اللزوم والجواز، واشتراط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منفصل عن العقد وقد علّق علیه العقد، والمعلّق علی الممکن ممکن، وهو معنی قلب اللازم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اللزوم مطلقاً وإن کان تفصیله أجود ممّا اختاره هنا</w:t>
      </w:r>
      <w:r>
        <w:rPr>
          <w:rFonts w:eastAsia="IRNazanin" w:cs="IRNazanin"/>
          <w:color w:val="111111"/>
          <w:sz w:val="28"/>
          <w:szCs w:val="28"/>
          <w:rtl w:val="true"/>
          <w:lang w:bidi="fa-IR"/>
        </w:rPr>
        <w:t>.</w:t>
      </w:r>
    </w:p>
    <w:p>
      <w:pPr>
        <w:pStyle w:val="Heading4"/>
        <w:numPr>
          <w:ilvl w:val="3"/>
          <w:numId w:val="1"/>
        </w:numPr>
        <w:rPr/>
      </w:pPr>
      <w:bookmarkStart w:id="418" w:name="__RefHeading___Toc2093056_2314609296"/>
      <w:bookmarkStart w:id="419" w:name="_Toc151"/>
      <w:bookmarkEnd w:id="418"/>
      <w:r>
        <w:rPr>
          <w:rtl w:val="true"/>
        </w:rPr>
        <w:t>«</w:t>
      </w:r>
      <w:r>
        <w:rPr>
          <w:rtl w:val="true"/>
        </w:rPr>
        <w:t>الحادی عشر</w:t>
      </w:r>
      <w:r>
        <w:rPr>
          <w:rtl w:val="true"/>
        </w:rPr>
        <w:t xml:space="preserve">: </w:t>
      </w:r>
      <w:r>
        <w:rPr>
          <w:rtl w:val="true"/>
        </w:rPr>
        <w:t>خیار الشرکة</w:t>
      </w:r>
      <w:r>
        <w:rPr>
          <w:rtl w:val="true"/>
        </w:rPr>
        <w:t>»</w:t>
      </w:r>
      <w:bookmarkEnd w:id="41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قارنت العقدَ کما لو اشتری شیئاً فظهر بعضُه مستحقّاً، أو تأخّرت بعده إلی قبل القبض کما لو امتزج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بحیث لا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المشتری یتخیّر بین الفسخ لعیب الشرکة، والبقاء فیصیر شریکاً بالنسبة، وقد یطلق علی الأوّل تبعّض الصفقة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یُسمّی هذا عیباً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لمناسبته للعیب فی نقص المبیع بسبب الشرکة؛ لاشتراکهما فی نقص وصفٍ فیه، وهو هنا منع المشتری من التصرّف فی المبیع کیف شاء، بل یتوقّف علی إذن الشریک، فالتسلّط علیه لیس بتامّ، فکان کالعیب بفوات وصفٍ، فیُجبر </w:t>
      </w:r>
      <w:r>
        <w:rPr>
          <w:rStyle w:val="FootnoteAnchor"/>
          <w:rtl w:val="true"/>
        </w:rPr>
        <w:footnoteReference w:id="1124"/>
      </w:r>
      <w:r>
        <w:rPr>
          <w:rFonts w:ascii="IRNazanin" w:hAnsi="IRNazanin" w:eastAsia="IRNazanin"/>
          <w:color w:val="111111"/>
          <w:sz w:val="28"/>
          <w:sz w:val="28"/>
          <w:szCs w:val="28"/>
          <w:rtl w:val="true"/>
          <w:lang w:bidi="fa-IR"/>
        </w:rPr>
        <w:t>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إطلاق العیب فی مثل ذلک علی وجه المجاز؛ لعدم خروجه به عن خلقته الأصلیّة؛ لأنّه قابل بحسب ذاته للتملّک منفرداً ومشترکاً فلا نقص فی خلقته، بل فی صفته علی ذلک الوجه</w:t>
      </w:r>
      <w:r>
        <w:rPr>
          <w:rFonts w:eastAsia="IRNazanin" w:cs="IRNazanin"/>
          <w:color w:val="111111"/>
          <w:sz w:val="28"/>
          <w:szCs w:val="28"/>
          <w:rtl w:val="true"/>
          <w:lang w:bidi="fa-IR"/>
        </w:rPr>
        <w:t>.</w:t>
      </w:r>
      <w:bookmarkStart w:id="420" w:name="pg19812_249508"/>
    </w:p>
    <w:p>
      <w:pPr>
        <w:pStyle w:val="Heading4"/>
        <w:numPr>
          <w:ilvl w:val="3"/>
          <w:numId w:val="1"/>
        </w:numPr>
        <w:rPr/>
      </w:pPr>
      <w:bookmarkStart w:id="421" w:name="__RefHeading___Toc2093058_2314609296"/>
      <w:bookmarkStart w:id="422" w:name="_Toc152"/>
      <w:bookmarkEnd w:id="420"/>
      <w:bookmarkEnd w:id="421"/>
      <w:r>
        <w:rPr>
          <w:rtl w:val="true"/>
        </w:rPr>
        <w:t>«</w:t>
      </w:r>
      <w:r>
        <w:rPr>
          <w:rtl w:val="true"/>
        </w:rPr>
        <w:t>الثانی عشر</w:t>
      </w:r>
      <w:r>
        <w:rPr>
          <w:rtl w:val="true"/>
        </w:rPr>
        <w:t xml:space="preserve">: </w:t>
      </w:r>
      <w:r>
        <w:rPr>
          <w:rtl w:val="true"/>
        </w:rPr>
        <w:t>خیار تعذّر التسلیم</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اشتری شیئاً ظنّاً </w:t>
      </w:r>
      <w:r>
        <w:rPr>
          <w:rStyle w:val="FootnoteAnchor"/>
          <w:rtl w:val="true"/>
        </w:rPr>
        <w:footnoteReference w:id="1125"/>
      </w:r>
      <w:r>
        <w:rPr>
          <w:rFonts w:ascii="IRNazanin" w:hAnsi="IRNazanin" w:eastAsia="IRNazanin"/>
          <w:color w:val="111111"/>
          <w:sz w:val="28"/>
          <w:sz w:val="28"/>
          <w:szCs w:val="28"/>
          <w:rtl w:val="true"/>
          <w:lang w:bidi="fa-IR"/>
        </w:rPr>
        <w:t xml:space="preserve">إمکان تسلیمه </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طائراً یعتاد عوده أو عبداً مطلقاً </w:t>
      </w:r>
      <w:r>
        <w:rPr>
          <w:rStyle w:val="FootnoteAnchor"/>
          <w:rtl w:val="true"/>
        </w:rPr>
        <w:footnoteReference w:id="1127"/>
      </w:r>
      <w:r>
        <w:rPr>
          <w:rFonts w:ascii="Amiri" w:hAnsi="Amiri" w:eastAsia="Amiri" w:cs="Amiri"/>
          <w:color w:val="111111"/>
          <w:sz w:val="28"/>
          <w:sz w:val="28"/>
          <w:szCs w:val="28"/>
          <w:rtl w:val="true"/>
          <w:lang w:bidi="ar-SA"/>
        </w:rPr>
        <w:t xml:space="preserve">أو دابّة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عجز بعدُ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أبق وشردت ولم یعد الطائر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المبیع قبل القبض مضمون علی البائع ولمّا لم ینزّل ذلک منزلة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الانتفاع به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بالتخیّر، فإن اختار التزام البیع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له الرجوع بشیء؟ یحتمله </w:t>
      </w:r>
      <w:r>
        <w:rPr>
          <w:rStyle w:val="FootnoteAnchor"/>
          <w:rtl w:val="true"/>
        </w:rPr>
        <w:footnoteReference w:id="1129"/>
      </w:r>
      <w:r>
        <w:rPr>
          <w:rFonts w:ascii="IRNazanin" w:hAnsi="IRNazanin" w:eastAsia="IRNazanin"/>
          <w:color w:val="111111"/>
          <w:sz w:val="28"/>
          <w:sz w:val="28"/>
          <w:szCs w:val="28"/>
          <w:rtl w:val="true"/>
          <w:lang w:bidi="fa-IR"/>
        </w:rPr>
        <w:t>لأنّ فوات القبض نقص حدث علی المبیع قبل القبض فیکون مضموناً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بأنّ الأرش لیس فی مقابلة مطلق النقص؛ لأصالة البراءة وعملاً بمقتضی العقد، بل فی مقابلة العیب المتحقّق بنقص الخلقة، أو زیادتها کما ذکر وهو هنا منفیّ</w:t>
      </w:r>
      <w:r>
        <w:rPr>
          <w:rFonts w:eastAsia="IRNazanin" w:cs="IRNazanin"/>
          <w:color w:val="111111"/>
          <w:sz w:val="28"/>
          <w:szCs w:val="28"/>
          <w:rtl w:val="true"/>
          <w:lang w:bidi="fa-IR"/>
        </w:rPr>
        <w:t>.</w:t>
      </w:r>
    </w:p>
    <w:p>
      <w:pPr>
        <w:pStyle w:val="Heading4"/>
        <w:numPr>
          <w:ilvl w:val="3"/>
          <w:numId w:val="1"/>
        </w:numPr>
        <w:rPr/>
      </w:pPr>
      <w:bookmarkStart w:id="423" w:name="__RefHeading___Toc2093060_2314609296"/>
      <w:bookmarkStart w:id="424" w:name="_Toc153"/>
      <w:bookmarkEnd w:id="423"/>
      <w:r>
        <w:rPr>
          <w:rtl w:val="true"/>
        </w:rPr>
        <w:t>«</w:t>
      </w:r>
      <w:r>
        <w:rPr>
          <w:rtl w:val="true"/>
        </w:rPr>
        <w:t>الثالث عشر</w:t>
      </w:r>
      <w:r>
        <w:rPr>
          <w:rtl w:val="true"/>
        </w:rPr>
        <w:t xml:space="preserve">: </w:t>
      </w:r>
      <w:r>
        <w:rPr>
          <w:rtl w:val="true"/>
        </w:rPr>
        <w:t>خیار تبعیض الصفقة</w:t>
      </w:r>
      <w:r>
        <w:rPr>
          <w:rtl w:val="true"/>
        </w:rPr>
        <w:t>»</w:t>
      </w:r>
      <w:bookmarkEnd w:id="42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اشتری سلعتین فتُستحقّ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یتخیّر بین التزام الاُخری</w:t>
      </w:r>
      <w:bookmarkStart w:id="425" w:name="pg19812_249509"/>
    </w:p>
    <w:p>
      <w:pPr>
        <w:pStyle w:val="BookText"/>
        <w:rPr/>
      </w:pPr>
      <w:bookmarkEnd w:id="425"/>
      <w:r>
        <w:rPr>
          <w:rFonts w:ascii="IRNazanin" w:hAnsi="IRNazanin" w:eastAsia="IRNazanin"/>
          <w:color w:val="111111"/>
          <w:sz w:val="28"/>
          <w:sz w:val="28"/>
          <w:szCs w:val="28"/>
          <w:rtl w:val="true"/>
          <w:lang w:bidi="fa-IR"/>
        </w:rPr>
        <w:t>بقسطها من الثمن والفسخ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الصفقة المتبعّضة بین کونها متاعاً واحداً فظهر استحقاق بعضه أو أمتعة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مثّل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أصل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الواحد، سُمّی البیع بذلک؛ لأنّهم کانوا یتصافقون بأیدیهم إذا تبایعوا، یجعلونه دلالة علی الرضاء به؛ ومنه قول النبیّ صلی الله علیه و آله لعروة البارقی لمّا اشتری الشاة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لک فی صفقة یمینک</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وإنّما خصّ تبعّض الصفقة هنا بالسلعتین لإدخاله الواحدة فی خیار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جعل موضوع تبعّض الصفقة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أجود، وإن اجتمع فی السلعة الواحدة خیاران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بالشرکة وتبعیض الصفقة، فقد تجتمع أنواع الخیار أجمع فی بیع </w:t>
      </w:r>
      <w:r>
        <w:rPr>
          <w:rStyle w:val="FootnoteAnchor"/>
          <w:rtl w:val="true"/>
        </w:rPr>
        <w:footnoteReference w:id="1131"/>
      </w:r>
      <w:r>
        <w:rPr>
          <w:rFonts w:ascii="IRNazanin" w:hAnsi="IRNazanin" w:eastAsia="IRNazanin"/>
          <w:color w:val="111111"/>
          <w:sz w:val="28"/>
          <w:sz w:val="28"/>
          <w:szCs w:val="28"/>
          <w:rtl w:val="true"/>
          <w:lang w:bidi="fa-IR"/>
        </w:rPr>
        <w:t>واحد؛ لعدم التنافی</w:t>
      </w:r>
      <w:r>
        <w:rPr>
          <w:rFonts w:eastAsia="IRNazanin" w:cs="IRNazanin"/>
          <w:color w:val="111111"/>
          <w:sz w:val="28"/>
          <w:szCs w:val="28"/>
          <w:rtl w:val="true"/>
          <w:lang w:bidi="fa-IR"/>
        </w:rPr>
        <w:t>.</w:t>
      </w:r>
    </w:p>
    <w:p>
      <w:pPr>
        <w:pStyle w:val="Heading4"/>
        <w:numPr>
          <w:ilvl w:val="3"/>
          <w:numId w:val="1"/>
        </w:numPr>
        <w:rPr/>
      </w:pPr>
      <w:bookmarkStart w:id="426" w:name="__RefHeading___Toc2093062_2314609296"/>
      <w:bookmarkStart w:id="427" w:name="_Toc154"/>
      <w:bookmarkEnd w:id="426"/>
      <w:r>
        <w:rPr>
          <w:rtl w:val="true"/>
        </w:rPr>
        <w:t>«</w:t>
      </w:r>
      <w:r>
        <w:rPr>
          <w:rtl w:val="true"/>
        </w:rPr>
        <w:t>الرابع عشر</w:t>
      </w:r>
      <w:r>
        <w:rPr>
          <w:rtl w:val="true"/>
        </w:rPr>
        <w:t xml:space="preserve">: </w:t>
      </w:r>
      <w:r>
        <w:rPr>
          <w:rtl w:val="true"/>
        </w:rPr>
        <w:t>خیار التفلیس</w:t>
      </w:r>
      <w:r>
        <w:rPr>
          <w:rtl w:val="true"/>
        </w:rPr>
        <w:t>»</w:t>
      </w:r>
      <w:bookmarkEnd w:id="427"/>
    </w:p>
    <w:p>
      <w:pPr>
        <w:pStyle w:val="BookText"/>
        <w:rPr/>
      </w:pPr>
      <w:r>
        <w:rPr>
          <w:rFonts w:ascii="IRNazanin" w:hAnsi="IRNazanin" w:eastAsia="IRNazanin"/>
          <w:color w:val="111111"/>
          <w:sz w:val="28"/>
          <w:sz w:val="28"/>
          <w:szCs w:val="28"/>
          <w:rtl w:val="true"/>
          <w:lang w:bidi="fa-IR"/>
        </w:rPr>
        <w:t>إذا وجد غریم المفلَّس متاعه، فإنّه یتخیّر بین أخذه مقدّماً علی الغرماء وبین الضرب بالثمن معهم، وسیأتی تفصیله فی کتاب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غریم المیّت مع وفاء الترکة بالدین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1132"/>
      </w:r>
      <w:r>
        <w:rPr>
          <w:rFonts w:ascii="IRNazanin" w:hAnsi="IRNazanin" w:eastAsia="IRNazanin"/>
          <w:color w:val="111111"/>
          <w:sz w:val="28"/>
          <w:sz w:val="28"/>
          <w:szCs w:val="28"/>
          <w:rtl w:val="true"/>
          <w:lang w:bidi="fa-IR"/>
        </w:rPr>
        <w:t>وکان المناسب جعله قسماً آخر، حیث تحرّی الاستقصاء هنا لأقسام الخیار بما لم یذکره غیره</w:t>
      </w:r>
      <w:r>
        <w:rPr>
          <w:rFonts w:eastAsia="IRNazanin" w:cs="IRNazanin"/>
          <w:color w:val="111111"/>
          <w:sz w:val="28"/>
          <w:szCs w:val="28"/>
          <w:rtl w:val="true"/>
          <w:lang w:bidi="fa-IR"/>
        </w:rPr>
        <w:t>.</w:t>
      </w:r>
      <w:bookmarkStart w:id="428" w:name="pg19812_249510"/>
    </w:p>
    <w:p>
      <w:pPr>
        <w:pStyle w:val="Heading3"/>
        <w:numPr>
          <w:ilvl w:val="2"/>
          <w:numId w:val="1"/>
        </w:numPr>
        <w:rPr/>
      </w:pPr>
      <w:bookmarkStart w:id="429" w:name="__RefHeading___Toc2093064_2314609296"/>
      <w:bookmarkStart w:id="430" w:name="_Toc155"/>
      <w:bookmarkEnd w:id="428"/>
      <w:bookmarkEnd w:id="429"/>
      <w:r>
        <w:rPr>
          <w:rtl w:val="true"/>
        </w:rPr>
        <w:t>«</w:t>
      </w:r>
      <w:r>
        <w:rPr>
          <w:rtl w:val="true"/>
        </w:rPr>
        <w:t>الفصل العاشر</w:t>
      </w:r>
      <w:r>
        <w:rPr>
          <w:rtl w:val="true"/>
        </w:rPr>
        <w:t>» «</w:t>
      </w:r>
      <w:r>
        <w:rPr>
          <w:rtl w:val="true"/>
        </w:rPr>
        <w:t>فی الأحکام</w:t>
      </w:r>
      <w:r>
        <w:rPr>
          <w:rtl w:val="true"/>
        </w:rPr>
        <w:t>»</w:t>
      </w:r>
      <w:bookmarkEnd w:id="430"/>
    </w:p>
    <w:p>
      <w:pPr>
        <w:pStyle w:val="Heading4"/>
        <w:numPr>
          <w:ilvl w:val="3"/>
          <w:numId w:val="1"/>
        </w:numPr>
        <w:rPr/>
      </w:pPr>
      <w:bookmarkStart w:id="431" w:name="__RefHeading___Toc2093066_2314609296"/>
      <w:bookmarkStart w:id="432" w:name="_Toc156"/>
      <w:bookmarkEnd w:id="431"/>
      <w:r>
        <w:rPr>
          <w:rtl w:val="true"/>
        </w:rPr>
        <w:t>اشارة</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خمسة</w:t>
      </w:r>
      <w:r>
        <w:rPr>
          <w:rFonts w:eastAsia="IRNazanin" w:cs="IRNazanin"/>
          <w:color w:val="111111"/>
          <w:sz w:val="28"/>
          <w:szCs w:val="28"/>
          <w:rtl w:val="true"/>
          <w:lang w:bidi="fa-IR"/>
        </w:rPr>
        <w:t>» .</w:t>
      </w:r>
    </w:p>
    <w:p>
      <w:pPr>
        <w:pStyle w:val="Heading4"/>
        <w:numPr>
          <w:ilvl w:val="3"/>
          <w:numId w:val="1"/>
        </w:numPr>
        <w:rPr/>
      </w:pPr>
      <w:bookmarkStart w:id="433" w:name="__RefHeading___Toc2093068_2314609296"/>
      <w:bookmarkStart w:id="434" w:name="_Toc157"/>
      <w:bookmarkEnd w:id="433"/>
      <w:r>
        <w:rPr>
          <w:rtl w:val="true"/>
        </w:rPr>
        <w:t>«</w:t>
      </w:r>
      <w:r>
        <w:rPr>
          <w:rtl w:val="true"/>
        </w:rPr>
        <w:t>الأوّل</w:t>
      </w:r>
      <w:r>
        <w:rPr>
          <w:rtl w:val="true"/>
        </w:rPr>
        <w:t xml:space="preserve">: </w:t>
      </w:r>
      <w:r>
        <w:rPr>
          <w:rtl w:val="true"/>
        </w:rPr>
        <w:t>النقد والنسیئة</w:t>
      </w:r>
      <w:r>
        <w:rPr>
          <w:rtl w:val="true"/>
        </w:rPr>
        <w:t>»</w:t>
      </w:r>
      <w:bookmarkEnd w:id="434"/>
    </w:p>
    <w:p>
      <w:pPr>
        <w:pStyle w:val="BookText"/>
        <w:rPr/>
      </w:pPr>
      <w:r>
        <w:rPr>
          <w:rFonts w:ascii="IRNazanin" w:hAnsi="IRNazanin" w:eastAsia="IRNazanin"/>
          <w:color w:val="111111"/>
          <w:sz w:val="28"/>
          <w:sz w:val="28"/>
          <w:szCs w:val="28"/>
          <w:rtl w:val="true"/>
          <w:lang w:bidi="fa-IR"/>
        </w:rPr>
        <w:t xml:space="preserve">أی البیع الحالّ والمؤجّل، سُمّی الأوّل نقداً باعتبار کون ثمنه منقوداً ولو بالقوّة، والثانی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تأخیر الشیء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أنسأت الشیء إنساءً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وُضع موضعَ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البیع بالنسبة إلی تعجیل الثمن والمثمن وتأخیرهما والتفریق أربعة أقسام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الکالئ بالکالئ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فاعل أو مفعول،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لمراقبة کلٍّ من الغریمین صاحبَه لأجل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حلول المثمن وتأجیل الثمن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وکلّها صحیحة عدا الثانی فقد ورد النهی عنه </w:t>
      </w:r>
      <w:r>
        <w:rPr>
          <w:rStyle w:val="FootnoteAnchor"/>
          <w:rtl w:val="true"/>
        </w:rPr>
        <w:footnoteReference w:id="1133"/>
      </w:r>
      <w:r>
        <w:rPr>
          <w:rFonts w:ascii="IRNazanin" w:hAnsi="IRNazanin" w:eastAsia="IRNazanin"/>
          <w:color w:val="111111"/>
          <w:sz w:val="28"/>
          <w:sz w:val="28"/>
          <w:szCs w:val="28"/>
          <w:rtl w:val="true"/>
          <w:lang w:bidi="fa-IR"/>
        </w:rPr>
        <w:t>وانعقد الإجماع علی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البیع یقتضی کون الثمن حالّاً وإن شرط تعجیله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لحصوله بدون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وقّت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شرط تعجیله فی هذا الیوم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یعیّن له زماناً لم یفد سوی التأکید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بثبوته مع الإطلاق أیضاً لو أخلّ به عن أوّل وقته کان حسناً؛ للإخلال 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شرط التأجیل اعتبر ضبط الأجل، فلا یناط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یحتمل الزیادة والنقصان کمقدم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وإدراک الغلّة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أمرین أو اُمور حیث لا مخصّص لأحدها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منی، فإنّه مشترک بین 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وشهر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 بین شهرین، فیبطل العقد بذلک؛ ومثله التأجیل إلی یوم معیّن من الاُسبوع کالخمیس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الجمیع </w:t>
      </w:r>
      <w:r>
        <w:rPr>
          <w:rStyle w:val="FootnoteAnchor"/>
          <w:rtl w:val="true"/>
        </w:rPr>
        <w:footnoteReference w:id="1134"/>
      </w:r>
      <w:r>
        <w:rPr>
          <w:rFonts w:ascii="IRNazanin" w:hAnsi="IRNazanin" w:eastAsia="IRNazanin"/>
          <w:color w:val="111111"/>
          <w:sz w:val="28"/>
          <w:sz w:val="28"/>
          <w:szCs w:val="28"/>
          <w:rtl w:val="true"/>
          <w:lang w:bidi="fa-IR"/>
        </w:rPr>
        <w:t>لتعلیقه الأجل علی اسم معیّن وهو یتحقّق بالأوّل، لکن یعتبر علمهما بذلک قبلَ العقد لیتوجّه قصدهما إلی أجلٍ مضبوط، فلا یکفی ثبوت ذلک شرعاً مع جهلهما أو أحدهما به، ومع القصد لا إشکال فی الصحّة وإن لم یکن الإطلاق محمولاً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الاکتفاء فی الصحّة بما یقتضیه الشرع فی ذلک، قصداه أم لا، نظراً إلی کون الأجل الذی عیّناه مضبوطاً فی نفسه شرعاً، وإطلاق اللفظ منزَّل علی الحقیقة الشرعیّة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جعل لحالٍّ ثمناً ولمؤجّل أزید منه، أو فاوت بین 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الثمن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حالّاً بمئة ومؤجّلاً إلی شهرین بمئتین، أو مؤجّلاً إلی شهر بمئة وإلی شهرین بمئتین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لجهالة الثمن بتردّده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المسألة قول</w:t>
      </w:r>
    </w:p>
    <w:p>
      <w:pPr>
        <w:pStyle w:val="BookText"/>
        <w:rPr/>
      </w:pPr>
      <w:r>
        <w:rPr>
          <w:rFonts w:ascii="IRNazanin" w:hAnsi="IRNazanin" w:eastAsia="IRNazanin"/>
          <w:color w:val="111111"/>
          <w:sz w:val="28"/>
          <w:sz w:val="28"/>
          <w:szCs w:val="28"/>
          <w:rtl w:val="true"/>
          <w:lang w:bidi="fa-IR"/>
        </w:rPr>
        <w:t xml:space="preserve">ضعیف بلزوم أقلّ الثمنین إلی أبعد الأجلین </w:t>
      </w:r>
      <w:r>
        <w:rPr>
          <w:rStyle w:val="FootnoteAnchor"/>
          <w:rtl w:val="true"/>
        </w:rPr>
        <w:footnoteReference w:id="1135"/>
      </w:r>
      <w:r>
        <w:rPr>
          <w:rFonts w:ascii="IRNazanin" w:hAnsi="IRNazanin" w:eastAsia="IRNazanin"/>
          <w:color w:val="111111"/>
          <w:sz w:val="28"/>
          <w:sz w:val="28"/>
          <w:szCs w:val="28"/>
          <w:rtl w:val="true"/>
          <w:lang w:bidi="fa-IR"/>
        </w:rPr>
        <w:t xml:space="preserve">استناداً إلی روایة ضعیفة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أجّل البعض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الثمن وأطلق الباقی، أو جعله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باعه سلعتین فی عقدٍ ثمن إحداهما نقدٌ والاُخری نسیئة؛ وکذا لو جعله أو بعضه نجوماً معلومة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اشتراه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کون بیعه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الأجل وبعدَه بجنس الثمن وغیره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لانتفاء المانع فی ذلک کلّه، مع عموم الأدلّة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بیعه بعد حلوله بزیادة عن ثمنه الأوّل، أو نقصان عنه مع اتّفاقهما فی الجنس </w:t>
      </w:r>
      <w:r>
        <w:rPr>
          <w:rStyle w:val="FootnoteAnchor"/>
          <w:rtl w:val="true"/>
        </w:rPr>
        <w:footnoteReference w:id="1137"/>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138"/>
      </w:r>
      <w:r>
        <w:rPr>
          <w:rFonts w:ascii="IRNazanin" w:hAnsi="IRNazanin" w:eastAsia="IRNazanin"/>
          <w:color w:val="111111"/>
          <w:sz w:val="28"/>
          <w:sz w:val="28"/>
          <w:szCs w:val="28"/>
          <w:rtl w:val="true"/>
          <w:lang w:bidi="fa-IR"/>
        </w:rPr>
        <w:t xml:space="preserve">قاصرة السند والدلالة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یشترط فی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بیعه من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الأوّل، سواء کان حالّاً أم مؤجّلاً، وسواء شرط بیعه من البائع بعد الأجل أم قبله علی المشهور ومستنده غیر واضح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عُلّل باستلزامه الدور </w:t>
      </w:r>
      <w:r>
        <w:rPr>
          <w:rStyle w:val="FootnoteAnchor"/>
          <w:rtl w:val="true"/>
        </w:rPr>
        <w:footnoteReference w:id="1139"/>
      </w:r>
      <w:r>
        <w:rPr>
          <w:rFonts w:ascii="IRNazanin" w:hAnsi="IRNazanin" w:eastAsia="IRNazanin"/>
          <w:color w:val="111111"/>
          <w:sz w:val="28"/>
          <w:sz w:val="28"/>
          <w:szCs w:val="28"/>
          <w:rtl w:val="true"/>
          <w:lang w:bidi="fa-IR"/>
        </w:rPr>
        <w:t>لأنّ بیعه له یتوقّف علی ملکیّته له المتوقّفة علی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المتوقّف علی حصول الشرط هو لزوم البیع لا انتقالُه إلی ملکه، کیف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 نقله إلی ملک البائع من المشتری مستلزم لانتقاله إلیه، غایته أنّ تملّک البائع موقوف علی تملّک المشتری، وأمّا إنّ تملّک المشتری موقوف علی تملّک البائع فلا؛ ولأ نّه وارد فی باقی الشروط خصوصاً شرط بیعه للغیر مع صحّته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لملک المشتری ما لو جعل الشرط بیعه من البائع بعد الأجل؛ لتخلّل ملک المشتری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وعُلّل بعدم حصول القصد إلی نقله عن البائع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الغرض حصول القصد إلی ملک المشتری وإنّما رتّب علیه نقله ثانیاً، بل شرط النقل ثانیاً یستلزم القصد إلی النقل الأوّل؛ لتوقّفه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ولاتّفاقهم علی أ نّهما لو لم یشترطا ذلک فی العقد صحّ وإن کان من قصدهما ردّه، مع أنّ العقد یتبع القصد، والمصحِّح له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قصد ردّه بعد ملک المشتری له غیرُ منافٍ لقصد البیع بوجهٍ، وإنّما المانع عدم القصد إلی نقل الملک إلی المشتری أصلاً بحیث لا یترتّب علیه حکم الملک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قبض الثمن لو دفعه إلی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الحلول مطلقاً </w:t>
      </w:r>
      <w:r>
        <w:rPr>
          <w:rStyle w:val="FootnoteAnchor"/>
          <w:rtl w:val="true"/>
        </w:rPr>
        <w:footnoteReference w:id="11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غیر مستحقّ حینئذٍ وجاز تعلّق غرض البائع بتأخیر القبض إلی الأجل، فإنّ الأغراض لا تنضبط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من قبضه حیث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الحاکمِ</w:t>
      </w:r>
    </w:p>
    <w:p>
      <w:pPr>
        <w:pStyle w:val="BookText"/>
        <w:rPr/>
      </w:pPr>
      <w:r>
        <w:rPr>
          <w:rFonts w:ascii="IRNazanin" w:hAnsi="IRNazanin" w:eastAsia="IRNazanin"/>
          <w:color w:val="111111"/>
          <w:sz w:val="28"/>
          <w:sz w:val="28"/>
          <w:szCs w:val="28"/>
          <w:rtl w:val="true"/>
          <w:lang w:bidi="fa-IR"/>
        </w:rPr>
        <w:t xml:space="preserve">ولو بالمشقّة البالغة فی الوصول إلیه، أو امتناعه من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أمانة فی ید المشتری لا یضمنه لو تلف بغیر تفریطه؛ وکذا کلّ من امتنع من قبض حقّه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ومقتضی العبارة أنّ المشتری یُبقیه بیده مُمیّزاً علی وجه الأمانة، وینبغی مع ذلک أن لا یجوز له التصرّف فیه، وأن یکون نماؤه للبائع، تحقیقاً لتعیّنه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ببقائه علی ملک المشتری وإن کان تلفه من البائع </w:t>
      </w:r>
      <w:r>
        <w:rPr>
          <w:rStyle w:val="FootnoteAnchor"/>
          <w:rtl w:val="true"/>
        </w:rPr>
        <w:footnoteReference w:id="1142"/>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للمشتری التصرّف فیه فیبقی فی ذمّته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حَجْرَ فی زیادة الثمن ونقصانه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البائع والمشتری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المشتری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لم یعرف؛ لجواز بیع الغبن إجماعاً، وکأ نّه أراد نفی الحَجْر علی وجهٍ لا یترتّب علیه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بیع المتاع بدون قیمته وأضعافها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یؤدّی إلی 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البائع أو المشتری فیبطل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ویرتفع السفه بتعلّق غرض صحیح بالزیادة والنقصان، إمّا لقلّتهما أو لترتّب غرض آخر یقابله کالصبر بدینٍ حالّ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تأجیل الحالّ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ولا بدونها، إلّاأن یُشرِط </w:t>
      </w:r>
      <w:r>
        <w:rPr>
          <w:rStyle w:val="FootnoteAnchor"/>
          <w:rtl w:val="true"/>
        </w:rPr>
        <w:footnoteReference w:id="1144"/>
      </w:r>
      <w:r>
        <w:rPr>
          <w:rFonts w:ascii="IRNazanin" w:hAnsi="IRNazanin" w:eastAsia="IRNazanin"/>
          <w:color w:val="111111"/>
          <w:sz w:val="28"/>
          <w:sz w:val="28"/>
          <w:szCs w:val="28"/>
          <w:rtl w:val="true"/>
          <w:lang w:bidi="fa-IR"/>
        </w:rPr>
        <w:t>الأجل فی عقد لازم، فیلزم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تعجیله بنقصان منه بإبراءٍ أو صلح</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المشتری إذا باع ما اشتراه مؤجَّلاً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الأجل فی غیر المساوَمة، فیتخیّر المشتری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بدون ذکره بین الفسخ والرضاء به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للمشتری من الأجل مثلَه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bookmarkStart w:id="435" w:name="pg19812_249515"/>
    </w:p>
    <w:p>
      <w:pPr>
        <w:pStyle w:val="Heading4"/>
        <w:numPr>
          <w:ilvl w:val="3"/>
          <w:numId w:val="1"/>
        </w:numPr>
        <w:rPr/>
      </w:pPr>
      <w:bookmarkStart w:id="436" w:name="__RefHeading___Toc2093070_2314609296"/>
      <w:bookmarkStart w:id="437" w:name="_Toc158"/>
      <w:bookmarkEnd w:id="435"/>
      <w:bookmarkEnd w:id="436"/>
      <w:r>
        <w:rPr>
          <w:rtl w:val="true"/>
        </w:rPr>
        <w:t>«</w:t>
      </w:r>
      <w:r>
        <w:rPr>
          <w:rtl w:val="true"/>
        </w:rPr>
        <w:t>الثانی</w:t>
      </w:r>
      <w:r>
        <w:rPr>
          <w:rtl w:val="true"/>
        </w:rPr>
        <w:t xml:space="preserve">: </w:t>
      </w:r>
      <w:r>
        <w:rPr>
          <w:rtl w:val="true"/>
        </w:rPr>
        <w:t>فی القبض</w:t>
      </w:r>
      <w:r>
        <w:rPr>
          <w:rtl w:val="true"/>
        </w:rPr>
        <w:t>»</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بتجریده عن شرط تأخیر أحد العوضین أو تأخیرهما إذا کانا عینین أو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قبضَ العوضین، فیتقابضان معاً لو تمانعا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الثمن عیناً أو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یکن أحدهما أولی بالتقدیم، لتساوی الحقّین فی وجوب تسلیم کلّ منهما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یُجبر البائع علی الإقباض أوّلاً؛ لأنّ الثمن تابع للمبیع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باستواء العقد فی إفادة الملک لکلّ منهما، فإن امتنعا أجبرهما الحاکم معاً مع إمکانه، کما یُجبر الممتنع من قبض ماله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تعذّر فکالدین إذا بذله المدیون فامتنع من قبوله </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اشتراط تأخیر إقباض المبیع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اشتراط تأخیر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والانتفاع به منفعة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شرط سائغ فیدخل تحت العموم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والقبض فی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کالحیوان والأقمشة والمکیل والموزون والمعدود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 التخلیة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وبینه بعد رفع الید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القبض مختلفاً کذلک؛ لأنّ الشارع لم یَحُدّه، فیرجع فیه إلی العرف، وهو دالّ</w:t>
      </w:r>
    </w:p>
    <w:p>
      <w:pPr>
        <w:pStyle w:val="BookText"/>
        <w:rPr/>
      </w:pPr>
      <w:r>
        <w:rPr>
          <w:rFonts w:ascii="IRNazanin" w:hAnsi="IRNazanin" w:eastAsia="IRNazanin"/>
          <w:color w:val="111111"/>
          <w:sz w:val="28"/>
          <w:sz w:val="28"/>
          <w:szCs w:val="28"/>
          <w:rtl w:val="true"/>
          <w:lang w:bidi="fa-IR"/>
        </w:rPr>
        <w:t>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المسألة أقوال اُخر </w:t>
      </w:r>
      <w:r>
        <w:rPr>
          <w:rStyle w:val="FootnoteAnchor"/>
          <w:rtl w:val="true"/>
        </w:rPr>
        <w:footnoteReference w:id="1149"/>
      </w:r>
      <w:r>
        <w:rPr>
          <w:rFonts w:ascii="IRNazanin" w:hAnsi="IRNazanin" w:eastAsia="IRNazanin"/>
          <w:color w:val="111111"/>
          <w:sz w:val="28"/>
          <w:sz w:val="28"/>
          <w:szCs w:val="28"/>
          <w:rtl w:val="true"/>
          <w:lang w:bidi="fa-IR"/>
        </w:rPr>
        <w:t>هذا أجودها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فی غیر المنقول التخلیة، وفی الحیوان نقله، وفی المعتبر </w:t>
      </w:r>
      <w:r>
        <w:rPr>
          <w:rStyle w:val="FootnoteAnchor"/>
          <w:rtl w:val="true"/>
        </w:rPr>
        <w:footnoteReference w:id="1150"/>
      </w:r>
      <w:r>
        <w:rPr>
          <w:rFonts w:ascii="IRNazanin" w:hAnsi="IRNazanin" w:eastAsia="IRNazanin"/>
          <w:color w:val="111111"/>
          <w:sz w:val="28"/>
          <w:sz w:val="28"/>
          <w:szCs w:val="28"/>
          <w:rtl w:val="true"/>
          <w:lang w:bidi="fa-IR"/>
        </w:rPr>
        <w:t xml:space="preserve">کیله أو وزنه أو عدّه أو نقله، وفی الثوب وضعه فی الید </w:t>
      </w:r>
      <w:r>
        <w:rPr>
          <w:rStyle w:val="FootnoteAnchor"/>
          <w:rtl w:val="true"/>
        </w:rPr>
        <w:footnoteReference w:id="1151"/>
      </w:r>
      <w:r>
        <w:rPr>
          <w:rFonts w:ascii="IRNazanin" w:hAnsi="IRNazanin" w:eastAsia="IRNazanin"/>
          <w:color w:val="111111"/>
          <w:sz w:val="28"/>
          <w:sz w:val="28"/>
          <w:szCs w:val="28"/>
          <w:rtl w:val="true"/>
          <w:lang w:bidi="fa-IR"/>
        </w:rPr>
        <w:t xml:space="preserve">واستَنَد فی اعتبار الکیل أو الوزن فی المعتبر بهما إلی صحیحة معاویة بن وهب عن الصادق علیه السلام </w:t>
      </w:r>
      <w:r>
        <w:rPr>
          <w:rStyle w:val="FootnoteAnchor"/>
          <w:rtl w:val="true"/>
        </w:rPr>
        <w:footnoteReference w:id="1152"/>
      </w:r>
      <w:r>
        <w:rPr>
          <w:rFonts w:ascii="IRNazanin" w:hAnsi="IRNazanin" w:eastAsia="IRNazanin"/>
          <w:color w:val="111111"/>
          <w:sz w:val="28"/>
          <w:sz w:val="28"/>
          <w:szCs w:val="28"/>
          <w:rtl w:val="true"/>
          <w:lang w:bidi="fa-IR"/>
        </w:rPr>
        <w:t xml:space="preserve">وفی دلالتها علیه نظر، وإلحاق المعدود بهما قیاس، والفرق بین الحیوان </w:t>
      </w:r>
      <w:r>
        <w:rPr>
          <w:rStyle w:val="FootnoteAnchor"/>
          <w:rtl w:val="true"/>
        </w:rPr>
        <w:footnoteReference w:id="1153"/>
      </w:r>
      <w:r>
        <w:rPr>
          <w:rFonts w:ascii="IRNazanin" w:hAnsi="IRNazanin" w:eastAsia="IRNazanin"/>
          <w:color w:val="111111"/>
          <w:sz w:val="28"/>
          <w:sz w:val="28"/>
          <w:szCs w:val="28"/>
          <w:rtl w:val="true"/>
          <w:lang w:bidi="fa-IR"/>
        </w:rPr>
        <w:t>وغیره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الاکتفاء بالتخلیة مطلقاً ونفی عنه البأس فی الدروس بالنسبة إلی نقل الضمان، لا زوال التحریم والکراهة عن البیع قبلَ القبض </w:t>
      </w:r>
      <w:r>
        <w:rPr>
          <w:rStyle w:val="FootnoteAnchor"/>
          <w:rtl w:val="true"/>
        </w:rPr>
        <w:footnoteReference w:id="1154"/>
      </w:r>
      <w:r>
        <w:rPr>
          <w:rFonts w:ascii="IRNazanin" w:hAnsi="IRNazanin" w:eastAsia="IRNazanin"/>
          <w:color w:val="111111"/>
          <w:sz w:val="28"/>
          <w:sz w:val="28"/>
          <w:szCs w:val="28"/>
          <w:rtl w:val="true"/>
          <w:lang w:bidi="fa-IR"/>
        </w:rPr>
        <w:t xml:space="preserve">والعرف یأباه، والأخبار </w:t>
      </w:r>
      <w:r>
        <w:rPr>
          <w:rStyle w:val="FootnoteAnchor"/>
          <w:rtl w:val="true"/>
        </w:rPr>
        <w:footnoteReference w:id="1155"/>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یکتفی بالتخلیة، فالمراد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المانع للمشتری من القبض بالإذن فیه ورفع یده وید غیره عنه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مضیّ زمان یمکن وصول المشتری إلیه، إلّاأن یکون فی غیر بلده بحیث یدلّ العرف علی عدم القبض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اشتغاله بملک البائع غیر مانع منه وإن وجب علی البائع التفریغ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مشترکاً ففی توقّفه علی إذن الشریک قولان </w:t>
      </w:r>
      <w:r>
        <w:rPr>
          <w:rStyle w:val="FootnoteAnchor"/>
          <w:rtl w:val="true"/>
        </w:rPr>
        <w:footnoteReference w:id="1156"/>
      </w:r>
      <w:r>
        <w:rPr>
          <w:rFonts w:ascii="IRNazanin" w:hAnsi="IRNazanin" w:eastAsia="IRNazanin"/>
          <w:color w:val="111111"/>
          <w:sz w:val="28"/>
          <w:sz w:val="28"/>
          <w:szCs w:val="28"/>
          <w:rtl w:val="true"/>
          <w:lang w:bidi="fa-IR"/>
        </w:rPr>
        <w:t>أجودهما العدم؛ لعدم استلزامه التصرّف فی مال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منقولاً توقّف علی إذنه؛ لافتقار قبضه إلی التصرّف بالنقل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 من الإذن نصب الحاکم من یقبضه أجمع بعضَه أمانةً وبعضَه لأجل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حینئذٍ التخلیة وإن لم یُکتَف بها قبلَه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بالقبض کیف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الضمان إلی المشتری إذا لم یکن له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أو مشترک بینه وبین أجنبیّ، فلو کان الخیار لهما فتلفه بعد القبض زَمَنَه </w:t>
      </w:r>
      <w:r>
        <w:rPr>
          <w:rStyle w:val="FootnoteAnchor"/>
          <w:rtl w:val="true"/>
        </w:rPr>
        <w:footnoteReference w:id="1158"/>
      </w:r>
      <w:r>
        <w:rPr>
          <w:rFonts w:ascii="Amiri" w:hAnsi="Amiri" w:eastAsia="Amiri" w:cs="Amiri"/>
          <w:color w:val="111111"/>
          <w:sz w:val="28"/>
          <w:sz w:val="28"/>
          <w:szCs w:val="28"/>
          <w:rtl w:val="true"/>
          <w:lang w:bidi="ar-SA"/>
        </w:rPr>
        <w:t>منه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کان انتقال الضمان مشروطاً بالقبض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تلف قبلَه فمن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 المتجدّد بین العقد والتلف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بُعد فی ذلک؛ لأنّ التلف لا یُبطل البیع من أصله، بل یفسخه من حینه، کما لو انفسخ بخیار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تلفه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من أجنبیّ أو من البائع تخیّر المشتری بین الرجوع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تلف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مطالبة المتلف بالمثل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التلف من المشتری فهو بمنزلة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تلف بعضه، أو تعیّب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اللّٰه أو قبل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 فی الإمساک مع الأرش والفسخ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العیب من قبل أجنبیّ فالأرش علیه للمشتری إن</w:t>
      </w:r>
    </w:p>
    <w:p>
      <w:pPr>
        <w:pStyle w:val="BookText"/>
        <w:rPr/>
      </w:pPr>
      <w:r>
        <w:rPr>
          <w:rFonts w:ascii="IRNazanin" w:hAnsi="IRNazanin" w:eastAsia="IRNazanin"/>
          <w:color w:val="111111"/>
          <w:sz w:val="28"/>
          <w:sz w:val="28"/>
          <w:szCs w:val="28"/>
          <w:rtl w:val="true"/>
          <w:lang w:bidi="fa-IR"/>
        </w:rPr>
        <w:t>التزم، وللبائع إن 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غُصب من ید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إقباضه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واُسرع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لم یفت من منافعه ما یُعتدّ به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نزعه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للمشتری؛ لعدم موجبه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تحصیله بسرعة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الفسخ والرجوع علی البائع بالثمن إن کان دفعه، والالتزام بالمبیع وارتقاب حصوله، فینتفع حینئذٍ بما لا یتوقّف علی القبض، کعتق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تلف فی ید الغاصب فهو ممّا تلف قبل قبضه فیبطل البیع وإن کان قد رضی بالصبر، مع احتمال کونه قبضاً، وکذا لو رضی بکونه فی ید البائع، وأولی بتحقّق القبض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اُجرة علی البائع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فی ید الغاصب وإن کانت العین مضمونة علیه؛ لأنّ الاُجرة بمنزلة النماء المتجدّد وهو غیر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یضمنها؛ لأنّها بمنزلة النقص الداخل قبل القبض وکالنماء المتّصل </w:t>
      </w:r>
      <w:r>
        <w:rPr>
          <w:rStyle w:val="FootnoteAnchor"/>
          <w:rtl w:val="true"/>
        </w:rPr>
        <w:footnoteReference w:id="1159"/>
      </w:r>
      <w:r>
        <w:rPr>
          <w:rFonts w:ascii="IRNazanin" w:hAnsi="IRNazanin" w:eastAsia="IRNazanin"/>
          <w:color w:val="111111"/>
          <w:sz w:val="28"/>
          <w:sz w:val="28"/>
          <w:szCs w:val="28"/>
          <w:rtl w:val="true"/>
          <w:lang w:bidi="fa-IR"/>
        </w:rPr>
        <w:t xml:space="preserve">والأقوی اختصاص الغاصب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 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غاصباً إذا کان المنع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حبسه لیتقابضا أو لیقبض الثمن حیث شرط تقدّم قبضه فلا اُجرة علیه؛ للإذن فی إمساکه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یکون المنع سائغاً فالنفقة علی المشتری؛ لأنّه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 من الإنفاق رفع البائع أمره إلی الحاکم لیُجبره علیه، فإن تعذّر أنفق بنیّة الرجوع ورجع، کنظائره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إقباضه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أمتعة البائع وغیرها ممّا</w:t>
      </w:r>
    </w:p>
    <w:p>
      <w:pPr>
        <w:pStyle w:val="BookText"/>
        <w:rPr/>
      </w:pPr>
      <w:r>
        <w:rPr>
          <w:rFonts w:ascii="IRNazanin" w:hAnsi="IRNazanin" w:eastAsia="IRNazanin"/>
          <w:color w:val="111111"/>
          <w:sz w:val="28"/>
          <w:sz w:val="28"/>
          <w:szCs w:val="28"/>
          <w:rtl w:val="true"/>
          <w:lang w:bidi="fa-IR"/>
        </w:rPr>
        <w:t>لم یدخل فی المبیع، ولو کان مشغولاً بزرع لم یبلغ وجب الصبر إلی أوانه إن اختاره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فیه ما لا یخرج إلّابهدم وجب أرشه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والتفریغ وإن کان واجباً إلّاأنّ القبض لا یتوقّف علیه، فلو رضی المشتری بتسلّمه مشغولاً تمّ القبض ویجب التفریغ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بیع المکیل والموزون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عنه </w:t>
      </w:r>
      <w:r>
        <w:rPr>
          <w:rStyle w:val="FootnoteAnchor"/>
          <w:rtl w:val="true"/>
        </w:rPr>
        <w:footnoteReference w:id="1160"/>
      </w:r>
      <w:r>
        <w:rPr>
          <w:rFonts w:ascii="IRNazanin" w:hAnsi="IRNazanin" w:eastAsia="IRNazanin"/>
          <w:color w:val="111111"/>
          <w:sz w:val="28"/>
          <w:sz w:val="28"/>
          <w:szCs w:val="28"/>
          <w:rtl w:val="true"/>
          <w:lang w:bidi="fa-IR"/>
        </w:rPr>
        <w:t xml:space="preserve">المحمول علی الکراهة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إن کان طعاماً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الأقوی، بل یحرم بیع مطلق المکیل والموزون؛ لصحّة الأخبار الدالّة علی النهی وعدم مقاومة المعارض </w:t>
      </w:r>
      <w:r>
        <w:rPr>
          <w:rStyle w:val="FootnoteAnchor"/>
          <w:rtl w:val="true"/>
        </w:rPr>
        <w:footnoteReference w:id="1162"/>
      </w:r>
      <w:r>
        <w:rPr>
          <w:rFonts w:ascii="IRNazanin" w:hAnsi="IRNazanin" w:eastAsia="IRNazanin"/>
          <w:color w:val="111111"/>
          <w:sz w:val="28"/>
          <w:sz w:val="28"/>
          <w:szCs w:val="28"/>
          <w:rtl w:val="true"/>
          <w:lang w:bidi="fa-IR"/>
        </w:rPr>
        <w:t xml:space="preserve">لها علی وجهٍ یوجب حمله علی خلاف ظاهره، وقد تقدّم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المشتری نقصان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إن لم یکن حضر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وصول حقّه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کذلک بأن حضر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صاحب الحقّ إذا حضر اعتباره یحتاط لنفسه ویعتبر مقدار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موافقة الأصل للظاهر باعتبار آخر، وهو أنّ المشتری لمّا قبض حقّه کان فی قوّة المعترف بوصول حقّه إلیه کملاً، فإذا ادّعی بعد ذلک نقصانه کان مدّعیاً لما یخالف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مثله فی الصورة الاُولی؛ لأ نّه إذا لم یحضر لا یکون معترفاً بوصول حقّه؛ لعدم اطّلاعه علیه، حتّی لو فرض اعترافه فهو مبنیّ علی الظاهر، بخلاف الحاضر</w:t>
      </w:r>
      <w:r>
        <w:rPr>
          <w:rFonts w:eastAsia="IRNazanin" w:cs="IRNazanin"/>
          <w:color w:val="111111"/>
          <w:sz w:val="28"/>
          <w:szCs w:val="28"/>
          <w:rtl w:val="true"/>
          <w:lang w:bidi="fa-IR"/>
        </w:rPr>
        <w:t>.</w:t>
      </w:r>
      <w:bookmarkStart w:id="438" w:name="pg19812_249520"/>
    </w:p>
    <w:p>
      <w:pPr>
        <w:pStyle w:val="BookText"/>
        <w:rPr/>
      </w:pPr>
      <w:bookmarkEnd w:id="4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حوّل المشتری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یقبل قوله فی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إقباض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تعرّض لحضور الاعتبار وعدمه أو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وصول حقّه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سبق بالدعوی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تسمع الثانیة؛ لتناقض 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الحیل التی یترتّب علیها الحکم الشرعی، کدعوی براءة الذمّة من حقّ المدّعی لو کان قد دفعه إلیه بغیر بیّنة، فإنّه لو أقرّ بالواقع لزمه</w:t>
      </w:r>
      <w:r>
        <w:rPr>
          <w:rFonts w:eastAsia="IRNazanin" w:cs="IRNazanin"/>
          <w:color w:val="111111"/>
          <w:sz w:val="28"/>
          <w:szCs w:val="28"/>
          <w:rtl w:val="true"/>
          <w:lang w:bidi="fa-IR"/>
        </w:rPr>
        <w:t>.</w:t>
      </w:r>
    </w:p>
    <w:p>
      <w:pPr>
        <w:pStyle w:val="Heading4"/>
        <w:numPr>
          <w:ilvl w:val="3"/>
          <w:numId w:val="1"/>
        </w:numPr>
        <w:rPr/>
      </w:pPr>
      <w:bookmarkStart w:id="439" w:name="__RefHeading___Toc2093072_2314609296"/>
      <w:bookmarkStart w:id="440" w:name="_Toc159"/>
      <w:bookmarkEnd w:id="439"/>
      <w:r>
        <w:rPr>
          <w:rtl w:val="true"/>
        </w:rPr>
        <w:t>«</w:t>
      </w:r>
      <w:r>
        <w:rPr>
          <w:rtl w:val="true"/>
        </w:rPr>
        <w:t>الثالث</w:t>
      </w:r>
      <w:r>
        <w:rPr>
          <w:rtl w:val="true"/>
        </w:rPr>
        <w:t xml:space="preserve">: </w:t>
      </w:r>
      <w:r>
        <w:rPr>
          <w:rtl w:val="true"/>
        </w:rPr>
        <w:t>فی ما یدخل فی المبیع</w:t>
      </w:r>
      <w:r>
        <w:rPr>
          <w:rtl w:val="true"/>
        </w:rPr>
        <w:t>»</w:t>
      </w:r>
      <w:bookmarkEnd w:id="440"/>
    </w:p>
    <w:p>
      <w:pPr>
        <w:pStyle w:val="BookText"/>
        <w:rPr/>
      </w:pPr>
      <w:r>
        <w:rPr>
          <w:rFonts w:ascii="IRNazanin" w:hAnsi="IRNazanin" w:eastAsia="IRNazanin"/>
          <w:color w:val="111111"/>
          <w:sz w:val="28"/>
          <w:sz w:val="28"/>
          <w:szCs w:val="28"/>
          <w:rtl w:val="true"/>
          <w:lang w:bidi="fa-IR"/>
        </w:rPr>
        <w:t>عند إطلاق لفظه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یُراعی فیه اللغة والعرف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أو الخاصّ؛ وکذا یُراعی الشرع بطریق أولی، بل هو مقدّم علیهما، ولعلّه أدرجه فی العرف؛ لأنّه 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اتّفقت، وإلّا قُدّم الشرعی، ثمّ العرفی، ثمّ اللغوی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بیع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بلفظه تدخل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کالجدار وما أشبهه من الرکائز المثبتة فی داخله لحفظ التراب عن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البناء المعدّ للسکنی ونحوه، ففی دخوله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 اتّباع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فیه الطریق والشِرب؛ للعرف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باعه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شجر العنب؛ لأنّه مدلوله لغة، وأمّا الأرض والعریش </w:t>
      </w:r>
      <w:r>
        <w:rPr>
          <w:rStyle w:val="FootnoteAnchor"/>
          <w:rtl w:val="true"/>
        </w:rPr>
        <w:footnoteReference w:id="1164"/>
      </w:r>
      <w:r>
        <w:rPr>
          <w:rFonts w:ascii="IRNazanin" w:hAnsi="IRNazanin" w:eastAsia="IRNazanin"/>
          <w:color w:val="111111"/>
          <w:sz w:val="28"/>
          <w:sz w:val="28"/>
          <w:szCs w:val="28"/>
          <w:rtl w:val="true"/>
          <w:lang w:bidi="fa-IR"/>
        </w:rPr>
        <w:t>والبناء والطریق والشِرب فیُرجع فیها إلی العرف؛ وکذا ما اشتمل علیه من الأشجار غیره، وما شکّ فی تناول اللفظ له لا یدخل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والبناء أعلاه وأسفله، إلّاأن ینفرد الأعلی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یدخل إلّابالشرط أو القرینة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المثبتة، وفی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کألواح الدکاکین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أجودهما الدخول؛ للعرف، وانفصالها للارتفاق </w:t>
      </w:r>
      <w:r>
        <w:rPr>
          <w:rStyle w:val="FootnoteAnchor"/>
          <w:rtl w:val="true"/>
        </w:rPr>
        <w:footnoteReference w:id="1165"/>
      </w:r>
      <w:r>
        <w:rPr>
          <w:rFonts w:ascii="IRNazanin" w:hAnsi="IRNazanin" w:eastAsia="IRNazanin"/>
          <w:color w:val="111111"/>
          <w:sz w:val="28"/>
          <w:sz w:val="28"/>
          <w:szCs w:val="28"/>
          <w:rtl w:val="true"/>
          <w:lang w:bidi="fa-IR"/>
        </w:rPr>
        <w:t xml:space="preserve">فتکون کالجزء وإن انفصلت، وإطلاق العبارة یتناولها، وفی الدروس قیّدها بالمثبتة </w:t>
      </w:r>
      <w:r>
        <w:rPr>
          <w:rStyle w:val="FootnoteAnchor"/>
          <w:rtl w:val="true"/>
        </w:rPr>
        <w:footnoteReference w:id="1166"/>
      </w:r>
      <w:r>
        <w:rPr>
          <w:rFonts w:ascii="IRNazanin" w:hAnsi="IRNazanin" w:eastAsia="IRNazanin"/>
          <w:color w:val="111111"/>
          <w:sz w:val="28"/>
          <w:sz w:val="28"/>
          <w:szCs w:val="28"/>
          <w:rtl w:val="true"/>
          <w:lang w:bidi="fa-IR"/>
        </w:rPr>
        <w:t xml:space="preserve">فیخرج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والأغلاق المنصوبة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المنفصلة کالأقفال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والأخشاب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کالمتّخذة لوضع الأمتعة وغیرها، دون المنفصلة وإن انتفع بها فی الدار؛ لأنّها کالآلات الموضوعة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والسُلَّم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البناء؛ لأنّه حینئذٍ بمنزلة الدرجة، بخلاف غیر المثبت؛ لأنّه کالآلة؛ وکذا الرفّ </w:t>
      </w:r>
      <w:r>
        <w:rPr>
          <w:rStyle w:val="FootnoteAnchor"/>
          <w:rtl w:val="true"/>
        </w:rPr>
        <w:footnoteReference w:id="1167"/>
      </w:r>
      <w:r>
        <w:rPr>
          <w:rFonts w:ascii="IRNazanin" w:hAnsi="IRNazanin" w:eastAsia="IRNazanin"/>
          <w:color w:val="111111"/>
          <w:sz w:val="28"/>
          <w:sz w:val="28"/>
          <w:szCs w:val="28"/>
          <w:rtl w:val="true"/>
          <w:lang w:bidi="fa-IR"/>
        </w:rPr>
        <w:t xml:space="preserve">وفی حکمها الخوابی </w:t>
      </w:r>
      <w:r>
        <w:rPr>
          <w:rStyle w:val="FootnoteAnchor"/>
          <w:rtl w:val="true"/>
        </w:rPr>
        <w:footnoteReference w:id="1168"/>
      </w:r>
      <w:r>
        <w:rPr>
          <w:rFonts w:ascii="IRNazanin" w:hAnsi="IRNazanin" w:eastAsia="IRNazanin"/>
          <w:color w:val="111111"/>
          <w:sz w:val="28"/>
          <w:sz w:val="28"/>
          <w:szCs w:val="28"/>
          <w:rtl w:val="true"/>
          <w:lang w:bidi="fa-IR"/>
        </w:rPr>
        <w:t xml:space="preserve">المثبتة فی الأرض والحیطان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منقولاً؛ لأنّه بمنزلة الجزء من الأغلاق المحکوم بدخولها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غیر مفتاح القفل؛ لأنّه تابع لغَلَقه، ولو شهدت القرینة بعدم دخوله لم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یدخل الحوض والبئر والحمّام المعروف بها </w:t>
      </w:r>
      <w:r>
        <w:rPr>
          <w:rStyle w:val="FootnoteAnchor"/>
          <w:rtl w:val="true"/>
        </w:rPr>
        <w:footnoteReference w:id="1169"/>
      </w:r>
      <w:r>
        <w:rPr>
          <w:rFonts w:ascii="IRNazanin" w:hAnsi="IRNazanin" w:eastAsia="IRNazanin"/>
          <w:color w:val="111111"/>
          <w:sz w:val="28"/>
          <w:sz w:val="28"/>
          <w:szCs w:val="28"/>
          <w:rtl w:val="true"/>
          <w:lang w:bidi="fa-IR"/>
        </w:rPr>
        <w:t>والأوتاد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الرَحی وإن کانت مثبتة؛ لأنّها لا تعدّ منها، وإثباتها لسهولة الارتفاق بها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یدخل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إلّامع الشرط،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اُغلق علیه بابها، أو ما دار علیه حائطها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شهادة القرائن بدخوله کالمساومة علیه وبذل ثمن لا یصلح إلّالهما،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النخل الطلع إذا لم یؤبَّر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بتشقیق طَلع الإناث وذرّ طَلع الذکور فیه لیجیء ثمره أصلح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 بّر فالثمرة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 بّر البعض فلکلٍّ حکمه علی الأقوی، والحکم مختصّ بالبیع فلو انتقل النخل بغیره لم یدخل الطَلع مطلقاً متی ظهر کالثمرة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یدخل فی المبیع </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تبقیتها إلی أوان أخذها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تلک الشجرة، فإن اضطرب العرف فالأغلب، ومع التساوی ففی الحمل علی الأقلّ أو الأکثر أو اعتبار التعیین وبدونه یبطل، 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وطلع الفحل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باقی الثمار مع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انعقادها، سواء کانت بارزة أم مستترة فی کِمام أم وَرْد؛ وکذا القول فیما یکون المقصود منه الوَرْد أو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وجوده علی التعاقب فالظاهر منه حال البیع للبائع، والمتجدّد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الامتزاج یرجع إلی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البائع الذی بقیت له الثمرة والمشتری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لملکه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یستضرّا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فیُمنعان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تقابلا فی الضرر والنفع رجّحنا مصلحة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البائع هو الذی أدخل الضرر علی نفسه ببیع الأصل وتسلیط المشتری علیه الذی یلزمه جواز 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فی الدروس حیث جعل ذلک احتمالاً ونسبه إلی الفاضل واحتمل تقدیم صاحب الثمرة؛ لسبق حقّه </w:t>
      </w:r>
      <w:r>
        <w:rPr>
          <w:rStyle w:val="FootnoteAnchor"/>
          <w:rtl w:val="true"/>
        </w:rPr>
        <w:footnoteReference w:id="1171"/>
      </w:r>
      <w:r>
        <w:rPr>
          <w:rFonts w:ascii="IRNazanin" w:hAnsi="IRNazanin" w:eastAsia="IRNazanin"/>
          <w:color w:val="111111"/>
          <w:sz w:val="28"/>
          <w:sz w:val="28"/>
          <w:szCs w:val="28"/>
          <w:rtl w:val="true"/>
          <w:lang w:bidi="fa-IR"/>
        </w:rPr>
        <w:t>ویشکل تقدیم المشتری حیث یوجب نقصاً فی الأصل یحیط بقیمة الثمرة وزیادة، فینبغی تقدیم مصلحة البائع مع ضمانه لقیمة الثمرة جمعاً بین الحقّین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القریة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الدور وغیرها</w:t>
      </w:r>
      <w:bookmarkStart w:id="441" w:name="pg19812_249523"/>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کالطرق والساحات، لا الأشجار والمزارع إلّامع الشرط أو العرف کما هو الغالب الآن، أو القرینة، وفی حکمها الضیعة فی عرف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 الساترة للعورة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غیرها، اقتصاراً علی المتیقّن دخوله؛ لعدم دخولها فی مفهوم العبد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دخول ما دلّ العرف علیه من ثوب وثوبین وزیادة، وما یتناوله بخصوصه من غیر الثیاب کالحزام والقلنسوة والخفّ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 العرف بالحرّ والبرد دخل ما دلّ علیه حال البیع،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شکّ فی دخوله لا یدخل؛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الدابّة فیدخل فیها </w:t>
      </w:r>
      <w:r>
        <w:rPr>
          <w:rStyle w:val="FootnoteAnchor"/>
          <w:rtl w:val="true"/>
        </w:rPr>
        <w:footnoteReference w:id="1172"/>
      </w:r>
      <w:r>
        <w:rPr>
          <w:rFonts w:ascii="IRNazanin" w:hAnsi="IRNazanin" w:eastAsia="IRNazanin"/>
          <w:color w:val="111111"/>
          <w:sz w:val="28"/>
          <w:sz w:val="28"/>
          <w:szCs w:val="28"/>
          <w:rtl w:val="true"/>
          <w:lang w:bidi="fa-IR"/>
        </w:rPr>
        <w:t>النعل دون آلاتها، إلّامع الشرط أو العرف</w:t>
      </w:r>
      <w:r>
        <w:rPr>
          <w:rFonts w:eastAsia="IRNazanin" w:cs="IRNazanin"/>
          <w:color w:val="111111"/>
          <w:sz w:val="28"/>
          <w:szCs w:val="28"/>
          <w:rtl w:val="true"/>
          <w:lang w:bidi="fa-IR"/>
        </w:rPr>
        <w:t>.</w:t>
      </w:r>
    </w:p>
    <w:p>
      <w:pPr>
        <w:pStyle w:val="Heading4"/>
        <w:numPr>
          <w:ilvl w:val="3"/>
          <w:numId w:val="1"/>
        </w:numPr>
        <w:rPr/>
      </w:pPr>
      <w:bookmarkStart w:id="442" w:name="__RefHeading___Toc2093074_2314609296"/>
      <w:bookmarkStart w:id="443" w:name="_Toc160"/>
      <w:bookmarkEnd w:id="442"/>
      <w:r>
        <w:rPr>
          <w:rtl w:val="true"/>
        </w:rPr>
        <w:t>«</w:t>
      </w:r>
      <w:r>
        <w:rPr>
          <w:rtl w:val="true"/>
        </w:rPr>
        <w:t>الرابع</w:t>
      </w:r>
      <w:r>
        <w:rPr>
          <w:rtl w:val="true"/>
        </w:rPr>
        <w:t xml:space="preserve">: </w:t>
      </w:r>
      <w:r>
        <w:rPr>
          <w:rtl w:val="true"/>
        </w:rPr>
        <w:t>فی اختلافهما</w:t>
      </w:r>
      <w:r>
        <w:rPr>
          <w:rtl w:val="true"/>
        </w:rPr>
        <w:t>»</w:t>
      </w:r>
      <w:bookmarkEnd w:id="44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قدر الثمن یحلف البائع مع قیام العین، والمشتری مع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1173"/>
      </w:r>
      <w:r>
        <w:rPr>
          <w:rFonts w:ascii="IRNazanin" w:hAnsi="IRNazanin" w:eastAsia="IRNazanin"/>
          <w:color w:val="111111"/>
          <w:sz w:val="28"/>
          <w:sz w:val="28"/>
          <w:szCs w:val="28"/>
          <w:rtl w:val="true"/>
          <w:lang w:bidi="fa-IR"/>
        </w:rPr>
        <w:t xml:space="preserve">وهو بعید، ومستنده روایة مرسلة </w:t>
      </w:r>
      <w:r>
        <w:rPr>
          <w:rStyle w:val="FootnoteAnchor"/>
          <w:rtl w:val="true"/>
        </w:rPr>
        <w:footnoteReference w:id="1174"/>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قول المشتری مطلقاً لأنّه ینفی الزائد، والأصل عدمه وبراءة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قوّة إن لم یثبت الإجماع علی خلافه، مع أ نّه خیرة التذکرة </w:t>
      </w:r>
      <w:r>
        <w:rPr>
          <w:rStyle w:val="FootnoteAnchor"/>
          <w:rtl w:val="true"/>
        </w:rPr>
        <w:footnoteReference w:id="117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یتحالفان ویبطل البیع؛ لأنّ کلّاً منهما مدّعٍ ومنکر؛ لتشخّص العقد بکلّ واحد من الثمنین، وهو خیرة</w:t>
      </w:r>
    </w:p>
    <w:p>
      <w:pPr>
        <w:pStyle w:val="BookText"/>
        <w:rPr/>
      </w:pPr>
      <w:r>
        <w:rPr>
          <w:rFonts w:ascii="IRNazanin" w:hAnsi="IRNazanin" w:eastAsia="IRNazanin"/>
          <w:color w:val="111111"/>
          <w:sz w:val="28"/>
          <w:sz w:val="28"/>
          <w:szCs w:val="28"/>
          <w:rtl w:val="true"/>
          <w:lang w:bidi="fa-IR"/>
        </w:rPr>
        <w:t xml:space="preserve">المصنّف فی قواعده </w:t>
      </w:r>
      <w:r>
        <w:rPr>
          <w:rStyle w:val="FootnoteAnchor"/>
          <w:rtl w:val="true"/>
        </w:rPr>
        <w:footnoteReference w:id="1176"/>
      </w:r>
      <w:r>
        <w:rPr>
          <w:rFonts w:ascii="IRNazanin" w:hAnsi="IRNazanin" w:eastAsia="IRNazanin"/>
          <w:color w:val="111111"/>
          <w:sz w:val="28"/>
          <w:sz w:val="28"/>
          <w:szCs w:val="28"/>
          <w:rtl w:val="true"/>
          <w:lang w:bidi="fa-IR"/>
        </w:rPr>
        <w:t xml:space="preserve">وشیخه فخر الدین فی شرحه </w:t>
      </w:r>
      <w:r>
        <w:rPr>
          <w:rStyle w:val="FootnoteAnchor"/>
          <w:rtl w:val="true"/>
        </w:rPr>
        <w:footnoteReference w:id="1177"/>
      </w:r>
      <w:r>
        <w:rPr>
          <w:rFonts w:ascii="IRNazanin" w:hAnsi="IRNazanin" w:eastAsia="IRNazanin"/>
          <w:color w:val="111111"/>
          <w:sz w:val="28"/>
          <w:sz w:val="28"/>
          <w:szCs w:val="28"/>
          <w:rtl w:val="true"/>
          <w:lang w:bidi="fa-IR"/>
        </w:rPr>
        <w:t xml:space="preserve">وفی الدروس نسب القولین إلی الندور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المشهور لو کانت العین قائمة لکنّها قد انتقلت عن المشتری انتقالاً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تنزیله منزلة التلف قولان </w:t>
      </w:r>
      <w:r>
        <w:rPr>
          <w:rStyle w:val="FootnoteAnchor"/>
          <w:rtl w:val="true"/>
        </w:rPr>
        <w:footnoteReference w:id="1179"/>
      </w:r>
      <w:r>
        <w:rPr>
          <w:rFonts w:ascii="IRNazanin" w:hAnsi="IRNazanin" w:eastAsia="IRNazanin"/>
          <w:color w:val="111111"/>
          <w:sz w:val="28"/>
          <w:sz w:val="28"/>
          <w:szCs w:val="28"/>
          <w:rtl w:val="true"/>
          <w:lang w:bidi="fa-IR"/>
        </w:rPr>
        <w:t>أجودهما العدم؛ لصدق القیام علیها وهو البقاء، ومنع مساواته للتلف فی العلّة الموجبة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تلف بعضه ففی تنزیله منزلة تلف الجمیع أو بقاء الجمیع أو إلحاق کلّ جزء بأصله، أوجه، أوجهها الأوّل؛ لصدق عدم قیامها الذی هو مناط تقدیم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امتزج بغیره فإن بقی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عسر التخلیص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فالعین قائمة، وإلّا فوجهان، وعدمه أوجَه؛ لعدم صدق القیام عرفاً، فإنّ ظاهره أ نّه أخصّ من الوجود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تعجیله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اتّفاقهما علیه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وشرط رهن أو ضمینٍ عن البائع 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لأصالة عدم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البائع یدّعی التعجیل وتقلیل الأجل حیث یتّفقان علی أصل التأجیل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اتّفق خلافه فادّعی هو الأجل أو 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لغرض تعلّق بتأخیر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قول المشتری؛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قول البائع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ینبغی مثله فی</w:t>
      </w:r>
    </w:p>
    <w:p>
      <w:pPr>
        <w:pStyle w:val="BookText"/>
        <w:rPr/>
      </w:pPr>
      <w:r>
        <w:rPr>
          <w:rFonts w:ascii="IRNazanin" w:hAnsi="IRNazanin" w:eastAsia="IRNazanin"/>
          <w:color w:val="111111"/>
          <w:sz w:val="28"/>
          <w:sz w:val="28"/>
          <w:szCs w:val="28"/>
          <w:rtl w:val="true"/>
          <w:lang w:bidi="fa-IR"/>
        </w:rPr>
        <w:t xml:space="preserve">قدر الثمن بالنسبة إلی المشتری لولا الروایة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فرق بین کونه مطلقاً ومعیَّناً، کهذا الثوب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یتضمّن الاختلاف فی الثمن، کبعتک هذا الثوب بألف،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والآخر بألفین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قَوی التحالف؛ إذ لا مشترک هنا یمکن الأخذ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تعیین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هذا الثوب،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لادّعاء کلّ منهما ما ینفیه الآخر بحیث لم یتّفقا علی أمر ویختلفا فیما زاد، وهو ضابط التحالف، فیحلف کلّ منهما یمیناً واحدة علی نفی ما یدّعیه الآخر، لا علی إثبات ما یدّعیه، ولا جامعةَ بینهما، فإذا حلفا انفسخ العقد، ورجع کلّ منهما إلی عین ماله أو بدلها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والبادی منهما بالیمین من ادُّعی علیه أوّلاً، فإن حلف الأوّل ونکل الثانی وقضینا بالنکول یثبت ما یدّعیه الحالف، وإلّا حلف یمیناً ثانیة علی إثبات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حلف البائع علی نفی ما یدّعیه المشتری بقی علی ملکه، فإن کان الثوب فی یده، وإلّا انتزعه من ید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حلف المشتری علی نفی ما یدّعیه البائع وکان الثوب فی یده لم یکن للبائع مطالبته به؛ لأنّه لا یدّعیه، وإن کان فی ید البائع لم یکن له التصرّف فیه؛ لاعترافه بکونه للمشتری، وله ثمنه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قبض الثمن ردّه علی المشتری وله أخذ الثوب قصاصاً، وإن لم یکن قبض الثمن أخذ الثوب قصاصاً أیضاً، فإن زادت قیمته عنه فهو مال لا یدّعیه أحد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نسخ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الشیخ والقاضی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البائع کالاختلاف فی الثمن </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علیه فی بعض النسخ المقروءة علی المصنّف رحمه الله</w:t>
      </w:r>
      <w:r>
        <w:rPr>
          <w:rFonts w:eastAsia="IRNazanin" w:cs="IRNazanin"/>
          <w:color w:val="111111"/>
          <w:sz w:val="28"/>
          <w:szCs w:val="28"/>
          <w:rtl w:val="true"/>
          <w:lang w:bidi="fa-IR"/>
        </w:rPr>
        <w:t>.</w:t>
      </w:r>
      <w:bookmarkStart w:id="444" w:name="pg19812_249526"/>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یتحالفان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العقد من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 التحالف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فنماء الثمن المنفصل المتخلّل بین العقد والتحالف للبائع، وأمّا المبیع فیشکل حیث لم 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قیل به فی مسألة الاختلاف فی قدر الثمن توجّه حکم نماء 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 مفسد یُقدّم مدّعی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الأصل فی تصرّفات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 الورثة نُزّل کلّ وارث منزلة مورّثه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فتحلف ورثة البائع لو کان الاختلاف فی قدر المبیع والأجل وأصله </w:t>
      </w:r>
      <w:r>
        <w:rPr>
          <w:rStyle w:val="FootnoteAnchor"/>
          <w:rtl w:val="true"/>
        </w:rPr>
        <w:footnoteReference w:id="1182"/>
      </w:r>
      <w:r>
        <w:rPr>
          <w:rFonts w:ascii="IRNazanin" w:hAnsi="IRNazanin" w:eastAsia="IRNazanin"/>
          <w:color w:val="111111"/>
          <w:sz w:val="28"/>
          <w:sz w:val="28"/>
          <w:szCs w:val="28"/>
          <w:rtl w:val="true"/>
          <w:lang w:bidi="fa-IR"/>
        </w:rPr>
        <w:t>وقدر الثمن مع قیام العین، وورثة المشتری مع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قول ورثة المشتری فی قدر الثمن مطلقاً </w:t>
      </w:r>
      <w:r>
        <w:rPr>
          <w:rStyle w:val="FootnoteAnchor"/>
          <w:rtl w:val="true"/>
        </w:rPr>
        <w:footnoteReference w:id="1183"/>
      </w:r>
      <w:r>
        <w:rPr>
          <w:rFonts w:ascii="Amiri" w:hAnsi="Amiri" w:eastAsia="Amiri" w:cs="Amiri"/>
          <w:color w:val="111111"/>
          <w:sz w:val="28"/>
          <w:sz w:val="28"/>
          <w:szCs w:val="28"/>
          <w:rtl w:val="true"/>
          <w:lang w:bidi="ar-SA"/>
        </w:rPr>
        <w:t xml:space="preserve">لأ نّه الأصل، وإنّما خرج عنه مورّثهم بالنصّ </w:t>
      </w:r>
      <w:r>
        <w:rPr>
          <w:rStyle w:val="FootnoteAnchor"/>
          <w:rtl w:val="true"/>
        </w:rPr>
        <w:footnoteReference w:id="1184"/>
      </w:r>
      <w:r>
        <w:rPr>
          <w:rFonts w:ascii="IRNazanin" w:hAnsi="IRNazanin" w:eastAsia="IRNazanin"/>
          <w:color w:val="111111"/>
          <w:sz w:val="28"/>
          <w:sz w:val="28"/>
          <w:szCs w:val="28"/>
          <w:rtl w:val="true"/>
          <w:lang w:bidi="fa-IR"/>
        </w:rPr>
        <w:t>فیقتصر فیه علی مورده المخالف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 غیر أنّ قیام الوارث مقام المورّث مطلقاً أجود؛ لأنّه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بالتحالف ثبت بین الورثة قطعاً</w:t>
      </w:r>
      <w:r>
        <w:rPr>
          <w:rFonts w:eastAsia="IRNazanin" w:cs="IRNazanin"/>
          <w:color w:val="111111"/>
          <w:sz w:val="28"/>
          <w:szCs w:val="28"/>
          <w:rtl w:val="true"/>
          <w:lang w:bidi="fa-IR"/>
        </w:rPr>
        <w:t>.</w:t>
      </w:r>
    </w:p>
    <w:p>
      <w:pPr>
        <w:pStyle w:val="Heading4"/>
        <w:numPr>
          <w:ilvl w:val="3"/>
          <w:numId w:val="1"/>
        </w:numPr>
        <w:rPr/>
      </w:pPr>
      <w:bookmarkStart w:id="445" w:name="__RefHeading___Toc2093076_2314609296"/>
      <w:bookmarkStart w:id="446" w:name="_Toc161"/>
      <w:bookmarkEnd w:id="445"/>
      <w:r>
        <w:rPr>
          <w:rtl w:val="true"/>
        </w:rPr>
        <w:t>«</w:t>
      </w:r>
      <w:r>
        <w:rPr>
          <w:rtl w:val="true"/>
        </w:rPr>
        <w:t>الخامس</w:t>
      </w:r>
      <w:r>
        <w:rPr>
          <w:rtl w:val="true"/>
        </w:rPr>
        <w:t>» «</w:t>
      </w:r>
      <w:r>
        <w:rPr>
          <w:rtl w:val="true"/>
        </w:rPr>
        <w:t>إطلاق الکیل والوزن</w:t>
      </w:r>
      <w:r>
        <w:rPr>
          <w:rtl w:val="true"/>
        </w:rPr>
        <w:t>»</w:t>
      </w:r>
      <w:bookmarkEnd w:id="44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 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بلد العقد لذلک المبیع إن اتّحد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تعدّد فالأغلب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 وإطلاقاً، فإن اختلفا فی</w:t>
      </w:r>
    </w:p>
    <w:p>
      <w:pPr>
        <w:pStyle w:val="BookText"/>
        <w:rPr/>
      </w:pPr>
      <w:r>
        <w:rPr>
          <w:rFonts w:ascii="IRNazanin" w:hAnsi="IRNazanin" w:eastAsia="IRNazanin"/>
          <w:color w:val="111111"/>
          <w:sz w:val="28"/>
          <w:sz w:val="28"/>
          <w:szCs w:val="28"/>
          <w:rtl w:val="true"/>
          <w:lang w:bidi="fa-IR"/>
        </w:rPr>
        <w:t xml:space="preserve">ذلک ففی ترجیح أ یّهما نظر، ویمکن حینئذٍ وجوب التعیین کما لو لم یغلب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الاستعمال فی المبیع الخاصّ وجب التعیین؛ لاستحالة الترجیح بدونه واختلاف الأغراض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یعیّن بطل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واُجرة اعتبار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بالکیل أو الوزن أو النقد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لمصلحته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واعتبار الثمن علی المشتری، واُجرة الدلّال علی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أمراه فالسابق إن کان مراد کلّ منهما المماکسة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أمراه بتولّی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واحدة بالتنصیف، سواء اقترنا أم تلاحقا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منعنا من تولّی الطرفین من الواحد امتنع أخذ اُجرتین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یتّجه حمل کلام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لا یجمع بینهما لواحد</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xml:space="preserve">علیه؛ لأنّه قد عبّر به من یری جوازه </w:t>
      </w:r>
      <w:r>
        <w:rPr>
          <w:rStyle w:val="FootnoteAnchor"/>
          <w:rtl w:val="true"/>
        </w:rPr>
        <w:footnoteReference w:id="1186"/>
      </w: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لا یجمع بینهما لعمل واحد وإن أمره البائع بالبیع والمشتری بالشراء، بل له اُجرة واحدة علیهما أو علی أحدهما، کما فصّلناه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 ما یتلف بیده من الأمتعة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ما یشمل التعدّی مجازاً أو اشتراکاً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فیحلف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ادّعی علیه التفریط؛ لأنّه أمین، فیُقبل قوله فی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التفریط فی حقّه وضمن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القیمة لو خالفه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أ نّها أکثر ممّا اعترف به؛ لأصالة البراءة من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ینافیه التفریط وإن أوجب الإثم، کما یُقبل قول الغاصب فیها علی أصحّ القولین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bookmarkStart w:id="447" w:name="pg19812_249528"/>
    </w:p>
    <w:p>
      <w:pPr>
        <w:pStyle w:val="Heading4"/>
        <w:numPr>
          <w:ilvl w:val="3"/>
          <w:numId w:val="1"/>
        </w:numPr>
        <w:rPr/>
      </w:pPr>
      <w:bookmarkStart w:id="448" w:name="__RefHeading___Toc2093078_2314609296"/>
      <w:bookmarkStart w:id="449" w:name="_Toc162"/>
      <w:bookmarkEnd w:id="447"/>
      <w:bookmarkEnd w:id="448"/>
      <w:r>
        <w:rPr>
          <w:rtl w:val="true"/>
        </w:rPr>
        <w:t>«</w:t>
      </w:r>
      <w:r>
        <w:rPr>
          <w:rtl w:val="true"/>
        </w:rPr>
        <w:t>خاتمة</w:t>
      </w:r>
      <w:r>
        <w:rPr>
          <w:rtl w:val="true"/>
        </w:rPr>
        <w:t>»</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الإقالة فسخ 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سواء وقعت بلفظ الفسخ أم الإقالة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المتعاقدین والشفیع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الشریک؛ إذ لا شفعة هنا بسبب الإقالة، وحیث کانت فسخاً لا بیعاً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یثبت بها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للشریک؛ لاختصاصها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حقّ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 العامّة حیث جعلها بیعاً فی حقّهما </w:t>
      </w:r>
      <w:r>
        <w:rPr>
          <w:rStyle w:val="FootnoteAnchor"/>
          <w:rtl w:val="true"/>
        </w:rPr>
        <w:footnoteReference w:id="1189"/>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آخرین، حیث جعلوها بیعاً فی حقّه، دونهما </w:t>
      </w:r>
      <w:r>
        <w:rPr>
          <w:rStyle w:val="FootnoteAnchor"/>
          <w:rtl w:val="true"/>
        </w:rPr>
        <w:footnoteReference w:id="1190"/>
      </w:r>
      <w:r>
        <w:rPr>
          <w:rFonts w:ascii="IRNazanin" w:hAnsi="IRNazanin" w:eastAsia="IRNazanin"/>
          <w:color w:val="111111"/>
          <w:sz w:val="28"/>
          <w:sz w:val="28"/>
          <w:szCs w:val="28"/>
          <w:rtl w:val="true"/>
          <w:lang w:bidi="fa-IR"/>
        </w:rPr>
        <w:t xml:space="preserve">فیثبت له بها 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تسقط اُجرة 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 استحقّها بالبیع السابق، فلا یُبطله الفسخ اللاحق؛ وکذا اُجرة الوزّان والکیّال والناقد بعد صدور هذه الأفعال؛ لوجود سبب الاستحقاق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تصحّ بزیادةٍ فی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 علیه البیع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نقیصته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فسخ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کلّ عوض إلی مالکه، فإذا شُرط فیها ما یخالف مقتضاها فسد الشرط وفسدت بفساده، ولا فرق بین الزیادة العینیّة والحکمیّة کالإنظار بالثمن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عوض إلی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باقیاً، ونماؤُه المتّصل تابع له، أمّا المنفصل فلا رجوع به وإن کان حملاً لم ینفصل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تالفاً فمثله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مثلیّاً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التلف إن کان قیمیّاً أو تعذّر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وجده معیباً رجع بأرشه؛ لأنّ الجزء أو الوصف الفائت بمنزلة التالف</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تفاسخنا، وتقایلنا، معاً أو متلاحقین من غیر فصل یعتدّ به، أو یقول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أقلتک، فیقبل الآخر وإن لم یسبق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المصنّف فی الدروس الاکتفاء بالقبول الفعلی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bookmarkStart w:id="450" w:name="pg19812_249530"/>
    </w:p>
    <w:p>
      <w:pPr>
        <w:pStyle w:val="Heading2"/>
        <w:numPr>
          <w:ilvl w:val="1"/>
          <w:numId w:val="1"/>
        </w:numPr>
        <w:rPr/>
      </w:pPr>
      <w:bookmarkStart w:id="451" w:name="__RefHeading___Toc2093080_2314609296"/>
      <w:bookmarkStart w:id="452" w:name="_Toc163"/>
      <w:bookmarkEnd w:id="450"/>
      <w:bookmarkEnd w:id="451"/>
      <w:r>
        <w:rPr>
          <w:rtl w:val="true"/>
        </w:rPr>
        <w:t>کتاب الدین</w:t>
      </w:r>
      <w:bookmarkEnd w:id="45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2093082_2314609296"/>
      <w:bookmarkStart w:id="454" w:name="_Toc164"/>
      <w:bookmarkEnd w:id="453"/>
      <w:r>
        <w:rPr>
          <w:rtl w:val="true"/>
        </w:rPr>
        <w:t>اشارة</w:t>
      </w:r>
      <w:bookmarkStart w:id="455" w:name="pg19812_249532"/>
      <w:bookmarkEnd w:id="454"/>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 :</w:t>
      </w:r>
    </w:p>
    <w:p>
      <w:pPr>
        <w:pStyle w:val="Heading3"/>
        <w:numPr>
          <w:ilvl w:val="2"/>
          <w:numId w:val="1"/>
        </w:numPr>
        <w:rPr/>
      </w:pPr>
      <w:bookmarkStart w:id="456" w:name="__RefHeading___Toc2093084_2314609296"/>
      <w:bookmarkStart w:id="457" w:name="_Toc165"/>
      <w:bookmarkEnd w:id="456"/>
      <w:r>
        <w:rPr>
          <w:rtl w:val="true"/>
        </w:rPr>
        <w:t>«</w:t>
      </w:r>
      <w:r>
        <w:rPr>
          <w:rtl w:val="true"/>
        </w:rPr>
        <w:t>القسم الأوّل</w:t>
      </w:r>
      <w:r>
        <w:rPr>
          <w:rtl w:val="true"/>
        </w:rPr>
        <w:t xml:space="preserve">: </w:t>
      </w:r>
      <w:r>
        <w:rPr>
          <w:rtl w:val="true"/>
        </w:rPr>
        <w:t>القرض</w:t>
      </w:r>
      <w:r>
        <w:rPr>
          <w:rtl w:val="true"/>
        </w:rPr>
        <w:t>»</w:t>
      </w:r>
      <w:bookmarkEnd w:id="457"/>
    </w:p>
    <w:p>
      <w:pPr>
        <w:pStyle w:val="Heading4"/>
        <w:numPr>
          <w:ilvl w:val="3"/>
          <w:numId w:val="1"/>
        </w:numPr>
        <w:rPr/>
      </w:pPr>
      <w:bookmarkStart w:id="458" w:name="__RefHeading___Toc2093086_2314609296"/>
      <w:bookmarkStart w:id="459" w:name="_Toc166"/>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 xml:space="preserve">بفتح القاف وکسرها، وفضله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بثمانیة عشر درهماً </w:t>
      </w:r>
      <w:r>
        <w:rPr>
          <w:rStyle w:val="FootnoteAnchor"/>
          <w:rtl w:val="true"/>
        </w:rPr>
        <w:footnoteReference w:id="1192"/>
      </w:r>
      <w:r>
        <w:rPr>
          <w:rFonts w:ascii="Amiri" w:hAnsi="Amiri" w:eastAsia="Amiri" w:cs="Amiri"/>
          <w:color w:val="111111"/>
          <w:sz w:val="28"/>
          <w:sz w:val="28"/>
          <w:szCs w:val="28"/>
          <w:rtl w:val="true"/>
          <w:lang w:bidi="ar-SA"/>
        </w:rPr>
        <w:t xml:space="preserve">مع أنّ درهم الصدقة بعشرة </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الصدقة تقع فی ید المحتاج وغیره، والقرض لا یقع إلّافی ید المحتاج غالباً، وأنّ درهم القرض یعود فیُقرض </w:t>
      </w:r>
      <w:r>
        <w:rPr>
          <w:rStyle w:val="FootnoteAnchor"/>
          <w:rtl w:val="true"/>
        </w:rPr>
        <w:footnoteReference w:id="1194"/>
      </w:r>
      <w:r>
        <w:rPr>
          <w:rFonts w:ascii="IRNazanin" w:hAnsi="IRNazanin" w:eastAsia="IRNazanin"/>
          <w:color w:val="111111"/>
          <w:sz w:val="28"/>
          <w:sz w:val="28"/>
          <w:szCs w:val="28"/>
          <w:rtl w:val="true"/>
          <w:lang w:bidi="fa-IR"/>
        </w:rPr>
        <w:t xml:space="preserve">ودرهم الصدقة لا یعود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القرض لا یتوقّف علی قصد القربة، ومطلق الثواب یتوقّف علیها، فلیس کلّ قرض یترتّب علیه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الصدقة، فإنّ القربة معتبرة فیها، فإطلاق کون درهم القرض بثمانیة عشر إمّا مشروط بقصد القربة، أو تفضّل من اللّٰه</w:t>
      </w:r>
      <w:bookmarkStart w:id="460" w:name="pg19812_249533"/>
    </w:p>
    <w:p>
      <w:pPr>
        <w:pStyle w:val="BookText"/>
        <w:rPr/>
      </w:pPr>
      <w:bookmarkEnd w:id="460"/>
      <w:r>
        <w:rPr>
          <w:rFonts w:ascii="IRNazanin" w:hAnsi="IRNazanin" w:eastAsia="IRNazanin"/>
          <w:color w:val="111111"/>
          <w:sz w:val="28"/>
          <w:sz w:val="28"/>
          <w:szCs w:val="28"/>
          <w:rtl w:val="true"/>
          <w:lang w:bidi="fa-IR"/>
        </w:rPr>
        <w:t xml:space="preserve">تعالی من غیر اعتبار الثواب بواسطة الوجهیّة </w:t>
      </w:r>
      <w:r>
        <w:rPr>
          <w:rStyle w:val="FootnoteAnchor"/>
          <w:rtl w:val="true"/>
        </w:rPr>
        <w:footnoteReference w:id="1196"/>
      </w:r>
      <w:r>
        <w:rPr>
          <w:rFonts w:ascii="IRNazanin" w:hAnsi="IRNazanin" w:eastAsia="IRNazanin"/>
          <w:color w:val="111111"/>
          <w:sz w:val="28"/>
          <w:sz w:val="28"/>
          <w:szCs w:val="28"/>
          <w:rtl w:val="true"/>
          <w:lang w:bidi="fa-IR"/>
        </w:rPr>
        <w:t>وقد یقع التفضّل علی کثیر من فاعلی البِرّ من غیر اعتبار القربة کالکَرَم</w:t>
      </w:r>
      <w:r>
        <w:rPr>
          <w:rFonts w:eastAsia="IRNazanin" w:cs="IRNazanin"/>
          <w:color w:val="111111"/>
          <w:sz w:val="28"/>
          <w:szCs w:val="28"/>
          <w:rtl w:val="true"/>
          <w:lang w:bidi="fa-IR"/>
        </w:rPr>
        <w:t>.</w:t>
      </w:r>
    </w:p>
    <w:p>
      <w:pPr>
        <w:pStyle w:val="Heading4"/>
        <w:numPr>
          <w:ilvl w:val="3"/>
          <w:numId w:val="1"/>
        </w:numPr>
        <w:rPr/>
      </w:pPr>
      <w:bookmarkStart w:id="461" w:name="__RefHeading___Toc2093088_2314609296"/>
      <w:bookmarkStart w:id="462" w:name="_Toc167"/>
      <w:bookmarkEnd w:id="461"/>
      <w:r>
        <w:rPr>
          <w:rtl w:val="true"/>
        </w:rPr>
        <w:t>[</w:t>
      </w:r>
      <w:r>
        <w:rPr>
          <w:rtl w:val="true"/>
        </w:rPr>
        <w:t>صیغته</w:t>
      </w:r>
      <w:r>
        <w:rPr>
          <w:rtl w:val="true"/>
        </w:rPr>
        <w:t>]</w:t>
      </w:r>
      <w:bookmarkEnd w:id="462"/>
    </w:p>
    <w:p>
      <w:pPr>
        <w:pStyle w:val="BookText"/>
        <w:rPr/>
      </w:pPr>
      <w:r>
        <w:rPr>
          <w:rFonts w:ascii="IRNazanin" w:hAnsi="IRNazanin" w:eastAsia="IRNazanin"/>
          <w:color w:val="111111"/>
          <w:sz w:val="28"/>
          <w:sz w:val="28"/>
          <w:szCs w:val="28"/>
          <w:rtl w:val="true"/>
          <w:lang w:bidi="fa-IR"/>
        </w:rPr>
        <w:t>ویفتقر القرض إلی إیجاب وقبول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والصیغة أقرضتک، أو انتفع به، أو 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ملّکتک أو أسلفتک، أو خذ هذا، أو اصرفه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أدّی هذا المعنی؛ لأنّه من العقود الجائزة، وهی لا تنحصر فی لفظ، بل تتأدّی بما أفاد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یحتاج إلی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الصیغة الاُولی، فإنّها صریحة فی معناه لا تفتقر إلی انضمام أمر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علی الرضا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فی الدروس الاکتفاء بالقبض؛ لأنّ مرجعه إلی الإذن فی التصرّف </w:t>
      </w:r>
      <w:r>
        <w:rPr>
          <w:rStyle w:val="FootnoteAnchor"/>
          <w:rtl w:val="true"/>
        </w:rPr>
        <w:footnoteReference w:id="1197"/>
      </w:r>
      <w:r>
        <w:rPr>
          <w:rFonts w:ascii="IRNazanin" w:hAnsi="IRNazanin" w:eastAsia="IRNazanin"/>
          <w:color w:val="111111"/>
          <w:sz w:val="28"/>
          <w:sz w:val="28"/>
          <w:szCs w:val="28"/>
          <w:rtl w:val="true"/>
          <w:lang w:bidi="fa-IR"/>
        </w:rPr>
        <w:t>وهو حسن من حیث إباحة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إفادته للملک المترتّب علی صحّة القرض فلا دلیل علیه، وما استدلّ به لا یؤدّی إلیه</w:t>
      </w:r>
      <w:r>
        <w:rPr>
          <w:rFonts w:eastAsia="IRNazanin" w:cs="IRNazanin"/>
          <w:color w:val="111111"/>
          <w:sz w:val="28"/>
          <w:szCs w:val="28"/>
          <w:rtl w:val="true"/>
          <w:lang w:bidi="fa-IR"/>
        </w:rPr>
        <w:t>.</w:t>
      </w:r>
    </w:p>
    <w:p>
      <w:pPr>
        <w:pStyle w:val="Heading4"/>
        <w:numPr>
          <w:ilvl w:val="3"/>
          <w:numId w:val="1"/>
        </w:numPr>
        <w:rPr/>
      </w:pPr>
      <w:bookmarkStart w:id="463" w:name="__RefHeading___Toc2093090_2314609296"/>
      <w:bookmarkStart w:id="464" w:name="_Toc168"/>
      <w:bookmarkEnd w:id="463"/>
      <w:r>
        <w:rPr>
          <w:rtl w:val="true"/>
        </w:rPr>
        <w:t>[</w:t>
      </w:r>
      <w:r>
        <w:rPr>
          <w:rtl w:val="true"/>
        </w:rPr>
        <w:t>احکامه</w:t>
      </w:r>
      <w:r>
        <w:rPr>
          <w:rtl w:val="true"/>
        </w:rPr>
        <w:t>]</w:t>
      </w:r>
      <w:bookmarkEnd w:id="46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اشتراط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للنهی عن قرضٍ یجرّ نفعاً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یفید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شرطه، سواء فی ذلک الربویّ وغیره، وزیادة العین والمنفعة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عِوض المکسَّرة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لأبی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رحمه الله </w:t>
      </w:r>
      <w:r>
        <w:rPr>
          <w:rStyle w:val="FootnoteAnchor"/>
          <w:rtl w:val="true"/>
        </w:rPr>
        <w:footnoteReference w:id="1199"/>
      </w:r>
      <w:r>
        <w:rPr>
          <w:rFonts w:ascii="Amiri" w:hAnsi="Amiri" w:eastAsia="Amiri" w:cs="Amiri"/>
          <w:color w:val="111111"/>
          <w:sz w:val="28"/>
          <w:sz w:val="28"/>
          <w:szCs w:val="28"/>
          <w:rtl w:val="true"/>
          <w:lang w:bidi="ar-SA"/>
        </w:rPr>
        <w:t xml:space="preserve">وجماعةٍ </w:t>
      </w:r>
      <w:r>
        <w:rPr>
          <w:rStyle w:val="FootnoteAnchor"/>
          <w:rtl w:val="true"/>
        </w:rPr>
        <w:footnoteReference w:id="1200"/>
      </w:r>
      <w:r>
        <w:rPr>
          <w:rFonts w:ascii="IRNazanin" w:hAnsi="IRNazanin" w:eastAsia="IRNazanin"/>
          <w:color w:val="111111"/>
          <w:sz w:val="28"/>
          <w:sz w:val="28"/>
          <w:szCs w:val="28"/>
          <w:rtl w:val="true"/>
          <w:lang w:bidi="fa-IR"/>
        </w:rPr>
        <w:t>حیث جوّزوا هذا الفرد من النفع، استناداً إلی</w:t>
      </w:r>
    </w:p>
    <w:p>
      <w:pPr>
        <w:pStyle w:val="BookText"/>
        <w:rPr/>
      </w:pPr>
      <w:r>
        <w:rPr>
          <w:rFonts w:ascii="IRNazanin" w:hAnsi="IRNazanin" w:eastAsia="IRNazanin"/>
          <w:color w:val="111111"/>
          <w:sz w:val="28"/>
          <w:sz w:val="28"/>
          <w:szCs w:val="28"/>
          <w:rtl w:val="true"/>
          <w:lang w:bidi="fa-IR"/>
        </w:rPr>
        <w:t xml:space="preserve">روایة </w:t>
      </w:r>
      <w:r>
        <w:rPr>
          <w:rStyle w:val="FootnoteAnchor"/>
          <w:rtl w:val="true"/>
        </w:rPr>
        <w:footnoteReference w:id="1201"/>
      </w:r>
      <w:r>
        <w:rPr>
          <w:rFonts w:ascii="IRNazanin" w:hAnsi="IRNazanin" w:eastAsia="IRNazanin"/>
          <w:color w:val="111111"/>
          <w:sz w:val="28"/>
          <w:sz w:val="28"/>
          <w:szCs w:val="28"/>
          <w:rtl w:val="true"/>
          <w:lang w:bidi="fa-IR"/>
        </w:rPr>
        <w:t xml:space="preserve">لا تدلّ علی مطلوبهم، وظاهرها إعطاء الزائد الصحیح بدون الشرط، ولا خلاف فیه، بل لا یُکره، وقد روی أنّ النبیّ صلی الله علیه و آله اقترض بَکراً </w:t>
      </w:r>
      <w:r>
        <w:rPr>
          <w:rStyle w:val="FootnoteAnchor"/>
          <w:rtl w:val="true"/>
        </w:rPr>
        <w:footnoteReference w:id="1202"/>
      </w:r>
      <w:r>
        <w:rPr>
          <w:rFonts w:ascii="Amiri" w:hAnsi="Amiri" w:eastAsia="Amiri" w:cs="Amiri"/>
          <w:color w:val="111111"/>
          <w:sz w:val="28"/>
          <w:sz w:val="28"/>
          <w:szCs w:val="28"/>
          <w:rtl w:val="true"/>
          <w:lang w:bidi="ar-SA"/>
        </w:rPr>
        <w:t xml:space="preserve">فردّ بازلاً </w:t>
      </w:r>
      <w:r>
        <w:rPr>
          <w:rStyle w:val="FootnoteAnchor"/>
          <w:rtl w:val="true"/>
        </w:rPr>
        <w:footnoteReference w:id="1203"/>
      </w:r>
      <w:r>
        <w:rPr>
          <w:rFonts w:ascii="IRNazanin" w:hAnsi="IRNazanin" w:eastAsia="IRNazanin"/>
          <w:color w:val="111111"/>
          <w:sz w:val="28"/>
          <w:sz w:val="28"/>
          <w:szCs w:val="28"/>
          <w:rtl w:val="true"/>
          <w:lang w:bidi="fa-IR"/>
        </w:rPr>
        <w:t>رباعیاً،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الناس أحسنهم قضاءً</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یصحّ إقراض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یرتفع عنه الحَجر فی المال، وأراد کمال المتعاقدین معاً، بإضافة المصدر إلی الفاعل والقابل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تتساوی أجزاؤه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القیمة والمنفعة وتتقارب صفاته کالحبوب والأدهان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فی الذمّة مثله، وما لا یتساوی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أجزاؤه کالحیوان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قیمته یوم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وقت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المقترض القرضَ علی المشهور، لا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فرع الملک فیمتنع کونه شرطاً فیه </w:t>
      </w:r>
      <w:r>
        <w:rPr>
          <w:rStyle w:val="FootnoteAnchor"/>
          <w:rtl w:val="true"/>
        </w:rPr>
        <w:footnoteReference w:id="1205"/>
      </w:r>
      <w:r>
        <w:rPr>
          <w:rFonts w:ascii="IRNazanin" w:hAnsi="IRNazanin" w:eastAsia="IRNazanin"/>
          <w:color w:val="111111"/>
          <w:sz w:val="28"/>
          <w:sz w:val="28"/>
          <w:szCs w:val="28"/>
          <w:rtl w:val="true"/>
          <w:lang w:bidi="fa-IR"/>
        </w:rPr>
        <w:t>وإلّا دار،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تبعیّته للملک مطلقاً؛ إذ یکفی فیه إذن المالک وهو هنا حاصل بالعقد، بل بالأیجاب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قلنا بملکه بالقبض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ردّ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کره</w:t>
      </w:r>
    </w:p>
    <w:p>
      <w:pPr>
        <w:pStyle w:val="BookText"/>
        <w:rPr/>
      </w:pPr>
      <w:r>
        <w:rPr>
          <w:rFonts w:ascii="IRNazanin" w:hAnsi="IRNazanin" w:eastAsia="IRNazanin"/>
          <w:color w:val="111111"/>
          <w:sz w:val="28"/>
          <w:sz w:val="28"/>
          <w:szCs w:val="28"/>
          <w:rtl w:val="true"/>
          <w:lang w:bidi="fa-IR"/>
        </w:rPr>
        <w:t>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العین حینئذٍ تصیر کغیرها من أمواله، والحقّ یتعلّق بذمّته فیتخیّر فی جهة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بتوقّف الملک علی التصرّف وجب دفع العین مع طلب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بذلک وإن ملّکناه بالقبض، بناءً علی کون القرض عقداً جائزاً ومن شأنه رجوع کلّ عوض إلی مالکه إذا فُسخ، کالهبة والبیع بخیار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یلزم اشتراط الأجل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لماله </w:t>
      </w:r>
      <w:r>
        <w:rPr>
          <w:rStyle w:val="FootnoteAnchor"/>
          <w:rtl w:val="true"/>
        </w:rPr>
        <w:footnoteReference w:id="1206"/>
      </w:r>
      <w:r>
        <w:rPr>
          <w:rFonts w:ascii="IRNazanin" w:hAnsi="IRNazanin" w:eastAsia="IRNazanin"/>
          <w:color w:val="111111"/>
          <w:sz w:val="28"/>
          <w:sz w:val="28"/>
          <w:szCs w:val="28"/>
          <w:rtl w:val="true"/>
          <w:lang w:bidi="fa-IR"/>
        </w:rPr>
        <w:t xml:space="preserve">ولا لغیره؛ لأنّه عقد جائز، فلا یلزم ما یشترط فیه إلحاقاً لشرطه بجزئه </w:t>
      </w:r>
      <w:r>
        <w:rPr>
          <w:rStyle w:val="FootnoteAnchor"/>
          <w:rtl w:val="true"/>
        </w:rPr>
        <w:footnoteReference w:id="1207"/>
      </w:r>
      <w:r>
        <w:rPr>
          <w:rFonts w:ascii="IRNazanin" w:hAnsi="IRNazanin" w:eastAsia="IRNazanin"/>
          <w:color w:val="111111"/>
          <w:sz w:val="28"/>
          <w:sz w:val="28"/>
          <w:szCs w:val="28"/>
          <w:rtl w:val="true"/>
          <w:lang w:bidi="fa-IR"/>
        </w:rPr>
        <w:t xml:space="preserve">نعم لو شرط أجل القرض فی عقدٍ لازم لزم علی ما سبق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قدر علی أدائه أم لا، بمعنی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الأداء إذا قدر، وسواء کان صاحب الدین حاضراً أم غائباً؛ لأنّ ذلک من مقتضی الإیمان، کما یجب العزم علی أداء کلّ واجب وترک کلّ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عزم علی قضاء دینه اُعین علیه وأ نّه ینقص من معونته بقدر قصور نیّته</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وعزله عند وفاته، والإیصاء به لو کان صاحبه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لیتمیّز الحقّ ویسلم من تصرّف الوارث فیه، ویجب کون الوصایة به إلی ثقة؛ لأنّه تسلیط علی مال الغیر وإن قلنا بجواز الوصایة إلی غیره فی الجملة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 منه تصدّق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w:t>
      </w:r>
    </w:p>
    <w:p>
      <w:pPr>
        <w:pStyle w:val="BookText"/>
        <w:rPr/>
      </w:pPr>
      <w:r>
        <w:rPr>
          <w:rFonts w:ascii="IRNazanin" w:hAnsi="IRNazanin" w:eastAsia="IRNazanin"/>
          <w:color w:val="111111"/>
          <w:sz w:val="28"/>
          <w:sz w:val="28"/>
          <w:szCs w:val="28"/>
          <w:rtl w:val="true"/>
          <w:lang w:bidi="fa-IR"/>
        </w:rPr>
        <w:t xml:space="preserve">دفعه إلی الحاکم </w:t>
      </w:r>
      <w:r>
        <w:rPr>
          <w:rStyle w:val="FootnoteAnchor"/>
          <w:rtl w:val="true"/>
        </w:rPr>
        <w:footnoteReference w:id="1210"/>
      </w:r>
      <w:r>
        <w:rPr>
          <w:rFonts w:ascii="IRNazanin" w:hAnsi="IRNazanin" w:eastAsia="IRNazanin"/>
          <w:color w:val="111111"/>
          <w:sz w:val="28"/>
          <w:sz w:val="28"/>
          <w:szCs w:val="28"/>
          <w:rtl w:val="true"/>
          <w:lang w:bidi="fa-IR"/>
        </w:rPr>
        <w:t>لأنّ الصدقة تصرّف فی مال الغیر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 بأ نّها إحسان محض إلیه؛ لأنّه إن ظهر ولم یرضَ بها ضمن له عوضها، وإلّا فهی أنفع من بقاء العین المعزولة المعرّضة لتلفها بغیر تفریط المسقط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التخییر بین الصدقة، والدفع إلی الحاکم، وإبقائه فی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تصحّ قسمة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 بین شریکین فصاعداً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والتاوی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الهالک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یحتال للقسمة بأن یحیل کلّ منهما صاحبه بحصّته التی یرید إعطاءها صاحبه ویقبل الآخر، بناءً علی صحّة الحوالة من البریء؛ وکذا لو اصطلحا علی ما فی الذمم بعضاً ببعض وفاقاً للمصنّف فی الدروس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بیعه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یقبض من المدیون وغیره، حالّاً کان الدین أم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تعذّر قبضه حالَ البیع من صحّته؛ لأنّ الشرط إمکانه فی الجملة لا حالة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بیعه بالحالّ بین کونه مشخّصاً ومضموناً علی الأقوی، للأصل وعدم صدق اسم الدین علیه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بیع دین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لأنّ الدین الممنوع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عوضاً حال کونه دیناً بمقتضی تعلّق الباء به، والمضمون عند العقد لیس بدین وإنّما یصیر دیناً بعده، فلم یتحقّق بیع الدین به؛ ولأ نّه یلزم مثله فی بیعه بحالٍّ، والفرق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إطلاق اسم الدین علیه إن أرادوا به قبل العقد فممنوع، أو بعده فمشترک، وإطلاقهم له علیه عرفاً إذا بیع به فیقولون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فلان ماله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بقصد أنّ الثمن بقی فی ذمّته دیناً بعد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اعتبر هذا الإطلاق جاء مثله فی الحالّ إذا لم یقبضه، خصوصاً إذا أمهله به من غیر تأجیل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ونقیصة، إلّاأن یکون 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فتعتبر المساواة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یلزم المدیون أن یدفع إلی المشتری إلّاما دفع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محمّد بن الفضیل عن أبی الحسن الرضا علیه السلام</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وقریب منها روایة أبی حمزة عن الباقر علیه السلام </w:t>
      </w:r>
      <w:r>
        <w:rPr>
          <w:rStyle w:val="FootnoteAnchor"/>
          <w:rtl w:val="true"/>
        </w:rPr>
        <w:footnoteReference w:id="1213"/>
      </w:r>
      <w:r>
        <w:rPr>
          <w:rFonts w:ascii="IRNazanin" w:hAnsi="IRNazanin" w:eastAsia="IRNazanin"/>
          <w:color w:val="111111"/>
          <w:sz w:val="28"/>
          <w:sz w:val="28"/>
          <w:szCs w:val="28"/>
          <w:rtl w:val="true"/>
          <w:lang w:bidi="fa-IR"/>
        </w:rPr>
        <w:t xml:space="preserve">وإنّما اقتصر علی الاُولی؛ لأنّها أصرح، وعمل بمضمونها الشیخ </w:t>
      </w:r>
      <w:r>
        <w:rPr>
          <w:rStyle w:val="FootnoteAnchor"/>
          <w:rtl w:val="true"/>
        </w:rPr>
        <w:footnoteReference w:id="1214"/>
      </w:r>
      <w:r>
        <w:rPr>
          <w:rFonts w:ascii="Amiri" w:hAnsi="Amiri" w:eastAsia="Amiri" w:cs="Amiri"/>
          <w:color w:val="111111"/>
          <w:sz w:val="28"/>
          <w:sz w:val="28"/>
          <w:szCs w:val="28"/>
          <w:rtl w:val="true"/>
          <w:lang w:bidi="ar-SA"/>
        </w:rPr>
        <w:t xml:space="preserve">وجماعة </w:t>
      </w:r>
      <w:r>
        <w:rPr>
          <w:rStyle w:val="FootnoteAnchor"/>
          <w:rtl w:val="true"/>
        </w:rPr>
        <w:footnoteReference w:id="1215"/>
      </w:r>
      <w:r>
        <w:rPr>
          <w:rFonts w:ascii="IRNazanin" w:hAnsi="IRNazanin" w:eastAsia="IRNazanin"/>
          <w:color w:val="111111"/>
          <w:sz w:val="28"/>
          <w:sz w:val="28"/>
          <w:szCs w:val="28"/>
          <w:rtl w:val="true"/>
          <w:lang w:bidi="fa-IR"/>
        </w:rPr>
        <w:t xml:space="preserve">ویظهر من المصنّف المیل إلیه، وفی الدروس لا معارض لها </w:t>
      </w:r>
      <w:r>
        <w:rPr>
          <w:rStyle w:val="FootnoteAnchor"/>
          <w:rtl w:val="true"/>
        </w:rPr>
        <w:footnoteReference w:id="1216"/>
      </w:r>
      <w:r>
        <w:rPr>
          <w:rFonts w:ascii="IRNazanin" w:hAnsi="IRNazanin" w:eastAsia="IRNazanin"/>
          <w:color w:val="111111"/>
          <w:sz w:val="28"/>
          <w:sz w:val="28"/>
          <w:szCs w:val="28"/>
          <w:rtl w:val="true"/>
          <w:lang w:bidi="fa-IR"/>
        </w:rPr>
        <w:t xml:space="preserve">لکن المستند ضعیف، وعموم الأدلّة </w:t>
      </w:r>
      <w:r>
        <w:rPr>
          <w:rStyle w:val="FootnoteAnchor"/>
          <w:rtl w:val="true"/>
        </w:rPr>
        <w:footnoteReference w:id="1217"/>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علی الضمان مجازاً، لشبهه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بالبیع </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فی المعاوضة، أو علی فساد البیع للربا وغیره، فیکون الدفع مأذوناً فیه من البائع فی مقابلة ما دفع، ویبقی الباقی 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مع صحّة البیع لزوم دفع الجمیع، ویجب مراعاة شروط الربا والصرف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وقع صلحاً اغتفر الثانی </w:t>
      </w:r>
      <w:r>
        <w:rPr>
          <w:rStyle w:val="FootnoteAnchor"/>
          <w:rtl w:val="true"/>
        </w:rPr>
        <w:footnoteReference w:id="1219"/>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ومنع ابن إدریس من بیع الدین علی غیر المدیون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إلی دلیلٍ قاصر </w:t>
      </w:r>
      <w:r>
        <w:rPr>
          <w:rStyle w:val="FootnoteAnchor"/>
          <w:rtl w:val="true"/>
        </w:rPr>
        <w:footnoteReference w:id="1221"/>
      </w:r>
      <w:r>
        <w:rPr>
          <w:rFonts w:ascii="IRNazanin" w:hAnsi="IRNazanin" w:eastAsia="IRNazanin"/>
          <w:color w:val="111111"/>
          <w:sz w:val="28"/>
          <w:sz w:val="28"/>
          <w:szCs w:val="28"/>
          <w:rtl w:val="true"/>
          <w:lang w:bidi="fa-IR"/>
        </w:rPr>
        <w:t xml:space="preserve">وتقسیمٍ غیر حاصر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لعموم الأدلّة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 الذمّی ما لا یملکه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کالخمر والخنزیر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منه دین المسلم صحّ قبضه ولو 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لإقرار الشارع له علی ذلک </w:t>
      </w:r>
      <w:r>
        <w:rPr>
          <w:rStyle w:val="FootnoteAnchor"/>
          <w:rtl w:val="true"/>
        </w:rPr>
        <w:footnoteReference w:id="1222"/>
      </w:r>
      <w:r>
        <w:rPr>
          <w:rFonts w:ascii="IRNazanin" w:hAnsi="IRNazanin" w:eastAsia="IRNazanin"/>
          <w:color w:val="111111"/>
          <w:sz w:val="28"/>
          <w:sz w:val="28"/>
          <w:szCs w:val="28"/>
          <w:rtl w:val="true"/>
          <w:lang w:bidi="fa-IR"/>
        </w:rPr>
        <w:t>لکن یشترط استتاره به کما هو مقتضی الشرع، فلو تظاهر به لم یجز، ومن ثمَّ یقیّد</w:t>
      </w:r>
      <w:bookmarkStart w:id="465" w:name="pg19812_249539"/>
    </w:p>
    <w:p>
      <w:pPr>
        <w:pStyle w:val="BookText"/>
        <w:rPr/>
      </w:pPr>
      <w:bookmarkEnd w:id="465"/>
      <w:r>
        <w:rPr>
          <w:rFonts w:ascii="IRNazanin" w:hAnsi="IRNazanin" w:eastAsia="IRNazanin"/>
          <w:color w:val="111111"/>
          <w:sz w:val="28"/>
          <w:sz w:val="28"/>
          <w:szCs w:val="28"/>
          <w:rtl w:val="true"/>
          <w:lang w:bidi="fa-IR"/>
        </w:rPr>
        <w:t>بالذمّی؛ لأنّ الحربی لا یقرّ علی شیء من ذلک، فلا یجوز تناوله منه</w:t>
      </w:r>
      <w:r>
        <w:rPr>
          <w:rFonts w:eastAsia="IRNazanin" w:cs="IRNazanin"/>
          <w:color w:val="111111"/>
          <w:sz w:val="28"/>
          <w:szCs w:val="28"/>
          <w:rtl w:val="true"/>
          <w:lang w:bidi="fa-IR"/>
        </w:rPr>
        <w:t>.</w:t>
      </w:r>
    </w:p>
    <w:p>
      <w:pPr>
        <w:pStyle w:val="Heading4"/>
        <w:numPr>
          <w:ilvl w:val="3"/>
          <w:numId w:val="1"/>
        </w:numPr>
        <w:rPr/>
      </w:pPr>
      <w:bookmarkStart w:id="466" w:name="__RefHeading___Toc2093092_2314609296"/>
      <w:bookmarkStart w:id="467" w:name="_Toc169"/>
      <w:bookmarkEnd w:id="466"/>
      <w:r>
        <w:rPr>
          <w:rtl w:val="true"/>
        </w:rPr>
        <w:t>[</w:t>
      </w:r>
      <w:r>
        <w:rPr>
          <w:rtl w:val="true"/>
        </w:rPr>
        <w:t xml:space="preserve">حکم دین المحجور </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تحلّ الدیون المؤجَّلة بحَجر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لابن الجنید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زعم أ نّها تحلّ قیاساً علی المیّت </w:t>
      </w:r>
      <w:r>
        <w:rPr>
          <w:rStyle w:val="FootnoteAnchor"/>
          <w:rtl w:val="true"/>
        </w:rPr>
        <w:footnoteReference w:id="1223"/>
      </w:r>
      <w:r>
        <w:rPr>
          <w:rFonts w:ascii="IRNazanin" w:hAnsi="IRNazanin" w:eastAsia="IRNazanin"/>
          <w:color w:val="111111"/>
          <w:sz w:val="28"/>
          <w:sz w:val="28"/>
          <w:szCs w:val="28"/>
          <w:rtl w:val="true"/>
          <w:lang w:bidi="fa-IR"/>
        </w:rPr>
        <w:t>وهو باطل، مع وجود الفارق بتضرّر الورثة إن مُنعوا من التصرّف إلی أن یحلّ، وصاحب الدین إن لم یُمنعوا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المفلَّس؛ لبقاء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الدیون المؤجّلة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مال السَلَم والجنایة المؤجَّلة وغیرهما؛ للعموم </w:t>
      </w:r>
      <w:r>
        <w:rPr>
          <w:rStyle w:val="FootnoteAnchor"/>
          <w:rtl w:val="true"/>
        </w:rPr>
        <w:footnoteReference w:id="1224"/>
      </w:r>
      <w:r>
        <w:rPr>
          <w:rFonts w:ascii="IRNazanin" w:hAnsi="IRNazanin" w:eastAsia="IRNazanin"/>
          <w:color w:val="111111"/>
          <w:sz w:val="28"/>
          <w:sz w:val="28"/>
          <w:szCs w:val="28"/>
          <w:rtl w:val="true"/>
          <w:lang w:bidi="fa-IR"/>
        </w:rPr>
        <w:t xml:space="preserve">وکون أجل السلم یقتضی قسطاً من الثمن وأجل الجنایة بتعیین الشارع ولیتحقّق الفرق بین الجنایات، لا یدفع عمومَ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تحلّ بموت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المدیون؛ للأصل، خرج منه موت المدیون فیبقی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w:t>
      </w:r>
      <w:r>
        <w:rPr>
          <w:rStyle w:val="FootnoteAnchor"/>
          <w:rtl w:val="true"/>
        </w:rPr>
        <w:footnoteReference w:id="1225"/>
      </w:r>
      <w:r>
        <w:rPr>
          <w:rFonts w:ascii="IRNazanin" w:hAnsi="IRNazanin" w:eastAsia="IRNazanin"/>
          <w:color w:val="111111"/>
          <w:sz w:val="28"/>
          <w:sz w:val="28"/>
          <w:szCs w:val="28"/>
          <w:rtl w:val="true"/>
          <w:lang w:bidi="fa-IR"/>
        </w:rPr>
        <w:t xml:space="preserve">استناداً إلی روایة مرسلة </w:t>
      </w:r>
      <w:r>
        <w:rPr>
          <w:rStyle w:val="FootnoteAnchor"/>
          <w:rtl w:val="true"/>
        </w:rPr>
        <w:footnoteReference w:id="1226"/>
      </w:r>
      <w:r>
        <w:rPr>
          <w:rFonts w:ascii="IRNazanin" w:hAnsi="IRNazanin" w:eastAsia="IRNazanin"/>
          <w:color w:val="111111"/>
          <w:sz w:val="28"/>
          <w:sz w:val="28"/>
          <w:szCs w:val="28"/>
          <w:rtl w:val="true"/>
          <w:lang w:bidi="fa-IR"/>
        </w:rPr>
        <w:t>وبالقیاس علی موت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وللمالک انتزاع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نقلها إلی المفلَّس قبل الحَجر ولم یستوف عوضها مع وجودها، مقدّماً فیها علی سائر الدُیّان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الفلس إذا لم تزد زیادة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کالسمن والطول، فإن زادت کذلک لم یکن له أخذها، لحصولها علی ملک المفلّس، فیمتنع أخذ العین بدونها ومعها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زادت</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 xml:space="preserve">لأنّ هذه الزیادة صفةٌ محضة ولیست من فعل المفلَّس فلا تُعدّ مالاً له، ولعموم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عین ماله فهو أحقّ بها</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وفی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أخذها، لکن یکون المفلَّس شریکاً بمقدار الزیادة </w:t>
      </w:r>
      <w:r>
        <w:rPr>
          <w:rStyle w:val="FootnoteAnchor"/>
          <w:rtl w:val="true"/>
        </w:rPr>
        <w:footnoteReference w:id="1229"/>
      </w:r>
      <w:r>
        <w:rPr>
          <w:rFonts w:ascii="IRNazanin" w:hAnsi="IRNazanin" w:eastAsia="IRNazanin"/>
          <w:color w:val="111111"/>
          <w:sz w:val="28"/>
          <w:sz w:val="28"/>
          <w:szCs w:val="28"/>
          <w:rtl w:val="true"/>
          <w:lang w:bidi="fa-IR"/>
        </w:rPr>
        <w:t>ولو کانت الزیادة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کالولد وإن لم ینفصل، والثمرة وإن لم تُقطف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 من الانتزاع، وکانت الزیادة للمفلَّس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غرس، أو صبغ الثوب أو خاطه، أو طحن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شریکاً بنسبة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وغرماء المیّت سواء فی ترکته مع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فیقسَّم علی نسبة الدیون، سواء فی ذلک صاحب العین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الوفاء لصاحب العین أخذها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الترکة بقدر الدین أم أزید، وسواء مات محجوراً علیه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المشهور صحیحة أبی ولّاد عن الصادق علیه السلام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بها وإن لم یکن وفاء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کالمفلَّس، قیاساً واستناداً إلی روایة </w:t>
      </w:r>
      <w:r>
        <w:rPr>
          <w:rStyle w:val="FootnoteAnchor"/>
          <w:rtl w:val="true"/>
        </w:rPr>
        <w:footnoteReference w:id="1232"/>
      </w:r>
      <w:r>
        <w:rPr>
          <w:rFonts w:ascii="IRNazanin" w:hAnsi="IRNazanin" w:eastAsia="IRNazanin"/>
          <w:color w:val="111111"/>
          <w:sz w:val="28"/>
          <w:sz w:val="28"/>
          <w:szCs w:val="28"/>
          <w:rtl w:val="true"/>
          <w:lang w:bidi="fa-IR"/>
        </w:rPr>
        <w:t>مطلقة فی جواز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باطل، والثانی یجب</w:t>
      </w:r>
    </w:p>
    <w:p>
      <w:pPr>
        <w:pStyle w:val="BookText"/>
        <w:rPr/>
      </w:pPr>
      <w:r>
        <w:rPr>
          <w:rFonts w:ascii="IRNazanin" w:hAnsi="IRNazanin" w:eastAsia="IRNazanin"/>
          <w:color w:val="111111"/>
          <w:sz w:val="28"/>
          <w:sz w:val="28"/>
          <w:szCs w:val="28"/>
          <w:rtl w:val="true"/>
          <w:lang w:bidi="fa-IR"/>
        </w:rPr>
        <w:t>تقییده بالوفاء،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باختصاص الحکم بمن مات محجوراً علیه، وإلّا فلا اختصاص مطلقاً </w:t>
      </w:r>
      <w:r>
        <w:rPr>
          <w:rStyle w:val="FootnoteAnchor"/>
          <w:rtl w:val="true"/>
        </w:rPr>
        <w:footnoteReference w:id="1233"/>
      </w:r>
      <w:r>
        <w:rPr>
          <w:rFonts w:ascii="Amiri" w:hAnsi="Amiri" w:eastAsia="Amiri" w:cs="Amiri"/>
          <w:color w:val="111111"/>
          <w:sz w:val="28"/>
          <w:sz w:val="28"/>
          <w:szCs w:val="28"/>
          <w:rtl w:val="true"/>
          <w:lang w:bidi="ar-SA"/>
        </w:rPr>
        <w:t xml:space="preserve">وصحیح النصّ </w:t>
      </w:r>
      <w:r>
        <w:rPr>
          <w:rStyle w:val="FootnoteAnchor"/>
          <w:rtl w:val="true"/>
        </w:rPr>
        <w:footnoteReference w:id="1234"/>
      </w:r>
      <w:r>
        <w:rPr>
          <w:rFonts w:ascii="IRNazanin" w:hAnsi="IRNazanin" w:eastAsia="IRNazanin"/>
          <w:color w:val="111111"/>
          <w:sz w:val="28"/>
          <w:sz w:val="28"/>
          <w:szCs w:val="28"/>
          <w:rtl w:val="true"/>
          <w:lang w:bidi="fa-IR"/>
        </w:rPr>
        <w:t>یدفعه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وُجِدت العین ناقصة بفعل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أخذها إن شاء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بالنقص مع الغرماء مع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نسبة 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تُنسب قیمة الناقصة إلی الصحیحة ویضرب من الثمن الذی باعه به بتلک النسبة کما هو مقتضی قاعدة الأرش، ولئلّا یجمع بین العوض والمعوّض فی بعض الفروض، وفی استفادة ذلک من نسبة النقص إلی الثمن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النقص بفعل غیره فإن وجب أرشه ضرب به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 قبل اللّٰه تعالی فالأقوی أ نّه کذلک، سواء کان الفائت ممّا یتقسّط علیه الثمن بالنسبة، کعبد من عبدین، أم لا، کید العبد؛ لأنّ مقتضی عقد المعاوضة عند فسخه رجوع کلّ عوض إلی صاحبه أو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تخصیص النقص بفعل المفلَّس لا یظهر له نکتة؛ لأنّه إمّا مساوٍ لما یحدث من اللّٰه تعالی أو الأجنبیّ علی تقدیر الفرق، أو حکم الجمیع سواء علی القول القویّ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یقبل إقراره فی حال التفلیس بعین، لتعلّق حقّ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بأعیان ماله قبله، فیکون إقراره بها فی قوّة الإقرار بمال الغیر، وللحجر عن التصرّف المالی المانع من نفوذ الإقرار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عاقل مختار فیدخل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والمانع فی العین منتفٍ هنا؛ لأنّه</w:t>
      </w:r>
    </w:p>
    <w:p>
      <w:pPr>
        <w:pStyle w:val="BookText"/>
        <w:rPr/>
      </w:pPr>
      <w:r>
        <w:rPr>
          <w:rFonts w:ascii="Amiri" w:hAnsi="Amiri" w:eastAsia="Amiri" w:cs="Amiri"/>
          <w:color w:val="111111"/>
          <w:sz w:val="28"/>
          <w:sz w:val="28"/>
          <w:szCs w:val="28"/>
          <w:rtl w:val="true"/>
          <w:lang w:bidi="ar-SA"/>
        </w:rPr>
        <w:t xml:space="preserve">فی العین منافٍ لحقّ الدیّان المتعلّق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یتعلّق بذمّته، فلا یشارک المقَرّ له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بین الحقّین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وقوّی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العلّامة فی بعض کتبه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للخبر ولعموم الإذن فی قسمة ماله بین غرمائه </w:t>
      </w:r>
      <w:r>
        <w:rPr>
          <w:rStyle w:val="FootnoteAnchor"/>
          <w:rtl w:val="true"/>
        </w:rPr>
        <w:footnoteReference w:id="1238"/>
      </w:r>
      <w:r>
        <w:rPr>
          <w:rFonts w:ascii="IRNazanin" w:hAnsi="IRNazanin" w:eastAsia="IRNazanin"/>
          <w:color w:val="111111"/>
          <w:sz w:val="28"/>
          <w:sz w:val="28"/>
          <w:szCs w:val="28"/>
          <w:rtl w:val="true"/>
          <w:lang w:bidi="fa-IR"/>
        </w:rPr>
        <w:t>وللفرق بین الإقرار والإنشاء، فإنّ الإقرار إخبار عن حقّ سابق والحجر إنّما یبطل إحداث الملک؛ ولأ نّه کالبیّنة، ومع قیامها لا إشکال فی المشارکة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بأنّ ردّ إقراره لیس لنفسه، بل لحقّ غیره فلا ینافیه الخبر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قد قبلناه علی نفسه بإلزامه بالمال بعد الحجر، ومشارکة المقرُّ له للغرماء هو المانع من النفوذ الموجب لمساواة الإقرار للإنشاء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کالبیّنة مطلقاً ممنوع، فما اختاره المصنِّف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وموضع الخلاف ما لو أسنده إلی ما قبل الحجر، أمّا بعده فإنّه لا ینفذ معجّلاً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أسنده إلی ما یلزم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کإتلاف مال أو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لوقوع السبب بغیر اختیار المستحقّ فلا تقصیر، بخلاف المعامل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 المفلَّس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أعیان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المنافی لحقّ الغرماء، لا من مطلق التصرّف، واحترزنا بالمبتدأ عن التصرّف فی ماله بمثل الفسخ بخیار؛ لأنّه لیس بابتداء تصرّف، بل هو أثر أمر سابق علی الحجر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ظهر له عیب فیما اشتراه سابقاً فله الفسخ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یعتبر فی جواز</w:t>
      </w:r>
    </w:p>
    <w:p>
      <w:pPr>
        <w:pStyle w:val="BookText"/>
        <w:rPr/>
      </w:pPr>
      <w:r>
        <w:rPr>
          <w:rFonts w:ascii="IRNazanin" w:hAnsi="IRNazanin" w:eastAsia="IRNazanin"/>
          <w:color w:val="111111"/>
          <w:sz w:val="28"/>
          <w:sz w:val="28"/>
          <w:szCs w:val="28"/>
          <w:rtl w:val="true"/>
          <w:lang w:bidi="fa-IR"/>
        </w:rPr>
        <w:t>الفسخ الغبطة، أم یجوز اقتراحاً؟ الأقوی الثانی، نظراً إلی أصل الحکم، وإن تخلّفت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الغبطة فی الثانی، دون الأوّل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وفرّق المصنّف رحمه الله بینهما بأنّ الخیار ثابت بأصل العقد لا علی طریق المصلحة، فلا یتقیّد بها، بخلاف العیب </w:t>
      </w:r>
      <w:r>
        <w:rPr>
          <w:rStyle w:val="FootnoteAnchor"/>
          <w:rtl w:val="true"/>
        </w:rPr>
        <w:footnoteReference w:id="1241"/>
      </w:r>
      <w:r>
        <w:rPr>
          <w:rFonts w:ascii="IRNazanin" w:hAnsi="IRNazanin" w:eastAsia="IRNazanin"/>
          <w:color w:val="111111"/>
          <w:sz w:val="28"/>
          <w:sz w:val="28"/>
          <w:szCs w:val="28"/>
          <w:rtl w:val="true"/>
          <w:lang w:bidi="fa-IR"/>
        </w:rPr>
        <w:t>وفیه نظر بیِّن؛ لأنّ کلاًّ منهما ثابت بأصل العقد علی غیر جهة المصلحة وإن کانت الحکمة المسوِّغة له هی المصلحة، والإجماع علی جواز الفسخ بالعیب وإن زاد القیمة، فضلاً عن الغبطة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وشمل التصرّف فی أعیان الأموال ما کان بعوض وغیره، وما تعلَّق </w:t>
      </w:r>
      <w:r>
        <w:rPr>
          <w:rStyle w:val="FootnoteAnchor"/>
          <w:rtl w:val="true"/>
        </w:rPr>
        <w:footnoteReference w:id="1242"/>
      </w:r>
      <w:r>
        <w:rPr>
          <w:rFonts w:ascii="IRNazanin" w:hAnsi="IRNazanin" w:eastAsia="IRNazanin"/>
          <w:color w:val="111111"/>
          <w:sz w:val="28"/>
          <w:sz w:val="28"/>
          <w:szCs w:val="28"/>
          <w:rtl w:val="true"/>
          <w:lang w:bidi="fa-IR"/>
        </w:rPr>
        <w:t>بنقل العین والمنفعة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به التصرّف فی غیره، کالنکاح والطلاق، واستیفاء القصاص والعفو عنه، وما یفید تحصیله </w:t>
      </w:r>
      <w:r>
        <w:rPr>
          <w:rStyle w:val="FootnoteAnchor"/>
          <w:rtl w:val="true"/>
        </w:rPr>
        <w:footnoteReference w:id="1243"/>
      </w:r>
      <w:r>
        <w:rPr>
          <w:rFonts w:ascii="IRNazanin" w:hAnsi="IRNazanin" w:eastAsia="IRNazanin"/>
          <w:color w:val="111111"/>
          <w:sz w:val="28"/>
          <w:sz w:val="28"/>
          <w:szCs w:val="28"/>
          <w:rtl w:val="true"/>
          <w:lang w:bidi="fa-IR"/>
        </w:rPr>
        <w:t xml:space="preserve">کالاحتطاب والاتّهاب وقبولِ الوصیّة وإن منع منه بعدَه </w:t>
      </w:r>
      <w:r>
        <w:rPr>
          <w:rStyle w:val="FootnoteAnchor"/>
          <w:rtl w:val="true"/>
        </w:rPr>
        <w:footnoteReference w:id="1244"/>
      </w:r>
      <w:r>
        <w:rPr>
          <w:rFonts w:ascii="IRNazanin" w:hAnsi="IRNazanin" w:eastAsia="IRNazanin"/>
          <w:color w:val="111111"/>
          <w:sz w:val="28"/>
          <w:sz w:val="28"/>
          <w:szCs w:val="28"/>
          <w:rtl w:val="true"/>
          <w:lang w:bidi="fa-IR"/>
        </w:rPr>
        <w:t xml:space="preserve">وبالمنافی </w:t>
      </w:r>
      <w:r>
        <w:rPr>
          <w:rStyle w:val="FootnoteAnchor"/>
          <w:rtl w:val="true"/>
        </w:rPr>
        <w:footnoteReference w:id="1245"/>
      </w:r>
      <w:r>
        <w:rPr>
          <w:rFonts w:ascii="IRNazanin" w:hAnsi="IRNazanin" w:eastAsia="IRNazanin"/>
          <w:color w:val="111111"/>
          <w:sz w:val="28"/>
          <w:sz w:val="28"/>
          <w:szCs w:val="28"/>
          <w:rtl w:val="true"/>
          <w:lang w:bidi="fa-IR"/>
        </w:rPr>
        <w:t>عن وصیّته وتدبیره، فإنّهما یُخرجان من الثلث بعد وفاء الدین، فتصرّفه فی ذلک ونحوه جائز، إذ لا ضرر علی الغرماء فیه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أمواله القابلة للبیع، ولو لم تقبل کالمنفعة، اُوجرت أو صولح علیها واُضیف العوض إلی أثمان ما یباع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وتُقسَّم علی الغرماء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وفی، وإلّا فعلی نسبة أموالهم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یدّخر للمؤجّلة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تحلّ</w:t>
      </w:r>
      <w:bookmarkStart w:id="468" w:name="pg19812_249544"/>
    </w:p>
    <w:p>
      <w:pPr>
        <w:pStyle w:val="BookText"/>
        <w:rPr/>
      </w:pPr>
      <w:bookmarkEnd w:id="468"/>
      <w:r>
        <w:rPr>
          <w:rFonts w:ascii="IRNazanin" w:hAnsi="IRNazanin" w:eastAsia="IRNazanin"/>
          <w:color w:val="111111"/>
          <w:sz w:val="28"/>
          <w:sz w:val="28"/>
          <w:szCs w:val="28"/>
          <w:rtl w:val="true"/>
          <w:lang w:bidi="fa-IR"/>
        </w:rPr>
        <w:t xml:space="preserve">حالَ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حلّ بعد قسمة البعض شارک فی الباقی، وضرب بجمیع المال، وضرب باقی الغرماء ببقیّة دیونهم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ویحضر کلّ متاع فی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مع رجاء زیادة القیمة وإلّا استحباباً؛ لأنّ بیعه فیه أکثر لطلّابه وأضبط لقیمته</w:t>
      </w:r>
      <w:r>
        <w:rPr>
          <w:rFonts w:eastAsia="IRNazanin" w:cs="IRNazanin"/>
          <w:color w:val="111111"/>
          <w:sz w:val="28"/>
          <w:szCs w:val="28"/>
          <w:rtl w:val="true"/>
          <w:lang w:bidi="fa-IR"/>
        </w:rPr>
        <w:t>.</w:t>
      </w:r>
    </w:p>
    <w:p>
      <w:pPr>
        <w:pStyle w:val="Heading4"/>
        <w:numPr>
          <w:ilvl w:val="3"/>
          <w:numId w:val="1"/>
        </w:numPr>
        <w:rPr/>
      </w:pPr>
      <w:bookmarkStart w:id="469" w:name="__RefHeading___Toc2093094_2314609296"/>
      <w:bookmarkStart w:id="470" w:name="_Toc170"/>
      <w:bookmarkEnd w:id="469"/>
      <w:r>
        <w:rPr>
          <w:rtl w:val="true"/>
        </w:rPr>
        <w:t>[</w:t>
      </w:r>
      <w:r>
        <w:rPr>
          <w:rtl w:val="true"/>
        </w:rPr>
        <w:t xml:space="preserve">دعوی الاعسار </w:t>
      </w:r>
      <w:r>
        <w:rPr>
          <w:rtl w:val="true"/>
        </w:rPr>
        <w:t>]</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ویُحبس لو ادّعی الإعسار حتی یثبته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باعتراف الغریم، أو بالبیّنة المطَّلعة علی باطن أمره إن شهدت بالإعسار مطلقاً </w:t>
      </w:r>
      <w:r>
        <w:rPr>
          <w:rStyle w:val="FootnoteAnchor"/>
          <w:rtl w:val="true"/>
        </w:rPr>
        <w:footnoteReference w:id="1246"/>
      </w:r>
      <w:r>
        <w:rPr>
          <w:rFonts w:ascii="IRNazanin" w:hAnsi="IRNazanin" w:eastAsia="IRNazanin"/>
          <w:color w:val="111111"/>
          <w:sz w:val="28"/>
          <w:sz w:val="28"/>
          <w:szCs w:val="28"/>
          <w:rtl w:val="true"/>
          <w:lang w:bidi="fa-IR"/>
        </w:rPr>
        <w:t>أو بتلف المال حیث لا یکون منحصراً فی أعیان مخصوصة، وإلّا کفی اطّلاعها علی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الاطّلاع علی باطن أمره بکثرة مخالطته وصبره علی ما لا یصبر علیه ذوو الیسار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تشهد بإثبات یتضمّن النفی، لا بالنفی الصِرف،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معسر لا یملک إلّاقوتَ یومه وثیابَ بدنه،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یتوقّف ثبوته مع البیّنة مطلقاً </w:t>
      </w:r>
      <w:r>
        <w:rPr>
          <w:rStyle w:val="FootnoteAnchor"/>
          <w:rtl w:val="true"/>
        </w:rPr>
        <w:footnoteReference w:id="1247"/>
      </w:r>
      <w:r>
        <w:rPr>
          <w:rFonts w:ascii="IRNazanin" w:hAnsi="IRNazanin" w:eastAsia="IRNazanin"/>
          <w:color w:val="111111"/>
          <w:sz w:val="28"/>
          <w:sz w:val="28"/>
          <w:szCs w:val="28"/>
          <w:rtl w:val="true"/>
          <w:lang w:bidi="fa-IR"/>
        </w:rPr>
        <w:t xml:space="preserve">علی الیمین؟ قولان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یحبس مع دعوی الإعسار قبل إثباته لو کان أصل الدین مالاً کالقرض، أو عوضاً عن مال کثمن المبیع، فلو انتفی الأمران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کالجنایة والإتلاف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قوله فی الإعسار بیمینه؛ لأصالة عدم المال وإنّما أطلقه المصنّف اتّکالاً علی مقام الدین فی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یجب علیه التکسّب؛ لقوله تعالی وَ إِنْ کٰانَ ذُو عُسْرَةٍ فَنَظِرَةٌ إِلیٰ مَیْسَرَةٍ</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علیّ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یحبس فی الدین ثم ینظر، فإن کان له مال أعطی الغرماء، وإن لم یکن له مال دفعه إلی الغرماء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اصنعوا به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شئتم فآجروه، وإن شئتم استعملوه </w:t>
      </w:r>
      <w:r>
        <w:rPr>
          <w:rStyle w:val="FootnoteAnchor"/>
          <w:rtl w:val="true"/>
        </w:rPr>
        <w:footnoteReference w:id="1250"/>
      </w:r>
      <w:r>
        <w:rPr>
          <w:rFonts w:ascii="IRNazanin" w:hAnsi="IRNazanin" w:eastAsia="IRNazanin"/>
          <w:color w:val="111111"/>
          <w:sz w:val="28"/>
          <w:sz w:val="28"/>
          <w:szCs w:val="28"/>
          <w:rtl w:val="true"/>
          <w:lang w:bidi="fa-IR"/>
        </w:rPr>
        <w:t>وهو یدلّ علی وجوب التکسّب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وفاء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واختاره ابن حمزة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ومنعه الشیخ </w:t>
      </w:r>
      <w:r>
        <w:rPr>
          <w:rStyle w:val="FootnoteAnchor"/>
          <w:rtl w:val="true"/>
        </w:rPr>
        <w:footnoteReference w:id="1253"/>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للآیة </w:t>
      </w:r>
      <w:r>
        <w:rPr>
          <w:rStyle w:val="FootnoteAnchor"/>
          <w:rtl w:val="true"/>
        </w:rPr>
        <w:footnoteReference w:id="1255"/>
      </w:r>
      <w:r>
        <w:rPr>
          <w:rFonts w:ascii="IRNazanin" w:hAnsi="IRNazanin" w:eastAsia="IRNazanin"/>
          <w:color w:val="111111"/>
          <w:sz w:val="28"/>
          <w:sz w:val="28"/>
          <w:szCs w:val="28"/>
          <w:rtl w:val="true"/>
          <w:lang w:bidi="fa-IR"/>
        </w:rPr>
        <w:t>وأصالة 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قضاء الدین علی القادر مع المطالبة، والمتکسّب قادر، ولهذا تحرم علیه الزکاة، وحینئذٍ فهو خارج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علیه التکسّب فیما یلیق بحاله عادة ولو بمؤاجرة نفسه، وعلیه تحمل الروایة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یحجر علی المدیون إذا قصرت أمواله عن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ساوته أو زادت لم یُحجر علیه إجماعاً، وإن ظهرت علیه أمارات 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طولب بالدین فامتنع تخیّر الحاکم بین حبسه إلی أن یقضی بنفسه، وبین أن یقضی عنه من</w:t>
      </w:r>
    </w:p>
    <w:p>
      <w:pPr>
        <w:pStyle w:val="BookText"/>
        <w:rPr/>
      </w:pPr>
      <w:r>
        <w:rPr>
          <w:rFonts w:ascii="IRNazanin" w:hAnsi="IRNazanin" w:eastAsia="IRNazanin"/>
          <w:color w:val="111111"/>
          <w:sz w:val="28"/>
          <w:sz w:val="28"/>
          <w:szCs w:val="28"/>
          <w:rtl w:val="true"/>
          <w:lang w:bidi="fa-IR"/>
        </w:rPr>
        <w:t xml:space="preserve">ماله ولو ببیع ما خالف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 الغرماء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 لهم، فلا یتبرّع الحاکم به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الدیون لمن له علیه ولایة کان له الحجر، أو بعضها مع التماس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لغائب لم یکن للحاکم ولایته؛ لأنّه لا یستوفی له بل یحفظ أعیان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التمس بعض الغرماء، فإن کان دینهم یفی بماله ویزید جاز الحجر وعمّ، وإلّا فلا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بشرط حلول الدین </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w:t>
      </w:r>
      <w:r>
        <w:rPr>
          <w:rFonts w:eastAsia="Amiri" w:cs="Amiri" w:ascii="Amiri" w:hAnsi="Amiri"/>
          <w:color w:val="111111"/>
          <w:sz w:val="28"/>
          <w:szCs w:val="28"/>
          <w:rtl w:val="true"/>
          <w:lang w:bidi="ar-SA"/>
        </w:rPr>
        <w:t xml:space="preserve">] </w:t>
      </w:r>
      <w:r>
        <w:rPr>
          <w:rStyle w:val="FootnoteAnchor"/>
          <w:rtl w:val="true"/>
        </w:rPr>
        <w:footnoteReference w:id="1257"/>
      </w:r>
      <w:r>
        <w:rPr>
          <w:rFonts w:ascii="IRNazanin" w:hAnsi="IRNazanin" w:eastAsia="IRNazanin"/>
          <w:color w:val="111111"/>
          <w:sz w:val="28"/>
          <w:sz w:val="28"/>
          <w:szCs w:val="28"/>
          <w:rtl w:val="true"/>
          <w:lang w:bidi="fa-IR"/>
        </w:rPr>
        <w:t>أو بعضه مؤجّلاً لم یُحجَر، لعدم استحقاق المطالبة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بعضها حالاًّ جاز مع قصور المال عنه والتماس أربابه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تباع داره ولا خادمه ولا ثیاب تجمّله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الأوّل والأخیر ما یلیق بحاله کمّاً وکیفاً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الوسط ذلک </w:t>
      </w:r>
      <w:r>
        <w:rPr>
          <w:rStyle w:val="FootnoteAnchor"/>
          <w:rtl w:val="true"/>
        </w:rPr>
        <w:footnoteReference w:id="1258"/>
      </w:r>
      <w:r>
        <w:rPr>
          <w:rFonts w:ascii="IRNazanin" w:hAnsi="IRNazanin" w:eastAsia="IRNazanin"/>
          <w:color w:val="111111"/>
          <w:sz w:val="28"/>
          <w:sz w:val="28"/>
          <w:szCs w:val="28"/>
          <w:rtl w:val="true"/>
          <w:lang w:bidi="fa-IR"/>
        </w:rPr>
        <w:t>لشرفٍ أو عجزٍ؛ وکذا دابّة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احتاج إلی المتعدّد استثنی کالمتّحد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زادت عن ذلک فی أحد الوصفین وجب الاستبدال </w:t>
      </w:r>
      <w:r>
        <w:rPr>
          <w:rStyle w:val="FootnoteAnchor"/>
          <w:rtl w:val="true"/>
        </w:rPr>
        <w:footnoteReference w:id="1259"/>
      </w:r>
      <w:r>
        <w:rPr>
          <w:rFonts w:ascii="IRNazanin" w:hAnsi="IRNazanin" w:eastAsia="IRNazanin"/>
          <w:color w:val="111111"/>
          <w:sz w:val="28"/>
          <w:sz w:val="28"/>
          <w:szCs w:val="28"/>
          <w:rtl w:val="true"/>
          <w:lang w:bidi="fa-IR"/>
        </w:rPr>
        <w:t xml:space="preserve">أو الاقتصار </w:t>
      </w:r>
      <w:r>
        <w:rPr>
          <w:rStyle w:val="FootnoteAnchor"/>
          <w:rtl w:val="true"/>
        </w:rPr>
        <w:footnoteReference w:id="1260"/>
      </w:r>
      <w:r>
        <w:rPr>
          <w:rFonts w:ascii="IRNazanin" w:hAnsi="IRNazanin" w:eastAsia="IRNazanin"/>
          <w:color w:val="111111"/>
          <w:sz w:val="28"/>
          <w:sz w:val="28"/>
          <w:szCs w:val="28"/>
          <w:rtl w:val="true"/>
          <w:lang w:bidi="fa-IR"/>
        </w:rPr>
        <w:t>علی ما یلیق به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ابن الجنید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واستحبّ للغریم ترکه </w:t>
      </w:r>
      <w:r>
        <w:rPr>
          <w:rStyle w:val="FootnoteAnchor"/>
          <w:rtl w:val="true"/>
        </w:rPr>
        <w:footnoteReference w:id="1261"/>
      </w:r>
      <w:r>
        <w:rPr>
          <w:rFonts w:ascii="IRNazanin" w:hAnsi="IRNazanin" w:eastAsia="IRNazanin"/>
          <w:color w:val="111111"/>
          <w:sz w:val="28"/>
          <w:sz w:val="28"/>
          <w:szCs w:val="28"/>
          <w:rtl w:val="true"/>
          <w:lang w:bidi="fa-IR"/>
        </w:rPr>
        <w:t xml:space="preserve">والروایات متضافرة بالأوّل </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تجری علیه نفقة </w:t>
      </w:r>
      <w:r>
        <w:rPr>
          <w:rStyle w:val="FootnoteAnchor"/>
          <w:rtl w:val="true"/>
        </w:rPr>
        <w:footnoteReference w:id="1263"/>
      </w:r>
      <w:r>
        <w:rPr>
          <w:rFonts w:ascii="IRNazanin" w:hAnsi="IRNazanin" w:eastAsia="IRNazanin"/>
          <w:color w:val="111111"/>
          <w:sz w:val="28"/>
          <w:sz w:val="28"/>
          <w:szCs w:val="28"/>
          <w:rtl w:val="true"/>
          <w:lang w:bidi="fa-IR"/>
        </w:rPr>
        <w:t>یوم القسمة ونفقة واجبی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قبلها قدّم کفنه، ویقتصر منه علی الواجب وسطاً ممّا یلیق به عادةً، ومؤونة تجهیزه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الأحکام استطردها فی کتاب الدین لمناسبته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جرت العادة باختصاص الفلس بباب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ورعایةً لإدراج الأحکام بسبیل الاختصار</w:t>
      </w:r>
      <w:r>
        <w:rPr>
          <w:rFonts w:eastAsia="IRNazanin" w:cs="IRNazanin"/>
          <w:color w:val="111111"/>
          <w:sz w:val="28"/>
          <w:szCs w:val="28"/>
          <w:rtl w:val="true"/>
          <w:lang w:bidi="fa-IR"/>
        </w:rPr>
        <w:t>.</w:t>
      </w:r>
      <w:bookmarkStart w:id="471" w:name="pg19812_249548"/>
    </w:p>
    <w:p>
      <w:pPr>
        <w:pStyle w:val="Heading3"/>
        <w:numPr>
          <w:ilvl w:val="2"/>
          <w:numId w:val="1"/>
        </w:numPr>
        <w:rPr/>
      </w:pPr>
      <w:bookmarkStart w:id="472" w:name="__RefHeading___Toc2093096_2314609296"/>
      <w:bookmarkStart w:id="473" w:name="_Toc171"/>
      <w:bookmarkEnd w:id="471"/>
      <w:bookmarkEnd w:id="472"/>
      <w:r>
        <w:rPr>
          <w:rtl w:val="true"/>
        </w:rPr>
        <w:t>«</w:t>
      </w:r>
      <w:r>
        <w:rPr>
          <w:rtl w:val="true"/>
        </w:rPr>
        <w:t>القسم الثانی</w:t>
      </w:r>
      <w:r>
        <w:rPr>
          <w:rtl w:val="true"/>
        </w:rPr>
        <w:t xml:space="preserve">: </w:t>
      </w:r>
      <w:r>
        <w:rPr>
          <w:rtl w:val="true"/>
        </w:rPr>
        <w:t>دین العبد</w:t>
      </w:r>
      <w:r>
        <w:rPr>
          <w:rtl w:val="true"/>
        </w:rPr>
        <w:t>»</w:t>
      </w:r>
      <w:bookmarkEnd w:id="473"/>
    </w:p>
    <w:p>
      <w:pPr>
        <w:pStyle w:val="BookText"/>
        <w:rPr/>
      </w:pPr>
      <w:r>
        <w:rPr>
          <w:rFonts w:ascii="IRNazanin" w:hAnsi="IRNazanin" w:eastAsia="IRNazanin"/>
          <w:color w:val="111111"/>
          <w:sz w:val="28"/>
          <w:sz w:val="28"/>
          <w:szCs w:val="28"/>
          <w:rtl w:val="true"/>
          <w:lang w:bidi="fa-IR"/>
        </w:rPr>
        <w:t xml:space="preserve">خصّه بناءً علی الغالب من تولّیه ذلک، دون الأمة، ولو أبدله بالمملوک کما عبّر غیره </w:t>
      </w:r>
      <w:r>
        <w:rPr>
          <w:rStyle w:val="FootnoteAnchor"/>
          <w:rtl w:val="true"/>
        </w:rPr>
        <w:footnoteReference w:id="1264"/>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الدین بأن یستدین، لا فیما استدانه وإن کان حکمه کذلک؛ لدخوله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فیما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بملکه أم أحلناه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استدان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المولی وإن 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به مع العتق </w:t>
      </w:r>
      <w:r>
        <w:rPr>
          <w:rStyle w:val="FootnoteAnchor"/>
          <w:rtl w:val="true"/>
        </w:rPr>
        <w:footnoteReference w:id="1265"/>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266"/>
      </w:r>
      <w:r>
        <w:rPr>
          <w:rFonts w:ascii="IRNazanin" w:hAnsi="IRNazanin" w:eastAsia="IRNazanin"/>
          <w:color w:val="111111"/>
          <w:sz w:val="28"/>
          <w:sz w:val="28"/>
          <w:szCs w:val="28"/>
          <w:rtl w:val="true"/>
          <w:lang w:bidi="fa-IR"/>
        </w:rPr>
        <w:t>لا تنهض حجّة فیما خالف القواعد الشرعیّة، فإنّ العبد بمنزلة الوکیل وإنفاقه علی نفسه وتجارته بإذن المولی إنفاق لمال المولی، فیلزمه کما لو لم یُعتق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الاستدانة للمولی فهو علیه قولاً واحداً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التجارة علی محلّ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عیّن له نوعاً أو مکاناً أو زماناً تعیّن، وإن أطلق تخیّر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الاستدانة بالإذن فی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دلالتها علیها إلّاأن تکون لضرورتها، کنقل المتاع وحفظه مع الاحتیاج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فتُلزم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تعدّی المأذون نطقاً أو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یتبع به بعد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عینه باقیة رجع إلی</w:t>
      </w:r>
    </w:p>
    <w:p>
      <w:pPr>
        <w:pStyle w:val="BookText"/>
        <w:rPr/>
      </w:pPr>
      <w:r>
        <w:rPr>
          <w:rFonts w:ascii="IRNazanin" w:hAnsi="IRNazanin" w:eastAsia="IRNazanin"/>
          <w:color w:val="111111"/>
          <w:sz w:val="28"/>
          <w:sz w:val="28"/>
          <w:szCs w:val="28"/>
          <w:rtl w:val="true"/>
          <w:lang w:bidi="fa-IR"/>
        </w:rPr>
        <w:t xml:space="preserve">مالکه، لفساد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معجّلاً </w:t>
      </w:r>
      <w:r>
        <w:rPr>
          <w:rStyle w:val="FootnoteAnchor"/>
          <w:rtl w:val="true"/>
        </w:rPr>
        <w:footnoteReference w:id="1267"/>
      </w:r>
      <w:r>
        <w:rPr>
          <w:rFonts w:ascii="IRNazanin" w:hAnsi="IRNazanin" w:eastAsia="IRNazanin"/>
          <w:color w:val="111111"/>
          <w:sz w:val="28"/>
          <w:sz w:val="28"/>
          <w:szCs w:val="28"/>
          <w:rtl w:val="true"/>
          <w:lang w:bidi="fa-IR"/>
        </w:rPr>
        <w:t xml:space="preserve">استناداً إلی إطلاق روایة أبی بصیر </w:t>
      </w:r>
      <w:r>
        <w:rPr>
          <w:rStyle w:val="FootnoteAnchor"/>
          <w:rtl w:val="true"/>
        </w:rPr>
        <w:footnoteReference w:id="1268"/>
      </w:r>
      <w:r>
        <w:rPr>
          <w:rFonts w:ascii="IRNazanin" w:hAnsi="IRNazanin" w:eastAsia="IRNazanin"/>
          <w:color w:val="111111"/>
          <w:sz w:val="28"/>
          <w:sz w:val="28"/>
          <w:szCs w:val="28"/>
          <w:rtl w:val="true"/>
          <w:lang w:bidi="fa-IR"/>
        </w:rPr>
        <w:t xml:space="preserve">وحملت علی الاستدانة للتجارة </w:t>
      </w:r>
      <w:r>
        <w:rPr>
          <w:rStyle w:val="FootnoteAnchor"/>
          <w:rtl w:val="true"/>
        </w:rPr>
        <w:footnoteReference w:id="1269"/>
      </w:r>
      <w:r>
        <w:rPr>
          <w:rFonts w:ascii="IRNazanin" w:hAnsi="IRNazanin" w:eastAsia="IRNazanin"/>
          <w:color w:val="111111"/>
          <w:sz w:val="28"/>
          <w:sz w:val="28"/>
          <w:szCs w:val="28"/>
          <w:rtl w:val="true"/>
          <w:lang w:bidi="fa-IR"/>
        </w:rPr>
        <w:t>لأنّ الکسب للمولی، فإذا لم یلزمه فعله لا یدفع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أنّ استدانته لضرورة التجارة إنّما یلزم ممّا فی یده، فإن قصر استسعی فی الباقی، ولا یلزم المولی من غیر ما فی یده، وعلیه تحمل الروایة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أخذ المولی ما اقترضه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بغیر إذنه أو ما 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المقرض بین رجوعه 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لترتّب یده علی ماله مع فساد القرض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اتباع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العتق والیسار؛ لأنّه کالغاصب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رجع علی المولی قبل أن یُعتق المملوک لم یرجع المولی علیه؛ لأنّه لا یثبت له فی ذمّة عبده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بعده وکان عند أخذه للمال عالماً بأ نّه قرض فلا رجوع له علی المملوک أیضاً، لتفریطه، وإن کان قد غرّه بأنّ المال له اتّجه رجوعه علیه؛ لمکان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رجع المقرض علی العبد بعد عتقه ویساره فله الرجوع علی المولی، لاستقرار التلف فی یده، إلّاأن یکون قد غرّ المولی فلا رجوع له علیه</w:t>
      </w:r>
      <w:r>
        <w:rPr>
          <w:rFonts w:eastAsia="IRNazanin" w:cs="IRNazanin"/>
          <w:color w:val="111111"/>
          <w:sz w:val="28"/>
          <w:szCs w:val="28"/>
          <w:rtl w:val="true"/>
          <w:lang w:bidi="fa-IR"/>
        </w:rPr>
        <w:t>.</w:t>
      </w:r>
      <w:bookmarkStart w:id="474" w:name="pg19812_249550"/>
    </w:p>
    <w:p>
      <w:pPr>
        <w:pStyle w:val="Heading2"/>
        <w:numPr>
          <w:ilvl w:val="1"/>
          <w:numId w:val="1"/>
        </w:numPr>
        <w:rPr/>
      </w:pPr>
      <w:bookmarkStart w:id="475" w:name="__RefHeading___Toc2093098_2314609296"/>
      <w:bookmarkStart w:id="476" w:name="_Toc172"/>
      <w:bookmarkEnd w:id="474"/>
      <w:bookmarkEnd w:id="475"/>
      <w:r>
        <w:rPr>
          <w:rtl w:val="true"/>
        </w:rPr>
        <w:t>کتاب الرهن</w:t>
      </w:r>
      <w:bookmarkEnd w:id="47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2093100_2314609296"/>
      <w:bookmarkStart w:id="478" w:name="_Toc173"/>
      <w:bookmarkEnd w:id="477"/>
      <w:r>
        <w:rPr>
          <w:rtl w:val="true"/>
        </w:rPr>
        <w:t>اشارة</w:t>
      </w:r>
      <w:bookmarkStart w:id="479" w:name="pg19812_249552"/>
      <w:bookmarkEnd w:id="478"/>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الرهن</w:t>
      </w:r>
      <w:r>
        <w:rPr>
          <w:rFonts w:eastAsia="IRNazanin" w:cs="IRNazanin"/>
          <w:color w:val="111111"/>
          <w:sz w:val="28"/>
          <w:szCs w:val="28"/>
          <w:rtl w:val="true"/>
          <w:lang w:bidi="fa-IR"/>
        </w:rPr>
        <w:t>»</w:t>
      </w:r>
    </w:p>
    <w:p>
      <w:pPr>
        <w:pStyle w:val="Heading3"/>
        <w:numPr>
          <w:ilvl w:val="2"/>
          <w:numId w:val="1"/>
        </w:numPr>
        <w:rPr/>
      </w:pPr>
      <w:bookmarkStart w:id="480" w:name="__RefHeading___Toc2093102_2314609296"/>
      <w:bookmarkStart w:id="481" w:name="_Toc174"/>
      <w:bookmarkEnd w:id="480"/>
      <w:r>
        <w:rPr>
          <w:rtl w:val="true"/>
        </w:rPr>
        <w:t>[</w:t>
      </w:r>
      <w:r>
        <w:rPr>
          <w:rtl w:val="true"/>
        </w:rPr>
        <w:t>تعریفه</w:t>
      </w:r>
      <w:r>
        <w:rPr>
          <w:rtl w:val="true"/>
        </w:rPr>
        <w:t>]</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وثیقة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والوثیقة فعیلة بمعنی المفعول أی موثوق به لأجل الدین، والتاء فیها لنقل اللفظ من الوصفیّة إلی الاسمیّة، کتاء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للتأنیث، فلا یرد عدم المطابقة بین المبتدأ والخبر فی التذکیر والتأنیث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بالدین معرّفاً من غیر نسبة له إلی المرتهن حذراً من الدور باعتبار أخذه فی التعریف،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تخلّصه </w:t>
      </w:r>
      <w:r>
        <w:rPr>
          <w:rStyle w:val="FootnoteAnchor"/>
          <w:rtl w:val="true"/>
        </w:rPr>
        <w:footnoteReference w:id="1270"/>
      </w:r>
      <w:r>
        <w:rPr>
          <w:rFonts w:ascii="IRNazanin" w:hAnsi="IRNazanin" w:eastAsia="IRNazanin"/>
          <w:color w:val="111111"/>
          <w:sz w:val="28"/>
          <w:sz w:val="28"/>
          <w:szCs w:val="28"/>
          <w:rtl w:val="true"/>
          <w:lang w:bidi="fa-IR"/>
        </w:rPr>
        <w:t xml:space="preserve">منه بکشفه </w:t>
      </w:r>
      <w:r>
        <w:rPr>
          <w:rStyle w:val="FootnoteAnchor"/>
          <w:rtl w:val="true"/>
        </w:rPr>
        <w:footnoteReference w:id="1271"/>
      </w:r>
      <w:r>
        <w:rPr>
          <w:rFonts w:ascii="IRNazanin" w:hAnsi="IRNazanin" w:eastAsia="IRNazanin"/>
          <w:color w:val="111111"/>
          <w:sz w:val="28"/>
          <w:sz w:val="28"/>
          <w:szCs w:val="28"/>
          <w:rtl w:val="true"/>
          <w:lang w:bidi="fa-IR"/>
        </w:rPr>
        <w:t>بصاحب الدین أو من له الوثیقة، من غیر أن یؤخذ الرهن فی تعریفه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والتخصیص بالدین إمّا مبنیّ علی عدم جواز الرهن علی غیره وإن کان مضموناً کالغصب،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المصنّف قائل بجواز الرهن علیه </w:t>
      </w:r>
      <w:r>
        <w:rPr>
          <w:rStyle w:val="FootnoteAnchor"/>
          <w:rtl w:val="true"/>
        </w:rPr>
        <w:footnoteReference w:id="1272"/>
      </w:r>
      <w:r>
        <w:rPr>
          <w:rFonts w:ascii="IRNazanin" w:hAnsi="IRNazanin" w:eastAsia="IRNazanin"/>
          <w:color w:val="111111"/>
          <w:sz w:val="28"/>
          <w:sz w:val="28"/>
          <w:szCs w:val="28"/>
          <w:rtl w:val="true"/>
          <w:lang w:bidi="fa-IR"/>
        </w:rPr>
        <w:t xml:space="preserve">وعلی ما یمکن تطرّق ضمانه کالمبیع وثمنه </w:t>
      </w:r>
      <w:r>
        <w:rPr>
          <w:rStyle w:val="FootnoteAnchor"/>
          <w:rtl w:val="true"/>
        </w:rPr>
        <w:footnoteReference w:id="1273"/>
      </w:r>
      <w:r>
        <w:rPr>
          <w:rFonts w:ascii="IRNazanin" w:hAnsi="IRNazanin" w:eastAsia="IRNazanin"/>
          <w:color w:val="111111"/>
          <w:sz w:val="28"/>
          <w:sz w:val="28"/>
          <w:szCs w:val="28"/>
          <w:rtl w:val="true"/>
          <w:lang w:bidi="fa-IR"/>
        </w:rPr>
        <w:t>لاحتمال فساد البیع باستحقاقهما ونقصان</w:t>
      </w:r>
      <w:bookmarkStart w:id="482" w:name="pg19812_249553"/>
    </w:p>
    <w:p>
      <w:pPr>
        <w:pStyle w:val="BookText"/>
        <w:rPr/>
      </w:pPr>
      <w:bookmarkEnd w:id="482"/>
      <w:r>
        <w:rPr>
          <w:rFonts w:ascii="IRNazanin" w:hAnsi="IRNazanin" w:eastAsia="IRNazanin"/>
          <w:color w:val="111111"/>
          <w:sz w:val="28"/>
          <w:sz w:val="28"/>
          <w:szCs w:val="28"/>
          <w:rtl w:val="true"/>
          <w:lang w:bidi="fa-IR"/>
        </w:rPr>
        <w:t>قدرهما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أنّ الرهن علیها </w:t>
      </w:r>
      <w:r>
        <w:rPr>
          <w:rStyle w:val="FootnoteAnchor"/>
          <w:rtl w:val="true"/>
        </w:rPr>
        <w:footnoteReference w:id="1274"/>
      </w:r>
      <w:r>
        <w:rPr>
          <w:rFonts w:ascii="IRNazanin" w:hAnsi="IRNazanin" w:eastAsia="IRNazanin"/>
          <w:color w:val="111111"/>
          <w:sz w:val="28"/>
          <w:sz w:val="28"/>
          <w:szCs w:val="28"/>
          <w:rtl w:val="true"/>
          <w:lang w:bidi="fa-IR"/>
        </w:rPr>
        <w:t>إنّما هو لاستیفاء الدین علی تقدیر ظهور الخلل بالاستحقاق أو تعذّر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Style w:val="FootnoteAnchor"/>
          <w:rtl w:val="true"/>
        </w:rPr>
        <w:footnoteReference w:id="1275"/>
      </w:r>
      <w:r>
        <w:rPr>
          <w:rFonts w:ascii="IRNazanin" w:hAnsi="IRNazanin" w:eastAsia="IRNazanin"/>
          <w:color w:val="111111"/>
          <w:sz w:val="28"/>
          <w:sz w:val="28"/>
          <w:szCs w:val="28"/>
          <w:rtl w:val="true"/>
          <w:lang w:bidi="fa-IR"/>
        </w:rPr>
        <w:t>تکلّف، مع أ نّه قد یبقی بحاله فلا یکون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Style w:val="FootnoteAnchor"/>
          <w:rtl w:val="true"/>
        </w:rPr>
        <w:footnoteReference w:id="1276"/>
      </w:r>
      <w:r>
        <w:rPr>
          <w:rFonts w:ascii="IRNazanin" w:hAnsi="IRNazanin" w:eastAsia="IRNazanin"/>
          <w:color w:val="111111"/>
          <w:sz w:val="28"/>
          <w:sz w:val="28"/>
          <w:szCs w:val="28"/>
          <w:rtl w:val="true"/>
          <w:lang w:bidi="fa-IR"/>
        </w:rPr>
        <w:t>علی تقدیر عدم الإضافة إلی المرتهن إمکان الوثیقة بدون الرهن، بل بالودیعة والعاریة ومطلق وضع الید، فیؤخذ مقاصّة عند جحود المدیون الدین، وهو توثّق فی الجملة</w:t>
      </w:r>
      <w:r>
        <w:rPr>
          <w:rFonts w:eastAsia="IRNazanin" w:cs="IRNazanin"/>
          <w:color w:val="111111"/>
          <w:sz w:val="28"/>
          <w:szCs w:val="28"/>
          <w:rtl w:val="true"/>
          <w:lang w:bidi="fa-IR"/>
        </w:rPr>
        <w:t>.</w:t>
      </w:r>
    </w:p>
    <w:p>
      <w:pPr>
        <w:pStyle w:val="Heading3"/>
        <w:numPr>
          <w:ilvl w:val="2"/>
          <w:numId w:val="1"/>
        </w:numPr>
        <w:rPr/>
      </w:pPr>
      <w:bookmarkStart w:id="483" w:name="__RefHeading___Toc2093104_2314609296"/>
      <w:bookmarkStart w:id="484" w:name="_Toc175"/>
      <w:bookmarkEnd w:id="483"/>
      <w:r>
        <w:rPr>
          <w:rtl w:val="true"/>
        </w:rPr>
        <w:t>[</w:t>
      </w:r>
      <w:r>
        <w:rPr>
          <w:rtl w:val="true"/>
        </w:rPr>
        <w:t>صیغته</w:t>
      </w:r>
      <w:r>
        <w:rPr>
          <w:rtl w:val="true"/>
        </w:rPr>
        <w:t>]</w:t>
      </w:r>
      <w:bookmarkEnd w:id="484"/>
    </w:p>
    <w:p>
      <w:pPr>
        <w:pStyle w:val="BookText"/>
        <w:rPr/>
      </w:pPr>
      <w:r>
        <w:rPr>
          <w:rFonts w:ascii="IRNazanin" w:hAnsi="IRNazanin" w:eastAsia="IRNazanin"/>
          <w:color w:val="111111"/>
          <w:sz w:val="28"/>
          <w:sz w:val="28"/>
          <w:szCs w:val="28"/>
          <w:rtl w:val="true"/>
          <w:lang w:bidi="fa-IR"/>
        </w:rPr>
        <w:t>ویفتقر الرهن إلی إیجاب وقبول کغیره من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والإیجاب رهنتک، أو وثّقتک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بالتضعیف، أو أرهنتک بالهمزة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 رهن عندک، أو علی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وثیقة عندک، أو خذه علی مالک أو بمالک، أو أمسکه حتی اُعطیک مالک، بقصد 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أدّی المعنی </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لم ینحصر هذا العقد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کالعقود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فی الماضی؛ لأنّه جائز من طرف المرتهن الذی هو المقصود الذاتی منه، فغُلِّب فیه جانبُ الجائز مطلقاً </w:t>
      </w:r>
      <w:r>
        <w:rPr>
          <w:rStyle w:val="FootnoteAnchor"/>
          <w:rtl w:val="true"/>
        </w:rPr>
        <w:footnoteReference w:id="1278"/>
      </w:r>
      <w:r>
        <w:rPr>
          <w:rFonts w:ascii="IRNazanin" w:hAnsi="IRNazanin" w:eastAsia="IRNazanin"/>
          <w:color w:val="111111"/>
          <w:sz w:val="28"/>
          <w:sz w:val="28"/>
          <w:szCs w:val="28"/>
          <w:rtl w:val="true"/>
          <w:lang w:bidi="fa-IR"/>
        </w:rPr>
        <w:t xml:space="preserve">وجوّزه المصنّف فی الدروس بغیر العربیّة </w:t>
      </w:r>
      <w:r>
        <w:rPr>
          <w:rStyle w:val="FootnoteAnchor"/>
          <w:rtl w:val="true"/>
        </w:rPr>
        <w:footnoteReference w:id="1279"/>
      </w:r>
      <w:r>
        <w:rPr>
          <w:rFonts w:ascii="IRNazanin" w:hAnsi="IRNazanin" w:eastAsia="IRNazanin"/>
          <w:color w:val="111111"/>
          <w:sz w:val="28"/>
          <w:sz w:val="28"/>
          <w:szCs w:val="28"/>
          <w:rtl w:val="true"/>
          <w:lang w:bidi="fa-IR"/>
        </w:rPr>
        <w:t xml:space="preserve">وفاقاً للتذکرة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وتکفی الإشارة فی الأخرس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عارضاً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الکتابة معها</w:t>
      </w:r>
      <w:r>
        <w:rPr>
          <w:rFonts w:eastAsia="IRNazanin" w:cs="IRNazanin"/>
          <w:color w:val="111111"/>
          <w:sz w:val="28"/>
          <w:szCs w:val="28"/>
          <w:rtl w:val="true"/>
          <w:lang w:bidi="fa-IR"/>
        </w:rPr>
        <w:t>»</w:t>
      </w:r>
      <w:bookmarkStart w:id="485" w:name="pg19812_249554"/>
    </w:p>
    <w:p>
      <w:pPr>
        <w:pStyle w:val="BookText"/>
        <w:rPr/>
      </w:pPr>
      <w:bookmarkEnd w:id="485"/>
      <w:r>
        <w:rPr>
          <w:rFonts w:ascii="IRNazanin" w:hAnsi="IRNazanin" w:eastAsia="IRNazanin"/>
          <w:color w:val="111111"/>
          <w:sz w:val="28"/>
          <w:sz w:val="28"/>
          <w:szCs w:val="28"/>
          <w:rtl w:val="true"/>
          <w:lang w:bidi="fa-IR"/>
        </w:rPr>
        <w:t>أی مع الإشارة بما یدلّ علی قصده، لا بمجرّد الکتابة؛ لإمکان العبث أو إرادة أمر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الدالّة علی الرضا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اعتبار المضیّ والمطابقة بین الإیجاب والقبول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بالجواز هنا؛ لوقوعه ممّن هو لیس بلازم من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دوام الرهن بمعنی عدم توقیته بمدّة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تعلیق الإذن فی التصرّف علی انقضاء أجل وإطلاقه، فیتسلّط علیه من حین القبول والقبض إن اعتبرناه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ضبطه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یحتمل الزیادة والنقصان، أمّا لو شرطه للرهن بطل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اشتراط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حفظ الرهن وبیعه وصرفه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للمرتهن وغیره والوصیّة له ولوارثه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موت الراهن قبله</w:t>
      </w:r>
      <w:r>
        <w:rPr>
          <w:rFonts w:eastAsia="IRNazanin" w:cs="IRNazanin"/>
          <w:color w:val="111111"/>
          <w:sz w:val="28"/>
          <w:szCs w:val="28"/>
          <w:rtl w:val="true"/>
          <w:lang w:bidi="fa-IR"/>
        </w:rPr>
        <w:t>.</w:t>
      </w:r>
    </w:p>
    <w:p>
      <w:pPr>
        <w:pStyle w:val="Heading3"/>
        <w:numPr>
          <w:ilvl w:val="2"/>
          <w:numId w:val="1"/>
        </w:numPr>
        <w:rPr/>
      </w:pPr>
      <w:bookmarkStart w:id="486" w:name="__RefHeading___Toc2093106_2314609296"/>
      <w:bookmarkStart w:id="487" w:name="_Toc176"/>
      <w:bookmarkEnd w:id="486"/>
      <w:r>
        <w:rPr>
          <w:rtl w:val="true"/>
        </w:rPr>
        <w:t>[</w:t>
      </w:r>
      <w:r>
        <w:rPr>
          <w:rtl w:val="true"/>
        </w:rPr>
        <w:t>الکلام فی اشتراط القبض فیه</w:t>
      </w:r>
      <w:r>
        <w:rPr>
          <w:rtl w:val="true"/>
        </w:rPr>
        <w:t>]</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بالقبض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للآیة </w:t>
      </w:r>
      <w:r>
        <w:rPr>
          <w:rStyle w:val="FootnoteAnchor"/>
          <w:rtl w:val="true"/>
        </w:rPr>
        <w:footnoteReference w:id="1281"/>
      </w:r>
      <w:r>
        <w:rPr>
          <w:rFonts w:ascii="IRNazanin" w:hAnsi="IRNazanin" w:eastAsia="IRNazanin"/>
          <w:color w:val="111111"/>
          <w:sz w:val="28"/>
          <w:sz w:val="28"/>
          <w:szCs w:val="28"/>
          <w:rtl w:val="true"/>
          <w:lang w:bidi="fa-IR"/>
        </w:rPr>
        <w:t xml:space="preserve">والروایة </w:t>
      </w:r>
      <w:r>
        <w:rPr>
          <w:rStyle w:val="FootnoteAnchor"/>
          <w:rtl w:val="true"/>
        </w:rPr>
        <w:footnoteReference w:id="1282"/>
      </w:r>
      <w:r>
        <w:rPr>
          <w:rFonts w:ascii="IRNazanin" w:hAnsi="IRNazanin" w:eastAsia="IRNazanin"/>
          <w:color w:val="111111"/>
          <w:sz w:val="28"/>
          <w:sz w:val="28"/>
          <w:szCs w:val="28"/>
          <w:rtl w:val="true"/>
          <w:lang w:bidi="fa-IR"/>
        </w:rPr>
        <w:t>ومعنی عدم تمامیّته بدونه کونه جزء السبب، للزومه من قبل الراهن، کالقبض فی الهبة بالنسبة إلی المتّهب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بدونه </w:t>
      </w:r>
      <w:r>
        <w:rPr>
          <w:rStyle w:val="FootnoteAnchor"/>
          <w:rtl w:val="true"/>
        </w:rPr>
        <w:footnoteReference w:id="1283"/>
      </w:r>
      <w:r>
        <w:rPr>
          <w:rFonts w:ascii="IRNazanin" w:hAnsi="IRNazanin" w:eastAsia="IRNazanin"/>
          <w:color w:val="111111"/>
          <w:sz w:val="28"/>
          <w:sz w:val="28"/>
          <w:szCs w:val="28"/>
          <w:rtl w:val="true"/>
          <w:lang w:bidi="fa-IR"/>
        </w:rPr>
        <w:t>للأصل، وضعف سند الحدیث ومفهوم الوصف فی الآیة واشتراطه بالسفر فیها وعدم الکاتب یرشد إلی کونه للإرشاد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کون استدامته</w:t>
      </w:r>
    </w:p>
    <w:p>
      <w:pPr>
        <w:pStyle w:val="BookText"/>
        <w:rPr/>
      </w:pPr>
      <w:r>
        <w:rPr>
          <w:rFonts w:ascii="IRNazanin" w:hAnsi="IRNazanin" w:eastAsia="IRNazanin"/>
          <w:color w:val="111111"/>
          <w:sz w:val="28"/>
          <w:sz w:val="28"/>
          <w:szCs w:val="28"/>
          <w:rtl w:val="true"/>
          <w:lang w:bidi="fa-IR"/>
        </w:rPr>
        <w:t xml:space="preserve">لیست بشرط، بل قبض المرتهن </w:t>
      </w:r>
      <w:r>
        <w:rPr>
          <w:rStyle w:val="FootnoteAnchor"/>
          <w:rtl w:val="true"/>
        </w:rPr>
        <w:footnoteReference w:id="1284"/>
      </w:r>
      <w:r>
        <w:rPr>
          <w:rFonts w:ascii="IRNazanin" w:hAnsi="IRNazanin" w:eastAsia="IRNazanin"/>
          <w:color w:val="111111"/>
          <w:sz w:val="28"/>
          <w:sz w:val="28"/>
          <w:szCs w:val="28"/>
          <w:rtl w:val="true"/>
          <w:lang w:bidi="fa-IR"/>
        </w:rPr>
        <w:t>لجواز توکیله الراهن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اشتراطه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مات، أو اُغمی علیه، أو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إقباضه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کما هو شأن العقود الجائزة عند عروض هذه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یبطل؛ للزومه من قِبَل الراهن فکان کاللازم مطلقاً، فیقوم ولیّه مقامه، لکن یراعی ولیّ المجنون مصلحته، فإن کان الحظّ فی إلزامه بأن یکون شرطاً فی بیع یتضرّر بفسخه أقبضه وإلّا أبطله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بأنّ لزومه علی القول به مشروط بالقبض، فقبله جائز مطلقاً، فیبطل کالهبة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عرض ذلک للمرتهن فأولی بعدم البطلان لو قیل به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به فی طرف الراهن فالأقوی عدمه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تعلّق حقّ الورثة والغرماء بعد موت الراهن بماله، بخلاف موت المرتهن، فإن الدین یبقی فتبقی وثیقته؛ لعدم المنافی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لا یُجبر الراهن علی الإقباض؛ لعدم لزومه بعد، إلّاأن یکون مشروطاً فی عقد لازم، فیبنی علی القولین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دوام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بعد تحقّق الامتثال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أعاده إلی الراهن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وفاق</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ویقبل إقرار الراهن بالإقباض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إلّاأن یعلم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رهنته الیوم داری التی بالحجاز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وأقبضته إیّاها، فلا یقبل؛ لأنّه محال عادة، بناءً علی اعتبار وصول القابض أو من یقوم</w:t>
      </w:r>
    </w:p>
    <w:p>
      <w:pPr>
        <w:pStyle w:val="BookText"/>
        <w:rPr/>
      </w:pPr>
      <w:r>
        <w:rPr>
          <w:rFonts w:ascii="IRNazanin" w:hAnsi="IRNazanin" w:eastAsia="IRNazanin"/>
          <w:color w:val="111111"/>
          <w:sz w:val="28"/>
          <w:sz w:val="28"/>
          <w:szCs w:val="28"/>
          <w:rtl w:val="true"/>
          <w:lang w:bidi="fa-IR"/>
        </w:rPr>
        <w:t xml:space="preserve">مقامه إلی الرهن فی تحقّقه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الإقرار بالقبض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الإقرار والإشهاد علیه إقامة لرسم الوثیقة حذراً من تعذّر ذلک إذا تأخّر إلی أن یتحقّق القبض سُمعت دعواه، لجریان العادة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إحلاف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عدمها وأ نّه وقع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شهد الشاهدان علی إقراره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لو شهدا علی نفس الإقباض لم تُسمع دعواه ولم یتوجّه الیمین؛ وکذا لو شهدا علی إقراره به فأنکر الإقرار؛ لأنّه تکذیب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الغلط فی إقراره وأظهر تأویلاً ممکناً فله إحلاف المرتهن أیضاً، وإلّا فلا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المرتهن فهو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کونه رهناً مقبوضاً، ولا دلیل علی اعتباره مبتدأً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العبارة یقتضی عدم الفرق بین المقبوض بإذن وغیره کالمغصوب، وبه صرّح فی الدروس </w:t>
      </w:r>
      <w:r>
        <w:rPr>
          <w:rStyle w:val="FootnoteAnchor"/>
          <w:rtl w:val="true"/>
        </w:rPr>
        <w:footnoteReference w:id="1286"/>
      </w:r>
      <w:r>
        <w:rPr>
          <w:rFonts w:ascii="IRNazanin" w:hAnsi="IRNazanin" w:eastAsia="IRNazanin"/>
          <w:color w:val="111111"/>
          <w:sz w:val="28"/>
          <w:sz w:val="28"/>
          <w:szCs w:val="28"/>
          <w:rtl w:val="true"/>
          <w:lang w:bidi="fa-IR"/>
        </w:rPr>
        <w:t>والوجه واحد، وإن کان منهیّاً عن القبض هنا؛ لأنّه فی غیر العبادة غیر مفسد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یکفی ذلک </w:t>
      </w:r>
      <w:r>
        <w:rPr>
          <w:rStyle w:val="FootnoteAnchor"/>
          <w:rtl w:val="true"/>
        </w:rPr>
        <w:footnoteReference w:id="1287"/>
      </w:r>
      <w:r>
        <w:rPr>
          <w:rFonts w:ascii="IRNazanin" w:hAnsi="IRNazanin" w:eastAsia="IRNazanin"/>
          <w:color w:val="111111"/>
          <w:sz w:val="28"/>
          <w:sz w:val="28"/>
          <w:szCs w:val="28"/>
          <w:rtl w:val="true"/>
          <w:lang w:bidi="fa-IR"/>
        </w:rPr>
        <w:t>لأنّه علی تقدیر اعتباره فی اللزوم رکن فلا یعتدّ بالمنهیّ عنه منه، وإنّما لا یقتضی الفساد حیث تکمّل الأرکان، ولهذا لا یعتدّ به لو ابتدأه بغیر إذن الراهن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الاکتفاء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یفتقر إلی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القبض، ولا إلی مضیّ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فیه تجدیده؛ لتحقّق القبض قبله، فاعتبار أمر آخر تحصیل للحاصل، وللأصل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یشترطان </w:t>
      </w:r>
      <w:r>
        <w:rPr>
          <w:rStyle w:val="FootnoteAnchor"/>
          <w:rtl w:val="true"/>
        </w:rPr>
        <w:footnoteReference w:id="1288"/>
      </w:r>
      <w:r>
        <w:rPr>
          <w:rFonts w:ascii="IRNazanin" w:hAnsi="IRNazanin" w:eastAsia="IRNazanin"/>
          <w:color w:val="111111"/>
          <w:sz w:val="28"/>
          <w:sz w:val="28"/>
          <w:szCs w:val="28"/>
          <w:rtl w:val="true"/>
          <w:lang w:bidi="fa-IR"/>
        </w:rPr>
        <w:t>فی مطلق القبض السابق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الصحیح </w:t>
      </w:r>
      <w:r>
        <w:rPr>
          <w:rStyle w:val="FootnoteAnchor"/>
          <w:rtl w:val="true"/>
        </w:rPr>
        <w:footnoteReference w:id="1289"/>
      </w:r>
      <w:r>
        <w:rPr>
          <w:rFonts w:ascii="IRNazanin" w:hAnsi="IRNazanin" w:eastAsia="IRNazanin"/>
          <w:color w:val="111111"/>
          <w:sz w:val="28"/>
          <w:sz w:val="28"/>
          <w:szCs w:val="28"/>
          <w:rtl w:val="true"/>
          <w:lang w:bidi="fa-IR"/>
        </w:rPr>
        <w:t>لأنّ المعتبر منه ما وقع بعد الرهن وهو لا یتمّ إلّابإذن کالمبتدأ، والإذن فیه یستدعی تحصیله، ومن ضروراته مضیّ زمان، فهو دالّ علیه بالمطابقة وعلی الزمان بالالتزام، لکن مدلوله المطابقی منتف، لإفضائه إلی تحصیل الحاصل واجتماع الأمثال، فیبقی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بمنع اعتبار المقیّد بالبعدیّة، بل الأعمّ، وهو حاصل، والزمان المدلول علیه التزاماً من توابعه ومقدّماته، فیلزم من عدم اعتباره انتفاؤه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قبضه بغیر إذن توجّه اعتبارهما؛ لما تقدّم </w:t>
      </w:r>
      <w:r>
        <w:rPr>
          <w:rStyle w:val="FootnoteAnchor"/>
          <w:rtl w:val="true"/>
        </w:rPr>
        <w:footnoteReference w:id="1290"/>
      </w:r>
      <w:r>
        <w:rPr>
          <w:rFonts w:ascii="IRNazanin" w:hAnsi="IRNazanin" w:eastAsia="IRNazanin"/>
          <w:color w:val="111111"/>
          <w:sz w:val="28"/>
          <w:sz w:val="28"/>
          <w:szCs w:val="28"/>
          <w:rtl w:val="true"/>
          <w:lang w:bidi="fa-IR"/>
        </w:rPr>
        <w:t xml:space="preserve">وعلی تقدیره </w:t>
      </w:r>
      <w:r>
        <w:rPr>
          <w:rStyle w:val="FootnoteAnchor"/>
          <w:rtl w:val="true"/>
        </w:rPr>
        <w:footnoteReference w:id="1291"/>
      </w:r>
      <w:r>
        <w:rPr>
          <w:rFonts w:ascii="IRNazanin" w:hAnsi="IRNazanin" w:eastAsia="IRNazanin"/>
          <w:color w:val="111111"/>
          <w:sz w:val="28"/>
          <w:sz w:val="28"/>
          <w:szCs w:val="28"/>
          <w:rtl w:val="true"/>
          <w:lang w:bidi="fa-IR"/>
        </w:rPr>
        <w:t>فالضمان باقٍ إلی أن یتحقّق ما یزیله من قبل المالک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 فلابدّ من إذن الشریک فی القبض، أو رضاه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ممّا ینقل أم لا؛ لاستلزامه التصرّف فی مال الشریک، وهو منهیّ عنه بدون إذنه، فلا یعتدّ به شرعاً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فیما یکفی فیه مجرّد التخلیة، فإنّها لا تستدعی تصرّفاً، بل رفع ید الراهن عنه وتمیکنه منه</w:t>
      </w:r>
      <w:r>
        <w:rPr>
          <w:rFonts w:eastAsia="IRNazanin" w:cs="IRNazanin"/>
          <w:color w:val="111111"/>
          <w:sz w:val="28"/>
          <w:szCs w:val="28"/>
          <w:rtl w:val="true"/>
          <w:lang w:bidi="fa-IR"/>
        </w:rPr>
        <w:t>.</w:t>
      </w:r>
      <w:bookmarkStart w:id="488" w:name="pg19812_249558"/>
    </w:p>
    <w:p>
      <w:pPr>
        <w:pStyle w:val="BookText"/>
        <w:rPr/>
      </w:pPr>
      <w:bookmarkEnd w:id="488"/>
      <w:r>
        <w:rPr>
          <w:rFonts w:ascii="IRNazanin" w:hAnsi="IRNazanin" w:eastAsia="IRNazanin"/>
          <w:color w:val="111111"/>
          <w:sz w:val="28"/>
          <w:sz w:val="28"/>
          <w:szCs w:val="28"/>
          <w:rtl w:val="true"/>
          <w:lang w:bidi="fa-IR"/>
        </w:rPr>
        <w:t xml:space="preserve">وعلی تقدیر اعتباره، فلو قبضه بدون إذن الشریک وفعل محرّماً فهل یتمّ القبض؟ قولان </w:t>
      </w:r>
      <w:r>
        <w:rPr>
          <w:rStyle w:val="FootnoteAnchor"/>
          <w:rtl w:val="true"/>
        </w:rPr>
        <w:footnoteReference w:id="1292"/>
      </w:r>
      <w:r>
        <w:rPr>
          <w:rFonts w:ascii="IRNazanin" w:hAnsi="IRNazanin" w:eastAsia="IRNazanin"/>
          <w:color w:val="111111"/>
          <w:sz w:val="28"/>
          <w:sz w:val="28"/>
          <w:szCs w:val="28"/>
          <w:rtl w:val="true"/>
          <w:lang w:bidi="fa-IR"/>
        </w:rPr>
        <w:t>، منشؤهما النهی المانع، کما لو وقع بدون إذن الراهن، وهو اختیار المصنّف وأنّ النهی إنّما هو لحقّ الشریک فقط، للإذن من قبل الراهن الذی هو المعتبر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اتّفقا علی قبض الشریک، جاز فیعتبر سماعه الإذن فیه</w:t>
      </w:r>
      <w:r>
        <w:rPr>
          <w:rFonts w:eastAsia="IRNazanin" w:cs="IRNazanin"/>
          <w:color w:val="111111"/>
          <w:sz w:val="28"/>
          <w:szCs w:val="28"/>
          <w:rtl w:val="true"/>
          <w:lang w:bidi="fa-IR"/>
        </w:rPr>
        <w:t>.</w:t>
      </w:r>
    </w:p>
    <w:p>
      <w:pPr>
        <w:pStyle w:val="Heading3"/>
        <w:numPr>
          <w:ilvl w:val="2"/>
          <w:numId w:val="1"/>
        </w:numPr>
        <w:rPr/>
      </w:pPr>
      <w:bookmarkStart w:id="489" w:name="__RefHeading___Toc2093108_2314609296"/>
      <w:bookmarkStart w:id="490" w:name="_Toc177"/>
      <w:bookmarkEnd w:id="489"/>
      <w:r>
        <w:rPr>
          <w:rtl w:val="true"/>
        </w:rPr>
        <w:t>[</w:t>
      </w:r>
      <w:r>
        <w:rPr>
          <w:rtl w:val="true"/>
        </w:rPr>
        <w:t xml:space="preserve">الشروط </w:t>
      </w:r>
      <w:r>
        <w:rPr>
          <w:rtl w:val="true"/>
        </w:rPr>
        <w:t>]</w:t>
      </w:r>
      <w:bookmarkEnd w:id="490"/>
    </w:p>
    <w:p>
      <w:pPr>
        <w:pStyle w:val="Heading4"/>
        <w:numPr>
          <w:ilvl w:val="3"/>
          <w:numId w:val="1"/>
        </w:numPr>
        <w:rPr/>
      </w:pPr>
      <w:bookmarkStart w:id="491" w:name="__RefHeading___Toc2093110_2314609296"/>
      <w:bookmarkStart w:id="492" w:name="_Toc178"/>
      <w:bookmarkEnd w:id="491"/>
      <w:r>
        <w:rPr>
          <w:rtl w:val="true"/>
        </w:rPr>
        <w:t>اشارة</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إمّا فی الشروط، أو اللواحق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2093112_2314609296"/>
      <w:bookmarkStart w:id="494" w:name="_Toc179"/>
      <w:bookmarkEnd w:id="493"/>
      <w:r>
        <w:rPr>
          <w:rtl w:val="true"/>
        </w:rPr>
        <w:t>[«</w:t>
      </w:r>
      <w:r>
        <w:rPr>
          <w:rtl w:val="true"/>
        </w:rPr>
        <w:t>شرط الرهن</w:t>
      </w:r>
      <w:r>
        <w:rPr>
          <w:rtl w:val="true"/>
        </w:rPr>
        <w:t>» :]</w:t>
      </w:r>
      <w:bookmarkEnd w:id="49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عیناً مملوکة یمکن قبضها ویصحّ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الشرائط منها ما هو شرط الصحّة وهو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هو شرط فی اللزوم کالمملوکیّة، باعتبار رهن ملک الغیر، ولا یضرّ ذلک؛ لأنّها شروط فی الجملة، ولأنّ المملوکیّة تشتمل علی شرط الصحّة فی بعض محترزاتها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رهن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کسکنی الدار وخدمة العبد، لعدم إمکان قبضها؛ إذ لا یمکن إلّابإتلافها، ولتعذّر تحصیل المطلوب فی الرهن منها وهو استیفاء الدین منه، وهی إنّما تستوفی شیئاً فشیئاً، وکلمّا حصل منها شیء عدم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قیل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وفیه نظر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اختاره من اشتراط القبض؛ لأنّ الدین أمر کلّی لا وجود له فی الخارج یمکن قبضه، وما یقبض بعد ذلک لیس نفسه وإن وجد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جوازه علی هذا القول، ویکتفی بقبض ما یعیّنه المدیون، لصدق قبض الدین علیه عرفاً، کهبة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بعدم اشتراط القبض لا مانع من صحّة رهنه، وقد صرّح العلّامة فی التذکرة ببناء الحکم علی القول باشتراط القبض وعدمه،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رهن الدین إن شرطنا فی الرهن القبض؛ لأنّه لا یمکن قبضه </w:t>
      </w:r>
      <w:r>
        <w:rPr>
          <w:rStyle w:val="FootnoteAnchor"/>
          <w:rtl w:val="true"/>
        </w:rPr>
        <w:footnoteReference w:id="1296"/>
      </w:r>
      <w:r>
        <w:rPr>
          <w:rFonts w:ascii="IRNazanin" w:hAnsi="IRNazanin" w:eastAsia="IRNazanin"/>
          <w:color w:val="111111"/>
          <w:sz w:val="28"/>
          <w:sz w:val="28"/>
          <w:szCs w:val="28"/>
          <w:rtl w:val="true"/>
          <w:lang w:bidi="fa-IR"/>
        </w:rPr>
        <w:t xml:space="preserve">لکنّه فی القواعد جمع بین الحکم بعدم اشتراط القبض، وعدم جواز رهن الدین </w:t>
      </w:r>
      <w:r>
        <w:rPr>
          <w:rStyle w:val="FootnoteAnchor"/>
          <w:rtl w:val="true"/>
        </w:rPr>
        <w:footnoteReference w:id="1297"/>
      </w:r>
      <w:r>
        <w:rPr>
          <w:rFonts w:ascii="IRNazanin" w:hAnsi="IRNazanin" w:eastAsia="IRNazanin"/>
          <w:color w:val="111111"/>
          <w:sz w:val="28"/>
          <w:sz w:val="28"/>
          <w:szCs w:val="28"/>
          <w:rtl w:val="true"/>
          <w:lang w:bidi="fa-IR"/>
        </w:rPr>
        <w:t xml:space="preserve">فتعجّب منه المصنّف فی الدروس </w:t>
      </w:r>
      <w:r>
        <w:rPr>
          <w:rStyle w:val="FootnoteAnchor"/>
          <w:rtl w:val="true"/>
        </w:rPr>
        <w:footnoteReference w:id="1298"/>
      </w:r>
      <w:r>
        <w:rPr>
          <w:rFonts w:ascii="IRNazanin" w:hAnsi="IRNazanin" w:eastAsia="IRNazanin"/>
          <w:color w:val="111111"/>
          <w:sz w:val="28"/>
          <w:sz w:val="28"/>
          <w:szCs w:val="28"/>
          <w:rtl w:val="true"/>
          <w:lang w:bidi="fa-IR"/>
        </w:rPr>
        <w:t>وتعجبّه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والاعتذار له عن ذلک بعدم المنافاة بین عدم اشتراطه واعتبار کونه ممّا یقبض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تصریحه بالبناء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ورهن المدبّر إبطال لتدبیره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الصیغ الجائزة، فإذا تعقّبه ما ینافیه أبطله؛ لکونه رجوعاً؛ إذ لا یتمّ المقصود من عقد الرهن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إلّا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به؛ لأنّ الرهن لا یقتضی نقله عن ملک الراهن، ویجوز فکّه، فلا یتحقّق التنافی بمجرّده، بل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فیکون التدبیر مراعی بفکّه فیستقرّ، أو یأخذه فی الدین فیبطل </w:t>
      </w:r>
      <w:r>
        <w:rPr>
          <w:rStyle w:val="FootnoteAnchor"/>
          <w:rtl w:val="true"/>
        </w:rPr>
        <w:footnoteReference w:id="1300"/>
      </w:r>
      <w:r>
        <w:rPr>
          <w:rFonts w:ascii="IRNazanin" w:hAnsi="IRNazanin" w:eastAsia="IRNazanin"/>
          <w:color w:val="111111"/>
          <w:sz w:val="28"/>
          <w:sz w:val="28"/>
          <w:szCs w:val="28"/>
          <w:rtl w:val="true"/>
          <w:lang w:bidi="fa-IR"/>
        </w:rPr>
        <w:t xml:space="preserve">واستحسنه فی الدروس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رهن الخمر والخنزیر إذا کان الراهن مسلماً، أو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وضعهما علی ید ذمّی؛ لأنّ ید الودعی کید 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للشیخ حیث أجازه کذلک، محتجّاً بأنّ حقّ الوفاء إلی الذمّی فیصحّ، کما لو باعهما وأوفاه ثمنهما </w:t>
      </w:r>
      <w:r>
        <w:rPr>
          <w:rStyle w:val="FootnoteAnchor"/>
          <w:rtl w:val="true"/>
        </w:rPr>
        <w:footnoteReference w:id="1302"/>
      </w:r>
      <w:r>
        <w:rPr>
          <w:rFonts w:ascii="IRNazanin" w:hAnsi="IRNazanin" w:eastAsia="IRNazanin"/>
          <w:color w:val="111111"/>
          <w:sz w:val="28"/>
          <w:sz w:val="28"/>
          <w:szCs w:val="28"/>
          <w:rtl w:val="true"/>
          <w:lang w:bidi="fa-IR"/>
        </w:rPr>
        <w:t>والفرق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رهن الحرّ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وکافر، عند مسلم وکافر؛ إذ لا شبهة فی عدم ملکه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رهن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الراهنُ وهو مملوک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مالکه فإن أجازه صحّ علی أشهر الأقوال من کون عقد الفضولی موقوفاً مطلقاً </w:t>
      </w:r>
      <w:r>
        <w:rPr>
          <w:rStyle w:val="FootnoteAnchor"/>
          <w:rtl w:val="true"/>
        </w:rPr>
        <w:footnoteReference w:id="1303"/>
      </w:r>
      <w:r>
        <w:rPr>
          <w:rFonts w:ascii="Amiri" w:hAnsi="Amiri" w:eastAsia="Amiri" w:cs="Amiri"/>
          <w:color w:val="111111"/>
          <w:sz w:val="28"/>
          <w:sz w:val="28"/>
          <w:szCs w:val="28"/>
          <w:rtl w:val="true"/>
          <w:lang w:bidi="ar-SA"/>
        </w:rPr>
        <w:t>وإن ردّه بطل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استعار للرهن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سوّغ له المالک الرهن کیف شاء جاز مطلقاً، وإن أطلق ففی جوازه فیتخیّر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المنع للغرر، قولان اختار أوّلهما فی الدروس </w:t>
      </w:r>
      <w:r>
        <w:rPr>
          <w:rStyle w:val="FootnoteAnchor"/>
          <w:rtl w:val="true"/>
        </w:rPr>
        <w:footnoteReference w:id="1304"/>
      </w:r>
      <w:r>
        <w:rPr>
          <w:rFonts w:ascii="IRNazanin" w:hAnsi="IRNazanin" w:eastAsia="IRNazanin"/>
          <w:color w:val="111111"/>
          <w:sz w:val="28"/>
          <w:sz w:val="28"/>
          <w:szCs w:val="28"/>
          <w:rtl w:val="true"/>
          <w:lang w:bidi="fa-IR"/>
        </w:rPr>
        <w:t>وعلی الثانی فلابدّ من ذکر قدر الدین وجنسه ووصفه وحلوله أو تأجیله وقدر الأجل، فإن تخطّی حینئذٍ کان فضولیّاً، إلّاأن یرهن علی الأقلّ فیجوز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الرجوع فی العاریة ما لم تُرهَن، عملاً بالأصل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وتلزم بعقد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للمعیر الرجوع فیها بحیث یفسخ الرهن وإن جاز له مطالبة الراهن بالفکّ عند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فکّه وردّه تامّاً برئ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 الراهن لو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بغیر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بمثله إن کان مثلیّاً، وقیمته یوم التلف إن کان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التلف بعد الرهن، أمّا قبله فالأقوی أ نّه کغیره من الأعیان المعارة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بیعه فاللازم لمالکه ثمنه إن بیع بثمن المثل، ولو بیع بأزید فله المطالبة بما بیع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رهن الأرض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کالمفتوحة عنوةً، والتی صالح الإمام أهلها علی أن تکون ملکاً للمسلمین، وضرب علیهم الخراج، کما یصحّ 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للأبنیة 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منفردة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رهن 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إمکان قبضه، ولو لم یشترطه أمکن الجواز؛ لإمکان الاستیفاء منه ولو بالصلح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إلّاإذا اعتید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کالحمام الأهلی فیصحّ؛ لإمکان قبضه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السمک فی الماء إلّاإذا کان محصوراً مشاهداً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یتعذّر قبضه عادة ویمکن العلم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رهن المصحف عند الکافر أو العبد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لاقتضائه الاستیلاء علیهما والسبیل علی بعض الوجوه ببیع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یوضعا علی ید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السبیل بذلک وإن لم یشرط </w:t>
      </w:r>
      <w:r>
        <w:rPr>
          <w:rStyle w:val="FootnoteAnchor"/>
          <w:rtl w:val="true"/>
        </w:rPr>
        <w:footnoteReference w:id="1305"/>
      </w:r>
      <w:r>
        <w:rPr>
          <w:rFonts w:ascii="IRNazanin" w:hAnsi="IRNazanin" w:eastAsia="IRNazanin"/>
          <w:color w:val="111111"/>
          <w:sz w:val="28"/>
          <w:sz w:val="28"/>
          <w:szCs w:val="28"/>
          <w:rtl w:val="true"/>
          <w:lang w:bidi="fa-IR"/>
        </w:rPr>
        <w:t>بیعه للمسلم؛ لأنّه حینئذٍ لا یستحقّ الاستیفاء من قیمته إلّاببیع المالک أو من یأمره أو الحاکم مع تعذّره، ومثله لا یعدّ سبیلاً؛ لتحقّقه وإن لم یکن هناک 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رهن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استیفاء الحقّ منه بالبیع، وعلی تقدیر جواز بیعه بوجهٍ یجب أن یُشتری بثمنه ملکاً یکون وقفاً، فلا یتّجه الاستیفاء منه مطلقاً، نعم لو قیل بعدم وجوب إقامة بدله أمکن رهنه حیث یجوز 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الرهن 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الثمن فی الذمّة وإن لم یکن مستقرّاً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 لانتقال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صحّة البیع تقتضی ترتّب أثره؛ ولأنّ سبب الملک هو العقد، فلا یتخلّف عنه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قول الشیخ بعدم انتقاله إلی ملک المشتری إذا کان الخیار للبائع أولهما </w:t>
      </w:r>
      <w:r>
        <w:rPr>
          <w:rStyle w:val="FootnoteAnchor"/>
          <w:rtl w:val="true"/>
        </w:rPr>
        <w:footnoteReference w:id="1306"/>
      </w:r>
      <w:r>
        <w:rPr>
          <w:rFonts w:ascii="IRNazanin" w:hAnsi="IRNazanin" w:eastAsia="IRNazanin"/>
          <w:color w:val="111111"/>
          <w:sz w:val="28"/>
          <w:sz w:val="28"/>
          <w:szCs w:val="28"/>
          <w:rtl w:val="true"/>
          <w:lang w:bidi="fa-IR"/>
        </w:rPr>
        <w:t>لا یصحّ الرهن علی الثمن قبل انقضائه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رهن العبد المرتدّ ولو 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یخرج بها عن الملک وإن وجب قتله؛ لأنّه حینئذٍ کرهن المریض المأیوس من برئه، ولو کان امرأةً أو ملّیّاً فالأمر أوضح؛ لعدم قتلها مطلقاً، وقبول توبته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والجانی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وخطأً؛ لبقاء المالیّة وإن استحقّ العامد القتل، ولجواز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قُتل بطل الرهن، وإن فداه مولاه أو عفی الولیّ بقی رهناً ولو استُرقّ بعضه بطل الرهن فیه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کون رهن المولی له فی الخطأ التزاماً بالفداء وجهان کالبیع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المولی عن فکّه قدّمت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لسبقها، ولتعلّق حقّ المجنیّ علیه بالرقبة؛ ومن ثمّ لو مات الجانی لم یُلزم السیّد، بخلاف المرتهن، فإنّ حقّه لا ینحصر فیها بل تشرکها ذمّة الراهن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رهن ما یتسارع إلیه الفساد قبل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یمکن إصلاحه کتجفیف العنب والرُطب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فلیشترط بیعه ورهن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فیبیعه الراهن ویجعل ثمنه رهناً، فإن امتنع منه رفع المرتهن أمره إلی الحاکم لیبیعه، أو یأمر به، فإن تعذّر جاز له البیع، دفعاً للضرر والحرج</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ولم یشترط بیعه ولا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الحقّین مع کونه حالة الرهن صالحاً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w:t>
      </w:r>
      <w:r>
        <w:rPr>
          <w:rStyle w:val="FootnoteAnchor"/>
          <w:rtl w:val="true"/>
        </w:rPr>
        <w:footnoteReference w:id="1307"/>
      </w:r>
      <w:r>
        <w:rPr>
          <w:rFonts w:ascii="IRNazanin" w:hAnsi="IRNazanin" w:eastAsia="IRNazanin"/>
          <w:color w:val="111111"/>
          <w:sz w:val="28"/>
          <w:sz w:val="28"/>
          <w:szCs w:val="28"/>
          <w:rtl w:val="true"/>
          <w:lang w:bidi="fa-IR"/>
        </w:rPr>
        <w:t>لعدم اقتضاء الإطلاق البیع، وعدم صلاحیّته لکونه رهناً علی الدوام، فهو فی قوّة الهالک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لکونه عند العقد مالاً تامّاً وحکم الشارع ببیعه علی تقدیر امتناعه منه صیانةً للمال جائز، لفساده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لو کان لا یفسد إلّابعد حلوله بحیث یمکن بیعه قبله فإنّه لا یُمنع؛ وکذا لو کان الدین حالّاً؛ لإمکان حصول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 المرتهن السعی علی بیعه بأحد الوجوه، فإن ترک مع إمکانه ضمن، إلّاأن ینهاه المالک فینتفی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إصلاحه بدون البیع لم یجز بیعه بدون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ومؤونة إصلاحه علی الراهن، کنفقة الحیوان</w:t>
      </w:r>
      <w:r>
        <w:rPr>
          <w:rFonts w:eastAsia="IRNazanin" w:cs="IRNazanin"/>
          <w:color w:val="111111"/>
          <w:sz w:val="28"/>
          <w:szCs w:val="28"/>
          <w:rtl w:val="true"/>
          <w:lang w:bidi="fa-IR"/>
        </w:rPr>
        <w:t>.</w:t>
      </w:r>
      <w:bookmarkStart w:id="495" w:name="pg19812_249564"/>
    </w:p>
    <w:p>
      <w:pPr>
        <w:pStyle w:val="Heading4"/>
        <w:numPr>
          <w:ilvl w:val="3"/>
          <w:numId w:val="1"/>
        </w:numPr>
        <w:rPr/>
      </w:pPr>
      <w:bookmarkStart w:id="496" w:name="__RefHeading___Toc2093114_2314609296"/>
      <w:bookmarkStart w:id="497" w:name="_Toc180"/>
      <w:bookmarkEnd w:id="495"/>
      <w:bookmarkEnd w:id="496"/>
      <w:r>
        <w:rPr>
          <w:rtl w:val="true"/>
        </w:rPr>
        <w:t>[</w:t>
      </w:r>
      <w:r>
        <w:rPr>
          <w:rtl w:val="true"/>
        </w:rPr>
        <w:t xml:space="preserve">شروط المتعاقدین </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المتعاقدان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فیشترط فیهما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والعقل والرشد والاختیار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الحجر عنهما فی التصرّف المالی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ویصحّ رهن مال الطفل للمصلحة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افتقر إلی الاستدانة لنفقته وإصلاح عقاره ولم یکن بیع شیء من ماله أعود أو لم یمکن وتوقّفت علی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کونه علی ید ثقة یجوز إیداعه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الرهن له، کما إذا أسلف ماله مع ظهور الغبطة، أو خیف علی ماله من غرق، أو 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بالصحّة هنا الجواز بالمعنی الأعمّ، والمقصود منه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کون الرهن مساویاً للحقّ أو زائداً علیه، لیمکن استیفاؤه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بید الولیّ أو ید عدلٍ، لیتمّ التوثّق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والإشهاد علی الحقّ لمن یثبت به عند الحاجة إلیه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أخلّ ببعض هذه ضمن مع الإمکان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تعذّر الرهن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موضع الخوف علی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 من ثقةٍ عدلٍ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اتّفقت النسخ، والجمع بین العدل والثقة تأکید، أو حاول تفسیر الثقة بالعدل؛ لوروده کثیراً فی الأخبار </w:t>
      </w:r>
      <w:r>
        <w:rPr>
          <w:rStyle w:val="FootnoteAnchor"/>
          <w:rtl w:val="true"/>
        </w:rPr>
        <w:footnoteReference w:id="1309"/>
      </w:r>
      <w:r>
        <w:rPr>
          <w:rFonts w:ascii="IRNazanin" w:hAnsi="IRNazanin" w:eastAsia="IRNazanin"/>
          <w:color w:val="111111"/>
          <w:sz w:val="28"/>
          <w:sz w:val="28"/>
          <w:szCs w:val="28"/>
          <w:rtl w:val="true"/>
          <w:lang w:bidi="fa-IR"/>
        </w:rPr>
        <w:t xml:space="preserve">وکلام الأصحاب </w:t>
      </w:r>
      <w:r>
        <w:rPr>
          <w:rStyle w:val="FootnoteAnchor"/>
          <w:rtl w:val="true"/>
        </w:rPr>
        <w:footnoteReference w:id="1310"/>
      </w:r>
      <w:r>
        <w:rPr>
          <w:rFonts w:ascii="Amiri" w:hAnsi="Amiri" w:eastAsia="Amiri" w:cs="Amiri"/>
          <w:color w:val="111111"/>
          <w:sz w:val="28"/>
          <w:sz w:val="28"/>
          <w:szCs w:val="28"/>
          <w:rtl w:val="true"/>
          <w:lang w:bidi="ar-SA"/>
        </w:rPr>
        <w:t>محتملاً</w:t>
      </w:r>
      <w:bookmarkStart w:id="498" w:name="pg19812_249565"/>
    </w:p>
    <w:p>
      <w:pPr>
        <w:pStyle w:val="BookText"/>
        <w:rPr/>
      </w:pPr>
      <w:bookmarkEnd w:id="498"/>
      <w:r>
        <w:rPr>
          <w:rFonts w:ascii="IRNazanin" w:hAnsi="IRNazanin" w:eastAsia="IRNazanin"/>
          <w:color w:val="111111"/>
          <w:sz w:val="28"/>
          <w:sz w:val="28"/>
          <w:szCs w:val="28"/>
          <w:rtl w:val="true"/>
          <w:lang w:bidi="fa-IR"/>
        </w:rPr>
        <w:t>لما هو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 الغلبة للتنبیه علی أنّ العدالة لا تعتبر فی نفس الأمر ولا فی الدوام؛ لأنّ عروض الذنب لیس بقادح علی بعض الوجوه کما عرفته فی باب الشهادات والمعتبر وجودها غالباً</w:t>
      </w:r>
      <w:r>
        <w:rPr>
          <w:rFonts w:eastAsia="IRNazanin" w:cs="IRNazanin"/>
          <w:color w:val="111111"/>
          <w:sz w:val="28"/>
          <w:szCs w:val="28"/>
          <w:rtl w:val="true"/>
          <w:lang w:bidi="fa-IR"/>
        </w:rPr>
        <w:t>.</w:t>
      </w:r>
    </w:p>
    <w:p>
      <w:pPr>
        <w:pStyle w:val="Heading4"/>
        <w:numPr>
          <w:ilvl w:val="3"/>
          <w:numId w:val="1"/>
        </w:numPr>
        <w:rPr/>
      </w:pPr>
      <w:bookmarkStart w:id="499" w:name="__RefHeading___Toc2093116_2314609296"/>
      <w:bookmarkStart w:id="500" w:name="_Toc181"/>
      <w:bookmarkEnd w:id="499"/>
      <w:r>
        <w:rPr>
          <w:rtl w:val="true"/>
        </w:rPr>
        <w:t>[«</w:t>
      </w:r>
      <w:r>
        <w:rPr>
          <w:rtl w:val="true"/>
        </w:rPr>
        <w:t>وأمّا الحق</w:t>
      </w:r>
      <w:r>
        <w:rPr>
          <w:rtl w:val="true"/>
        </w:rPr>
        <w:t>» :]</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فیشترط ثبوته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استحقاقه فیها وإن لم یکن مستقرّاً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کالقرض وثمن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زمن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والدیة بعد استقرار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انتهاؤها إلی الحدّ الذی لا یتغیّر موجبها لا قبله؛ لأنّ ما حصل بها فی معرض الزوال بالانتقال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کانت حالّة أو لازمة للجانی کشبیه العمد جاز الرهن علیها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المحض لا یجوز الرهن علیها قبل الحلول؛ لأنّ المستحقّ علیه غیر معلوم؛ إذ المعتبر من وجد منهم عند حلولها مستجمعاً للشرائط، بخلاف الدین المؤجّل؛ لاستقرار الحقّ والمستحقّ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الحلول علی 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الثلث بعد حلول کلّ حول من الثلاثة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 الکتابة وإن کانت مشروطة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لازمة للمکاتب مطلقاً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الآخر أنّ المشروطة جائزة من قبل المکاتب فیجوز له تعجیز نفسه، ولا یصحّ الرهن علی مالها؛ لانتفاء فائدته؛ إذ له إسقاطه متی شاء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علی تقدیر تسلیمه غیر مانع منه، کالرهن علی الثمن فی مدّة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المشروطة جائزة من الطرفین، والمطلقة لازمة من طرف السیّد خاصّة </w:t>
      </w:r>
      <w:r>
        <w:rPr>
          <w:rStyle w:val="FootnoteAnchor"/>
          <w:rtl w:val="true"/>
        </w:rPr>
        <w:footnoteReference w:id="1312"/>
      </w:r>
      <w:r>
        <w:rPr>
          <w:rFonts w:ascii="IRNazanin" w:hAnsi="IRNazanin" w:eastAsia="IRNazanin"/>
          <w:color w:val="111111"/>
          <w:sz w:val="28"/>
          <w:sz w:val="28"/>
          <w:szCs w:val="28"/>
          <w:rtl w:val="true"/>
          <w:lang w:bidi="fa-IR"/>
        </w:rPr>
        <w:t>ویتوجّه عدم صحّة الرهن أیضاً کالسابق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 الجعالة بعد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لثبوته فی الذمّة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شرع فیه؛ لأنّه لا یستحقّ شیئاً منه إلّابتمامه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بعد الشروع؛ لأنّه یؤول إلی اللزوم کالثمن فی مدّة الخیار </w:t>
      </w:r>
      <w:r>
        <w:rPr>
          <w:rStyle w:val="FootnoteAnchor"/>
          <w:rtl w:val="true"/>
        </w:rPr>
        <w:footnoteReference w:id="1313"/>
      </w:r>
      <w:r>
        <w:rPr>
          <w:rFonts w:ascii="IRNazanin" w:hAnsi="IRNazanin" w:eastAsia="IRNazanin"/>
          <w:color w:val="111111"/>
          <w:sz w:val="28"/>
          <w:sz w:val="28"/>
          <w:szCs w:val="28"/>
          <w:rtl w:val="true"/>
          <w:lang w:bidi="fa-IR"/>
        </w:rPr>
        <w:t>وهو ضعیف، والفرق واضح؛ لأنّ البیع یکفی فی لزومه إبقاؤه علی حاله فتنقضی المدّة، والأصل عدم الفسخ، عکس الجعالة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إمکان استیفاء الحقّ من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لتحصل الفائدة المطلوبة من التوثّق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منفعة المؤجر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معیّنة؛ لأنّ تلک المنفعة الخاصّة لا یمکن استیفاؤها إلّامن العین المخصوصة، حتی لو تعذّر الاستیفاء منها بموت ونحوه بطلت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آجره فی الذمّة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استأجره </w:t>
      </w:r>
      <w:r>
        <w:rPr>
          <w:rStyle w:val="FootnoteAnchor"/>
          <w:rtl w:val="true"/>
        </w:rPr>
        <w:footnoteReference w:id="1314"/>
      </w:r>
      <w:r>
        <w:rPr>
          <w:rFonts w:ascii="IRNazanin" w:hAnsi="IRNazanin" w:eastAsia="IRNazanin"/>
          <w:color w:val="111111"/>
          <w:sz w:val="28"/>
          <w:sz w:val="28"/>
          <w:szCs w:val="28"/>
          <w:rtl w:val="true"/>
          <w:lang w:bidi="fa-IR"/>
        </w:rPr>
        <w:t>علی تحصیل خیاطة ثوب بنفسه أو بغیره، لإمکان استیفائها حینئذٍ من الرهن، فإنّ الواجب تحصیل المنفعة علی أیّ وجه اتّفق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 زیادة الدین علی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استوفی الرهن بقی الباقی منه متعلّقاً بذمّته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وزیادة الرهن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وفائدته سعة الوثیقة ومنع الراهن من التصرّف فی المجموع، فیکون باعثاً علی الوفاء، ولإمکان تلف بعضه، فیبقی الباقی حافظاً للدین</w:t>
      </w:r>
      <w:r>
        <w:rPr>
          <w:rFonts w:eastAsia="IRNazanin" w:cs="IRNazanin"/>
          <w:color w:val="111111"/>
          <w:sz w:val="28"/>
          <w:szCs w:val="28"/>
          <w:rtl w:val="true"/>
          <w:lang w:bidi="fa-IR"/>
        </w:rPr>
        <w:t>.</w:t>
      </w:r>
      <w:bookmarkStart w:id="501" w:name="pg19812_249567"/>
    </w:p>
    <w:p>
      <w:pPr>
        <w:pStyle w:val="Heading4"/>
        <w:numPr>
          <w:ilvl w:val="3"/>
          <w:numId w:val="1"/>
        </w:numPr>
        <w:rPr/>
      </w:pPr>
      <w:bookmarkStart w:id="502" w:name="__RefHeading___Toc2093118_2314609296"/>
      <w:bookmarkStart w:id="503" w:name="_Toc182"/>
      <w:bookmarkEnd w:id="501"/>
      <w:bookmarkEnd w:id="502"/>
      <w:r>
        <w:rPr>
          <w:rtl w:val="true"/>
        </w:rPr>
        <w:t>[«</w:t>
      </w:r>
      <w:r>
        <w:rPr>
          <w:rtl w:val="true"/>
        </w:rPr>
        <w:t>وأمّا اللواحق</w:t>
      </w:r>
      <w:r>
        <w:rPr>
          <w:rtl w:val="true"/>
        </w:rPr>
        <w:t>»]</w:t>
      </w:r>
      <w:bookmarkEnd w:id="503"/>
    </w:p>
    <w:p>
      <w:pPr>
        <w:pStyle w:val="Heading5"/>
        <w:numPr>
          <w:ilvl w:val="4"/>
          <w:numId w:val="1"/>
        </w:numPr>
        <w:rPr/>
      </w:pPr>
      <w:bookmarkStart w:id="504" w:name="__RefHeading___Toc2093120_2314609296"/>
      <w:bookmarkStart w:id="505" w:name="_Toc183"/>
      <w:bookmarkEnd w:id="504"/>
      <w:r>
        <w:rPr>
          <w:rtl w:val="true"/>
        </w:rPr>
        <w:t>[«</w:t>
      </w:r>
      <w:r>
        <w:rPr>
          <w:rtl w:val="true"/>
        </w:rPr>
        <w:t>فمسائل</w:t>
      </w:r>
      <w:r>
        <w:rPr>
          <w:rtl w:val="true"/>
        </w:rPr>
        <w:t>»]</w:t>
      </w:r>
      <w:bookmarkEnd w:id="505"/>
    </w:p>
    <w:p>
      <w:pPr>
        <w:pStyle w:val="Heading6"/>
        <w:numPr>
          <w:ilvl w:val="5"/>
          <w:numId w:val="1"/>
        </w:numPr>
        <w:rPr/>
      </w:pPr>
      <w:bookmarkStart w:id="506" w:name="__RefHeading___Toc2093122_2314609296"/>
      <w:bookmarkStart w:id="507" w:name="_Toc184"/>
      <w:bookmarkEnd w:id="506"/>
      <w:r>
        <w:rPr>
          <w:rtl w:val="true"/>
        </w:rPr>
        <w:t>[</w:t>
      </w:r>
      <w:r>
        <w:rPr>
          <w:rtl w:val="true"/>
        </w:rPr>
        <w:t>الاولی</w:t>
      </w:r>
      <w:r>
        <w:rPr>
          <w:rtl w:val="true"/>
        </w:rPr>
        <w:t xml:space="preserve">: </w:t>
      </w:r>
      <w:r>
        <w:rPr>
          <w:rtl w:val="true"/>
        </w:rPr>
        <w:t>شروط الوکالة فی الرهن</w:t>
      </w:r>
      <w:r>
        <w:rPr>
          <w:rtl w:val="true"/>
        </w:rPr>
        <w:t>]</w:t>
      </w:r>
      <w:bookmarkEnd w:id="507"/>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الوکالة فی الرهن لم یملک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ذکره جماعة </w:t>
      </w:r>
      <w:r>
        <w:rPr>
          <w:rStyle w:val="FootnoteAnchor"/>
          <w:rtl w:val="true"/>
        </w:rPr>
        <w:footnoteReference w:id="1315"/>
      </w:r>
      <w:r>
        <w:rPr>
          <w:rFonts w:ascii="Amiri" w:hAnsi="Amiri" w:eastAsia="Amiri" w:cs="Amiri"/>
          <w:color w:val="111111"/>
          <w:sz w:val="28"/>
          <w:sz w:val="28"/>
          <w:szCs w:val="28"/>
          <w:rtl w:val="true"/>
          <w:lang w:bidi="ar-SA"/>
        </w:rPr>
        <w:t xml:space="preserve">منهم العلّامة </w:t>
      </w:r>
      <w:r>
        <w:rPr>
          <w:rStyle w:val="FootnoteAnchor"/>
          <w:rtl w:val="true"/>
        </w:rPr>
        <w:footnoteReference w:id="1316"/>
      </w:r>
      <w:r>
        <w:rPr>
          <w:rFonts w:ascii="IRNazanin" w:hAnsi="IRNazanin" w:eastAsia="IRNazanin"/>
          <w:color w:val="111111"/>
          <w:sz w:val="28"/>
          <w:sz w:val="28"/>
          <w:szCs w:val="28"/>
          <w:rtl w:val="true"/>
          <w:lang w:bidi="fa-IR"/>
        </w:rPr>
        <w:t>لأنّ الرهن لازم من جهة الراهن وهو الذی شرطها علی نفسه، فیلزم من جهته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ویضعَّف بأنّ المشروط فی اللازم یؤثّر جواز الفسخ لو أخلّ بالشرط، لا وجوب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من أنّ المشروط فی العقد اللازم یقلبه جائزاً عند المصنّف وجماعة </w:t>
      </w:r>
      <w:r>
        <w:rPr>
          <w:rStyle w:val="FootnoteAnchor"/>
          <w:rtl w:val="true"/>
        </w:rPr>
        <w:footnoteReference w:id="1317"/>
      </w:r>
      <w:r>
        <w:rPr>
          <w:rFonts w:ascii="IRNazanin" w:hAnsi="IRNazanin" w:eastAsia="IRNazanin"/>
          <w:color w:val="111111"/>
          <w:sz w:val="28"/>
          <w:sz w:val="28"/>
          <w:szCs w:val="28"/>
          <w:rtl w:val="true"/>
          <w:lang w:bidi="fa-IR"/>
        </w:rPr>
        <w:t>فحینئذٍ إنّما یفید إخلال الراهن بالوکالة تسلّط المرتهن علی فسخ العقد، وذلک لا یتمّ فی عقد الرهن؛ لأنّه دفع ضرر بضرر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تظهر الفائدة فیما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الراهن </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قد شرطها فی عقدٍ لازمٍ کبیع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لو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فسخ المرتهن البیع المشروط بالرهن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بیع مشروط فیه ذلک، وإلّا فات الشرط علی المرتهن بغیر فائدة</w:t>
      </w:r>
      <w:r>
        <w:rPr>
          <w:rFonts w:eastAsia="IRNazanin" w:cs="IRNazanin"/>
          <w:color w:val="111111"/>
          <w:sz w:val="28"/>
          <w:szCs w:val="28"/>
          <w:rtl w:val="true"/>
          <w:lang w:bidi="fa-IR"/>
        </w:rPr>
        <w:t>.</w:t>
      </w:r>
      <w:bookmarkStart w:id="508" w:name="pg19812_249568"/>
    </w:p>
    <w:p>
      <w:pPr>
        <w:pStyle w:val="BookText"/>
        <w:rPr/>
      </w:pPr>
      <w:bookmarkEnd w:id="508"/>
      <w:r>
        <w:rPr>
          <w:rFonts w:ascii="IRNazanin" w:hAnsi="IRNazanin" w:eastAsia="IRNazanin"/>
          <w:color w:val="111111"/>
          <w:sz w:val="28"/>
          <w:sz w:val="28"/>
          <w:szCs w:val="28"/>
          <w:rtl w:val="true"/>
          <w:lang w:bidi="fa-IR"/>
        </w:rPr>
        <w:t xml:space="preserve">ویشکل بما تقدّم من وجوب الوفاء بالشرط، عملاً بمقتضی الأمر </w:t>
      </w:r>
      <w:r>
        <w:rPr>
          <w:rStyle w:val="FootnoteAnchor"/>
          <w:rtl w:val="true"/>
        </w:rPr>
        <w:footnoteReference w:id="1319"/>
      </w:r>
      <w:r>
        <w:rPr>
          <w:rFonts w:ascii="IRNazanin" w:hAnsi="IRNazanin" w:eastAsia="IRNazanin"/>
          <w:color w:val="111111"/>
          <w:sz w:val="28"/>
          <w:sz w:val="28"/>
          <w:szCs w:val="28"/>
          <w:rtl w:val="true"/>
          <w:lang w:bidi="fa-IR"/>
        </w:rPr>
        <w:t>خصوصاً فی ما یکون العقد المشروط فیه کافیاً فی تحقّقه، کالوکالة علی ما حقّقه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 نّه یصیر کجزء من الإیجاب والقبول یلزم حیث یلزمان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الرهن لازماً من جهة الراهن فالشرط من قِبَله کذلک، خصوصاً هنا، فإنّ فسخ المشروط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فی بیع لا یتوجّه؛ لأنّه یزیده ضرراً فلا یؤثّر فسخه لها وإن کانت جائزة بحسب أصلها؛ لأنّها قد صارت لازمة بشرطها فی اللازم علی ذلک الوجه</w:t>
      </w:r>
      <w:r>
        <w:rPr>
          <w:rFonts w:eastAsia="IRNazanin" w:cs="IRNazanin"/>
          <w:color w:val="111111"/>
          <w:sz w:val="28"/>
          <w:szCs w:val="28"/>
          <w:rtl w:val="true"/>
          <w:lang w:bidi="fa-IR"/>
        </w:rPr>
        <w:t>.</w:t>
      </w:r>
    </w:p>
    <w:p>
      <w:pPr>
        <w:pStyle w:val="Heading6"/>
        <w:numPr>
          <w:ilvl w:val="5"/>
          <w:numId w:val="1"/>
        </w:numPr>
        <w:rPr/>
      </w:pPr>
      <w:bookmarkStart w:id="509" w:name="__RefHeading___Toc2093124_2314609296"/>
      <w:bookmarkStart w:id="510" w:name="_Toc185"/>
      <w:bookmarkEnd w:id="509"/>
      <w:r>
        <w:rPr>
          <w:rtl w:val="true"/>
        </w:rPr>
        <w:t>[</w:t>
      </w:r>
      <w:r>
        <w:rPr>
          <w:rtl w:val="true"/>
        </w:rPr>
        <w:t>الثانیة</w:t>
      </w:r>
      <w:r>
        <w:rPr>
          <w:rtl w:val="true"/>
        </w:rPr>
        <w:t xml:space="preserve">: </w:t>
      </w:r>
      <w:r>
        <w:rPr>
          <w:rtl w:val="true"/>
        </w:rPr>
        <w:t>جواز ابتیاع الرهن للمرتهن مع الوکالة</w:t>
      </w:r>
      <w:r>
        <w:rPr>
          <w:rtl w:val="true"/>
        </w:rPr>
        <w:t>]</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للمرتهن ابتیاعه </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إذا کان وکیلاً فی البیع، ویتولّی طرفی العقد؛ لأنّ الغرض بیعه بثمن المثل وهو حاصل، وخصوصیّة المشتری ملغاة حیث لم یتعرّض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بالمنع </w:t>
      </w:r>
      <w:r>
        <w:rPr>
          <w:rStyle w:val="FootnoteAnchor"/>
          <w:rtl w:val="true"/>
        </w:rPr>
        <w:footnoteReference w:id="1322"/>
      </w:r>
      <w:r>
        <w:rPr>
          <w:rFonts w:ascii="IRNazanin" w:hAnsi="IRNazanin" w:eastAsia="IRNazanin"/>
          <w:color w:val="111111"/>
          <w:sz w:val="28"/>
          <w:sz w:val="28"/>
          <w:szCs w:val="28"/>
          <w:rtl w:val="true"/>
          <w:lang w:bidi="fa-IR"/>
        </w:rPr>
        <w:t>لأنّ ظاهر الوکالة لا یتناوله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بیعه علی ولده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مقدّم به علی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 کان الراهن أم میّتاً، مفلّساً کان أم لا؛ لسبق تعلّق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Style w:val="FootnoteAnchor"/>
          <w:rtl w:val="true"/>
        </w:rPr>
        <w:footnoteReference w:id="1324"/>
      </w:r>
      <w:r>
        <w:rPr>
          <w:rFonts w:ascii="IRNazanin" w:hAnsi="IRNazanin" w:eastAsia="IRNazanin"/>
          <w:color w:val="111111"/>
          <w:sz w:val="28"/>
          <w:sz w:val="28"/>
          <w:szCs w:val="28"/>
          <w:rtl w:val="true"/>
          <w:lang w:bidi="fa-IR"/>
        </w:rPr>
        <w:t xml:space="preserve">ولم یفِ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الغرماء علی نسبته</w:t>
      </w:r>
      <w:r>
        <w:rPr>
          <w:rFonts w:eastAsia="IRNazanin" w:cs="IRNazanin"/>
          <w:color w:val="111111"/>
          <w:sz w:val="28"/>
          <w:szCs w:val="28"/>
          <w:rtl w:val="true"/>
          <w:lang w:bidi="fa-IR"/>
        </w:rPr>
        <w:t>.</w:t>
      </w:r>
      <w:bookmarkStart w:id="511" w:name="pg19812_249569"/>
    </w:p>
    <w:p>
      <w:pPr>
        <w:pStyle w:val="Heading6"/>
        <w:numPr>
          <w:ilvl w:val="5"/>
          <w:numId w:val="1"/>
        </w:numPr>
        <w:rPr/>
      </w:pPr>
      <w:bookmarkStart w:id="512" w:name="__RefHeading___Toc2093126_2314609296"/>
      <w:bookmarkStart w:id="513" w:name="_Toc186"/>
      <w:bookmarkEnd w:id="511"/>
      <w:bookmarkEnd w:id="512"/>
      <w:r>
        <w:rPr>
          <w:rtl w:val="true"/>
        </w:rPr>
        <w:t>[</w:t>
      </w:r>
      <w:r>
        <w:rPr>
          <w:rtl w:val="true"/>
        </w:rPr>
        <w:t>الثالثة</w:t>
      </w:r>
      <w:r>
        <w:rPr>
          <w:rtl w:val="true"/>
        </w:rPr>
        <w:t xml:space="preserve">: </w:t>
      </w:r>
      <w:r>
        <w:rPr>
          <w:rtl w:val="true"/>
        </w:rPr>
        <w:t>عدم الجواز التصرف فی الرهن</w:t>
      </w:r>
      <w:r>
        <w:rPr>
          <w:rtl w:val="true"/>
        </w:rPr>
        <w:t>]</w:t>
      </w:r>
      <w:bookmarkEnd w:id="513"/>
    </w:p>
    <w:p>
      <w:pPr>
        <w:pStyle w:val="Heading6"/>
        <w:numPr>
          <w:ilvl w:val="5"/>
          <w:numId w:val="1"/>
        </w:numPr>
        <w:rPr/>
      </w:pPr>
      <w:bookmarkStart w:id="514" w:name="__RefHeading___Toc2093128_2314609296"/>
      <w:bookmarkStart w:id="515" w:name="_Toc187"/>
      <w:bookmarkEnd w:id="514"/>
      <w:r>
        <w:rPr>
          <w:rtl w:val="true"/>
        </w:rPr>
        <w:t>اشارة</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لأحدهما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بانتفاع ولا نقل ملک ولا غیرهما إذا لم یکن المرتهن وکیلاً، وإلّا جاز له التصرّف بالبیع والاستیفاء خاصّة کما مرّ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له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کالدابّة والدار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باتّفاقهما، وإلّا آجره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کون الاُجرة رهناً کالأصل قولان </w:t>
      </w:r>
      <w:r>
        <w:rPr>
          <w:rStyle w:val="FootnoteAnchor"/>
          <w:rtl w:val="true"/>
        </w:rPr>
        <w:footnoteReference w:id="1326"/>
      </w:r>
      <w:r>
        <w:rPr>
          <w:rFonts w:ascii="IRNazanin" w:hAnsi="IRNazanin" w:eastAsia="IRNazanin"/>
          <w:color w:val="111111"/>
          <w:sz w:val="28"/>
          <w:sz w:val="28"/>
          <w:szCs w:val="28"/>
          <w:rtl w:val="true"/>
          <w:lang w:bidi="fa-IR"/>
        </w:rPr>
        <w:t xml:space="preserve">کما فی النماء المتجدّد مطلقاً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6" w:name="__RefHeading___Toc2093130_2314609296"/>
      <w:bookmarkStart w:id="517" w:name="_Toc188"/>
      <w:bookmarkEnd w:id="516"/>
      <w:r>
        <w:rPr>
          <w:rtl w:val="true"/>
        </w:rPr>
        <w:t>[</w:t>
      </w:r>
      <w:r>
        <w:rPr>
          <w:rtl w:val="true"/>
        </w:rPr>
        <w:t>مؤونة الرهن علی الراهن</w:t>
      </w:r>
      <w:r>
        <w:rPr>
          <w:rtl w:val="true"/>
        </w:rPr>
        <w:t>]</w:t>
      </w:r>
      <w:bookmarkEnd w:id="51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احتاج إلی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حیواناً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مؤونته؛ لأ نّه المالک، فإن کان فی ید المرتهن وبذلها الراهن أو أمره بها أنفق ورجع بما غرم، وإلّا استأذنه، فإن امتنع أو تعذّر استئذانه لغیبة أو نحوها رفع أمره إلی الحاکم، فإن تعذّر أنفق هو بنیّة الرجوع وأشهد علیه لیثبت استحقاقه بغیر یمین ورجع،</w:t>
      </w:r>
      <w:bookmarkStart w:id="518" w:name="pg19812_249570"/>
    </w:p>
    <w:p>
      <w:pPr>
        <w:pStyle w:val="BookText"/>
        <w:rPr/>
      </w:pPr>
      <w:bookmarkEnd w:id="518"/>
      <w:r>
        <w:rPr>
          <w:rFonts w:ascii="IRNazanin" w:hAnsi="IRNazanin" w:eastAsia="IRNazanin"/>
          <w:color w:val="111111"/>
          <w:sz w:val="28"/>
          <w:sz w:val="28"/>
          <w:szCs w:val="28"/>
          <w:rtl w:val="true"/>
          <w:lang w:bidi="fa-IR"/>
        </w:rPr>
        <w:t>فإن لم یُشهِد فالأقوی قبول قوله فی قدر المعروف منه بیمینه، ورجوعه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انتفع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بإذنه علی وجه العوض أو بدونه مع الإثم لزمه الاُجرة أو عوض المأخوذ کاللبن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ذو الفضل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النفقة فی مقابلة الرکوب واللبن مطلقاً </w:t>
      </w:r>
      <w:r>
        <w:rPr>
          <w:rStyle w:val="FootnoteAnchor"/>
          <w:rtl w:val="true"/>
        </w:rPr>
        <w:footnoteReference w:id="1328"/>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329"/>
      </w:r>
      <w:r>
        <w:rPr>
          <w:rFonts w:ascii="IRNazanin" w:hAnsi="IRNazanin" w:eastAsia="IRNazanin"/>
          <w:color w:val="111111"/>
          <w:sz w:val="28"/>
          <w:sz w:val="28"/>
          <w:szCs w:val="28"/>
          <w:rtl w:val="true"/>
          <w:lang w:bidi="fa-IR"/>
        </w:rPr>
        <w:t xml:space="preserve">حملت علی الإذن فی التصرّف والإنفاق مع تساوی الحقّین </w:t>
      </w:r>
      <w:r>
        <w:rPr>
          <w:rStyle w:val="FootnoteAnchor"/>
          <w:rtl w:val="true"/>
        </w:rPr>
        <w:footnoteReference w:id="1330"/>
      </w:r>
      <w:r>
        <w:rPr>
          <w:rFonts w:ascii="IRNazanin" w:hAnsi="IRNazanin" w:eastAsia="IRNazanin"/>
          <w:color w:val="111111"/>
          <w:sz w:val="28"/>
          <w:sz w:val="28"/>
          <w:szCs w:val="28"/>
          <w:rtl w:val="true"/>
          <w:lang w:bidi="fa-IR"/>
        </w:rPr>
        <w:t xml:space="preserve">ورجّح فی الدروس جواز الانتفاع بما یخاف فوته علی المالک عند تعذّر استئذانه، واستئذان الحاکم </w:t>
      </w:r>
      <w:r>
        <w:rPr>
          <w:rStyle w:val="FootnoteAnchor"/>
          <w:rtl w:val="true"/>
        </w:rPr>
        <w:footnoteReference w:id="1331"/>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6"/>
        <w:numPr>
          <w:ilvl w:val="5"/>
          <w:numId w:val="1"/>
        </w:numPr>
        <w:rPr/>
      </w:pPr>
      <w:bookmarkStart w:id="519" w:name="__RefHeading___Toc2093132_2314609296"/>
      <w:bookmarkStart w:id="520" w:name="_Toc189"/>
      <w:bookmarkEnd w:id="519"/>
      <w:r>
        <w:rPr>
          <w:rtl w:val="true"/>
        </w:rPr>
        <w:t>[</w:t>
      </w:r>
      <w:r>
        <w:rPr>
          <w:rtl w:val="true"/>
        </w:rPr>
        <w:t>الرابعة</w:t>
      </w:r>
      <w:r>
        <w:rPr>
          <w:rtl w:val="true"/>
        </w:rPr>
        <w:t xml:space="preserve">: </w:t>
      </w:r>
      <w:r>
        <w:rPr>
          <w:rtl w:val="true"/>
        </w:rPr>
        <w:t>جواز الاستقلال باالاستیفاء للمرتهن لو خاف جحود الوارث</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للمرتهن الاستقلال بالاستیفاء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خاف جحود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بیّنة له علی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القول قول الوارث مع یمینه فی عدم الدین وعدم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المرتهن الدین والرهن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الخوف إلی القرائن الموجبة للظنّ الغالب بجحوده، وکذا یجوز له ذلک لو خاف جحود الراهن ولم یکن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بیّنة مقبولة عند الحاکم لم یجز له الاستقلال بدون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یلحق بخوف الجحود احتیاجه إلی الیمین لو اعترف، لعدم التضرّر بالیمین الصادق وإن کان ترکه تعظیماً للّٰه‌أولی</w:t>
      </w:r>
      <w:r>
        <w:rPr>
          <w:rFonts w:eastAsia="IRNazanin" w:cs="IRNazanin"/>
          <w:color w:val="111111"/>
          <w:sz w:val="28"/>
          <w:szCs w:val="28"/>
          <w:rtl w:val="true"/>
          <w:lang w:bidi="fa-IR"/>
        </w:rPr>
        <w:t>.</w:t>
      </w:r>
      <w:bookmarkStart w:id="521" w:name="pg19812_249571"/>
    </w:p>
    <w:p>
      <w:pPr>
        <w:pStyle w:val="Heading6"/>
        <w:numPr>
          <w:ilvl w:val="5"/>
          <w:numId w:val="1"/>
        </w:numPr>
        <w:rPr/>
      </w:pPr>
      <w:bookmarkStart w:id="522" w:name="__RefHeading___Toc2093134_2314609296"/>
      <w:bookmarkStart w:id="523" w:name="_Toc190"/>
      <w:bookmarkEnd w:id="521"/>
      <w:bookmarkEnd w:id="522"/>
      <w:r>
        <w:rPr>
          <w:rtl w:val="true"/>
        </w:rPr>
        <w:t>[</w:t>
      </w:r>
      <w:r>
        <w:rPr>
          <w:rtl w:val="true"/>
        </w:rPr>
        <w:t>الخامسة</w:t>
      </w:r>
      <w:r>
        <w:rPr>
          <w:rtl w:val="true"/>
        </w:rPr>
        <w:t xml:space="preserve">: </w:t>
      </w:r>
      <w:r>
        <w:rPr>
          <w:rtl w:val="true"/>
        </w:rPr>
        <w:t>حکم البیع الرهن و عتقه و وطئه</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علی إجازة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البائع الراهن بإذن المرتهن أو إجازته بطل الرهن من العین والثمن، إلّاأن یشترط کون الثمن رهناً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الدین حالاًّ أم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البائع المرتهن کذلک بقی الثمن رهناً ولیس له التصرّف فیه إذا کان حقّه مؤجّلاً إلی أن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وافقه جنساً ووصفاً صحّ، وإلّا کان کالرهن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عتق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إجازة المرتهن، فیبطل بردّه ویلزم بإجازته أو سکوته إلی أن فُکّ الرهن بأحد 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العتق باطلاً بدون الإذن السابق </w:t>
      </w:r>
      <w:r>
        <w:rPr>
          <w:rStyle w:val="FootnoteAnchor"/>
          <w:rtl w:val="true"/>
        </w:rPr>
        <w:footnoteReference w:id="1332"/>
      </w:r>
      <w:r>
        <w:rPr>
          <w:rFonts w:ascii="IRNazanin" w:hAnsi="IRNazanin" w:eastAsia="IRNazanin"/>
          <w:color w:val="111111"/>
          <w:sz w:val="28"/>
          <w:sz w:val="28"/>
          <w:szCs w:val="28"/>
          <w:rtl w:val="true"/>
          <w:lang w:bidi="fa-IR"/>
        </w:rPr>
        <w:t xml:space="preserve">نظراً إلی کونه لا یقع موقوفاً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العتق یقع باطلاً قطعاً متی لم یسبق الإذن؛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إلّافی ملک</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ولو سبق وکان العتق عن الراهن أو مطلقاً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عن المرتهن صحّ أیضاً وینتقل ملکه إلی المعتق قبل إیقاع الصیغة المقترنة بالإذن کغیره من المأذونین فیه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وطئها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المرتهن أو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فعل محرّماً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صارت مستولدة مع الإحبال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لم تخرج عن ملکه بالرهن وإن مُنع من التصرّف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شرائط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Style w:val="FootnoteAnchor"/>
          <w:rtl w:val="true"/>
        </w:rPr>
        <w:footnoteReference w:id="1334"/>
      </w:r>
      <w:r>
        <w:rPr>
          <w:rFonts w:ascii="IRNazanin" w:hAnsi="IRNazanin" w:eastAsia="IRNazanin"/>
          <w:color w:val="111111"/>
          <w:sz w:val="28"/>
          <w:sz w:val="28"/>
          <w:szCs w:val="28"/>
          <w:rtl w:val="true"/>
          <w:lang w:bidi="fa-IR"/>
        </w:rPr>
        <w:t>لسبق حقّ المرتهن علی الاستیلاد المانع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مطلقاً </w:t>
      </w:r>
      <w:r>
        <w:rPr>
          <w:rStyle w:val="FootnoteAnchor"/>
          <w:rtl w:val="true"/>
        </w:rPr>
        <w:footnoteReference w:id="1335"/>
      </w:r>
      <w:r>
        <w:rPr>
          <w:rFonts w:ascii="IRNazanin" w:hAnsi="IRNazanin" w:eastAsia="IRNazanin"/>
          <w:color w:val="111111"/>
          <w:sz w:val="28"/>
          <w:sz w:val="28"/>
          <w:szCs w:val="28"/>
          <w:rtl w:val="true"/>
          <w:lang w:bidi="fa-IR"/>
        </w:rPr>
        <w:t xml:space="preserve">للنهی عن بیع اُمّهات الأولاد </w:t>
      </w:r>
      <w:r>
        <w:rPr>
          <w:rStyle w:val="FootnoteAnchor"/>
          <w:rtl w:val="true"/>
        </w:rPr>
        <w:footnoteReference w:id="1336"/>
      </w:r>
      <w:r>
        <w:rPr>
          <w:rFonts w:ascii="IRNazanin" w:hAnsi="IRNazanin" w:eastAsia="IRNazanin"/>
          <w:color w:val="111111"/>
          <w:sz w:val="28"/>
          <w:sz w:val="28"/>
          <w:szCs w:val="28"/>
          <w:rtl w:val="true"/>
          <w:lang w:bidi="fa-IR"/>
        </w:rPr>
        <w:t>المتناول بإطلاقه 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ثالث بإعسار الراهن فتباع، ویساره فتلزمه القیمة تکون رهناً، جمعاً بین الحقّین </w:t>
      </w:r>
      <w:r>
        <w:rPr>
          <w:rStyle w:val="FootnoteAnchor"/>
          <w:rtl w:val="true"/>
        </w:rPr>
        <w:footnoteReference w:id="1337"/>
      </w:r>
      <w:r>
        <w:rPr>
          <w:rFonts w:ascii="IRNazanin" w:hAnsi="IRNazanin" w:eastAsia="IRNazanin"/>
          <w:color w:val="111111"/>
          <w:sz w:val="28"/>
          <w:sz w:val="28"/>
          <w:szCs w:val="28"/>
          <w:rtl w:val="true"/>
          <w:lang w:bidi="fa-IR"/>
        </w:rPr>
        <w:t xml:space="preserve">وللمصنّف فی بعض تحقیقاته </w:t>
      </w:r>
      <w:r>
        <w:rPr>
          <w:rStyle w:val="FootnoteAnchor"/>
          <w:rtl w:val="true"/>
        </w:rPr>
        <w:footnoteReference w:id="1338"/>
      </w:r>
      <w:r>
        <w:rPr>
          <w:rFonts w:ascii="IRNazanin" w:hAnsi="IRNazanin" w:eastAsia="IRNazanin"/>
          <w:color w:val="111111"/>
          <w:sz w:val="28"/>
          <w:sz w:val="28"/>
          <w:szCs w:val="28"/>
          <w:rtl w:val="true"/>
          <w:lang w:bidi="fa-IR"/>
        </w:rPr>
        <w:t>تفصیل رابع، وهو بیعها مع وطئه بغیر إذن المرتهن، ومنعه مع وقوعه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تخرج عن الرهن بالوطء، ولا بالحَبَل، بل یمتنع البیع ما دام الولد </w:t>
      </w:r>
      <w:r>
        <w:rPr>
          <w:rStyle w:val="FootnoteAnchor"/>
          <w:rtl w:val="true"/>
        </w:rPr>
        <w:footnoteReference w:id="1339"/>
      </w:r>
      <w:r>
        <w:rPr>
          <w:rFonts w:ascii="IRNazanin" w:hAnsi="IRNazanin" w:eastAsia="IRNazanin"/>
          <w:color w:val="111111"/>
          <w:sz w:val="28"/>
          <w:sz w:val="28"/>
          <w:szCs w:val="28"/>
          <w:rtl w:val="true"/>
          <w:lang w:bidi="fa-IR"/>
        </w:rPr>
        <w:t>لأنّه مانع طارٍ، فإن مات بیعت للرهن، لزوال المانع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وطئها المرتهن فهو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وطأ أمة الغیر بغیر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أکرهها فعلیه العُشر إن کانت بکراً،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 بکراً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للروایة </w:t>
      </w:r>
      <w:r>
        <w:rPr>
          <w:rStyle w:val="FootnoteAnchor"/>
          <w:rtl w:val="true"/>
        </w:rPr>
        <w:footnoteReference w:id="1340"/>
      </w:r>
      <w:r>
        <w:rPr>
          <w:rFonts w:ascii="IRNazanin" w:hAnsi="IRNazanin" w:eastAsia="IRNazanin"/>
          <w:color w:val="111111"/>
          <w:sz w:val="28"/>
          <w:sz w:val="28"/>
          <w:szCs w:val="28"/>
          <w:rtl w:val="true"/>
          <w:lang w:bidi="fa-IR"/>
        </w:rPr>
        <w:t>والشهرة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لأنّه عوض الوطء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وللمصنّف فی بعض حواشیه قول بتخییر المالک بین الأمرین </w:t>
      </w:r>
      <w:r>
        <w:rPr>
          <w:rStyle w:val="FootnoteAnchor"/>
          <w:rtl w:val="true"/>
        </w:rPr>
        <w:footnoteReference w:id="1342"/>
      </w:r>
      <w:r>
        <w:rPr>
          <w:rFonts w:ascii="IRNazanin" w:hAnsi="IRNazanin" w:eastAsia="IRNazanin"/>
          <w:color w:val="111111"/>
          <w:sz w:val="28"/>
          <w:sz w:val="28"/>
          <w:szCs w:val="28"/>
          <w:rtl w:val="true"/>
          <w:lang w:bidi="fa-IR"/>
        </w:rPr>
        <w:t>ویجب مع ذلک أرش البکارة، ولا یدخل فی المهر ولا العشر؛ لأنّه حقّ جنایة وعوض جزء فائت، والمهر علی التقدیرین عوض الوطء</w:t>
      </w:r>
      <w:r>
        <w:rPr>
          <w:rFonts w:eastAsia="IRNazanin" w:cs="IRNazanin"/>
          <w:color w:val="111111"/>
          <w:sz w:val="28"/>
          <w:szCs w:val="28"/>
          <w:rtl w:val="true"/>
          <w:lang w:bidi="fa-IR"/>
        </w:rPr>
        <w:t>.</w:t>
      </w:r>
      <w:bookmarkStart w:id="524" w:name="pg19812_249573"/>
    </w:p>
    <w:p>
      <w:pPr>
        <w:pStyle w:val="BookText"/>
        <w:rPr/>
      </w:pPr>
      <w:bookmarkEnd w:id="524"/>
      <w:r>
        <w:rPr>
          <w:rFonts w:ascii="IRNazanin" w:hAnsi="IRNazanin" w:eastAsia="IRNazanin"/>
          <w:color w:val="111111"/>
          <w:sz w:val="28"/>
          <w:sz w:val="28"/>
          <w:szCs w:val="28"/>
          <w:rtl w:val="true"/>
          <w:lang w:bidi="fa-IR"/>
        </w:rPr>
        <w:t xml:space="preserve">ولا یشکل بأنّ البکارة إذا اُخذ أرشُها صارت ثیّباً فینبغی أن یجب مهر الثیّب؛ لأنّه قد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وطئها بکراً وفوّت منها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عوض کلّ منهما؛ لأنّ أحدهما عوض جزء، والآخر عوض 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طاوعت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بغیّ ولا مهر لبغیّ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لا تستحقّ المهر ولا تملکه، فلا ینافی ثبوته لسیّدها مع کون التصرّف فی ملکه بغیر إذنه وَ 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1343"/>
      </w:r>
      <w:r>
        <w:rPr>
          <w:rFonts w:ascii="IRNazanin" w:hAnsi="IRNazanin" w:eastAsia="IRNazanin"/>
          <w:color w:val="111111"/>
          <w:sz w:val="28"/>
          <w:sz w:val="28"/>
          <w:szCs w:val="28"/>
          <w:rtl w:val="true"/>
          <w:lang w:bidi="fa-IR"/>
        </w:rPr>
        <w:t xml:space="preserve">والقول بثبوته علیه مطلقاً أقوی؛ مضافاً إلی أرش البکارة کما مرّ وقد تقدّم مثله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5" w:name="__RefHeading___Toc2093136_2314609296"/>
      <w:bookmarkStart w:id="526" w:name="_Toc191"/>
      <w:bookmarkEnd w:id="525"/>
      <w:r>
        <w:rPr>
          <w:rtl w:val="true"/>
        </w:rPr>
        <w:t>[</w:t>
      </w:r>
      <w:r>
        <w:rPr>
          <w:rtl w:val="true"/>
        </w:rPr>
        <w:t>السادسة</w:t>
      </w:r>
      <w:r>
        <w:rPr>
          <w:rtl w:val="true"/>
        </w:rPr>
        <w:t xml:space="preserve">: </w:t>
      </w:r>
      <w:r>
        <w:rPr>
          <w:rtl w:val="true"/>
        </w:rPr>
        <w:t>لزوم الرهن من جهة الراهن</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لازم من جهة الراهن حتی یخرج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بأدائه ولو من متبرّع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ضمان الغیر له مع قبول المرتهن، والحوالة به، وإبراء المرتهن 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 الإقالة المسقطة للثمن المرهون به، أو المثمن المسلم فیه المرهون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ذمّة الراهن من جمیع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خرج من بعضه، ففی خروج الرهن أجمع أو بقائه کذلک أو بالنسبة، أوجه ویظهر من العبارة بقاؤه أجمع، وبه صرّح فی الدروس </w:t>
      </w:r>
      <w:r>
        <w:rPr>
          <w:rStyle w:val="FootnoteAnchor"/>
          <w:rtl w:val="true"/>
        </w:rPr>
        <w:footnoteReference w:id="1345"/>
      </w:r>
      <w:r>
        <w:rPr>
          <w:rFonts w:ascii="IRNazanin" w:hAnsi="IRNazanin" w:eastAsia="IRNazanin"/>
          <w:color w:val="111111"/>
          <w:sz w:val="28"/>
          <w:sz w:val="28"/>
          <w:szCs w:val="28"/>
          <w:rtl w:val="true"/>
          <w:lang w:bidi="fa-IR"/>
        </w:rPr>
        <w:t>ولو شرط کونه رهناً علی المجموع خاصّة تعیّن الأوّل، کما أ نّه لو جعله رهناً علی کلّ جزء منه فالثانی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یحکم بخروجه عن الرهانة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أمانة فی ید المرتهن</w:t>
      </w:r>
      <w:r>
        <w:rPr>
          <w:rFonts w:eastAsia="IRNazanin" w:cs="IRNazanin"/>
          <w:color w:val="111111"/>
          <w:sz w:val="28"/>
          <w:szCs w:val="28"/>
          <w:rtl w:val="true"/>
          <w:lang w:bidi="fa-IR"/>
        </w:rPr>
        <w:t>»</w:t>
      </w:r>
      <w:bookmarkStart w:id="527" w:name="pg19812_249574"/>
    </w:p>
    <w:p>
      <w:pPr>
        <w:pStyle w:val="BookText"/>
        <w:rPr/>
      </w:pPr>
      <w:bookmarkEnd w:id="527"/>
      <w:r>
        <w:rPr>
          <w:rFonts w:ascii="IRNazanin" w:hAnsi="IRNazanin" w:eastAsia="IRNazanin"/>
          <w:color w:val="111111"/>
          <w:sz w:val="28"/>
          <w:sz w:val="28"/>
          <w:szCs w:val="28"/>
          <w:rtl w:val="true"/>
          <w:lang w:bidi="fa-IR"/>
        </w:rPr>
        <w:t>مالکیّة لا یجب تسلیمه إلّامع المطالبة؛ لأنّه مقبوض بإذنه وقد کان وثیقة وأمانة، فإذا انتفی الأوّل بقی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الخروج من الحقّ بإبراء المرتهن من غیر علم الراهن وجب علیه إعلامه به أو ردّ الرهن، بخلاف ما إذا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کونه مبیعاً عند الأجل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والبیع؛ لأنّ الرهن لا یؤقّت والبیع لا یعلّق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قبضه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 بعد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حینئذ بیع </w:t>
      </w:r>
      <w:r>
        <w:rPr>
          <w:rStyle w:val="FootnoteAnchor"/>
          <w:rtl w:val="true"/>
        </w:rPr>
        <w:footnoteReference w:id="1346"/>
      </w:r>
      <w:r>
        <w:rPr>
          <w:rFonts w:ascii="IRNazanin" w:hAnsi="IRNazanin" w:eastAsia="IRNazanin"/>
          <w:color w:val="111111"/>
          <w:sz w:val="28"/>
          <w:sz w:val="28"/>
          <w:szCs w:val="28"/>
          <w:rtl w:val="true"/>
          <w:lang w:bidi="fa-IR"/>
        </w:rPr>
        <w:t xml:space="preserve">فاسد، وصحیحه مضمون ففاسده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حینئذٍ رهن فاسد، وصحیحه غیر مضمون ففاسده کذلک، قاعدة مطرّدة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علمهما بالفساد، وجهلهما، والتفریق</w:t>
      </w:r>
      <w:r>
        <w:rPr>
          <w:rFonts w:eastAsia="IRNazanin" w:cs="IRNazanin"/>
          <w:color w:val="111111"/>
          <w:sz w:val="28"/>
          <w:szCs w:val="28"/>
          <w:rtl w:val="true"/>
          <w:lang w:bidi="fa-IR"/>
        </w:rPr>
        <w:t>.</w:t>
      </w:r>
    </w:p>
    <w:p>
      <w:pPr>
        <w:pStyle w:val="Heading6"/>
        <w:numPr>
          <w:ilvl w:val="5"/>
          <w:numId w:val="1"/>
        </w:numPr>
        <w:rPr/>
      </w:pPr>
      <w:bookmarkStart w:id="528" w:name="__RefHeading___Toc2093138_2314609296"/>
      <w:bookmarkStart w:id="529" w:name="_Toc192"/>
      <w:bookmarkEnd w:id="528"/>
      <w:r>
        <w:rPr>
          <w:rtl w:val="true"/>
        </w:rPr>
        <w:t>[</w:t>
      </w:r>
      <w:r>
        <w:rPr>
          <w:rtl w:val="true"/>
        </w:rPr>
        <w:t>السابعة</w:t>
      </w:r>
      <w:r>
        <w:rPr>
          <w:rtl w:val="true"/>
        </w:rPr>
        <w:t xml:space="preserve">: </w:t>
      </w:r>
      <w:r>
        <w:rPr>
          <w:rtl w:val="true"/>
        </w:rPr>
        <w:t>دخول النماء المتجدد فی الرهن</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النماء المتجدّد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 کالولد والثمرة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الرهن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1347"/>
      </w:r>
      <w:r>
        <w:rPr>
          <w:rFonts w:ascii="IRNazanin" w:hAnsi="IRNazanin" w:eastAsia="IRNazanin"/>
          <w:color w:val="111111"/>
          <w:sz w:val="28"/>
          <w:sz w:val="28"/>
          <w:szCs w:val="28"/>
          <w:rtl w:val="true"/>
          <w:lang w:bidi="fa-IR"/>
        </w:rPr>
        <w:t xml:space="preserve">ولأنّ من شأن النماء تبعیّة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شرط عدم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حینئذٍ فی عدم دخوله، عملاً بالشرط، کما أ نّه لو شرط دخوله ارتفع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بدونه للأصل ومنع الإجماع والتبعیّة فی الملک، لا فی مطلق الحکم </w:t>
      </w:r>
      <w:r>
        <w:rPr>
          <w:rStyle w:val="FootnoteAnchor"/>
          <w:rtl w:val="true"/>
        </w:rPr>
        <w:footnoteReference w:id="1348"/>
      </w:r>
      <w:r>
        <w:rPr>
          <w:rFonts w:ascii="IRNazanin" w:hAnsi="IRNazanin" w:eastAsia="IRNazanin"/>
          <w:color w:val="111111"/>
          <w:sz w:val="28"/>
          <w:sz w:val="28"/>
          <w:szCs w:val="28"/>
          <w:rtl w:val="true"/>
          <w:lang w:bidi="fa-IR"/>
        </w:rPr>
        <w:t>وهو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کالطول والسمن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إجماعاً</w:t>
      </w:r>
      <w:r>
        <w:rPr>
          <w:rFonts w:eastAsia="IRNazanin" w:cs="IRNazanin"/>
          <w:color w:val="111111"/>
          <w:sz w:val="28"/>
          <w:szCs w:val="28"/>
          <w:rtl w:val="true"/>
          <w:lang w:bidi="fa-IR"/>
        </w:rPr>
        <w:t>.</w:t>
      </w:r>
    </w:p>
    <w:p>
      <w:pPr>
        <w:pStyle w:val="Heading6"/>
        <w:numPr>
          <w:ilvl w:val="5"/>
          <w:numId w:val="1"/>
        </w:numPr>
        <w:rPr/>
      </w:pPr>
      <w:bookmarkStart w:id="530" w:name="__RefHeading___Toc2093140_2314609296"/>
      <w:bookmarkStart w:id="531" w:name="_Toc193"/>
      <w:bookmarkEnd w:id="530"/>
      <w:r>
        <w:rPr>
          <w:rtl w:val="true"/>
        </w:rPr>
        <w:t>[</w:t>
      </w:r>
      <w:r>
        <w:rPr>
          <w:rtl w:val="true"/>
        </w:rPr>
        <w:t>الثامنة</w:t>
      </w:r>
      <w:r>
        <w:rPr>
          <w:rtl w:val="true"/>
        </w:rPr>
        <w:t xml:space="preserve">: </w:t>
      </w:r>
      <w:r>
        <w:rPr>
          <w:rtl w:val="true"/>
        </w:rPr>
        <w:t>انتقال حق الرهانة بالموت</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حقّ الرهانة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مقتضی لزوم العقد من طرف الراهن؛</w:t>
      </w:r>
      <w:bookmarkStart w:id="532" w:name="pg19812_249575"/>
    </w:p>
    <w:p>
      <w:pPr>
        <w:pStyle w:val="BookText"/>
        <w:rPr/>
      </w:pPr>
      <w:bookmarkEnd w:id="532"/>
      <w:r>
        <w:rPr>
          <w:rFonts w:ascii="IRNazanin" w:hAnsi="IRNazanin" w:eastAsia="IRNazanin"/>
          <w:color w:val="111111"/>
          <w:sz w:val="28"/>
          <w:sz w:val="28"/>
          <w:szCs w:val="28"/>
          <w:rtl w:val="true"/>
          <w:lang w:bidi="fa-IR"/>
        </w:rPr>
        <w:t xml:space="preserve">ولأ نّه وثیقة علی الدین، فیبقی ما بقی ما لم یسقطه المرتهن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الوکالة والوصیّة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إذن فی التصرّف یقتصر بهما علی من أذن له، فإذا مات بطل، کنظائره من الأعمال المشروطة بمباشرٍ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للوارث بعده، أو لغیره فیلزم عملاً 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وللراهن الامتناع من استئمان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شرط له وکالة البیع والاستیفاء؛ لأنّ الرضا بتسلیم المورّث لا یقتضیه، ولاختلاف الأشخاص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للوارث الامتناع من استئمان الراهن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فلیتّفقا علی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یضعانه تحت یده وإن لم یکن عدلاً؛ لأنّ الحقّ لا یعدوهما فیتقیّد برضاهما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له عدلاً یقبضه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مات الراهن فلورثته الامتناع من إبقائه فی ید المرتهن؛ لأنّه فی القبض بمنزلة الوکیل تبطل بموت الموکّل وإن کانت مشروطة فی عقد لازم، إلّاأن یشترط استمرار الوضع بعد موته، فیکون بمنزلة الوصیّ فی الحفظ</w:t>
      </w:r>
      <w:r>
        <w:rPr>
          <w:rFonts w:eastAsia="IRNazanin" w:cs="IRNazanin"/>
          <w:color w:val="111111"/>
          <w:sz w:val="28"/>
          <w:szCs w:val="28"/>
          <w:rtl w:val="true"/>
          <w:lang w:bidi="fa-IR"/>
        </w:rPr>
        <w:t>.</w:t>
      </w:r>
    </w:p>
    <w:p>
      <w:pPr>
        <w:pStyle w:val="Heading6"/>
        <w:numPr>
          <w:ilvl w:val="5"/>
          <w:numId w:val="1"/>
        </w:numPr>
        <w:rPr/>
      </w:pPr>
      <w:bookmarkStart w:id="533" w:name="__RefHeading___Toc2093142_2314609296"/>
      <w:bookmarkStart w:id="534" w:name="_Toc194"/>
      <w:bookmarkEnd w:id="533"/>
      <w:r>
        <w:rPr>
          <w:rtl w:val="true"/>
        </w:rPr>
        <w:t>[</w:t>
      </w:r>
      <w:r>
        <w:rPr>
          <w:rtl w:val="true"/>
        </w:rPr>
        <w:t>التاسعة</w:t>
      </w:r>
      <w:r>
        <w:rPr>
          <w:rtl w:val="true"/>
        </w:rPr>
        <w:t xml:space="preserve">: </w:t>
      </w:r>
      <w:r>
        <w:rPr>
          <w:rtl w:val="true"/>
        </w:rPr>
        <w:t>عدم ضمان المرتهن</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یضمن </w:t>
      </w:r>
      <w:r>
        <w:rPr>
          <w:rStyle w:val="FootnoteAnchor"/>
          <w:rtl w:val="true"/>
        </w:rPr>
        <w:footnoteReference w:id="1349"/>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إذا تلف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إلّابتعدٍّ أو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یسقط بتلفه شیء من حقّ المرتهن، فإن تعدّی فیه أو فرّط 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فتلزم قیمته یوم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قیمیّاً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وقت الانتقال إلی القیمة، والحقّ قبله کان منحصراً فی العین وإن کانت مضمونة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ومقابل الأصحّ اعتبار قیمته یوم القبض أو أعلی القیم من یوم القبض إلی</w:t>
      </w:r>
      <w:bookmarkStart w:id="535" w:name="pg19812_249576"/>
    </w:p>
    <w:p>
      <w:pPr>
        <w:pStyle w:val="BookText"/>
        <w:rPr/>
      </w:pPr>
      <w:bookmarkEnd w:id="535"/>
      <w:r>
        <w:rPr>
          <w:rFonts w:ascii="IRNazanin" w:hAnsi="IRNazanin" w:eastAsia="IRNazanin"/>
          <w:color w:val="111111"/>
          <w:sz w:val="28"/>
          <w:sz w:val="28"/>
          <w:szCs w:val="28"/>
          <w:rtl w:val="true"/>
          <w:lang w:bidi="fa-IR"/>
        </w:rPr>
        <w:t>یوم التلف، أو من حین التلف إلی حین الحکم علیه بالقیمة کالغاصب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 بأ نّه قبل التفریط غیر مضمون فکیف تعتبر قیمته فیه؟ وبأنّ المطالبة لا دخل لها فی ضمان القیمی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فالأقوی الأوّل مطلقاً </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الاختلاف بسبب السوق أو نقص فی العین غیر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نقصت العین بعد التفریط بهزال ونحوه ثم تلف، اعتبر أعلی القیم المنسوبة إلی العین من حین التفریط إلی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مثلیّاً ضمنه بمثله إن وجد، وإلّا فقیمة المثل عند الأداء علی الأقوی؛ لأنّ الواجب عنده </w:t>
      </w:r>
      <w:r>
        <w:rPr>
          <w:rStyle w:val="FootnoteAnchor"/>
          <w:rtl w:val="true"/>
        </w:rPr>
        <w:footnoteReference w:id="1351"/>
      </w:r>
      <w:r>
        <w:rPr>
          <w:rFonts w:ascii="IRNazanin" w:hAnsi="IRNazanin" w:eastAsia="IRNazanin"/>
          <w:color w:val="111111"/>
          <w:sz w:val="28"/>
          <w:sz w:val="28"/>
          <w:szCs w:val="28"/>
          <w:rtl w:val="true"/>
          <w:lang w:bidi="fa-IR"/>
        </w:rPr>
        <w:t>إنّما کان المثل وإن کان متعذّراً، وانتقاله إلی القیمة بالمطالبة، بخلاف القیمی؛ لاستقرارها فی الذمّة من حین التلف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القیمة حلف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المنکر، والأصل برائته من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الراهن </w:t>
      </w:r>
      <w:r>
        <w:rPr>
          <w:rStyle w:val="FootnoteAnchor"/>
          <w:rtl w:val="true"/>
        </w:rPr>
        <w:footnoteReference w:id="1352"/>
      </w:r>
      <w:r>
        <w:rPr>
          <w:rFonts w:ascii="IRNazanin" w:hAnsi="IRNazanin" w:eastAsia="IRNazanin"/>
          <w:color w:val="111111"/>
          <w:sz w:val="28"/>
          <w:sz w:val="28"/>
          <w:szCs w:val="28"/>
          <w:rtl w:val="true"/>
          <w:lang w:bidi="fa-IR"/>
        </w:rPr>
        <w:t>نظراً إلی کون المرتهن صار خائناً بتفریطه، فلا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قبول قوله من جهة إنکاره، لا من حیث کونه أمیناً أو خائناً</w:t>
      </w:r>
      <w:r>
        <w:rPr>
          <w:rFonts w:eastAsia="IRNazanin" w:cs="IRNazanin"/>
          <w:color w:val="111111"/>
          <w:sz w:val="28"/>
          <w:szCs w:val="28"/>
          <w:rtl w:val="true"/>
          <w:lang w:bidi="fa-IR"/>
        </w:rPr>
        <w:t>.</w:t>
      </w:r>
    </w:p>
    <w:p>
      <w:pPr>
        <w:pStyle w:val="Heading6"/>
        <w:numPr>
          <w:ilvl w:val="5"/>
          <w:numId w:val="1"/>
        </w:numPr>
        <w:rPr/>
      </w:pPr>
      <w:bookmarkStart w:id="536" w:name="__RefHeading___Toc2093144_2314609296"/>
      <w:bookmarkStart w:id="537" w:name="_Toc195"/>
      <w:bookmarkEnd w:id="536"/>
      <w:r>
        <w:rPr>
          <w:rtl w:val="true"/>
        </w:rPr>
        <w:t>[</w:t>
      </w:r>
      <w:r>
        <w:rPr>
          <w:rtl w:val="true"/>
        </w:rPr>
        <w:t>العاشرة</w:t>
      </w:r>
      <w:r>
        <w:rPr>
          <w:rtl w:val="true"/>
        </w:rPr>
        <w:t xml:space="preserve">: </w:t>
      </w:r>
      <w:r>
        <w:rPr>
          <w:rtl w:val="true"/>
        </w:rPr>
        <w:t>حکم اختلاف الراهن و المرتهن</w:t>
      </w:r>
      <w:r>
        <w:rPr>
          <w:rtl w:val="true"/>
        </w:rPr>
        <w:t>]</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المرهون به حلف الراهن 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الزیادة وبراءة ذمّته منها، ولأ نّه منکر، وللروایة </w:t>
      </w:r>
      <w:r>
        <w:rPr>
          <w:rStyle w:val="FootnoteAnchor"/>
          <w:rtl w:val="true"/>
        </w:rPr>
        <w:footnoteReference w:id="1353"/>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 xml:space="preserve">المرتهن </w:t>
      </w:r>
      <w:r>
        <w:rPr>
          <w:rStyle w:val="FootnoteAnchor"/>
          <w:rtl w:val="true"/>
        </w:rPr>
        <w:footnoteReference w:id="1354"/>
      </w:r>
      <w:r>
        <w:rPr>
          <w:rFonts w:ascii="IRNazanin" w:hAnsi="IRNazanin" w:eastAsia="IRNazanin"/>
          <w:color w:val="111111"/>
          <w:sz w:val="28"/>
          <w:sz w:val="28"/>
          <w:szCs w:val="28"/>
          <w:rtl w:val="true"/>
          <w:lang w:bidi="fa-IR"/>
        </w:rPr>
        <w:t xml:space="preserve">استناداً إلی روایة ضعیفة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الرهن والودیعة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ودیعة، وقال الممسک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الرهن، ولأ نّه منکر، وللروایة الصحیحة </w:t>
      </w:r>
      <w:r>
        <w:rPr>
          <w:rStyle w:val="FootnoteAnchor"/>
          <w:rtl w:val="true"/>
        </w:rPr>
        <w:footnoteReference w:id="1356"/>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الممسک </w:t>
      </w:r>
      <w:r>
        <w:rPr>
          <w:rStyle w:val="FootnoteAnchor"/>
          <w:rtl w:val="true"/>
        </w:rPr>
        <w:footnoteReference w:id="1357"/>
      </w:r>
      <w:r>
        <w:rPr>
          <w:rFonts w:ascii="IRNazanin" w:hAnsi="IRNazanin" w:eastAsia="IRNazanin"/>
          <w:color w:val="111111"/>
          <w:sz w:val="28"/>
          <w:sz w:val="28"/>
          <w:szCs w:val="28"/>
          <w:rtl w:val="true"/>
          <w:lang w:bidi="fa-IR"/>
        </w:rPr>
        <w:t xml:space="preserve">استناداً إلی روایة ضعیفة </w:t>
      </w:r>
      <w:r>
        <w:rPr>
          <w:rStyle w:val="FootnoteAnchor"/>
          <w:rtl w:val="true"/>
        </w:rPr>
        <w:footnoteReference w:id="1358"/>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الممسک إن اعترف له المالک بالدین، والمالک إن أنکره </w:t>
      </w:r>
      <w:r>
        <w:rPr>
          <w:rStyle w:val="FootnoteAnchor"/>
          <w:rtl w:val="true"/>
        </w:rPr>
        <w:footnoteReference w:id="1359"/>
      </w:r>
      <w:r>
        <w:rPr>
          <w:rFonts w:ascii="IRNazanin" w:hAnsi="IRNazanin" w:eastAsia="IRNazanin"/>
          <w:color w:val="111111"/>
          <w:sz w:val="28"/>
          <w:sz w:val="28"/>
          <w:szCs w:val="28"/>
          <w:rtl w:val="true"/>
          <w:lang w:bidi="fa-IR"/>
        </w:rPr>
        <w:t xml:space="preserve">جمعاً بین الأخبار وللقرینة </w:t>
      </w:r>
      <w:r>
        <w:rPr>
          <w:rStyle w:val="FootnoteAnchor"/>
          <w:rtl w:val="true"/>
        </w:rPr>
        <w:footnoteReference w:id="1360"/>
      </w:r>
      <w:r>
        <w:rPr>
          <w:rFonts w:ascii="IRNazanin" w:hAnsi="IRNazanin" w:eastAsia="IRNazanin"/>
          <w:color w:val="111111"/>
          <w:sz w:val="28"/>
          <w:sz w:val="28"/>
          <w:szCs w:val="28"/>
          <w:rtl w:val="true"/>
          <w:lang w:bidi="fa-IR"/>
        </w:rPr>
        <w:t xml:space="preserve">وضعف المقابل یمنع من تخصیص الآخر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عین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رهنتک العبد،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ما یدّعیه الراهن بإنکار المرتهن؛ لأنّه جائز</w:t>
      </w:r>
      <w:bookmarkStart w:id="538" w:name="pg19812_249578"/>
    </w:p>
    <w:p>
      <w:pPr>
        <w:pStyle w:val="BookText"/>
        <w:rPr/>
      </w:pPr>
      <w:bookmarkEnd w:id="538"/>
      <w:r>
        <w:rPr>
          <w:rFonts w:ascii="IRNazanin" w:hAnsi="IRNazanin" w:eastAsia="IRNazanin"/>
          <w:color w:val="111111"/>
          <w:sz w:val="28"/>
          <w:sz w:val="28"/>
          <w:szCs w:val="28"/>
          <w:rtl w:val="true"/>
          <w:lang w:bidi="fa-IR"/>
        </w:rPr>
        <w:t>من قبله فیبطل بإنکاره لو کان حقّاً، وانتفاء ما یدّعیه المرتهن بحلف الراهن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فی عقد لازم تحالفا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إنکار المرتهن هنا یتعلّق بحقّ الراهن حیث إنّه یدّعی عدم الوفاء بالشرط الذی هو رکن من أرکان ذلک العقد اللازم، فیرجع الاختلاف إلی تعیین </w:t>
      </w:r>
      <w:r>
        <w:rPr>
          <w:rStyle w:val="FootnoteAnchor"/>
          <w:rtl w:val="true"/>
        </w:rPr>
        <w:footnoteReference w:id="1362"/>
      </w:r>
      <w:r>
        <w:rPr>
          <w:rFonts w:ascii="IRNazanin" w:hAnsi="IRNazanin" w:eastAsia="IRNazanin"/>
          <w:color w:val="111111"/>
          <w:sz w:val="28"/>
          <w:sz w:val="28"/>
          <w:szCs w:val="28"/>
          <w:rtl w:val="true"/>
          <w:lang w:bidi="fa-IR"/>
        </w:rPr>
        <w:t>الثمن؛ لأنّ شرط الرهن من مکمّلاته، فکلٌّ یدّعی ثمناً غیر ما یدّعیه الآخر، فإذا تحالفا بطل الرهن وفسخ المرتهن العقد المشروط فیه إن شاء ولم یمکن استدراکه کما لو مضی الوقت المحدود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قول الراهن کالأوّل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9" w:name="__RefHeading___Toc2093146_2314609296"/>
      <w:bookmarkStart w:id="540" w:name="_Toc196"/>
      <w:bookmarkEnd w:id="539"/>
      <w:r>
        <w:rPr>
          <w:rtl w:val="true"/>
        </w:rPr>
        <w:t>[</w:t>
      </w:r>
      <w:r>
        <w:rPr>
          <w:rtl w:val="true"/>
        </w:rPr>
        <w:t>الحادیة عشرة</w:t>
      </w:r>
      <w:r>
        <w:rPr>
          <w:rtl w:val="true"/>
        </w:rPr>
        <w:t xml:space="preserve">: </w:t>
      </w:r>
      <w:r>
        <w:rPr>
          <w:rtl w:val="true"/>
        </w:rPr>
        <w:t>او ادی دینا و عین به رهنا</w:t>
      </w:r>
      <w:r>
        <w:rPr>
          <w:rtl w:val="true"/>
        </w:rPr>
        <w:t>]</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أدّی دیناً وعیّن به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علیه دیون وعلی کلّ واحد رهن خاصّ فقصد بالمؤدّی أحد الدیون بخصوصه لیفکّ 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المتعیّن؛ لأنّ مرجع التعیین إلی قصد المؤدّی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 أحدها لفظاً لکن 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فتخالفا فی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فادّعی کلّ منهما قصد الدافع دیناً غیر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ادّعی قصده؛ لأنّ الاعتبار بقصده وهو أعلم به، وإنّما احتیج إلی الیمین مع أنّ مرجع النزاع إلی قصد الدافع ودعوی الغریم العلم به غیر معقولة </w:t>
      </w:r>
      <w:r>
        <w:rPr>
          <w:rStyle w:val="FootnoteAnchor"/>
          <w:rtl w:val="true"/>
        </w:rPr>
        <w:footnoteReference w:id="1364"/>
      </w:r>
      <w:r>
        <w:rPr>
          <w:rFonts w:ascii="IRNazanin" w:hAnsi="IRNazanin" w:eastAsia="IRNazanin"/>
          <w:color w:val="111111"/>
          <w:sz w:val="28"/>
          <w:sz w:val="28"/>
          <w:szCs w:val="28"/>
          <w:rtl w:val="true"/>
          <w:lang w:bidi="fa-IR"/>
        </w:rPr>
        <w:t>لإمکان اطّلاعه علیه بإقرار القاصد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تخالفا فیما تلفّظ بإرادته فکذلک، ویمکن ردّه إلی ما ذکره من التخالف فی القصد؛ إذ العبرة به، واللفظ کاشف عنه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لو کان علیه دین خال </w:t>
      </w:r>
      <w:r>
        <w:rPr>
          <w:rStyle w:val="FootnoteAnchor"/>
          <w:rtl w:val="true"/>
        </w:rPr>
        <w:footnoteReference w:id="1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الرهن، وآخر به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w:t>
      </w:r>
      <w:bookmarkStart w:id="541" w:name="pg19812_249579"/>
    </w:p>
    <w:p>
      <w:pPr>
        <w:pStyle w:val="BookText"/>
        <w:rPr/>
      </w:pPr>
      <w:bookmarkEnd w:id="541"/>
      <w:r>
        <w:rPr>
          <w:rFonts w:ascii="IRNazanin" w:hAnsi="IRNazanin" w:eastAsia="IRNazanin"/>
          <w:color w:val="111111"/>
          <w:sz w:val="28"/>
          <w:sz w:val="28"/>
          <w:szCs w:val="28"/>
          <w:rtl w:val="true"/>
          <w:lang w:bidi="fa-IR"/>
        </w:rPr>
        <w:t>الدفع عن المرهون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لیفکّ الرهن، وادّعی الغریم الدفع عن الخالی لیبقی الرهن فالقول قول الدافع مع یمینه؛ لأنّ الاختلاف یرجع إلی قصده الذی لا یعلم إلّامن قبله کالأوّل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2" w:name="__RefHeading___Toc2093148_2314609296"/>
      <w:bookmarkStart w:id="543" w:name="_Toc197"/>
      <w:bookmarkEnd w:id="542"/>
      <w:r>
        <w:rPr>
          <w:rtl w:val="true"/>
        </w:rPr>
        <w:t>[</w:t>
      </w:r>
      <w:r>
        <w:rPr>
          <w:rtl w:val="true"/>
        </w:rPr>
        <w:t>الثانیة عشرة</w:t>
      </w:r>
      <w:r>
        <w:rPr>
          <w:rtl w:val="true"/>
        </w:rPr>
        <w:t xml:space="preserve">: </w:t>
      </w:r>
      <w:r>
        <w:rPr>
          <w:rtl w:val="true"/>
        </w:rPr>
        <w:t>لو اختلفا فی ما یباع به الرهن</w:t>
      </w:r>
      <w:r>
        <w:rPr>
          <w:rtl w:val="true"/>
        </w:rPr>
        <w:t>]</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فیما یباع به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المرتهن بیعه بنقد، والراهن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بالنقد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وافق مراد أحدهما أم خالفهما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والبائع المرتهن إن کان وکیلاً والغالب موافق لمراده أو رجع إلی الحقّ، وإلّا فالحاکم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غلب نقدان بیع بمشابه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إن اتّفق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باینهما عیّن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امتنعا من التعیین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وإطلاق الحکم بالرجوع إلی تعیین الحاکم یشمل ما لو کان أحدهما أقرب إلی الصرف إلیٰ الحقّ </w:t>
      </w:r>
      <w:r>
        <w:rPr>
          <w:rStyle w:val="FootnoteAnchor"/>
          <w:rtl w:val="true"/>
        </w:rPr>
        <w:footnoteReference w:id="1367"/>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وعنی به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أسهل صرفاً إلی الحقّ تعیّن </w:t>
      </w:r>
      <w:r>
        <w:rPr>
          <w:rStyle w:val="FootnoteAnchor"/>
          <w:rtl w:val="true"/>
        </w:rPr>
        <w:footnoteReference w:id="1368"/>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بایناه بیع بأوفرهما حظّاً </w:t>
      </w:r>
      <w:r>
        <w:rPr>
          <w:rStyle w:val="FootnoteAnchor"/>
          <w:rtl w:val="true"/>
        </w:rPr>
        <w:footnoteReference w:id="1369"/>
      </w:r>
      <w:r>
        <w:rPr>
          <w:rFonts w:ascii="IRNazanin" w:hAnsi="IRNazanin" w:eastAsia="IRNazanin"/>
          <w:color w:val="111111"/>
          <w:sz w:val="28"/>
          <w:sz w:val="28"/>
          <w:szCs w:val="28"/>
          <w:rtl w:val="true"/>
          <w:lang w:bidi="fa-IR"/>
        </w:rPr>
        <w:t xml:space="preserve">وهو أحسن، فإنّه ربما کان عسر الصرف أصلح للمالک، وحیث یباع بغیر مراده </w:t>
      </w:r>
      <w:r>
        <w:rPr>
          <w:rStyle w:val="FootnoteAnchor"/>
          <w:rtl w:val="true"/>
        </w:rPr>
        <w:footnoteReference w:id="1370"/>
      </w:r>
      <w:r>
        <w:rPr>
          <w:rFonts w:ascii="IRNazanin" w:hAnsi="IRNazanin" w:eastAsia="IRNazanin"/>
          <w:color w:val="111111"/>
          <w:sz w:val="28"/>
          <w:sz w:val="28"/>
          <w:szCs w:val="28"/>
          <w:rtl w:val="true"/>
          <w:lang w:bidi="fa-IR"/>
        </w:rPr>
        <w:t>ینبغی مراعاة الحظّ له کغیره ممّن یلی علیه الحاکم</w:t>
      </w:r>
      <w:r>
        <w:rPr>
          <w:rFonts w:eastAsia="IRNazanin" w:cs="IRNazanin"/>
          <w:color w:val="111111"/>
          <w:sz w:val="28"/>
          <w:szCs w:val="28"/>
          <w:rtl w:val="true"/>
          <w:lang w:bidi="fa-IR"/>
        </w:rPr>
        <w:t>.</w:t>
      </w:r>
      <w:bookmarkStart w:id="544" w:name="pg19812_249580"/>
    </w:p>
    <w:p>
      <w:pPr>
        <w:pStyle w:val="Heading2"/>
        <w:numPr>
          <w:ilvl w:val="1"/>
          <w:numId w:val="1"/>
        </w:numPr>
        <w:rPr/>
      </w:pPr>
      <w:bookmarkStart w:id="545" w:name="__RefHeading___Toc2093150_2314609296"/>
      <w:bookmarkStart w:id="546" w:name="_Toc198"/>
      <w:bookmarkEnd w:id="544"/>
      <w:bookmarkEnd w:id="545"/>
      <w:r>
        <w:rPr>
          <w:rtl w:val="true"/>
        </w:rPr>
        <w:t>کتاب الحَجر</w:t>
      </w:r>
      <w:bookmarkEnd w:id="54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2093152_2314609296"/>
      <w:bookmarkStart w:id="548" w:name="_Toc199"/>
      <w:bookmarkEnd w:id="547"/>
      <w:r>
        <w:rPr>
          <w:rtl w:val="true"/>
        </w:rPr>
        <w:t>اشارة</w:t>
      </w:r>
      <w:bookmarkStart w:id="549" w:name="pg19812_249582"/>
      <w:bookmarkEnd w:id="548"/>
    </w:p>
    <w:p>
      <w:pPr>
        <w:pStyle w:val="BookText"/>
        <w:rPr/>
      </w:pPr>
      <w:bookmarkEnd w:id="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الحَجر</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093154_2314609296"/>
      <w:bookmarkStart w:id="551" w:name="_Toc200"/>
      <w:bookmarkEnd w:id="550"/>
      <w:r>
        <w:rPr>
          <w:rtl w:val="true"/>
        </w:rPr>
        <w:t>[</w:t>
      </w:r>
      <w:r>
        <w:rPr>
          <w:rtl w:val="true"/>
        </w:rPr>
        <w:t>اسبابه</w:t>
      </w:r>
      <w:r>
        <w:rPr>
          <w:rtl w:val="true"/>
        </w:rPr>
        <w:t>]</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وأسبابه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جرت العادة بذکره فی هذا الباب، وإلّا فهی أزید من ذلک مفرّقة فی تضاعیف الکتاب، کالحجر علی الراهن فی المرهون، وعلی المشتری فیما اشتراه قبل دفع الثمن، وعلی البائع فی الثمن المعیّن قبل تسلیم المبیع، وعلی المکاتب فی کسبه لغیر الأداء والنفقة، وعلی المرتدّ الذی یمکن عوده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والستّة المذکورة هنا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الصغر، والجنون، والرقّ، والفَلَس، والسفه، والمرض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 بالموت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ویمتدّ حَجر الصغیر 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الاُمور المذکورة فی کتاب الصوم </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ویرشد، بأن یُصلح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له ملکة نفسانیّة تقتضی إصلاحه وتمنع إفساده وصرفه فی غیر الوجوه اللائقة بأفعال العقلاء، لا مطلق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تحقّقت الملکة المذکورة مع البلوغ ارتفع عنه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لإطلاق الأمر بدفع أموال الیتامی إلیهم بإیناس الرشد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من غیر اعتبار أمر آخر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من الرشد عرفاً هو إصلاح المال علی الوجه المذکور وإن کان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مع ذلک العدالة </w:t>
      </w:r>
      <w:r>
        <w:rPr>
          <w:rStyle w:val="FootnoteAnchor"/>
          <w:rtl w:val="true"/>
        </w:rPr>
        <w:footnoteReference w:id="1373"/>
      </w:r>
      <w:r>
        <w:rPr>
          <w:rFonts w:ascii="IRNazanin" w:hAnsi="IRNazanin" w:eastAsia="IRNazanin"/>
          <w:color w:val="111111"/>
          <w:sz w:val="28"/>
          <w:sz w:val="28"/>
          <w:szCs w:val="28"/>
          <w:rtl w:val="true"/>
          <w:lang w:bidi="fa-IR"/>
        </w:rPr>
        <w:t xml:space="preserve">فلو کان مصلحاً لماله غیر عدل فی دینه لم یرتفع عنه الحجر، للنهی عن إیتاء السفهاء المال </w:t>
      </w:r>
      <w:r>
        <w:rPr>
          <w:rStyle w:val="FootnoteAnchor"/>
          <w:rtl w:val="true"/>
        </w:rPr>
        <w:footnoteReference w:id="1374"/>
      </w:r>
      <w:r>
        <w:rPr>
          <w:rFonts w:ascii="IRNazanin" w:hAnsi="IRNazanin" w:eastAsia="IRNazanin"/>
          <w:color w:val="111111"/>
          <w:sz w:val="28"/>
          <w:sz w:val="28"/>
          <w:szCs w:val="28"/>
          <w:rtl w:val="true"/>
          <w:lang w:bidi="fa-IR"/>
        </w:rPr>
        <w:t xml:space="preserve">وما روی أنّ شارب الخمر سفیه </w:t>
      </w:r>
      <w:r>
        <w:rPr>
          <w:rStyle w:val="FootnoteAnchor"/>
          <w:rtl w:val="true"/>
        </w:rPr>
        <w:footnoteReference w:id="1375"/>
      </w:r>
      <w:r>
        <w:rPr>
          <w:rFonts w:ascii="IRNazanin" w:hAnsi="IRNazanin" w:eastAsia="IRNazanin"/>
          <w:color w:val="111111"/>
          <w:sz w:val="28"/>
          <w:sz w:val="28"/>
          <w:szCs w:val="28"/>
          <w:rtl w:val="true"/>
          <w:lang w:bidi="fa-IR"/>
        </w:rPr>
        <w:t>ولا قائل بالفرق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عبّاس أنّ الرشد هو الوقار والحلم والعقل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یعتبر علی القول بها فی الابتداء، لافی الاستدامة، فلو عرض الفسق بعد العدالة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یُحجر علیه </w:t>
      </w:r>
      <w:r>
        <w:rPr>
          <w:rStyle w:val="FootnoteAnchor"/>
          <w:rtl w:val="true"/>
        </w:rPr>
        <w:footnoteReference w:id="1377"/>
      </w:r>
      <w:r>
        <w:rPr>
          <w:rFonts w:ascii="IRNazanin" w:hAnsi="IRNazanin" w:eastAsia="IRNazanin"/>
          <w:color w:val="111111"/>
          <w:sz w:val="28"/>
          <w:sz w:val="28"/>
          <w:szCs w:val="28"/>
          <w:rtl w:val="true"/>
          <w:lang w:bidi="fa-IR"/>
        </w:rPr>
        <w:t>مع أ نّه شرطها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 ذلک أ نّها لو کانت شرطاً فی الابتداء لاعتبرت بعده لوجود المقتضی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یراد معرفة 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التصرّفات والأعمال، لیظهر اتّصافه بالملکة وعدمه، فمن کان من أولاد التجّار فوّض إلیه البیع والشراء بمعنی مماکسته فیهما علی وجههما، ویراعی إلی أن یتمّ مساومته ثمّ یتولّاه الولیّ إن شاء، فإذا تکرّر منه ذلک وسلم من الغبن والتضییع فی </w:t>
      </w:r>
      <w:r>
        <w:rPr>
          <w:rStyle w:val="FootnoteAnchor"/>
          <w:rtl w:val="true"/>
        </w:rPr>
        <w:footnoteReference w:id="1378"/>
      </w:r>
      <w:r>
        <w:rPr>
          <w:rFonts w:ascii="IRNazanin" w:hAnsi="IRNazanin" w:eastAsia="IRNazanin"/>
          <w:color w:val="111111"/>
          <w:sz w:val="28"/>
          <w:sz w:val="28"/>
          <w:szCs w:val="28"/>
          <w:rtl w:val="true"/>
          <w:lang w:bidi="fa-IR"/>
        </w:rPr>
        <w:t>غیر وجهه فهو رشید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من أولاد من یُصان عن ذلک </w:t>
      </w:r>
      <w:r>
        <w:rPr>
          <w:rStyle w:val="FootnoteAnchor"/>
          <w:rtl w:val="true"/>
        </w:rPr>
        <w:footnoteReference w:id="1379"/>
      </w:r>
      <w:r>
        <w:rPr>
          <w:rFonts w:ascii="IRNazanin" w:hAnsi="IRNazanin" w:eastAsia="IRNazanin"/>
          <w:color w:val="111111"/>
          <w:sz w:val="28"/>
          <w:sz w:val="28"/>
          <w:szCs w:val="28"/>
          <w:rtl w:val="true"/>
          <w:lang w:bidi="fa-IR"/>
        </w:rPr>
        <w:t>اختبر بما یناسب حال أهله، إمّا</w:t>
      </w:r>
    </w:p>
    <w:p>
      <w:pPr>
        <w:pStyle w:val="BookText"/>
        <w:rPr/>
      </w:pPr>
      <w:r>
        <w:rPr>
          <w:rFonts w:ascii="IRNazanin" w:hAnsi="IRNazanin" w:eastAsia="IRNazanin"/>
          <w:color w:val="111111"/>
          <w:sz w:val="28"/>
          <w:sz w:val="28"/>
          <w:szCs w:val="28"/>
          <w:rtl w:val="true"/>
          <w:lang w:bidi="fa-IR"/>
        </w:rPr>
        <w:t>بأن یسلّم إلیه نفقة مدّة لینفقها فی مصالحه أو مواضعها التی عُیّنت له، أو بأن یستوفی الحساب علی معاملیهم، أو نحو ذلک، فإن وفی بالأفعال الملائمة فهو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تضییعه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إنفاقه فی المحرّمات، والأطعمة النفسیة التی لا تلیق بحاله بحسب وقته وبلده وشرفه وضِعَته، والأمتعة واللباس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صرفه فی وجوه الخیر من الصدقات وبناء المساجد وإقراء الضیف، فالأقوی أ نّه غیر قادح مطلقاً؛ إذ لا سرف فی الخیر، کما لا خیر فی السرف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اُنثی اختبرت بما یناسبها من الأعمال، کالغزل والخیاطة، وشراء آلاتهما المعتادة لأمثالها بغیر غبن، وحفظ ما یحصل فی یدها من ذلک، والمحافظة علی اُجرة مثلها إن عملت للغیر، وحفظ ما تلیه من أسباب البیت ووضعه علی وجهه، وصون أطعمته التی تحت یدها عن مثل الهرّة والفأر ونحو ذلک، فإذا تکرّر ذلک علی وجه الملکة ثبت الرشد،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یقدح فیها وقوع ما ینافیها نادراً من الغلط والانخداع فی بعض الأحیان؛ لوقوعه کثیراً من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 الاختبار قبل البلوغ، عملاً بظاهر الآیة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ویثبت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لم یختبر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النساء فی النساء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لسهولة اطلاعهنّ علیهنّ غالباً عکس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وبشهادة الرجال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کان المشهود علیه أم اُنثی؛ لأنّ شهادة الرجال غیر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فی شهادة الرجال اثنان وفی النساء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ویثبت رشد الاُنثی بشهادة رجل وامرأتین أیضاً وبشهادة أربع خناثی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یصحّ إقرار السفیه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بغیره کالنسب وإن أوجب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الإنفاق علیه </w:t>
      </w:r>
      <w:r>
        <w:rPr>
          <w:rStyle w:val="FootnoteAnchor"/>
          <w:rtl w:val="true"/>
        </w:rPr>
        <w:footnoteReference w:id="1382"/>
      </w:r>
      <w:r>
        <w:rPr>
          <w:rFonts w:ascii="IRNazanin" w:hAnsi="IRNazanin" w:eastAsia="IRNazanin"/>
          <w:color w:val="111111"/>
          <w:sz w:val="28"/>
          <w:sz w:val="28"/>
          <w:szCs w:val="28"/>
          <w:rtl w:val="true"/>
          <w:lang w:bidi="fa-IR"/>
        </w:rPr>
        <w:t xml:space="preserve">من ماله أو بیت المال قولان </w:t>
      </w:r>
      <w:r>
        <w:rPr>
          <w:rStyle w:val="FootnoteAnchor"/>
          <w:rtl w:val="true"/>
        </w:rPr>
        <w:footnoteReference w:id="1383"/>
      </w:r>
      <w:r>
        <w:rPr>
          <w:rFonts w:ascii="IRNazanin" w:hAnsi="IRNazanin" w:eastAsia="IRNazanin"/>
          <w:color w:val="111111"/>
          <w:sz w:val="28"/>
          <w:sz w:val="28"/>
          <w:szCs w:val="28"/>
          <w:rtl w:val="true"/>
          <w:lang w:bidi="fa-IR"/>
        </w:rPr>
        <w:t xml:space="preserve">أجودهما الثانی، وکالإقرار بالجنایة الموجبة للقصاص وإن کان 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تصرّفه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ناسب أفعال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ویصحّ تصرّفه فیما لا یتضمّن إخراج المال کالطلاق والظهار والخلع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یسلّم عوض الخلع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تصرّف مالیّ ممنوع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أن یتوکّل لغیره فی سائر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جمیعها وإن کان قد ضعّف إطلاقه علیه </w:t>
      </w:r>
      <w:r>
        <w:rPr>
          <w:rStyle w:val="FootnoteAnchor"/>
          <w:rtl w:val="true"/>
        </w:rPr>
        <w:footnoteReference w:id="1384"/>
      </w:r>
      <w:r>
        <w:rPr>
          <w:rFonts w:ascii="IRNazanin" w:hAnsi="IRNazanin" w:eastAsia="IRNazanin"/>
          <w:color w:val="111111"/>
          <w:sz w:val="28"/>
          <w:sz w:val="28"/>
          <w:szCs w:val="28"/>
          <w:rtl w:val="true"/>
          <w:lang w:bidi="fa-IR"/>
        </w:rPr>
        <w:t xml:space="preserve">بعض أهل العربیّة، حتی 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أوهام الخواص </w:t>
      </w:r>
      <w:r>
        <w:rPr>
          <w:rStyle w:val="FootnoteAnchor"/>
          <w:rtl w:val="true"/>
        </w:rPr>
        <w:footnoteReference w:id="1385"/>
      </w:r>
      <w:r>
        <w:rPr>
          <w:rFonts w:ascii="IRNazanin" w:hAnsi="IRNazanin" w:eastAsia="IRNazanin"/>
          <w:color w:val="111111"/>
          <w:sz w:val="28"/>
          <w:sz w:val="28"/>
          <w:szCs w:val="28"/>
          <w:rtl w:val="true"/>
          <w:lang w:bidi="fa-IR"/>
        </w:rPr>
        <w:t>وجعله مختصّاً بالباقی أخذاً له من السؤر وهو البقیّة، وعلیه جاء قول النبیّ صلی الله علیه و آله لابن غیلان لمّا أسلم علی عشر نسوة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أربعاً، وفارق سائرهن</w:t>
      </w:r>
      <w:r>
        <w:rPr>
          <w:rFonts w:eastAsia="IRNazanin" w:cs="IRNazanin"/>
          <w:color w:val="111111"/>
          <w:sz w:val="28"/>
          <w:szCs w:val="28"/>
          <w:rtl w:val="true"/>
          <w:lang w:bidi="fa-IR"/>
        </w:rPr>
        <w:t xml:space="preserve">» </w:t>
      </w:r>
      <w:r>
        <w:rPr>
          <w:rStyle w:val="FootnoteAnchor"/>
          <w:rtl w:val="true"/>
        </w:rPr>
        <w:footnoteReference w:id="1386"/>
      </w:r>
      <w:r>
        <w:rPr>
          <w:rFonts w:ascii="IRNazanin" w:hAnsi="IRNazanin" w:eastAsia="IRNazanin"/>
          <w:color w:val="111111"/>
          <w:sz w:val="28"/>
          <w:sz w:val="28"/>
          <w:szCs w:val="28"/>
          <w:rtl w:val="true"/>
          <w:lang w:bidi="fa-IR"/>
        </w:rPr>
        <w:t xml:space="preserve">لکن قد أجازه بعضهم </w:t>
      </w:r>
      <w:r>
        <w:rPr>
          <w:rStyle w:val="FootnoteAnchor"/>
          <w:rtl w:val="true"/>
        </w:rPr>
        <w:footnoteReference w:id="1387"/>
      </w:r>
      <w:r>
        <w:rPr>
          <w:rFonts w:ascii="IRNazanin" w:hAnsi="IRNazanin" w:eastAsia="IRNazanin"/>
          <w:color w:val="111111"/>
          <w:sz w:val="28"/>
          <w:sz w:val="28"/>
          <w:szCs w:val="28"/>
          <w:rtl w:val="true"/>
          <w:lang w:bidi="fa-IR"/>
        </w:rPr>
        <w:t>وإنّما جاز توکیل غیره له؛ لأنّ عبارته لیست مسلوبة مطلقاً، بل ممّا یقتضی التصرّف فی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ویمتدّ حجر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التصرّفات المالیّة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ویکمل عقله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والولایة فی مالهما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الصغیر والمجنون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 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 xml:space="preserve">وإن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فیشترکان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اجتمعا، فإن اتّفقا علی أمر نفذ، وإن تعارضا قدّم عقد السابق، فإن اتّفقا ففی بطلانه أو ترجیح الأب أو الجدّ 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لأحدهما مع فقدهما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فقد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والولایة فی مال السفیه الذی لم یسبق رشده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 والجدّ إلی آخر ما ذکر، عملاً بالاستصحاب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Style w:val="FootnoteAnchor"/>
          <w:rtl w:val="true"/>
        </w:rPr>
        <w:footnoteReference w:id="1388"/>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رشده وارتفع الحجر عنه بالبلوغ معه ثم لحقه السفه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دونهم؛ لارتفاع الولایة عنه بالرشد فلا تعود إلیهم إلّابدلیل، وهو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ولیّ عام لا یحتاج إلی دلیل وإن تخلّف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فی ماله للحاکم مطلقاً </w:t>
      </w:r>
      <w:r>
        <w:rPr>
          <w:rStyle w:val="FootnoteAnchor"/>
          <w:rtl w:val="true"/>
        </w:rPr>
        <w:footnoteReference w:id="1389"/>
      </w:r>
      <w:r>
        <w:rPr>
          <w:rFonts w:ascii="IRNazanin" w:hAnsi="IRNazanin" w:eastAsia="IRNazanin"/>
          <w:color w:val="111111"/>
          <w:sz w:val="28"/>
          <w:sz w:val="28"/>
          <w:szCs w:val="28"/>
          <w:rtl w:val="true"/>
          <w:lang w:bidi="fa-IR"/>
        </w:rPr>
        <w:t>لظهور توقّف الحجر علیه ورفعه علی حکمه فی کون النظر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والعبد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وغیره سواء أحلنا ملکه أم قلنا به، عدا الطلاق فإنّ له إیقاعه وإن کره المولی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والمریض ممنوع ممّا زاد عن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تبرّع به، أمّا لو عاوض علیه بثمن مثله 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تبرّع به فی مرضه، بأن وهبه أو وقفه أو تصدّق به أو حابی به فی بیع أو </w:t>
      </w:r>
      <w:r>
        <w:rPr>
          <w:rStyle w:val="FootnoteAnchor"/>
          <w:rtl w:val="true"/>
        </w:rPr>
        <w:footnoteReference w:id="1390"/>
      </w:r>
      <w:r>
        <w:rPr>
          <w:rFonts w:ascii="IRNazanin" w:hAnsi="IRNazanin" w:eastAsia="IRNazanin"/>
          <w:color w:val="111111"/>
          <w:sz w:val="28"/>
          <w:sz w:val="28"/>
          <w:szCs w:val="28"/>
          <w:rtl w:val="true"/>
          <w:lang w:bidi="fa-IR"/>
        </w:rPr>
        <w:t xml:space="preserve">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الکثیرة الدالّة علیه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منطوقاً ومفهوماً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یمضی من الأصل </w:t>
      </w:r>
      <w:r>
        <w:rPr>
          <w:rStyle w:val="FootnoteAnchor"/>
          <w:rtl w:val="true"/>
        </w:rPr>
        <w:footnoteReference w:id="1392"/>
      </w:r>
      <w:r>
        <w:rPr>
          <w:rFonts w:ascii="IRNazanin" w:hAnsi="IRNazanin" w:eastAsia="IRNazanin"/>
          <w:color w:val="111111"/>
          <w:sz w:val="28"/>
          <w:sz w:val="28"/>
          <w:szCs w:val="28"/>
          <w:rtl w:val="true"/>
          <w:lang w:bidi="fa-IR"/>
        </w:rPr>
        <w:t xml:space="preserve">للأصل، وعلیه شواهد من الأخبار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ویثبت الحجر علی السفیه بظهور سفهه وإن لم یحکم الحاکم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المقتضی له هو السفه، فیجب تحقّقه بتحقّقه، ولظاهر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اَلَّذِی عَلَیْهِ اَلْحَقُّ سَفِیهاً</w:t>
      </w:r>
      <w:r>
        <w:rPr>
          <w:rFonts w:eastAsia="Amiri" w:cs="Amiri" w:ascii="Amiri" w:hAnsi="Amiri"/>
          <w:color w:val="111111"/>
          <w:sz w:val="28"/>
          <w:szCs w:val="28"/>
          <w:rtl w:val="true"/>
          <w:lang w:bidi="ar-SA"/>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حیث أثبت علیه الولایة بمجرّده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زوال السفه یفتقر إلی الإجتهاد وقیام الأمارات؛ لأنّه أمر خفیّ فیناط بنظر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یتوقّفان علی حکمه </w:t>
      </w:r>
      <w:r>
        <w:rPr>
          <w:rStyle w:val="FootnoteAnchor"/>
          <w:rtl w:val="true"/>
        </w:rPr>
        <w:footnoteReference w:id="1395"/>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فیهما </w:t>
      </w:r>
      <w:r>
        <w:rPr>
          <w:rStyle w:val="FootnoteAnchor"/>
          <w:rtl w:val="true"/>
        </w:rPr>
        <w:footnoteReference w:id="1396"/>
      </w:r>
      <w:r>
        <w:rPr>
          <w:rFonts w:ascii="Amiri" w:hAnsi="Amiri" w:eastAsia="Amiri" w:cs="Amiri"/>
          <w:color w:val="111111"/>
          <w:sz w:val="28"/>
          <w:sz w:val="28"/>
          <w:szCs w:val="28"/>
          <w:rtl w:val="true"/>
          <w:lang w:bidi="ar-SA"/>
        </w:rPr>
        <w:t>وهو الأقوی؛ لأنّ المقتضی للحجر هو السفه فیجب أن یثبت بثبوته ویزول بزواله، ولظاهر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 xml:space="preserve">) </w:t>
      </w:r>
      <w:r>
        <w:rPr>
          <w:rStyle w:val="FootnoteAnchor"/>
          <w:rtl w:val="true"/>
        </w:rPr>
        <w:footnoteReference w:id="1397"/>
      </w:r>
      <w:r>
        <w:rPr>
          <w:rFonts w:ascii="IRNazanin" w:hAnsi="IRNazanin" w:eastAsia="IRNazanin"/>
          <w:color w:val="111111"/>
          <w:sz w:val="28"/>
          <w:sz w:val="28"/>
          <w:szCs w:val="28"/>
          <w:rtl w:val="true"/>
          <w:lang w:bidi="fa-IR"/>
        </w:rPr>
        <w:t>حیث علّق الأمر بالدفع علی إیناس الرشد، فلا یتوقّف علی أمر آخر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عامله العالم بحاله استعاد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وجوده؛ لبطلان المعاملة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تلف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المعامل قد ضیّع ماله بیده، حیث سلّمه إلی من نهی اللّٰه تعالی عن إیتائه </w:t>
      </w:r>
      <w:r>
        <w:rPr>
          <w:rStyle w:val="FootnoteAnchor"/>
          <w:rtl w:val="true"/>
        </w:rPr>
        <w:footnoteReference w:id="1398"/>
      </w:r>
      <w:r>
        <w:rPr>
          <w:rFonts w:ascii="IRNazanin" w:hAnsi="IRNazanin" w:eastAsia="IRNazanin"/>
          <w:color w:val="111111"/>
          <w:sz w:val="28"/>
          <w:sz w:val="28"/>
          <w:szCs w:val="28"/>
          <w:rtl w:val="true"/>
          <w:lang w:bidi="fa-IR"/>
        </w:rPr>
        <w:t>ولو کان جاهلاً بحاله فله الرجوع مطلقاً؛ لعدم تقصیره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ضمان مع التلف مطلقاً </w:t>
      </w:r>
      <w:r>
        <w:rPr>
          <w:rStyle w:val="FootnoteAnchor"/>
          <w:rtl w:val="true"/>
        </w:rPr>
        <w:footnoteReference w:id="1399"/>
      </w:r>
      <w:r>
        <w:rPr>
          <w:rFonts w:ascii="IRNazanin" w:hAnsi="IRNazanin" w:eastAsia="IRNazanin"/>
          <w:color w:val="111111"/>
          <w:sz w:val="28"/>
          <w:sz w:val="28"/>
          <w:szCs w:val="28"/>
          <w:rtl w:val="true"/>
          <w:lang w:bidi="fa-IR"/>
        </w:rPr>
        <w:t>لتقصیر من عامله قبل اختباره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ثالث فحکم بذلک مع قبض السفیه المال بإذن مالکه، ولو کان بغیر إذنه ضمّنه مطلقاً </w:t>
      </w:r>
      <w:r>
        <w:rPr>
          <w:rStyle w:val="FootnoteAnchor"/>
          <w:rtl w:val="true"/>
        </w:rPr>
        <w:footnoteReference w:id="1400"/>
      </w:r>
      <w:r>
        <w:rPr>
          <w:rFonts w:ascii="IRNazanin" w:hAnsi="IRNazanin" w:eastAsia="IRNazanin"/>
          <w:color w:val="111111"/>
          <w:sz w:val="28"/>
          <w:sz w:val="28"/>
          <w:szCs w:val="28"/>
          <w:rtl w:val="true"/>
          <w:lang w:bidi="fa-IR"/>
        </w:rPr>
        <w:t>لأنّ المعاملة الفاسدة لا یترتّب علیها حکم فیکون قابضاً للمال بغیر إذن فیضمنه، کما لو أتلف مالاً أو غصبه بغیر إذن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إیداعه أو إعارته أو إجارته فیتلف العین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تفریطه بتسلیمه وقد نهی اللّٰه تعالی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Style w:val="FootnoteAnchor"/>
          <w:rtl w:val="true"/>
        </w:rPr>
        <w:footnoteReference w:id="1401"/>
      </w:r>
      <w:r>
        <w:rPr>
          <w:rFonts w:ascii="IRNazanin" w:hAnsi="IRNazanin" w:eastAsia="IRNazanin"/>
          <w:color w:val="111111"/>
          <w:sz w:val="28"/>
          <w:sz w:val="28"/>
          <w:szCs w:val="28"/>
          <w:rtl w:val="true"/>
          <w:lang w:bidi="fa-IR"/>
        </w:rPr>
        <w:t>فیکون بمنزلة من ألقی ماله فی البحر، ومن عدم تسلیطه علی الإتلاف؛ لأنّ المال فی هذه المواضع أمانة یجب حفظه، والإتلاف حصل من السفیه بغیر إذن، فیضمنه کالغصب والحال أ نّه بالغ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یرتفع الحجر عنه ببلوغه خمساً وعشرین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منّا؛ لوجود المقتضی للحجر وعدم صلاحیّة هذا السنّ لرفعه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بذلک علی خلاف بعض العامة </w:t>
      </w:r>
      <w:r>
        <w:rPr>
          <w:rStyle w:val="FootnoteAnchor"/>
          <w:rtl w:val="true"/>
        </w:rPr>
        <w:footnoteReference w:id="1402"/>
      </w:r>
      <w:r>
        <w:rPr>
          <w:rFonts w:ascii="IRNazanin" w:hAnsi="IRNazanin" w:eastAsia="IRNazanin"/>
          <w:color w:val="111111"/>
          <w:sz w:val="28"/>
          <w:sz w:val="28"/>
          <w:szCs w:val="28"/>
          <w:rtl w:val="true"/>
          <w:lang w:bidi="fa-IR"/>
        </w:rPr>
        <w:t>حیث زعم أ نّه متی بلغ خمساً وعشرین سنة یفکّ حجره وإن کان سفهیاً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یمنع من الحجّ الواجب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زادت نفقته عن نفقة الحضر</w:t>
      </w:r>
    </w:p>
    <w:p>
      <w:pPr>
        <w:pStyle w:val="BookText"/>
        <w:rPr/>
      </w:pPr>
      <w:r>
        <w:rPr>
          <w:rFonts w:ascii="IRNazanin" w:hAnsi="IRNazanin" w:eastAsia="IRNazanin"/>
          <w:color w:val="111111"/>
          <w:sz w:val="28"/>
          <w:sz w:val="28"/>
          <w:szCs w:val="28"/>
          <w:rtl w:val="true"/>
          <w:lang w:bidi="fa-IR"/>
        </w:rPr>
        <w:t>أم لا، وسواء وجب بالأصل أم بالعارض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کالمنذور قبل السفه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لتعیّنه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یسلّم النفقة، بل یتولّاها الولیّ أو وکیله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المندوب إذا </w:t>
      </w:r>
      <w:r>
        <w:rPr>
          <w:rStyle w:val="FootnoteAnchor"/>
          <w:rtl w:val="true"/>
        </w:rPr>
        <w:footnoteReference w:id="1403"/>
      </w:r>
      <w:r>
        <w:rPr>
          <w:rFonts w:ascii="IRNazanin" w:hAnsi="IRNazanin" w:eastAsia="IRNazanin"/>
          <w:color w:val="111111"/>
          <w:sz w:val="28"/>
          <w:sz w:val="28"/>
          <w:szCs w:val="28"/>
          <w:rtl w:val="true"/>
          <w:lang w:bidi="fa-IR"/>
        </w:rPr>
        <w:t>استوت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 وسفراً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استواء النفقة ما لو تمکّن فی السفر من کسب یجبر الزائد بحیث لا یمکن فعله فی 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وتنعقد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ویکفّر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حنث؛ لمنعه من التصرّف المالی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العهد والنذر، وإنّما ینعقد ذلک حیث لا یکون متعلّقه المال لیمکن الحکم بالصحّة، فلو حلف أو نذر أن یتصدّق بمال لم ینعقد نذره؛ لأنّه تصرّف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تعیّنه، أمّا لو کان مطلقاً لم یبعد أن یراعی فی إنفاذه الرشد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العفو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بمالیّ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تصرّف مالیّ، وله الصلح عن القصاص علی مال، لکن لا یسلّم إلیه</w:t>
      </w:r>
      <w:r>
        <w:rPr>
          <w:rFonts w:eastAsia="IRNazanin" w:cs="IRNazanin"/>
          <w:color w:val="111111"/>
          <w:sz w:val="28"/>
          <w:szCs w:val="28"/>
          <w:rtl w:val="true"/>
          <w:lang w:bidi="fa-IR"/>
        </w:rPr>
        <w:t>.</w:t>
      </w:r>
      <w:bookmarkStart w:id="552" w:name="pg19812_249590"/>
    </w:p>
    <w:p>
      <w:pPr>
        <w:pStyle w:val="Heading2"/>
        <w:numPr>
          <w:ilvl w:val="1"/>
          <w:numId w:val="1"/>
        </w:numPr>
        <w:rPr/>
      </w:pPr>
      <w:bookmarkStart w:id="553" w:name="__RefHeading___Toc2093156_2314609296"/>
      <w:bookmarkStart w:id="554" w:name="_Toc201"/>
      <w:bookmarkEnd w:id="552"/>
      <w:bookmarkEnd w:id="553"/>
      <w:r>
        <w:rPr>
          <w:rtl w:val="true"/>
        </w:rPr>
        <w:t>کتاب الضمان</w:t>
      </w:r>
      <w:bookmarkEnd w:id="55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2093158_2314609296"/>
      <w:bookmarkStart w:id="556" w:name="_Toc202"/>
      <w:bookmarkEnd w:id="555"/>
      <w:r>
        <w:rPr>
          <w:rtl w:val="true"/>
        </w:rPr>
        <w:t>اشارة</w:t>
      </w:r>
      <w:bookmarkStart w:id="557" w:name="pg19812_249592"/>
      <w:bookmarkEnd w:id="556"/>
    </w:p>
    <w:p>
      <w:pPr>
        <w:pStyle w:val="BookText"/>
        <w:rPr/>
      </w:pPr>
      <w:bookmarkEnd w:id="5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الضمان</w:t>
      </w:r>
      <w:r>
        <w:rPr>
          <w:rFonts w:eastAsia="IRNazanin" w:cs="IRNazanin"/>
          <w:color w:val="111111"/>
          <w:sz w:val="28"/>
          <w:szCs w:val="28"/>
          <w:rtl w:val="true"/>
          <w:lang w:bidi="fa-IR"/>
        </w:rPr>
        <w:t>»</w:t>
      </w:r>
    </w:p>
    <w:p>
      <w:pPr>
        <w:pStyle w:val="Heading3"/>
        <w:numPr>
          <w:ilvl w:val="2"/>
          <w:numId w:val="1"/>
        </w:numPr>
        <w:rPr/>
      </w:pPr>
      <w:bookmarkStart w:id="558" w:name="__RefHeading___Toc2093160_2314609296"/>
      <w:bookmarkStart w:id="559" w:name="_Toc203"/>
      <w:bookmarkEnd w:id="558"/>
      <w:r>
        <w:rPr>
          <w:rtl w:val="true"/>
        </w:rPr>
        <w:t>[</w:t>
      </w:r>
      <w:r>
        <w:rPr>
          <w:rtl w:val="true"/>
        </w:rPr>
        <w:t xml:space="preserve">والمراد به </w:t>
      </w:r>
      <w:r>
        <w:rPr>
          <w:rtl w:val="true"/>
        </w:rPr>
        <w:t>]</w:t>
      </w:r>
      <w:bookmarkEnd w:id="559"/>
    </w:p>
    <w:p>
      <w:pPr>
        <w:pStyle w:val="BookText"/>
        <w:rPr/>
      </w:pPr>
      <w:r>
        <w:rPr>
          <w:rFonts w:ascii="IRNazanin" w:hAnsi="IRNazanin" w:eastAsia="IRNazanin"/>
          <w:color w:val="111111"/>
          <w:sz w:val="28"/>
          <w:sz w:val="28"/>
          <w:szCs w:val="28"/>
          <w:rtl w:val="true"/>
          <w:lang w:bidi="fa-IR"/>
        </w:rPr>
        <w:t xml:space="preserve">الضمان بالمعنی الأخصّ قسیم الحوالة والکفالة، لا الأعمّ الشامل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التعهّد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مماثل لما ضمنه للمضمون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الکفالة فإنّها تعهّد بالنفس،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الحوالة بناءً علی اشتراطها بشغل ذمّة المحال علیه للمحیل بما أحال به</w:t>
      </w:r>
      <w:r>
        <w:rPr>
          <w:rFonts w:eastAsia="IRNazanin" w:cs="IRNazanin"/>
          <w:color w:val="111111"/>
          <w:sz w:val="28"/>
          <w:szCs w:val="28"/>
          <w:rtl w:val="true"/>
          <w:lang w:bidi="fa-IR"/>
        </w:rPr>
        <w:t>.</w:t>
      </w:r>
    </w:p>
    <w:p>
      <w:pPr>
        <w:pStyle w:val="Heading3"/>
        <w:numPr>
          <w:ilvl w:val="2"/>
          <w:numId w:val="1"/>
        </w:numPr>
        <w:rPr/>
      </w:pPr>
      <w:bookmarkStart w:id="560" w:name="__RefHeading___Toc2093162_2314609296"/>
      <w:bookmarkStart w:id="561" w:name="_Toc204"/>
      <w:bookmarkEnd w:id="560"/>
      <w:r>
        <w:rPr>
          <w:rtl w:val="true"/>
        </w:rPr>
        <w:t>[</w:t>
      </w:r>
      <w:r>
        <w:rPr>
          <w:rtl w:val="true"/>
        </w:rPr>
        <w:t>شروط الضامن</w:t>
      </w:r>
      <w:r>
        <w:rPr>
          <w:rtl w:val="true"/>
        </w:rPr>
        <w:t>]</w:t>
      </w:r>
      <w:bookmarkEnd w:id="56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کمال الضامن المدلول علیه بالمصدر </w:t>
      </w:r>
      <w:r>
        <w:rPr>
          <w:rStyle w:val="FootnoteAnchor"/>
          <w:rtl w:val="true"/>
        </w:rPr>
        <w:footnoteReference w:id="1404"/>
      </w:r>
      <w:r>
        <w:rPr>
          <w:rFonts w:ascii="IRNazanin" w:hAnsi="IRNazanin" w:eastAsia="IRNazanin"/>
          <w:color w:val="111111"/>
          <w:sz w:val="28"/>
          <w:sz w:val="28"/>
          <w:szCs w:val="28"/>
          <w:rtl w:val="true"/>
          <w:lang w:bidi="fa-IR"/>
        </w:rPr>
        <w:t xml:space="preserve">أو اسم الفاعل </w:t>
      </w:r>
      <w:r>
        <w:rPr>
          <w:rStyle w:val="FootnoteAnchor"/>
          <w:rtl w:val="true"/>
        </w:rPr>
        <w:footnoteReference w:id="1405"/>
      </w:r>
      <w:r>
        <w:rPr>
          <w:rFonts w:ascii="IRNazanin" w:hAnsi="IRNazanin" w:eastAsia="IRNazanin"/>
          <w:color w:val="111111"/>
          <w:sz w:val="28"/>
          <w:sz w:val="28"/>
          <w:szCs w:val="28"/>
          <w:rtl w:val="true"/>
          <w:lang w:bidi="fa-IR"/>
        </w:rPr>
        <w:t xml:space="preserve">أو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ضمان العبد فی المشهور؛ لأ نّه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ویتبع به بعد العتق </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یأذن المولی فیثبت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مال المولی؛ لأنّ إطلاق الضمان أعمّ من کلّ منهما، فلا یدلّ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w:t>
      </w:r>
    </w:p>
    <w:p>
      <w:pPr>
        <w:pStyle w:val="BookText"/>
        <w:rPr/>
      </w:pPr>
      <w:r>
        <w:rPr>
          <w:rFonts w:ascii="IRNazanin" w:hAnsi="IRNazanin" w:eastAsia="IRNazanin"/>
          <w:color w:val="111111"/>
          <w:sz w:val="28"/>
          <w:sz w:val="28"/>
          <w:szCs w:val="28"/>
          <w:rtl w:val="true"/>
          <w:lang w:bidi="fa-IR"/>
        </w:rPr>
        <w:t xml:space="preserve">بکسبه </w:t>
      </w:r>
      <w:r>
        <w:rPr>
          <w:rStyle w:val="FootnoteAnchor"/>
          <w:rtl w:val="true"/>
        </w:rPr>
        <w:footnoteReference w:id="1407"/>
      </w:r>
      <w:r>
        <w:rPr>
          <w:rFonts w:ascii="IRNazanin" w:hAnsi="IRNazanin" w:eastAsia="IRNazanin"/>
          <w:color w:val="111111"/>
          <w:sz w:val="28"/>
          <w:sz w:val="28"/>
          <w:szCs w:val="28"/>
          <w:rtl w:val="true"/>
          <w:lang w:bidi="fa-IR"/>
        </w:rPr>
        <w:t>حملاً علی المعهود من الضمان الذی یستعقب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بتعلّقه بمال المولی مطلقاً، کما لو أمره بالاستدانة </w:t>
      </w:r>
      <w:r>
        <w:rPr>
          <w:rStyle w:val="FootnoteAnchor"/>
          <w:rtl w:val="true"/>
        </w:rPr>
        <w:footnoteReference w:id="1408"/>
      </w:r>
      <w:r>
        <w:rPr>
          <w:rFonts w:ascii="IRNazanin" w:hAnsi="IRNazanin" w:eastAsia="IRNazanin"/>
          <w:color w:val="111111"/>
          <w:sz w:val="28"/>
          <w:sz w:val="28"/>
          <w:szCs w:val="28"/>
          <w:rtl w:val="true"/>
          <w:lang w:bidi="fa-IR"/>
        </w:rPr>
        <w:t>وهو متّجه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إلّاأن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بحسب ما شرط ویکون حینئذٍ کالوکیل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شرطه من کسبه فهو کما لو شرط من مال المولی؛ لأنّه من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وفی الکسب بالحقّ المضمون، وإلّا ضاع ما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اُعتق العبد قبل إمکان تجدّد شیء من الکسب ففی بطلان الضمان أو بقاء التعلّق به وجهان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یشترط علمه بالمستحقّ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 المضمون وهو المضمون له بنسبه ووصفه؛ لأن الغرض إیفاؤه </w:t>
      </w:r>
      <w:r>
        <w:rPr>
          <w:rStyle w:val="FootnoteAnchor"/>
          <w:rtl w:val="true"/>
        </w:rPr>
        <w:footnoteReference w:id="1409"/>
      </w:r>
      <w:r>
        <w:rPr>
          <w:rFonts w:ascii="IRNazanin" w:hAnsi="IRNazanin" w:eastAsia="IRNazanin"/>
          <w:color w:val="111111"/>
          <w:sz w:val="28"/>
          <w:sz w:val="28"/>
          <w:szCs w:val="28"/>
          <w:rtl w:val="true"/>
          <w:lang w:bidi="fa-IR"/>
        </w:rPr>
        <w:t>الدین، وهو لا یتوقّف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یشترط معرفة قدر الحقّ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یذکره المصنّف، ویمکن إرادته من العبارة بجعل المستحقّ مبنیّاً للمجهول </w:t>
      </w:r>
      <w:r>
        <w:rPr>
          <w:rStyle w:val="FootnoteAnchor"/>
          <w:rtl w:val="true"/>
        </w:rPr>
        <w:footnoteReference w:id="1410"/>
      </w:r>
      <w:r>
        <w:rPr>
          <w:rFonts w:ascii="IRNazanin" w:hAnsi="IRNazanin" w:eastAsia="IRNazanin"/>
          <w:color w:val="111111"/>
          <w:sz w:val="28"/>
          <w:sz w:val="28"/>
          <w:szCs w:val="28"/>
          <w:rtl w:val="true"/>
          <w:lang w:bidi="fa-IR"/>
        </w:rPr>
        <w:t xml:space="preserve">فلو ضمن ما فی ذمّته صحّ علی أصحّ القولین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 xml:space="preserve">للأصل، وإطلاق النصّ </w:t>
      </w:r>
      <w:r>
        <w:rPr>
          <w:rStyle w:val="FootnoteAnchor"/>
          <w:rtl w:val="true"/>
        </w:rPr>
        <w:footnoteReference w:id="1412"/>
      </w:r>
      <w:r>
        <w:rPr>
          <w:rFonts w:ascii="Amiri" w:hAnsi="Amiri" w:eastAsia="Amiri" w:cs="Amiri"/>
          <w:color w:val="111111"/>
          <w:sz w:val="28"/>
          <w:sz w:val="28"/>
          <w:szCs w:val="28"/>
          <w:rtl w:val="true"/>
          <w:lang w:bidi="ar-SA"/>
        </w:rPr>
        <w:t xml:space="preserve">ولأنّ </w:t>
      </w:r>
      <w:r>
        <w:rPr>
          <w:rStyle w:val="FootnoteAnchor"/>
          <w:rtl w:val="true"/>
        </w:rPr>
        <w:footnoteReference w:id="1413"/>
      </w:r>
      <w:r>
        <w:rPr>
          <w:rFonts w:ascii="IRNazanin" w:hAnsi="IRNazanin" w:eastAsia="IRNazanin"/>
          <w:color w:val="111111"/>
          <w:sz w:val="28"/>
          <w:sz w:val="28"/>
          <w:szCs w:val="28"/>
          <w:rtl w:val="true"/>
          <w:lang w:bidi="fa-IR"/>
        </w:rPr>
        <w:t>الضمان لا ینافیه الغرر؛ لأنّه لیس معاوضة، لجوازه من 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أمکن العلم به بعد ذلک کالمثال، فلو لم یمکن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لک شیئاً ممّا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قطعاً، وعلی تقدیر الصحّة یلزمه ما تقوم به البیّنة أن </w:t>
      </w:r>
      <w:r>
        <w:rPr>
          <w:rStyle w:val="FootnoteAnchor"/>
          <w:rtl w:val="true"/>
        </w:rPr>
        <w:footnoteReference w:id="1414"/>
      </w:r>
      <w:r>
        <w:rPr>
          <w:rFonts w:ascii="IRNazanin" w:hAnsi="IRNazanin" w:eastAsia="IRNazanin"/>
          <w:color w:val="111111"/>
          <w:sz w:val="28"/>
          <w:sz w:val="28"/>
          <w:szCs w:val="28"/>
          <w:rtl w:val="true"/>
          <w:lang w:bidi="fa-IR"/>
        </w:rPr>
        <w:t xml:space="preserve">کان لازماً للمضمون عنه وقت الضمان، لا ما یتجدّد، أو یوجد فی دفتر، أو یقرّ به المضمون عنه، أو یحلف علیه المضمون له بردّ الیمین من المضمون عنه؛ لعدم دخول الأوّل فی الضمان، وعدم ثبوت الثانی، وعدم نفوذ الإقرار فی الثالث علی الغیر، وکون الخصومة حینئذٍ مع الضامن والمضمون عنه </w:t>
      </w:r>
      <w:r>
        <w:rPr>
          <w:rStyle w:val="FootnoteAnchor"/>
          <w:rtl w:val="true"/>
        </w:rPr>
        <w:footnoteReference w:id="1415"/>
      </w:r>
      <w:r>
        <w:rPr>
          <w:rFonts w:ascii="IRNazanin" w:hAnsi="IRNazanin" w:eastAsia="IRNazanin"/>
          <w:color w:val="111111"/>
          <w:sz w:val="28"/>
          <w:sz w:val="28"/>
          <w:szCs w:val="28"/>
          <w:rtl w:val="true"/>
          <w:lang w:bidi="fa-IR"/>
        </w:rPr>
        <w:t>فلا یلزمه ما یثبت بمنازعة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یثبت ما یقرّ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الحلف بردّ الضامن ثبت ما حلف علیه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علمه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المضمون عنه؛ لأنّه وفاء دین عنه، وهو جائز عن کلّ 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یرید به الأعمّ منه ومن المضمون له، ویرید بالعلم به الإحاطة بمعرفة حاله من نسب أو وصفٍ بسهولة الاقتضاء وما شاکله؛ لأنّ الغرض إیفاؤه الدین، وذلک لا یتوقّف علی معرفته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تمیّزهما </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المستحقّ والغریم، لیمکن توجّه القصد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bookmarkStart w:id="562" w:name="pg19812_249595"/>
    </w:p>
    <w:p>
      <w:pPr>
        <w:pStyle w:val="BookText"/>
        <w:rPr/>
      </w:pPr>
      <w:bookmarkEnd w:id="562"/>
      <w:r>
        <w:rPr>
          <w:rFonts w:ascii="IRNazanin" w:hAnsi="IRNazanin" w:eastAsia="IRNazanin"/>
          <w:color w:val="111111"/>
          <w:sz w:val="28"/>
          <w:sz w:val="28"/>
          <w:szCs w:val="28"/>
          <w:rtl w:val="true"/>
          <w:lang w:bidi="fa-IR"/>
        </w:rPr>
        <w:t>الحقّ فلیمکن أداؤه، وأمّا المضمون له فلیمکن إیفاؤه، وأمّا المضمون عنه فلیمکن القصد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المعتبر القصد إلی الضمان، وهو التزام المال الذی یذکره المضمون له، وذلک غیر متوقّف علی معرفة من علیه الدین، فلو قال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أستحقّ فی ذمّة آخر مئة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قاصداً إلی عقد الضمان عمّن کان علیه الدین مطلقاً، ولا دلیل علی اعتبار العلم بخصوصیّته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2093164_2314609296"/>
      <w:bookmarkStart w:id="564" w:name="_Toc205"/>
      <w:bookmarkEnd w:id="563"/>
      <w:r>
        <w:rPr>
          <w:rtl w:val="true"/>
        </w:rPr>
        <w:t>[</w:t>
      </w:r>
      <w:r>
        <w:rPr>
          <w:rtl w:val="true"/>
        </w:rPr>
        <w:t>اشتراط الایجاب و العقول فیه</w:t>
      </w:r>
      <w:r>
        <w:rPr>
          <w:rtl w:val="true"/>
        </w:rPr>
        <w:t>]</w:t>
      </w:r>
      <w:bookmarkEnd w:id="564"/>
    </w:p>
    <w:p>
      <w:pPr>
        <w:pStyle w:val="BookText"/>
        <w:rPr/>
      </w:pPr>
      <w:r>
        <w:rPr>
          <w:rFonts w:ascii="IRNazanin" w:hAnsi="IRNazanin" w:eastAsia="IRNazanin"/>
          <w:color w:val="111111"/>
          <w:sz w:val="28"/>
          <w:sz w:val="28"/>
          <w:szCs w:val="28"/>
          <w:rtl w:val="true"/>
          <w:lang w:bidi="fa-IR"/>
        </w:rPr>
        <w:t xml:space="preserve">ولابدّ له من إیجاب وقبول مخصوصین؛ لأنّه من العقود اللازمة الناقلة للمال من ذمّة المضمون عنه إلی ذمّة الضامن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والإیجاب ضمنت، وتکفّلت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ویتمیّز عن مطلق الکفالة بجعل متعلّقها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وتقبّلت،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الدالّة علیه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مالک عندی، أو علیّ، أو ما علیه علیّ، فلیس بصریح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إرادته أنّ للغریم تحت یده مالاً، أو أ نّه قادر علی تخلیصه، أو أنّ علیه السعی أو المساعدة،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لاقتضاء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w:t>
      </w:r>
      <w:r>
        <w:rPr>
          <w:rFonts w:eastAsia="IRNazanin" w:cs="IRNazanin"/>
          <w:color w:val="111111"/>
          <w:sz w:val="28"/>
          <w:szCs w:val="28"/>
          <w:rtl w:val="true"/>
          <w:lang w:bidi="fa-IR"/>
        </w:rPr>
        <w:t xml:space="preserve">»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فکافٍ؛ لانتفاء الاحتمال مع تصریحه بالمال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المضمون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بالضمان وإن لم یصرّح بالقبول </w:t>
      </w:r>
      <w:r>
        <w:rPr>
          <w:rStyle w:val="FootnoteAnchor"/>
          <w:rtl w:val="true"/>
        </w:rPr>
        <w:footnoteReference w:id="1419"/>
      </w:r>
      <w:r>
        <w:rPr>
          <w:rFonts w:ascii="IRNazanin" w:hAnsi="IRNazanin" w:eastAsia="IRNazanin"/>
          <w:color w:val="111111"/>
          <w:sz w:val="28"/>
          <w:sz w:val="28"/>
          <w:szCs w:val="28"/>
          <w:rtl w:val="true"/>
          <w:lang w:bidi="fa-IR"/>
        </w:rPr>
        <w:t>لأنّ حقّه یتحوّل من ذمّة إلی اُخری، والناس یختلفون فی حسن المعاملة وسهولة القضاء، فلابدّ من رضاه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یعتبر القبول، للأصل؛ لأ نّه وفاء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الأوّل؛ لأنّه عقد لازم فلابدّ له من إیجاب وقبول لفظیّین </w:t>
      </w:r>
      <w:r>
        <w:rPr>
          <w:rStyle w:val="FootnoteAnchor"/>
          <w:rtl w:val="true"/>
        </w:rPr>
        <w:footnoteReference w:id="1420"/>
      </w:r>
      <w:r>
        <w:rPr>
          <w:rFonts w:ascii="IRNazanin" w:hAnsi="IRNazanin" w:eastAsia="IRNazanin"/>
          <w:color w:val="111111"/>
          <w:sz w:val="28"/>
          <w:sz w:val="28"/>
          <w:szCs w:val="28"/>
          <w:rtl w:val="true"/>
          <w:lang w:bidi="fa-IR"/>
        </w:rPr>
        <w:t>صریحین متطابقین عربیّین، فعلی ما اختاره من اشتراطه یعتبر فیه ما یعتبر فی العقود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القول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یشترط فوریّة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وحصول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رضاه مطلقاً </w:t>
      </w:r>
      <w:r>
        <w:rPr>
          <w:rStyle w:val="FootnoteAnchor"/>
          <w:rtl w:val="true"/>
        </w:rPr>
        <w:footnoteReference w:id="1421"/>
      </w:r>
      <w:r>
        <w:rPr>
          <w:rFonts w:ascii="IRNazanin" w:hAnsi="IRNazanin" w:eastAsia="IRNazanin"/>
          <w:color w:val="111111"/>
          <w:sz w:val="28"/>
          <w:sz w:val="28"/>
          <w:szCs w:val="28"/>
          <w:rtl w:val="true"/>
          <w:lang w:bidi="fa-IR"/>
        </w:rPr>
        <w:t xml:space="preserve">لما روی من ضمان علی علیه الصلاة والسلام دین المیّت الذی امتنع النبیّ صلی الله علیه و آله من الصلاة علیه؛ لمکان دینه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عبرة بالغریم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المضمون عنه؛ لما ذکرناه من أ نّه وفاء عنه، وهو غیر متوقّف علی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یرجع علیه مع عدم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الضمان وإن أذن فی الأداء؛ لأنّه 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والضمان هو الناقل للمال من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الأمرین مما أدّاه، ومن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أدّی أزید منه کان متبرّعاً بالزائد، وإن أدّی أقلّ لم یرجع بغیره، سواء أسقط الزائد عنه بصلح أم 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وهبه بعد ما أدّی الجمیع البعض أو الجمیع جاز رجوعه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أدّی عرضاً رجع بأقلّ الأمرین من قیمته ومن الحقّ، سواء رضی المضمون له به عن الحقّ من غیر عقد، أو بصلح</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مالکاً لما یوفی به الحقّ المضمون فاضلاً عن المستثینات فی وفاء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المستحقّ بإعساره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الضمان، فلو لم یعلم به حتی ضمن تخیّر المضمون له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تعتبر الملاءة فی الابتداء، لا الاستدامة، فلو تجدّد إعساره بعد الضمان</w:t>
      </w:r>
    </w:p>
    <w:p>
      <w:pPr>
        <w:pStyle w:val="BookText"/>
        <w:rPr/>
      </w:pPr>
      <w:r>
        <w:rPr>
          <w:rFonts w:ascii="IRNazanin" w:hAnsi="IRNazanin" w:eastAsia="IRNazanin"/>
          <w:color w:val="111111"/>
          <w:sz w:val="28"/>
          <w:sz w:val="28"/>
          <w:szCs w:val="28"/>
          <w:rtl w:val="true"/>
          <w:lang w:bidi="fa-IR"/>
        </w:rPr>
        <w:t>لم یکن له الفسخ، لتحقّق الشرط حالته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 یقدح تجدّد إعساره فکذا تعذّر الاستیفاء منه بوجه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ویجوز الضمان حالاًّ ومؤجّلاً، عن حالٍّ ومؤجّلٍ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تساوی المؤجّلان فی الأجل أم تفاوتا؛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کان الدین حالاًّ رجع مع الأداء مطلقاً، وإن کان مؤجّلاً فلا رجوع علیه إلّابعد حلوله وأدائه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والمال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جاز أخذ الرهن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المال الثابت فی الذمّة وإن کان متزلزلاً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ضمن للمشتری عهدة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درکه علی تقدیر الاحتیاج إلی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موضع یبطل فیه البیع من رأس کالاستحقاق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للمبیع المعیّن ولم یجز المالک البیع، أو أجازه ولم یجز قبض البائع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تبیّن خلل فی البیع اقتضی فساده من رأس، کتخلّف شرط أو اقتران شرط فاسد، لا ما تجدّد فیه البطلان کالفسخ بالتقایل والمجلس والحیوان والشرط وتلف المبیع قبل القبض؛ لعدم اشتغال ذمّة المضمون عنه حین الضمان علی تقدیر طروء الانفساخ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الباطل من أصله ولو فی نفس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للمشتری ضامن عن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ما یحدثه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بناءٍ أو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ظهورها مستحقّة لغیر البائع وقلعه لها أو أخذه اُجرة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سبب الضمان حالة العقد، وهو کون الأرض مستحقّة للغیر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الضمان هنا؛ لأنّه ضمان ما لم یجب </w:t>
      </w:r>
      <w:r>
        <w:rPr>
          <w:rStyle w:val="FootnoteAnchor"/>
          <w:rtl w:val="true"/>
        </w:rPr>
        <w:footnoteReference w:id="1423"/>
      </w:r>
      <w:r>
        <w:rPr>
          <w:rFonts w:ascii="IRNazanin" w:hAnsi="IRNazanin" w:eastAsia="IRNazanin"/>
          <w:color w:val="111111"/>
          <w:sz w:val="28"/>
          <w:sz w:val="28"/>
          <w:szCs w:val="28"/>
          <w:rtl w:val="true"/>
          <w:lang w:bidi="fa-IR"/>
        </w:rPr>
        <w:t>لعدم استحقاق المشتری الأرش علی البائع حینئذٍ، وإنّما استحقّه بعد القلع</w:t>
      </w:r>
      <w:r>
        <w:rPr>
          <w:rFonts w:eastAsia="IRNazanin" w:cs="IRNazanin"/>
          <w:color w:val="111111"/>
          <w:sz w:val="28"/>
          <w:szCs w:val="28"/>
          <w:rtl w:val="true"/>
          <w:lang w:bidi="fa-IR"/>
        </w:rPr>
        <w:t>.</w:t>
      </w:r>
      <w:bookmarkStart w:id="565" w:name="pg19812_249598"/>
    </w:p>
    <w:p>
      <w:pPr>
        <w:pStyle w:val="BookText"/>
        <w:rPr/>
      </w:pPr>
      <w:bookmarkEnd w:id="565"/>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هذا الضمان من البائع؛ لأنّه ثابت علیه بنفس العقد </w:t>
      </w:r>
      <w:r>
        <w:rPr>
          <w:rStyle w:val="FootnoteAnchor"/>
          <w:rtl w:val="true"/>
        </w:rPr>
        <w:footnoteReference w:id="1424"/>
      </w:r>
      <w:r>
        <w:rPr>
          <w:rFonts w:ascii="IRNazanin" w:hAnsi="IRNazanin" w:eastAsia="IRNazanin"/>
          <w:color w:val="111111"/>
          <w:sz w:val="28"/>
          <w:sz w:val="28"/>
          <w:szCs w:val="28"/>
          <w:rtl w:val="true"/>
          <w:lang w:bidi="fa-IR"/>
        </w:rPr>
        <w:t>وإن لم یضمن، فیکون ضمانه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ضعیف؛ لأنّه لا یلزم من ضمانه لکونه بائعاً مسلّطاً علی الانتفاع مجّاناً ضمانه بعقده مع عدم اجتماع شرائطه التی من جملتها کونه ثابتاً حال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فیما لو أسقط المشتری عنه حقّ الرجوع بسبب البیع، فیبقی له الرجوع بسبب الضمان لو قلنا بصحّته، کما لو کان له خیاران فأسقط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ضمان غیر البائع درک الغرس ضمانه عهدة المبیع لو ظهر معیباً فیطالب المشتری بالأرش؛ لأنّه جزء من الثمن ثابت وقت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العدم هنا أنّ الاستحقاق له إنّما حصل بعد العلم بالعیب واختیار أخذ الأرش، والموجود من العیب حالة العقد ما کان یلزمه تعیّن الأرش، بل التخییر بینه وبین الردّ، فلم یتعیّن الأرش إلّابعد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 نّه أحد الفردین الثابتین تخییراً حالة البیع، فیوصف بالثبوت قبل اختیاره، کأفراد الواجب المخیّر</w:t>
      </w:r>
      <w:r>
        <w:rPr>
          <w:rFonts w:eastAsia="IRNazanin" w:cs="IRNazanin"/>
          <w:color w:val="111111"/>
          <w:sz w:val="28"/>
          <w:szCs w:val="28"/>
          <w:rtl w:val="true"/>
          <w:lang w:bidi="fa-IR"/>
        </w:rPr>
        <w:t>.</w:t>
      </w:r>
    </w:p>
    <w:p>
      <w:pPr>
        <w:pStyle w:val="Heading3"/>
        <w:numPr>
          <w:ilvl w:val="2"/>
          <w:numId w:val="1"/>
        </w:numPr>
        <w:rPr/>
      </w:pPr>
      <w:bookmarkStart w:id="566" w:name="__RefHeading___Toc2093166_2314609296"/>
      <w:bookmarkStart w:id="567" w:name="_Toc206"/>
      <w:bookmarkEnd w:id="566"/>
      <w:r>
        <w:rPr>
          <w:rtl w:val="true"/>
        </w:rPr>
        <w:t>[</w:t>
      </w:r>
      <w:r>
        <w:rPr>
          <w:rtl w:val="true"/>
        </w:rPr>
        <w:t>صور تهمة الضامن</w:t>
      </w:r>
      <w:r>
        <w:rPr>
          <w:rtl w:val="true"/>
        </w:rPr>
        <w:t>]</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أنکر المستحقّ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علیه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کان آمراً بالضمان فشهادته علیه شهادة علی نفسه باستحقاق الرجوع علیه وشهادة لغیره فتسمع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الضامن متبرّعاً عنه فهو أجنبیّ فلا مانع من قبولها؛ لبراءته من الدین أدّی أم لم یؤدّ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إنّما 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تفیده الشهادة فائدة زائدة علی ما یغرمه لو لم یثبت الأداء، فتردّ، وللتهمة صور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الضامن معسراً ولم یعلم المضمون له بإعساره، فإنّ له</w:t>
      </w:r>
    </w:p>
    <w:p>
      <w:pPr>
        <w:pStyle w:val="BookText"/>
        <w:rPr/>
      </w:pPr>
      <w:r>
        <w:rPr>
          <w:rFonts w:ascii="IRNazanin" w:hAnsi="IRNazanin" w:eastAsia="IRNazanin"/>
          <w:color w:val="111111"/>
          <w:sz w:val="28"/>
          <w:sz w:val="28"/>
          <w:szCs w:val="28"/>
          <w:rtl w:val="true"/>
          <w:lang w:bidi="fa-IR"/>
        </w:rPr>
        <w:t>الفسخ حیث لا یثبت الأداء، ویرجع علی المضمون عنه فیدفع بشهادته عود الحقّ إلی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الضامن قد تجدّد علیه الحجر للفلس، وللمضمون عنه علیه دین، فإنّه یوفّر بشهادته مال المفلّس فیزداد ما یضرب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هاتین بین کون الضامن متبرّعاً وبسؤال؛ لأنّ فسخ الضمان یوجب العود علی المدیون علی التقدیرین، ومع الإفلاس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بعضهم </w:t>
      </w:r>
      <w:r>
        <w:rPr>
          <w:rStyle w:val="FootnoteAnchor"/>
          <w:rtl w:val="true"/>
        </w:rPr>
        <w:footnoteReference w:id="1425"/>
      </w:r>
      <w:r>
        <w:rPr>
          <w:rFonts w:ascii="IRNazanin" w:hAnsi="IRNazanin" w:eastAsia="IRNazanin"/>
          <w:color w:val="111111"/>
          <w:sz w:val="28"/>
          <w:sz w:val="28"/>
          <w:szCs w:val="28"/>
          <w:rtl w:val="true"/>
          <w:lang w:bidi="fa-IR"/>
        </w:rPr>
        <w:t>من صور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الضامن قد صالح علی أقلّ من الحقّ، فیکون رجوعه علی تقدیر کونه بسؤال إنّما هو بالمدفوع، فتجرّ شهادة المضمون عنه تهمة بتخفیف الدین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لأنّه یکفی فی سقوط الزائد عن المضمون عنه اعتراف الضامن بذلک، فلا یرجع به وإن لم یثبته فتندفع التهمة وتقبل الشهادة کما نبّه علیه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عدم قبول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للتهمة أو لعدم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غرم الضامن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لو کان ضامناً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أدّاه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لتصادقهما علی کونه هو المستحقّ فی ذمّة المضمون عنه واعترافه بأنّ المضمون له ظالم بالأخذ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مساواة الأوّل للحقّ أو قصوره، وإلّا رجع علیه بأقلّ الأمرین منه ومن الحقّ؛ لأنّه لا یستحقّ الرجوع بالزائد علیه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لو صدّقه علی الدفع وإن لم یشهد، ویمکن دخوله فی عدم قبول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یصدّقه علی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ادّعی أداءه أوّلاً وأداءه أخیراً؛ لأنّ الأقلّ إن کان هو الأوّل فهو یعترف بأ نّه لا یستحقّ سواه وأنّ المضمون له ظلمه فی الثانی، وإن کان الثانی فلم یثبت ظاهراً سواه، وعلی ما بیّنّاه یرجع بالأقلّ منهما ومن الحقّ</w:t>
      </w:r>
      <w:r>
        <w:rPr>
          <w:rFonts w:eastAsia="IRNazanin" w:cs="IRNazanin"/>
          <w:color w:val="111111"/>
          <w:sz w:val="28"/>
          <w:szCs w:val="28"/>
          <w:rtl w:val="true"/>
          <w:lang w:bidi="fa-IR"/>
        </w:rPr>
        <w:t>.</w:t>
      </w:r>
      <w:bookmarkStart w:id="568" w:name="pg19812_249600"/>
    </w:p>
    <w:p>
      <w:pPr>
        <w:pStyle w:val="Heading2"/>
        <w:numPr>
          <w:ilvl w:val="1"/>
          <w:numId w:val="1"/>
        </w:numPr>
        <w:rPr/>
      </w:pPr>
      <w:bookmarkStart w:id="569" w:name="__RefHeading___Toc2093168_2314609296"/>
      <w:bookmarkStart w:id="570" w:name="_Toc207"/>
      <w:bookmarkEnd w:id="568"/>
      <w:bookmarkEnd w:id="569"/>
      <w:r>
        <w:rPr>
          <w:rtl w:val="true"/>
        </w:rPr>
        <w:t>کتاب الحوالة</w:t>
      </w:r>
      <w:bookmarkEnd w:id="57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2093170_2314609296"/>
      <w:bookmarkStart w:id="572" w:name="_Toc208"/>
      <w:bookmarkEnd w:id="571"/>
      <w:r>
        <w:rPr>
          <w:rtl w:val="true"/>
        </w:rPr>
        <w:t>اشارة</w:t>
      </w:r>
      <w:bookmarkStart w:id="573" w:name="pg19812_249602"/>
      <w:bookmarkEnd w:id="572"/>
    </w:p>
    <w:p>
      <w:pPr>
        <w:pStyle w:val="BookText"/>
        <w:rPr/>
      </w:pPr>
      <w:bookmarkEnd w:id="5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الحوالة</w:t>
      </w:r>
      <w:r>
        <w:rPr>
          <w:rFonts w:eastAsia="IRNazanin" w:cs="IRNazanin"/>
          <w:color w:val="111111"/>
          <w:sz w:val="28"/>
          <w:szCs w:val="28"/>
          <w:rtl w:val="true"/>
          <w:lang w:bidi="fa-IR"/>
        </w:rPr>
        <w:t>»</w:t>
      </w:r>
    </w:p>
    <w:p>
      <w:pPr>
        <w:pStyle w:val="Heading3"/>
        <w:numPr>
          <w:ilvl w:val="2"/>
          <w:numId w:val="1"/>
        </w:numPr>
        <w:rPr/>
      </w:pPr>
      <w:bookmarkStart w:id="574" w:name="__RefHeading___Toc2093172_2314609296"/>
      <w:bookmarkStart w:id="575" w:name="_Toc209"/>
      <w:bookmarkEnd w:id="574"/>
      <w:r>
        <w:rPr>
          <w:rtl w:val="true"/>
        </w:rPr>
        <w:t>[</w:t>
      </w:r>
      <w:r>
        <w:rPr>
          <w:rtl w:val="true"/>
        </w:rPr>
        <w:t>تعریفها</w:t>
      </w:r>
      <w:r>
        <w:rPr>
          <w:rtl w:val="true"/>
        </w:rPr>
        <w:t>]</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التعهّد بالمال من المشغول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القدر المتّفق علیه من الحوالة، وإلّا فالأقوی جوازها علی البریء؛ للأصل لکنّه یکون أشبه بالضمان؛ لاقتضائه نقل المال من ذمّة مشغولة إلی ذمّة بریئة، فکأنّ المحال علیه بقبوله لها ضامن لدین المحتال علی المحیل، ولکنّها لا تخرج بهذا الشبه عن أصل الحوالة، فتلحقها أحکامها</w:t>
      </w:r>
      <w:r>
        <w:rPr>
          <w:rFonts w:eastAsia="IRNazanin" w:cs="IRNazanin"/>
          <w:color w:val="111111"/>
          <w:sz w:val="28"/>
          <w:szCs w:val="28"/>
          <w:rtl w:val="true"/>
          <w:lang w:bidi="fa-IR"/>
        </w:rPr>
        <w:t>.</w:t>
      </w:r>
    </w:p>
    <w:p>
      <w:pPr>
        <w:pStyle w:val="Heading3"/>
        <w:numPr>
          <w:ilvl w:val="2"/>
          <w:numId w:val="1"/>
        </w:numPr>
        <w:rPr/>
      </w:pPr>
      <w:bookmarkStart w:id="576" w:name="__RefHeading___Toc2093174_2314609296"/>
      <w:bookmarkStart w:id="577" w:name="_Toc210"/>
      <w:bookmarkEnd w:id="576"/>
      <w:r>
        <w:rPr>
          <w:rtl w:val="true"/>
        </w:rPr>
        <w:t>[</w:t>
      </w:r>
      <w:r>
        <w:rPr>
          <w:rtl w:val="true"/>
        </w:rPr>
        <w:t>شروطها</w:t>
      </w:r>
      <w:r>
        <w:rPr>
          <w:rtl w:val="true"/>
        </w:rPr>
        <w:t>]</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فیها رضی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رضی المحیل والمحتال فموضع وفاق، ولأنّ من علیه الحقّ مخیّر فی جهات القضاء من ماله، ودینه المحال به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والمحتال حقّه ثابت فی ذمّة المحیل فلا یلزمه نقله إلی ذمّة اُخری بغیر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المحال علیه فاشتراط رضاه هو المشهور؛ ولأ نّه أحد أرکان الحوالة، ولاختلاف الناس فی الاقتضاء سهولةً وصعوبةً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لأنّ المحیل قد أقام المحتال مقام نفسه فی القبض بالحوالة، فلا وجه للافتقار إلی رضی مَن علیه الحقّ، کما لو وکّله فی القبض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الناس فی الاقتضاء لا یمنع من مطالبة المستحقّ ومن نصبه خصوصاً مع اتّفاق الحقّین جنساً ووصفاً، فعدم اعتباره أقوی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کانا مختلفین وکان الغرض استیفاء مثل حقّ المحتال توجّه اعتبار</w:t>
      </w:r>
      <w:bookmarkStart w:id="578" w:name="pg19812_249603"/>
    </w:p>
    <w:p>
      <w:pPr>
        <w:pStyle w:val="BookText"/>
        <w:rPr/>
      </w:pPr>
      <w:bookmarkEnd w:id="578"/>
      <w:r>
        <w:rPr>
          <w:rFonts w:ascii="IRNazanin" w:hAnsi="IRNazanin" w:eastAsia="IRNazanin"/>
          <w:color w:val="111111"/>
          <w:sz w:val="28"/>
          <w:sz w:val="28"/>
          <w:szCs w:val="28"/>
          <w:rtl w:val="true"/>
          <w:lang w:bidi="fa-IR"/>
        </w:rPr>
        <w:t>رضی المحال علیه؛ لأنّ ذلک بمنزلة المعاوضة الجدیدة فلابدّ من رضی المتعاوضین، ولو رضی المحتال بأخذ جنس ما علی المحال علیه زال المحذور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اعتبار رضاه لیس هو علی حدّ رضاهما؛ لأنّ الحوالة عقد لازم لا یتمّ إلّابإیجاب وقبول، فالإیجاب من المحیل والقبول من 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فیهما ما یعتبر فی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اللفظ العربی، والمطابقة،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رضی المحال علیه فیکفی کیف اتّفق، متقدّماً ومتأخّراً ومقارناً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جوّزنا الحوالة علی البریء اعتبر رضاه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ویُستثنی من اعتبار رضی المحیل ما لو تبرّع المحال علیه بالوفاء، فلا یعتبر رضی المحیل قطعاً؛ لأنّه وفاء دینه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عنه حینئذٍ أن یقول المحال علیه للمحتال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أحلتک بالدین الذی لک علی فلان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فیقومان برکن العقد</w:t>
      </w:r>
      <w:r>
        <w:rPr>
          <w:rFonts w:eastAsia="IRNazanin" w:cs="IRNazanin"/>
          <w:color w:val="111111"/>
          <w:sz w:val="28"/>
          <w:szCs w:val="28"/>
          <w:rtl w:val="true"/>
          <w:lang w:bidi="fa-IR"/>
        </w:rPr>
        <w:t>.</w:t>
      </w:r>
    </w:p>
    <w:p>
      <w:pPr>
        <w:pStyle w:val="Heading3"/>
        <w:numPr>
          <w:ilvl w:val="2"/>
          <w:numId w:val="1"/>
        </w:numPr>
        <w:rPr/>
      </w:pPr>
      <w:bookmarkStart w:id="579" w:name="__RefHeading___Toc2093176_2314609296"/>
      <w:bookmarkStart w:id="580" w:name="_Toc211"/>
      <w:bookmarkEnd w:id="579"/>
      <w:r>
        <w:rPr>
          <w:rtl w:val="true"/>
        </w:rPr>
        <w:t>[</w:t>
      </w:r>
      <w:r>
        <w:rPr>
          <w:rtl w:val="true"/>
        </w:rPr>
        <w:t>احکامها</w:t>
      </w:r>
      <w:r>
        <w:rPr>
          <w:rtl w:val="true"/>
        </w:rPr>
        <w:t>]</w:t>
      </w:r>
      <w:bookmarkEnd w:id="580"/>
    </w:p>
    <w:p>
      <w:pPr>
        <w:pStyle w:val="BookText"/>
        <w:rPr/>
      </w:pPr>
      <w:r>
        <w:rPr>
          <w:rFonts w:ascii="IRNazanin" w:hAnsi="IRNazanin" w:eastAsia="IRNazanin"/>
          <w:color w:val="111111"/>
          <w:sz w:val="28"/>
          <w:sz w:val="28"/>
          <w:szCs w:val="28"/>
          <w:rtl w:val="true"/>
          <w:lang w:bidi="fa-IR"/>
        </w:rPr>
        <w:t xml:space="preserve">وحیث تتمّ الحوالة 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فیتحوّل فیها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ذمّة المحیل إلی ذمّة المحال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ویبرأ المحیل من حقّ المحتال بمجرّدها وإن لم یُبرئه المحتال؛ لدلالة التحوّل علیه فی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قبولها علی الملیء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الواجب أداء الدین، والحوالة لیست أداءً وإنّما هی نقل له من ذمّة إلی اُخری فلا یجب قبولها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الأمر بقبولها علی الملیء </w:t>
      </w:r>
      <w:r>
        <w:rPr>
          <w:rStyle w:val="FootnoteAnchor"/>
          <w:rtl w:val="true"/>
        </w:rPr>
        <w:footnoteReference w:id="1426"/>
      </w:r>
      <w:r>
        <w:rPr>
          <w:rFonts w:ascii="IRNazanin" w:hAnsi="IRNazanin" w:eastAsia="IRNazanin"/>
          <w:color w:val="111111"/>
          <w:sz w:val="28"/>
          <w:sz w:val="28"/>
          <w:szCs w:val="28"/>
          <w:rtl w:val="true"/>
          <w:lang w:bidi="fa-IR"/>
        </w:rPr>
        <w:t>علی تقدیر صحّته محمول علی الاستحباب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إعساره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الحوالة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سواء شرط یساره أم لا، وسواء تجدّد له الیسار قبل الفسخ أم لا وإن زال الضرر،</w:t>
      </w:r>
    </w:p>
    <w:p>
      <w:pPr>
        <w:pStyle w:val="BookText"/>
        <w:rPr/>
      </w:pPr>
      <w:r>
        <w:rPr>
          <w:rFonts w:ascii="IRNazanin" w:hAnsi="IRNazanin" w:eastAsia="IRNazanin"/>
          <w:color w:val="111111"/>
          <w:sz w:val="28"/>
          <w:sz w:val="28"/>
          <w:szCs w:val="28"/>
          <w:rtl w:val="true"/>
          <w:lang w:bidi="fa-IR"/>
        </w:rPr>
        <w:t>عملاً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انعکس بأن کان مؤسراً حالتها فتجدّد إعساره فلا خیار؛ لوجود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ترامی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یحیل المحال علیه المحتال علی آخر ثمَّ یحیل الآخر محتاله علی ثالث،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ویبرأ المحال علیه فی کلّ مرتبة کالأوّل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یحیل المحال علیه فی بعض المراتب علی المحیل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الصورتین المحتال متّحد، وإنّما تعدّد المحال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ترامیه بأن یضمن الضامن آخرُ ثم یضمن الآخر ثالثٌ،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ودوره بأن یضمن المضمون عنه الضامن فی بعض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ومنعه الشیخ رحمه الله؛ لاستلزامه جعل الفرع أصلاً، ولعدم الفائدة </w:t>
      </w:r>
      <w:r>
        <w:rPr>
          <w:rStyle w:val="FootnoteAnchor"/>
          <w:rtl w:val="true"/>
        </w:rPr>
        <w:footnoteReference w:id="1427"/>
      </w:r>
      <w:r>
        <w:rPr>
          <w:rFonts w:ascii="IRNazanin" w:hAnsi="IRNazanin" w:eastAsia="IRNazanin"/>
          <w:color w:val="111111"/>
          <w:sz w:val="28"/>
          <w:sz w:val="28"/>
          <w:szCs w:val="28"/>
          <w:rtl w:val="true"/>
          <w:lang w:bidi="fa-IR"/>
        </w:rPr>
        <w:t>ویضعَّف بأنَّ الاختلاف فیهما غیر مانع، وقد تظهر الفائدة فی ضمان الحالّ مؤجّلاً وبالعکس، وفی الضمان بإذنٍ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ضامن یرجع مع الإذن علی مضمونه، لا علی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یرجع علیه الضامن الأوّل إن ضمن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الکفالة فیصحّ ترامیها، دون دورها؛ لأنّ حضور المکفول الأوّل یُبطل ما تأخّر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تصحّ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 بغیر جنس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للمحتال علی المحیل، بأن یکون له علیه دراهم فیحیله علی آخر بدنانیر، سواء جعلنا الحوالة استیفاءً أم اعتیاضاً؛ لأنّ إیفاء الدین بغیر جنسه جائز مع التراضی، وکذا المعاوضة علی الدراهم بالدنانیر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انعکس فأحاله بحقّه علی من علیه مخالف صحّ أیضاً بناءً علی اشتراط رضی المحال علیه، سواء جعلناها استیفاء أم اعتیاضاً بتقریب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w:t>
      </w:r>
    </w:p>
    <w:p>
      <w:pPr>
        <w:pStyle w:val="BookText"/>
        <w:rPr/>
      </w:pPr>
      <w:r>
        <w:rPr>
          <w:rFonts w:ascii="IRNazanin" w:hAnsi="IRNazanin" w:eastAsia="IRNazanin"/>
          <w:color w:val="111111"/>
          <w:sz w:val="28"/>
          <w:sz w:val="28"/>
          <w:szCs w:val="28"/>
          <w:rtl w:val="true"/>
          <w:lang w:bidi="fa-IR"/>
        </w:rPr>
        <w:t>التقابض فی المجلس حیث تکون صرفاً؛ لأنّ المعاوضة علی هذا الوجه لیست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یعتبر رضی المحال علیه صحّ الأوّل دون الثانی؛ إذ لا یجب علی المدیون الأداء من غیر جنس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الشیخ رحمه الله </w:t>
      </w:r>
      <w:r>
        <w:rPr>
          <w:rStyle w:val="FootnoteAnchor"/>
          <w:rtl w:val="true"/>
        </w:rPr>
        <w:footnoteReference w:id="1428"/>
      </w:r>
      <w:r>
        <w:rPr>
          <w:rFonts w:ascii="Amiri" w:hAnsi="Amiri" w:eastAsia="Amiri" w:cs="Amiri"/>
          <w:color w:val="111111"/>
          <w:sz w:val="28"/>
          <w:sz w:val="28"/>
          <w:szCs w:val="28"/>
          <w:rtl w:val="true"/>
          <w:lang w:bidi="ar-SA"/>
        </w:rPr>
        <w:t xml:space="preserve">وجماعة </w:t>
      </w:r>
      <w:r>
        <w:rPr>
          <w:rStyle w:val="FootnoteAnchor"/>
          <w:rtl w:val="true"/>
        </w:rPr>
        <w:footnoteReference w:id="1429"/>
      </w:r>
      <w:r>
        <w:rPr>
          <w:rFonts w:ascii="IRNazanin" w:hAnsi="IRNazanin" w:eastAsia="IRNazanin"/>
          <w:color w:val="111111"/>
          <w:sz w:val="28"/>
          <w:sz w:val="28"/>
          <w:szCs w:val="28"/>
          <w:rtl w:val="true"/>
          <w:lang w:bidi="fa-IR"/>
        </w:rPr>
        <w:t>فیهما، فاشترطوا تساوی المال المحال به وعلیه جنساً ووصفاً، استناداً إلی أنّ الحوالة تحویل ما فی ذمّة المحیل إلی ذمّة المحال علیه، فإذا کان علی المحیل دراهم مثلاً وله علی المحال دنانیر، کیف یصیر حقّ المحتال علی المحال علیه دراهم ولم یقع عقد یوجب ذلک؟ لأنّا إن جعلناها استیفاءً کان المحتال بمنزلة من استوفی دینه وأقرضه المحال علیه، وحقّه الدراهم لا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معاوضة فلیست علی حقیقة المعاوضات التی یقصد بها تحصیل ما لیس بحاصل من جنس مال، أو زیادة قدر أو صفة، وإنّما هی معاوضة إرفاق ومسامحة للحاجة، فاعتبر فیها التجانس والتساوی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یظهر ممّا ذکرناه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تصحّ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 بدین علیه لواحد علی دین للمحیل علی اثنین متکافلین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قد ضمن کلّ منهما ما فی ذمّة صاحبه دفعة واحدة أو متلاحقین مع إرادة الثانی ضمان ما فی ذمّة الأوّل فی الأصل، لا مطلقاً؛ لئلّا یصیر المالان فی ذمّة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جواز الحوالة علیهما ظاهر؛ لوجود المقتضی للصحّة وانتفاء المانع؛ إذ لیس إلّاکونهما متکافلین، وذلک لا یصلح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ونبّه بذلک علی خلاف الشیخ رحمه الله حیث منع منه، محتّجاً باستلزامها زیادة الارتفاق، وهو ممتنع فی</w:t>
      </w:r>
    </w:p>
    <w:p>
      <w:pPr>
        <w:pStyle w:val="BookText"/>
        <w:rPr/>
      </w:pPr>
      <w:r>
        <w:rPr>
          <w:rFonts w:ascii="Amiri" w:hAnsi="Amiri" w:eastAsia="Amiri" w:cs="Amiri"/>
          <w:color w:val="111111"/>
          <w:sz w:val="28"/>
          <w:sz w:val="28"/>
          <w:szCs w:val="28"/>
          <w:rtl w:val="true"/>
          <w:lang w:bidi="ar-SA"/>
        </w:rPr>
        <w:t xml:space="preserve">الحوالة </w:t>
      </w:r>
      <w:r>
        <w:rPr>
          <w:rStyle w:val="FootnoteAnchor"/>
          <w:rtl w:val="true"/>
        </w:rPr>
        <w:footnoteReference w:id="1430"/>
      </w:r>
      <w:r>
        <w:rPr>
          <w:rFonts w:ascii="IRNazanin" w:hAnsi="IRNazanin" w:eastAsia="IRNazanin"/>
          <w:color w:val="111111"/>
          <w:sz w:val="28"/>
          <w:sz w:val="28"/>
          <w:szCs w:val="28"/>
          <w:rtl w:val="true"/>
          <w:lang w:bidi="fa-IR"/>
        </w:rPr>
        <w:t>لوجوب موافقة الحقّ المحال به للمحال علیه من غیر زیادة ولا نقصان قدراً ووصفاً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التعلیل إنّما یتوجّه علی مذهب من یجعل الضمان ضمّ ذمّة إلی ذمّة </w:t>
      </w:r>
      <w:r>
        <w:rPr>
          <w:rStyle w:val="FootnoteAnchor"/>
          <w:rtl w:val="true"/>
        </w:rPr>
        <w:footnoteReference w:id="1431"/>
      </w:r>
      <w:r>
        <w:rPr>
          <w:rFonts w:ascii="IRNazanin" w:hAnsi="IRNazanin" w:eastAsia="IRNazanin"/>
          <w:color w:val="111111"/>
          <w:sz w:val="28"/>
          <w:sz w:val="28"/>
          <w:szCs w:val="28"/>
          <w:rtl w:val="true"/>
          <w:lang w:bidi="fa-IR"/>
        </w:rPr>
        <w:t>فیتخیّر حینئذٍ فی مطالبة کلّ منهما بمجموع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علی مذهب أصحابنا من أ نّه ناقل للمال من ذمّة المحیل إلی ذمّة المحال علیه فلا ارتفاق، بل غایته انتقال ما علی کلّ منهما إلی ذمّة صاحبه، فیبقی الأمر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تسلیمه لا یصلح للمانعیّة؛ لأنّ مطلق الارتفاق بها غیر مانع إجماعاً، کما لو أحاله علی أملی منه وأحسن وفاءً</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أدّی المحال علیه فطلب </w:t>
      </w:r>
      <w:r>
        <w:rPr>
          <w:rStyle w:val="FootnoteAnchor"/>
          <w:rtl w:val="true"/>
        </w:rPr>
        <w:footnoteReference w:id="1432"/>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أدّاه علی المحیل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لإنکاره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وزعمه أنّ الحوالة علی البریء بناءً علی جواز الحوالة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وادّعاه المحیل، تعارض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براءة ذمّة المحال علیه من دین المحیل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کونه مشغول الذمّة؛ إذ الظاهر أ نّه لولا اشتغال ذمّته لما اُحیل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الثانی حیث یتعارضان غالباً، وإنّما یتخلّف فی مواضع نادرة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المحال علیه علی أ نّه بریء من دین المحیل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بما غرم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الواقع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الحوالة أو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الحوالة علی البریء أشبه بالضمان، فتصحّ بلفظه، وأیضاً فهو یطلق علی ما یشملهما </w:t>
      </w:r>
      <w:r>
        <w:rPr>
          <w:rStyle w:val="FootnoteAnchor"/>
          <w:rtl w:val="true"/>
        </w:rPr>
        <w:footnoteReference w:id="1433"/>
      </w:r>
      <w:r>
        <w:rPr>
          <w:rFonts w:ascii="IRNazanin" w:hAnsi="IRNazanin" w:eastAsia="IRNazanin"/>
          <w:color w:val="111111"/>
          <w:sz w:val="28"/>
          <w:sz w:val="28"/>
          <w:szCs w:val="28"/>
          <w:rtl w:val="true"/>
          <w:lang w:bidi="fa-IR"/>
        </w:rPr>
        <w:t>بالمعنی الأعمّ، فیصحّ التعبیر به عنها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الفرق بین الصیغتین، فیقبل مع التعبیر بالضمان دون الحوالة، عملاً بالظاهر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اشترطنا فی الحوالة اشتغال ذمّة المحال علیه بمثل الحقّ تعارض أصل الصحّة والبراءة فیتساقطان، ویبقی مع المحال علیه أداء دین المحیل بإذنه فیرجع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وقوع الإذن فی ضمن الحوالة الباطلة المقتضی بطلانها لبطلان تابعها؛ لاتّفاقهما علی الإذن، وإنّما اختلفا فی أمر آخر، فإذا لم یثبت یبقی ما اتفّقا علیه من الإذن فی الوفاء المقتضی للرجوع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 الرجوع ترجیحاً للصحّة المستلزمة لشغل الذمّة</w:t>
      </w:r>
      <w:r>
        <w:rPr>
          <w:rFonts w:eastAsia="IRNazanin" w:cs="IRNazanin"/>
          <w:color w:val="111111"/>
          <w:sz w:val="28"/>
          <w:szCs w:val="28"/>
          <w:rtl w:val="true"/>
          <w:lang w:bidi="fa-IR"/>
        </w:rPr>
        <w:t>.</w:t>
      </w:r>
      <w:bookmarkStart w:id="581" w:name="pg19812_249608"/>
    </w:p>
    <w:p>
      <w:pPr>
        <w:pStyle w:val="Heading2"/>
        <w:numPr>
          <w:ilvl w:val="1"/>
          <w:numId w:val="1"/>
        </w:numPr>
        <w:rPr/>
      </w:pPr>
      <w:bookmarkStart w:id="582" w:name="__RefHeading___Toc2093178_2314609296"/>
      <w:bookmarkStart w:id="583" w:name="_Toc212"/>
      <w:bookmarkEnd w:id="581"/>
      <w:bookmarkEnd w:id="582"/>
      <w:r>
        <w:rPr>
          <w:rtl w:val="true"/>
        </w:rPr>
        <w:t>کتاب الکفالة</w:t>
      </w:r>
      <w:bookmarkEnd w:id="58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4" w:name="__RefHeading___Toc2093180_2314609296"/>
      <w:bookmarkStart w:id="585" w:name="_Toc213"/>
      <w:bookmarkEnd w:id="584"/>
      <w:r>
        <w:rPr>
          <w:rtl w:val="true"/>
        </w:rPr>
        <w:t>اشارة</w:t>
      </w:r>
      <w:bookmarkStart w:id="586" w:name="pg19812_249610"/>
      <w:bookmarkEnd w:id="585"/>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الکفالة</w:t>
      </w:r>
      <w:r>
        <w:rPr>
          <w:rFonts w:eastAsia="IRNazanin" w:cs="IRNazanin"/>
          <w:color w:val="111111"/>
          <w:sz w:val="28"/>
          <w:szCs w:val="28"/>
          <w:rtl w:val="true"/>
          <w:lang w:bidi="fa-IR"/>
        </w:rPr>
        <w:t>»</w:t>
      </w:r>
    </w:p>
    <w:p>
      <w:pPr>
        <w:pStyle w:val="Heading3"/>
        <w:numPr>
          <w:ilvl w:val="2"/>
          <w:numId w:val="1"/>
        </w:numPr>
        <w:rPr/>
      </w:pPr>
      <w:bookmarkStart w:id="587" w:name="__RefHeading___Toc2093182_2314609296"/>
      <w:bookmarkStart w:id="588" w:name="_Toc214"/>
      <w:bookmarkEnd w:id="587"/>
      <w:r>
        <w:rPr>
          <w:rtl w:val="true"/>
        </w:rPr>
        <w:t>[</w:t>
      </w:r>
      <w:r>
        <w:rPr>
          <w:rtl w:val="true"/>
        </w:rPr>
        <w:t>تعریفها</w:t>
      </w:r>
      <w:r>
        <w:rPr>
          <w:rtl w:val="true"/>
        </w:rPr>
        <w:t>]</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التعهّد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التزام إحضار المکفول متی طلبه المکفول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وشرطها رضی الکفیل والمکفول له، دون المکفول؛ لوجوب الحضور علیه متی طلبه صاحب الحقّ ولو بالدعوی، بنفسه أو وکیله، والکفیل بمنزلة الوکیل حیث یأمره به</w:t>
      </w:r>
      <w:r>
        <w:rPr>
          <w:rFonts w:eastAsia="IRNazanin" w:cs="IRNazanin"/>
          <w:color w:val="111111"/>
          <w:sz w:val="28"/>
          <w:szCs w:val="28"/>
          <w:rtl w:val="true"/>
          <w:lang w:bidi="fa-IR"/>
        </w:rPr>
        <w:t>.</w:t>
      </w:r>
    </w:p>
    <w:p>
      <w:pPr>
        <w:pStyle w:val="Heading3"/>
        <w:numPr>
          <w:ilvl w:val="2"/>
          <w:numId w:val="1"/>
        </w:numPr>
        <w:rPr/>
      </w:pPr>
      <w:bookmarkStart w:id="589" w:name="__RefHeading___Toc2093184_2314609296"/>
      <w:bookmarkStart w:id="590" w:name="_Toc215"/>
      <w:bookmarkEnd w:id="589"/>
      <w:r>
        <w:rPr>
          <w:rtl w:val="true"/>
        </w:rPr>
        <w:t>[</w:t>
      </w:r>
      <w:r>
        <w:rPr>
          <w:rtl w:val="true"/>
        </w:rPr>
        <w:t>احکام الکفالة</w:t>
      </w:r>
      <w:r>
        <w:rPr>
          <w:rtl w:val="true"/>
        </w:rPr>
        <w:t>]</w:t>
      </w:r>
      <w:bookmarkEnd w:id="590"/>
    </w:p>
    <w:p>
      <w:pPr>
        <w:pStyle w:val="BookText"/>
        <w:rPr/>
      </w:pPr>
      <w:r>
        <w:rPr>
          <w:rFonts w:ascii="IRNazanin" w:hAnsi="IRNazanin" w:eastAsia="IRNazanin"/>
          <w:color w:val="111111"/>
          <w:sz w:val="28"/>
          <w:sz w:val="28"/>
          <w:szCs w:val="28"/>
          <w:rtl w:val="true"/>
          <w:lang w:bidi="fa-IR"/>
        </w:rPr>
        <w:t>ویفتقر إلی إیجاب وقبول بین الأوّلین صادرین علی الوجه المعتبر فی العقد اللازم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وتصحّ حالّة ومؤجّلة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الثانی فموضع وفاق، وأمّا الأوّل فأصحّ القولین </w:t>
      </w:r>
      <w:r>
        <w:rPr>
          <w:rStyle w:val="FootnoteAnchor"/>
          <w:rtl w:val="true"/>
        </w:rPr>
        <w:footnoteReference w:id="1434"/>
      </w:r>
      <w:r>
        <w:rPr>
          <w:rFonts w:ascii="Amiri" w:hAnsi="Amiri" w:eastAsia="Amiri" w:cs="Amiri"/>
          <w:color w:val="111111"/>
          <w:sz w:val="28"/>
          <w:sz w:val="28"/>
          <w:szCs w:val="28"/>
          <w:rtl w:val="true"/>
          <w:lang w:bidi="ar-SA"/>
        </w:rPr>
        <w:t>لأنّ الحضور حقّ شرعیّ لا ینافیه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إلّامؤجّلة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یحتمل الزیادة والنقصان کغیره من الآجال المشترطة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ویبرأ الکفیل بتسلیمه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هناک مانع من تسلّمه کمتغلّب أو حبس ظالم، وکونه فی مکان لا یتمکّن من وضع یده علیه؛ لقوّة</w:t>
      </w:r>
    </w:p>
    <w:p>
      <w:pPr>
        <w:pStyle w:val="BookText"/>
        <w:rPr/>
      </w:pPr>
      <w:r>
        <w:rPr>
          <w:rFonts w:ascii="IRNazanin" w:hAnsi="IRNazanin" w:eastAsia="IRNazanin"/>
          <w:color w:val="111111"/>
          <w:sz w:val="28"/>
          <w:sz w:val="28"/>
          <w:szCs w:val="28"/>
          <w:rtl w:val="true"/>
          <w:lang w:bidi="fa-IR"/>
        </w:rPr>
        <w:t>المکفول وضعف المکفول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المکان المعیّن إن بیّناه فی العقد، وبلد العقد مع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بعده إن کانت مؤجّلة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شاء إن کانت حالّة،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سلّمه کذلک برئ، فإن امتنع سلّمه إلی الحاکم وبرئ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یمکن أشهد عدلین بإحضاره إلی المکفول له وامتناعه من قبضه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الکفیل من تسلیمه ألزمه الحاکم به، فإن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یُحضره، أو یؤدّی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أداؤه عنه کالدین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کالقصاص، والزوجیّة، والدعوی بعقوبة توجب حدّاً أو تعزیراً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بإحضاره حتماً مع الإمکان، وله عقوبته علیه کما فی کلّ ممتنع من أداء الحقّ مع قدرته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یمکنه الإحضار وکان له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کالدیة فی القتل وإن کان عمداً، ومهر مثل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إلزامه بإحضاره إذا طلبه المستحقّ مطلقاً؛ لعدم انحصار الأغراض فی أداء الحقّ </w:t>
      </w:r>
      <w:r>
        <w:rPr>
          <w:rStyle w:val="FootnoteAnchor"/>
          <w:rtl w:val="true"/>
        </w:rPr>
        <w:footnoteReference w:id="1437"/>
      </w:r>
      <w:r>
        <w:rPr>
          <w:rFonts w:ascii="Amiri" w:hAnsi="Amiri" w:eastAsia="Amiri" w:cs="Amiri"/>
          <w:color w:val="111111"/>
          <w:sz w:val="28"/>
          <w:sz w:val="28"/>
          <w:szCs w:val="28"/>
          <w:rtl w:val="true"/>
          <w:lang w:bidi="ar-SA"/>
        </w:rPr>
        <w:t>وهو 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علی تقدیر کون الحقّ مالاً وأدّاه الکفیل، فإن کان قد أدّی بإذنه رجع علیه، وکذا إن أدّی بغیر إذنه مع کفالته بإذنه وتعذّر إحضاره، وإلّا فلا رجوع</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الکفالة والضمان فی رجوع من أدّی بالإذن هنا وإن کفل بغیر الإذن، بخلاف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الکفالة لم تتعلّق بالمال بالذات وحکم الکفیل</w:t>
      </w:r>
    </w:p>
    <w:p>
      <w:pPr>
        <w:pStyle w:val="BookText"/>
        <w:rPr/>
      </w:pPr>
      <w:r>
        <w:rPr>
          <w:rFonts w:ascii="IRNazanin" w:hAnsi="IRNazanin" w:eastAsia="IRNazanin"/>
          <w:color w:val="111111"/>
          <w:sz w:val="28"/>
          <w:sz w:val="28"/>
          <w:szCs w:val="28"/>
          <w:rtl w:val="true"/>
          <w:lang w:bidi="fa-IR"/>
        </w:rPr>
        <w:t>بالنسبة إلیه حکم الأجنبیّ، فإذا أدّاه بإذن المدیون فله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الضامن؛ لانتقال المال إلی ذمّته بالضمان، فلا ینفعه بعده الإذن فی الأداء؛ لأنّه کإذن البریء للمدیون فی أداء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إذنه فی الکفالة إذا تعذّر إحضاره واستئذانه فی الأداء فذلک من لوازم الکفالة، والإذن فیها إذن فی لوازمها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علّق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متوقّع أو صفة مترقّبة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الضمان والحوالة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کغیرها من العقود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أحضره إلی کذا کان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الکفالة أبداً ولا یلزمه المال المشروط،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کذا إن لم أحضره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ما شرط من المال إن لم 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الحکمین روایة داود بن الحُصَین عن أبی العبّاس عن الصادق علیه السلام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الفرق بین الصیغتین من حیث الترکیب العربی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المصنّف والجماعة </w:t>
      </w:r>
      <w:r>
        <w:rPr>
          <w:rStyle w:val="FootnoteAnchor"/>
          <w:rtl w:val="true"/>
        </w:rPr>
        <w:footnoteReference w:id="1439"/>
      </w:r>
      <w:r>
        <w:rPr>
          <w:rFonts w:ascii="IRNazanin" w:hAnsi="IRNazanin" w:eastAsia="IRNazanin"/>
          <w:color w:val="111111"/>
          <w:sz w:val="28"/>
          <w:sz w:val="28"/>
          <w:szCs w:val="28"/>
          <w:rtl w:val="true"/>
          <w:lang w:bidi="fa-IR"/>
        </w:rPr>
        <w:t xml:space="preserve">عملوا بمضمون الروایة جامدین علی النصّ مع ضعف سنده </w:t>
      </w:r>
      <w:r>
        <w:rPr>
          <w:rStyle w:val="FootnoteAnchor"/>
          <w:rtl w:val="true"/>
        </w:rPr>
        <w:footnoteReference w:id="1440"/>
      </w:r>
      <w:r>
        <w:rPr>
          <w:rFonts w:ascii="Amiri" w:hAnsi="Amiri" w:eastAsia="Amiri" w:cs="Amiri"/>
          <w:color w:val="111111"/>
          <w:sz w:val="28"/>
          <w:sz w:val="28"/>
          <w:szCs w:val="28"/>
          <w:rtl w:val="true"/>
          <w:lang w:bidi="ar-SA"/>
        </w:rPr>
        <w:t xml:space="preserve">وربما تکلّف متکلّف </w:t>
      </w:r>
      <w:r>
        <w:rPr>
          <w:rStyle w:val="FootnoteAnchor"/>
          <w:rtl w:val="true"/>
        </w:rPr>
        <w:footnoteReference w:id="1441"/>
      </w:r>
      <w:r>
        <w:rPr>
          <w:rFonts w:ascii="IRNazanin" w:hAnsi="IRNazanin" w:eastAsia="IRNazanin"/>
          <w:color w:val="111111"/>
          <w:sz w:val="28"/>
          <w:sz w:val="28"/>
          <w:szCs w:val="28"/>
          <w:rtl w:val="true"/>
          <w:lang w:bidi="fa-IR"/>
        </w:rPr>
        <w:t>للفرق بما لا یسمن ولا یغنی من جوع، وإن أردت الوقوف علی</w:t>
      </w:r>
      <w:bookmarkStart w:id="591" w:name="pg19812_249613"/>
    </w:p>
    <w:p>
      <w:pPr>
        <w:pStyle w:val="BookText"/>
        <w:rPr/>
      </w:pPr>
      <w:bookmarkEnd w:id="591"/>
      <w:r>
        <w:rPr>
          <w:rFonts w:ascii="IRNazanin" w:hAnsi="IRNazanin" w:eastAsia="IRNazanin"/>
          <w:color w:val="111111"/>
          <w:sz w:val="28"/>
          <w:sz w:val="28"/>
          <w:szCs w:val="28"/>
          <w:rtl w:val="true"/>
          <w:lang w:bidi="fa-IR"/>
        </w:rPr>
        <w:t xml:space="preserve">تحقیق الحال فراجع ما حرّرناه فی ذلک بشرح </w:t>
      </w:r>
      <w:r>
        <w:rPr>
          <w:rStyle w:val="FootnoteAnchor"/>
          <w:rtl w:val="true"/>
        </w:rPr>
        <w:footnoteReference w:id="1442"/>
      </w:r>
      <w:r>
        <w:rPr>
          <w:rFonts w:ascii="IRNazanin" w:hAnsi="IRNazanin" w:eastAsia="IRNazanin"/>
          <w:color w:val="111111"/>
          <w:sz w:val="28"/>
          <w:sz w:val="28"/>
          <w:szCs w:val="28"/>
          <w:rtl w:val="true"/>
          <w:lang w:bidi="fa-IR"/>
        </w:rPr>
        <w:t xml:space="preserve">الشرائع </w:t>
      </w:r>
      <w:r>
        <w:rPr>
          <w:rStyle w:val="FootnoteAnchor"/>
          <w:rtl w:val="true"/>
        </w:rPr>
        <w:footnoteReference w:id="1443"/>
      </w:r>
      <w:r>
        <w:rPr>
          <w:rFonts w:ascii="IRNazanin" w:hAnsi="IRNazanin" w:eastAsia="IRNazanin"/>
          <w:color w:val="111111"/>
          <w:sz w:val="28"/>
          <w:sz w:val="28"/>
          <w:szCs w:val="28"/>
          <w:rtl w:val="true"/>
          <w:lang w:bidi="fa-IR"/>
        </w:rPr>
        <w:t xml:space="preserve">وغیره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2" w:name="__RefHeading___Toc2093186_2314609296"/>
      <w:bookmarkStart w:id="593" w:name="_Toc216"/>
      <w:bookmarkEnd w:id="592"/>
      <w:r>
        <w:rPr>
          <w:rtl w:val="true"/>
        </w:rPr>
        <w:t>[</w:t>
      </w:r>
      <w:r>
        <w:rPr>
          <w:rtl w:val="true"/>
        </w:rPr>
        <w:t>مسائل فی الکفالة</w:t>
      </w:r>
      <w:r>
        <w:rPr>
          <w:rtl w:val="true"/>
        </w:rPr>
        <w:t>]</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وتحصل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حکم الکفالة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الغریم من المستحقّ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فیلزمه إحضاره، أو أداء ما علیه إن أمکن، وعلی ما اخترناه </w:t>
      </w:r>
      <w:r>
        <w:rPr>
          <w:rStyle w:val="FootnoteAnchor"/>
          <w:rtl w:val="true"/>
        </w:rPr>
        <w:footnoteReference w:id="1445"/>
      </w:r>
      <w:r>
        <w:rPr>
          <w:rFonts w:ascii="IRNazanin" w:hAnsi="IRNazanin" w:eastAsia="IRNazanin"/>
          <w:color w:val="111111"/>
          <w:sz w:val="28"/>
          <w:sz w:val="28"/>
          <w:szCs w:val="28"/>
          <w:rtl w:val="true"/>
          <w:lang w:bidi="fa-IR"/>
        </w:rPr>
        <w:t>مع تعذّر 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 حیث یؤخذ منه المال لا رجوع له علی الغریم إذا لم یأمره بدفعه؛ إذ لم یحصل من الإطلاق ما یقتضی 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کان أم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إحضاره، أو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یقتصّ منه فی العمد؛ لأنّه لا یجب علی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استمرّ القاتل هارباً ذهب المال علی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تمکّن الولیّ منه فی العمد وجب علیه ردّ الدیة إلی الغارم وإن لم یقتصّ من القاتل؛ لأنّها وجبت لمکان الحیلولة وقد زالت، وعدم القتل الآن مستند إلی اختیار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تخلیص الغریم من ید کفیله وتعذّر استیفاء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قصاص أو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الحقّ من الکفیل، کان له الرجوع علی الذی خلّصه، کتخلیصه من ید المستحقّ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غاب المکفول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یُعرف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الکفیلُ بعد مطالبة المکفول له بإحضاره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مؤجّلة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مضت ولم یُحضره حُبس واُلزم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یُعرف موضعه لم یُکلَّف إحضاره؛ لعدم إمکانه، ولا شیء علیه؛ لأنّه لم یکفل المال ولم یقصر فی الإحضار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وینصرف الإطلاق إلی التسلیم فی موضع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المفهوم عند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لو کانا فی 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Style w:val="FootnoteAnchor"/>
          <w:rtl w:val="true"/>
        </w:rPr>
        <w:footnoteReference w:id="1446"/>
      </w:r>
      <w:r>
        <w:rPr>
          <w:rFonts w:ascii="IRNazanin" w:hAnsi="IRNazanin" w:eastAsia="IRNazanin"/>
          <w:color w:val="111111"/>
          <w:sz w:val="28"/>
          <w:sz w:val="28"/>
          <w:szCs w:val="28"/>
          <w:rtl w:val="true"/>
          <w:lang w:bidi="fa-IR"/>
        </w:rPr>
        <w:t>بلد غربة قَصدهما مفارقَته سریعاً، لکنّهم لم یذکروا هنا خلافاً کالسلم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یندفع بالتعیین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غیر موضع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یعیّن أو یطلق ویحضره فی غیر ما عیّن شرعاً لا یجب تسلّمه وإن انتفی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المکفول حالة الکفالة فلا یلزمنی إحضاره فالقول قول المکفول له؛ لرجوع الدعوی إلی صحّة الکفالة وفسادها، فیقدّم قول مدّعی الصحّة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المکفول له ولزمه إحضاره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لم یثبت الحقّ بحلفه السابق؛ لأنّه لإثبات حقّ یصحّح الکفالة، ویکفی فیه توجّه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أقام بیّنة بالحقّ وأثبته عند الحاکم اُلزم به کما مرّ </w:t>
      </w:r>
      <w:r>
        <w:rPr>
          <w:rStyle w:val="FootnoteAnchor"/>
          <w:rtl w:val="true"/>
        </w:rPr>
        <w:footnoteReference w:id="1447"/>
      </w:r>
      <w:r>
        <w:rPr>
          <w:rFonts w:ascii="IRNazanin" w:hAnsi="IRNazanin" w:eastAsia="IRNazanin"/>
          <w:color w:val="111111"/>
          <w:sz w:val="28"/>
          <w:sz w:val="28"/>
          <w:szCs w:val="28"/>
          <w:rtl w:val="true"/>
          <w:lang w:bidi="fa-IR"/>
        </w:rPr>
        <w:t>ولا یرجع به علی المکفول؛ لاعترافه ببراءة ذمّته، وزعمه بأ نّه 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الکفیل للمکفول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 أو أوفاکَهُ؛ لأصالة بقائه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حلف المکفول له علی بقاء الحقّ برئ من دعوی الکفیل ولزمه إحضاره، فإن جاء بالمکفول فادّعی البراءة أیضاً لم یُکتفَ بالیمین التی حلفها للکفیل؛ لأنّها کانت لإثبات الکفالة، وهذه دعوی اُخری وإن لزمت تلک بالعرض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الیمین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الکفیل فحلف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من الکفالة والمال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یبرأ المکفول منه؛ لاختلاف الدعویین کما مرّ، ولأ نّه لا یبرأ بیمین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حلف المکفول الیمینَ المردودة علی البراءة برئا معاً؛ لسقوط الکفالة بسقوط الحقّ کما لو أدّاه، وکذا لو نکل المکفول له عن یمین المکفول فحلف برئا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تکفّل اثنان بواحد کفی تسلیم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تامّاً؛ لحصول الغرض، کما لو سلّم نفسه أو سلّمه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یشترط تسلیمه عنه وعن شریکه، أم یکفی الإطلاق؟ قولان </w:t>
      </w:r>
      <w:r>
        <w:rPr>
          <w:rStyle w:val="FootnoteAnchor"/>
          <w:rtl w:val="true"/>
        </w:rPr>
        <w:footnoteReference w:id="1448"/>
      </w:r>
      <w:r>
        <w:rPr>
          <w:rFonts w:ascii="IRNazanin" w:hAnsi="IRNazanin" w:eastAsia="IRNazanin"/>
          <w:color w:val="111111"/>
          <w:sz w:val="28"/>
          <w:sz w:val="28"/>
          <w:szCs w:val="28"/>
          <w:rtl w:val="true"/>
          <w:lang w:bidi="fa-IR"/>
        </w:rPr>
        <w:t>أجودهما الثانی، وهو الذی یقتضیه إطلاق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تسلیم نفسه وتسلیم الأجنبیّ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یبرأ مطلقاً؛ لتغایر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الفائدة لو هرب بعد تسلیم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تکفّل بواحد لاثنین فلابدّ من تسلیمه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لأنّ العقد للواحد هنا بمنزلة عقدین، کما لو تکفّل لکلّ واحد علی انفراده، أو ضمن دینین لشخصین فأدّی دین أحدهما، فإنّه لا یبرأ من دین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السابق، فإنّ الغرض من کفالتهما للواحد إحضاره وقد حصل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ویصحّ التعبیر </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الکفالة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بالبدن والرأس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کفلت لک بدن فلان أو رأسه أو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یعبّر بذلک عن الجملة، بل عن الذات</w:t>
      </w:r>
    </w:p>
    <w:p>
      <w:pPr>
        <w:pStyle w:val="BookText"/>
        <w:rPr/>
      </w:pPr>
      <w:r>
        <w:rPr>
          <w:rFonts w:ascii="IRNazanin" w:hAnsi="IRNazanin" w:eastAsia="IRNazanin"/>
          <w:color w:val="111111"/>
          <w:sz w:val="28"/>
          <w:sz w:val="28"/>
          <w:szCs w:val="28"/>
          <w:rtl w:val="true"/>
          <w:lang w:bidi="fa-IR"/>
        </w:rPr>
        <w:t xml:space="preserve">عرفاً، واُلحق به الکبد والقلب، وغیرهما من الأجزاء التی لا تبقی الحیاة بدونه </w:t>
      </w:r>
      <w:r>
        <w:rPr>
          <w:rStyle w:val="FootnoteAnchor"/>
          <w:rtl w:val="true"/>
        </w:rPr>
        <w:footnoteReference w:id="1451"/>
      </w:r>
      <w:r>
        <w:rPr>
          <w:rFonts w:ascii="IRNazanin" w:hAnsi="IRNazanin" w:eastAsia="IRNazanin"/>
          <w:color w:val="111111"/>
          <w:sz w:val="28"/>
          <w:sz w:val="28"/>
          <w:szCs w:val="28"/>
          <w:rtl w:val="true"/>
          <w:lang w:bidi="fa-IR"/>
        </w:rPr>
        <w:t>والجزءُ الشائع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کثُلثه وربعه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أ نّه لا یمکن إحضار المکفول إلّا بإحضاره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البدن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والرأس، فإنّهما وإن اُطلقا علی الجملة، لکن یطلقان علی أنفسهما إطلاقاً شائعاً متعارفاً إن لم یکن أشهر من إطلاقهما علی الجملة، وحمل اللفظ المحتمل للمعنیین علی الوجه المصحّح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حصوله وأصالة البراءة من مقتضی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صرّح بإرادة الجملة من الجزأین اتّجهت الصحّة کإرادة أحد معنیی المشترک، کما أ نّه لو قصد الجزء بعینه فکقصد الجزء الذی لا یمکن الحیاة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لا تبقی الحیاة بدونه مع عدم إطلاق اسم الجملة علیه حقیقة، فغایته أنّ إطلاقه علیها مجاز، وهو غیر کافٍ فی إثبات الأحکام الشرعیّة ویلزم مثله فی کلّ جزءٍ من البدن؛ فالمنع فی الجمیع أوجه، أو إلحاق الرأس والوجه مع قصد الجملة بهما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الید والرجل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قصدها بهما مجازاً </w:t>
      </w:r>
      <w:r>
        <w:rPr>
          <w:rStyle w:val="FootnoteAnchor"/>
          <w:rtl w:val="true"/>
        </w:rPr>
        <w:footnoteReference w:id="1452"/>
      </w:r>
      <w:r>
        <w:rPr>
          <w:rFonts w:ascii="IRNazanin" w:hAnsi="IRNazanin" w:eastAsia="IRNazanin"/>
          <w:color w:val="111111"/>
          <w:sz w:val="28"/>
          <w:sz w:val="28"/>
          <w:szCs w:val="28"/>
          <w:rtl w:val="true"/>
          <w:lang w:bidi="fa-IR"/>
        </w:rPr>
        <w:t>لأنّ المطلوب شرعاً کفالة المجموع باللفظ الصریح الصحیح کغیره من العقود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والتعلیل بعدم إمکان إحضار الجزء المکفول بدون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 قوّة کفالة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لأنّ المطلوب لمّا کان کفالة المجموع لم یکن البعض کافیاً فی صحّته وإن توقّف</w:t>
      </w:r>
    </w:p>
    <w:p>
      <w:pPr>
        <w:pStyle w:val="BookText"/>
        <w:rPr/>
      </w:pPr>
      <w:r>
        <w:rPr>
          <w:rFonts w:ascii="IRNazanin" w:hAnsi="IRNazanin" w:eastAsia="IRNazanin"/>
          <w:color w:val="111111"/>
          <w:sz w:val="28"/>
          <w:sz w:val="28"/>
          <w:szCs w:val="28"/>
          <w:rtl w:val="true"/>
          <w:lang w:bidi="fa-IR"/>
        </w:rPr>
        <w:t>إحضاره علیه؛ لأنّ الکلام لیس فی مجرّد الإحضار، بل علی وجه الکفالة الصحیحة، وهو منتفٍ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w:t>
      </w:r>
      <w:r>
        <w:rPr>
          <w:rStyle w:val="FootnoteAnchor"/>
          <w:rtl w:val="true"/>
        </w:rPr>
        <w:footnoteReference w:id="1453"/>
      </w:r>
      <w:r>
        <w:rPr>
          <w:rFonts w:ascii="IRNazanin" w:hAnsi="IRNazanin" w:eastAsia="IRNazanin"/>
          <w:color w:val="111111"/>
          <w:sz w:val="28"/>
          <w:sz w:val="28"/>
          <w:szCs w:val="28"/>
          <w:rtl w:val="true"/>
          <w:lang w:bidi="fa-IR"/>
        </w:rPr>
        <w:t>مات المکفول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إحضاره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الکفالة؛ لفوات متعلّقها وهو النفس، وفوات الغرض لو اُرید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الفرق بین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کفلت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إحضاره مع طلبه فی الثانی، دون الأوّل، بناءً علی ما اختاره المحقّقون من أنّ الإنسان لیس هو الهیکل المحسوس</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ویضعَّف بأنّ مثل ذلک منزَّل علی المتعارف، لا علی المحقَّق عند الأقلّ، فلا یجب علی التقدیرین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إلّافی الشهادة علی عینه </w:t>
      </w:r>
      <w:r>
        <w:rPr>
          <w:rStyle w:val="FootnoteAnchor"/>
          <w:rtl w:val="true"/>
        </w:rPr>
        <w:footnoteReference w:id="1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لیحکم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بإتلافه، أو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إذا کان قد شهد علیه من لا یعرف نسبه، بل شهد علی صورته، فیجب إحضاره میّتاً حیث یمکن الشهادة علیه بأن لا یکون قد تغیّر بحیث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حینئذ بین کونه قد دفن وعدمه؛ لأنّ ذلک مستثنی من تحریم نبشه</w:t>
      </w:r>
      <w:r>
        <w:rPr>
          <w:rFonts w:eastAsia="IRNazanin" w:cs="IRNazanin"/>
          <w:color w:val="111111"/>
          <w:sz w:val="28"/>
          <w:szCs w:val="28"/>
          <w:rtl w:val="true"/>
          <w:lang w:bidi="fa-IR"/>
        </w:rPr>
        <w:t>.</w:t>
      </w:r>
      <w:bookmarkStart w:id="594" w:name="pg19812_249618"/>
    </w:p>
    <w:p>
      <w:pPr>
        <w:pStyle w:val="Heading2"/>
        <w:numPr>
          <w:ilvl w:val="1"/>
          <w:numId w:val="1"/>
        </w:numPr>
        <w:rPr/>
      </w:pPr>
      <w:bookmarkStart w:id="595" w:name="__RefHeading___Toc2093188_2314609296"/>
      <w:bookmarkStart w:id="596" w:name="_Toc217"/>
      <w:bookmarkEnd w:id="594"/>
      <w:bookmarkEnd w:id="595"/>
      <w:r>
        <w:rPr>
          <w:rtl w:val="true"/>
        </w:rPr>
        <w:t>کتاب الصلح</w:t>
      </w:r>
      <w:bookmarkEnd w:id="596"/>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2093190_2314609296"/>
      <w:bookmarkStart w:id="598" w:name="_Toc218"/>
      <w:bookmarkEnd w:id="597"/>
      <w:r>
        <w:rPr>
          <w:rtl w:val="true"/>
        </w:rPr>
        <w:t>اشارة</w:t>
      </w:r>
      <w:bookmarkStart w:id="599" w:name="pg19812_249620"/>
      <w:bookmarkEnd w:id="598"/>
    </w:p>
    <w:p>
      <w:pPr>
        <w:pStyle w:val="BookText"/>
        <w:rPr/>
      </w:pPr>
      <w:bookmarkEnd w:id="5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w:t>
      </w:r>
    </w:p>
    <w:p>
      <w:pPr>
        <w:pStyle w:val="Heading3"/>
        <w:numPr>
          <w:ilvl w:val="2"/>
          <w:numId w:val="1"/>
        </w:numPr>
        <w:rPr/>
      </w:pPr>
      <w:bookmarkStart w:id="600" w:name="__RefHeading___Toc2093192_2314609296"/>
      <w:bookmarkStart w:id="601" w:name="_Toc219"/>
      <w:bookmarkEnd w:id="600"/>
      <w:r>
        <w:rPr>
          <w:rtl w:val="true"/>
        </w:rPr>
        <w:t>[</w:t>
      </w:r>
      <w:r>
        <w:rPr>
          <w:rtl w:val="true"/>
        </w:rPr>
        <w:t>احکام الصلح</w:t>
      </w:r>
      <w:r>
        <w:rPr>
          <w:rtl w:val="true"/>
        </w:rPr>
        <w:t>]</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جائز مع الإقرار والإنکار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مع سبق نزاع ولا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المدّعی محقّاً استباح ما دفع إلیه المنکر صلحاً وإلّا فهو حرام باطناً، عیناً کان أم دیناً، حتی لو صالح عن العین بمال فهی بأجمعها حرام، ولا یستثنی له منها مقدار ما دفع من العوض؛ لفساد المعاوضة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استندت الدعوی إلی قرینة کما لو وجد بخطّ مورّثه أنّ له حقّاً علی أحد فأنکر وصالحه علی إسقاطها بمال فالمتّجه صحّة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توجّهت الدعوی بالتهمة؛ لأنّ الیمین حقّ یصحّ الصلح علی إسقاطه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إلّاما أحلّ حراماً، أو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ورد فی الحدیث النبویّ صلی الله علیه و آله </w:t>
      </w:r>
      <w:r>
        <w:rPr>
          <w:rStyle w:val="FootnoteAnchor"/>
          <w:rtl w:val="true"/>
        </w:rPr>
        <w:footnoteReference w:id="1455"/>
      </w:r>
      <w:r>
        <w:rPr>
          <w:rFonts w:ascii="IRNazanin" w:hAnsi="IRNazanin" w:eastAsia="IRNazanin"/>
          <w:color w:val="111111"/>
          <w:sz w:val="28"/>
          <w:sz w:val="28"/>
          <w:szCs w:val="28"/>
          <w:rtl w:val="true"/>
          <w:lang w:bidi="fa-IR"/>
        </w:rPr>
        <w:t>وفُسّر تحلیل الحرام بالصلح علی استرقاق حرّ أو استباحة بضع لا سبب لاستباحته غیره، أو لیشرب الخمر،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وتحریم الحلال بأن لا یطأ أحدهما حلیلته، أو لا ینتفع بماله،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والصلح علی مثل هذه باطل ظاهراً وباطناً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وفُسّر بصلح المنکر علی بعض المدّعی أو منفعته أو بدله مع کون أحدهما</w:t>
      </w:r>
    </w:p>
    <w:p>
      <w:pPr>
        <w:pStyle w:val="BookText"/>
        <w:rPr/>
      </w:pPr>
      <w:r>
        <w:rPr>
          <w:rFonts w:ascii="IRNazanin" w:hAnsi="IRNazanin" w:eastAsia="IRNazanin"/>
          <w:color w:val="111111"/>
          <w:sz w:val="28"/>
          <w:sz w:val="28"/>
          <w:szCs w:val="28"/>
          <w:rtl w:val="true"/>
          <w:lang w:bidi="fa-IR"/>
        </w:rPr>
        <w:t xml:space="preserve">عالماً ببطلان الدعوی </w:t>
      </w:r>
      <w:r>
        <w:rPr>
          <w:rStyle w:val="FootnoteAnchor"/>
          <w:rtl w:val="true"/>
        </w:rPr>
        <w:footnoteReference w:id="1456"/>
      </w:r>
      <w:r>
        <w:rPr>
          <w:rFonts w:ascii="IRNazanin" w:hAnsi="IRNazanin" w:eastAsia="IRNazanin"/>
          <w:color w:val="111111"/>
          <w:sz w:val="28"/>
          <w:sz w:val="28"/>
          <w:szCs w:val="28"/>
          <w:rtl w:val="true"/>
          <w:lang w:bidi="fa-IR"/>
        </w:rPr>
        <w:t>لکنّه هنا صحیح ظاهراً وإن فسد باطناً، وهو صالح للأمرین معاً؛ لأنّه محلّل للحرام بالنسبة إلی الکاذب، ومحرّم للحلال بالنسبة إلی المحقّ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کان عقداً جائزاً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بالإیجاب والقبول الصادرین من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الحجر، وتصحّ وظیفة کلّ من الإیجاب والقبول من کلّ منهما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وتفریع اللزوم علی ما تقدّم </w:t>
      </w:r>
      <w:r>
        <w:rPr>
          <w:rStyle w:val="FootnoteAnchor"/>
          <w:rtl w:val="true"/>
        </w:rPr>
        <w:footnoteReference w:id="1457"/>
      </w:r>
      <w:r>
        <w:rPr>
          <w:rFonts w:ascii="IRNazanin" w:hAnsi="IRNazanin" w:eastAsia="IRNazanin"/>
          <w:color w:val="111111"/>
          <w:sz w:val="28"/>
          <w:sz w:val="28"/>
          <w:szCs w:val="28"/>
          <w:rtl w:val="true"/>
          <w:lang w:bidi="fa-IR"/>
        </w:rPr>
        <w:t xml:space="preserve">غیر حسن؛ لأنّه أعمّ منه ولو عطفه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التفاته إلیٰ أ نّه عقد والأصل فی العقود اللزوم إلّاما أخرجه الدلیل، للأمر بالوفاء بها فی الآیة المقتضی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أصل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أصحّ القولین وأشهرهما </w:t>
      </w:r>
      <w:r>
        <w:rPr>
          <w:rStyle w:val="FootnoteAnchor"/>
          <w:rtl w:val="true"/>
        </w:rPr>
        <w:footnoteReference w:id="1458"/>
      </w:r>
      <w:r>
        <w:rPr>
          <w:rFonts w:ascii="IRNazanin" w:hAnsi="IRNazanin" w:eastAsia="IRNazanin"/>
          <w:color w:val="111111"/>
          <w:sz w:val="28"/>
          <w:sz w:val="28"/>
          <w:szCs w:val="28"/>
          <w:rtl w:val="true"/>
          <w:lang w:bidi="fa-IR"/>
        </w:rPr>
        <w:t xml:space="preserve">لأصالة عدم الفرعیّة، لا فرع البیع والهبة والإجارة والعاریة والإبراء، کما ذهب إلیه الشیخ </w:t>
      </w:r>
      <w:r>
        <w:rPr>
          <w:rStyle w:val="FootnoteAnchor"/>
          <w:rtl w:val="true"/>
        </w:rPr>
        <w:footnoteReference w:id="1459"/>
      </w:r>
      <w:r>
        <w:rPr>
          <w:rFonts w:ascii="IRNazanin" w:hAnsi="IRNazanin" w:eastAsia="IRNazanin"/>
          <w:color w:val="111111"/>
          <w:sz w:val="28"/>
          <w:sz w:val="28"/>
          <w:szCs w:val="28"/>
          <w:rtl w:val="true"/>
          <w:lang w:bidi="fa-IR"/>
        </w:rPr>
        <w:t>فجعله فرعَ البیع إذا أفاد نقل العین بعوض معلوم، وفرعَ الإجارة إذا وقع علی منفعة معلومة بعوض معلوم، وفرعَ العاریة إذا تضمّن إباحة منفعة بغیر عوض، وفرعَ الهبة إذا تضمّن ملک العین بغیر عوض، وفرعَ الإبراء إذا تضمّن إسقاط دین، استناداً إلی إفادته فائدتها حیث یقع علی ذلک الوجه، فیلحقه حکم ما لحق به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إفادة عقد فائدة آخر لا تقتضی الاتّحاد، کما لا تقتضی الهبة</w:t>
      </w:r>
    </w:p>
    <w:p>
      <w:pPr>
        <w:pStyle w:val="BookText"/>
        <w:rPr/>
      </w:pPr>
      <w:r>
        <w:rPr>
          <w:rFonts w:ascii="IRNazanin" w:hAnsi="IRNazanin" w:eastAsia="IRNazanin"/>
          <w:color w:val="111111"/>
          <w:sz w:val="28"/>
          <w:sz w:val="28"/>
          <w:szCs w:val="28"/>
          <w:rtl w:val="true"/>
          <w:lang w:bidi="fa-IR"/>
        </w:rPr>
        <w:t xml:space="preserve">بعوض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طلبه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لصحّته مع الإقرار والإنکار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به علی خلاف بعض العامّة الذاهب إلی عدم صحّته مع الإنکار </w:t>
      </w:r>
      <w:r>
        <w:rPr>
          <w:rStyle w:val="FootnoteAnchor"/>
          <w:rtl w:val="true"/>
        </w:rPr>
        <w:footnoteReference w:id="1461"/>
      </w:r>
      <w:r>
        <w:rPr>
          <w:rFonts w:ascii="IRNazanin" w:hAnsi="IRNazanin" w:eastAsia="IRNazanin"/>
          <w:color w:val="111111"/>
          <w:sz w:val="28"/>
          <w:sz w:val="28"/>
          <w:szCs w:val="28"/>
          <w:rtl w:val="true"/>
          <w:lang w:bidi="fa-IR"/>
        </w:rPr>
        <w:t>حیث فرّع علیه أنّ طلبه إقرار؛ لأنّ إطلاقه ینصرف إلی الصحیح وإنّما یصحّ مع الإقرار، فیکون مستلزماً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اصطلح الشریکان علی أخذ أحدهما رأس المال والباقی للآخر رَبِح أو خَسِر صحّ عند انقضاء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فسخها، لتکون الزیادة مع من هی معه بمنزلة الهبة، والخسران علی من هو علیه بمنزلة الإبراء</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شرطا بقاءهما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ما یتجدّد من الربح والخسران لأحدهما، دون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مخالفته لوضع الشرکة حیث إنّها تقتضی کونهما علی حسب رأس المال، ومن إطلاق الروایة بجوازه بعد ظهور الربح </w:t>
      </w:r>
      <w:r>
        <w:rPr>
          <w:rStyle w:val="FootnoteAnchor"/>
          <w:rtl w:val="true"/>
        </w:rPr>
        <w:footnoteReference w:id="1462"/>
      </w:r>
      <w:r>
        <w:rPr>
          <w:rFonts w:ascii="IRNazanin" w:hAnsi="IRNazanin" w:eastAsia="IRNazanin"/>
          <w:color w:val="111111"/>
          <w:sz w:val="28"/>
          <w:sz w:val="28"/>
          <w:szCs w:val="28"/>
          <w:rtl w:val="true"/>
          <w:lang w:bidi="fa-IR"/>
        </w:rPr>
        <w:t>من غیر تقیید بإرادة القسمة صریحاً، فیجوز مع ظهوره أو ظهور الخسارة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نظره فی جواز الشرط مطلقاً وإن کان فی ابتداء الشرکة، کما ذهب إلیه الشیخ </w:t>
      </w:r>
      <w:r>
        <w:rPr>
          <w:rStyle w:val="FootnoteAnchor"/>
          <w:rtl w:val="true"/>
        </w:rPr>
        <w:footnoteReference w:id="1463"/>
      </w:r>
      <w:r>
        <w:rPr>
          <w:rFonts w:ascii="Amiri" w:hAnsi="Amiri" w:eastAsia="Amiri" w:cs="Amiri"/>
          <w:color w:val="111111"/>
          <w:sz w:val="28"/>
          <w:sz w:val="28"/>
          <w:szCs w:val="28"/>
          <w:rtl w:val="true"/>
          <w:lang w:bidi="ar-SA"/>
        </w:rPr>
        <w:t xml:space="preserve">وجماعة </w:t>
      </w:r>
      <w:r>
        <w:rPr>
          <w:rStyle w:val="FootnoteAnchor"/>
          <w:rtl w:val="true"/>
        </w:rPr>
        <w:footnoteReference w:id="1464"/>
      </w:r>
      <w:r>
        <w:rPr>
          <w:rFonts w:ascii="IRNazanin" w:hAnsi="IRNazanin" w:eastAsia="IRNazanin"/>
          <w:color w:val="111111"/>
          <w:sz w:val="28"/>
          <w:sz w:val="28"/>
          <w:szCs w:val="28"/>
          <w:rtl w:val="true"/>
          <w:lang w:bidi="fa-IR"/>
        </w:rPr>
        <w:t>زاعمین أنّ إطلاق الروایة یدلّ علیه، ولعموم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 xml:space="preserve">والأقوی المنع، وهو مختاره فی الدروس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الصلح علی کلّ من العین والمنفعة بمثله وجنسه ومخالفه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بإفادته فائدة البیع صحّ علی العین، وبإفادته فائدة الإجارة صحّ علی المنفعة، والحکم فی المماثل والمجانس والمخالف فرع ذلک والأصل والعموم یقتضیان صحّة الجمیع، بل ما هو أعمّ منها کالصلح علی حقّ الشفعة والخیار وأولویّة التحجیر والسوق والمسجد بعین ومنفعة وحقّ آخر؛ للعموم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ظهر استحقاق العوض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الجانبین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ولو کان مطلقاً رجع ببدله، ولو ظهر فی المعیّن عیب فله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تخییره بینه وبین الأرش وجه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غبن لا یتسامح بمثله ففی ثبوت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قویّ، دفعاً للضرر المنفیّ الذی ثبت </w:t>
      </w:r>
      <w:r>
        <w:rPr>
          <w:rStyle w:val="FootnoteAnchor"/>
          <w:rtl w:val="true"/>
        </w:rPr>
        <w:footnoteReference w:id="1467"/>
      </w:r>
      <w:r>
        <w:rPr>
          <w:rFonts w:ascii="IRNazanin" w:hAnsi="IRNazanin" w:eastAsia="IRNazanin"/>
          <w:color w:val="111111"/>
          <w:sz w:val="28"/>
          <w:sz w:val="28"/>
          <w:szCs w:val="28"/>
          <w:rtl w:val="true"/>
          <w:lang w:bidi="fa-IR"/>
        </w:rPr>
        <w:t>بمثله الخیار فی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یعتبر فی الصلح علی النقدین القبض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الصرف بالبیع وأصالة الصلح، ویجیء علی قول الشیخ اعتباره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حیث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کانا من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الأقویٰ ثبوته فیه، بل فی کلّ معاوضة؛ لإطلاق التحریم فی الآیة </w:t>
      </w:r>
      <w:r>
        <w:rPr>
          <w:rStyle w:val="FootnoteAnchor"/>
          <w:rtl w:val="true"/>
        </w:rPr>
        <w:footnoteReference w:id="1468"/>
      </w:r>
      <w:r>
        <w:rPr>
          <w:rFonts w:ascii="IRNazanin" w:hAnsi="IRNazanin" w:eastAsia="IRNazanin"/>
          <w:color w:val="111111"/>
          <w:sz w:val="28"/>
          <w:sz w:val="28"/>
          <w:szCs w:val="28"/>
          <w:rtl w:val="true"/>
          <w:lang w:bidi="fa-IR"/>
        </w:rPr>
        <w:t xml:space="preserve">والخبر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أتلف علیه ثوباً یساوی درهمین فصالح علی أکثر أو أقلّ فالمشهور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 الصلح الثوب، لا الدرهمان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إنّما یتمّ علی القول بضمان القیمی بمثله، لیکون الثابت فی الذّمة ثوباً فیکون هو متعلّق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الأصحّ من ضمانه بقیمته فاللازم لذمّته إنّما هو الدرهمان، فلا یصحّ الصلح علیهما بزیادة عنهما ولا نقصان مع اتّفاق الجنس، ولو قلنا باختصاص الربا بالبیع توجّه الجواز أیضاً، لکن المجوّز لا یقول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صالح منکر الدار علی سکنی المدّعی سنةً فیها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ویکون هنا مفیداً فائدة العاریة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 قرّ بها ثمّ صالحه علی سکنی المقرّ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الصورتین؛ لما تقدّم من أ نّه عقد لازم ولیس فرعاً علی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القول بفرعیة العاریة </w:t>
      </w:r>
      <w:r>
        <w:rPr>
          <w:rStyle w:val="FootnoteAnchor"/>
          <w:rtl w:val="true"/>
        </w:rPr>
        <w:footnoteReference w:id="1470"/>
      </w:r>
      <w:r>
        <w:rPr>
          <w:rFonts w:ascii="IRNazanin" w:hAnsi="IRNazanin" w:eastAsia="IRNazanin"/>
          <w:color w:val="111111"/>
          <w:sz w:val="28"/>
          <w:sz w:val="28"/>
          <w:szCs w:val="28"/>
          <w:rtl w:val="true"/>
          <w:lang w:bidi="fa-IR"/>
        </w:rPr>
        <w:t>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الصورتین؛ لأنّ متعلّقه المنفعة بغیر عوض فیهما، والعین الخارجة من ید المقرّ لیست عوضاً من المنفعة الراجعة إلیه، لثبوتها للمقرّ له بالإقرار قبل أن یقع الصلح، فلا یکون فی مقابلة المنفعة عوض </w:t>
      </w:r>
      <w:r>
        <w:rPr>
          <w:rStyle w:val="FootnoteAnchor"/>
          <w:rtl w:val="true"/>
        </w:rPr>
        <w:footnoteReference w:id="1471"/>
      </w:r>
      <w:r>
        <w:rPr>
          <w:rFonts w:ascii="IRNazanin" w:hAnsi="IRNazanin" w:eastAsia="IRNazanin"/>
          <w:color w:val="111111"/>
          <w:sz w:val="28"/>
          <w:sz w:val="28"/>
          <w:szCs w:val="28"/>
          <w:rtl w:val="true"/>
          <w:lang w:bidi="fa-IR"/>
        </w:rPr>
        <w:t>فیکون عاریة یلزمه حکمها من جواز الرجوع فیه عند القائل بها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الصلح مشروعاً لقطع التجاذب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والتنازع بین المتخاصمین بحسب أصله وإن صار بعد ذلک أصلاً مستقلّاً بنفسه لا یتوقّف علی سبق خصومة</w:t>
      </w:r>
      <w:bookmarkStart w:id="602" w:name="pg19812_249625"/>
    </w:p>
    <w:p>
      <w:pPr>
        <w:pStyle w:val="Heading3"/>
        <w:numPr>
          <w:ilvl w:val="2"/>
          <w:numId w:val="1"/>
        </w:numPr>
        <w:rPr/>
      </w:pPr>
      <w:bookmarkStart w:id="603" w:name="__RefHeading___Toc2093194_2314609296"/>
      <w:bookmarkStart w:id="604" w:name="_Toc220"/>
      <w:bookmarkEnd w:id="602"/>
      <w:bookmarkEnd w:id="603"/>
      <w:r>
        <w:rPr>
          <w:rtl w:val="true"/>
        </w:rPr>
        <w:t>[</w:t>
      </w:r>
      <w:r>
        <w:rPr>
          <w:rtl w:val="true"/>
        </w:rPr>
        <w:t>مسائل فی بعض احکام التنازع</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أحکام من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اعتاده المصنّفون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بعضها فی مسائل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بیدهما درهمان فادّعاهما أحدهما، وادّعی الآخر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فللثانی 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لاعترافه باختصاص غریمه بأحدهما ووقوع النزاع فی الآخر مع تساویهما فیه یداً، فیُقسَّم بینهما بعد حلف کلّ منهما لصاحبه علی استحقاق النصف، ومن نکل منهما قُضی به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نکلا معاً أو حلفا قُسّم بینهما 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وللأوّل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إذا ادّعی الثانی النصف مشاعاً، فإنّه تقوی القسمة نصفین، ویحلف الثانی للأوّل، وکذا فی کلّ مشاع، وذکر فیها أنّ الأصحاب لم یذکروا هنا یمیناً، وذکروا المسألة فی باب الصلح، فجاز أن یکون الصلح قهریّاً، وجاز أن یکون اختیاریّاً، فإن امتنعا فالیمین </w:t>
      </w:r>
      <w:r>
        <w:rPr>
          <w:rStyle w:val="FootnoteAnchor"/>
          <w:rtl w:val="true"/>
        </w:rPr>
        <w:footnoteReference w:id="1472"/>
      </w:r>
      <w:r>
        <w:rPr>
          <w:rFonts w:ascii="IRNazanin" w:hAnsi="IRNazanin" w:eastAsia="IRNazanin"/>
          <w:color w:val="111111"/>
          <w:sz w:val="28"/>
          <w:sz w:val="28"/>
          <w:szCs w:val="28"/>
          <w:rtl w:val="true"/>
          <w:lang w:bidi="fa-IR"/>
        </w:rPr>
        <w:t xml:space="preserve">وما حکیناه نحن من الیمین ذکره فی التذکرة أیضاً </w:t>
      </w:r>
      <w:r>
        <w:rPr>
          <w:rStyle w:val="FootnoteAnchor"/>
          <w:rtl w:val="true"/>
        </w:rPr>
        <w:footnoteReference w:id="1473"/>
      </w:r>
      <w:r>
        <w:rPr>
          <w:rFonts w:ascii="IRNazanin" w:hAnsi="IRNazanin" w:eastAsia="IRNazanin"/>
          <w:color w:val="111111"/>
          <w:sz w:val="28"/>
          <w:sz w:val="28"/>
          <w:szCs w:val="28"/>
          <w:rtl w:val="true"/>
          <w:lang w:bidi="fa-IR"/>
        </w:rPr>
        <w:t>فلعلّ المصنّف یرید أنّ الکثیر لم یذکره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أودعه رجل درهمین وآخرُ درهماً وامتزجا لا بتفریط وتلف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یختصّ ذو الدرهمین بواحد، ویقسّم الآخر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ورواه السکونی عن الصادق علیه السلام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ضعف المستند </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التالف لا یحتمل کونه لهما، بل من أحدهما خاصّة؛ لامتناع الإشاعة هنا، فکیف یقسَّم الدرهم بینهما مع أ نّه</w:t>
      </w:r>
    </w:p>
    <w:p>
      <w:pPr>
        <w:pStyle w:val="BookText"/>
        <w:rPr/>
      </w:pPr>
      <w:r>
        <w:rPr>
          <w:rFonts w:ascii="IRNazanin" w:hAnsi="IRNazanin" w:eastAsia="IRNazanin"/>
          <w:color w:val="111111"/>
          <w:sz w:val="28"/>
          <w:sz w:val="28"/>
          <w:szCs w:val="28"/>
          <w:rtl w:val="true"/>
          <w:lang w:bidi="fa-IR"/>
        </w:rPr>
        <w:t>مختص بأحدهما قطعاً؟</w:t>
      </w:r>
    </w:p>
    <w:p>
      <w:pPr>
        <w:pStyle w:val="BookText"/>
        <w:rPr/>
      </w:pPr>
      <w:r>
        <w:rPr>
          <w:rFonts w:ascii="IRNazanin" w:hAnsi="IRNazanin" w:eastAsia="IRNazanin"/>
          <w:color w:val="111111"/>
          <w:sz w:val="28"/>
          <w:sz w:val="28"/>
          <w:szCs w:val="28"/>
          <w:rtl w:val="true"/>
          <w:lang w:bidi="fa-IR"/>
        </w:rPr>
        <w:t>والذی یقتضیه النظر وتشهد له الاُصول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بالقرعة فی أحد </w:t>
      </w:r>
      <w:r>
        <w:rPr>
          <w:rStyle w:val="FootnoteAnchor"/>
          <w:rtl w:val="true"/>
        </w:rPr>
        <w:footnoteReference w:id="1476"/>
      </w:r>
      <w:r>
        <w:rPr>
          <w:rFonts w:ascii="IRNazanin" w:hAnsi="IRNazanin" w:eastAsia="IRNazanin"/>
          <w:color w:val="111111"/>
          <w:sz w:val="28"/>
          <w:sz w:val="28"/>
          <w:szCs w:val="28"/>
          <w:rtl w:val="true"/>
          <w:lang w:bidi="fa-IR"/>
        </w:rPr>
        <w:t xml:space="preserve">الدرهمین، ومال إلیه المصنّف فی الدروس </w:t>
      </w:r>
      <w:r>
        <w:rPr>
          <w:rStyle w:val="FootnoteAnchor"/>
          <w:rtl w:val="true"/>
        </w:rPr>
        <w:footnoteReference w:id="1477"/>
      </w:r>
      <w:r>
        <w:rPr>
          <w:rFonts w:ascii="IRNazanin" w:hAnsi="IRNazanin" w:eastAsia="IRNazanin"/>
          <w:color w:val="111111"/>
          <w:sz w:val="28"/>
          <w:sz w:val="28"/>
          <w:szCs w:val="28"/>
          <w:rtl w:val="true"/>
          <w:lang w:bidi="fa-IR"/>
        </w:rPr>
        <w:t>لکنّه لم یجسر علی مخالفة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فی الیمین کما مرّ من عدم تعرّض الأصحاب له، وربما امتنع هنا إذا لم یعلم الحالف عین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بالتلف لا عن تفریط عمّا لو کان بتفریط، فإنّ الودعی یضمن التالف فیضمّ إلیهما ویقتسمانها من غیر کسر، وقد یقع مع ذلک التعاسر علی العین فیتّجه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بدل الدراهم مالاً یمتزج أجزاؤُه بحیث لا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متساویها کالحنطة والشعیر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لأحدهما قفیزان مثلاً وللآخر قفیز وتلف قفیز بعد امتزاجهما بغیر تفریط فالتالف علی نسبة المالین وکذا الباقی، فیکون لصاحب القفیزین قفیز وثُلث وللآخر ثُلثا قفیز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الذاهب هنا علیهما معاً، بخلاف الدراهم؛ لأنّه مختصّ بأحدهما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جعل السقی بالماء عوضاً للصلح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مورده أمراً آخر من عین أو 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یجوز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وعوضه أمراً آخر کذلک، وکذا لو کان أحدهما عوضاً والآخر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مع ضبطه بمدّة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تعلّق بسقی شیء مضبوط دائماً أو بالسقی بالماء أجمع دائماً وإن جُهل المسقی لم یبعد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الشیخ رحمه الله فی الجمیع محتجّاً بجهالة الماء </w:t>
      </w:r>
      <w:r>
        <w:rPr>
          <w:rStyle w:val="FootnoteAnchor"/>
          <w:rtl w:val="true"/>
        </w:rPr>
        <w:footnoteReference w:id="1478"/>
      </w:r>
      <w:r>
        <w:rPr>
          <w:rFonts w:ascii="IRNazanin" w:hAnsi="IRNazanin" w:eastAsia="IRNazanin"/>
          <w:color w:val="111111"/>
          <w:sz w:val="28"/>
          <w:sz w:val="28"/>
          <w:szCs w:val="28"/>
          <w:rtl w:val="true"/>
          <w:lang w:bidi="fa-IR"/>
        </w:rPr>
        <w:t xml:space="preserve">مع أ نّه جوّز بیع ماء العین والبئر وبیع جزء مشاع منه وجعله عوضاً للصلح </w:t>
      </w:r>
      <w:r>
        <w:rPr>
          <w:rStyle w:val="FootnoteAnchor"/>
          <w:rtl w:val="true"/>
        </w:rPr>
        <w:footnoteReference w:id="1479"/>
      </w:r>
      <w:r>
        <w:rPr>
          <w:rFonts w:ascii="IRNazanin" w:hAnsi="IRNazanin" w:eastAsia="IRNazanin"/>
          <w:color w:val="111111"/>
          <w:sz w:val="28"/>
          <w:sz w:val="28"/>
          <w:szCs w:val="28"/>
          <w:rtl w:val="true"/>
          <w:lang w:bidi="fa-IR"/>
        </w:rPr>
        <w:t xml:space="preserve">ویمکن تخصیصه المنع هنا بغیر المضبوط کما اتّفق مطلقاً </w:t>
      </w:r>
      <w:r>
        <w:rPr>
          <w:rStyle w:val="FootnoteAnchor"/>
          <w:rtl w:val="true"/>
        </w:rPr>
        <w:footnoteReference w:id="1480"/>
      </w:r>
      <w:r>
        <w:rPr>
          <w:rFonts w:ascii="IRNazanin" w:hAnsi="IRNazanin" w:eastAsia="IRNazanin"/>
          <w:color w:val="111111"/>
          <w:sz w:val="28"/>
          <w:sz w:val="28"/>
          <w:szCs w:val="28"/>
          <w:rtl w:val="true"/>
          <w:lang w:bidi="fa-IR"/>
        </w:rPr>
        <w:t xml:space="preserve">فی عبارة کثیر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الصلح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الماء علی سطحه أو 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جاعلاً له عوضاً ومورداً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بالموضع الذی یجری منه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یقدّر مجراه طولاً وعرضاً، لترتفع الجهالة عن المحلّ المصالح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تعیین العمق؛ لأنّ من ملک شیئاً ملک إقراره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ینبغی مشاهدة الماء أو وصفه، لاختلاف الحال بقلّته وکثرته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ماء مطر اختلف أیضاً بکبر ما یقع علیه وصغره، فمعرفته تحصل بمعرفة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سقط السطح بعد الصلح أو احتاجت الساقیة إلی إصلاح فعلی مالکهما؛ لتوقّف الحقّ علیه، ولیس علی المصالح مساعدته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 صاحب السفل والعلوّ فی جدار البیت حلف صاحب السفل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جدران البیت کالجزء منه، فیحکم بها لصاحب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بینهما؛ لأنّ حاجتهما إلیه واحدة </w:t>
      </w:r>
      <w:r>
        <w:rPr>
          <w:rStyle w:val="FootnoteAnchor"/>
          <w:rtl w:val="true"/>
        </w:rPr>
        <w:footnoteReference w:id="1482"/>
      </w:r>
      <w:r>
        <w:rPr>
          <w:rFonts w:ascii="IRNazanin" w:hAnsi="IRNazanin" w:eastAsia="IRNazanin"/>
          <w:color w:val="111111"/>
          <w:sz w:val="28"/>
          <w:sz w:val="28"/>
          <w:szCs w:val="28"/>
          <w:rtl w:val="true"/>
          <w:lang w:bidi="fa-IR"/>
        </w:rPr>
        <w:t>والأشهر الأوّل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جدران الغرفة یحلف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 من الجزئیّة، ولا إشکال هنا؛ لأنّ صاحب البیت لا تعلّق له به إلّاکونه موضوعاً علی</w:t>
      </w:r>
    </w:p>
    <w:p>
      <w:pPr>
        <w:pStyle w:val="BookText"/>
        <w:rPr/>
      </w:pPr>
      <w:r>
        <w:rPr>
          <w:rFonts w:ascii="IRNazanin" w:hAnsi="IRNazanin" w:eastAsia="IRNazanin"/>
          <w:color w:val="111111"/>
          <w:sz w:val="28"/>
          <w:sz w:val="28"/>
          <w:szCs w:val="28"/>
          <w:rtl w:val="true"/>
          <w:lang w:bidi="fa-IR"/>
        </w:rPr>
        <w:t xml:space="preserve">ملکه، وذلک لا یقتضی الملکیّة، مع معارضة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قول صاحب الغرفة لو 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فوقها؛ لاختصاص صاحبها بالانتفاع به کالجدار وأولی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تنازعا فی سقف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المتوسّط بینهما الحامل للغرفة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لاستوائهما فی الحاجة إلیه والانتفاع به، والقرعة لکلّ أمر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بأنّ مورد القرعة المحل الذی لا یحتمل اشتراکه بین المتنازعین </w:t>
      </w:r>
      <w:r>
        <w:rPr>
          <w:rStyle w:val="FootnoteAnchor"/>
          <w:rtl w:val="true"/>
        </w:rPr>
        <w:footnoteReference w:id="1483"/>
      </w:r>
      <w:r>
        <w:rPr>
          <w:rFonts w:ascii="IRNazanin" w:hAnsi="IRNazanin" w:eastAsia="IRNazanin"/>
          <w:color w:val="111111"/>
          <w:sz w:val="28"/>
          <w:sz w:val="28"/>
          <w:szCs w:val="28"/>
          <w:rtl w:val="true"/>
          <w:lang w:bidi="fa-IR"/>
        </w:rPr>
        <w:t>بل هو حقّ لأحدهما مشتبه، وهنا لیس کذلک؛ لأنّه کما یجوز کونه لأحدهما یجوز کونه لهما معاً، لاستوائهما فیه؛ لأنّه سقف لصاحب البیت وأرض لصاحب الغرفة فکان کالجزء من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قوّی اشتراکهما فیه مع حلفهما أو نکولهما، وإلّا اختصّ بالحالف </w:t>
      </w:r>
      <w:r>
        <w:rPr>
          <w:rStyle w:val="FootnoteAnchor"/>
          <w:rtl w:val="true"/>
        </w:rPr>
        <w:footnoteReference w:id="1484"/>
      </w:r>
      <w:r>
        <w:rPr>
          <w:rFonts w:ascii="IRNazanin" w:hAnsi="IRNazanin" w:eastAsia="IRNazanin"/>
          <w:color w:val="111111"/>
          <w:sz w:val="28"/>
          <w:sz w:val="28"/>
          <w:szCs w:val="28"/>
          <w:rtl w:val="true"/>
          <w:lang w:bidi="fa-IR"/>
        </w:rPr>
        <w:t>لما ذکر من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به لصاحب الغرفة؛ لأنّها لا تتحقّق بدونه، لکونه أرضها، والبیت یتحقّق بدون السقف، وهما متصادقان علی أنّ هنا غرفة فلابدّ من تحقّقها، ولأنّ تصرّفه فیه أغلب من تصرّف الآخر </w:t>
      </w:r>
      <w:r>
        <w:rPr>
          <w:rStyle w:val="FootnoteAnchor"/>
          <w:rtl w:val="true"/>
        </w:rPr>
        <w:footnoteReference w:id="1485"/>
      </w:r>
      <w:r>
        <w:rPr>
          <w:rFonts w:ascii="IRNazanin" w:hAnsi="IRNazanin" w:eastAsia="IRNazanin"/>
          <w:color w:val="111111"/>
          <w:sz w:val="28"/>
          <w:sz w:val="28"/>
          <w:szCs w:val="28"/>
          <w:rtl w:val="true"/>
          <w:lang w:bidi="fa-IR"/>
        </w:rPr>
        <w:t>ولیس ببعید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وموضع الخلاف فی السقف الذی یمکن إحداثه بعد بناء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لا یمکن کالأزَج </w:t>
      </w:r>
      <w:r>
        <w:rPr>
          <w:rStyle w:val="FootnoteAnchor"/>
          <w:rtl w:val="true"/>
        </w:rPr>
        <w:footnoteReference w:id="1486"/>
      </w:r>
      <w:r>
        <w:rPr>
          <w:rFonts w:ascii="IRNazanin" w:hAnsi="IRNazanin" w:eastAsia="IRNazanin"/>
          <w:color w:val="111111"/>
          <w:sz w:val="28"/>
          <w:sz w:val="28"/>
          <w:szCs w:val="28"/>
          <w:rtl w:val="true"/>
          <w:lang w:bidi="fa-IR"/>
        </w:rPr>
        <w:t>الذی لا یعقل إحداثه بعد بناء الجدار الأسفل؛ لاحتیاجه إلی إخراج بعض الأجزاء عن سمت وجه الجدار قبل انتهائه لیکون حاملاً للعُقد</w:t>
      </w:r>
    </w:p>
    <w:p>
      <w:pPr>
        <w:pStyle w:val="BookText"/>
        <w:rPr/>
      </w:pPr>
      <w:r>
        <w:rPr>
          <w:rFonts w:ascii="IRNazanin" w:hAnsi="IRNazanin" w:eastAsia="IRNazanin"/>
          <w:color w:val="111111"/>
          <w:sz w:val="28"/>
          <w:sz w:val="28"/>
          <w:szCs w:val="28"/>
          <w:rtl w:val="true"/>
          <w:lang w:bidi="fa-IR"/>
        </w:rPr>
        <w:t xml:space="preserve">فیحصل به الترصیف </w:t>
      </w:r>
      <w:r>
        <w:rPr>
          <w:rStyle w:val="FootnoteAnchor"/>
          <w:rtl w:val="true"/>
        </w:rPr>
        <w:footnoteReference w:id="1487"/>
      </w:r>
      <w:r>
        <w:rPr>
          <w:rFonts w:ascii="IRNazanin" w:hAnsi="IRNazanin" w:eastAsia="IRNazanin"/>
          <w:color w:val="111111"/>
          <w:sz w:val="28"/>
          <w:sz w:val="28"/>
          <w:szCs w:val="28"/>
          <w:rtl w:val="true"/>
          <w:lang w:bidi="fa-IR"/>
        </w:rPr>
        <w:t>بین السقف والجدران، فهو لصاحب السفل بیمینه؛ لدلالة ذلک علی جزئیته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تنازع صاحب غُرَف الخان وصاحب بیوته فی المسلک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هنا مجموع الصحن بدلیل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 صاحب الغُرف فی قدر ما یسلکه، وحلف الآخر علی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النزاع لو وقع علی مسلک فی الجملة أو معیّن لا یزید عن القدر لم یکن علی الآخر حلفٌ؛ لعدم منازعته له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الحکم للأعلی بقدر المسلک کونه من ضرورة الانتفاع بالغرف وله علیه ید فی جملة الصحن، وأمّا الزائد عنه فاختصاص صاحب البیوت به أقوی؛ لأ نّه دار لبیوته، فیقدّم قول کلّ منهما فیما یظهر اختصاصه به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الدروس رجّح کون المسلک بینهما واختصاص الأسفل بالباقی </w:t>
      </w:r>
      <w:r>
        <w:rPr>
          <w:rStyle w:val="FootnoteAnchor"/>
          <w:rtl w:val="true"/>
        </w:rPr>
        <w:footnoteReference w:id="1488"/>
      </w:r>
      <w:r>
        <w:rPr>
          <w:rFonts w:ascii="IRNazanin" w:hAnsi="IRNazanin" w:eastAsia="IRNazanin"/>
          <w:color w:val="111111"/>
          <w:sz w:val="28"/>
          <w:sz w:val="28"/>
          <w:szCs w:val="28"/>
          <w:rtl w:val="true"/>
          <w:lang w:bidi="fa-IR"/>
        </w:rPr>
        <w:t xml:space="preserve">وعلیه جماعة </w:t>
      </w:r>
      <w:r>
        <w:rPr>
          <w:rStyle w:val="FootnoteAnchor"/>
          <w:rtl w:val="true"/>
        </w:rPr>
        <w:footnoteReference w:id="1489"/>
      </w:r>
      <w:r>
        <w:rPr>
          <w:rFonts w:ascii="IRNazanin" w:hAnsi="IRNazanin" w:eastAsia="IRNazanin"/>
          <w:color w:val="111111"/>
          <w:sz w:val="28"/>
          <w:sz w:val="28"/>
          <w:szCs w:val="28"/>
          <w:rtl w:val="true"/>
          <w:lang w:bidi="fa-IR"/>
        </w:rPr>
        <w:t>لأنّ صاحب السفل یشارکه فی التصرّف فیه وینفرد بالباقی، فیکون قدر المسلک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الاشتراک فی العرصة أجمع؛ لأنّ صاحب الأعلی لا یکلّف المرور علی خط مستوٍ، ولا یمنع من وضع شیءٍ فیها، ولا من الجلوس قلیلاً، فله ید علی الجمیع فی الجملة کالأسفل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المرقی فی صدر الصحن تشارکا فی الممرّ إلیه </w:t>
      </w:r>
      <w:r>
        <w:rPr>
          <w:rStyle w:val="FootnoteAnchor"/>
          <w:rtl w:val="true"/>
        </w:rPr>
        <w:footnoteReference w:id="1490"/>
      </w:r>
      <w:r>
        <w:rPr>
          <w:rFonts w:ascii="IRNazanin" w:hAnsi="IRNazanin" w:eastAsia="IRNazanin"/>
          <w:color w:val="111111"/>
          <w:sz w:val="28"/>
          <w:sz w:val="28"/>
          <w:szCs w:val="28"/>
          <w:rtl w:val="true"/>
          <w:lang w:bidi="fa-IR"/>
        </w:rPr>
        <w:t xml:space="preserve">أو اختصّ به الأعلی </w:t>
      </w:r>
      <w:r>
        <w:rPr>
          <w:rStyle w:val="FootnoteAnchor"/>
          <w:rtl w:val="true"/>
        </w:rPr>
        <w:footnoteReference w:id="1491"/>
      </w:r>
      <w:r>
        <w:rPr>
          <w:rFonts w:ascii="IRNazanin" w:hAnsi="IRNazanin" w:eastAsia="IRNazanin"/>
          <w:color w:val="111111"/>
          <w:sz w:val="28"/>
          <w:sz w:val="28"/>
          <w:szCs w:val="28"/>
          <w:rtl w:val="true"/>
          <w:lang w:bidi="fa-IR"/>
        </w:rPr>
        <w:t>وإن کان المرقی فی دهلیزه خارجاً لم یشارک الأسفل فی شیءٍ من الصحن؛ إذ لا ید له علی شیء منها، ولو کان المرقی فی ظهره اختصّ صاحب السفل بالصحن والدهلیز أجمع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الدرجة یحلف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 بالتصرّف فیها بالسلوک وإن کانت موضوعة فی أرض صاحب السفل، وکما یحکم بها للأعلی یحکم بمحلّها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الخزانة تحتها 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لاستوائهما فیها بکونها متّصلة بملک الأسفل بل من جملة بیوته، وکونها هواءً لملک الأعلی وهو کالقرار، فیقرع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بما مرّ فی السقف، ویقوی استواؤهما فیها مع حلف کلّ لصاحبه، وهو اختیاره فی الدروس </w:t>
      </w:r>
      <w:r>
        <w:rPr>
          <w:rStyle w:val="FootnoteAnchor"/>
          <w:rtl w:val="true"/>
        </w:rPr>
        <w:footnoteReference w:id="1492"/>
      </w:r>
      <w:r>
        <w:rPr>
          <w:rFonts w:ascii="Amiri" w:hAnsi="Amiri" w:eastAsia="Amiri" w:cs="Amiri"/>
          <w:color w:val="111111"/>
          <w:sz w:val="28"/>
          <w:sz w:val="28"/>
          <w:szCs w:val="28"/>
          <w:rtl w:val="true"/>
          <w:lang w:bidi="ar-SA"/>
        </w:rPr>
        <w:t>ولا عبرة بوضع الأسفل آلاته تحتها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أیضاً الحکم فی الدرجة مع اختلافهما فی الخزانة؛ لأنّه إذا قُضی بالخزانة لهما أو حُکم بها للأسفل بوجه تکون الدرجة کالسقف المتوسّط بین الأعلی والأسفل، لعین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الحکم بها للأسفل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حینئذٍ أن یجری فیها الخلاف السابق ومرجّحه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قضینا بالسقف للأعلی زال الإشکال هنا، وإنّما یأتی علی مذهب المصنّف هنا وفی الدروس، فإنّه لا یجامع اختصاص العلوی بها مطلقاً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 راکب الدابّة وقابضُ لجامها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لقوّة یده وشدة تصرّفه بالنسبة إلی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یستویان فی الدعوی؛ لاشتراکهما فی الید وقوّتها لا مدخل له فی الترجیح، ولهذا لم تؤثّر فی ثوبٍ بید أحدهما أکثرُهُ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مع الراکب من زیادة نوع التصرّف لم یثبت شرعاً کونُهُ مرجّحاً، وتعریف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علیهما </w:t>
      </w:r>
      <w:r>
        <w:rPr>
          <w:rStyle w:val="FootnoteAnchor"/>
          <w:rtl w:val="true"/>
        </w:rPr>
        <w:footnoteReference w:id="1494"/>
      </w:r>
      <w:r>
        <w:rPr>
          <w:rFonts w:ascii="IRNazanin" w:hAnsi="IRNazanin" w:eastAsia="IRNazanin"/>
          <w:color w:val="111111"/>
          <w:sz w:val="28"/>
          <w:sz w:val="28"/>
          <w:szCs w:val="28"/>
          <w:rtl w:val="true"/>
          <w:lang w:bidi="fa-IR"/>
        </w:rPr>
        <w:t>وهو قویّ، فیحلف کلّ منهما لصاحبه إن لم یکن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اللجام فیُقضی به لمن هو فی یده، والسراج لراکبه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تنازعا ثوباً فی ید أحدهما أکثرُه، فهما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لاشتراکهما فی الید ولا ترجیح لقوّتها، والتصرّف هنا وإن اختلف کثرةً وقلّةً لکنّه من وادٍ واحد، بخلاف الرکوب وقبض 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أحدهما ممسکاً له والآخر لابساً فکمسألة الراکب والقابض، لزیادة تصرّف اللابس علی الید المشترکة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وعلیه ثیاب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ویدهما علیه، فلا یرجّح صاحب الثیاب کما یرجّح الراکب بزیادة ذلک علی یده؛ إذ لا دخل للّبس فی الملک بخلاف الرکوب، فإنّه قد یلبسها بغیر إذن مالکها أو بقوله أو بالعاریة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مثلُه فی الرکوب؛ لأنّ الراکب ذو یدٍ، بخلاف العبد، فإنّ الید للمدّعی، 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علیه ما لو کان لأحدهما علیه ید وللآخر ثیاب خاصّة، فالعبرة بصاحب الید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ویرجّح صاحب الحِمْل فی دعوی البهیمة الحاملة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للآخر</w:t>
      </w:r>
    </w:p>
    <w:p>
      <w:pPr>
        <w:pStyle w:val="BookText"/>
        <w:rPr/>
      </w:pPr>
      <w:r>
        <w:rPr>
          <w:rFonts w:ascii="IRNazanin" w:hAnsi="IRNazanin" w:eastAsia="IRNazanin"/>
          <w:color w:val="111111"/>
          <w:sz w:val="28"/>
          <w:sz w:val="28"/>
          <w:szCs w:val="28"/>
          <w:rtl w:val="true"/>
          <w:lang w:bidi="fa-IR"/>
        </w:rPr>
        <w:t>علیها ید أیضاً بقبض زمام ونحوه؛ لدلالة الحِمْل علی کمال استیلاء مالکه علیها، فیرجّح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الدروس سوّی بین الراکب ولابس الثوب وذی الحمل فی الحکم </w:t>
      </w:r>
      <w:r>
        <w:rPr>
          <w:rStyle w:val="FootnoteAnchor"/>
          <w:rtl w:val="true"/>
        </w:rPr>
        <w:footnoteReference w:id="1495"/>
      </w:r>
      <w:r>
        <w:rPr>
          <w:rFonts w:ascii="IRNazanin" w:hAnsi="IRNazanin" w:eastAsia="IRNazanin"/>
          <w:color w:val="111111"/>
          <w:sz w:val="28"/>
          <w:sz w:val="28"/>
          <w:szCs w:val="28"/>
          <w:rtl w:val="true"/>
          <w:lang w:bidi="fa-IR"/>
        </w:rPr>
        <w:t xml:space="preserve">وهو حسن </w:t>
      </w:r>
      <w:r>
        <w:rPr>
          <w:rFonts w:eastAsia="IRNazanin" w:cs="IRNazanin"/>
          <w:color w:val="111111"/>
          <w:sz w:val="28"/>
          <w:szCs w:val="28"/>
          <w:rtl w:val="true"/>
          <w:lang w:bidi="fa-IR"/>
        </w:rPr>
        <w:t xml:space="preserve">] </w:t>
      </w:r>
      <w:r>
        <w:rPr>
          <w:rStyle w:val="FootnoteAnchor"/>
          <w:rtl w:val="true"/>
        </w:rPr>
        <w:footnoteReference w:id="1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البیت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وإن کان بابها مفتوحاً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موضوعة فی ملکه وهو هواء بیته، ومجرّد فتح الباب إلی الغیر لا یفید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من إلیه الباب متصرّفاً فیها بسکنی وغیرها، وإلّا قدّم؛ لأنّ یده علیها بالذات لاقتضاء التصرّف له، وید مالک الهواء بالتبعیّة، والذاتیّة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التساوی، لثبوت الید من الجانبین فی الجملة وعدم تأثیر قوّة الید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تداعیا جداراً غیر متصّل ببناء أحدهما، أو متّصلاً ببنائهما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 اتّصال ترصیف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تداخل الأحجار ونحوها علی وجهٍ یبعد کونه محدثاً بعد وضع الحائط المتصّل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حلفا أو نکلا فهو لهما، 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Style w:val="FootnoteAnchor"/>
          <w:rtl w:val="true"/>
        </w:rPr>
        <w:footnoteReference w:id="1497"/>
      </w:r>
      <w:r>
        <w:rPr>
          <w:rFonts w:ascii="IRNazanin" w:hAnsi="IRNazanin" w:eastAsia="IRNazanin"/>
          <w:color w:val="111111"/>
          <w:sz w:val="28"/>
          <w:sz w:val="28"/>
          <w:szCs w:val="28"/>
          <w:rtl w:val="true"/>
          <w:lang w:bidi="fa-IR"/>
        </w:rPr>
        <w:t xml:space="preserve">حلف أحدهما ونکل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للحالف، ولو اتّصل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ما لو کان لأحدهما علیه قبّة، أو غرفة أو سُترة؛ لصیرورته بجمیع ذلک ذا یدٍ فعلیه الیمین مع فقد البینة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لأحدهما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یُقضی له به بیمینه،</w:t>
      </w:r>
    </w:p>
    <w:p>
      <w:pPr>
        <w:pStyle w:val="BookText"/>
        <w:rPr/>
      </w:pPr>
      <w:r>
        <w:rPr>
          <w:rFonts w:ascii="IRNazanin" w:hAnsi="IRNazanin" w:eastAsia="IRNazanin"/>
          <w:color w:val="111111"/>
          <w:sz w:val="28"/>
          <w:sz w:val="28"/>
          <w:szCs w:val="28"/>
          <w:rtl w:val="true"/>
          <w:lang w:bidi="fa-IR"/>
        </w:rPr>
        <w:t>أولهما فلهما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اتّصل بأحدهما وکان للآخر علیه جذع تساویا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لأحدهما واحدة من المرجّحات ومع الآخر الباقیة؛ إذ لا أثر لزیادة الید کما سلف</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الجانبین أو منهما من نقش ووتد ورفّ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ترجیح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إحداثها من جهة واضعها من غیر شعور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إلّامعاقد القِمْط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وهو الحبل الذی یشدّ به الخُصّ </w:t>
      </w:r>
      <w:r>
        <w:rPr>
          <w:rStyle w:val="FootnoteAnchor"/>
          <w:rtl w:val="true"/>
        </w:rPr>
        <w:footnoteReference w:id="1498"/>
      </w:r>
      <w:r>
        <w:rPr>
          <w:rFonts w:ascii="IRNazanin" w:hAnsi="IRNazanin" w:eastAsia="IRNazanin"/>
          <w:color w:val="111111"/>
          <w:sz w:val="28"/>
          <w:sz w:val="28"/>
          <w:szCs w:val="28"/>
          <w:rtl w:val="true"/>
          <w:lang w:bidi="fa-IR"/>
        </w:rPr>
        <w:t xml:space="preserve">وبالضمّ جمع قِماط وهی شداد الخصّ من لیف وخوص وغیرها </w:t>
      </w:r>
      <w:r>
        <w:rPr>
          <w:rStyle w:val="FootnoteAnchor"/>
          <w:rtl w:val="true"/>
        </w:rPr>
        <w:footnoteReference w:id="1499"/>
      </w:r>
      <w:r>
        <w:rPr>
          <w:rFonts w:ascii="IRNazanin" w:hAnsi="IRNazanin" w:eastAsia="IRNazanin"/>
          <w:color w:val="111111"/>
          <w:sz w:val="28"/>
          <w:sz w:val="28"/>
          <w:szCs w:val="28"/>
          <w:rtl w:val="true"/>
          <w:lang w:bidi="fa-IR"/>
        </w:rPr>
        <w:t xml:space="preserve">فإنّه یقضی بها فیرجّح من إلیه معاقد القمط لو تنازعا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وهو البیت الذی یُعمل من القَصَب ونحوه علی المشهور بین الأصحاب، ومنهم من جعل حکم الخصّ کالجدار بین الملکین </w:t>
      </w:r>
      <w:r>
        <w:rPr>
          <w:rStyle w:val="FootnoteAnchor"/>
          <w:rtl w:val="true"/>
        </w:rPr>
        <w:footnoteReference w:id="1500"/>
      </w:r>
      <w:r>
        <w:rPr>
          <w:rFonts w:ascii="IRNazanin" w:hAnsi="IRNazanin" w:eastAsia="IRNazanin"/>
          <w:color w:val="111111"/>
          <w:sz w:val="28"/>
          <w:sz w:val="28"/>
          <w:szCs w:val="28"/>
          <w:rtl w:val="true"/>
          <w:lang w:bidi="fa-IR"/>
        </w:rPr>
        <w:t>وهو الموافق للأصل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الشرکة</w:t>
      </w:r>
      <w:bookmarkStart w:id="605" w:name="pg19812_249636"/>
    </w:p>
    <w:p>
      <w:pPr>
        <w:pStyle w:val="Heading2"/>
        <w:numPr>
          <w:ilvl w:val="1"/>
          <w:numId w:val="1"/>
        </w:numPr>
        <w:rPr/>
      </w:pPr>
      <w:bookmarkStart w:id="606" w:name="__RefHeading___Toc2093196_2314609296"/>
      <w:bookmarkStart w:id="607" w:name="_Toc221"/>
      <w:bookmarkEnd w:id="605"/>
      <w:bookmarkEnd w:id="606"/>
      <w:r>
        <w:rPr>
          <w:rtl w:val="true"/>
        </w:rPr>
        <w:t>«</w:t>
      </w:r>
      <w:r>
        <w:rPr>
          <w:rtl w:val="true"/>
        </w:rPr>
        <w:t>کتاب الشَرِکة</w:t>
      </w:r>
      <w:r>
        <w:rPr>
          <w:rtl w:val="true"/>
        </w:rPr>
        <w:t>»</w:t>
      </w:r>
      <w:bookmarkEnd w:id="607"/>
    </w:p>
    <w:p>
      <w:pPr>
        <w:pStyle w:val="Heading3"/>
        <w:numPr>
          <w:ilvl w:val="2"/>
          <w:numId w:val="1"/>
        </w:numPr>
        <w:rPr/>
      </w:pPr>
      <w:bookmarkStart w:id="608" w:name="__RefHeading___Toc2093198_2314609296"/>
      <w:bookmarkStart w:id="609" w:name="_Toc222"/>
      <w:bookmarkEnd w:id="608"/>
      <w:r>
        <w:rPr>
          <w:rtl w:val="true"/>
        </w:rPr>
        <w:t>[</w:t>
      </w:r>
      <w:r>
        <w:rPr>
          <w:rtl w:val="true"/>
        </w:rPr>
        <w:t>اسباب الشرکة</w:t>
      </w:r>
      <w:r>
        <w:rPr>
          <w:rtl w:val="true"/>
        </w:rPr>
        <w:t>]</w:t>
      </w:r>
      <w:bookmarkEnd w:id="60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الشین فکسر الراء، وحکی فیها کسرُ الشین فسکون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وسببها قد یکون إرثاً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لعین أو منفعة أو حقّ، بأن یرثا مالاً أو منفعة دار استأجرها مورثهم أو حقّ شفعة وخیار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یشتریا داراً بعقد واحد، أو یشتری کلّ واحد منهما جزءاً مشاعاً منها ولو علی التعاقب، أو یستأجراها، أو یشتریا بخیار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المباحات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یشترکا فی نصب حبالة ورمی‌سهم مثبت فیشترکان فی ملک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r>
        <w:rPr>
          <w:rStyle w:val="FootnoteAnchor"/>
          <w:rtl w:val="true"/>
        </w:rPr>
        <w:footnoteReference w:id="1501"/>
      </w:r>
      <w:r>
        <w:rPr>
          <w:rFonts w:ascii="IRNazanin" w:hAnsi="IRNazanin" w:eastAsia="IRNazanin"/>
          <w:color w:val="111111"/>
          <w:sz w:val="28"/>
          <w:sz w:val="28"/>
          <w:szCs w:val="28"/>
          <w:rtl w:val="true"/>
          <w:lang w:bidi="fa-IR"/>
        </w:rPr>
        <w:t xml:space="preserve">حاز کلّ واحد شیئاً من المباح منفرداً عن صاحبه اختصّ کلّ بما حازه إن لم یکن عمل کلّ واحد بنیّة الوکالة عن صاحبه فی تملّک نصف ما یحوزه، وإلّا اشترکا أیضاً علی الأقوی، فالحیازة قد توجب الاشتراک مع التعاقب، وقد لا توجبه فی الدفعة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مالیهما بالآخر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عن الآخر بأن یکونا متّفقین جنساً ووصفاً، فلو امتزجا بحیث یمکن التمییز </w:t>
      </w:r>
      <w:r>
        <w:rPr>
          <w:rStyle w:val="FootnoteAnchor"/>
          <w:rtl w:val="true"/>
        </w:rPr>
        <w:footnoteReference w:id="1502"/>
      </w:r>
      <w:r>
        <w:rPr>
          <w:rFonts w:ascii="IRNazanin" w:hAnsi="IRNazanin" w:eastAsia="IRNazanin"/>
          <w:color w:val="111111"/>
          <w:sz w:val="28"/>
          <w:sz w:val="28"/>
          <w:szCs w:val="28"/>
          <w:rtl w:val="true"/>
          <w:lang w:bidi="fa-IR"/>
        </w:rPr>
        <w:t>وإن عسر کالحنطة بالشعیر أو الحمراء من الحنطة بغیرها أو الکبیرة الحبّ بالصغیرة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هنا بین وقوعه اختیاراً واتّفاقاً</w:t>
      </w:r>
      <w:r>
        <w:rPr>
          <w:rFonts w:eastAsia="IRNazanin" w:cs="IRNazanin"/>
          <w:color w:val="111111"/>
          <w:sz w:val="28"/>
          <w:szCs w:val="28"/>
          <w:rtl w:val="true"/>
          <w:lang w:bidi="fa-IR"/>
        </w:rPr>
        <w:t>.</w:t>
      </w:r>
      <w:bookmarkStart w:id="610" w:name="pg19812_249637"/>
    </w:p>
    <w:p>
      <w:pPr>
        <w:pStyle w:val="Heading3"/>
        <w:numPr>
          <w:ilvl w:val="2"/>
          <w:numId w:val="1"/>
        </w:numPr>
        <w:rPr/>
      </w:pPr>
      <w:bookmarkStart w:id="611" w:name="__RefHeading___Toc2093200_2314609296"/>
      <w:bookmarkStart w:id="612" w:name="_Toc223"/>
      <w:bookmarkEnd w:id="610"/>
      <w:bookmarkEnd w:id="611"/>
      <w:r>
        <w:rPr>
          <w:rtl w:val="true"/>
        </w:rPr>
        <w:t>[</w:t>
      </w:r>
      <w:r>
        <w:rPr>
          <w:rtl w:val="true"/>
        </w:rPr>
        <w:t>مورد الشرکة</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والشَرِکة </w:t>
      </w:r>
      <w:r>
        <w:rPr>
          <w:rStyle w:val="FootnoteAnchor"/>
          <w:rtl w:val="true"/>
        </w:rPr>
        <w:footnoteReference w:id="1503"/>
      </w:r>
      <w:r>
        <w:rPr>
          <w:rFonts w:ascii="IRNazanin" w:hAnsi="IRNazanin" w:eastAsia="IRNazanin"/>
          <w:color w:val="111111"/>
          <w:sz w:val="28"/>
          <w:sz w:val="28"/>
          <w:szCs w:val="28"/>
          <w:rtl w:val="true"/>
          <w:lang w:bidi="fa-IR"/>
        </w:rPr>
        <w:t>قد تکون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عین، کما لو اتّفق الاشتراک بأحد الوجوه السابقة فی شیء من أعیان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کالاشتراک فی منفعة دار استأجراها أو عبد اُوصی لهما بخدمته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کشفعة وخیار 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الثلاثة تجری فی الأوّلین، وأمّا الأخیران فلا یتحقّقان إلّافی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فرض الامتزاج فی المنفعة، بأن یستأجر کلّ منهما دراهم للتزیّن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متمیّزة ثم امتزجت بحیث لا تتمیّز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الشرکة شرعاً 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العین، وهی شرکة الأموال، نُسبت إلی العنان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سیر اللجام الذی یمسک به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لاستواء الشریکین فی ولایة الفسخ والتصرّف، واستحقاق الربح علی قدر رأس المال کاستواء طرفی العنان، أو تساوی الفارسین فیه إذا تساویا </w:t>
      </w:r>
      <w:r>
        <w:rPr>
          <w:rStyle w:val="FootnoteAnchor"/>
          <w:rtl w:val="true"/>
        </w:rPr>
        <w:footnoteReference w:id="1504"/>
      </w:r>
      <w:r>
        <w:rPr>
          <w:rFonts w:ascii="IRNazanin" w:hAnsi="IRNazanin" w:eastAsia="IRNazanin"/>
          <w:color w:val="111111"/>
          <w:sz w:val="28"/>
          <w:sz w:val="28"/>
          <w:szCs w:val="28"/>
          <w:rtl w:val="true"/>
          <w:lang w:bidi="fa-IR"/>
        </w:rPr>
        <w:t>فی السیر، أو لأنّ کلّ واحد منهما یمنع الآخر من التصرّف حیث یشاء کما یمنع العِنانُ الدابّةَ، أو لأنّ الأخذ بعنانها یحبس إحدی یدیه علیه ویطلق الاُخری کالشریک یحبس یده عن التصرّف فی المشترک مع انطلاق یده فی سائر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لظهور مال کلّ من الشریکین لصاحبه، أو لأنّها أظهر أنواع الشرکة </w:t>
      </w:r>
      <w:r>
        <w:rPr>
          <w:rStyle w:val="FootnoteAnchor"/>
          <w:rtl w:val="true"/>
        </w:rPr>
        <w:footnoteReference w:id="1505"/>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المعانّة وهی المعارضة؛ لمعارضة کلّ منهما بما أخرجه الآخر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2093202_2314609296"/>
      <w:bookmarkStart w:id="614" w:name="_Toc224"/>
      <w:bookmarkEnd w:id="613"/>
      <w:r>
        <w:rPr>
          <w:rtl w:val="true"/>
        </w:rPr>
        <w:t>[</w:t>
      </w:r>
      <w:r>
        <w:rPr>
          <w:rtl w:val="true"/>
        </w:rPr>
        <w:t>الشرکات الباطلة</w:t>
      </w:r>
      <w:r>
        <w:rPr>
          <w:rtl w:val="true"/>
        </w:rPr>
        <w:t>]</w:t>
      </w:r>
      <w:bookmarkEnd w:id="61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شرکة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یتعاقدا علی أن یعمل کلّ منهما بنفسه ویشترکا</w:t>
      </w:r>
      <w:bookmarkStart w:id="615" w:name="pg19812_249638"/>
    </w:p>
    <w:p>
      <w:pPr>
        <w:pStyle w:val="BookText"/>
        <w:rPr/>
      </w:pPr>
      <w:bookmarkEnd w:id="615"/>
      <w:r>
        <w:rPr>
          <w:rFonts w:ascii="IRNazanin" w:hAnsi="IRNazanin" w:eastAsia="IRNazanin"/>
          <w:color w:val="111111"/>
          <w:sz w:val="28"/>
          <w:sz w:val="28"/>
          <w:szCs w:val="28"/>
          <w:rtl w:val="true"/>
          <w:lang w:bidi="fa-IR"/>
        </w:rPr>
        <w:t xml:space="preserve">فی الحاصل، سواء اتّفق عملهما قدراً ونوعاً أم اختلف فیهما أم فی أحدهما، وسواء عملا فی مال مملوک أم فی تحصیل مباح؛ لأنّ کلّ واحد </w:t>
      </w:r>
      <w:r>
        <w:rPr>
          <w:rStyle w:val="FootnoteAnchor"/>
          <w:rtl w:val="true"/>
        </w:rPr>
        <w:footnoteReference w:id="1507"/>
      </w:r>
      <w:r>
        <w:rPr>
          <w:rFonts w:ascii="IRNazanin" w:hAnsi="IRNazanin" w:eastAsia="IRNazanin"/>
          <w:color w:val="111111"/>
          <w:sz w:val="28"/>
          <w:sz w:val="28"/>
          <w:szCs w:val="28"/>
          <w:rtl w:val="true"/>
          <w:lang w:bidi="fa-IR"/>
        </w:rPr>
        <w:t>متمیّز ببدنه وعمله فیختصّ بفوائده، کما لو اشترکا فی مالین وهما متمیّزان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المفاوضة</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وهی أن یشترک شخصان فصاعداً بعقد لفظیّ علی أن یکون بینهما ما یکتسبان ویربحان ویلتزمان من غرم ویحصل لهما من غُنم، فیلتزم کلّ منهما للآخر مثل ما یلتزمه من أرش جنایة وضمان غصب وقیمة مُتلف وغرامة ضمان وکفالة، ویقاسمه فیما یحصل له من میراث أو یجده من رِکاز ولقطة، ویکتسبه فی تجارة،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یستثنیان من ذلک إلّاقوت الیوم وثیاب البدن وجاریة یتسرّی بها، فإنّ الآخر لا یشارک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یستثنی فی هذه الشرکة من الغرم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الجنایة علی الحرّ وبذل الخلع والصداق إذا لزم أحدهما</w:t>
      </w:r>
      <w:r>
        <w:rPr>
          <w:rFonts w:eastAsia="IRNazanin" w:cs="IRNazanin"/>
          <w:color w:val="111111"/>
          <w:sz w:val="28"/>
          <w:szCs w:val="28"/>
          <w:rtl w:val="true"/>
          <w:lang w:bidi="fa-IR"/>
        </w:rPr>
        <w:t>.</w:t>
      </w:r>
    </w:p>
    <w:p>
      <w:pPr>
        <w:pStyle w:val="Heading3"/>
        <w:numPr>
          <w:ilvl w:val="2"/>
          <w:numId w:val="1"/>
        </w:numPr>
        <w:rPr/>
      </w:pPr>
      <w:bookmarkStart w:id="616" w:name="__RefHeading___Toc2093204_2314609296"/>
      <w:bookmarkStart w:id="617" w:name="_Toc225"/>
      <w:bookmarkEnd w:id="616"/>
      <w:r>
        <w:rPr>
          <w:rtl w:val="true"/>
        </w:rPr>
        <w:t>[</w:t>
      </w:r>
      <w:r>
        <w:rPr>
          <w:rtl w:val="true"/>
        </w:rPr>
        <w:t>احکام الشرکة</w:t>
      </w:r>
      <w:r>
        <w:rPr>
          <w:rtl w:val="true"/>
        </w:rPr>
        <w:t>]</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یشترک اثنان وجیهان لا مال لهما بعقد لفظیّ لیبتاعا فی الذمّة علی أنّ ما یبتاعه کلّ منهما یکون بینهما فیبیعان ویؤدّیان الأثمان، وما فضل فهو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یبتاع وجیه فی الذمّة ویفوّض بیعه إلی خامل، علی أن یکون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یشترک وجیه لا مال له وخامل ذو مال لیکون العمل من الوجیه والمال من الخامل ویکون المال فی یده لا یُسلّمه إلی الوجیه، والربح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یبیع الوجیه مال الخامل بزیادة ربح، لیکون بعضه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الثلاثة بمعانیها عندنا باطلة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المشترکان شرکة العِنان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یتساویان فی الربح والخسران مع</w:t>
      </w:r>
    </w:p>
    <w:p>
      <w:pPr>
        <w:pStyle w:val="BookText"/>
        <w:rPr/>
      </w:pPr>
      <w:r>
        <w:rPr>
          <w:rFonts w:ascii="IRNazanin" w:hAnsi="IRNazanin" w:eastAsia="IRNazanin"/>
          <w:color w:val="111111"/>
          <w:sz w:val="28"/>
          <w:sz w:val="28"/>
          <w:szCs w:val="28"/>
          <w:rtl w:val="true"/>
          <w:lang w:bidi="fa-IR"/>
        </w:rPr>
        <w:t>تساوی المالین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مقدار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الربح بینهما علی نسبة المال متساویاً ومتفاوتاً، فلو عبّر به لکان أخصر وأدلّ علی المقصود؛ إذ لا یلزم من اختلاف الربح مع اختلاف المالین کونه علی 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شرطا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التساوی فی الربح علی تقدیر تساوی المالین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شرطا فیه تفاوتاً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غیر اختلاف استحقاقهما فی الربح مع اختلاف المالین کمیّةً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فالأظهر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بطلان الشرط، ویتبعه بطلان الشرکة بمعنی الإذن فی التصرّف، فإن عملا کذلک فالربح تابع للمال وإن خالف الشرط، ویکون لکلّ منهما اُجرة عمله بعد وضع ما قابل عمله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البطلان بهذا الشرط أنّ الزیادة الحاصلة فی الربح لأحدهما لیس فی مقابلها عوض، ولا وقع اشتراطها فی عقد معاوضة لتُضمّ إلی أحد العوضین، ولا اقتضی تملّکها عقدُ هبة، والأسباب المثمرة للملک معدودة ولیس هذا أحدها، فیبطل الشرط ویتبعه العقد المتضمنّ للإذن فی التصرّف؛ لعدم تراضیهما إلّاعلی ذلک التقدیر ولم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تقییده بعدم زیادة عملٍ ممّن شرطت له الزیادة، وإلّا اتّجه الجواز</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مطلقاً؛ لعموم الأمر بالوفاء بالعقود </w:t>
      </w:r>
      <w:r>
        <w:rPr>
          <w:rStyle w:val="FootnoteAnchor"/>
          <w:rtl w:val="true"/>
        </w:rPr>
        <w:footnoteReference w:id="1509"/>
      </w:r>
      <w:r>
        <w:rPr>
          <w:rFonts w:ascii="IRNazanin" w:hAnsi="IRNazanin" w:eastAsia="IRNazanin"/>
          <w:color w:val="111111"/>
          <w:sz w:val="28"/>
          <w:sz w:val="28"/>
          <w:szCs w:val="28"/>
          <w:rtl w:val="true"/>
          <w:lang w:bidi="fa-IR"/>
        </w:rPr>
        <w:t xml:space="preserve">والمؤمنون عند شروطهم </w:t>
      </w:r>
      <w:r>
        <w:rPr>
          <w:rStyle w:val="FootnoteAnchor"/>
          <w:rtl w:val="true"/>
        </w:rPr>
        <w:footnoteReference w:id="1510"/>
      </w:r>
      <w:r>
        <w:rPr>
          <w:rFonts w:ascii="IRNazanin" w:hAnsi="IRNazanin" w:eastAsia="IRNazanin"/>
          <w:color w:val="111111"/>
          <w:sz w:val="28"/>
          <w:sz w:val="28"/>
          <w:szCs w:val="28"/>
          <w:rtl w:val="true"/>
          <w:lang w:bidi="fa-IR"/>
        </w:rPr>
        <w:t xml:space="preserve">وأصالةِ الإباحة، وبناءِ الشرکة علی الإرفاق، ومنه موضع النزاع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لأحد الشرکاء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المال المشترک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إلّابإذن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لقبح التصرّف فی مال الغیر بغیر إذنه عقلاً وشرعاً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ویقتصر من التصرّف علی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حصول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واعلم أنّ الشرکة کما تُطلق علی اجتماع حقوق المُلّاک فی المال الواحد علی أحد الوجوه السابقة، کذلک تُطلق علی العقد المثمر جواز تصرّف المُلّاک فی المال المشترک، وبهذا المعنی اندرجت الشرکة فی قسم العقود وقبلت الحکم بالصحّة والفساد، لا بالمعنی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رحمه الله أشار إلی المعنی الأوّل بما افتتح به من الأقسام، وإلی الثانی بالإذن المبحوث عنه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 بالقسمة،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بالسکون وهو ما عدا النقدین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المال، أو نقداً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والشریک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تحت یده من المال المشترک المأذون له فی وضع یده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إلّابتعدّ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 ما لا یجوز فعله فی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التقصیر فی حفظه وما یتمّ به 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ویقبل یمینه فی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ادّعاه بتفریط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السبب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کالحرق والغَرَق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خصّه لإمکان إقامة البیّنة علیه، فربما احتمل عدم قبول قوله فیه کما ذهب إلیه بعض العامة </w:t>
      </w:r>
      <w:r>
        <w:rPr>
          <w:rStyle w:val="FootnoteAnchor"/>
          <w:rtl w:val="true"/>
        </w:rPr>
        <w:footnoteReference w:id="1512"/>
      </w:r>
      <w:r>
        <w:rPr>
          <w:rFonts w:ascii="Amiri" w:hAnsi="Amiri" w:eastAsia="Amiri" w:cs="Amiri"/>
          <w:color w:val="111111"/>
          <w:sz w:val="28"/>
          <w:sz w:val="28"/>
          <w:szCs w:val="28"/>
          <w:rtl w:val="true"/>
          <w:lang w:bidi="ar-SA"/>
        </w:rPr>
        <w:t>أمّا دعوی تلفه بأمر خفیّ کالسَرَق فمقبول إجماعاً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مشارکة الذمّیّ وإبضاعه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یدفع إلیه مالاً یتّجر فیه والربح لصاحب المال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للرجل المسلم أن یشارک الذمّیّ، ولا یُبضعه بضاعة، ولا یُودعه ودیعة،</w:t>
      </w:r>
    </w:p>
    <w:p>
      <w:pPr>
        <w:pStyle w:val="BookText"/>
        <w:rPr/>
      </w:pPr>
      <w:r>
        <w:rPr>
          <w:rFonts w:ascii="IRNazanin" w:hAnsi="IRNazanin" w:eastAsia="IRNazanin"/>
          <w:color w:val="111111"/>
          <w:sz w:val="28"/>
          <w:sz w:val="28"/>
          <w:szCs w:val="28"/>
          <w:rtl w:val="true"/>
          <w:lang w:bidi="fa-IR"/>
        </w:rPr>
        <w:t>ولا یصافیه المودّة</w:t>
      </w:r>
      <w:r>
        <w:rPr>
          <w:rFonts w:eastAsia="IRNazanin" w:cs="IRNazanin"/>
          <w:color w:val="111111"/>
          <w:sz w:val="28"/>
          <w:szCs w:val="28"/>
          <w:rtl w:val="true"/>
          <w:lang w:bidi="fa-IR"/>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باع الشریکان سِلعةً صفقةً، وقبض أحدهما من ثمنها شیئاً شارکه الآخر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وبه أخبار کثیرة </w:t>
      </w:r>
      <w:r>
        <w:rPr>
          <w:rStyle w:val="FootnoteAnchor"/>
          <w:rtl w:val="true"/>
        </w:rPr>
        <w:footnoteReference w:id="1514"/>
      </w:r>
      <w:r>
        <w:rPr>
          <w:rFonts w:ascii="IRNazanin" w:hAnsi="IRNazanin" w:eastAsia="IRNazanin"/>
          <w:color w:val="111111"/>
          <w:sz w:val="28"/>
          <w:sz w:val="28"/>
          <w:szCs w:val="28"/>
          <w:rtl w:val="true"/>
          <w:lang w:bidi="fa-IR"/>
        </w:rPr>
        <w:t>ولأنّ کلّ جزءٍ من الثمن مشترک بینهما، فکلّ ما حصل منه بینهما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یشارکه؛ لجواز أن یبرئ الغریم من حقّه ویصالحه علیه من غیر أن یسری إلی الآخر، فکذا الاستیفاء، ولأنّ متعلّق الشرکة هو العین وقد ذهبت، والعوض أمر کلّی لا یتعیّن إلّابقبض المالک أو وکیله، ولم یتحقّق هنا بالنسبة إلی الآخر؛ لأنّه إنّما قبضه لنفسه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المشهور لا یتعیّن علی الشریک غیر القابض مشارکته، بل یتخیّر بینها وبین مطالبة الغریم بحقّه، ویکون قدر حصّة الشریک فی ید القابض کقبض الفضول </w:t>
      </w:r>
      <w:r>
        <w:rPr>
          <w:rStyle w:val="FootnoteAnchor"/>
          <w:rtl w:val="true"/>
        </w:rPr>
        <w:footnoteReference w:id="1516"/>
      </w:r>
      <w:r>
        <w:rPr>
          <w:rFonts w:ascii="IRNazanin" w:hAnsi="IRNazanin" w:eastAsia="IRNazanin"/>
          <w:color w:val="111111"/>
          <w:sz w:val="28"/>
          <w:sz w:val="28"/>
          <w:szCs w:val="28"/>
          <w:rtl w:val="true"/>
          <w:lang w:bidi="fa-IR"/>
        </w:rPr>
        <w:t>إن أجازه ملکه وتبعه النماء، وإن ردّه ملکه القابض، ویکون مضموناً علیه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أراد الاختصاص بالمقبوض بغیر إشکال فلیبع حقّه للمدیون علی وجه یسلم من الربا بثمن معیّن فیختصّ به، وأولی منه الصلح علیه، أو یُبرئه من حقّه ویستوهب عوضه، أو یحیل به علی المدیون، أو یضمنه له ضامن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وموضع الخلاف مع حلول الحقّین، فلو کان أحدهما مؤجّلاً لم یشارک</w:t>
      </w:r>
    </w:p>
    <w:p>
      <w:pPr>
        <w:pStyle w:val="BookText"/>
        <w:rPr/>
      </w:pPr>
      <w:r>
        <w:rPr>
          <w:rFonts w:ascii="IRNazanin" w:hAnsi="IRNazanin" w:eastAsia="IRNazanin"/>
          <w:color w:val="111111"/>
          <w:sz w:val="28"/>
          <w:sz w:val="28"/>
          <w:szCs w:val="28"/>
          <w:rtl w:val="true"/>
          <w:lang w:bidi="fa-IR"/>
        </w:rPr>
        <w:t>فیما قبضه الآخر قبل حلول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ببیعهما صفقة عمّا لو باع کلّ واحد نصیبه بعقد وإن کان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فرق فی الصفقة بین کون المشتری واحداً ومتعدّداً؛ لأنّ الموجب للشرکة هو العقد الواحد علی المال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الصفقة ما اتّحد سبب شرکته، کالمیراث والإتلاف والاقتراض من المشترک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المشترکین المأذونین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شیء لنفسه أولهما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بیمینه؛ لأنّ مرجع ذلک إلی قصده وهو أعلم به، والاشتراک لا یعیّن التصرّف بدون القصد، وإنّما لزمه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القصد من الاُمور الباطنة التی لا تُعلم إلّامن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الاطّلاع علیه بإقراره</w:t>
      </w:r>
      <w:r>
        <w:rPr>
          <w:rFonts w:eastAsia="IRNazanin" w:cs="IRNazanin"/>
          <w:color w:val="111111"/>
          <w:sz w:val="28"/>
          <w:szCs w:val="28"/>
          <w:rtl w:val="true"/>
          <w:lang w:bidi="fa-IR"/>
        </w:rPr>
        <w:t>.</w:t>
      </w:r>
      <w:bookmarkStart w:id="618" w:name="pg19812_249644"/>
    </w:p>
    <w:p>
      <w:pPr>
        <w:pStyle w:val="Heading2"/>
        <w:numPr>
          <w:ilvl w:val="1"/>
          <w:numId w:val="1"/>
        </w:numPr>
        <w:rPr/>
      </w:pPr>
      <w:bookmarkStart w:id="619" w:name="__RefHeading___Toc2093206_2314609296"/>
      <w:bookmarkStart w:id="620" w:name="_Toc226"/>
      <w:bookmarkEnd w:id="618"/>
      <w:bookmarkEnd w:id="619"/>
      <w:r>
        <w:rPr>
          <w:rtl w:val="true"/>
        </w:rPr>
        <w:t>کتاب المضاربة</w:t>
      </w:r>
      <w:bookmarkEnd w:id="62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1" w:name="__RefHeading___Toc2093208_2314609296"/>
      <w:bookmarkStart w:id="622" w:name="_Toc227"/>
      <w:bookmarkEnd w:id="621"/>
      <w:r>
        <w:rPr>
          <w:rtl w:val="true"/>
        </w:rPr>
        <w:t>اشارة</w:t>
      </w:r>
      <w:bookmarkStart w:id="623" w:name="pg19812_249646"/>
      <w:bookmarkEnd w:id="622"/>
    </w:p>
    <w:p>
      <w:pPr>
        <w:pStyle w:val="BookText"/>
        <w:rPr/>
      </w:pPr>
      <w:bookmarkEnd w:id="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المضاربة</w:t>
      </w:r>
      <w:r>
        <w:rPr>
          <w:rFonts w:eastAsia="IRNazanin" w:cs="IRNazanin"/>
          <w:color w:val="111111"/>
          <w:sz w:val="28"/>
          <w:szCs w:val="28"/>
          <w:rtl w:val="true"/>
          <w:lang w:bidi="fa-IR"/>
        </w:rPr>
        <w:t>»</w:t>
      </w:r>
    </w:p>
    <w:p>
      <w:pPr>
        <w:pStyle w:val="Heading3"/>
        <w:numPr>
          <w:ilvl w:val="2"/>
          <w:numId w:val="1"/>
        </w:numPr>
        <w:rPr/>
      </w:pPr>
      <w:bookmarkStart w:id="624" w:name="__RefHeading___Toc2093210_2314609296"/>
      <w:bookmarkStart w:id="625" w:name="_Toc228"/>
      <w:bookmarkEnd w:id="624"/>
      <w:r>
        <w:rPr>
          <w:rtl w:val="true"/>
        </w:rPr>
        <w:t>[</w:t>
      </w:r>
      <w:r>
        <w:rPr>
          <w:rtl w:val="true"/>
        </w:rPr>
        <w:t>تعریفها</w:t>
      </w:r>
      <w:r>
        <w:rPr>
          <w:rtl w:val="true"/>
        </w:rPr>
        <w:t>]</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أن یدفع مالاً إلی غیره لِیَعمَلَ فیه بحصّة معیّنة من 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الضرب فی الأرض؛ لأنّ العامل یضرب فیها للسعی علی التجارة وابتغاء الربح بطلب صاحب المال، فکأنّ الضرب مسبَّب عنهما فتحقّقت المفاعلة لذلک، أو من ضرب کلّ منهما فی الربح بسهم، أو لما فیه من الضرب بالمال وتقلیبه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وأهل الحجاز یسمّونها قراضاً من القَرْض وهو القطع، کأنّ صاحب المال اقتطع منه قِطعة وسلّمها إلی العامل، أو اقتطع له قطعة من الربح فی مقابلة عمله، أو من المقارضة، وهی المساواة، 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قارض الناس ما قارضوک، فإن ترکتهم لم یترکوک</w:t>
      </w:r>
      <w:r>
        <w:rPr>
          <w:rFonts w:eastAsia="IRNazanin" w:cs="IRNazanin"/>
          <w:color w:val="111111"/>
          <w:sz w:val="28"/>
          <w:szCs w:val="28"/>
          <w:rtl w:val="true"/>
          <w:lang w:bidi="fa-IR"/>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التساوی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من جهة والعمل من اُخری، والربح فی مقابلهما، فقد تساویا فی قوام العقد أو أصل استحقاق الربح، وإن اختلفا فی کمّیّته</w:t>
      </w:r>
      <w:r>
        <w:rPr>
          <w:rFonts w:eastAsia="IRNazanin" w:cs="IRNazanin"/>
          <w:color w:val="111111"/>
          <w:sz w:val="28"/>
          <w:szCs w:val="28"/>
          <w:rtl w:val="true"/>
          <w:lang w:bidi="fa-IR"/>
        </w:rPr>
        <w:t>.</w:t>
      </w:r>
    </w:p>
    <w:p>
      <w:pPr>
        <w:pStyle w:val="Heading3"/>
        <w:numPr>
          <w:ilvl w:val="2"/>
          <w:numId w:val="1"/>
        </w:numPr>
        <w:rPr/>
      </w:pPr>
      <w:bookmarkStart w:id="626" w:name="__RefHeading___Toc2093212_2314609296"/>
      <w:bookmarkStart w:id="627" w:name="_Toc229"/>
      <w:bookmarkEnd w:id="626"/>
      <w:r>
        <w:rPr>
          <w:rtl w:val="true"/>
        </w:rPr>
        <w:t>[</w:t>
      </w:r>
      <w:r>
        <w:rPr>
          <w:rtl w:val="true"/>
        </w:rPr>
        <w:t>شروطها و احکامها</w:t>
      </w:r>
      <w:r>
        <w:rPr>
          <w:rtl w:val="true"/>
        </w:rPr>
        <w:t>]</w:t>
      </w:r>
      <w:bookmarkEnd w:id="62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جائزة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نضّ المال </w:t>
      </w:r>
      <w:r>
        <w:rPr>
          <w:rStyle w:val="FootnoteAnchor"/>
          <w:rtl w:val="true"/>
        </w:rPr>
        <w:footnoteReference w:id="1518"/>
      </w:r>
      <w:r>
        <w:rPr>
          <w:rFonts w:ascii="IRNazanin" w:hAnsi="IRNazanin" w:eastAsia="IRNazanin"/>
          <w:color w:val="111111"/>
          <w:sz w:val="28"/>
          <w:sz w:val="28"/>
          <w:szCs w:val="28"/>
          <w:rtl w:val="true"/>
          <w:lang w:bidi="fa-IR"/>
        </w:rPr>
        <w:t>أم کان به عروض، یجوز لکلّ منهما فسخها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لوازم جوازها منهما وقوع العقد بکلّ لفظٍ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اشتراط وقوع قبوله لفظیّاً أو جوازه بالفعل أیضاً قولان </w:t>
      </w:r>
      <w:r>
        <w:rPr>
          <w:rStyle w:val="FootnoteAnchor"/>
          <w:rtl w:val="true"/>
        </w:rPr>
        <w:footnoteReference w:id="1519"/>
      </w:r>
      <w:r>
        <w:rPr>
          <w:rFonts w:ascii="IRNazanin" w:hAnsi="IRNazanin" w:eastAsia="IRNazanin"/>
          <w:color w:val="111111"/>
          <w:sz w:val="28"/>
          <w:sz w:val="28"/>
          <w:szCs w:val="28"/>
          <w:rtl w:val="true"/>
          <w:lang w:bidi="fa-IR"/>
        </w:rPr>
        <w:t>لا یخلو ثانیهما 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یصحّ اشتراط اللزوم أو الأجل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 نّه لا یجب الوفاء بالشرط ولا تصیر لازمة بذلک ولا فی الأجل، بل یجوز فسخها فیه عملاً بالأصل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یثمر المنع من التصرّف بعد الأجل إلّابإذن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التصرّف تابع للإذن ولا إذن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أجّل بعضَ التصرّفات، کالبیع أو الشراء خاصّة أو نوعاً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تشریکه بین اشتراط اللزوم والأجل تساویهما فی الصحّة وعدم لزوم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اللزوم مبطل؛ لأنّه منافٍ لمقتضی العقد، فإذا فسد الشرط تبعه العقد، بخلاف شرط الأجل، فإنّ مرجعه إلی تقیید التصرّف بوقت خاصّ وهو غیر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المصنّف ذلک، وإنّما شرّک بینهما فی عدم صحّة الشرط مطلقاً وإن افترقا فی أمر آخر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التصرّف علی ما أذن المالک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نوع التجارة ومکانها وزمانها ومن یشتری منه ویبیع علیه،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خالف ما عیّن له ضمن المال، لکن لو ربح کان بینهما بمقتضی الشرط؛ للأخبار الصحیحة </w:t>
      </w:r>
      <w:r>
        <w:rPr>
          <w:rStyle w:val="FootnoteAnchor"/>
          <w:rtl w:val="true"/>
        </w:rPr>
        <w:footnoteReference w:id="1520"/>
      </w:r>
      <w:r>
        <w:rPr>
          <w:rFonts w:ascii="IRNazanin" w:hAnsi="IRNazanin" w:eastAsia="IRNazanin"/>
          <w:color w:val="111111"/>
          <w:sz w:val="28"/>
          <w:sz w:val="28"/>
          <w:szCs w:val="28"/>
          <w:rtl w:val="true"/>
          <w:lang w:bidi="fa-IR"/>
        </w:rPr>
        <w:t>ولولاها لکان التصرّف باطلاً أو موقوفاً علی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بالاسترباح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یظنّ فیه حصول الربح من غیر أن یتقیّد بنوع أو زمان أو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ویتولّی أیضاً بالإطلاق ما یتولّاه المالک فی التجارة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القماش علی المشتری ونشره وطیِّه وإحرازه وبیعه وقبض ثمنه، ولا اُجرة له علی مثل ذلک، حملاً للإطلاق علی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الاستئجار علی ما جرت العادة به، کالدلالة ووزن الأمتعة الثقیلة التی لم تجر عادته بمباشرة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وینفق فی السفر کمال نفقته من أصل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بالنفقة ما یحتاج فیه إلیه من مأکول وملبوس ومشروب ومرکوب، وآلات ذلک، واُجرة المسکن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ویراعی فیها ما یلیق به عادة مقتصداً، فإن أسرف حُسب علیه، وإن قتر لم یحسب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عاد من السفر فما بقی من أعیانها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ردّه إلی التجارة أو ترکُه إلی أن یسافر إن کان ممّن یعود إلیه قبل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شرط عدمها لزم، ولو أذن له بعده فهو تبرّع محض، ولو شرطها فهو تأکید، ویشترط حینئذٍ تعیینها لئلّا یتجهّل الشرط، بخلاف ما ثبت بأصل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ثبوتها حصول ربح، بل ینفق ولو من الأصل إن لم یربح، وإلّا کانت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ومؤونة المرض فی السفر علی العامل، وکذا سفر لم یؤذَن فیه وإن استحقّ الحصّة </w:t>
      </w:r>
      <w:r>
        <w:rPr>
          <w:rStyle w:val="FootnoteAnchor"/>
          <w:rtl w:val="true"/>
        </w:rPr>
        <w:footnoteReference w:id="1521"/>
      </w:r>
      <w:r>
        <w:rPr>
          <w:rFonts w:ascii="IRNazanin" w:hAnsi="IRNazanin" w:eastAsia="IRNazanin"/>
          <w:color w:val="111111"/>
          <w:sz w:val="28"/>
          <w:sz w:val="28"/>
          <w:szCs w:val="28"/>
          <w:rtl w:val="true"/>
          <w:lang w:bidi="fa-IR"/>
        </w:rPr>
        <w:t>والمراد بالسفر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العرفی، لا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اشتمل علی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فینفق وإن کان قصیراً أو أتمّ الصلاة، إلّاأن یخرج عن اسم المسافر، أو یزید عمّا تحتاج التجارة إلیه فینفق من ماله إلی أن یصدق الوصف</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واحترز بکمال النفقة عن القدر الزائد عن نفقة الحضر،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ینفق</w:t>
      </w:r>
    </w:p>
    <w:p>
      <w:pPr>
        <w:pStyle w:val="BookText"/>
        <w:rPr/>
      </w:pPr>
      <w:r>
        <w:rPr>
          <w:rFonts w:ascii="IRNazanin" w:hAnsi="IRNazanin" w:eastAsia="IRNazanin"/>
          <w:color w:val="111111"/>
          <w:sz w:val="28"/>
          <w:sz w:val="28"/>
          <w:szCs w:val="28"/>
          <w:rtl w:val="true"/>
          <w:lang w:bidi="fa-IR"/>
        </w:rPr>
        <w:t xml:space="preserve">فیه سواه </w:t>
      </w:r>
      <w:r>
        <w:rPr>
          <w:rStyle w:val="FootnoteAnchor"/>
          <w:rtl w:val="true"/>
        </w:rPr>
        <w:footnoteReference w:id="1522"/>
      </w:r>
      <w:r>
        <w:rPr>
          <w:rFonts w:ascii="IRNazanin" w:hAnsi="IRNazanin" w:eastAsia="IRNazanin"/>
          <w:color w:val="111111"/>
          <w:sz w:val="28"/>
          <w:sz w:val="28"/>
          <w:szCs w:val="28"/>
          <w:rtl w:val="true"/>
          <w:lang w:bidi="fa-IR"/>
        </w:rPr>
        <w:t>ونبّه بأصل المال علی أ نّه لا یشترط حصول ربح،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ولیشتر نقداً بنقد البلد، بثمن المثل فما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اشتری نسیئة، أو بغیر نقد البلد، أو بأزید من ثمن المثل کان فضولیّاً، فإن أجازه المالک صحّ، وإلّا بطل؛ لما فی النسیئة من احتمال الضرر بتلف رأس المال فیبقی عهدة الثمن متعلّقة بالمالک وقد لا یقدر علیه، أو لا یکون له غرض فی غیر ما دفع، وحملاً فی الأخیرین علی المتعارف وما فیه الغبطة، کالوکیل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بنقد البلد نقداً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المثل فما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 النسیئة من التغریر بمال المالک، وحملاً للإطلاق علی المتعارف وهو نقد البلد، کالوکالة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بغیره وبالعَرْض مع کونه مظنّة للربح؛ لأنّ الغرض الأقصی منها ذلک، بخلاف الوکالة </w:t>
      </w:r>
      <w:r>
        <w:rPr>
          <w:rStyle w:val="FootnoteAnchor"/>
          <w:rtl w:val="true"/>
        </w:rPr>
        <w:footnoteReference w:id="1523"/>
      </w:r>
      <w:r>
        <w:rPr>
          <w:rFonts w:ascii="Amiri" w:hAnsi="Amiri" w:eastAsia="Amiri" w:cs="Amiri"/>
          <w:color w:val="111111"/>
          <w:sz w:val="28"/>
          <w:sz w:val="28"/>
          <w:szCs w:val="28"/>
          <w:rtl w:val="true"/>
          <w:lang w:bidi="ar-SA"/>
        </w:rPr>
        <w:t>وفیه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أذن المالک فی شیءٍ من ذلک خصوصاً أو عموماً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برأیک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بالعَرْض قطعاً، أمّا النقد وثمن المثل فلا یخالفهما إلّامع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ثمن المثل نقصان یتسامح به 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ولیشتر بعین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الإذن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بالإجازة، فإن اشتری فیها بدونه ولم یذکر المالک لفظاً ولا نیّةً وقع له ولو ذکره لفظاً فهو فضولیّ، ونیّةً خاصّة للعامل ظاهراً وموقوفاً باطناً، فیجب التخلّص من حقّ البائع</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تجاوز ما حدّ له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الزمان والمکان والصنف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والربح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تجاوز بالعین </w:t>
      </w:r>
      <w:r>
        <w:rPr>
          <w:rStyle w:val="FootnoteAnchor"/>
          <w:rtl w:val="true"/>
        </w:rPr>
        <w:footnoteReference w:id="1524"/>
      </w:r>
      <w:r>
        <w:rPr>
          <w:rFonts w:ascii="IRNazanin" w:hAnsi="IRNazanin" w:eastAsia="IRNazanin"/>
          <w:color w:val="111111"/>
          <w:sz w:val="28"/>
          <w:sz w:val="28"/>
          <w:szCs w:val="28"/>
          <w:rtl w:val="true"/>
          <w:lang w:bidi="fa-IR"/>
        </w:rPr>
        <w:t>والمثل والنقد وقف علی الإجازة، فإن لم یُجز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بالدراهم والدنانیر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ولیس ثمّة علّة مقنعة غیره، فلا تصحّ بالعروض ولا الفلوس </w:t>
      </w:r>
      <w:r>
        <w:rPr>
          <w:rStyle w:val="FootnoteAnchor"/>
          <w:rtl w:val="true"/>
        </w:rPr>
        <w:footnoteReference w:id="1525"/>
      </w:r>
      <w:r>
        <w:rPr>
          <w:rFonts w:ascii="IRNazanin" w:hAnsi="IRNazanin" w:eastAsia="IRNazanin"/>
          <w:color w:val="111111"/>
          <w:sz w:val="28"/>
          <w:sz w:val="28"/>
          <w:szCs w:val="28"/>
          <w:rtl w:val="true"/>
          <w:lang w:bidi="fa-IR"/>
        </w:rPr>
        <w:t>ولا الدین وغیرها، ولا فرق بین المعیّن والمشاع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وتلزم الحصّة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الاُجرة؛ لأنّها معاملة صحیحة فیلزم مقتضاها، وهو ما شرط للعامل من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اُجرة المثل، وأنّ المعاملة فاسدة، لجهالة العوض </w:t>
      </w:r>
      <w:r>
        <w:rPr>
          <w:rStyle w:val="FootnoteAnchor"/>
          <w:rtl w:val="true"/>
        </w:rPr>
        <w:footnoteReference w:id="1526"/>
      </w:r>
      <w:r>
        <w:rPr>
          <w:rFonts w:ascii="IRNazanin" w:hAnsi="IRNazanin" w:eastAsia="IRNazanin"/>
          <w:color w:val="111111"/>
          <w:sz w:val="28"/>
          <w:sz w:val="28"/>
          <w:szCs w:val="28"/>
          <w:rtl w:val="true"/>
          <w:lang w:bidi="fa-IR"/>
        </w:rPr>
        <w:t xml:space="preserve">والنصوص الصحیحة </w:t>
      </w:r>
      <w:r>
        <w:rPr>
          <w:rStyle w:val="FootnoteAnchor"/>
          <w:rtl w:val="true"/>
        </w:rPr>
        <w:footnoteReference w:id="1527"/>
      </w:r>
      <w:r>
        <w:rPr>
          <w:rFonts w:ascii="IRNazanin" w:hAnsi="IRNazanin" w:eastAsia="IRNazanin"/>
          <w:color w:val="111111"/>
          <w:sz w:val="28"/>
          <w:sz w:val="28"/>
          <w:szCs w:val="28"/>
          <w:rtl w:val="true"/>
          <w:lang w:bidi="fa-IR"/>
        </w:rPr>
        <w:t>علی صحّتها، بل إجماع المسلمین یدفعه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 أمین لا یضمن إلّابتعدّ أو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ومعهما یبقی العقد ویستحقّ ما شُرط له وإن ضمن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فسخ المالک فللعامل اُجرة مثله إلی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فسخ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فله حصّته من الربح</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اُشکل الحکم بالاُجرة علی تقدیر عدم الربح </w:t>
      </w:r>
      <w:r>
        <w:rPr>
          <w:rStyle w:val="FootnoteAnchor"/>
          <w:rtl w:val="true"/>
        </w:rPr>
        <w:footnoteReference w:id="1528"/>
      </w:r>
      <w:r>
        <w:rPr>
          <w:rFonts w:ascii="IRNazanin" w:hAnsi="IRNazanin" w:eastAsia="IRNazanin"/>
          <w:color w:val="111111"/>
          <w:sz w:val="28"/>
          <w:sz w:val="28"/>
          <w:szCs w:val="28"/>
          <w:rtl w:val="true"/>
          <w:lang w:bidi="fa-IR"/>
        </w:rPr>
        <w:t>بأنّ مقتضی العقد استحقاق الحصّة إن حصلت لا غیرها، وتسلّط المالک علی الفسخ من مقتضیاتها، فالعامل قادم علی ذلک فلا شیء له سوی ما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المال عروضاً عند الفسخ، فإن کان به ربح فللعامل بیعه إن لم یدفع المالک إلیه حقّه منه، وإلّا لم یجز إلّابإذن المالک وإن رجا الربح حیث لایکون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طلب المالک إنضاضه، ففی إجبار العامل علیه قولان </w:t>
      </w:r>
      <w:r>
        <w:rPr>
          <w:rStyle w:val="FootnoteAnchor"/>
          <w:rtl w:val="true"/>
        </w:rPr>
        <w:footnoteReference w:id="1529"/>
      </w:r>
      <w:r>
        <w:rPr>
          <w:rFonts w:ascii="IRNazanin" w:hAnsi="IRNazanin" w:eastAsia="IRNazanin"/>
          <w:color w:val="111111"/>
          <w:sz w:val="28"/>
          <w:sz w:val="28"/>
          <w:szCs w:val="28"/>
          <w:rtl w:val="true"/>
          <w:lang w:bidi="fa-IR"/>
        </w:rPr>
        <w:t>أجودهما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انفسخ العقد من غیر المالک إمّا بعارض </w:t>
      </w:r>
      <w:r>
        <w:rPr>
          <w:rStyle w:val="FootnoteAnchor"/>
          <w:rtl w:val="true"/>
        </w:rPr>
        <w:footnoteReference w:id="1530"/>
      </w:r>
      <w:r>
        <w:rPr>
          <w:rFonts w:ascii="IRNazanin" w:hAnsi="IRNazanin" w:eastAsia="IRNazanin"/>
          <w:color w:val="111111"/>
          <w:sz w:val="28"/>
          <w:sz w:val="28"/>
          <w:szCs w:val="28"/>
          <w:rtl w:val="true"/>
          <w:lang w:bidi="fa-IR"/>
        </w:rPr>
        <w:t>یفسد العقد الجائز أو من قبل العامل فلا اُجرة له، بل الحصّة إن ظهر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الاُجرة أیضاً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قول العامل فی قدر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منکر للزائد والأصل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أمین فیقبل قوله فیه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أن یکون رأس المال معلوماً 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لترتفع الجهالة عنه، ولا یُکتفی بمشاهدته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المشاهدة وهو ظاهر اختیاره هنا، وهو مذهب الشیخ </w:t>
      </w:r>
      <w:r>
        <w:rPr>
          <w:rStyle w:val="FootnoteAnchor"/>
          <w:rtl w:val="true"/>
        </w:rPr>
        <w:footnoteReference w:id="1533"/>
      </w:r>
      <w:r>
        <w:rPr>
          <w:rFonts w:ascii="IRNazanin" w:hAnsi="IRNazanin" w:eastAsia="IRNazanin"/>
          <w:color w:val="111111"/>
          <w:sz w:val="28"/>
          <w:sz w:val="28"/>
          <w:szCs w:val="28"/>
          <w:rtl w:val="true"/>
          <w:lang w:bidi="fa-IR"/>
        </w:rPr>
        <w:t xml:space="preserve">والعلّامة فی المختلف </w:t>
      </w:r>
      <w:r>
        <w:rPr>
          <w:rStyle w:val="FootnoteAnchor"/>
          <w:rtl w:val="true"/>
        </w:rPr>
        <w:footnoteReference w:id="1534"/>
      </w:r>
      <w:r>
        <w:rPr>
          <w:rFonts w:ascii="IRNazanin" w:hAnsi="IRNazanin" w:eastAsia="IRNazanin"/>
          <w:color w:val="111111"/>
          <w:sz w:val="28"/>
          <w:sz w:val="28"/>
          <w:szCs w:val="28"/>
          <w:rtl w:val="true"/>
          <w:lang w:bidi="fa-IR"/>
        </w:rPr>
        <w:t>لزوال معظم الغرر بالمشاهدة، وللأصل، 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فإن قلنا به فاختلفا فی قدره فالقول قول</w:t>
      </w:r>
    </w:p>
    <w:p>
      <w:pPr>
        <w:pStyle w:val="BookText"/>
        <w:rPr/>
      </w:pPr>
      <w:r>
        <w:rPr>
          <w:rFonts w:ascii="IRNazanin" w:hAnsi="IRNazanin" w:eastAsia="IRNazanin"/>
          <w:color w:val="111111"/>
          <w:sz w:val="28"/>
          <w:sz w:val="28"/>
          <w:szCs w:val="28"/>
          <w:rtl w:val="true"/>
          <w:lang w:bidi="fa-IR"/>
        </w:rPr>
        <w:t>العامل کما تقدّم؛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للعامل أن یشتری ما فیه ضرر علی المالک، کمن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المالک؛ لأنّه تخسیر محض، والغرض من هذه المعاملة الاسترباح، فإن اشتراه بدون إذنه کان فضولیّاً مع علمه بالنسب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جهله بهما أو بأحدهما ففی صحّته وعتقه عن المالک أو إلحاقه بالعالم وجهان، مأخذهما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الإذن إلی ما یمکن بیعه والاسترباح به فلا یدخل هذا فیه مطلقاً، ومن کون الشرط بحسب الظاهر؛ لاستحالة توجّه الخطاب إلی الغافل کما لو اشتری معیباً لا یعلم بعیبه فتلف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یشتری من ربّ المال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المال له ولا یشتری مال الإنسان بماله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أذن فی شراء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ممّن ینعتق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وانعتق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اشتراه بنفسه أو وکیله، وبطلت المضاربة فی ثمنه؛ لأنّه بمنزلة التالف، وصار الباقی رأس المال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وللعامل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ظهر فیه ربح أم لا، أمّا مع عدمه فظاهر إلّاعلی الاحتمال السابق </w:t>
      </w:r>
      <w:r>
        <w:rPr>
          <w:rStyle w:val="FootnoteAnchor"/>
          <w:rtl w:val="true"/>
        </w:rPr>
        <w:footnoteReference w:id="1536"/>
      </w:r>
      <w:r>
        <w:rPr>
          <w:rFonts w:ascii="IRNazanin" w:hAnsi="IRNazanin" w:eastAsia="IRNazanin"/>
          <w:color w:val="111111"/>
          <w:sz w:val="28"/>
          <w:sz w:val="28"/>
          <w:szCs w:val="28"/>
          <w:rtl w:val="true"/>
          <w:lang w:bidi="fa-IR"/>
        </w:rPr>
        <w:t>فیما لو فسخ المالک بنفسه، وأمّا مع ظهوره فلبطلان المضاربة بهذا الشراء، لعدم کونه من متعلّق الإذن؛ لأنّ متعلّقه ما فیه ربح ولو بالمظنّة وهو منفیّ هنا، لکونه مستعقباً للعتق، فإذا صرف الثمن فیه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ثبوت الحصّة إن قلنا بملکها بالظهور؛ لتحقّقه، ولا یقدح عتقه القهری؛ لصدوره بإذن المالک، کما لو استردّ طائفة من المال بعد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فیسری علی العامل مع یسار المالک إن قلنا بالسرایة فی العتق القهری، أو مع اختیار الشریک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ممّن ینعتق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ضرر 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فیه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الشراء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انعتق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نصیب العامل؛ لاختیاره السبب المفضی إلیه کما لو اشتراه بماله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ویسعی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الولد موسراً؛ لصحیحة محمّد بن أبی عمیر عن الصادق علیه السلام </w:t>
      </w:r>
      <w:r>
        <w:rPr>
          <w:rStyle w:val="FootnoteAnchor"/>
          <w:rtl w:val="true"/>
        </w:rPr>
        <w:footnoteReference w:id="1537"/>
      </w:r>
      <w:r>
        <w:rPr>
          <w:rFonts w:ascii="IRNazanin" w:hAnsi="IRNazanin" w:eastAsia="IRNazanin"/>
          <w:color w:val="111111"/>
          <w:sz w:val="28"/>
          <w:sz w:val="28"/>
          <w:szCs w:val="28"/>
          <w:rtl w:val="true"/>
          <w:lang w:bidi="fa-IR"/>
        </w:rPr>
        <w:t>الحاکمة باستسعائه من غیر استفصال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یسری علی العامل مع یساره </w:t>
      </w:r>
      <w:r>
        <w:rPr>
          <w:rStyle w:val="FootnoteAnchor"/>
          <w:rtl w:val="true"/>
        </w:rPr>
        <w:footnoteReference w:id="1538"/>
      </w:r>
      <w:r>
        <w:rPr>
          <w:rFonts w:ascii="IRNazanin" w:hAnsi="IRNazanin" w:eastAsia="IRNazanin"/>
          <w:color w:val="111111"/>
          <w:sz w:val="28"/>
          <w:sz w:val="28"/>
          <w:szCs w:val="28"/>
          <w:rtl w:val="true"/>
          <w:lang w:bidi="fa-IR"/>
        </w:rPr>
        <w:t xml:space="preserve">لاختیاره السبب، وهو موجب لها کما سیأتی </w:t>
      </w:r>
      <w:r>
        <w:rPr>
          <w:rStyle w:val="FootnoteAnchor"/>
          <w:rtl w:val="true"/>
        </w:rPr>
        <w:footnoteReference w:id="153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الروایة علی إعساره؛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فُرّق بین ظهور الربح حالةَ الشراء وتجدّده، فیسری فی الأوّل دون الثانی ویمکن حمل الروایة علیه أیضاً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وجه ثالث بطلان البیع؛ لأنّه منافٍ لمقصود القراض؛ إذ الغرض هو السعی للتجارة التی تقبل التقلیب للاسترباحِ، والشراءُ المتعقّب للعتق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والوسط قویّ لولا معارضة إطلاق النصّ الصحیح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bookmarkStart w:id="628" w:name="pg19812_249654"/>
    </w:p>
    <w:p>
      <w:pPr>
        <w:pStyle w:val="Heading2"/>
        <w:numPr>
          <w:ilvl w:val="1"/>
          <w:numId w:val="1"/>
        </w:numPr>
        <w:rPr/>
      </w:pPr>
      <w:bookmarkStart w:id="629" w:name="__RefHeading___Toc2093214_2314609296"/>
      <w:bookmarkStart w:id="630" w:name="_Toc230"/>
      <w:bookmarkEnd w:id="628"/>
      <w:bookmarkEnd w:id="629"/>
      <w:r>
        <w:rPr>
          <w:rtl w:val="true"/>
        </w:rPr>
        <w:t>کتاب الودیعة</w:t>
      </w:r>
      <w:bookmarkEnd w:id="63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1" w:name="__RefHeading___Toc2093216_2314609296"/>
      <w:bookmarkStart w:id="632" w:name="_Toc231"/>
      <w:bookmarkEnd w:id="631"/>
      <w:r>
        <w:rPr>
          <w:rtl w:val="true"/>
        </w:rPr>
        <w:t>اشارة</w:t>
      </w:r>
      <w:bookmarkStart w:id="633" w:name="pg19812_249656"/>
      <w:bookmarkEnd w:id="632"/>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الودیعة</w:t>
      </w:r>
      <w:r>
        <w:rPr>
          <w:rFonts w:eastAsia="IRNazanin" w:cs="IRNazanin"/>
          <w:color w:val="111111"/>
          <w:sz w:val="28"/>
          <w:szCs w:val="28"/>
          <w:rtl w:val="true"/>
          <w:lang w:bidi="fa-IR"/>
        </w:rPr>
        <w:t>»</w:t>
      </w:r>
    </w:p>
    <w:p>
      <w:pPr>
        <w:pStyle w:val="Heading3"/>
        <w:numPr>
          <w:ilvl w:val="2"/>
          <w:numId w:val="1"/>
        </w:numPr>
        <w:rPr/>
      </w:pPr>
      <w:bookmarkStart w:id="634" w:name="__RefHeading___Toc2093218_2314609296"/>
      <w:bookmarkStart w:id="635" w:name="_Toc232"/>
      <w:bookmarkEnd w:id="634"/>
      <w:r>
        <w:rPr>
          <w:rtl w:val="true"/>
        </w:rPr>
        <w:t>[</w:t>
      </w:r>
      <w:r>
        <w:rPr>
          <w:rtl w:val="true"/>
        </w:rPr>
        <w:t>تعریفها</w:t>
      </w:r>
      <w:r>
        <w:rPr>
          <w:rtl w:val="true"/>
        </w:rPr>
        <w:t>]</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استنابة فی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استنابة فیه بالذات، فلا یرد مثل الوکالة فی بیع شیء أو شرائه مع إثبات الید علیه، فإنّها تستلزم الاستنابة فیه إلّاأ نّها بالعرض، والقصد بالذات الإذن فیما وکّل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الاستنابة إنّما تکون من 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والودیعة لا تتمّ إلّابالمتعاقدین، فلا تکون الودیعة هی الاستنابة، بل هی وقبولها وإن اکتفینا بالقبول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التعریف لمّا کان لعقدها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علم من مذهب المصنّف </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المعتبر منه الإیجاب تسامَحَ فی إطلاقها علیه، أو لأنّ الاستنابة تستلزم قبولها، فإنّها لو تجرّدت عنه لم تؤثّر</w:t>
      </w:r>
      <w:r>
        <w:rPr>
          <w:rFonts w:eastAsia="IRNazanin" w:cs="IRNazanin"/>
          <w:color w:val="111111"/>
          <w:sz w:val="28"/>
          <w:szCs w:val="28"/>
          <w:rtl w:val="true"/>
          <w:lang w:bidi="fa-IR"/>
        </w:rPr>
        <w:t>.</w:t>
      </w:r>
    </w:p>
    <w:p>
      <w:pPr>
        <w:pStyle w:val="Heading3"/>
        <w:numPr>
          <w:ilvl w:val="2"/>
          <w:numId w:val="1"/>
        </w:numPr>
        <w:rPr/>
      </w:pPr>
      <w:bookmarkStart w:id="636" w:name="__RefHeading___Toc2093220_2314609296"/>
      <w:bookmarkStart w:id="637" w:name="_Toc233"/>
      <w:bookmarkEnd w:id="636"/>
      <w:r>
        <w:rPr>
          <w:rtl w:val="true"/>
        </w:rPr>
        <w:t>[</w:t>
      </w:r>
      <w:r>
        <w:rPr>
          <w:rtl w:val="true"/>
        </w:rPr>
        <w:t xml:space="preserve">الایجاب و القبول </w:t>
      </w:r>
      <w:r>
        <w:rPr>
          <w:rtl w:val="true"/>
        </w:rPr>
        <w:t>]</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وتفتقر إلی إیجاب وقبول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کغیرها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حصر فی الألفاظ الدالّة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شأن العقود الجائزة من الطرفین، فیکفی کلّ لفظ دلّ علیها، بل التلویح والإشارة المفهمة لمعناها اختیاراً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ویکفی فی القبول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الغرض منه الرضا بها، وربما کان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من القول باعتبار دخولها فی ضمانه، والتزامُه بحفظها</w:t>
      </w:r>
    </w:p>
    <w:p>
      <w:pPr>
        <w:pStyle w:val="BookText"/>
        <w:rPr/>
      </w:pPr>
      <w:r>
        <w:rPr>
          <w:rFonts w:ascii="IRNazanin" w:hAnsi="IRNazanin" w:eastAsia="IRNazanin"/>
          <w:color w:val="111111"/>
          <w:sz w:val="28"/>
          <w:sz w:val="28"/>
          <w:szCs w:val="28"/>
          <w:rtl w:val="true"/>
          <w:lang w:bidi="fa-IR"/>
        </w:rPr>
        <w:t>بواسطة القبض وإن لم یحصل الإیجاب فیه أولی، إلّاأنّ فیه خروجاً عن باب العقود التی لا تتمّ إلّابصیغة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إذن مجرّد لا عقد </w:t>
      </w:r>
      <w:r>
        <w:rPr>
          <w:rStyle w:val="FootnoteAnchor"/>
          <w:rtl w:val="true"/>
        </w:rPr>
        <w:footnoteReference w:id="1542"/>
      </w:r>
      <w:r>
        <w:rPr>
          <w:rFonts w:ascii="IRNazanin" w:hAnsi="IRNazanin" w:eastAsia="IRNazanin"/>
          <w:color w:val="111111"/>
          <w:sz w:val="28"/>
          <w:sz w:val="28"/>
          <w:szCs w:val="28"/>
          <w:rtl w:val="true"/>
          <w:lang w:bidi="fa-IR"/>
        </w:rPr>
        <w:t>وکیف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مقارنة القبول للإیجاب قولیّاً کان أم فعلیّاً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طرحها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یحصل منه ما یدلّ علی الرضا ولا قبضها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أکرهه علی قبضها لم تصر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القبول الشرعی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الإیجاب فقد یحصل بالطرح بأن یضمّ إلیه قولاً أو ما فی حکمه یفیده، وقد لا یحصل بأن یقتصر علی مجرّد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لا تصیر ودیعة وإن قبل قولاً أو فعلاً، لکن فی الثانی یجب علیه الحفظ للید، لا للودیعة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الأوّل تتمّ بالقبول بهما </w:t>
      </w:r>
      <w:r>
        <w:rPr>
          <w:rStyle w:val="FootnoteAnchor"/>
          <w:rtl w:val="true"/>
        </w:rPr>
        <w:footnoteReference w:id="1543"/>
      </w:r>
      <w:r>
        <w:rPr>
          <w:rFonts w:ascii="IRNazanin" w:hAnsi="IRNazanin" w:eastAsia="IRNazanin"/>
          <w:color w:val="111111"/>
          <w:sz w:val="28"/>
          <w:sz w:val="28"/>
          <w:szCs w:val="28"/>
          <w:rtl w:val="true"/>
          <w:lang w:bidi="fa-IR"/>
        </w:rPr>
        <w:t>فیجب علیه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لا یجب لعدم القبول قد یجب لأمر آخر، کما لو غاب المالک وترکها وخیف علیها الذهاب، فیجب من باب المعاونة علی البرّ کفایةً، لکن لا ضمان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الإکراه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بل یجوز ترکها وإن قبضها به فی حضور المالک وغیبته، إلّاأن یکون المکرِه مضطرّاً إلی الإیداع، فیجب إعانته علیه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یجب 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فی الثانی من حیث الودیعة، ومع عدم القبول أو القبض فی الأوّل علی ما فُصّل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الودیعة قولاً أو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مستودعاً، وکذا بعده إلی أن یؤدّی إلی المالک أو من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w:t>
      </w:r>
    </w:p>
    <w:p>
      <w:pPr>
        <w:pStyle w:val="BookText"/>
        <w:rPr/>
      </w:pPr>
      <w:r>
        <w:rPr>
          <w:rFonts w:ascii="IRNazanin" w:hAnsi="IRNazanin" w:eastAsia="IRNazanin"/>
          <w:color w:val="111111"/>
          <w:sz w:val="28"/>
          <w:sz w:val="28"/>
          <w:szCs w:val="28"/>
          <w:rtl w:val="true"/>
          <w:lang w:bidi="fa-IR"/>
        </w:rPr>
        <w:t>عدم المنافاة بین وجوب الحفظ وعدم وجوب البقاء علی الودیعة من حیث إنّها عقد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تلفت أو عابت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بأن رکب الدابّة أو لبس الثوب أو فتح الکیس المختوم أو المشدود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قصّر فی الحفظ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اُخذت منه قهراً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سبباً فی الأخذ القهری، بأن سعی بها إلی الظالم، أو أظهرها فوصل إلیه خبرها مع مظنّته؛ ومثله ما لو أخبر بها اللصَّ فسرقها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أخذ القاهر لها بیده وأمره له بدفعها إلیه کرهاً؛ لانتفاء التفریط فیهما، فینحصر الرجوع علی الظالم فیهما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الرجوع علی المستودع فی الثانی وإن استقرّ الضمان علی الظالم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بالوسائل الموجبة لسلامتها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ما لم یؤدِّ إلی تحمّل الضرر الکثیر، کالجرح وأخذ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تسلیمها حینئذٍ وإن قدر علی تحمّله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والمرجع فی الکثرة والقلّة إلی حال المکرَه، فقد تُعدّ الکلمة الیسیرة من الأذی کثیراً فی حقّه؛ لکونه جلیلاً لا یلیق بحاله ذلک، ومنهم من لا یعتدّ بمثله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مال المستودع لم یجب بذله مطلقاً، وإن کان من الودیعة فإن لم یستوعبها وجب الدفع عنها ببعضها ما أمکن، فلو ترک مع القدرة علی سلامة البعض فأخذ الجمیع ضمن ما یمکن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إلّابأخذها أجمع فلا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 الدفع عنها بشیء من ماله لا یستوعب قیمتها جاز،</w:t>
      </w:r>
    </w:p>
    <w:p>
      <w:pPr>
        <w:pStyle w:val="BookText"/>
        <w:rPr/>
      </w:pPr>
      <w:r>
        <w:rPr>
          <w:rFonts w:ascii="IRNazanin" w:hAnsi="IRNazanin" w:eastAsia="IRNazanin"/>
          <w:color w:val="111111"/>
          <w:sz w:val="28"/>
          <w:sz w:val="28"/>
          <w:szCs w:val="28"/>
          <w:rtl w:val="true"/>
          <w:lang w:bidi="fa-IR"/>
        </w:rPr>
        <w:t xml:space="preserve">ورجع مع نیّته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أمکن حفظها عنه بالاستتار منه وجب، فیضمن بترکه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علیه الیمین لو قنع بها الظالم فیورّی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یخرجه عن الکذب، بأن یحلف أ نّه ما استودع من فلان، ویخصّه بوقت أو جنس أو مکان أو نحوها مغایرٍ لما استودعه، وإنّما تجب التوریة علیه مع علمه بها، وإلّا سقطت؛ لأنّه کذب مستثنی للضرورة، ترجیحاً لأخفّ القبیحین حیث تعارضا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 والمستودع، کغیرها من العقود الجائزة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وجنونه وإغمائه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قصر وقتهما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المستودع علی تقدیر عروض ذلک للمودع، أو ید وارثه أو ولیّه أو یده بعد صحّته علی تقدیر عروضه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مأذوناً فی حفظها من قبل الشارع، لا المالک، لبطلان إذنه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حکم الأمانة الشرعیّة وجوبُ المبادرة إلی ردّها وإن لم یطلبها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قول الودعی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ممّن هی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ردّها إلّاببیّنة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الأمانة المستندة إلی المالک، فإنّه لا یجب ردّها بدون الطلب أو ما فی حکمه کانقضاء المدّة المأذون فیها، وقد یقبل قوله فی ردّها کالودیعة، وقد لا یقبل کما إذا قبضها لمصلحته کالعاریة والمضاربة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الأمانة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بطل من الأمانة المالکیّة کالشرکة والمضاربة بموت ونحوه، وما تُطیره الریح إلی دار الغیر من الأمتعة، وما یُنزع من الغاصب بطریق الحسبة، وما یؤخذ من الصبیّ والمجنون من مال الغیر وإن کان کسباً من قمار کالجوز والبیض، وما یؤخذ من مالهما ودیعة عند خوف تلفه بأیدیهما،</w:t>
      </w:r>
    </w:p>
    <w:p>
      <w:pPr>
        <w:pStyle w:val="BookText"/>
        <w:rPr/>
      </w:pPr>
      <w:r>
        <w:rPr>
          <w:rFonts w:ascii="IRNazanin" w:hAnsi="IRNazanin" w:eastAsia="IRNazanin"/>
          <w:color w:val="111111"/>
          <w:sz w:val="28"/>
          <w:sz w:val="28"/>
          <w:szCs w:val="28"/>
          <w:rtl w:val="true"/>
          <w:lang w:bidi="fa-IR"/>
        </w:rPr>
        <w:t>وما یتسلّمه منهما نسیاناً، وما یوجَد فیما یشتری من الأمتعة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کالصُندوق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لا یدخل فی المبیع، واللقطة فی ید الملتقط مع ظهور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اُذن فی الاستیلاء علیه شرعاً ولم یأذن فیه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 للحفظ اقتصر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نقلها إلی غیره وإن کان أحفظ، عملاً بمقتضی التعیین، ولاختلاف الأغراض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إلی الأحفظ؛ لدلالته علیه بطریق أولی </w:t>
      </w:r>
      <w:r>
        <w:rPr>
          <w:rStyle w:val="FootnoteAnchor"/>
          <w:rtl w:val="true"/>
        </w:rPr>
        <w:footnoteReference w:id="1546"/>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آخرون التخطّی إلی المساوی </w:t>
      </w:r>
      <w:r>
        <w:rPr>
          <w:rStyle w:val="FootnoteAnchor"/>
          <w:rtl w:val="true"/>
        </w:rPr>
        <w:footnoteReference w:id="1547"/>
      </w:r>
      <w:r>
        <w:rPr>
          <w:rFonts w:ascii="IRNazanin" w:hAnsi="IRNazanin" w:eastAsia="IRNazanin"/>
          <w:color w:val="111111"/>
          <w:sz w:val="28"/>
          <w:sz w:val="28"/>
          <w:szCs w:val="28"/>
          <w:rtl w:val="true"/>
          <w:lang w:bidi="fa-IR"/>
        </w:rPr>
        <w:t>وهو قیاس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فیضمن بنقلها عن المعیّن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یخاف تلفها فیه فینقلها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إلی الأحفظ، أو المساوی مع الإمکان، فإن تعذّر فالأدون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للإذن فیه شرعاً، وإنّما جاز المساوی هنا لسقوط حکم المعیّن بتعذّره، فینتقل إلی ما فی حکمه وهو المساوی أو 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شمول کلامه للأدون عند الخوف وإن وُجد المساوی، کما یشمل المنع من الأعلی عند عدمه، ویشمل أیضاً فیهما </w:t>
      </w:r>
      <w:r>
        <w:rPr>
          <w:rStyle w:val="FootnoteAnchor"/>
          <w:rtl w:val="true"/>
        </w:rPr>
        <w:footnoteReference w:id="1548"/>
      </w:r>
      <w:r>
        <w:rPr>
          <w:rFonts w:ascii="IRNazanin" w:hAnsi="IRNazanin" w:eastAsia="IRNazanin"/>
          <w:color w:val="111111"/>
          <w:sz w:val="28"/>
          <w:sz w:val="28"/>
          <w:szCs w:val="28"/>
          <w:rtl w:val="true"/>
          <w:lang w:bidi="fa-IR"/>
        </w:rPr>
        <w:t>ما لو نهاه عن غیر المعیّن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ویحفظ الودیعة بما جرت العادة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الودیعة وزمانها؛ لأنّ</w:t>
      </w:r>
    </w:p>
    <w:p>
      <w:pPr>
        <w:pStyle w:val="BookText"/>
        <w:rPr/>
      </w:pPr>
      <w:r>
        <w:rPr>
          <w:rFonts w:ascii="IRNazanin" w:hAnsi="IRNazanin" w:eastAsia="IRNazanin"/>
          <w:color w:val="111111"/>
          <w:sz w:val="28"/>
          <w:sz w:val="28"/>
          <w:szCs w:val="28"/>
          <w:rtl w:val="true"/>
          <w:lang w:bidi="fa-IR"/>
        </w:rPr>
        <w:t xml:space="preserve">الشارع لم یحدّ لها حدّاً، فیرجع إلی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کالثوب والنقد فی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المقفَّل أو الموضوع فی بیت محرز عن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والدابّة فی الاصطبل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المضبوط بالغلق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والشاة فی المُراح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أو المحفوظ بنظر المستودع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الثلاثة ممّا جرت العادة بکونها حرزاً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یفتقر إلی أمر آخر أو یقوم غیرها مقامها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وجوب الحرز علی المستودع بین من یملکه وغیره، ولا بین من یعلم أ نّه لا حرز له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استودع من طفل أو مجنون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لیسا أهلاً للإذن، فیکون وضع یده علی مالهما بغیر إذن شرعی، فیضمن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یخاف تلفها فی أیدیهما فیقبضها بنیّة الحِسبة، فالأقوی عدم الضمان، لکن یجب مراجعة الولیّ 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کون المال لهما و </w:t>
      </w:r>
      <w:r>
        <w:rPr>
          <w:rStyle w:val="FootnoteAnchor"/>
          <w:rtl w:val="true"/>
        </w:rPr>
        <w:footnoteReference w:id="1549"/>
      </w:r>
      <w:r>
        <w:rPr>
          <w:rFonts w:ascii="IRNazanin" w:hAnsi="IRNazanin" w:eastAsia="IRNazanin"/>
          <w:color w:val="111111"/>
          <w:sz w:val="28"/>
          <w:sz w:val="28"/>
          <w:szCs w:val="28"/>
          <w:rtl w:val="true"/>
          <w:lang w:bidi="fa-IR"/>
        </w:rPr>
        <w:t>لغیرهما وإن ادّعیا إذنه لهما فی الإیداع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یقبض الودیعة منهما مع جوازه أو لا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یبرأ بالردّ إلی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أو العامّ مع تعذّره، لا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إعادة الودیعة علی 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المطالبة فی أوّل وقت الإمکان، بمعنی رفع یده عنها والتخلیة بین المالک وبینها، فلو کانت فی صُندوق مقفَّل ففتحه علیه، أو بیت محرز فکذلک، لا نقلها إلی المالک زیادةً علی ذلک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والعذر الشرعی کإکمال الصلاة وإن کانت نفلاً علی الأقوی ما لم یتضرّر المالک بالتأخیر، والعادی کانتظار انقطاع المطر ونحوه، کالعقلی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إکمال الطعام والحمّام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فی السعی القصد وإن قدر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ثابت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المال کالحربی؛ للأمر بأداء الأمانة إلی أهلها </w:t>
      </w:r>
      <w:r>
        <w:rPr>
          <w:rStyle w:val="FootnoteAnchor"/>
          <w:rtl w:val="true"/>
        </w:rPr>
        <w:footnoteReference w:id="1550"/>
      </w:r>
      <w:r>
        <w:rPr>
          <w:rFonts w:ascii="IRNazanin" w:hAnsi="IRNazanin" w:eastAsia="IRNazanin"/>
          <w:color w:val="111111"/>
          <w:sz w:val="28"/>
          <w:sz w:val="28"/>
          <w:szCs w:val="28"/>
          <w:rtl w:val="true"/>
          <w:lang w:bidi="fa-IR"/>
        </w:rPr>
        <w:t>من غیر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الفضیل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استودع رجلاً من موالیک مالاً له قیمة، والرجل الذی علیه المال رجل من العرب یقدر أن لا یُعطیه شیئاً، والمودع رجل خارجی شیطان، فلم أدع شیئاً،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فإنّه ائتمنه علیه بأمانة اللّٰه</w:t>
      </w:r>
      <w:r>
        <w:rPr>
          <w:rFonts w:eastAsia="IRNazanin" w:cs="IRNazanin"/>
          <w:color w:val="111111"/>
          <w:sz w:val="28"/>
          <w:szCs w:val="28"/>
          <w:rtl w:val="true"/>
          <w:lang w:bidi="fa-IR"/>
        </w:rPr>
        <w:t xml:space="preserve">» </w:t>
      </w:r>
      <w:r>
        <w:rPr>
          <w:rStyle w:val="FootnoteAnchor"/>
          <w:rtl w:val="true"/>
        </w:rPr>
        <w:footnoteReference w:id="1551"/>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 الأمانات إلی أهلها وإن کانوا مجوساً</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 لو أهمل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وإمکان الردّ علی الوجه السابق؛ لأنّه من أسباب التقصیر، ولو کان التأخیر لعذر وجب فی أوّل أوقات إمکانه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 ولو لزوجته أو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الإیداع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اضطرّ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خاف علیها من حرق أو سرق أو نهب لو بقیت فی یده وتعذّر ردّها إلی المالک والحاکم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أودعها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 إیداعها اختیاراً إشراک </w:t>
      </w:r>
      <w:r>
        <w:rPr>
          <w:rStyle w:val="FootnoteAnchor"/>
          <w:rtl w:val="true"/>
        </w:rPr>
        <w:footnoteReference w:id="1553"/>
      </w:r>
      <w:r>
        <w:rPr>
          <w:rFonts w:ascii="IRNazanin" w:hAnsi="IRNazanin" w:eastAsia="IRNazanin"/>
          <w:color w:val="111111"/>
          <w:sz w:val="28"/>
          <w:sz w:val="28"/>
          <w:szCs w:val="28"/>
          <w:rtl w:val="true"/>
          <w:lang w:bidi="fa-IR"/>
        </w:rPr>
        <w:t>الغیر فی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زوجةً وولداً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ووَضعُها فی محلّ مشترک فی التصرّف بحیث لا یلاحظها فی سائر الأوقات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سافر بها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غیر ضرورة إلی استصحابها فی السفر، بأن أمکنه عند إرادة السفر إیصالها إلی المالک أو وکیله عامّاً أو خاصّاً أو إیداعها العدل، فترک وأخذها معه فیضمن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الضرورة، بأن تعذّر جمیع ما تقدّم وخاف علیها فی البلد، أو اضطرّ إلی السفر فلا ضمان، بل قد یجب؛ لأنّه من ضروب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فی تعذّر التوصّل إلی المالک ومن بحکمه المشقّةُ الکثیرة عرفاً، وفی السفر العرفیُّ أیضاً، فما قصر عنه کالتردّد إلی حدود البلد وقری لا یطلق علی الذهاب إلیها السفر یجوز فیه مصاحبتها مع أمن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إیداعها فی مثله مع إمکان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واستثنی منه ما لو أودعه مسافراً، أو کان المستودع منتجعاً فإنّه یسافر بها من غیر ضمان؛ لقدوم المالک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طَرَحَها فی موضع تتعفّن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حرزاً لمثلها؛ لما عرفت من أنّ الحرز مشروط باُمور اُخر هذا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العفن الموضع المفسد کالندی للکتب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یصلح لتلک الودیعة عرفاً بحسب مدّة إقامتها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 سقیَ الدابّة أو علفها ما لا تصبر علیه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والمعتبر السقی والعلف بحسب المعتاد لأمثالها، فالنقصان عنه تفریط، وهو المعبّر عنه بعدم صبرها علیه، فیضمنها حینئذٍ وإن ماتت بغیره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فی ذلک بین أن یأمره بهما ویطلق وینهاه؛ لوجوب حفظ المال عن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الذی یقتضیه إطلاق العبارة، وهو أحد القولین فی المسألة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 نّه مع النهی لا یضمن بالترک؛ لأنّ حفظ المال إنّما یجب علی مالکه، لا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فی الحیوان مطلقاً؛ لأنّه ذو روح، لکن لا یضمن بترکه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مستودع الحیوان إن أمره المالک بالإنفاق أنفق ورجع علیه بما غرم، وإن أطلق توصّل إلی استئذانه، فإن تعذّر رفع أمره إلی الحاکم، فإن تعذّر أنفق هو وأشهد علیه ورجع به، ولو تعذّر الإشهاد اقتصر علی نیّة الرجوع إن أراده، وقُبِل قوله فیها وفی القدر بالمعروف؛ وکذا القول مع نهی المالک 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النفقة ما تفتقر إلیه من الدواء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الحیوان الشجر المفتقر إلی الحرث والسقی 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 نشر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یفسده طول مکثه کالصوف والإبریسم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لم یندفع بنشره وجب لُبسه بمقدار ما یندفع الضرورة عنه، وکذا عرضُه علی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توقّف نقل الدابّة إلی الحرز أو العلف أو السقی علی الرکوب والکتاب علی تقلیبه والنظر فیه، فیجب ذلک کلّه، ویحرم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انتفع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مزجها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بماله أو بمال غیره بحیث لا یتمیّز، سواء مزجها بأجود أم ما دونه، بل لو مزج إحدی الودیعتین بالاُخری ضمنهما معاً وإن کانا لواحد؛ ومثله خلطها بمالٍ لمالکها </w:t>
      </w:r>
      <w:r>
        <w:rPr>
          <w:rStyle w:val="FootnoteAnchor"/>
          <w:rtl w:val="true"/>
        </w:rPr>
        <w:footnoteReference w:id="1555"/>
      </w:r>
      <w:r>
        <w:rPr>
          <w:rFonts w:ascii="IRNazanin" w:hAnsi="IRNazanin" w:eastAsia="IRNazanin"/>
          <w:color w:val="111111"/>
          <w:sz w:val="28"/>
          <w:sz w:val="28"/>
          <w:szCs w:val="28"/>
          <w:rtl w:val="true"/>
          <w:lang w:bidi="fa-IR"/>
        </w:rPr>
        <w:t>غیر مودع عنده، للتعدّی فی الجمیع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الودیعة حیث یؤمر به أو یریده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المالک أو وکیله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المتناول وکالتُه مثلَ ذلک، مخیّر </w:t>
      </w:r>
      <w:r>
        <w:rPr>
          <w:rStyle w:val="FootnoteAnchor"/>
          <w:rtl w:val="true"/>
        </w:rPr>
        <w:footnoteReference w:id="1556"/>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أو وکیله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الضرورة إلی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بدونه؛ لأنّ الحاکم لا ولایة له علی من له وکیل، والودعیّ بمنزلته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جاز الدفع إلیه عند الضرورة، دفعاً للحرج والإضرار، وتنزیلاً له حینئذٍ منزلةَ من لا وکیل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وتتحقّق الضرورة بالعجز عن الحفظ، وعروض خوفٍ یفتقر معه إلی التستّر المنافی لرعایتها، أو الخوف علی أخذ المتغلّب لها تبعاً لماله أو استقلالاً، أو الخوف علیها من السرق أو الحرق أو النهب،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الحاکم حینئذٍ أودعها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دفعها إلی الحاکم مع القدرة علی المالک ضمن، کما یضمن لو دفعها إلی الثقة مع القدرة علی الحاکم أو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أنکر الودیعة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بیّنة قبلَ حلفِه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متعدٍّ بجحوده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یکون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تستحقّ عندی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عندی ودیعة یلزمنی ردّها ولا عوضها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یضمن بالإنکار، بل یکون کمدّعی التلف یُقبل قوله بیمینه أیضاً؛ لإمکان تلفها بغیر تفریط، فلا تکون مستحقّة عنده، ولا یناقض قولُه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أظهر لإنکاره الأوّل تأویلاً،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عندی ودیعة یلزمنی ردُّها، أو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فالأقوی القبول أیضاً، واختاره المصنّف رحمه الله فی بعض تحقیقاته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قول الودعیّ فی القیمة لو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الزیادة</w:t>
      </w:r>
    </w:p>
    <w:p>
      <w:pPr>
        <w:pStyle w:val="BookText"/>
        <w:rPr/>
      </w:pPr>
      <w:r>
        <w:rPr>
          <w:rFonts w:ascii="IRNazanin" w:hAnsi="IRNazanin" w:eastAsia="IRNazanin"/>
          <w:color w:val="111111"/>
          <w:sz w:val="28"/>
          <w:sz w:val="28"/>
          <w:szCs w:val="28"/>
          <w:rtl w:val="true"/>
          <w:lang w:bidi="fa-IR"/>
        </w:rPr>
        <w:t>عمّا یعترف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المالک؛ لخروجه بالتفریط عن الأمانة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ویضعَّف بأ نّه لیس مأخذ القبول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مات المودع سلّمها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من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وکیلٍ وولیّ، فإن تعدّد سلّمها إلی الجمیع إن اتّفقوا فی الأهلیّة، وإلّا فإلی الأهل وولیِّ الناقص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سلّمها إلی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إذن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للباقی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بنسبة حصّتهم؛ لتعدّیه فیها بتسلیمها إلی غیر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المبادرة إلی ردّها إلیهم حینئذٍ کما سلف، سواء علم الوارث بها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بإعادتها إلی الحرز لو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بترکه غیر مقفل ثمّ قفله ونحوه؛ لأنّه صار بمنزلة الغاصب فیستصحب حکم الضمان إلی أن یحصل من المالک ما یقتضی زواله بردّه علیه ثمّ یجدّد له الودیعة، أو یجدّد له الاستئمان بغیر ردّ کأن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أودعتکها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استأمنتک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یعود بذلک </w:t>
      </w:r>
      <w:r>
        <w:rPr>
          <w:rStyle w:val="FootnoteAnchor"/>
          <w:rtl w:val="true"/>
        </w:rPr>
        <w:footnoteReference w:id="1560"/>
      </w:r>
      <w:r>
        <w:rPr>
          <w:rFonts w:ascii="IRNazanin" w:hAnsi="IRNazanin" w:eastAsia="IRNazanin"/>
          <w:color w:val="111111"/>
          <w:sz w:val="28"/>
          <w:sz w:val="28"/>
          <w:szCs w:val="28"/>
          <w:rtl w:val="true"/>
          <w:lang w:bidi="fa-IR"/>
        </w:rPr>
        <w:t>کما لا یزول الضمان عن الغاصب بإیداعه؛ أو یبرئه من الضمان علی قول قویّ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ویُقبل قوله بیمینه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مدّعیاً بکلّ وجه علی المشهور؛ لأ نّه محسن وقابض لمحض مصلحة المالک والأصل 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ادّعی ردّها علی من ائتمنه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ادّعاه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فکغیره من الاُمناء؛ لأصالة عدمه، وهو لم یأتمنه فلا یکلَّف تصدیقه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ردّها علی الوکیل کدعواه علی الموکل؛ لأنّ یده کیده</w:t>
      </w:r>
      <w:r>
        <w:rPr>
          <w:rFonts w:eastAsia="IRNazanin" w:cs="IRNazanin"/>
          <w:color w:val="111111"/>
          <w:sz w:val="28"/>
          <w:szCs w:val="28"/>
          <w:rtl w:val="true"/>
          <w:lang w:bidi="fa-IR"/>
        </w:rPr>
        <w:t>.</w:t>
      </w:r>
      <w:bookmarkStart w:id="638" w:name="pg19812_249668"/>
    </w:p>
    <w:p>
      <w:pPr>
        <w:pStyle w:val="Heading2"/>
        <w:numPr>
          <w:ilvl w:val="1"/>
          <w:numId w:val="1"/>
        </w:numPr>
        <w:rPr/>
      </w:pPr>
      <w:bookmarkStart w:id="639" w:name="__RefHeading___Toc2093222_2314609296"/>
      <w:bookmarkStart w:id="640" w:name="_Toc234"/>
      <w:bookmarkEnd w:id="638"/>
      <w:bookmarkEnd w:id="639"/>
      <w:r>
        <w:rPr>
          <w:rtl w:val="true"/>
        </w:rPr>
        <w:t>کتاب العاریة</w:t>
      </w:r>
      <w:bookmarkEnd w:id="64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1" w:name="__RefHeading___Toc2093224_2314609296"/>
      <w:bookmarkStart w:id="642" w:name="_Toc235"/>
      <w:bookmarkEnd w:id="641"/>
      <w:r>
        <w:rPr>
          <w:rtl w:val="true"/>
        </w:rPr>
        <w:t>اشارة</w:t>
      </w:r>
      <w:bookmarkStart w:id="643" w:name="pg19812_249670"/>
      <w:bookmarkEnd w:id="642"/>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العاریة</w:t>
      </w:r>
      <w:r>
        <w:rPr>
          <w:rFonts w:eastAsia="IRNazanin" w:cs="IRNazanin"/>
          <w:color w:val="111111"/>
          <w:sz w:val="28"/>
          <w:szCs w:val="28"/>
          <w:rtl w:val="true"/>
          <w:lang w:bidi="fa-IR"/>
        </w:rPr>
        <w:t>»</w:t>
      </w:r>
    </w:p>
    <w:p>
      <w:pPr>
        <w:pStyle w:val="Heading3"/>
        <w:numPr>
          <w:ilvl w:val="2"/>
          <w:numId w:val="1"/>
        </w:numPr>
        <w:rPr/>
      </w:pPr>
      <w:bookmarkStart w:id="644" w:name="__RefHeading___Toc2093226_2314609296"/>
      <w:bookmarkStart w:id="645" w:name="_Toc236"/>
      <w:bookmarkEnd w:id="644"/>
      <w:r>
        <w:rPr>
          <w:rtl w:val="true"/>
        </w:rPr>
        <w:t>[</w:t>
      </w:r>
      <w:r>
        <w:rPr>
          <w:rtl w:val="true"/>
        </w:rPr>
        <w:t>تعریفها</w:t>
      </w:r>
      <w:r>
        <w:rPr>
          <w:rtl w:val="true"/>
        </w:rPr>
        <w:t>]</w:t>
      </w:r>
      <w:bookmarkEnd w:id="645"/>
    </w:p>
    <w:p>
      <w:pPr>
        <w:pStyle w:val="BookText"/>
        <w:rPr/>
      </w:pPr>
      <w:r>
        <w:rPr>
          <w:rFonts w:ascii="IRNazanin" w:hAnsi="IRNazanin" w:eastAsia="IRNazanin"/>
          <w:color w:val="111111"/>
          <w:sz w:val="28"/>
          <w:sz w:val="28"/>
          <w:szCs w:val="28"/>
          <w:rtl w:val="true"/>
          <w:lang w:bidi="fa-IR"/>
        </w:rPr>
        <w:t xml:space="preserve">بتشدید الیاء، وتخفَّف،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طلبها عار، أو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ثانٍ لأعرته إعارة، کالجابة للإجابة،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وذهب لتحوّلها من ید إلی اُخری، أو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العقود الجائزة تثمر جواز التصرّف فی العین بالانتفاع مع بقاء الأصل غالباً</w:t>
      </w:r>
      <w:r>
        <w:rPr>
          <w:rFonts w:eastAsia="IRNazanin" w:cs="IRNazanin"/>
          <w:color w:val="111111"/>
          <w:sz w:val="28"/>
          <w:szCs w:val="28"/>
          <w:rtl w:val="true"/>
          <w:lang w:bidi="fa-IR"/>
        </w:rPr>
        <w:t>.</w:t>
      </w:r>
    </w:p>
    <w:p>
      <w:pPr>
        <w:pStyle w:val="Heading3"/>
        <w:numPr>
          <w:ilvl w:val="2"/>
          <w:numId w:val="1"/>
        </w:numPr>
        <w:rPr/>
      </w:pPr>
      <w:bookmarkStart w:id="646" w:name="__RefHeading___Toc2093228_2314609296"/>
      <w:bookmarkStart w:id="647" w:name="_Toc237"/>
      <w:bookmarkEnd w:id="646"/>
      <w:r>
        <w:rPr>
          <w:rtl w:val="true"/>
        </w:rPr>
        <w:t>[</w:t>
      </w:r>
      <w:r>
        <w:rPr>
          <w:rtl w:val="true"/>
        </w:rPr>
        <w:t xml:space="preserve">ایجاب و القبول </w:t>
      </w:r>
      <w:r>
        <w:rPr>
          <w:rtl w:val="true"/>
        </w:rPr>
        <w:t>]</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حصر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عوداً إلی ما ذُکر فی 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إیجاباً وقبولاً، بل کلّ ما دلّ علی الإذن من طرف المعیر فهو 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الفعل فی القبول، بل لو استفید رضاه من غیر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کالکتابة والإشارة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مع القدرة علی النطق کفی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لو دفع إلیه ثوباً حیث وجده عاریاً أو محتاجاً إلی لُبسه، أو فرش لضیفه فراشاً، أو ألقی إلیه وسادة أو مِخَدّة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فی التذکرة بحسن الظنّ بالصدیق فی جواز الانتفاع بمتاعه </w:t>
      </w:r>
      <w:r>
        <w:rPr>
          <w:rStyle w:val="FootnoteAnchor"/>
          <w:rtl w:val="true"/>
        </w:rPr>
        <w:footnoteReference w:id="1561"/>
      </w:r>
      <w:r>
        <w:rPr>
          <w:rFonts w:ascii="IRNazanin" w:hAnsi="IRNazanin" w:eastAsia="IRNazanin"/>
          <w:color w:val="111111"/>
          <w:sz w:val="28"/>
          <w:sz w:val="28"/>
          <w:szCs w:val="28"/>
          <w:rtl w:val="true"/>
          <w:lang w:bidi="fa-IR"/>
        </w:rPr>
        <w:t xml:space="preserve">وینبغی تقییده بکون منفعته ممّا یتناوله الإذن الوارد فی الآیة بجواز الأکل من بیته </w:t>
      </w:r>
      <w:r>
        <w:rPr>
          <w:rStyle w:val="FootnoteAnchor"/>
          <w:rtl w:val="true"/>
        </w:rPr>
        <w:footnoteReference w:id="1562"/>
      </w:r>
      <w:r>
        <w:rPr>
          <w:rFonts w:ascii="IRNazanin" w:hAnsi="IRNazanin" w:eastAsia="IRNazanin"/>
          <w:color w:val="111111"/>
          <w:sz w:val="28"/>
          <w:sz w:val="28"/>
          <w:szCs w:val="28"/>
          <w:rtl w:val="true"/>
          <w:lang w:bidi="fa-IR"/>
        </w:rPr>
        <w:t>بمفهوم الموافقة، وتعدّیه إلی من تناولته من</w:t>
      </w:r>
      <w:bookmarkStart w:id="648" w:name="pg19812_249671"/>
    </w:p>
    <w:p>
      <w:pPr>
        <w:pStyle w:val="BookText"/>
        <w:rPr/>
      </w:pPr>
      <w:bookmarkEnd w:id="648"/>
      <w:r>
        <w:rPr>
          <w:rFonts w:ascii="IRNazanin" w:hAnsi="IRNazanin" w:eastAsia="IRNazanin"/>
          <w:color w:val="111111"/>
          <w:sz w:val="28"/>
          <w:sz w:val="28"/>
          <w:szCs w:val="28"/>
          <w:rtl w:val="true"/>
          <w:lang w:bidi="fa-IR"/>
        </w:rPr>
        <w:t>الأرحام، لا مطلق حسن الظنّ؛ لعدم الدلیل؛ إذ المساوی قیاس والأضعف ممتنع بطریق أولی</w:t>
      </w:r>
      <w:r>
        <w:rPr>
          <w:rFonts w:eastAsia="IRNazanin" w:cs="IRNazanin"/>
          <w:color w:val="111111"/>
          <w:sz w:val="28"/>
          <w:szCs w:val="28"/>
          <w:rtl w:val="true"/>
          <w:lang w:bidi="fa-IR"/>
        </w:rPr>
        <w:t>.</w:t>
      </w:r>
    </w:p>
    <w:p>
      <w:pPr>
        <w:pStyle w:val="Heading3"/>
        <w:numPr>
          <w:ilvl w:val="2"/>
          <w:numId w:val="1"/>
        </w:numPr>
        <w:rPr/>
      </w:pPr>
      <w:bookmarkStart w:id="649" w:name="__RefHeading___Toc2093230_2314609296"/>
      <w:bookmarkStart w:id="650" w:name="_Toc238"/>
      <w:bookmarkEnd w:id="649"/>
      <w:r>
        <w:rPr>
          <w:rtl w:val="true"/>
        </w:rPr>
        <w:t>[</w:t>
      </w:r>
      <w:r>
        <w:rPr>
          <w:rtl w:val="true"/>
        </w:rPr>
        <w:t>شروط العاریة</w:t>
      </w:r>
      <w:r>
        <w:rPr>
          <w:rtl w:val="true"/>
        </w:rPr>
        <w:t>]</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کون المعیر کاملاً جائزَ التصرّف، ویجوز إعارة الصبیّ بإذن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 نفسه وولیّه؛ لأنّ المعتبر إذن الولیّ وهو کافٍ فی تحقّق هذا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علم المستعیر بإذن الولیّ، وإلّا لم یُقبل قول الصبیّ فی حقّه، إلّاأن تنضمّ إلیه قرائن تفید الظنّ المتاخم للعلم به، کما إذا طلبها من الولیّ فجاء بها الصبیّ وأخبر أ نّه أرسله بها، ونحو ذلک؛ کما یُقبل قوله فی الهدیّة والإذن فی دخول الدار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مع إذن الولیّ له فی إعارة ماله من وجود المصلحة بها بأن تکون ید المستعیر أحفظ من ید الولیّ فی ذلک الوقت، أو لانتفاع الصبیّ بالمستعیر بما یزید عن منفعة ماله، أو تکون العین ینفعها الاستعمال ویضرّها الإهمال، ونحو ذلک</w:t>
      </w:r>
      <w:r>
        <w:rPr>
          <w:rFonts w:eastAsia="IRNazanin" w:cs="IRNazanin"/>
          <w:color w:val="111111"/>
          <w:sz w:val="28"/>
          <w:szCs w:val="28"/>
          <w:rtl w:val="true"/>
          <w:lang w:bidi="fa-IR"/>
        </w:rPr>
        <w:t>.</w:t>
      </w:r>
    </w:p>
    <w:p>
      <w:pPr>
        <w:pStyle w:val="Heading3"/>
        <w:numPr>
          <w:ilvl w:val="2"/>
          <w:numId w:val="1"/>
        </w:numPr>
        <w:rPr/>
      </w:pPr>
      <w:bookmarkStart w:id="651" w:name="__RefHeading___Toc2093232_2314609296"/>
      <w:bookmarkStart w:id="652" w:name="_Toc239"/>
      <w:bookmarkEnd w:id="651"/>
      <w:r>
        <w:rPr>
          <w:rtl w:val="true"/>
        </w:rPr>
        <w:t>[</w:t>
      </w:r>
      <w:r>
        <w:rPr>
          <w:rtl w:val="true"/>
        </w:rPr>
        <w:t>احکام العاریة</w:t>
      </w:r>
      <w:r>
        <w:rPr>
          <w:rtl w:val="true"/>
        </w:rPr>
        <w:t>]</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 العین ممّا یصحّ الانتفاع بها مع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إعارة ما لا یتمّ الانتفاع به إلّابذهاب عینه کالأطعمة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ویستثنی من ذلک المِنْحة وهی الشاة المستعارة للحلب؛ للنصّ </w:t>
      </w:r>
      <w:r>
        <w:rPr>
          <w:rStyle w:val="FootnoteAnchor"/>
          <w:rtl w:val="true"/>
        </w:rPr>
        <w:footnoteReference w:id="1563"/>
      </w:r>
      <w:r>
        <w:rPr>
          <w:rFonts w:ascii="IRNazanin" w:hAnsi="IRNazanin" w:eastAsia="IRNazanin"/>
          <w:color w:val="111111"/>
          <w:sz w:val="28"/>
          <w:sz w:val="28"/>
          <w:szCs w:val="28"/>
          <w:rtl w:val="true"/>
          <w:lang w:bidi="fa-IR"/>
        </w:rPr>
        <w:t>وفی تعدّیه إلی غیرها من الحیوان المتّخذ للحلب وجهان، والاقتصار فیما خالف الأصل علی موضع الیقین أجود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وللمالک الرجوع فیها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لاقتضاء جواز العقد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الإعارة للدفن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دفن المیّت المسلم ومن بحکمه </w:t>
      </w:r>
      <w:r>
        <w:rPr>
          <w:rStyle w:val="FootnoteAnchor"/>
          <w:rtl w:val="true"/>
        </w:rPr>
        <w:footnoteReference w:id="1564"/>
      </w:r>
      <w:r>
        <w:rPr>
          <w:rFonts w:ascii="IRNazanin" w:hAnsi="IRNazanin" w:eastAsia="IRNazanin"/>
          <w:color w:val="111111"/>
          <w:sz w:val="28"/>
          <w:sz w:val="28"/>
          <w:szCs w:val="28"/>
          <w:rtl w:val="true"/>
          <w:lang w:bidi="fa-IR"/>
        </w:rPr>
        <w:t xml:space="preserve">فلا یجوز الرجوع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لتحریم نبشه وهتک حرمته إلی أن تندرس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 قبلَه</w:t>
      </w:r>
    </w:p>
    <w:p>
      <w:pPr>
        <w:pStyle w:val="BookText"/>
        <w:rPr/>
      </w:pPr>
      <w:r>
        <w:rPr>
          <w:rFonts w:ascii="IRNazanin" w:hAnsi="IRNazanin" w:eastAsia="IRNazanin"/>
          <w:color w:val="111111"/>
          <w:sz w:val="28"/>
          <w:sz w:val="28"/>
          <w:szCs w:val="28"/>
          <w:rtl w:val="true"/>
          <w:lang w:bidi="fa-IR"/>
        </w:rPr>
        <w:t>جاز وإن کان المیّت قد وُضع علی الأقوی؛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فمؤونة الحفر لازمة لولیّ المیّت؛ لقدومه علی ذلک، إلّاأن یتعذّر علیه غیره ممّا لا یزید عوضه عنه، فیقوی کونه من مال المیّت؛ لعدم التقصیر، ولا یلزم ولیَّه طمُّه؛ للإذن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ویُستثنی آخران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بالرجوع ضرر علی المستعیر لا یستدرک، کما لو أعاره لوحاً رقَّع به سفینتَه ولجَّجَ فی البحر، فلا رجوع للمعیر إلی أن یمکنه الخروج إلی الشاطئ، أو إصلاحها مع نزعه من غیر ضرر، ولو رجع قبل دخول السفینة أو بعد خروجها فلا إشکال فی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الجواز مطلقاً وإن وجب الصبر بقبضه إلی أن یزول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الاستعارة للرهن بعد وقوعه، وقد تقدّم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ید المستعیر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إلّابالتعدّی 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سیُستثنی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استعار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صالحة للزرع والغرس والبناء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أو زرع أو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w:t>
      </w:r>
      <w:r>
        <w:rPr>
          <w:rStyle w:val="FootnoteAnchor"/>
          <w:rtl w:val="true"/>
        </w:rPr>
        <w:footnoteReference w:id="1567"/>
      </w:r>
      <w:r>
        <w:rPr>
          <w:rFonts w:ascii="IRNazanin" w:hAnsi="IRNazanin" w:eastAsia="IRNazanin"/>
          <w:color w:val="111111"/>
          <w:sz w:val="28"/>
          <w:sz w:val="28"/>
          <w:szCs w:val="28"/>
          <w:rtl w:val="true"/>
          <w:lang w:bidi="fa-IR"/>
        </w:rPr>
        <w:t>فیها مع الإطلاق أو التصریح بالتعمیم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الجمع بینها بحسب الإمکان؛ لأنّ ذلک کلّه انتفاع بتلک العین یدخل فی الإطلاق أو التعمیم، ومثله ما لو استعار دابّة صالحة للرکوب والحمل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عیّن له جهة لم یتجاوزها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إلی المساوی والأدون عملاً بمقتضی التعیین واقتصاراً علی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التخطّی إلی المساوی والأقلّ ضرراً </w:t>
      </w:r>
      <w:r>
        <w:rPr>
          <w:rStyle w:val="FootnoteAnchor"/>
          <w:rtl w:val="true"/>
        </w:rPr>
        <w:footnoteReference w:id="1568"/>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الأدون بطریق أولی ممنوع؛ لاختلاف الغرض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انتفاء الغرض بالمعیَّن اتّجه جواز التخطّی إلی الأقلّ، أمّا المساوی فلا مطلقاً، کما أ نّه مع النهی عن التخطّی یحرم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یتعیّن المعیَّن فتعدّی إلی غیره ضمن الأرض ولزمه الاُجرة لمجموع ما فعل من غیر أن 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ما قابل المأذون علی الأقوی؛ لکونه تصرّفاً بغیر إذن المالک فیوجب الاُجرة، والقدر المأذون فیه لم یفعله فلا معنی لإسقاط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المأذون فیه داخلاً فی ضمن المنهیّ عنه، کما لو أذن له فی تحمیل الدابّة قدراً معیّناً فتجاوزه، أو فی رکوبها بنفسه فأردف غیره تعیّن إسقاط قدر المأذون؛ لأنّه بعض ما استوفی من المنفعة وإن ضمن الدابّة أجمع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له بیع غروسه وأبنیته ولو علی غیر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لأ نّه مالک غیر ممنوع من التصرّف فیه فیبیعه ممّن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بیعه علی غیر المعیر؛ لعدم استقرار ملکه برجوع المعیر </w:t>
      </w:r>
      <w:r>
        <w:rPr>
          <w:rStyle w:val="FootnoteAnchor"/>
          <w:rtl w:val="true"/>
        </w:rPr>
        <w:footnoteReference w:id="1570"/>
      </w:r>
      <w:r>
        <w:rPr>
          <w:rFonts w:ascii="IRNazanin" w:hAnsi="IRNazanin" w:eastAsia="IRNazanin"/>
          <w:color w:val="111111"/>
          <w:sz w:val="28"/>
          <w:sz w:val="28"/>
          <w:szCs w:val="28"/>
          <w:rtl w:val="true"/>
          <w:lang w:bidi="fa-IR"/>
        </w:rPr>
        <w:t>وهو غیر مانع من البیع، کما یُباع المشرف علی التلف ومستحقّ القتل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المشتری جاهلاً بحاله فله الفسخ للعیب، لا إن کان عالماً بل ینزّل منزلة المستعیر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اتّفقا علی بیع ملکهما معاً بثمن واحد صحّ ووزّع الثمن علیهما، فیقسّط</w:t>
      </w:r>
    </w:p>
    <w:p>
      <w:pPr>
        <w:pStyle w:val="BookText"/>
        <w:rPr/>
      </w:pPr>
      <w:r>
        <w:rPr>
          <w:rFonts w:ascii="IRNazanin" w:hAnsi="IRNazanin" w:eastAsia="IRNazanin"/>
          <w:color w:val="111111"/>
          <w:sz w:val="28"/>
          <w:sz w:val="28"/>
          <w:szCs w:val="28"/>
          <w:rtl w:val="true"/>
          <w:lang w:bidi="fa-IR"/>
        </w:rPr>
        <w:t xml:space="preserve">علی أرضٍ مشغولةٍ به علی وجه الإعارة مستحقِّ القلع بالأرش أو الإبقاء بالاُجرة أو التملّک بالقیمة مع التراضی، وعلی ما فیها مستحقٍّ للقلع </w:t>
      </w:r>
      <w:r>
        <w:rPr>
          <w:rStyle w:val="FootnoteAnchor"/>
          <w:rtl w:val="true"/>
        </w:rPr>
        <w:footnoteReference w:id="1571"/>
      </w:r>
      <w:r>
        <w:rPr>
          <w:rFonts w:ascii="IRNazanin" w:hAnsi="IRNazanin" w:eastAsia="IRNazanin"/>
          <w:color w:val="111111"/>
          <w:sz w:val="28"/>
          <w:sz w:val="28"/>
          <w:szCs w:val="28"/>
          <w:rtl w:val="true"/>
          <w:lang w:bidi="fa-IR"/>
        </w:rPr>
        <w:t>علی أحد الوجوه، فلکلٍّ قسط ما یملکه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المعارة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بالاستعمال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المستعیرُ النقصَ؛ لاستناد التلف إلی فعلٍ مأذونٍ فیه ولو من جهة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وتقییده بالنقص قد یفهم أ نّها لو تلفت به ضمنها، وهو أحد القولین </w:t>
      </w:r>
      <w:r>
        <w:rPr>
          <w:rStyle w:val="FootnoteAnchor"/>
          <w:rtl w:val="true"/>
        </w:rPr>
        <w:footnoteReference w:id="1572"/>
      </w:r>
      <w:r>
        <w:rPr>
          <w:rFonts w:ascii="IRNazanin" w:hAnsi="IRNazanin" w:eastAsia="IRNazanin"/>
          <w:color w:val="111111"/>
          <w:sz w:val="28"/>
          <w:sz w:val="28"/>
          <w:szCs w:val="28"/>
          <w:rtl w:val="true"/>
          <w:lang w:bidi="fa-IR"/>
        </w:rPr>
        <w:t>فی المسألة؛ لعدم تناول الإذن للاستعمال المتلف عرفاً وإن دخل فی الإطلاق، فیضمنها آخِرَ حالات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یضمن أیضاً کالنقص </w:t>
      </w:r>
      <w:r>
        <w:rPr>
          <w:rStyle w:val="FootnoteAnchor"/>
          <w:rtl w:val="true"/>
        </w:rPr>
        <w:footnoteReference w:id="1573"/>
      </w:r>
      <w:r>
        <w:rPr>
          <w:rFonts w:ascii="IRNazanin" w:hAnsi="IRNazanin" w:eastAsia="IRNazanin"/>
          <w:color w:val="111111"/>
          <w:sz w:val="28"/>
          <w:sz w:val="28"/>
          <w:szCs w:val="28"/>
          <w:rtl w:val="true"/>
          <w:lang w:bidi="fa-IR"/>
        </w:rPr>
        <w:t>لما ذکر من الوجه، وهو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 العاریةَ باشتراط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بالشرط المأمور بالکون معه </w:t>
      </w:r>
      <w:r>
        <w:rPr>
          <w:rStyle w:val="FootnoteAnchor"/>
          <w:rtl w:val="true"/>
        </w:rPr>
        <w:footnoteReference w:id="1574"/>
      </w:r>
      <w:r>
        <w:rPr>
          <w:rFonts w:ascii="IRNazanin" w:hAnsi="IRNazanin" w:eastAsia="IRNazanin"/>
          <w:color w:val="111111"/>
          <w:sz w:val="28"/>
          <w:sz w:val="28"/>
          <w:szCs w:val="28"/>
          <w:rtl w:val="true"/>
          <w:lang w:bidi="fa-IR"/>
        </w:rPr>
        <w:t>سواء شرط ضمانَ العین أم الأجزاء أم هما، فیتّبع شرطَه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وبکونها ذهباً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کانا دنانیرَ ودراهمَ أم لا علی أصحّ القولین </w:t>
      </w:r>
      <w:r>
        <w:rPr>
          <w:rStyle w:val="FootnoteAnchor"/>
          <w:rtl w:val="true"/>
        </w:rPr>
        <w:footnoteReference w:id="1575"/>
      </w:r>
      <w:r>
        <w:rPr>
          <w:rFonts w:ascii="IRNazanin" w:hAnsi="IRNazanin" w:eastAsia="IRNazanin"/>
          <w:color w:val="111111"/>
          <w:sz w:val="28"/>
          <w:sz w:val="28"/>
          <w:szCs w:val="28"/>
          <w:rtl w:val="true"/>
          <w:lang w:bidi="fa-IR"/>
        </w:rPr>
        <w:t xml:space="preserve">لأنّ فیه جمعاً بین النصوص </w:t>
      </w:r>
      <w:r>
        <w:rPr>
          <w:rStyle w:val="FootnoteAnchor"/>
          <w:rtl w:val="true"/>
        </w:rPr>
        <w:footnoteReference w:id="1576"/>
      </w:r>
      <w:r>
        <w:rPr>
          <w:rFonts w:ascii="Amiri" w:hAnsi="Amiri" w:eastAsia="Amiri" w:cs="Amiri"/>
          <w:color w:val="111111"/>
          <w:sz w:val="28"/>
          <w:sz w:val="28"/>
          <w:szCs w:val="28"/>
          <w:rtl w:val="true"/>
          <w:lang w:bidi="ar-SA"/>
        </w:rPr>
        <w:t>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بالنقدین </w:t>
      </w:r>
      <w:r>
        <w:rPr>
          <w:rStyle w:val="FootnoteAnchor"/>
          <w:rtl w:val="true"/>
        </w:rPr>
        <w:footnoteReference w:id="1577"/>
      </w:r>
      <w:r>
        <w:rPr>
          <w:rFonts w:ascii="IRNazanin" w:hAnsi="IRNazanin" w:eastAsia="IRNazanin"/>
          <w:color w:val="111111"/>
          <w:sz w:val="28"/>
          <w:sz w:val="28"/>
          <w:szCs w:val="28"/>
          <w:rtl w:val="true"/>
          <w:lang w:bidi="fa-IR"/>
        </w:rPr>
        <w:t>استناداً إلی الجمع أیضاً، وإلی الحکمة الباعثة علی الحکم، وهی ضعف المنفعة المطلوبة منهما بدون الإنفاق، فکانت عاریتهما موجبةً بالذات لما یوجب التلف، فیضمنان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ویضعَّف بأنّ الشرط الانتفاع بهما مع بقائهما، وضعف المنفعة حینئذٍ لا مدخل له فی اختلاف الحکم، وتقدیر منفعة الإنفاق حکم بغیر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أمین فیقبل قوله فیه کغیره سواء ادّعاه بأمر ظاهر أم خفیّ، ولإمکان صدقه، فلو لم یُقبل قوله لزم تخلیده الحبسَ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الردّ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 وقد قبضه لمصلحة نفسه فلا یقبل قوله فیه، بخلاف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عدم قبول 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بضَمانه للمثل أو القیمة حیث یتعذّر العین، لا الحکم بالعین مطلقاً، لما تقدّم فی دعوی التلف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وللمستعیر الاستظلال بالشجر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غرسه فی الأرض المعارةِ للغرس وإن استلزم التصرّف فی الأرض بغیر الغرس، لقضاء العادة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له الدخول إلیها لسقیه وحرثه وحراسته،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الدخول لغیر غرض یتعلّق بالشجر کالتفرّج</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الاستظلال بالشجر المذکور وإن کان ملکاً لغیره؛ لأنّه جالس فی ملکه کما لو جلس فی غیره من أملاکه فاتّفق له التظلّل بشجر غیره، أو فی المباح کذلک؛ وکذا یجوز له الانتفاع بکلّ ما لا یستلزم</w:t>
      </w:r>
    </w:p>
    <w:p>
      <w:pPr>
        <w:pStyle w:val="BookText"/>
        <w:rPr/>
      </w:pPr>
      <w:r>
        <w:rPr>
          <w:rFonts w:ascii="IRNazanin" w:hAnsi="IRNazanin" w:eastAsia="IRNazanin"/>
          <w:color w:val="111111"/>
          <w:sz w:val="28"/>
          <w:sz w:val="28"/>
          <w:szCs w:val="28"/>
          <w:rtl w:val="true"/>
          <w:lang w:bidi="fa-IR"/>
        </w:rPr>
        <w:t>التصرّف فی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إعارة العین المستعارة إلّابإذن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الإعارة إنّما تناولت الإذن 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استیفاء المنفعة بنفسه ووکیله، لکن لا یُعدّ ذلک إعارة؛ لعود المنفعة إلیه، لا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یعیر یضمن العین والمنفعة، ویرجع المالک علی من شاء منهما، فإن رجع علی المستعیر الأوّل لم یرجع علی الثانی الجاهل، إلّاأن تکون العاریة مضمونة فیرجع علیه ببدل العین خاصّة، ولو کان عالماً استقرّ الضمان علیه کالغاصب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رجع علی الثانی رجع علی الأوّل بما لا یرجع علیه به لو رجع علیه؛ لغروره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سقوط الضمان فی الذهب والفضّة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سقوطه مع التعدّی أو التفریط احتمل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فی قوّة الإذن له فی الإتلاف فلا یستعقب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أمره بإلقاء متاعه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عدم صحّة الشرط؛ لأنّهما من أسباب الضمان، فلا یعقل إسقاطه قبل وقوعه؛ لأنّه کالبراءة ممّا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أعرتنیها، وقال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آجرتکها حلف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لاتّفاقهما علی أنّ تلف المنافع وقع علی ملک المستعیر، وإنّما یختلفان فی الاُجرة، والأصل براءة ذمّته منها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المنافع أموال کالأعیان فهی بالأصالة لمالک العین، فادّعاء الراکب ملکیّتها بغیر عوض علی خلاف الأصل، وأصالة براءة ذمّته إنّما تصحّ من خصوص ما ادّعاه المالک، لا من مطلق الحقّ بعد استیفائه منفعة ملک غیره </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أقوی،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قوله فیما یدّعیه من الاُجرة؛</w:t>
      </w:r>
    </w:p>
    <w:p>
      <w:pPr>
        <w:pStyle w:val="BookText"/>
        <w:rPr/>
      </w:pPr>
      <w:r>
        <w:rPr>
          <w:rFonts w:ascii="IRNazanin" w:hAnsi="IRNazanin" w:eastAsia="IRNazanin"/>
          <w:color w:val="111111"/>
          <w:sz w:val="28"/>
          <w:sz w:val="28"/>
          <w:szCs w:val="28"/>
          <w:rtl w:val="true"/>
          <w:lang w:bidi="fa-IR"/>
        </w:rPr>
        <w:t xml:space="preserve">لأ نّه فیها مدّعٍ، کما أنّ الراکب بالنسبة إلی العاریة مدّعٍ، بل یحلف علی نفی العاریة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له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لثبوت أنّ الراکب تصرّف فی ملک غیره بغیر تبرّع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اُجرة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المسمّی؛ لاعترافه بعدم استحقاقه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المالک یدّعی الزائد من الاُجرة علی تقدیر زیادة ما یدّعیه عن اُجرة المثل، والراکب ینفیه، فلا بدّ من وجهٍ شرعیّ یقتضی نفیَه، وحلفه علی نفی الإعارة لم یدلّ علی نفی الإجارة کما لم یدلّ علی إثباتها، وإثبات أقلّ الأمرین بالیمین مسلّم، لکن یبقی النزاع فی الزائد علی تقدیره، لا یندفع إلّابحلف الراکب علی نفی الإجارة أو نکوله، فیحلف المالک علیها ویأخذ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حینئذٍ أ نّهما یتحالفان؛ لأنّ کلّاً منهما مدّعٍ ومدّعی علیه، فیحلف المالک علی نفی الإعارة والراکب علی نفی الإجارة، ویثبت أقلّ الأمرین؛ لانتفاء الزائد من المسمّی بیمین المستعیر والزائد من اُجرة المثل باعتراف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اختاره المصنّف فی بعض تحقیقاته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وقع الاختلاف بعد انقضاء مدّة لها اُجرة عادةً، أو ما یدّعی کونها مدّةَ الإجارة، أمّا قبله فالقول قول الراکب فی نفی الإجارة، وتُستردّ العین</w:t>
      </w:r>
      <w:r>
        <w:rPr>
          <w:rFonts w:eastAsia="IRNazanin" w:cs="IRNazanin"/>
          <w:color w:val="111111"/>
          <w:sz w:val="28"/>
          <w:szCs w:val="28"/>
          <w:rtl w:val="true"/>
          <w:lang w:bidi="fa-IR"/>
        </w:rPr>
        <w:t>.</w:t>
      </w:r>
      <w:bookmarkStart w:id="653" w:name="pg19812_249678"/>
    </w:p>
    <w:p>
      <w:pPr>
        <w:pStyle w:val="Heading2"/>
        <w:numPr>
          <w:ilvl w:val="1"/>
          <w:numId w:val="1"/>
        </w:numPr>
        <w:rPr/>
      </w:pPr>
      <w:bookmarkStart w:id="654" w:name="__RefHeading___Toc2093234_2314609296"/>
      <w:bookmarkStart w:id="655" w:name="_Toc240"/>
      <w:bookmarkEnd w:id="653"/>
      <w:bookmarkEnd w:id="654"/>
      <w:r>
        <w:rPr>
          <w:rtl w:val="true"/>
        </w:rPr>
        <w:t>کتاب المزارعة</w:t>
      </w:r>
      <w:bookmarkEnd w:id="65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6" w:name="__RefHeading___Toc2093236_2314609296"/>
      <w:bookmarkStart w:id="657" w:name="_Toc241"/>
      <w:bookmarkEnd w:id="656"/>
      <w:r>
        <w:rPr>
          <w:rtl w:val="true"/>
        </w:rPr>
        <w:t>اشارة</w:t>
      </w:r>
      <w:bookmarkStart w:id="658" w:name="pg19812_249680"/>
      <w:bookmarkEnd w:id="657"/>
    </w:p>
    <w:p>
      <w:pPr>
        <w:pStyle w:val="BookText"/>
        <w:rPr/>
      </w:pPr>
      <w:bookmarkEnd w:id="6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المزارعة</w:t>
      </w:r>
      <w:r>
        <w:rPr>
          <w:rFonts w:eastAsia="IRNazanin" w:cs="IRNazanin"/>
          <w:color w:val="111111"/>
          <w:sz w:val="28"/>
          <w:szCs w:val="28"/>
          <w:rtl w:val="true"/>
          <w:lang w:bidi="fa-IR"/>
        </w:rPr>
        <w:t>»</w:t>
      </w:r>
    </w:p>
    <w:p>
      <w:pPr>
        <w:pStyle w:val="Heading3"/>
        <w:numPr>
          <w:ilvl w:val="2"/>
          <w:numId w:val="1"/>
        </w:numPr>
        <w:rPr/>
      </w:pPr>
      <w:bookmarkStart w:id="659" w:name="__RefHeading___Toc2093238_2314609296"/>
      <w:bookmarkStart w:id="660" w:name="_Toc242"/>
      <w:bookmarkEnd w:id="659"/>
      <w:r>
        <w:rPr>
          <w:rtl w:val="true"/>
        </w:rPr>
        <w:t>[</w:t>
      </w:r>
      <w:r>
        <w:rPr>
          <w:rtl w:val="true"/>
        </w:rPr>
        <w:t>تعریفها و صیغتها</w:t>
      </w:r>
      <w:r>
        <w:rPr>
          <w:rtl w:val="true"/>
        </w:rPr>
        <w:t>]</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مفاعَلَة من الزرع، وهی تقتضی وقوعه منهما معاً، لکنّها فی الشرع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علی الأرض بحصّة من حاصلها 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الفعل إلیهما بفعل أحدهما مع طلب الآخر فکأ نّه لذلک فاعل کالمضاربة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بالمعاملة علی الأرض المساقاةُ، فإنّها بالذات علی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وبالحصّة إجارةُ الأرض للزراعة أو الأعمّ؛ إذ لا تصحّ بحصّة من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 الأجَل لبیان الواقع أو تخصیصٌ للصحیحة، أو استطراد لبعض الشرائط التی یحصل بها الکشف عن الماهیّة وإن لم یکن ذکرها من وظائف التعریف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زارعتک أو عاملتک أو سلّمتها إلیک،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کقبّلتک هذه الأرض، ونحوه من صیغ الماضی الدالّة علی إنشاء العقد صریحاً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والمشهور جوازها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ازرع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روایة </w:t>
      </w:r>
      <w:r>
        <w:rPr>
          <w:rStyle w:val="FootnoteAnchor"/>
          <w:rtl w:val="true"/>
        </w:rPr>
        <w:footnoteReference w:id="1580"/>
      </w:r>
      <w:r>
        <w:rPr>
          <w:rFonts w:ascii="IRNazanin" w:hAnsi="IRNazanin" w:eastAsia="IRNazanin"/>
          <w:color w:val="111111"/>
          <w:sz w:val="28"/>
          <w:sz w:val="28"/>
          <w:szCs w:val="28"/>
          <w:rtl w:val="true"/>
          <w:lang w:bidi="fa-IR"/>
        </w:rPr>
        <w:t xml:space="preserve">قاصرة الدلالة عن إخراج هذا العقد اللازم عن نظائره، فالمنع 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کغیره</w:t>
      </w:r>
      <w:r>
        <w:rPr>
          <w:rFonts w:eastAsia="IRNazanin" w:cs="IRNazanin"/>
          <w:color w:val="111111"/>
          <w:sz w:val="28"/>
          <w:szCs w:val="28"/>
          <w:rtl w:val="true"/>
          <w:lang w:bidi="fa-IR"/>
        </w:rPr>
        <w:t>.</w:t>
      </w:r>
      <w:bookmarkStart w:id="661" w:name="pg19812_249681"/>
    </w:p>
    <w:p>
      <w:pPr>
        <w:pStyle w:val="Heading3"/>
        <w:numPr>
          <w:ilvl w:val="2"/>
          <w:numId w:val="1"/>
        </w:numPr>
        <w:rPr/>
      </w:pPr>
      <w:bookmarkStart w:id="662" w:name="__RefHeading___Toc2093240_2314609296"/>
      <w:bookmarkStart w:id="663" w:name="_Toc243"/>
      <w:bookmarkEnd w:id="661"/>
      <w:bookmarkEnd w:id="662"/>
      <w:r>
        <w:rPr>
          <w:rtl w:val="true"/>
        </w:rPr>
        <w:t>[</w:t>
      </w:r>
      <w:r>
        <w:rPr>
          <w:rtl w:val="true"/>
        </w:rPr>
        <w:t>شروطها</w:t>
      </w:r>
      <w:r>
        <w:rPr>
          <w:rtl w:val="true"/>
        </w:rPr>
        <w:t>]</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وعقدها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الأمر بالوفاء بالعقود </w:t>
      </w:r>
      <w:r>
        <w:rPr>
          <w:rStyle w:val="FootnoteAnchor"/>
          <w:rtl w:val="true"/>
        </w:rPr>
        <w:footnoteReference w:id="1581"/>
      </w:r>
      <w:r>
        <w:rPr>
          <w:rFonts w:ascii="IRNazanin" w:hAnsi="IRNazanin" w:eastAsia="IRNazanin"/>
          <w:color w:val="111111"/>
          <w:sz w:val="28"/>
          <w:sz w:val="28"/>
          <w:szCs w:val="28"/>
          <w:rtl w:val="true"/>
          <w:lang w:bidi="fa-IR"/>
        </w:rPr>
        <w:t>إلّاما أخرجه الدلیل، ولیس هذا منه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التقایل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لأنّه معاوضة محضة، فیقبلها کالبیع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تبطل بموت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من مقتضی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المیّت العاملَ قام وارثه مقامَه فی العمل، وإلّا استأجر الحاکم علیه من ماله أو علی ما یخرج من 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المالکَ بقیت بحالها، وعلی العامل القیام بتمام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واستثنی من الأوّل ما لو شُرط علیه العمل بنفسه فمات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لو مات بعده خصوصاً بعد ظهور الثمرة وقبل تمام العمل؛ لأنّه قد ملک الحصّة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کون النماء 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تساویا فیه، أو تفاضلا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شرط لأحدهما شیء معیّن وإن کان البذر وللآخر الباقی أو لهما بطل سواء کان الغالب أن یخرج منها ما یزید علی المشروط وعدمه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شرط أحدهما علی الآخر شیئاً یضمنه </w:t>
      </w:r>
      <w:r>
        <w:rPr>
          <w:rStyle w:val="FootnoteAnchor"/>
          <w:rtl w:val="true"/>
        </w:rPr>
        <w:footnoteReference w:id="1582"/>
      </w:r>
      <w:r>
        <w:rPr>
          <w:rFonts w:ascii="IRNazanin" w:hAnsi="IRNazanin" w:eastAsia="IRNazanin"/>
          <w:color w:val="111111"/>
          <w:sz w:val="28"/>
          <w:sz w:val="28"/>
          <w:szCs w:val="28"/>
          <w:rtl w:val="true"/>
          <w:lang w:bidi="fa-IR"/>
        </w:rPr>
        <w:t>مضافاً إلی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ذهبٍ أو فضّة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ویکون قراره مشروطاً بالسلامة، کاستثناء أرطال معلومة من الثمرة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 البعض سقط من الشرط بحسابه؛ لأنّه کالشریک وإن کانت حصّته معیّنة مع احتمال أن لا یسقط شیء بذلک؛ عملاً بإطلاق الشرط</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مضت المدّة والزرع باقٍ، فعلی العامل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بقی من المدّة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وللمالک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حقّ للزارع بعدها، فیتخیّر المالک بین القلع والإبقاء بالاُجرة إن رضی العامل بها، وإلّا 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اُجرة للمالک علی ما مضی من المدّة لو لم ینتفع بالمقلوع؛ لأنّ مقتضی العقد قصر الحقّ علی الحصّة مع احتمال وجوبها علی الزارع لو کان التأخیر بتفریطه؛ لتضییعه منفعة الأرض بتأخیره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کون المقلوع بینهما بین کون البذر من مالک الأرض والزارع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یستحقّ المالک قلعه بالأرش، أو مجّاناً؟ قولان </w:t>
      </w:r>
      <w:r>
        <w:rPr>
          <w:rStyle w:val="FootnoteAnchor"/>
          <w:rtl w:val="true"/>
        </w:rPr>
        <w:footnoteReference w:id="1583"/>
      </w:r>
      <w:r>
        <w:rPr>
          <w:rFonts w:ascii="IRNazanin" w:hAnsi="IRNazanin" w:eastAsia="IRNazanin"/>
          <w:color w:val="111111"/>
          <w:sz w:val="28"/>
          <w:sz w:val="28"/>
          <w:szCs w:val="28"/>
          <w:rtl w:val="true"/>
          <w:lang w:bidi="fa-IR"/>
        </w:rPr>
        <w:t>وظاهر العبارة ککثیرٍ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به، فطریق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الزرع قائماً بالاُجرة إلی أوان حصاده ومقلوعاً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إمکان الانتفاع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الزراعة المقصودة منها، أو فی نوعٍ منها مع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لها ماء من نهر أو بئر أو مصنع، أو تسقیها الغیوث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الزیادة کالنیل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الانتفاع بزرعها المقصود عادةً، فإن لم یمکن بطلت المزارعة وإن رضی العامل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معتاداً لها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الأثناء یتخیّر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لطروّ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یبطل العقد؛ لسبق الحکم بصحّته فیستصحب، والضرر یندفع بالخیار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المدّة؛ لانتفاعه بأرض الغیر بعوضٍ لم یسلم له وزواله باختیاره الفسخَ</w:t>
      </w:r>
      <w:r>
        <w:rPr>
          <w:rFonts w:eastAsia="IRNazanin" w:cs="IRNazanin"/>
          <w:color w:val="111111"/>
          <w:sz w:val="28"/>
          <w:szCs w:val="28"/>
          <w:rtl w:val="true"/>
          <w:lang w:bidi="fa-IR"/>
        </w:rPr>
        <w:t>.</w:t>
      </w:r>
      <w:bookmarkStart w:id="664" w:name="pg19812_249683"/>
    </w:p>
    <w:p>
      <w:pPr>
        <w:pStyle w:val="BookText"/>
        <w:rPr/>
      </w:pPr>
      <w:bookmarkEnd w:id="664"/>
      <w:r>
        <w:rPr>
          <w:rFonts w:ascii="IRNazanin" w:hAnsi="IRNazanin" w:eastAsia="IRNazanin"/>
          <w:color w:val="111111"/>
          <w:sz w:val="28"/>
          <w:sz w:val="28"/>
          <w:szCs w:val="28"/>
          <w:rtl w:val="true"/>
          <w:lang w:bidi="fa-IR"/>
        </w:rPr>
        <w:t>ویشکل بأنّ فسخه لعدم إمکان الإکمال، وعمله الماضی مشروط بالحصّة لا بالاُجرة، فإذا فاتت بالانقطاع ینبغی أن لا یلزمه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قد استأجرها للزراعة توجّه ذلک</w:t>
      </w:r>
      <w:r>
        <w:rPr>
          <w:rFonts w:eastAsia="IRNazanin" w:cs="IRNazanin"/>
          <w:color w:val="111111"/>
          <w:sz w:val="28"/>
          <w:szCs w:val="28"/>
          <w:rtl w:val="true"/>
          <w:lang w:bidi="fa-IR"/>
        </w:rPr>
        <w:t>.</w:t>
      </w:r>
    </w:p>
    <w:p>
      <w:pPr>
        <w:pStyle w:val="Heading3"/>
        <w:numPr>
          <w:ilvl w:val="2"/>
          <w:numId w:val="1"/>
        </w:numPr>
        <w:rPr/>
      </w:pPr>
      <w:bookmarkStart w:id="665" w:name="__RefHeading___Toc2093242_2314609296"/>
      <w:bookmarkStart w:id="666" w:name="_Toc244"/>
      <w:bookmarkEnd w:id="665"/>
      <w:r>
        <w:rPr>
          <w:rtl w:val="true"/>
        </w:rPr>
        <w:t>[</w:t>
      </w:r>
      <w:r>
        <w:rPr>
          <w:rtl w:val="true"/>
        </w:rPr>
        <w:t>احکامها</w:t>
      </w:r>
      <w:r>
        <w:rPr>
          <w:rtl w:val="true"/>
        </w:rPr>
        <w:t>]</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أطلق المزارعةَ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البذر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بذل المالک ما شاء إن شرط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تخیّر مع الإطلاق؛ لدلالة المطلق علی الماهیّة من حیث هی، وکلّ فرد من أفراد الزرع یصلح أن یُوجد المطلق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منه لو عمّم الإذن؛ لدلالته علی کلّ فردٍ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فُرّق </w:t>
      </w:r>
      <w:r>
        <w:rPr>
          <w:rStyle w:val="FootnoteAnchor"/>
          <w:rtl w:val="true"/>
        </w:rPr>
        <w:footnoteReference w:id="1584"/>
      </w:r>
      <w:r>
        <w:rPr>
          <w:rFonts w:ascii="IRNazanin" w:hAnsi="IRNazanin" w:eastAsia="IRNazanin"/>
          <w:color w:val="111111"/>
          <w:sz w:val="28"/>
          <w:sz w:val="28"/>
          <w:szCs w:val="28"/>
          <w:rtl w:val="true"/>
          <w:lang w:bidi="fa-IR"/>
        </w:rPr>
        <w:t>بین الإطلاق والتعمیم؛ بناءً علی أنّ الإطلاق إنّما یقتضی تجویز القدر المشترک بین الأفراد، ولا یلزم من الرضا بالقدر المشترک الرضا بالأقوی، بخلاف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ذکرناه </w:t>
      </w:r>
      <w:r>
        <w:rPr>
          <w:rStyle w:val="FootnoteAnchor"/>
          <w:rtl w:val="true"/>
        </w:rPr>
        <w:footnoteReference w:id="1585"/>
      </w:r>
      <w:r>
        <w:rPr>
          <w:rFonts w:ascii="IRNazanin" w:hAnsi="IRNazanin" w:eastAsia="IRNazanin"/>
          <w:color w:val="111111"/>
          <w:sz w:val="28"/>
          <w:sz w:val="28"/>
          <w:szCs w:val="28"/>
          <w:rtl w:val="true"/>
          <w:lang w:bidi="fa-IR"/>
        </w:rPr>
        <w:t>یظهر 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من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عیّن له، سواء کان المعیَّن شخصیّاً کهذا الحبّ، أم صنفیّاً کالحنطة الفلانیّة، أم نوعیّاً، أم غیره، لاختلاف الأغراض باختلافه، فیتعیّن ما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 الأضرّ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المالک بین الفسخ، فله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الإبقاء، فله المسمّی مع الأرش</w:t>
      </w:r>
      <w:r>
        <w:rPr>
          <w:rFonts w:eastAsia="IRNazanin" w:cs="IRNazanin"/>
          <w:color w:val="111111"/>
          <w:sz w:val="28"/>
          <w:szCs w:val="28"/>
          <w:rtl w:val="true"/>
          <w:lang w:bidi="fa-IR"/>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مقدار المنفعة المعقود علیها قد استوفی بزیادة فی ضمن</w:t>
      </w:r>
    </w:p>
    <w:p>
      <w:pPr>
        <w:pStyle w:val="BookText"/>
        <w:rPr/>
      </w:pPr>
      <w:r>
        <w:rPr>
          <w:rFonts w:ascii="IRNazanin" w:hAnsi="IRNazanin" w:eastAsia="IRNazanin"/>
          <w:color w:val="111111"/>
          <w:sz w:val="28"/>
          <w:sz w:val="28"/>
          <w:szCs w:val="28"/>
          <w:rtl w:val="true"/>
          <w:lang w:bidi="fa-IR"/>
        </w:rPr>
        <w:t>زرع الأضرّ، فیتخیّر بین الفسخ لذلک فیأخذ الاُجرة لما زرع، لوقوعه أجمع بغیر إذنه؛ لأنّه غیر المعقود علیه، وبین أخذ المسمّی فی مقابلة مقدار المنفعة المعیّنة مع أخذ الأرش فی مقابلة الزائد الموجب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الحصّة المسمّاة إنّما وقعت فی مقابلة زرع المعیَّن ولم یحصل، والذی زرع لم یتناوله العقد ولا الإذن، فلا وجه لاستحقاق المالک فیه الحصّة، ومن ثَمّ نسبه إلی القیل تنبیهاً علی تمریضه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وجوب اُجرة المثل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فیستحقّ ما سمّاه من الحصّة ولا أرش ولا خیار؛ لعدم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 نّه غیر معقود علیه أیضاً، فکیف یستحقّ فیه شیئاً؟ مع أ نّه نماء بذر العامل الذی لا دلیل علی انتقاله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ثبوت اُجرة المثل أیضاً کالسابق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أن یکون من أحدهما الأرض حسبُ، ومن الآخر البذر والعمل والعوامل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الأصل فی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جعل اثنین من أحدهما والباقی من الآخر، وکذا واحد وبعض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ویتشعّب من الأرکان الأربعة </w:t>
      </w:r>
      <w:r>
        <w:rPr>
          <w:rStyle w:val="FootnoteAnchor"/>
          <w:rtl w:val="true"/>
        </w:rPr>
        <w:footnoteReference w:id="1587"/>
      </w:r>
      <w:r>
        <w:rPr>
          <w:rFonts w:ascii="IRNazanin" w:hAnsi="IRNazanin" w:eastAsia="IRNazanin"/>
          <w:color w:val="111111"/>
          <w:sz w:val="28"/>
          <w:sz w:val="28"/>
          <w:szCs w:val="28"/>
          <w:rtl w:val="true"/>
          <w:lang w:bidi="fa-IR"/>
        </w:rPr>
        <w:t>صور کثیرة لا حصر لها بحسب شرط بعضها من أحدهما والباقی من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واحدة من الصور الممکنة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من أحدهما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جزء من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الآخر الباقی، مع ضبط ما علی کلّ واحد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المدّة حلف منکر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 فإن بقی</w:t>
      </w:r>
    </w:p>
    <w:p>
      <w:pPr>
        <w:pStyle w:val="BookText"/>
        <w:rPr/>
      </w:pPr>
      <w:r>
        <w:rPr>
          <w:rFonts w:ascii="IRNazanin" w:hAnsi="IRNazanin" w:eastAsia="IRNazanin"/>
          <w:color w:val="111111"/>
          <w:sz w:val="28"/>
          <w:sz w:val="28"/>
          <w:szCs w:val="28"/>
          <w:rtl w:val="true"/>
          <w:lang w:bidi="fa-IR"/>
        </w:rPr>
        <w:t xml:space="preserve">الزرع بعد ما ثبت منها فکما سبق </w:t>
      </w:r>
      <w:r>
        <w:rPr>
          <w:rStyle w:val="FootnoteAnchor"/>
          <w:rtl w:val="true"/>
        </w:rPr>
        <w:footnoteReference w:id="1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النماء تابع له، فیقدّم قول مالکه فی حصّة الآخر؛ لأصالة عدم خروج ما زاد عن ملکه وعدم استحقاق الآخر له، واتّفاقهما علی عقد تضمّن حصّةً إنّما نقل عنه فی أصل الحصّة، لا فی الحصّة المعیّنة، فیبقی حکم إنکار الزائد بحاله، لم یخرج عن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أقاما بیّنة قُدّمت بیّنة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المسألتین، وهو العامل فی الاُولی؛ لأنّ مالک الأرض یدّعی تقلیل المدّة فیکون القول قوله والبیّنة بیّنة غریمه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لیس له بذر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العامل ومالک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الخارج بالنظر إلی الباذر حیث قُدّم قوله مع عدم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یقرع </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لکلّ أمر مشکل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ویشکل بأ نّه لا إشکال هنا، فإنّ من کان القول قوله فالبیّنة بیّنة صاحبه، فالقول بتقدیم بیّنة المدّعی فیهما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وللمزارع أن یزارع غیرَه أو یشارک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یملک منفعة الأرض بالعقد اللازم فیجوز له نقلُها ومشارکةُ غیره علیها؛ لأنّ 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له تسلیم الأرض إلّابإذن مالکها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اشترط کون البذر منه لیکون تملیک الحصّة منوطاً به، وبه یفرّق بینه وبین عامل المساقاة حیث لم یجز له أن یساقی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یتمّ فی مزارعة غیره لا فی مشارکته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الفرق بینهما بأنّ عمل الاُصول فی المساقاة مقصود</w:t>
      </w:r>
    </w:p>
    <w:p>
      <w:pPr>
        <w:pStyle w:val="BookText"/>
        <w:rPr/>
      </w:pPr>
      <w:r>
        <w:rPr>
          <w:rFonts w:ascii="IRNazanin" w:hAnsi="IRNazanin" w:eastAsia="IRNazanin"/>
          <w:color w:val="111111"/>
          <w:sz w:val="28"/>
          <w:sz w:val="28"/>
          <w:szCs w:val="28"/>
          <w:rtl w:val="true"/>
          <w:lang w:bidi="fa-IR"/>
        </w:rPr>
        <w:t>بالذات کالثمرة فلا یتسلّط علیه من لا یسلّطه المالک، بخلاف الأرض فی المزارعة، فإنّ الغرض فیها لیس إلّاالحصّة، فلمالکها أن ینقلها إلی من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 یشترط علیه المالکُ الزرعَ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إدخال غیره مطلقاً عملاً بمقتضی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والخراج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موضوع علی الأرض ابتداءً، لا علی الزرع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شرطه فی جمیعه وبعضه، مع العلم بقدره أو شرطِ قدرٍ معیَّن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شرط الخراج علی العامل فزاد السلطان فیه زیادة فهی علی صاحب الأرض؛ لأنّ الشرط لم یتناولها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بطلت المزارعة فالحاصل لصاحب البذر وعلیه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للباقی، فإن کان البذر من صاحب الأرض فعلیه اُجرة مثل العامل والعوامل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من الزارع فعلیه لصاحب الأرض اُجرة مثلها ولما شرط علیه من الآخرَین </w:t>
      </w:r>
      <w:r>
        <w:rPr>
          <w:rStyle w:val="FootnoteAnchor"/>
          <w:rtl w:val="true"/>
        </w:rPr>
        <w:footnoteReference w:id="1591"/>
      </w:r>
      <w:r>
        <w:rPr>
          <w:rFonts w:ascii="IRNazanin" w:hAnsi="IRNazanin" w:eastAsia="IRNazanin"/>
          <w:color w:val="111111"/>
          <w:sz w:val="28"/>
          <w:sz w:val="28"/>
          <w:szCs w:val="28"/>
          <w:rtl w:val="true"/>
          <w:lang w:bidi="fa-IR"/>
        </w:rPr>
        <w:t>ولو کان البذر منهما فالحاصل بینهما، ولکلّ منهما علی الآخر اُجرة مثل ما یخصّه من الأرض وباقی الأعمال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لصاحب الأرض الخرص علی الزارع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یُقدّر ما یخصّه من الحصّة تخمیناً ویُقبّله به بحبٍّ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خرصه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معاملة خاصّة مستثناة من المحاقلة </w:t>
      </w:r>
      <w:r>
        <w:rPr>
          <w:rStyle w:val="FootnoteAnchor"/>
          <w:rtl w:val="true"/>
        </w:rPr>
        <w:footnoteReference w:id="1592"/>
      </w:r>
      <w:r>
        <w:rPr>
          <w:rFonts w:ascii="IRNazanin" w:hAnsi="IRNazanin" w:eastAsia="IRNazanin"/>
          <w:color w:val="111111"/>
          <w:sz w:val="28"/>
          <w:sz w:val="28"/>
          <w:szCs w:val="28"/>
          <w:rtl w:val="true"/>
          <w:lang w:bidi="fa-IR"/>
        </w:rPr>
        <w:t xml:space="preserve">إن کانت بیعاً أو صلحاً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 أجمع من قبل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الزارع، ولو تلف البعض سقط منه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أتلفه متلف ضامن لم تتغیّر المعاملة، وطالَبَ المتقبّلُ المتلِفَ بالعوض، ولو زاد فالزائد للمتقبّل، ولو نقص بسبب الخرص لم یسقط بسببه شیء</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وقعت المعاملة بالتقبیل، ولو وقعت بلفظ البیع اشترط فیه شرائطه، مع احتمال کونه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بلفظ الصلح فالظاهر أ نّه کالبیع؛ وقوفاً فیما خالف الأصل علی موضع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الکلام علی هذه القبالة فی البیع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bookmarkStart w:id="667" w:name="pg19812_249688"/>
    </w:p>
    <w:p>
      <w:pPr>
        <w:pStyle w:val="Heading2"/>
        <w:numPr>
          <w:ilvl w:val="1"/>
          <w:numId w:val="1"/>
        </w:numPr>
        <w:rPr/>
      </w:pPr>
      <w:bookmarkStart w:id="668" w:name="__RefHeading___Toc2093244_2314609296"/>
      <w:bookmarkStart w:id="669" w:name="_Toc245"/>
      <w:bookmarkEnd w:id="667"/>
      <w:bookmarkEnd w:id="668"/>
      <w:r>
        <w:rPr>
          <w:rtl w:val="true"/>
        </w:rPr>
        <w:t>کتاب المساقاة</w:t>
      </w:r>
      <w:bookmarkEnd w:id="66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2093246_2314609296"/>
      <w:bookmarkStart w:id="671" w:name="_Toc246"/>
      <w:bookmarkEnd w:id="670"/>
      <w:r>
        <w:rPr>
          <w:rtl w:val="true"/>
        </w:rPr>
        <w:t>اشارة</w:t>
      </w:r>
      <w:bookmarkStart w:id="672" w:name="pg19812_249690"/>
      <w:bookmarkEnd w:id="671"/>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المساقاة</w:t>
      </w:r>
      <w:r>
        <w:rPr>
          <w:rFonts w:eastAsia="IRNazanin" w:cs="IRNazanin"/>
          <w:color w:val="111111"/>
          <w:sz w:val="28"/>
          <w:szCs w:val="28"/>
          <w:rtl w:val="true"/>
          <w:lang w:bidi="fa-IR"/>
        </w:rPr>
        <w:t>»</w:t>
      </w:r>
    </w:p>
    <w:p>
      <w:pPr>
        <w:pStyle w:val="Heading3"/>
        <w:numPr>
          <w:ilvl w:val="2"/>
          <w:numId w:val="1"/>
        </w:numPr>
        <w:rPr/>
      </w:pPr>
      <w:bookmarkStart w:id="673" w:name="__RefHeading___Toc2093248_2314609296"/>
      <w:bookmarkStart w:id="674" w:name="_Toc247"/>
      <w:bookmarkEnd w:id="673"/>
      <w:r>
        <w:rPr>
          <w:rtl w:val="true"/>
        </w:rPr>
        <w:t>[</w:t>
      </w:r>
      <w:r>
        <w:rPr>
          <w:rtl w:val="true"/>
        </w:rPr>
        <w:t>تعریفها</w:t>
      </w:r>
      <w:r>
        <w:rPr>
          <w:rtl w:val="true"/>
        </w:rPr>
        <w:t>]</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مفاعَلَة من السقی، واشتقّ منه دون باقی أعمالها؛ لأنّه أنفعها وأظهرها فی أصل الشرعیّة </w:t>
      </w:r>
      <w:r>
        <w:rPr>
          <w:rStyle w:val="FootnoteAnchor"/>
          <w:rtl w:val="true"/>
        </w:rPr>
        <w:footnoteReference w:id="1594"/>
      </w:r>
      <w:r>
        <w:rPr>
          <w:rFonts w:ascii="IRNazanin" w:hAnsi="IRNazanin" w:eastAsia="IRNazanin"/>
          <w:color w:val="111111"/>
          <w:sz w:val="28"/>
          <w:sz w:val="28"/>
          <w:szCs w:val="28"/>
          <w:rtl w:val="true"/>
          <w:lang w:bidi="fa-IR"/>
        </w:rPr>
        <w:t>وهو نخل الحجاز الذی یُسقی من الآبار مع کثرة مؤونته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علی الاُصول بحصّة من ثمرها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بالاُصول المزارعة، وبالحصّة الإجارة المتعلّقة بها فإنّها لا تقع بالحصّة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بالثمرة </w:t>
      </w:r>
      <w:r>
        <w:rPr>
          <w:rStyle w:val="FootnoteAnchor"/>
          <w:rtl w:val="true"/>
        </w:rPr>
        <w:footnoteReference w:id="1595"/>
      </w:r>
      <w:r>
        <w:rPr>
          <w:rFonts w:ascii="IRNazanin" w:hAnsi="IRNazanin" w:eastAsia="IRNazanin"/>
          <w:color w:val="111111"/>
          <w:sz w:val="28"/>
          <w:sz w:val="28"/>
          <w:szCs w:val="28"/>
          <w:rtl w:val="true"/>
          <w:lang w:bidi="fa-IR"/>
        </w:rPr>
        <w:t xml:space="preserve">معناها المتعارف؛ لتردّده </w:t>
      </w:r>
      <w:r>
        <w:rPr>
          <w:rStyle w:val="FootnoteAnchor"/>
          <w:rtl w:val="true"/>
        </w:rPr>
        <w:footnoteReference w:id="1596"/>
      </w:r>
      <w:r>
        <w:rPr>
          <w:rFonts w:ascii="IRNazanin" w:hAnsi="IRNazanin" w:eastAsia="IRNazanin"/>
          <w:color w:val="111111"/>
          <w:sz w:val="28"/>
          <w:sz w:val="28"/>
          <w:szCs w:val="28"/>
          <w:rtl w:val="true"/>
          <w:lang w:bidi="fa-IR"/>
        </w:rPr>
        <w:t>فی المعاملة علی ما یُقصد وَرَقُه ووَرْدُه، ولو لوحظ إدخاله اُرید بالثمرة نماء الشجر، لیدخل فیه الورق المقصود والورد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یقیّد الاُصول بکونها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فعل غیره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شرط لها وذکره فی التعریف غیر لازم أو معیب، ومن قیّد به جعله وصفاً للشجر مخصّصاً لموضع البحث، لا شرطاً</w:t>
      </w:r>
      <w:r>
        <w:rPr>
          <w:rFonts w:eastAsia="IRNazanin" w:cs="IRNazanin"/>
          <w:color w:val="111111"/>
          <w:sz w:val="28"/>
          <w:szCs w:val="28"/>
          <w:rtl w:val="true"/>
          <w:lang w:bidi="fa-IR"/>
        </w:rPr>
        <w:t>.</w:t>
      </w:r>
      <w:bookmarkStart w:id="675" w:name="pg19812_249691"/>
    </w:p>
    <w:p>
      <w:pPr>
        <w:pStyle w:val="BookText"/>
        <w:rPr/>
      </w:pPr>
      <w:bookmarkEnd w:id="6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لازمة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تنفسخ اختیاراً إلّابالتقایل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وإیجابها ساقیتک، أو عاملتک، أو سلّمت </w:t>
      </w:r>
      <w:r>
        <w:rPr>
          <w:rStyle w:val="FootnoteAnchor"/>
          <w:rtl w:val="true"/>
        </w:rPr>
        <w:footnoteReference w:id="1598"/>
      </w:r>
      <w:r>
        <w:rPr>
          <w:rFonts w:ascii="IRNazanin" w:hAnsi="IRNazanin" w:eastAsia="IRNazanin"/>
          <w:color w:val="111111"/>
          <w:sz w:val="28"/>
          <w:sz w:val="28"/>
          <w:szCs w:val="28"/>
          <w:rtl w:val="true"/>
          <w:lang w:bidi="fa-IR"/>
        </w:rPr>
        <w:t>إلیک، أو ما أشبهه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الألفاظ الدالّة علی إنشاء هذا العقد صریحاً،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قبّلتک عملَ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معک عقدَ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من الألفاظ الواقعة بلفظ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نخلی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فیه</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وإخراج هذا العقد عن نظائره من العقود اللازمة بوقوعه بصیغة الأمر من غیر نصّ مخصّص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نوقش فی أمر المزارعة </w:t>
      </w:r>
      <w:r>
        <w:rPr>
          <w:rStyle w:val="FootnoteAnchor"/>
          <w:rtl w:val="true"/>
        </w:rPr>
        <w:footnoteReference w:id="1600"/>
      </w:r>
      <w:r>
        <w:rPr>
          <w:rFonts w:ascii="IRNazanin" w:hAnsi="IRNazanin" w:eastAsia="IRNazanin"/>
          <w:color w:val="111111"/>
          <w:sz w:val="28"/>
          <w:sz w:val="28"/>
          <w:szCs w:val="28"/>
          <w:rtl w:val="true"/>
          <w:lang w:bidi="fa-IR"/>
        </w:rPr>
        <w:t>مع النصّ علیه، فکیف هذا؟</w:t>
      </w:r>
    </w:p>
    <w:p>
      <w:pPr>
        <w:pStyle w:val="Heading3"/>
        <w:numPr>
          <w:ilvl w:val="2"/>
          <w:numId w:val="1"/>
        </w:numPr>
        <w:rPr/>
      </w:pPr>
      <w:bookmarkStart w:id="676" w:name="__RefHeading___Toc2093250_2314609296"/>
      <w:bookmarkStart w:id="677" w:name="_Toc248"/>
      <w:bookmarkEnd w:id="676"/>
      <w:r>
        <w:rPr>
          <w:rtl w:val="true"/>
        </w:rPr>
        <w:t>«</w:t>
      </w:r>
      <w:r>
        <w:rPr>
          <w:rtl w:val="true"/>
        </w:rPr>
        <w:t>والقبول الرضا به</w:t>
      </w:r>
      <w:r>
        <w:rPr>
          <w:rtl w:val="true"/>
        </w:rPr>
        <w:t>»</w:t>
      </w:r>
      <w:bookmarkEnd w:id="677"/>
    </w:p>
    <w:p>
      <w:pPr>
        <w:pStyle w:val="BookText"/>
        <w:rPr/>
      </w:pPr>
      <w:r>
        <w:rPr>
          <w:rFonts w:ascii="IRNazanin" w:hAnsi="IRNazanin" w:eastAsia="IRNazanin"/>
          <w:color w:val="111111"/>
          <w:sz w:val="28"/>
          <w:sz w:val="28"/>
          <w:szCs w:val="28"/>
          <w:rtl w:val="true"/>
          <w:lang w:bidi="fa-IR"/>
        </w:rPr>
        <w:t xml:space="preserve">وظاهره الاکتفاء بالقبول الفعلی </w:t>
      </w:r>
      <w:r>
        <w:rPr>
          <w:rStyle w:val="FootnoteAnchor"/>
          <w:rtl w:val="true"/>
        </w:rPr>
        <w:footnoteReference w:id="1601"/>
      </w:r>
      <w:r>
        <w:rPr>
          <w:rFonts w:ascii="IRNazanin" w:hAnsi="IRNazanin" w:eastAsia="IRNazanin"/>
          <w:color w:val="111111"/>
          <w:sz w:val="28"/>
          <w:sz w:val="28"/>
          <w:szCs w:val="28"/>
          <w:rtl w:val="true"/>
          <w:lang w:bidi="fa-IR"/>
        </w:rPr>
        <w:t>إذ الرضا یحصل بدون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الاقتصار علی اللفظ الدالّ علیه؛ لأنّ الرضا أمر باطنیّ لا یعلم إلّابالقول الکاشف عنه، وهو السرّ فی اعتبار الألفاظ الصریحة الدالّة علی الرضا بالعقود، مع أنّ المعتبر هو الرضا، لکنّه أمر باطنی لا یعلم إلّابه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هنا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بقی للعامل عمل تزید به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بما فیه مستزاد الثمرة، نحو الحرث والسقی ورفع أغصان الکَرْم علی الخشب وتأبیر ثمرة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به عن نحو الجذاذ والحفظ والنقل وقطع</w:t>
      </w:r>
      <w:bookmarkStart w:id="678" w:name="pg19812_249692"/>
    </w:p>
    <w:p>
      <w:pPr>
        <w:pStyle w:val="BookText"/>
        <w:rPr/>
      </w:pPr>
      <w:bookmarkEnd w:id="678"/>
      <w:r>
        <w:rPr>
          <w:rFonts w:ascii="IRNazanin" w:hAnsi="IRNazanin" w:eastAsia="IRNazanin"/>
          <w:color w:val="111111"/>
          <w:sz w:val="28"/>
          <w:sz w:val="28"/>
          <w:szCs w:val="28"/>
          <w:rtl w:val="true"/>
          <w:lang w:bidi="fa-IR"/>
        </w:rPr>
        <w:t xml:space="preserve">الحطب الذی یعمل به الدبس من الأعمال التی لا یستزاد </w:t>
      </w:r>
      <w:r>
        <w:rPr>
          <w:rStyle w:val="FootnoteAnchor"/>
          <w:rtl w:val="true"/>
        </w:rPr>
        <w:footnoteReference w:id="1602"/>
      </w:r>
      <w:r>
        <w:rPr>
          <w:rFonts w:ascii="IRNazanin" w:hAnsi="IRNazanin" w:eastAsia="IRNazanin"/>
          <w:color w:val="111111"/>
          <w:sz w:val="28"/>
          <w:sz w:val="28"/>
          <w:szCs w:val="28"/>
          <w:rtl w:val="true"/>
          <w:lang w:bidi="fa-IR"/>
        </w:rPr>
        <w:t>بها الثمرة، فإنّ المساقاة لا تصحّ بها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الإجارة حینئذٍ علی بقیّة الأعمال بجزءٍ من الثمرة، والجعالة، والصلح</w:t>
      </w:r>
      <w:r>
        <w:rPr>
          <w:rFonts w:eastAsia="IRNazanin" w:cs="IRNazanin"/>
          <w:color w:val="111111"/>
          <w:sz w:val="28"/>
          <w:szCs w:val="28"/>
          <w:rtl w:val="true"/>
          <w:lang w:bidi="fa-IR"/>
        </w:rPr>
        <w:t>.</w:t>
      </w:r>
    </w:p>
    <w:p>
      <w:pPr>
        <w:pStyle w:val="Heading3"/>
        <w:numPr>
          <w:ilvl w:val="2"/>
          <w:numId w:val="1"/>
        </w:numPr>
        <w:rPr/>
      </w:pPr>
      <w:bookmarkStart w:id="679" w:name="__RefHeading___Toc2093252_2314609296"/>
      <w:bookmarkStart w:id="680" w:name="_Toc249"/>
      <w:bookmarkEnd w:id="679"/>
      <w:r>
        <w:rPr>
          <w:rtl w:val="true"/>
        </w:rPr>
        <w:t>[</w:t>
      </w:r>
      <w:r>
        <w:rPr>
          <w:rtl w:val="true"/>
        </w:rPr>
        <w:t>شروط المساقاة</w:t>
      </w:r>
      <w:r>
        <w:rPr>
          <w:rtl w:val="true"/>
        </w:rPr>
        <w:t>]</w:t>
      </w:r>
      <w:bookmarkEnd w:id="68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المساقاة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المساقی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نابتاً</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بالنون، أو بالثاء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علی الأوّل </w:t>
      </w:r>
      <w:r>
        <w:rPr>
          <w:rStyle w:val="FootnoteAnchor"/>
          <w:rtl w:val="true"/>
        </w:rPr>
        <w:footnoteReference w:id="1604"/>
      </w:r>
      <w:r>
        <w:rPr>
          <w:rFonts w:ascii="Amiri" w:hAnsi="Amiri" w:eastAsia="Amiri" w:cs="Amiri"/>
          <w:color w:val="111111"/>
          <w:sz w:val="28"/>
          <w:sz w:val="28"/>
          <w:szCs w:val="28"/>
          <w:rtl w:val="true"/>
          <w:lang w:bidi="ar-SA"/>
        </w:rPr>
        <w:t xml:space="preserve">المساقاة علی الوَدِیّ </w:t>
      </w:r>
      <w:r>
        <w:rPr>
          <w:rStyle w:val="FootnoteAnchor"/>
          <w:rtl w:val="true"/>
        </w:rPr>
        <w:footnoteReference w:id="1605"/>
      </w:r>
      <w:r>
        <w:rPr>
          <w:rFonts w:ascii="IRNazanin" w:hAnsi="IRNazanin" w:eastAsia="IRNazanin"/>
          <w:color w:val="111111"/>
          <w:sz w:val="28"/>
          <w:sz w:val="28"/>
          <w:szCs w:val="28"/>
          <w:rtl w:val="true"/>
          <w:lang w:bidi="fa-IR"/>
        </w:rPr>
        <w:t xml:space="preserve">غیر المغروس، أو المغروس الذی لم یتعلّق بالأرض، والمغارسة </w:t>
      </w:r>
      <w:r>
        <w:rPr>
          <w:rStyle w:val="FootnoteAnchor"/>
          <w:rtl w:val="true"/>
        </w:rPr>
        <w:footnoteReference w:id="1606"/>
      </w:r>
      <w:r>
        <w:rPr>
          <w:rFonts w:ascii="IRNazanin" w:hAnsi="IRNazanin" w:eastAsia="IRNazanin"/>
          <w:color w:val="111111"/>
          <w:sz w:val="28"/>
          <w:sz w:val="28"/>
          <w:szCs w:val="28"/>
          <w:rtl w:val="true"/>
          <w:lang w:bidi="fa-IR"/>
        </w:rPr>
        <w:t xml:space="preserve">وبالثانی </w:t>
      </w:r>
      <w:r>
        <w:rPr>
          <w:rStyle w:val="FootnoteAnchor"/>
          <w:rtl w:val="true"/>
        </w:rPr>
        <w:footnoteReference w:id="1607"/>
      </w:r>
      <w:r>
        <w:rPr>
          <w:rFonts w:ascii="IRNazanin" w:hAnsi="IRNazanin" w:eastAsia="IRNazanin"/>
          <w:color w:val="111111"/>
          <w:sz w:val="28"/>
          <w:sz w:val="28"/>
          <w:szCs w:val="28"/>
          <w:rtl w:val="true"/>
          <w:lang w:bidi="fa-IR"/>
        </w:rPr>
        <w:t>ذلک، وما لا یبقی غالباً کالخضراوات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خروجها بالشجر، فیتّحد المعنیان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بثمرته مع بقاء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یزید عن سنةٍ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واحترز به عن نحو البطّیخ والباذنجان والقطن وقصب السکّر، فإنّها لیست کذلک، وإن تعدّدت اللقطات مع بقاء عینه ذلک الوقت وبقی القطن أزید من سنة؛ لأنّه خلاف الغالب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وفیما له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یُقصد من عمله بالذات إلّاورقه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کالحنّاء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فی معنی الثمرة فیکون مقصود المساقاة حاصلاً به، ومن أنّ هذه المعاملة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لاشتمالها علی جهالة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فیقتصر بها علی موضع الوفاق، ومثله ما یُقصد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ما یُقصد ورقه وحکمه کالحنّاء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ما یقصد ثمره، ولا شبهة فی إلحاقه بغیره من شجر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بالجواز فی الجمیع متّجه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ویشترط تعیین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یحتمل الزیادة والنقصان، ولا حدّ لها فی جانب الزیادة، وفی جانب النقصان أن یغلب فیها حصول الثمرة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 العامل مع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إطلاق المساقاة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ساقیتک علی البستان الفلانی سنة بنصف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عمل متکرّر </w:t>
      </w:r>
      <w:r>
        <w:rPr>
          <w:rStyle w:val="FootnoteAnchor"/>
          <w:rtl w:val="true"/>
        </w:rPr>
        <w:footnoteReference w:id="1608"/>
      </w:r>
      <w:r>
        <w:rPr>
          <w:rFonts w:ascii="IRNazanin" w:hAnsi="IRNazanin" w:eastAsia="IRNazanin"/>
          <w:color w:val="111111"/>
          <w:sz w:val="28"/>
          <w:sz w:val="28"/>
          <w:szCs w:val="28"/>
          <w:rtl w:val="true"/>
          <w:lang w:bidi="fa-IR"/>
        </w:rPr>
        <w:t>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فیه صلاح الثمرة أو زیادتها کالحرث والحفر حیث یحتاج إلیه، وما یتوقّف علیه من الآلات والعوامل، وتهذیب الجرید بقطع ما یحتاج إلی قطعه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ومثله أغصان الشجر المضرّ بقاؤها بالثمرة أو الأصل </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والسقی ومقدّماته المتکرّرة کالدلو والرِشا </w:t>
      </w:r>
      <w:r>
        <w:rPr>
          <w:rStyle w:val="FootnoteAnchor"/>
          <w:rtl w:val="true"/>
        </w:rPr>
        <w:footnoteReference w:id="1610"/>
      </w:r>
      <w:r>
        <w:rPr>
          <w:rFonts w:ascii="IRNazanin" w:hAnsi="IRNazanin" w:eastAsia="IRNazanin"/>
          <w:color w:val="111111"/>
          <w:sz w:val="28"/>
          <w:sz w:val="28"/>
          <w:szCs w:val="28"/>
          <w:rtl w:val="true"/>
          <w:lang w:bidi="fa-IR"/>
        </w:rPr>
        <w:t xml:space="preserve">وإصلاح طریق الماء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استنقائه </w:t>
      </w:r>
      <w:r>
        <w:rPr>
          <w:rFonts w:eastAsia="IRNazanin" w:cs="IRNazanin"/>
          <w:color w:val="111111"/>
          <w:sz w:val="28"/>
          <w:szCs w:val="28"/>
          <w:rtl w:val="true"/>
          <w:lang w:bidi="fa-IR"/>
        </w:rPr>
        <w:t xml:space="preserve">] </w:t>
      </w:r>
      <w:r>
        <w:rPr>
          <w:rStyle w:val="FootnoteAnchor"/>
          <w:rtl w:val="true"/>
        </w:rPr>
        <w:footnoteReference w:id="1611"/>
      </w:r>
      <w:r>
        <w:rPr>
          <w:rFonts w:ascii="IRNazanin" w:hAnsi="IRNazanin" w:eastAsia="IRNazanin"/>
          <w:color w:val="111111"/>
          <w:sz w:val="28"/>
          <w:sz w:val="28"/>
          <w:szCs w:val="28"/>
          <w:rtl w:val="true"/>
          <w:lang w:bidi="fa-IR"/>
        </w:rPr>
        <w:t>وإدارة الدولاب، وفتح رأس الساقیة وسدّها عند الفراغ، وتعدیل الثمرة بإزالة ما یضرّها من الأغصان والورق لیصل إلیها الهواء، وما یحتاج إلیه من الشمس، ولیتیسّر قطعها عند الإدراک، ووضع الحشیش ونحوه فوق العناقید صوناً لها عن الشمس المضرّة بها، ورفعها عن الأرض حیث تضرّها، ولِقاطها بمجری العادة بحسب نوعها، فما یؤخذ للزبیب یقطع فی الوقت الصالح له وما یعمل دِبساً فکذلک، وهکذا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وإصلاح موضع التشمیس ونقل الثمرة إلیه، وتقلیبها ووضعها علی الوجه المعتبر، وغیر ذلک من الأعمال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بعضَه علی المالک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یکون مضبوطاً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الحصّة لا یستحقّها العامل إلّابالعمل، فلا بدّ أن یبقی علیه منه شیء فیه</w:t>
      </w:r>
      <w:bookmarkStart w:id="681" w:name="pg19812_249694"/>
    </w:p>
    <w:p>
      <w:pPr>
        <w:pStyle w:val="BookText"/>
        <w:rPr/>
      </w:pPr>
      <w:bookmarkEnd w:id="681"/>
      <w:r>
        <w:rPr>
          <w:rFonts w:ascii="Amiri" w:hAnsi="Amiri" w:eastAsia="Amiri" w:cs="Amiri"/>
          <w:color w:val="111111"/>
          <w:sz w:val="28"/>
          <w:sz w:val="28"/>
          <w:szCs w:val="28"/>
          <w:rtl w:val="true"/>
          <w:lang w:bidi="ar-SA"/>
        </w:rPr>
        <w:t>مستزاد الثمرة وإن قلّ</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2093254_2314609296"/>
      <w:bookmarkStart w:id="683" w:name="_Toc250"/>
      <w:bookmarkEnd w:id="682"/>
      <w:r>
        <w:rPr>
          <w:rtl w:val="true"/>
        </w:rPr>
        <w:t>[</w:t>
      </w:r>
      <w:r>
        <w:rPr>
          <w:rtl w:val="true"/>
        </w:rPr>
        <w:t>بعض الاحکام</w:t>
      </w:r>
      <w:r>
        <w:rPr>
          <w:rtl w:val="true"/>
        </w:rPr>
        <w:t>]</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وتعیین الحصّة بالجزء المشاع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والثلث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کمئة رطل والباقی للآخر أو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اختلاف الحصّة فی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من العنب، والثلث من الرطب أو النوع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الأنواع، حذراً من وقوع أقلّ الجزأین لأکثر الجنسین مع الجهل بهما فیحصل الغرر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أن یشترط ربّ المال علی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یکره غیرهما؛ 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سلامة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تلفت أجمع أو لم تخرج لم یلزم؛ لأنّه حینئذٍ أکل مال بالباطل، فإنّ العامل لم یحصل له عوض ما عمل، فکیف یخسر مع عمله الفائت شیئاً آخر؟ ولو تلف البعض فالأقوی عدم سقوط شیء عملاً بالشرط، کما لا یسقط من العمل شیء بتلف بعض الثمرة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فسد العقد فالثمرة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تابعة لأصلها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اُجرة مثل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یتبرّع بعمله ولم یحصل له العوض المشروط، فیرجع إلی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عالماً بالفساد ولم یکن الفساد بشرط عدم الحصّة للعامل، وإلّا فلا شیء له؛ لدخوله علی ذلک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شرط عقدَ مساقاة فی عقد مساقاة فالأقرب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 وانتفاء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فهو اشتراط عقد سائغ فی عقد سائغ لازم، فیدخل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612"/>
      </w:r>
      <w:r>
        <w:rPr>
          <w:rFonts w:ascii="Amiri" w:hAnsi="Amiri" w:eastAsia="Amiri" w:cs="Amiri"/>
          <w:color w:val="111111"/>
          <w:sz w:val="28"/>
          <w:sz w:val="28"/>
          <w:szCs w:val="28"/>
          <w:rtl w:val="true"/>
          <w:lang w:bidi="ar-SA"/>
        </w:rPr>
        <w:t>وأمّا الثانی فلأنّ المانع لا یُتخیّل</w:t>
      </w:r>
    </w:p>
    <w:p>
      <w:pPr>
        <w:pStyle w:val="BookText"/>
        <w:rPr/>
      </w:pPr>
      <w:r>
        <w:rPr>
          <w:rFonts w:ascii="IRNazanin" w:hAnsi="IRNazanin" w:eastAsia="IRNazanin"/>
          <w:color w:val="111111"/>
          <w:sz w:val="28"/>
          <w:sz w:val="28"/>
          <w:szCs w:val="28"/>
          <w:rtl w:val="true"/>
          <w:lang w:bidi="fa-IR"/>
        </w:rPr>
        <w:t>إلّا کونه لم یرض أن یعطیه من هذه الحصّة إلّابأن یرضی منه من الآخر بالحصّة الاُخری، ومثل هذا لا یصلح للمنع کغیره من الشروط السائغة الواقعة فی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بالمنع للشیخ رحمه الله </w:t>
      </w:r>
      <w:r>
        <w:rPr>
          <w:rStyle w:val="FootnoteAnchor"/>
          <w:rtl w:val="true"/>
        </w:rPr>
        <w:footnoteReference w:id="1613"/>
      </w:r>
      <w:r>
        <w:rPr>
          <w:rFonts w:ascii="IRNazanin" w:hAnsi="IRNazanin" w:eastAsia="IRNazanin"/>
          <w:color w:val="111111"/>
          <w:sz w:val="28"/>
          <w:sz w:val="28"/>
          <w:szCs w:val="28"/>
          <w:rtl w:val="true"/>
          <w:lang w:bidi="fa-IR"/>
        </w:rPr>
        <w:t>استناداً إلی وجهٍ ضعیف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فی وجه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تنازعا فی خیانة العامل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لأنّه أمین فیقبل قوله بیمینه فی عدمها، ولأصالته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للعامل أن یساقی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المساقاة تسلیطاً علی اُصول الغیر وعملها والناس یختلفون فی ذلک اختلافاً کثیراً، فلیس لمن رضی المالک بعمله وأمانته أن یولّی من لم یرضه المالک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المزارعة، فإنّ عمل الأرض غیر مقصود وحصّة المالک محفوظة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الفرق بأنّ النماء تابع للأصل وهو من مالک الاُصول فی المساقاة ومن الزارع فی المزارعة فلمالک الأصل تسلیط من شاء دون غیره، فإنّما یتمّ مع کون البذر من العامل، والمسألة مفروضة فی کلامهم أعمّ منه، ومع ذلک فإنّ العقد اللازم یوجب الحصّة المخصوصة لکلّ منهما، فله نقلها إلی من شاء وإن لم یکن 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غیر موجودة حین المزارعة الثانیة غیر مانع؛ لأنّ المعاملة لیست علی نفس الحصّة، بل علی الأرض والعمل والعوامل والبذر بالحصّة، فمن استحقّ بالعقد اللازم شیئاً تسلّط علی نقله مع انتفاء المانع</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والخراج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موضوع علی الأرض والشجر، فیکون علی مالکهما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علی العامل أو بعضه، فیصحّ مع‌ضبط المشروط</w:t>
      </w:r>
      <w:r>
        <w:rPr>
          <w:rFonts w:eastAsia="IRNazanin" w:cs="IRNazanin"/>
          <w:color w:val="111111"/>
          <w:sz w:val="28"/>
          <w:szCs w:val="28"/>
          <w:rtl w:val="true"/>
          <w:lang w:bidi="fa-IR"/>
        </w:rPr>
        <w:t>.</w:t>
      </w:r>
      <w:bookmarkStart w:id="684" w:name="pg19812_249696"/>
    </w:p>
    <w:p>
      <w:pPr>
        <w:pStyle w:val="BookText"/>
        <w:rPr/>
      </w:pPr>
      <w:bookmarkEnd w:id="6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وتملک الفائدة بظهور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بالشرط، فإنّ العقد اقتضی أن یکون بینهما، فمتی تحقّقت ملکت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وتجب الزکاة علی کلّ مَن بلغ نصیبه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المالک والعامل؛ لوجود شرط الوجوب وهو تعلّق الوجوب بها علی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المساقاة بعد تعلّق الزکاة وجوّزناها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بقی من العمل ما فیه مستزاد الثمرة حیث جوّزناها 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فالزکاة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لتعلّق الوجوب بها علی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وأثبت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المکارم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زهرة الزکاة علی المالک فی المزارعة والمساقاة، دون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محتجّاً بأنّ حصّته کالاُجرة </w:t>
      </w:r>
      <w:r>
        <w:rPr>
          <w:rStyle w:val="FootnoteAnchor"/>
          <w:rtl w:val="true"/>
        </w:rPr>
        <w:footnoteReference w:id="1614"/>
      </w:r>
      <w:r>
        <w:rPr>
          <w:rFonts w:ascii="IRNazanin" w:hAnsi="IRNazanin" w:eastAsia="IRNazanin"/>
          <w:color w:val="111111"/>
          <w:sz w:val="28"/>
          <w:sz w:val="28"/>
          <w:szCs w:val="28"/>
          <w:rtl w:val="true"/>
          <w:lang w:bidi="fa-IR"/>
        </w:rPr>
        <w:t>وهو ضعیف؛ لأنّ الاُجرة إذا کانت ثمرة أو زرعاً قبل تعلّق الوجوب وجبت الزکاة علی الأجیر، کما لو ملکها کذلک بأیّ وجه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کالاُجرة بعد ذلک فلیس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یذهب إلی أنّ الحصّة لا یملکها العامل بالظهور، بل بعد بدوّ الصلاح وتعلّق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خلاف الإجماع، ومعه لا یتمّ التعلیل بالاُجرة بل یتأخّر ملکه عن الوجوب</w:t>
      </w:r>
      <w:r>
        <w:rPr>
          <w:rFonts w:eastAsia="IRNazanin" w:cs="IRNazanin"/>
          <w:color w:val="111111"/>
          <w:sz w:val="28"/>
          <w:szCs w:val="28"/>
          <w:rtl w:val="true"/>
          <w:lang w:bidi="fa-IR"/>
        </w:rPr>
        <w:t>.</w:t>
      </w:r>
    </w:p>
    <w:p>
      <w:pPr>
        <w:pStyle w:val="Heading3"/>
        <w:numPr>
          <w:ilvl w:val="2"/>
          <w:numId w:val="1"/>
        </w:numPr>
        <w:rPr/>
      </w:pPr>
      <w:bookmarkStart w:id="685" w:name="__RefHeading___Toc2093256_2314609296"/>
      <w:bookmarkStart w:id="686" w:name="_Toc251"/>
      <w:bookmarkEnd w:id="685"/>
      <w:r>
        <w:rPr>
          <w:rtl w:val="true"/>
        </w:rPr>
        <w:t>[</w:t>
      </w:r>
      <w:r>
        <w:rPr>
          <w:rtl w:val="true"/>
        </w:rPr>
        <w:t>بطلان المغارسة</w:t>
      </w:r>
      <w:r>
        <w:rPr>
          <w:rtl w:val="true"/>
        </w:rPr>
        <w:t>]</w:t>
      </w:r>
      <w:bookmarkEnd w:id="68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والمغارسة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یدفع أرضاً إلی غیره لیغرسها علی أنّ الغرس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ولصاحب الأرض قلعه، وله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نقص بالقلع ضمن أرشه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تفاوت ما بین قیمته مقلوعاً وباقیاً فی الأرض بالاُجرة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الغرس من مالک الأرض وقد شرط علی العامل غرسه وعمله بالحصّة، فهو لمالکه وعلیه اُجرة الغارس وما عمل فیه من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کونه من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 کلّ منهما 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الغارس الأرض بالاُجرة علی أن یبقی الغرس فیها أو أن تکون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615"/>
      </w:r>
      <w:r>
        <w:rPr>
          <w:rFonts w:ascii="IRNazanin" w:hAnsi="IRNazanin" w:eastAsia="IRNazanin"/>
          <w:color w:val="111111"/>
          <w:sz w:val="28"/>
          <w:sz w:val="28"/>
          <w:szCs w:val="28"/>
          <w:rtl w:val="true"/>
          <w:lang w:bidi="fa-IR"/>
        </w:rPr>
        <w:t xml:space="preserve">طلب صاحب الأرض الغرس بقیمته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 الآخر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منهما مسلّط علی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یقلعه الغارس یجب علیه طمّ الحفر، وأرش الأرض لو نقصت به، وقلع العروق المتخلّفة عن المقلوع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یفرّق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 کلامه بین العالم بالفساد والجاهل فی استحقاق الأرش وثبوت اُجرته لو کان الغرس لمالک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ببعید الفرق؛ لتبرّع العالم بالعمل ووضعِه الغرس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فارق المستعیر للغرس؛ لأنّه موضوع بحقّ وإذن صحیحة شرعاً، بخلاف هذا الغرس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اختلفا فی الحصّة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النماء تابع للأصل، فیرجع إلی مالکه فی مقدار ما أخرجه منه عن ملکه، مع أصالة بقاء غیره وعدم انتقاله وملکِ الغیر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المدّة یحلف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ما یدّعیه الآخر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ویتلوه فی الثانی کتاب الإجارة علی ید مصنّفها العبد الفقیر إلی اللّٰه تعالی زین الدین بن علیّ بن أحمد الشامی العاملی، عامله اللّٰه بلطفه، وعفی عنه وعنهم بمنّه وکرمه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الفراغ منه یوم الثلاثاء سادس شهر جمادی الاُخری، سنة ستّ وخمسین وتسعمئة، حامداً للّٰه‌تعالی، مصلّیاً علی رسوله وآله، مسلّماً،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وفّق لإکماله واجعله خالصاً لوجهک الکریم بمحمّد وآله الطیّبین الطاهرین </w:t>
      </w:r>
      <w:r>
        <w:rPr>
          <w:rFonts w:eastAsia="IRNazanin" w:cs="IRNazanin"/>
          <w:color w:val="111111"/>
          <w:sz w:val="28"/>
          <w:szCs w:val="28"/>
          <w:rtl w:val="true"/>
          <w:lang w:bidi="fa-IR"/>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bookmarkStart w:id="687" w:name="pg19812_249698"/>
    </w:p>
    <w:p>
      <w:pPr>
        <w:pStyle w:val="Heading2"/>
        <w:numPr>
          <w:ilvl w:val="1"/>
          <w:numId w:val="1"/>
        </w:numPr>
        <w:rPr/>
      </w:pPr>
      <w:bookmarkStart w:id="688" w:name="__RefHeading___Toc2093258_2314609296"/>
      <w:bookmarkStart w:id="689" w:name="_Toc252"/>
      <w:bookmarkEnd w:id="687"/>
      <w:bookmarkEnd w:id="688"/>
      <w:r>
        <w:rPr>
          <w:rtl w:val="true"/>
        </w:rPr>
        <w:t>فهرس المحتویات</w:t>
      </w:r>
      <w:bookmarkEnd w:id="689"/>
    </w:p>
    <w:p>
      <w:pPr>
        <w:pStyle w:val="BookText"/>
        <w:rPr/>
      </w:pP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أقسام الجهاد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شروط وجوبه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یجب قتاله وکیفیّة القتال وأحکام الذمّة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ترک القتال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الغنیمة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أحکام البغاة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الأمر بالمعروف والنهی عن المنکر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شروط وجوبهما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کتاب الکفارات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أقسام الکفارات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انواع اختلف فی کفّارتها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کتاب النذر وتوابعه من العهد والیمین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شروط الناذر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صیغة النذر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ضابط النذر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العهد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الیمین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lang w:bidi="fa-IR"/>
        </w:rPr>
        <w:t>69</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القاضی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الکلام فی قاضی التحکیم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حکم ارتزاق القاضی واُجرته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الکلام فی ما یجب علی القاضی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حرمة الرشوة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القول فی کیفیة الحکم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المراد من المدّعی والمنکر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جواب المدّعی علیه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القول فی الیمین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القول فی الشاهد والیمین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القول فی التعارض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القول فی القسمة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شروطه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مستند الشهادة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تحمّل الشهادة وأداؤها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تفصیل الحقوق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الشهادة علی الشهادة </w:t>
      </w:r>
      <w:r>
        <w:rPr>
          <w:rFonts w:eastAsia="IRNazanin" w:cs="IRNazanin"/>
          <w:color w:val="111111"/>
          <w:sz w:val="28"/>
          <w:szCs w:val="28"/>
          <w:lang w:bidi="fa-IR"/>
        </w:rPr>
        <w:t>127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الرجوع عن الشهادة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کتاب الوقف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تعریفه وألفاظه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لزوم القبض فیه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شرط الوقف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شرط الموقوف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شرط الواقف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شرط الموقوف علیه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نفقة العبد والحیوان الموقوفین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الوقف فی سبیل اللّٰه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الوقف علی الاولاد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زوال الوقف بخراب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الوقف علی الفقراء والعلویّین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آجر البطن الأوّل الوقف ثمّ انقرضوا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کتاب العطیّة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الهبة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السکنی وتوابعها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التحبیس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کتاب المتاجر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أقسام موضوع التجارة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المکروه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المباح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أقسام التجارة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عقد البیع وآدابه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اعتبار الإیجاب والقبول فیه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الکلام فی المعاطاة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شروط المتعاقدین </w:t>
      </w:r>
      <w:r>
        <w:rPr>
          <w:rFonts w:eastAsia="IRNazanin" w:cs="IRNazanin"/>
          <w:color w:val="111111"/>
          <w:sz w:val="28"/>
          <w:szCs w:val="28"/>
          <w:lang w:bidi="fa-IR"/>
        </w:rPr>
        <w:t>187</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الفضولی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بیع ما یَملک وما لا یَملک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بیع ما یُملک وما لا یُملک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صحّة العقد من القائم مقام المالک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مسائل فی شروط العوضین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یشترط کون المبیع مما یُملک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یشترط أن یکون مقدوراً علی تسلیمه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یشترط أن یکون طلقاً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جنایة العبد لا تمنع من بیعه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یشترط العلم بالثمن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یشترط فی بیع المکیل والموزون والمعدود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ابتیاع الجزء مشاعاً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المشاهدة عن الوصف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اختبار ما یراد طعمه وریحه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بیع المسک فی فأرة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بیع مجهول المقدار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بیع دود القزّ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ظرف المبیع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القول فی الآداب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بیع الحیوان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بیع الأناسیّ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238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بیع الثمار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بیع الثمرة بجنسها علی اُصولها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بیع الزرع قائماً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تقبّل أحد الشریکین بحصة صاحبه من الثمرة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أکل المارّة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الصرف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العیب فی الدرهم والدینار المعیّنین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السلف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أقسام البیع بالنسبة إلی الإخبار بالثمن وعدمه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المساومة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المرابحة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المواضعة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التولیة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الربا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الخیار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المجلس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الحیوان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الشرط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التأخیر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ما یفسد لیومه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الرؤیة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الغبن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العیب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التدلیس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الاشتراط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القسم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الشرکة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القسم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تعذّر التسلیم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القسم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تبعیض الصفقة </w:t>
      </w:r>
      <w:r>
        <w:rPr>
          <w:rFonts w:eastAsia="IRNazanin" w:cs="IRNazanin"/>
          <w:color w:val="111111"/>
          <w:sz w:val="28"/>
          <w:szCs w:val="28"/>
          <w:lang w:bidi="fa-IR"/>
        </w:rPr>
        <w:t>325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خیار التفلیس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الأحکام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النقد والنسیئة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القبض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 یدخل فی المبیع عند إطلاق لفظه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اختلاف البائع والمشتری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إطلاق الکیل والوزن والنقد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الإقالة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کتاب الدین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القرض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صیغته وأحکامه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العبد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کتاب الرهن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تعریفه وصیغته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الکلام فی اشتراط القبض فیه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الشروط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شروط الرهن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شروط المتعاقدین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شروط الحق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اللواحق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الوکالة فی الرهن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ابتیاع الرهن للمرتهن مع الوکالة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التصرف فی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مؤونة الرهن علی الراهن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الاستقلال بالاستیفاء للمرتهن لو خاف جحود الوارث </w:t>
      </w:r>
      <w:r>
        <w:rPr>
          <w:rFonts w:eastAsia="IRNazanin" w:cs="IRNazanin"/>
          <w:color w:val="111111"/>
          <w:sz w:val="28"/>
          <w:szCs w:val="28"/>
          <w:lang w:bidi="fa-IR"/>
        </w:rPr>
        <w:t>387</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بیع الرهن وعتقه ووطئه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الرهن من جهة الراهن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النماء المتجدّد فی الرهن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انتقال حقّ الرهانة بالموت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ضمان المرتهن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اختلاف الراهن والمرتهن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الحادیة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أدّی دیناً وعیّن به رهناً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اختلفا فی ما یباع به الرهن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کتاب الحَجر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أسبابه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کتاب الضمان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المراد به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شروط الضامن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اشتراط الإیجاب والقبول فیه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صور تهمة الضامن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کتاب الحوالة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تعریفها وشروطها وأحکامها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کتاب الکفالة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تعریفها وشروطها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أحکام الکفالة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مسائل فی الکفالة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کتاب الصلح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أحکام الصلح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مسائل فی بعض أحکام التنازع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کتاب الشرکة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أسباب الشرکة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مورد الشرکة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الشرکات الباطلة </w:t>
      </w:r>
      <w:r>
        <w:rPr>
          <w:rFonts w:eastAsia="IRNazanin" w:cs="IRNazanin"/>
          <w:color w:val="111111"/>
          <w:sz w:val="28"/>
          <w:szCs w:val="28"/>
          <w:lang w:bidi="fa-IR"/>
        </w:rPr>
        <w:t>454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الشرکة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کتاب المضاربة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تعریفها وشروطها وأحکامها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کتاب الودیعة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تعریفها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أحکام الودیعة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کتاب العاریة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تعریفها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شروط العاریة وأحکامها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کتاب المزارعة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تعریفها وصیغتها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شروطها وأحکامها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کتاب المساقاة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تعریفها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شروط المساقاة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بعض أحکامها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بطلان المغارسة </w:t>
      </w:r>
      <w:r>
        <w:rPr>
          <w:rFonts w:eastAsia="Amiri" w:cs="Amiri" w:ascii="Amiri" w:hAnsi="Amiri"/>
          <w:color w:val="111111"/>
          <w:sz w:val="28"/>
          <w:szCs w:val="28"/>
          <w:lang w:bidi="ar-SA"/>
        </w:rPr>
        <w:t>513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lang w:bidi="fa-IR"/>
        </w:rPr>
        <w:t>515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بعض نسخ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توضیح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ذلک یقتضی عدم وجوب تکراره مطلقاً، کما فی قول السیّد لعبده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السوق فاشترِ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 الروضة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بالناقل بلا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المحقّق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 عن شیخنا الشهید ذلک وهو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شعائر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 العلّامة فی التذکرة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بالاشتراط الشیخ فی المبسوط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بعدم الاشتراط فلم یصرّح به أحد من فقهائنا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مقتضی إطلاق من أطلق، مثل الماتن هنا، وفی الدروس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تعیینه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السیرة النبویّة لابن کثیر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هذا القول من کلّ من قال بعدم التقدیر کالمفید والشیخ والقاضی وابن حمزة وسلّار والمحقّق والعلّامة،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المهذّب البارع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الشیخ إلی بعض الناس، راجع المصدر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من یُبدأ بجهاده من المشرکین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 من یُبدأ بجهاده من المشرکین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الدِرْع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للبیهقی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قطع الشجر وحرق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فی الباب تصریحاً بتخریب دیارهم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للبیهقی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قطع الشجر وحرق المنازل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فی الباب تصریحاً بتخریب دیارهم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إرسال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الحدیث الأوّل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اجتنب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ألزم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فلو،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الحدیث الأوّل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السیوری فی التنقیح الرائع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قوّاه ابن إدریس فی السرائر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إدریس فی السرائر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وقوّاه الشیخ، راجع 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أذمّه أی أجاره وأذمّ 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له الذمّة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ترفیة،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ترقیة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عوراتهم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بینهم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قوله تعالی وَ إِنْ أَحَدٌ مِنَ اَلْمُشْرِکِینَ اِسْتَجٰارَکَ فَأَجِرْهُ حَتّٰی یَسْمَعَ کَلاٰمَ اَللّٰهِ ثُمَّ أَبْلِغْهُ مَأْمَنَهُ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لاختیاره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قطع أیدیهم وأرجلهم وترکهم حتّی یموتوا، ولا ینافیه کون القطع أیضاً قتلاً، فإنّ التخییر بین نحوی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ولسلطان العلماء قدس سره بیان آخر، راجع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الکرکی فی حاشیته علی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خبره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السیوری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إخراج الخمس قبل هذه المذکورات من أصل الغنیمة وهو قول الشیخ فی الخلاف، وقیل بعد هذه، وبه قال فی المبسوط، وهو الوجه، التنقیح الرائع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الموجود فی الخلاف خلاف ما نسبه إلیه، راجع الخلاف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وجَنّبتَ الدابّة، أی تقودها إلی جنبک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ابن الجنید فی المختلف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ونسبه فی التنقیح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المرتضی أیضاً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لذوی الأفراس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حطیم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هُزِل وأسنّ فضعف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رزح</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رزح</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والحلّی فی السرائر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 والمغنی لابن قدامة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مستند الردّ فقد تقدّم، وأمّا مستند تقسیمه علیه السلام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أنّ رجلاً من عبد القیس قام یوم الجمل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أمیر المؤمنین ما عدلت حین تقسّم بیننا أموالهم ولا تقسّم بیننا نساءهم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أبی عقیل عن بعض الشیعة، راجع المختلف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الشیخ رحمه الله القول بوجوبهما عقلاً فی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المختلف </w:t>
      </w:r>
      <w:r>
        <w:rPr>
          <w:rFonts w:eastAsia="IRNazanin" w:cs="IRNazanin"/>
          <w:b w:val="false"/>
          <w:bCs w:val="false"/>
          <w:i w:val="false"/>
          <w:iCs w:val="false"/>
          <w:color w:val="333333"/>
          <w:sz w:val="20"/>
          <w:szCs w:val="20"/>
        </w:rPr>
        <w:t>4:456</w:t>
      </w:r>
      <w:r>
        <w:rPr>
          <w:rFonts w:ascii="IRNazanin" w:hAnsi="IRNazanin" w:eastAsia="IRNazanin"/>
          <w:b w:val="false"/>
          <w:b w:val="false"/>
          <w:bCs w:val="false"/>
          <w:i w:val="false"/>
          <w:i w:val="false"/>
          <w:iCs w:val="false"/>
          <w:color w:val="333333"/>
          <w:sz w:val="20"/>
          <w:sz w:val="20"/>
          <w:szCs w:val="20"/>
          <w:rtl w:val="true"/>
        </w:rPr>
        <w:t xml:space="preserve">، وفصّل ابن إدریس فی السرائر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بوجوبهما عقلاً فیما إذا وقعا علی وجه المدافعة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وجوبهما سمعاً، وبه قال السیّد المرتضی وأبو الصلاح والأکثر، کما فی المختلف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93:378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الباب الأوّل من أبواب الأمر بالمعروف والنهی عن المنکر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بوجوبهما کفایة هو للسیّد المرتضی علی ما حکی عنه العلّامة فی المختلف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 وأبو الصلاح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وأمّا القول الآخر فهو أ نّهما من فروض الأعیان، کما 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وقوّاه الشیخ فی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الجمع بین الأدلّة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بالعلم هنا المعنی الأعمّ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عنه الشیخ فی 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التحریر</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یجب علی الفقهاء أیضاً قبول الترافع والحکم بینهم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حدّ الشرک باللّٰه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أسنده إلی نفسه أو إلی غیره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هو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فذکرهما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وفی الدروس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ومنهم ابن البرّاج فی المهذّب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 الشیخ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خصالهما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ویقابله قول ابن عقیل بالتعیین، راجع المختلف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المسالک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فی کفّارة خلف النذر علی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نّها کفّارة رمضان مطلقاً، ذهب إلیه الشیخان، وأتباعهما والمصنّف والعلّامة فی المختلف وأکثر المتأخّرین؛ لصحیحة عبد الملک بن عمرو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نّها کفّارة یمین مطلقاً، ذهب إلیه الصدوق 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النافع؛ لحسنة الحلبی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فإن کان النذر لصوم فأفطره فکفّارة رمضان، وإن کان لغیر ذلک فکفّارة یمین، ذهب إلی ذلک المرتضی وابن إدریس والعلّامة فی غیر المختلف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قوبلت مع نسخة المؤلّف قدس سره،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الثلاث الاُول من الثلاثة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الثلاث الاُول من الثلاثة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الثلاث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 والفضّ والصیام، والبقرة والفضّ والصیام، والشاة والفضّ والصیام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الثلاثة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النعامة، والبقرة ومثله، والظبی 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فی کتاب الحجّ،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الکفّارات، الحدیث الأوّل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الصید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الصوم،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کفّاراتها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الظهار، 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 الشرح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القاضی فی المهذّب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ولم نقف علی غیره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6:194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 کفّارة قتل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ساوی بین کفّارة الظهار وکفّارة قتل الخطأ 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کفّارة قتل الخطأ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 وفیه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ضعفه بخالد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بالجمع المعرّف أو المضاف ما ورد فی الروایة من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جزّت شعرها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ففی جزّ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جنس جمعی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جزّ بعض الشعر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أو اُنثی لذکر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باللحوق للسیّد فی رسائله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xml:space="preserve">، وقول بعدم اللحوق لابن إدریس فی السرائر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وقد تعرّضوا لذلک فی مبحث الوقف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المتمتّع بها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 الحدیث الأوّل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علی التصریح به لغیره، ونسبه ابن فهد الحلّی إلی التحریر فقط، راجع المهذّب البارع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بزیادتها والقریب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ج </w:t>
      </w:r>
      <w:r>
        <w:rPr>
          <w:rFonts w:eastAsia="IRNazanin" w:cs="IRNazanin"/>
          <w:b w:val="false"/>
          <w:bCs w:val="false"/>
          <w:i w:val="false"/>
          <w:iCs w:val="false"/>
          <w:color w:val="333333"/>
          <w:sz w:val="20"/>
          <w:szCs w:val="20"/>
        </w:rPr>
        <w:t>15:582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أصواع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المقداد فی التنقیح الرائع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 نّها مرسلة لا مقطوعة؛ لأنّ راویها عبد اللّٰه بن مغیرة عمّن حدّثه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بقائله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عنه الوجوب ابن إدریس فی السرائر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وصرّح بالاستحباب المحقّق فی الشرائع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فخر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الإیضاح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وتردّد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القواعد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المحقّقین فی الإیضاح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أبوال الدین والقرض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المبسوط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وابن الجنید علی ما نقله عنه العلّامة فی المختلف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یقلع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بالإجزاء وهو الظاهر من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والشرائع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وقول بعدم الإجزاء وهو للشیخ فی الخلاف </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2:184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المشهور خصوصاً بین المتأخّرین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صحیح عبد اللّٰه بن سنان، الوسائل </w:t>
      </w:r>
      <w:r>
        <w:rPr>
          <w:rFonts w:eastAsia="IRNazanin" w:cs="IRNazanin"/>
          <w:b w:val="false"/>
          <w:bCs w:val="false"/>
          <w:i w:val="false"/>
          <w:iCs w:val="false"/>
          <w:color w:val="333333"/>
          <w:sz w:val="20"/>
          <w:szCs w:val="20"/>
        </w:rPr>
        <w:t>15:559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الکفّارات، الحدیث الأوّل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4:560</w:t>
      </w:r>
      <w:r>
        <w:rPr>
          <w:rFonts w:ascii="IRNazanin" w:hAnsi="IRNazanin" w:eastAsia="IRNazanin"/>
          <w:b w:val="false"/>
          <w:b w:val="false"/>
          <w:bCs w:val="false"/>
          <w:i w:val="false"/>
          <w:i w:val="false"/>
          <w:iCs w:val="false"/>
          <w:color w:val="333333"/>
          <w:sz w:val="20"/>
          <w:sz w:val="20"/>
          <w:szCs w:val="20"/>
          <w:rtl w:val="true"/>
        </w:rPr>
        <w:t>، لکنّه لم یصرّح بالإطلاق، بل أطلق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15:570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الکفّارات،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ندور أکل الصغیر کالکبیر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غالباً علی قوت البلد أم لا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وقع فیه السوس، وهو دود یقع فی الصوف والثیاب والطعام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یخالط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زون</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إدریس فی السرائر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الإرشاد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وفی مقابله القول بوجوب الثوبین، 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فصّل فاعتبر الثوبین مع القدرة واکتفی بالثوب مع العجز، 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وابن البرّاج فی المهذّب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وأبی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الجنس متّفقاً کإزارین، أم لا، کإزار وقمیص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Pr>
        <w:t>10:120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وفهم بعضهم أنّ الصدقة بعد العجز عن صوم الثمانیة عشر عن کلّ یوم من أیّام الستّین، لا الثمانیة عشر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الستّین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سکراناً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غایة المراد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والعهد،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لْیُوفُوا نُذُورَهُمْ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عموم الأمر بالوفاء مخصّص بنذر العبد غیر المأذون لا نذر العبد المنهی، فإنّه خارج عن العموم قطعاً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إلحاقه بهما فی حلّ النذر، لا فی توقّف النذر علی الإذن، راجع الدروس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الیمین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شرّک بینه وبین الزوجة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القواعد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الإرشاد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الولد أیضاً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للفعل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بالصحّة وهو للعلّامة فی التحریر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وأمّا القول بعدم الصحّة فلم نقف علی من صرّح به، نعم ذهب یحیی بن سعید الحلّی إلی عدم صحّة نذر 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فی المهذّب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ثعلب، حکاه عنه فی الخلاف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النذر،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إبدال الهمزة لاماً مکسورة أو مفتوحة مع ضمّ النون وفتحها، وحذفها مع فتح النون وضمّها،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وکسرها مع ضمّ المیم وبفتحها خاصّة مع فتح المیم،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المیم وضمّها مع کسر الهمزة،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بضمّهما وفتحهما وکسرهما،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بحرکات المیم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سبع عشرة مضافة إلی ما ذکر فی لغات أیمن الأربع وذلک إحدی وعشرون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المسالک </w:t>
      </w:r>
      <w:r>
        <w:rPr>
          <w:rFonts w:eastAsia="IRNazanin" w:cs="IRNazanin"/>
          <w:b w:val="false"/>
          <w:bCs w:val="false"/>
          <w:i w:val="false"/>
          <w:iCs w:val="false"/>
          <w:color w:val="333333"/>
          <w:sz w:val="20"/>
          <w:szCs w:val="20"/>
        </w:rPr>
        <w:t>11:201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لیذر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الأوّل، ومسند أحمد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راجع المسالک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لم یعلم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لأفعلنّ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یعلم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الفعل والترک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خالف ناسیاً أو جاهلاً أو مکرَهاً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بالاستحباب عیناً الشیخ فی المبسوط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المسالک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فی استحبابه أو وجوبه بعض العامّة فحکم بکراهته نظراً إلی الأحادیث المحذّرة عنه، کما روی عنه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جُعل قاضیاً فقد ذبح بغیر سکّین</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 المنطق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وجوب إرشاد الضالّین وردّ شبهات المضلّین علی علماء الدین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السنّة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قدس سره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 xml:space="preserve">، باب کراهیّة الارتفاع إلی قضاة الجور،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الحدیث الأوّل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 xml:space="preserve">، باب کراهیّة الارتفاع إلی قضاة الجور،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الحدیث الأوّل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 xml:space="preserve">، باب کراهیّة الارتفاع إلی قضاة الجور،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الحدیث الأوّل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قال بعدم اشتراطهما باتّاً، نعم أشکل فی اشتراطهما العلّامة فی القواعد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وتردّد فی اشتراط الکتابة المحقّق فی الشرائع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للحکم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قوّی الاشتراط الشیخ فی المبسوط </w:t>
      </w:r>
      <w:r>
        <w:rPr>
          <w:rFonts w:eastAsia="IRNazanin" w:cs="IRNazanin"/>
          <w:b w:val="false"/>
          <w:bCs w:val="false"/>
          <w:i w:val="false"/>
          <w:iCs w:val="false"/>
          <w:color w:val="333333"/>
          <w:sz w:val="20"/>
          <w:szCs w:val="20"/>
        </w:rPr>
        <w:t>8:165</w:t>
      </w:r>
      <w:r>
        <w:rPr>
          <w:rFonts w:ascii="IRNazanin" w:hAnsi="IRNazanin" w:eastAsia="IRNazanin"/>
          <w:b w:val="false"/>
          <w:b w:val="false"/>
          <w:bCs w:val="false"/>
          <w:i w:val="false"/>
          <w:i w:val="false"/>
          <w:iCs w:val="false"/>
          <w:color w:val="333333"/>
          <w:sz w:val="20"/>
          <w:sz w:val="20"/>
          <w:szCs w:val="20"/>
          <w:rtl w:val="true"/>
        </w:rPr>
        <w:t xml:space="preserve">، ولم یشترطه فی الخلاف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 واستجوده العلّامة فی المختلف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المحقّق فی الشرائع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اشتراط التراضی بعد الحکم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علیه السلام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فإذا حکم بحکمنا فلم یقبل منه فإنّما استخفّ بحکم اللّٰه وعلینا ردّ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الحدیث الأوّل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روایة السکونی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 علیه الصلاة والسلام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ابتلی بالقضاء فلیواسِ فی الإشارة وفی النظر وفی 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ضعف السند، ولو تمّ فالأصل فی الأمر الوجوب، فما قاله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المستند لو تمّ لا یدلّ المتن علی الوجوب لیس بجیّد علی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نسختی المتن، وفی نُسخ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نقلاً عن غارات الثقفی فی خصومة له علیه السلام مع نصرانیّ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نسختی المتن، وفی نسخ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الخلاف </w:t>
      </w:r>
      <w:r>
        <w:rPr>
          <w:rFonts w:eastAsia="IRNazanin" w:cs="IRNazanin"/>
          <w:b w:val="false"/>
          <w:bCs w:val="false"/>
          <w:i w:val="false"/>
          <w:iCs w:val="false"/>
          <w:color w:val="333333"/>
          <w:sz w:val="20"/>
          <w:szCs w:val="20"/>
        </w:rPr>
        <w:t>6:234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روایات القرعة فی الوسائل </w:t>
      </w:r>
      <w:r>
        <w:rPr>
          <w:rFonts w:eastAsia="IRNazanin" w:cs="IRNazanin"/>
          <w:b w:val="false"/>
          <w:bCs w:val="false"/>
          <w:i w:val="false"/>
          <w:iCs w:val="false"/>
          <w:color w:val="333333"/>
          <w:sz w:val="20"/>
          <w:szCs w:val="20"/>
        </w:rPr>
        <w:t>18:187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وأحکام الدعوی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نسب کفایة هذه الصیغ إلی القیل، راجع الدروس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بنعاس أو جوع أو همّ أو غضب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جعل تعریف المدّعی والمنکر من مباحث کیفیّة الحکم؛ لأنّها متوقّفة علیه؛ لأنّ ترتّب أحکام کلٍّ منهما علیه، من کون الدعوی مضبوطة جازمة ونحوه، وترتّب أحکام المنکر علی جوابه ونکوله یتوقّف علی معرفتهما، فکان کالمقدّمة لکیفیّة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مشترط القبض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فائدتها</w:t>
      </w:r>
      <w:r>
        <w:rPr>
          <w:rFonts w:eastAsia="IRNazanin" w:cs="IRNazanin"/>
          <w:b w:val="false"/>
          <w:bCs w:val="false"/>
          <w:i w:val="false"/>
          <w:iCs w:val="false"/>
          <w:color w:val="333333"/>
          <w:sz w:val="20"/>
          <w:szCs w:val="20"/>
          <w:rtl w:val="true"/>
        </w:rPr>
        <w:t>. . .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شخصها ولا صفتها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الحاکم للمدّعی علیه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یری من لونه وظاهره وهیئته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المظنّة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نسختی المتن أیضاً،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فی التذکرة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بتوقّفه علی الیمین، فقد نسبه المحقّق الکرکی إلی الأکثر، اُنظر جامع المقاصد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إذا کان أصل الدعوی بغیر مال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أصل الدعوی مالاً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علی الإعسار ولا علی تلف المال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من حقوق اللّٰه تعالی أم من حقوق الآدمیّین، وسواء کان الحاکم معصوماً أم غیره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فی الشرائع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المسالک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مطلقاً، وقال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فی حقوق الناس دون حقوق اللّٰه، وعکس ابن الجنید فی کتابه الأحمدی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أحلفه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اختیار الشیخ فی الخلاف </w:t>
      </w:r>
      <w:r>
        <w:rPr>
          <w:rFonts w:eastAsia="IRNazanin" w:cs="IRNazanin"/>
          <w:b w:val="false"/>
          <w:bCs w:val="false"/>
          <w:i w:val="false"/>
          <w:iCs w:val="false"/>
          <w:color w:val="333333"/>
          <w:sz w:val="20"/>
          <w:szCs w:val="20"/>
        </w:rPr>
        <w:t>6:293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8:396</w:t>
      </w:r>
      <w:r>
        <w:rPr>
          <w:rFonts w:ascii="IRNazanin" w:hAnsi="IRNazanin" w:eastAsia="IRNazanin"/>
          <w:b w:val="false"/>
          <w:b w:val="false"/>
          <w:bCs w:val="false"/>
          <w:i w:val="false"/>
          <w:i w:val="false"/>
          <w:iCs w:val="false"/>
          <w:color w:val="333333"/>
          <w:sz w:val="20"/>
          <w:sz w:val="20"/>
          <w:szCs w:val="20"/>
          <w:rtl w:val="true"/>
        </w:rPr>
        <w:t>، وسیأتی قولان آخران من الشیخ رحمه الله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هنا من النسخ کلمات من الخبر، وهی هذه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ذهبت الیمین بحقّ المدّعی فلا دعوی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علیه بیّنة عادلة؟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أقام</w:t>
      </w:r>
      <w:r>
        <w:rPr>
          <w:rFonts w:eastAsia="IRNazanin" w:cs="IRNazanin"/>
          <w:b w:val="false"/>
          <w:bCs w:val="false"/>
          <w:i w:val="false"/>
          <w:iCs w:val="false"/>
          <w:color w:val="333333"/>
          <w:sz w:val="20"/>
          <w:szCs w:val="20"/>
          <w:rtl w:val="true"/>
        </w:rPr>
        <w:t>. . .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والدعوی، الحدیث الأوّل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والدعوی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موضع من المبسوط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موضع آخر من المبسوط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إلیها آنفاً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الصفحة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یتوجّه علی المدّعی هنا الحلف بردٍّ ولا نکول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به العلّامة فی المختلف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 وفی مقابله قول أبی الصلاح بلزوم الإجابة، راجع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الخلاف من أ نّه صادرٌ عن المدّعی، فکان کالبیّنة، ومن أنّ سببه النکول وهو من المنکر، فکان کالإقرار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وتظهر فائدة الخلاف فی مواضع،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أقام المنکر بیّنة بالأداء أو الإبراء بعد حلف المدّعی،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الیمین کالبیّنة سمعت بیّنة المنکر، وإن قلنا کالإقرار لم تسمع؛ لأنّ بیّنته مکذّبة لإقراره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هل یحتاج مع الیمین إلی حکم الحاکم؟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کالبیّنة توقّف علیه، أو کالإقرار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أنکر المفلّس فحلف غریمه،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کالبیّنة شارکه، أو کالإقرار ففیه ما سیأتی من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أنکر الوکیل فی البیع العیب فحلف المشتری علیه بعد نکوله عن الیمین، فإن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کالبیّنة فللوکیل ردّه علی الموکّل، 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کالإقرار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ادّعی البائع تولیةً کثرة الثمن وأقام بیّنة فإنّها لا تسمع؛ لأنّه مکذّب لها بقوله الأوّل، ولکن له إحلاف المشتری علی عدم العلم بذلک، وهل للمشتری ردّ الیمین علیه أم لا یبنی علی القولین، إن قلنا کإقرار المنکر فله الردّ؛ لأنّ المشتری لو أقرّ نفعه، وإن قلنا إنّه کبیّنة المدّعی فلا؛ لأنّ بیّنته غیر مسموعة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 ذلک العلّامة فی التحریر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وفی مقابله قول المحقّق الکرکی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بالنسبة إلی المدّعی علیه کالبیّنة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متفرّقة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سقطت دعواه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وحکاه العلّامة فی المختلف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ووالده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والکیدری فی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هؤلاء الأعلام والصدوقین والشیخین قدّس سرّهم بعد الحکم بذلک قالوا بتوجّه الیمین علی المدّعی إذا التمس المنکر من الحاکم أن یُحلف الخصم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وأحکام الدعوی، الحدیث الأوّل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للبیهقی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وأحکام الدعوی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سقوط دعوی المدّعی بعد حلف المنکر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أطلق الأصحاب من غیر فرقٍ بین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شهودی علی الجرح فی مسافةٍ لا یصلون إلّابعد ثلاثة،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وینبغی لو عیّن مکاناً بعیداً أن یمهل بقدره إذا لم یؤدِّ إلی البُعد المفرط الموجب لتأخیر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بالمعجمتین، التعسّف فی الکلام،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ینهی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یُستعمل لازماً ومتعدّیاً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یُکتحل به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عموماً، أو خصوص حبل الدلو</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عوالی اللآلئ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والسنن الکبری للبیهقی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الهمزة وتشدید اللام علی أن تکون مرکّبة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8:331</w:t>
      </w:r>
      <w:r>
        <w:rPr>
          <w:rFonts w:ascii="IRNazanin" w:hAnsi="IRNazanin" w:eastAsia="IRNazanin"/>
          <w:b w:val="false"/>
          <w:b w:val="false"/>
          <w:bCs w:val="false"/>
          <w:i w:val="false"/>
          <w:i w:val="false"/>
          <w:iCs w:val="false"/>
          <w:color w:val="333333"/>
          <w:sz w:val="20"/>
          <w:sz w:val="20"/>
          <w:szCs w:val="20"/>
          <w:rtl w:val="true"/>
        </w:rPr>
        <w:t>، وفیها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کنت سترته بثوبک کان خیراً لک</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الآتی موجود فی النسختین الخطّیّتین من المتن، المتوفّرتین لدینا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عن الشیخین والصدوقین وجماعة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الأیمان،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أشکل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أوّل البحث</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العیدین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الأیمان،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الأیمان،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السیاق رجوع الضمیر إلی الصادق علیه السلام والخبر مرویّ عن أبی جعفر الباقر علیه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الأیمان، الحدیث الأوّل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رحمه الله، والموجود فی المبسوط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هذا القول إلی قوم، من دون اختیاره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المقابلة علی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 الحرّ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توضیح هذه الثلاث فی کتاب الدیات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أکثرهم عبّروا بعیوب النساء ومنهم المصنّف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عیوب الرجل والمرأة، وهو أولی؛ لاشتراکهما فی العلّة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الخلع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الزوجیّة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الماتن، لکنّها لا توجد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الثلاثه بحکم العتق فی کونه خلافیّاً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الوصیّة إلی شخص بکونه وصیّاً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8:189</w:t>
      </w:r>
      <w:r>
        <w:rPr>
          <w:rFonts w:ascii="IRNazanin" w:hAnsi="IRNazanin" w:eastAsia="IRNazanin"/>
          <w:b w:val="false"/>
          <w:b w:val="false"/>
          <w:bCs w:val="false"/>
          <w:i w:val="false"/>
          <w:i w:val="false"/>
          <w:iCs w:val="false"/>
          <w:color w:val="333333"/>
          <w:sz w:val="20"/>
          <w:sz w:val="20"/>
          <w:szCs w:val="20"/>
          <w:rtl w:val="true"/>
        </w:rPr>
        <w:t>، وهو ظاهر أبی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 الحکم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المدّعی علیه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النصّ الوارد فی المیّت، راجع الوسائل </w:t>
      </w:r>
      <w:r>
        <w:rPr>
          <w:rFonts w:eastAsia="IRNazanin" w:cs="IRNazanin"/>
          <w:b w:val="false"/>
          <w:bCs w:val="false"/>
          <w:i w:val="false"/>
          <w:iCs w:val="false"/>
          <w:color w:val="333333"/>
          <w:sz w:val="20"/>
          <w:szCs w:val="20"/>
        </w:rPr>
        <w:t>18:173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الغائب أو کمل الناقص</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الشیخ فی کتاب الدعاوی من الخلاف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وأحکام الدعوی،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ذلک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وأحکام الدعوی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الّذی اختاره المصنّف رحمه الله وقبله الشیخ فی النهایة وکتابی الأخبار وتلمیذه القاضی وجماعة، راجع المسالک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وانظر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 فی المسالک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فی القول الثالث السابق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انفردت به أم شهدت بیّنة الخارج به أیضاً</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فی القواعد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ولم نظفر بمن قاله جزماً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 قدیم الملک علی الید فی المبسوط </w:t>
      </w:r>
      <w:r>
        <w:rPr>
          <w:rFonts w:eastAsia="IRNazanin" w:cs="IRNazanin"/>
          <w:b w:val="false"/>
          <w:bCs w:val="false"/>
          <w:i w:val="false"/>
          <w:iCs w:val="false"/>
          <w:color w:val="333333"/>
          <w:sz w:val="20"/>
          <w:szCs w:val="20"/>
        </w:rPr>
        <w:t>8:280</w:t>
      </w:r>
      <w:r>
        <w:rPr>
          <w:rFonts w:ascii="IRNazanin" w:hAnsi="IRNazanin" w:eastAsia="IRNazanin"/>
          <w:b w:val="false"/>
          <w:b w:val="false"/>
          <w:bCs w:val="false"/>
          <w:i w:val="false"/>
          <w:i w:val="false"/>
          <w:iCs w:val="false"/>
          <w:color w:val="333333"/>
          <w:sz w:val="20"/>
          <w:sz w:val="20"/>
          <w:szCs w:val="20"/>
          <w:rtl w:val="true"/>
        </w:rPr>
        <w:t xml:space="preserve">، وعکس فی الخلاف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بالقسمة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بالتفریق</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Pr>
        <w:t>8:135</w:t>
      </w:r>
      <w:r>
        <w:rPr>
          <w:rFonts w:ascii="IRNazanin" w:hAnsi="IRNazanin" w:eastAsia="IRNazanin"/>
          <w:b w:val="false"/>
          <w:b w:val="false"/>
          <w:bCs w:val="false"/>
          <w:i w:val="false"/>
          <w:i w:val="false"/>
          <w:iCs w:val="false"/>
          <w:color w:val="333333"/>
          <w:sz w:val="20"/>
          <w:sz w:val="20"/>
          <w:szCs w:val="20"/>
          <w:rtl w:val="true"/>
        </w:rPr>
        <w:t>، وقال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واختاره العلّامة فی القواعد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6:229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وقوّاه فی المبسوط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فی المسالک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الأقوال، ولم ینسبه إلی قائل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عضادة، عضادتا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خشبتاه من جانبیه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هامش النسخ</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عدم تحقّق العدالة فی غیر البالغین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6:273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وضعفها لزرعة؛ فإنّه واقفی، وسماعة فإنّه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المسالک </w:t>
      </w:r>
      <w:r>
        <w:rPr>
          <w:rFonts w:eastAsia="IRNazanin" w:cs="IRNazanin"/>
          <w:b w:val="false"/>
          <w:bCs w:val="false"/>
          <w:i w:val="false"/>
          <w:iCs w:val="false"/>
          <w:color w:val="333333"/>
          <w:sz w:val="20"/>
          <w:szCs w:val="20"/>
        </w:rPr>
        <w:t>16:289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لا یعلم حالهم من العدل والفسق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بالاشتراط للإسکافی کما نقله فی المختلف </w:t>
      </w:r>
      <w:r>
        <w:rPr>
          <w:rFonts w:eastAsia="IRNazanin" w:cs="IRNazanin"/>
          <w:b w:val="false"/>
          <w:bCs w:val="false"/>
          <w:i w:val="false"/>
          <w:iCs w:val="false"/>
          <w:color w:val="333333"/>
          <w:sz w:val="20"/>
          <w:szCs w:val="20"/>
        </w:rPr>
        <w:t>8:505</w:t>
      </w:r>
      <w:r>
        <w:rPr>
          <w:rFonts w:ascii="IRNazanin" w:hAnsi="IRNazanin" w:eastAsia="IRNazanin"/>
          <w:b w:val="false"/>
          <w:b w:val="false"/>
          <w:bCs w:val="false"/>
          <w:i w:val="false"/>
          <w:i w:val="false"/>
          <w:iCs w:val="false"/>
          <w:color w:val="333333"/>
          <w:sz w:val="20"/>
          <w:sz w:val="20"/>
          <w:szCs w:val="20"/>
          <w:rtl w:val="true"/>
        </w:rPr>
        <w:t>، وأبی الصلاح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بالعدم للشیخین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الشاهدین الذّمیّین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اللّٰه ورسول اللّٰه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وابن إدریس، اُنظر 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مشیر إلی تحقّق الخلاف فیها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منهم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بالاشتراط للشیخ فی موضع من المبسوط </w:t>
      </w:r>
      <w:r>
        <w:rPr>
          <w:rFonts w:eastAsia="IRNazanin" w:cs="IRNazanin"/>
          <w:b w:val="false"/>
          <w:bCs w:val="false"/>
          <w:i w:val="false"/>
          <w:iCs w:val="false"/>
          <w:color w:val="333333"/>
          <w:sz w:val="20"/>
          <w:szCs w:val="20"/>
        </w:rPr>
        <w:t>8:233</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الاشتراط للشیخ فی الخلاف </w:t>
      </w:r>
      <w:r>
        <w:rPr>
          <w:rFonts w:eastAsia="IRNazanin" w:cs="IRNazanin"/>
          <w:b w:val="false"/>
          <w:bCs w:val="false"/>
          <w:i w:val="false"/>
          <w:iCs w:val="false"/>
          <w:color w:val="333333"/>
          <w:sz w:val="20"/>
          <w:szCs w:val="20"/>
        </w:rPr>
        <w:t>6:320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وقوّاه فی موضع من المبسوط </w:t>
      </w:r>
      <w:r>
        <w:rPr>
          <w:rFonts w:eastAsia="IRNazanin" w:cs="IRNazanin"/>
          <w:b w:val="false"/>
          <w:bCs w:val="false"/>
          <w:i w:val="false"/>
          <w:iCs w:val="false"/>
          <w:color w:val="333333"/>
          <w:sz w:val="20"/>
          <w:szCs w:val="20"/>
        </w:rPr>
        <w:t>8:244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هذه الدعوی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المحقق فی الشرائع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5:261</w:t>
      </w:r>
      <w:r>
        <w:rPr>
          <w:rFonts w:ascii="IRNazanin" w:hAnsi="IRNazanin" w:eastAsia="IRNazanin"/>
          <w:b w:val="false"/>
          <w:b w:val="false"/>
          <w:bCs w:val="false"/>
          <w:i w:val="false"/>
          <w:i w:val="false"/>
          <w:iCs w:val="false"/>
          <w:color w:val="333333"/>
          <w:sz w:val="20"/>
          <w:sz w:val="20"/>
          <w:szCs w:val="20"/>
          <w:rtl w:val="true"/>
        </w:rPr>
        <w:t xml:space="preserve">، وصرّح به الفاضل المقداد فی التنقیح الرائع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الدروس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وقاله العلّامة فی القواعد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فی مجرّد الید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الشهادة،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لیست ترجمة عدلین بمنزلة الشهادة علی الشهادة، حیث إنّ الثانیة فرع علی الاُولی، کما یأتی فی الفصل الثالث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وینشأ</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المخطوطتین من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الاستبصار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8:520</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17782</w:t>
      </w:r>
      <w:r>
        <w:rPr>
          <w:rFonts w:ascii="IRNazanin" w:hAnsi="IRNazanin" w:eastAsia="IRNazanin"/>
          <w:b w:val="false"/>
          <w:b w:val="false"/>
          <w:bCs w:val="false"/>
          <w:i w:val="false"/>
          <w:i w:val="false"/>
          <w:iCs w:val="false"/>
          <w:color w:val="333333"/>
          <w:sz w:val="20"/>
          <w:sz w:val="20"/>
          <w:szCs w:val="20"/>
          <w:rtl w:val="true"/>
        </w:rPr>
        <w:t xml:space="preserve">، وعوالی اللآلئ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وعلی بن بابویه کما نقله عنهما العلّامة فی المختلف </w:t>
      </w:r>
      <w:r>
        <w:rPr>
          <w:rFonts w:eastAsia="IRNazanin" w:cs="IRNazanin"/>
          <w:b w:val="false"/>
          <w:bCs w:val="false"/>
          <w:i w:val="false"/>
          <w:iCs w:val="false"/>
          <w:color w:val="333333"/>
          <w:sz w:val="20"/>
          <w:szCs w:val="20"/>
        </w:rPr>
        <w:t>8:517</w:t>
      </w:r>
      <w:r>
        <w:rPr>
          <w:rFonts w:ascii="IRNazanin" w:hAnsi="IRNazanin" w:eastAsia="IRNazanin"/>
          <w:b w:val="false"/>
          <w:b w:val="false"/>
          <w:bCs w:val="false"/>
          <w:i w:val="false"/>
          <w:i w:val="false"/>
          <w:iCs w:val="false"/>
          <w:color w:val="333333"/>
          <w:sz w:val="20"/>
          <w:sz w:val="20"/>
          <w:szCs w:val="20"/>
          <w:rtl w:val="true"/>
        </w:rPr>
        <w:t>، والمفید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روایة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یشهدنی علی الشهادة فأعرف خطّی وخاتمی، ولا أذکر قلیلاً ولا کثیراً،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صاحبک ثقة ومعه رجل ثقة فاشهد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الأوّل مع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الخبر مع شذوذه، فی طریقه الحسن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 طریقه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النعمان راجع الوسائل وهامش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وحمله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إذا حصل من القرائن الحالیّة والمقالیّة للشاهد ما استفاد به العلم، فحینئذٍ شهادته مستندة إلی العلم لا إلی خطّه،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عمل بإطلاق الخبر ولم یقیّده بالخاتم کما ذکر وکان اللازم ذلک وقوفاً فیما خالف الأصل علی مورده مع معارضته بأخبار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دلّت علی عدم الاکتفاء بذلک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الناقل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الغیبة لشیخ الطائفة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کتبه، والظاهر أن الأصل فی النقل العلّامة فی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فی نسخة الأصل التی بخطّ الشارح رحمه الله مضروبة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إدریس فی السرائر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کتاب القضاء،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ذُکر فی القسم الثالث من الحقوق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حکم به جزماً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بثبوت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بالاثنین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بثبوت جمیع الوصیّة برجلین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وثبوت جمیع المال بالیمین مع المرأتین والیمین مع رجل واحد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ذکره أوّلاً فی القسم الثالث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 فی أوّل الفصل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أفرد هذین عن القسم الأوّل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وبقوله فی الوصیّة بالمال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أفرده قسماً</w:t>
      </w:r>
      <w:r>
        <w:rPr>
          <w:rFonts w:eastAsia="IRNazanin" w:cs="IRNazanin"/>
          <w:b w:val="false"/>
          <w:bCs w:val="false"/>
          <w:i w:val="false"/>
          <w:iCs w:val="false"/>
          <w:color w:val="333333"/>
          <w:sz w:val="20"/>
          <w:szCs w:val="20"/>
          <w:rtl w:val="true"/>
        </w:rPr>
        <w:t>. . .»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إبداله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ومرجع الضمیر هذا القسم المبحوث عنه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الإثبات للأکثر کما هنا وفی الإیضاح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 واختاره هو ووالده أیضاً، ومثله فی النسبة والاختیار فی التنقیح الرائع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بالإثبات للشیخ فی المبسوط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 xml:space="preserve">، ولکن فی مورد القذف دون السرقة، ونسبه فی غایة المراد إلی ابن حمزة، واختاره هو أیضاً اُنظر غایة المراد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من الفصل الثانی المتقدّم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شاهدی الإقرار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احتیاط الشیخ فی المبسوط </w:t>
      </w:r>
      <w:r>
        <w:rPr>
          <w:rFonts w:eastAsia="IRNazanin" w:cs="IRNazanin"/>
          <w:b w:val="false"/>
          <w:bCs w:val="false"/>
          <w:i w:val="false"/>
          <w:iCs w:val="false"/>
          <w:color w:val="333333"/>
          <w:sz w:val="20"/>
          <w:szCs w:val="20"/>
        </w:rPr>
        <w:t>8:234</w:t>
      </w:r>
      <w:r>
        <w:rPr>
          <w:rFonts w:ascii="IRNazanin" w:hAnsi="IRNazanin" w:eastAsia="IRNazanin"/>
          <w:b w:val="false"/>
          <w:b w:val="false"/>
          <w:bCs w:val="false"/>
          <w:i w:val="false"/>
          <w:i w:val="false"/>
          <w:iCs w:val="false"/>
          <w:color w:val="333333"/>
          <w:sz w:val="20"/>
          <w:sz w:val="20"/>
          <w:szCs w:val="20"/>
          <w:rtl w:val="true"/>
        </w:rPr>
        <w:t xml:space="preserve">، واختاره ابن إدریس فی السرائر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یکون مسجوناً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یضمن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فی المبسوط </w:t>
      </w:r>
      <w:r>
        <w:rPr>
          <w:rFonts w:eastAsia="IRNazanin" w:cs="IRNazanin"/>
          <w:b w:val="false"/>
          <w:bCs w:val="false"/>
          <w:i w:val="false"/>
          <w:iCs w:val="false"/>
          <w:color w:val="333333"/>
          <w:sz w:val="20"/>
          <w:szCs w:val="20"/>
        </w:rPr>
        <w:t>8:246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الشهادات، وابن إدریس فی السرائر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2:564</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 به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فی المبسوط </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الحدیث الأوّل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موارد الاستثناء فی کتاب المتاجر،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الوقوف، الحدیث الأوّل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العمری والرقبی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والنهی،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الشیخ فی المبسوط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والراوندی فی فقه القرآن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والنافع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والعلّامة فی الإرشاد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الوقف،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والکیدری فی الإصباح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المقنعة والکافی والمراسم والنهایة والخلاف والمبسوط وغیرها، اُنظر للتفصیل مفتاح الکرامة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فی‌الدروس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العلّامة فی القواعد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 حیث استقرب اشتراط قبول الولی، وفی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جعل نیابة الحاکم فی القبول فی الوقف علی جهة عامة وجهاً، وقال المحقّق الثانی فی جامع المقاصد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ریب أ نّه أولی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الوقوف،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المحقّق فی الشرائع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القواعد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الصحّة من اللزوم، والمناسب تأنیث الضمیر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بانقضاء المدّة وانقراض الموقوف علیه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المنقطع الوسط</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المال الموقوف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سلطان العلماء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وإن لم یصر محتاجاً أیضاً یورث لو مات الواقف، بناءً علی کون هذا الوقف حبساً حقیقة لا وقفاً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النبی صلی الله علیه و آله وفاطمة والأئمة علیهم السلام، والوسائل </w:t>
      </w:r>
      <w:r>
        <w:rPr>
          <w:rFonts w:eastAsia="IRNazanin" w:cs="IRNazanin"/>
          <w:b w:val="false"/>
          <w:bCs w:val="false"/>
          <w:i w:val="false"/>
          <w:iCs w:val="false"/>
          <w:color w:val="333333"/>
          <w:sz w:val="20"/>
          <w:szCs w:val="20"/>
        </w:rPr>
        <w:t>13:311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والصدقات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المقبوض فی الدین والمعیّن فی المبهم یکون غیر الموقوف من الدین والمبهم، وبهما یتغیّر الموضوع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فخر المحققین فی الإیضاح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وهو ظاهر القاضی فی المهذّب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کان أو غیر منقول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یشترطه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عاد الشخص المشروط له النظر إلی العدالة عادت التولیة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المنسوب إلی المفید اُنظر المختلف </w:t>
      </w:r>
      <w:r>
        <w:rPr>
          <w:rFonts w:eastAsia="IRNazanin" w:cs="IRNazanin"/>
          <w:b w:val="false"/>
          <w:bCs w:val="false"/>
          <w:i w:val="false"/>
          <w:iCs w:val="false"/>
          <w:color w:val="333333"/>
          <w:sz w:val="20"/>
          <w:szCs w:val="20"/>
        </w:rPr>
        <w:t>6:309</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عند المصنّف، کما صرّح بذلک فی الدروس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قلنا بخروج هذه الفِرَق أم لم نقل</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ونفی عنه البأس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قیّده بالحیثیّة للتنبیه علی أنّ نفقة هذا العبد مع 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الغالب بالنسبة إلی مرضه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علی المسلمین کفایة مع عدم بیت المال، کغیره من المضطرّین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والموقوف علیهم من الجملة، ما یجب علیهم من هذه الحیثیّة وإن سقطت من حیث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المُحوج، أی المحتاج</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الإسکافی کما نقل عنه فی المختلف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وتلخیص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والمصنف فی غایة المراد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الدروس لم یذکر هذه المسألة، والظاهر أ نّه استضعاف للحکم، وفی شرح الإرشاد مال إلی عدم دخولهم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بالتصریح</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6:330</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إلی غیر الأشهر السید المرتضی وابن إدریس، اُنظر 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الرابعة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ومسائل 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فی الأرض المفتوحة عنوةً اتّجه خروجه عن الوقف بالخراب؛ لأنّ صحّة الوقف تابعة لأثر المتصرّف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الحسن الشیبانی اُنظر المغنی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المارّة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وفیه حدیث واحد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بوجوب الاستیعاب هو الظاهر من کلام المحقّق فی الشرائع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وصریح الفخر فی شرح الإرشاد علی ما حکی عنه فی الجواهر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وأمّا جواز الاقتصار علی بعض من حضر فلم نتحقّق قائله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بمعنی الموجر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الکتاب العزیز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 تأجرنی ثمانی حجج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بإذن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العمانی کما نقل عنه العلّامة فی المختلف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6:275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علیها فی المندوبة، نعم وردت فی الواجبة، الوسائل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التحریص</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المشروط خ 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من 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والحلّی فی السرائر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w:t>
      </w:r>
      <w:r>
        <w:rPr>
          <w:rFonts w:eastAsia="IRNazanin" w:cs="IRNazanin"/>
          <w:b w:val="false"/>
          <w:bCs w:val="false"/>
          <w:i w:val="false"/>
          <w:iCs w:val="false"/>
          <w:color w:val="333333"/>
          <w:sz w:val="20"/>
          <w:szCs w:val="20"/>
        </w:rPr>
        <w:t>6:176</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16:585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45957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w:t>
      </w:r>
      <w:r>
        <w:rPr>
          <w:rFonts w:eastAsia="IRNazanin" w:cs="IRNazanin"/>
          <w:b w:val="false"/>
          <w:bCs w:val="false"/>
          <w:i w:val="false"/>
          <w:iCs w:val="false"/>
          <w:color w:val="333333"/>
          <w:sz w:val="20"/>
          <w:szCs w:val="20"/>
        </w:rPr>
        <w:t>6:176</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16:585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الکبری </w:t>
      </w:r>
      <w:r>
        <w:rPr>
          <w:rFonts w:eastAsia="IRNazanin" w:cs="IRNazanin"/>
          <w:b w:val="false"/>
          <w:bCs w:val="false"/>
          <w:i w:val="false"/>
          <w:iCs w:val="false"/>
          <w:color w:val="333333"/>
          <w:sz w:val="20"/>
          <w:szCs w:val="20"/>
        </w:rPr>
        <w:t>6:176</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16:585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المحقّق إلی الإسکافی فی جامع المقاصد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 وقال الشارح فی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ویظهر من ابن الجنید، وانظر کلامه فی المختلف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الحدیثین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الثانی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الهبات، الحدیث الأوّل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ووردت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فی المبسوط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والصدوق وابن الجنید کما نقل عنهما العلّامة فی المختلف </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واختاره هو أیضاً، وانظر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إلی القول الثانی الشیخان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والفاضل الآبی فی کشف الرموز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غیر المقیّدة بأمد مضبوط ولا بعمر أحدهما، کما سیأتی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اشتراط القبض فی السُکنی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المؤقّت بأمدٍ، أو عمر أحدهما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المفهومة من المقام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خدمة الکعبة أو مشهدٍ أو مسجد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حبس علی رجل</w:t>
      </w:r>
      <w:r>
        <w:rPr>
          <w:rFonts w:eastAsia="IRNazanin" w:cs="IRNazanin"/>
          <w:b w:val="false"/>
          <w:bCs w:val="false"/>
          <w:i w:val="false"/>
          <w:iCs w:val="false"/>
          <w:color w:val="333333"/>
          <w:sz w:val="20"/>
          <w:szCs w:val="20"/>
          <w:rtl w:val="true"/>
        </w:rPr>
        <w:t>. . .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لرجوع الضمیر علی المنفعة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قوبلت بالأصل،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فیما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ینقسم موضوع التجارة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التجارات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بانقسام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البِتع من العسل، والمِزْر من الحنطة، والجِعَة من الشعیر، والفضیخ من البُسر، والنَقیع من الزبیب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الخبر الوارد فی الوسائل </w:t>
      </w:r>
      <w:r>
        <w:rPr>
          <w:rFonts w:eastAsia="IRNazanin" w:cs="IRNazanin"/>
          <w:b w:val="false"/>
          <w:bCs w:val="false"/>
          <w:i w:val="false"/>
          <w:iCs w:val="false"/>
          <w:color w:val="333333"/>
          <w:sz w:val="20"/>
          <w:szCs w:val="20"/>
        </w:rPr>
        <w:t>17:292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الحدیث الأوّل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بعدم قبوله للتطهیر حتی بالکثیر، نعم یظهر من بعض مثل الشهید فی الدروس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الثانی فی جامع المقاصد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المیل إلی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قبوله للتطهیر بالکرّ فقد ذهب إلیه العلّامة فی التذکرة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به العلّامة فی المختلف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الکلب والسباع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الأعیان النجسة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کتبه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الحیوان، ووجه التبعیّة أ نّها حاملة کالحیوان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لیُعمل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والمحقّق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وغیره، والمحقّق الکرکی فی جامع المقاصد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فی إطار الدفّ من النحاس المدوّر صغاراً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واختصاصها بالذکر لورودها فی الأخبار، والوجه فی ذلک عدم کون النیاحة فی ذلک الزمن من دأب الرجال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الریبة عن أحکام الغیبة</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الراوندی فی الخرائج والجرائح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والمصنّف فی الدروس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المترتّبة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فیلتبس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یترتّب</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الأشهر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وابن إدریس فی السرائر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والمحقّق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غیر الأشهر وهو کراهة أخذ الاُجرة علی الأذان فقد نسبه المحقّق فی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المختلف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السیّد المرتضی فی المصباح</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التکالیف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 آله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الحدیث الأوّل من التخریج المتقدّم آنفاً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ولکن خالیاً عن قید الاستغناء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والمستدرک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قیّده فی الدروس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وغیره، والشهید فی الدروس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الأخصّ</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بانقسام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وابن فهد الحلّی فی المهذّب البارع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صنعه المحقّق فی الشرائع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به فی الدروس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إدریس فی السرائر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وغیرهما، والفاضل المقداد فی التنقیح الرائع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التحریر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الطوسی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الکراهة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والطوسیان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بالبطلان للشیخ فی الخلاف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بشرائطه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سورة المائدة الآیة الاُولی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کون الإجازة ناقلة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عبارة الإیضاح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فیما بأیدینا من کتبه ونسبه فی جامع المقاصد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رسالة منه، وفی المسالک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اختاره المصنف رحمه الله فی بعض تحقیقاته، وقال السید العاملی فی مفتاح الکرامة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نقل عنه المحقّق الثانی فکان کلامه لیس بتلک المکانة من الظهور أو الصراحة، وأمّا العبارة المستظهر منها فالظاهر هی المسألة الرابعة من المسائل الطبریة المطبوعة ضمن الرسائل التسع للمحقق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للمحقق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وفخر المحققین فی الإیضاح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الضمان للشیخ فی المبسوط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بالضمان للمحقق فی الشرائع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وقرّبه العلّامة فی القواعد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بالجواز للشیخ فی الاستبصار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بالعدم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أدلّة جواز بیع من له الولایة مال المولّی علیه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 بعینه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 ألحقنا المسبیّ بالسابی فی الإسلام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فأرة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خُنفَساء، دویبة سوداء أصغر من الجُعَل کریهة الرائحة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الکتب التی یذکر فیها منافع الحیوانات وخواصّها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الخلاف من غیر 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12:206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الحدیثین </w:t>
      </w:r>
      <w:r>
        <w:rPr>
          <w:rFonts w:eastAsia="IRNazanin" w:cs="IRNazanin"/>
          <w:b w:val="false"/>
          <w:bCs w:val="false"/>
          <w:i w:val="false"/>
          <w:iCs w:val="false"/>
          <w:color w:val="333333"/>
          <w:sz w:val="20"/>
          <w:szCs w:val="20"/>
        </w:rPr>
        <w:t>34683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34685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نسبه فی مجمع البیان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إلی أکثر المفسرین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وعار الفرس إذا ذهب علی وجهه وتباعد عن صاحبه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اشتراط القدرة علی التسلیم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مقابلته،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اللمعة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یتلاش ولم یضمحلّ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الوقف الخاصّ</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والصدقات،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غایة المراد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الصفحات،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اللمعة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بالجواز مطلقاً هو المشهور کما فی کنز الفوائد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ونسبه الصیمری فی غایة المرام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باشتراط الموت فلم نعثر علی قائل به نعم نسبه السید العاملی فی مفتاح الکرامة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إلی السید المرتضی ولکن لم نعثر علیه فی کتبه ولا علی ناقل عنه، وتردّد المحقّق فی الشرائع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ومثله العلّامة فی التحریر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 الأوّل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القواعد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 نّه تعجیل خیر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أمکن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من صرّح بجواز بیعها فی کفن سیدها ونسبه فی المسالک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الأصحاب، وقال التستری فی مقابس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بجوازه حینئذ مع استیعاب قیمته لقیمتها مأخوذ من القول به فی الصورة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الاستیعاب، فإنّ الکفن مقدّم علی الدین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العرفان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ویراجع لسایر الموارد کنز العرفان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فی التذکرة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عدم التزام السیّد بالفداء فقد احتمله فی نهایة الإحکام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المشتری والبائع، وکذا المثمن ولو بإخبار البائع کما یدلّ علیه بعض الأخبار، أو الاکتفاء بالوصف ولو فی المثمن، فکان المراد بالعلم ما یشمل مثل ذلک،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روایة رفاعة النخّاس، اُنظر الوسائل </w:t>
      </w:r>
      <w:r>
        <w:rPr>
          <w:rFonts w:eastAsia="IRNazanin" w:cs="IRNazanin"/>
          <w:b w:val="false"/>
          <w:bCs w:val="false"/>
          <w:i w:val="false"/>
          <w:iCs w:val="false"/>
          <w:color w:val="333333"/>
          <w:sz w:val="20"/>
          <w:szCs w:val="20"/>
        </w:rPr>
        <w:t>12:271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 وفیه حدیث واحد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بعینه فی الدروس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وانظر المختلف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الحدیث الأوّل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 الکیل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 الحدیث الأوّل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الشیاه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اعتبره العلّامة فی القواعد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ونقله فخر المحقّقین فی الإیضاح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ولکن لم نعثر علیه فی ما بأیدینا من کتبه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من اعتبر إخبار البائع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بیع مقدار تشتمل علیه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التی قوبلت بنسخة المؤلّف بذکر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إحداهما زائدة، قال بعض المحشّین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والحقّ فی العبارة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کما فی نسخة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إذا کان المشتری مدّعیاً للتغیّر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قول المشتری مع 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یقیّده بما إذا کان هو المدّعی للتغیّر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قول المشتری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ظهر المخالفة تخیّر المغبون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یختبر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الاعتبار والتوصیف علی وجه الأولویّة، لا الاشتراط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ومثله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ولکن لم یتعرضوا هؤلاء للوصف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نسب ذلک فی التنقیح الرائع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التقی والقاضی وسلّار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القول بطروء الفسخ بعد الکسر وظهور الفساد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مع تبرّؤ البائع من العیوب جمیعاً لم یکن للمبتاع الرجوع، ولکن لم یفصّل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قاله أتباعه کما نقله الشهید فی الدروس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تبرّی البائع من عیبه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غیر هذا المعنی، وهو الحیوان المعروف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والطوسی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وغیرهما کما نقله العلّامة فی المختلف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الضعف مستند إلی سماعة، اُنظر المسالک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المختلف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وأبو العباس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قوبلت بنسخة المؤلّف قدس سره، وهکذا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عرضة، وکتب علیه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 نّه مرفوع خبر لمبتداء محذوف، والتقدیر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عرضة، والجملة جزاء الشرط</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ورد فی المروی عن تحف العقول اُنظر الوسائل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والنبوی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إذا حرم شیئاً حرّم ثمنه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عوالی اللآلئ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والمروی فی دعائم الإسلام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فقهائنا کما اعترف السید العاملی أیضاً فی مفتاح الکرامة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 نعم نسبه فی التذکرة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بعض الشافعیة والحنابلة اُنظر المغنی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12:282</w:t>
      </w:r>
      <w:r>
        <w:rPr>
          <w:rFonts w:ascii="IRNazanin" w:hAnsi="IRNazanin" w:eastAsia="IRNazanin"/>
          <w:b w:val="false"/>
          <w:b w:val="false"/>
          <w:bCs w:val="false"/>
          <w:i w:val="false"/>
          <w:i w:val="false"/>
          <w:iCs w:val="false"/>
          <w:color w:val="333333"/>
          <w:sz w:val="20"/>
          <w:sz w:val="20"/>
          <w:szCs w:val="20"/>
          <w:rtl w:val="true"/>
        </w:rPr>
        <w:t>، الباب الأوّل من أبواب آداب التجارة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الأعداد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بحروف أ، ب، ج، د</w:t>
      </w:r>
      <w:r>
        <w:rPr>
          <w:rFonts w:eastAsia="IRNazanin" w:cs="IRNazanin"/>
          <w:b w:val="false"/>
          <w:bCs w:val="false"/>
          <w:i w:val="false"/>
          <w:iCs w:val="false"/>
          <w:color w:val="333333"/>
          <w:sz w:val="20"/>
          <w:szCs w:val="20"/>
          <w:rtl w:val="true"/>
        </w:rPr>
        <w:t>. . .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آداب التجارة،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دین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ونسبه المحقّق الثانی فی جامع المقاصد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والشارح فی المسالک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ولکن لم نظفر به فی کتب الشیخ، کما استغرب السیّد العاملی فی مفتاح الکرامة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وأنّ الشیخ صرّح بخلافها فی المبسوط والخلاف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9690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الإقالة وطلب الإقالة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هنا بمعنی أداء الدین، والاقتضاء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الحقّ</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الخبرین المرویین فی الوسائل </w:t>
      </w:r>
      <w:r>
        <w:rPr>
          <w:rFonts w:eastAsia="IRNazanin" w:cs="IRNazanin"/>
          <w:b w:val="false"/>
          <w:bCs w:val="false"/>
          <w:i w:val="false"/>
          <w:iCs w:val="false"/>
          <w:color w:val="333333"/>
          <w:sz w:val="20"/>
          <w:szCs w:val="20"/>
        </w:rPr>
        <w:t>12:304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 الأوّل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 الأوّل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الأدون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مفتاح الکرامة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نجد القائل بالتحریم ولا النهی، نعم فی المرسل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وفیه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ینبغی له، وهو مع إرساله غیر ظاهر فی التحریم، بل یعطی الکراهیة کما علیه الجماعة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 الأوّل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الحدیث الأوّل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السنن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والراوندی فی فقه القرآن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وصحّحه المحقّق الثانی فی جامع المقاصد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الدائن، المدیون، 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ویصحّ استعماله فی المشتری باعتبار کلّ من المعانی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یبیع حاضر 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 غیره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الشیخ فی المبسوط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وابن إدریس فی السرائر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وغیرهما، وقال المحقّق الثانی فی جامع المقاصد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التحریم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للرکبان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فی الوسائل </w:t>
      </w:r>
      <w:r>
        <w:rPr>
          <w:rFonts w:eastAsia="IRNazanin" w:cs="IRNazanin"/>
          <w:b w:val="false"/>
          <w:bCs w:val="false"/>
          <w:i w:val="false"/>
          <w:iCs w:val="false"/>
          <w:color w:val="333333"/>
          <w:sz w:val="20"/>
          <w:szCs w:val="20"/>
        </w:rPr>
        <w:t>12:326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وذیله فی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الحدیث الأوّل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المبسوط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البیوع، وابن إدریس فی السرائر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فی نفس الباب، وکنز العمّال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الحدیث الأوّل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ونسبه فی المختلف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الإسکافی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الجنسان</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نسختی المتن ومصحّحة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 وفی سائر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یقبض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10:122</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جمع إنسیّ بکسر الهمزة وفتحها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بالقبول هو العلّامة فی المختلف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وبعدم القبول هو ابن إدریس فی السرائر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إدریس وسبق التخریج فی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المتقدّمة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یختص بالإمام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الشبهة الاعتقادیّة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القائلین بعدم الملک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بالملک هو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بالأوّل کون الخنثی مالکاً، وبالثانی کونه مملوکاً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والمحقّق فی الشرایع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الحاصلة بالوطء بالشبهة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تزویجاً وملکاً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التفصیل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أَزْوٰاجِهِمْ أَوْ مٰا مَلَکَتْ أَیْمٰانُهُمْ فَإِنَّهُمْ غَیْرُ مَلُومِینَ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بدخول الحمل فی البیع مع الشرط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بأنّ الحمل تابع للحامل مع الإطلاق للشیخ فی المبسوط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وأتباعه کالقاضی فی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المسالة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مستنده روایة السکونی، راجع الوسائل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یستفاد هذا القول من کلام العلّامة فی التذکرة </w:t>
      </w:r>
      <w:r>
        <w:rPr>
          <w:rFonts w:eastAsia="IRNazanin" w:cs="IRNazanin"/>
          <w:b w:val="false"/>
          <w:bCs w:val="false"/>
          <w:i w:val="false"/>
          <w:iCs w:val="false"/>
          <w:color w:val="333333"/>
          <w:sz w:val="20"/>
          <w:szCs w:val="20"/>
        </w:rPr>
        <w:t>10:338</w:t>
      </w:r>
      <w:r>
        <w:rPr>
          <w:rFonts w:ascii="IRNazanin" w:hAnsi="IRNazanin" w:eastAsia="IRNazanin"/>
          <w:b w:val="false"/>
          <w:b w:val="false"/>
          <w:bCs w:val="false"/>
          <w:i w:val="false"/>
          <w:i w:val="false"/>
          <w:iCs w:val="false"/>
          <w:color w:val="333333"/>
          <w:sz w:val="20"/>
          <w:sz w:val="20"/>
          <w:szCs w:val="20"/>
          <w:rtl w:val="true"/>
        </w:rPr>
        <w:t xml:space="preserve">، کما نسبه إلیه فی المسالک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17:433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الشهادات،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14:338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 الأوّل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ذلک الفاضل الآبی والصیمری إلی الشیخ، 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وکشف الرموز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 فاضل الضریبة وأرش الجنایة، 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نسبه إلیه الشهید فی غایة المراد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إلّاأ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التصرّف لا رقبة المال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الشرایع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یکون تابعاً، أو ممّا تکفی فیه المشاهدة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فی سنّ المحیض</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وبین أحبّائه فی الجنة</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بالتحریم أو الکراهة، کما فی المبسوط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10:336</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بالجواز وعدم التحریم والکراهة، کما فی التحریر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 الأوّل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اللبن عند الولادة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10:335</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بجواز أخذ الأرش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والمحقّق فی الشرایع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بعدم الأرش فهو للشیخ فی الخلاف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واختاره المحقّق فی نکت النهایة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بمن نقل ذلک عن المحقّق فی من تقدّم علی الشهید الأوّل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التخییر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کالعیب المتقدّم علی البیع أو القبض إذا ظهر بعد القبض، فإنّه یوجب التخییر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الدروس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بغرم العشر إن کانت بکراً ونصف العشر إن کانت ثیباً، وهو للشیخ فی الخلاف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والمحقّق فی الشرایع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بغرم مهر المثل، وهو لابن إدریس فی السرائر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الکلمة معان، والمراد بها هنا ما یؤخذ بإزاء الوطء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العلّامة فی المختلف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وأمّا القول بعدم العقر حالة علمها فهو للکرکی فی جامع المقاصد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المهر حقّ للمولی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اللام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لبغیّ</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 إن کانت بکراً، ونصف العشر إن کانت ثیّباً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 الأوّل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القاضی ابن البرّاج علی ما نسب إلیه فی المختلف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دعوی الصحّة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تأنیث الفعل باعتبار معنی الإذن، یعنی الرخصة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عدم سلامة طریقها بالحسین بن محمّد وهو مشترک بین الثقة والضعیف ومعلّی بن محمّد فإنّه ضعیف وأبی خدیجة أو أبی سلمة فإنّه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فهارس المسالک </w:t>
      </w:r>
      <w:r>
        <w:rPr>
          <w:rFonts w:eastAsia="IRNazanin" w:cs="IRNazanin"/>
          <w:b w:val="false"/>
          <w:bCs w:val="false"/>
          <w:i w:val="false"/>
          <w:iCs w:val="false"/>
          <w:color w:val="333333"/>
          <w:sz w:val="20"/>
          <w:szCs w:val="20"/>
        </w:rPr>
        <w:t>16:288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الرواة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الحدیث الأوّل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العمل بالروایة الضعیفة إذا حصل بها الوثوق فی الجملة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فی المختلف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 القول بها تبعاً للشیخ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الحلّیّون کما فی الدروس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وهم ابن ادریس فی السرائر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وفیه حدیث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ضعفها بابن أبی حبیب فی طریق الکافی والفقیه وهو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بالسکونی فی طریق الشیخ وهو ضعیف 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المسالک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للتخییر،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لیتخیّر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الأوّل من کتاب الودیعة،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 وفیه حدیث واحد، ولعلّ الضعف بجهالة ابن أبی حبیب الواقع فی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تعیینه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من نسختی المتن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إلیه فی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مسکین السمّان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الصفحة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یطلع من النخلة ثم یصیر ثمراً إن کانت اُنثی، وإن کانت النخلة ذکراً لم یصر ثمراً بل یؤکل طریّاً، ویترک علی النخلة أیّاماً معلومة حتی یصیر فیه شیء أبیض مثل الدقیق، وله رائحة ذکیّة، فیلقح به الاُنثی، 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الطلع وغطاء النور،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أکمام، والکِمام والکِمامة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وجمع الکِمام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أکِمّة، مثل سلاح وأسلحة، 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کمم</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بیع الثمار،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الکراهیة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إطلاق التمر علی ثمرة النخل فی حالة احمراره مجاز باعتبار ما یؤول إلیه، فإنّها فی حالة الإحمرار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 عن المصباح المنیر عکس هذا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المحشّون علی هذا التقیید بأ نّه یوجب اختصاص مفروض المسألة فیما لو کان التأخیر بسبب المشتری مع أ نّه أعمّ، کما یظهر بالتأمّل فی کلام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الفِصفِصة، والفِصّة لغة عامیّة، ویقال لها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یونجه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یؤکل من النبات غضّاً طریّاً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المصنّف فی الدروس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یرجّح عدمه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 الحدیث الأوّل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تعدیة للعلّة المنصوصة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من الجنس،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حقل</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خلاف بعض العامّة حیث خصّ الرخصة بما إذا کانت دون خمسة أوسق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أحصد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حِصاده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فتناوله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الخبر، راجع الوسائل </w:t>
      </w:r>
      <w:r>
        <w:rPr>
          <w:rFonts w:eastAsia="IRNazanin" w:cs="IRNazanin"/>
          <w:b w:val="false"/>
          <w:bCs w:val="false"/>
          <w:i w:val="false"/>
          <w:iCs w:val="false"/>
          <w:color w:val="333333"/>
          <w:sz w:val="20"/>
          <w:szCs w:val="20"/>
        </w:rPr>
        <w:t>17:311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الحدیث الأوّل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الشرائع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ویحیی بن سعید الحلّی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الثمار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المقبّل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أحادیث الباب نفسه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تَأْکُلُوا أَمْوٰالَکُمْ بَیْنَکُمْ بِالْبٰاطِلِ إِلاّٰ أَنْ تَکُونَ تِجٰارَةً عَنْ تَرٰاضٍ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السید المرتضی فی رسائله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فإنّهم قالوا بعدم حجّیّة أخبار الآحاد مطلقاً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 الأوّل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عدل عن ظاهر الروایة وهو التوکیل ضمناً فی القبض إلی التوکیل صریحاً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التوکیل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اصطحابهما فی المشی</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والمناسب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المجهول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بالمجهول ورفع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شرطاً</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والفاضل الآبی فی کشف الرموز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بیان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طازجیّ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أهل اللغة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وفیه حدیث واحد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فضیل؛ فإنّه مشترک بین الثقة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للعلم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ونکت النهایة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وکشف الرموز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موضع شبهة الربا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الودیعة،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غیر الدراهم والدنانیر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مجانس</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الأرش من النقدین أم من غیرهما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 کاشفاً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التخییر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وشُطب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قوبلت بالأصل، وفی سائر النسخ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وبتحقّق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لیتحقّق</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الإرشاد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واستقربه فی التحریر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العاملی فی مفتاح الکرامة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المحقّق فی الشرائع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قیل به کان حسناً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 وهی مؤنّثة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الثخن، والسمیک ضدّ الرقیق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والقاضی فی الکامل علی ما نقل عنه العلّامة فی المختلف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تقارب، وفی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 خ 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احتلبها وتسلّمها اجتزأت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وهو خلاف الاستعمال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فرض اتّفاق ما فی الذمّة والثمن فی الجنس والوصف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 والفاضل الآبی فی کشف الرموز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بالعدد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وجه القرب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مسألتی السَلَم حالّاً مع عموم الوجود، واستعمال السلم فی عین شخصیّة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وکنز الفوائد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کلأ</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احتملها فی الدروس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الشیخ فی الخلاف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وتبعه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11:345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فرض لزوم المؤونة، وقصد المفارقة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العلّامة فی 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المیسیّة، أ نّه أولی، نقل عنه العاملی فی المفتاح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دلیل مذهب عدم الاشتراط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کونه کنظائره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دلیل مذهب الاشتراط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کالمحقّق فی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أبی عقیل علی ما حکی عنه العلّامة فی المختلف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وفی سندها علیّ بن حدید وابن الحجّاج الکرخی، والأوّل ضعیف، والثانی مجهول، راجع المسالک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الجنید علی ما حکاه عنه العلّامة فی المختلف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الزای، نبات ینبت غالباً بین الحنطة، وحَبّه یشبه حَبّها، إلّاأ نّه أصغر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 آنفاً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أن لا یفسخ ولا یصبر، بل یأخذ قیمته حینئذٍ</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آخر الفصل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والتشریک جائز</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الأوّل من أحکام الشرکة،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الرفاء بالمدّ من رفات الثوب بالهمز، وربما قیل بالواو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کاُجرة الدلّال والکیّال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الجنید علی ما حکاه عنه العلّامة فی المختلف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الثمن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الإطلاق</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الباب الأوّل من أبواب الربا، الحدیث الأوّل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الآخر للمفید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وهو اختیار ابن الجنید علی ما نقل عنه العلّامة فی المختلف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وادّعی علیه الإجماع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ومقابل الأصحّ قول ابن الجنید علی ما حکی عنه العلّامة فی المختلف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فإنّه فصّل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ربا بین الوالد وولده إذا أخذ الوالد الفضل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وحکاه فی المختلف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بابویه والمفید ولکن لم نعثر علیهما، وأیضاً نسب إلی السیّد المرتضی وهو وإن مال إلیه فی الموصلیّات 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وافق المشهور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مصادرنا ولکن الشافعی جعلها فی أحد قولیه کالبیع یثبت فیه الربا، اُنظر الاُمّ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والمغنی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ذهب إلیه بعض العامّة، اُنظر المغنی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الزیت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الکَدَر الراسب فی أسفله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فتکون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ما یخالفه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الحدیث الأوّل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ابن إدریس فی السرائر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وقبله الشیخ فی الاستبصار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المختلف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المانعون بالحدیث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الربا فی النسیئة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وبما رواه الحلبی فی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 إلّاأ نّه قیّده 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یزد عن العادة</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الشرح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والثانی</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ذلک إلی الشیخ فی جامع المقاصد </w:t>
      </w:r>
      <w:r>
        <w:rPr>
          <w:rFonts w:eastAsia="IRNazanin" w:cs="IRNazanin"/>
          <w:b w:val="false"/>
          <w:bCs w:val="false"/>
          <w:i w:val="false"/>
          <w:iCs w:val="false"/>
          <w:color w:val="333333"/>
          <w:sz w:val="20"/>
          <w:szCs w:val="20"/>
        </w:rPr>
        <w:t>4:285</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 ولکن صریح عبارته فی المبسوط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بعض نسخ المسالک بخطّ الشهید الثانی عن هذه الروایة أ نّها مجهولة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فی الخلاف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خیار المجلس</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وکُتب علیه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 رمز الزیادة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یلزم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للمؤامرة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قبّض</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وتبعه السیّد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الحدیث الأوّل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ما استقربه المصنّف من التعدیة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ضعفه دلالةً هو ظهوره فی انفساخ البیع لا الخیار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هامش ر</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یشرط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وغایة المراد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إمکان الفسخ وإلزامه بالقیمة أو المثل، الاحتمال الذی ذکره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فیمکن الفسخ وإلزامه بالقیمة أو المثل، راجع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منتقصاً</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المشهور بعدم جواز الردّ، والاحتمال الذی ذکره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الفسخ وإلزامه بالقیمة أو المثل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جواز الردّ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کتبه التی بأیدینا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العبارة لا تدلّ علیه، مع أنّ ظاهر الطریق الأوّل لا یقتضی أخذ النصف من القیمتین، ولا الثلث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أخذ نسبة المجموع إلی المجموع؛ لأنّ مآلهما واحد، فإنّ لک فی الطریق المطابق للعبارة علی الأوّل أن تجمع القیم الصحیحة جملةً وتأخذ نصفها أو ثلثها کما مرّ وتجمع المعیبة کذلک وتأخذ منها کذلک، ثمّ تنسب إحدی القیمتین المنتزعتین إلی الاُخری وتأخذ من الثمن بتلک النسبة فتأخذ فی المثال الأوّل نصف الصحیحتین عشرةً ونصف المعیبتین سبعةً ونصفاً وتنسبها إلی العشرة وذلک ربعٌ، کما أنّ نسبة الخمسة عشر إلی العشرین 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مثال الثلاثة تأخذ ثلث القیم الصحیحة وهی ثلاثون فثلثها عشرة، وثلث القیم المعیبة جملةً وهی أربعة وعشرون، فثلثها ثمانیة وتأخذ من الثمن بنسبة ما بین الثمانیة والعشرة وهو الخمس، کما أ نّک بالطریق الذی ذکرناه تأخذ بنسبة الأربعة والعشرین إلی الثلاثین وهو الخمس کذلک، وبهذا یظهر أنّ عبارة المصنّف یحتمل کلّ واحد من الطریقین فلم تدلّ علی الثانی بخصوصه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البیّنة الاُولی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 نّه لو قصد به الاستخبار ولم یتجاوز مقدار الحاجة ففی منعه من الردّ وجهان، راجع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ومقابل الأصحّ هو قول ابن الجنید علی ما حکاه عنه فی المختلف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العلّامة فی التذکرة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الشیخ فی الخلاف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لکنّ الصدوق روی حدیثاً جاء فیه ذکر الإبل أیضاً، راجع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الإسکافی علی ما حکاه العلّامة عنه فی المختلف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فور فی الخیار فی الثلاثة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المصنّف فی الدروس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وراجع الخلاف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العلّامة فی القواعد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الشیخ فی المبسوط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 وکذلک ابن الجنید وابن البرّاج علی ما حکاه العلّامة عنهما فی المختلف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البائع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بالصحّة للعلّامة فی التذکرة </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 وقول بالبطلان للفاضل المقداد فی التنقیح الرائع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 اُنظر غایة المرام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ولا یوجد الاستثناء فی المصادر الروائیّة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فینجبر</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التسلیم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مسرّحاً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لنسختی المتن،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احتمله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وشروطه وفیه حدیث واحد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مبیع</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الإسکافی فی المختلف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النهی عنه بهذا اللفظ إنّما هو من طریق العامّة، والذی فی أخبارنا إنّما هو النهی عن بیع الدین بالدین، مفتاح الکرامة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نظفر بقائله بعد تتبّع تامّ، راجع مفتاح الکرامة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والظاهر أنّ ضعفها بالسکونی، راجع المسالک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التهذیب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والظاهر أنّ ضعفها بمجهولیّة خالد بن الحجّاج الواقع فی سندها، راجع المسالک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المعلِّل هو العلّامة فی التذکرة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غایة المراد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سواء کان العقد مطلقاً أو مقیّداً بالحلول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کان الإطلاق قیداً للحلول کما هو ظاهر، وإن رجع إلی ما قبله کان له وجه آخر، وهو 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تعلّق غرضه بتأخیر القبض إلی زمان آخر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یشترط</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یرد فی المخطوطات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وفیما یُعتبر باعتبار مخصوص لرفع الجهالة، کیلُه أو وزنُه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التخلیة بعد رفع الید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 وکُتب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بالتوقّف علی إذن الشریک للشیخ فی باب الهبة فی المبسوط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 والعلّامة فی رهن التحریر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ولم نعثر علی القول بعدم التوقّف علی إذنه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زمن الخیار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العاملی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لکنّا لم نجد القائل بالإلزام وإن حکاه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الکرامة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 العمانی فی المختلف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باب السلف، وکذا فی آداب البیع</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الذی یستظلّ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الخیمة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به هنا ما یُصنع من الخشب ونحوه لإلقاء أغصان الکَرْم علیه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سهولة الانتفاع</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أو نحوها تُشدّ إلی الحائط فتوضع علیها طرائف البیت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خابیة، وهی الحُبّ، إناء ضخمة من خزف، له بطن کبیر وعروتان وفم واسع</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الحمّام الذی یُعرف أ نّه لهذه الدار وإن کان خارجاً عنها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ومرسلها أحمد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نصر، راجع المسالک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شرحه لقواعد أبیه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الإیضاح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 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أن یقال وجهان؛ فإنّ هذا الفرع غیر 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 الأوّل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وجواهر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أصل الأجل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العقود، الحدیث الأوّل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عبّر بذلک المحقّق فی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والفاضل المقداد فی التنقیح الرائع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یتقدّم تفصیل، ولعلّ المراد به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اُجرة واحدة بالتنصیف</w:t>
      </w:r>
      <w:r>
        <w:rPr>
          <w:rFonts w:eastAsia="IRNazanin" w:cs="IRNazanin"/>
          <w:b w:val="false"/>
          <w:bCs w:val="false"/>
          <w:i w:val="false"/>
          <w:iCs w:val="false"/>
          <w:color w:val="333333"/>
          <w:sz w:val="20"/>
          <w:szCs w:val="20"/>
          <w:rtl w:val="true"/>
        </w:rPr>
        <w:t>. .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اختاره الشیخ فی المبسوط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بتقدیم قول المالک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المغنی لابن قدامة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w:t>
      </w:r>
      <w:r>
        <w:rPr>
          <w:rFonts w:eastAsia="IRNazanin" w:cs="IRNazanin"/>
          <w:b w:val="false"/>
          <w:bCs w:val="false"/>
          <w:i w:val="false"/>
          <w:iCs w:val="false"/>
          <w:color w:val="333333"/>
          <w:sz w:val="20"/>
          <w:szCs w:val="20"/>
        </w:rPr>
        <w:t>12:250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فعل المعروف، الحدیثان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فعل المعروف، الحدیثان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علی بن إبراهیم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قوبلت بنسخة الأصل، وفی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بالوجهین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الکبری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13:409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ونسبه فی المختلف </w:t>
      </w:r>
      <w:r>
        <w:rPr>
          <w:rFonts w:eastAsia="IRNazanin" w:cs="IRNazanin"/>
          <w:b w:val="false"/>
          <w:bCs w:val="false"/>
          <w:i w:val="false"/>
          <w:iCs w:val="false"/>
          <w:color w:val="333333"/>
          <w:sz w:val="20"/>
          <w:szCs w:val="20"/>
        </w:rPr>
        <w:t>5:390</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القاضی ولم نعثر علیه فی کتبه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الفتی من الإبل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بزل البعیر بُزولاً فطر نابُه بدخوله فی السنة التاسعة،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یستوی فیه الذکر والاُنثی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والرباعی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دخل فی السنة السابعة؛ لأنّه ألقی رباعیّته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6:225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15454</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لمال القرض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الإیجاب والقبول، فکما أنّ الجزءین جائزان کذلک الشرط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کتاب المتاجر مبحث خیار الاشتراط، راجع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حسب ما نقل عنه العلّامة فی المختلف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وقد مال إلیه المحقّق فی الشرائع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والشهید فی غایة المراد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وراجع مفتاح الکرامة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الدالّة علی وجوب الوفاء بالعقد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للبیع</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مراعاة شرط الصرف</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استدلال ابن إدریس علی المنع من بیعه علی غیر المدیون یرجع إلی حصرٍ ادّعی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إنّ المبیع إمّا عینٌ معیّنةٌ أو فی الذمّة، والأوّل إمّا بیع عین مرئیّة مشاهدة فلا یحتاج إلی وصفٍ وإمّا عین غیر مشاهدةٍ فیحتاج إلی وصفها وذکر جنسها وهو بیع خیار الرؤیة، وأمّا الذی فی الذمّة فهو السلف المفتقر إلی الأجل المعیّن والوصف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والدین لیس عیناً مشاهدةً ولا معیّنةً موصوفةً؛ إذ للمدیون التخییر فی جهات القضاء ولیس بسَلَمٍ إجماعاً ولا قسمٌ رابعٌ هنا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اعترض علی نفسه بأ نّه خلاف الإجماع، لانعقاده علی صحّة بیع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أجاب بأنّ العمومات قد یخصّ والأدلّة هنا عامّةٌ نخصّها ببیعه علی غیر من هو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عقّب ذلک بأ نّه تحقیقٌ لا یبلغه إلّامحصّل اُصول الفقه وضابط فروع المذهب، عالم بأحکامه، محکمٌ لمداره وتقریراته وتقسیماته ثمّ استدلّ أیضاً بالإجماع علی عدم صحّة جعل الدین مضاربةً إلّابعد 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أطنب فی ذلک بما لا محصّل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خبیرٌ بأنّ التقسیم الذی ادّعی فیه الحصر لا دلیل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ادّعاه من الإجماع واردٌ علیه وما اعتذر عنه من التخصیص متوقّف علی قیام المخصّص وهو مفقود، والمنع من المضاربة علی الدین لا مدخل له فی المنع من بیعه أصلاً، وإلّا لمنع من بیعه علی من هو علیه کما یمنع من مضاربته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المانع عندهم من المضاربة أمر آخر أشرنا إلیه فی بابه ولا فرق بین البیع للدین والسلم إلّابالأجل وهو لا یصیّر المجهول معلوماً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فی المختلف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 الروایات الواردة فی المقام، راجع الوسائل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والحلبی فی 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ونسبه إلیهما وإلی ابن البرّاج والطبرسی فی المختلف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 الحدیث الأوّل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وابن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بعینه، نعم یقرب منه ما أخرجه فی کنز العمال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10479</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13:430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 الأوّل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تبعاً للاسکافی اُنظر المختلف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المختلف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الإقرار،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یشارک المقرُّ له الغرماء</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به الشیخ فی المبسوط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صریحاً وقرّبه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وحکم به صریحاً فی التحریر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الحدیث الأوّل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بالثانی الفسخ بظهور العیب، وبالأوّل الفسخ بسائر الخیارات</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حواشیه فی مفتاح الکرامة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یتعلّق</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سیاق العبارة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مُنع من المال المحصَّل بعد تحصیله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احترزنا بقولنا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المنافی لحقّ الغرماء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وصیّته وتدبیره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دون ذکر السبب</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بالإعسار أم بالتلف</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بالیمین للشیخ فی الخلاف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التفلیس، والمحقّق فی الشرائع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إلی الأکثر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الیمین للعلّامة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التفلیس</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فی المختلف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الدیون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یلیق بحاله کمّاً وکیفاً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الکیف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کلامه المنقول فی المختلف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نفقته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والقرض، الحدیث الأوّل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العلّامة فی المختلف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التعریف علی بعض النسخ</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بصاحب الدین أو من له الوثیقة</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الغصب کما قوّاه فی الدروس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الغصب والمبیع وثمنه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کلّ واحد من الوجهین المذکورین للتخصیص بالدین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تعریف المصنّف بأ نّه وثیقة للدین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أدّی هذا المعنی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الجائز من الجانبین، راجع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الرهن،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وسندها ضعیف بحسن بن محمّد بن سماعة ومحمّد بن قیس وهو مشترک بین الثقة والضعیف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المسالک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الرهن، وابن إدریس فی السرائر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والعلّامة فی المختلف </w:t>
      </w:r>
      <w:r>
        <w:rPr>
          <w:rFonts w:eastAsia="IRNazanin" w:cs="IRNazanin"/>
          <w:b w:val="false"/>
          <w:bCs w:val="false"/>
          <w:i w:val="false"/>
          <w:iCs w:val="false"/>
          <w:color w:val="333333"/>
          <w:sz w:val="20"/>
          <w:szCs w:val="20"/>
        </w:rPr>
        <w:t>5:399</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لیس بشرط</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فیما بأیدینا من کتب أصحابنا الإمامیّة، ونسبه العلّامة فی التذکرة </w:t>
      </w:r>
      <w:r>
        <w:rPr>
          <w:rFonts w:eastAsia="IRNazanin" w:cs="IRNazanin"/>
          <w:b w:val="false"/>
          <w:bCs w:val="false"/>
          <w:i w:val="false"/>
          <w:iCs w:val="false"/>
          <w:color w:val="333333"/>
          <w:sz w:val="20"/>
          <w:szCs w:val="20"/>
        </w:rPr>
        <w:t>13:193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أحد قولی الشافعی، وانظر المغنی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یشرطان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القولین، نعم نسب فی الدروس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الافتقار إلی إذن جدید فی القبض، وانظر المبسوط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وفی التذکرة </w:t>
      </w:r>
      <w:r>
        <w:rPr>
          <w:rFonts w:eastAsia="IRNazanin" w:cs="IRNazanin"/>
          <w:b w:val="false"/>
          <w:bCs w:val="false"/>
          <w:i w:val="false"/>
          <w:iCs w:val="false"/>
          <w:color w:val="333333"/>
          <w:sz w:val="20"/>
          <w:szCs w:val="20"/>
        </w:rPr>
        <w:t>13:193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الشرطین فی غیر الصحیح إلی أحد قولی الشافعی</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کون القبض رکناً فی لزوم الرهن، راجع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اعتبار الإذن الجدید فالضمان 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تقدیر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فرض صحّتها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عدم حصول القبض</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اختیار المصنّف فی الدروس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بالتمام فهو للعلّامة فی القواعد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ممّا یحترز بقید المملوکیّة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مطلقاً، والخمر والخنزیر للمسلم، فالمملوکیّة بهذا المعنی من شروط الصحّة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الثانی فی جامع المقاصد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استیفاء الدین من عین الرهن لیس بشرطٍ، بل منه أو من عوضه ولو ببیعه قبل الاستیفاء، کما لو رهن ما یتسارع إلیه الفساد قبله، والمنفعة یمکن فیها ذلک بأن یؤجر العین ویجعل الاُجرة رهناً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القول فی القبض؛ لإمکانه بتسلیم العین لیستوفی منها المنفعة ویکون عوضها رهناً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خروجٌ عن المتنازع؛ لأنّ رهن الاُجرة جائزٌ، إنّما الکلام فی المنفعة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بینها وبین ما یتسارع إلیه الفساد إمکان رهنه، والمانع عارض بخلاف المنفعة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13:127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استیفاء الدین منه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الرهن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الرهن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والمفید والمرتضی والشیخ فی النهایة وسلّار والقاضی والتقی والمحقّق والعلّامة، راجع المختلف </w:t>
      </w:r>
      <w:r>
        <w:rPr>
          <w:rFonts w:eastAsia="IRNazanin" w:cs="IRNazanin"/>
          <w:b w:val="false"/>
          <w:bCs w:val="false"/>
          <w:i w:val="false"/>
          <w:iCs w:val="false"/>
          <w:color w:val="333333"/>
          <w:sz w:val="20"/>
          <w:szCs w:val="20"/>
        </w:rPr>
        <w:t>7:102</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والناصریّات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والکافی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ببطلانه مطلقاً وهو قول الشیخ فی المبسوط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ببطلانه فی البیع وصحّته فی النکاح وهو قول ابن إدریس فی السرائر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ببطلانه فی نکاح غیر البکر الرشیدة مع حضور الولیّ عقد الأبوین علی الصغیر والجدّ مع عدم الأب وعقد الأخ والاُمّ علی الصبیّة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وهو قول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xml:space="preserve">، والثانی للعلّامة فی التذکرة </w:t>
      </w:r>
      <w:r>
        <w:rPr>
          <w:rFonts w:eastAsia="IRNazanin" w:cs="IRNazanin"/>
          <w:b w:val="false"/>
          <w:bCs w:val="false"/>
          <w:i w:val="false"/>
          <w:iCs w:val="false"/>
          <w:color w:val="333333"/>
          <w:sz w:val="20"/>
          <w:szCs w:val="20"/>
        </w:rPr>
        <w:t>13:122</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یشترط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 الشیخ فی الخلاف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البیوع</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الرهن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المصلحة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الأخبار الکثیرة المتفرقة فی أبواب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وردت فی الوسائل </w:t>
      </w:r>
      <w:r>
        <w:rPr>
          <w:rFonts w:eastAsia="IRNazanin" w:cs="IRNazanin"/>
          <w:b w:val="false"/>
          <w:bCs w:val="false"/>
          <w:i w:val="false"/>
          <w:iCs w:val="false"/>
          <w:color w:val="333333"/>
          <w:sz w:val="20"/>
          <w:szCs w:val="20"/>
        </w:rPr>
        <w:t>17:420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و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الشهادات الحدیث الأوّل 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الموارد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للشیخ فی المبسوط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آجره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الشیخ فی المبسوط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الرهن، وابن إدریس فی السرائر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وانظر التنقیح الرائع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تعالی أَوْفُوا بِالْعُقُودِ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الصفحة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وللمصنف رحمه الله فی بعض تحقیقاته تفصیل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ابتیاع الرهن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قالهما الإسکافی کما نقل عنه العلّامة فی المختلف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قالهما الإسکافی کما نقل عنه العلّامة فی المختلف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رخُصت قیمته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 نّها للراهن للشیخ فی الخلاف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بالدخول فی الرهن فهو قول المفید والإسکافی والشیخ وغیرهم القائلین بدخول النماء المتجدّد المنفصل فی الرهن، 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الإسکافی، والنهایة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متّصلاً أم منفصلاً، أما النماء المتصل فلا بحث فیه کما قاله الشهید فی غایة المراد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وإنّما البحث فی المنفصل فالمشهور کما فی المسالک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بل الإجماع کما فیه عن المرتضی وابن إدریس إلی دخوله فی الرهن، وانظر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وذهب إلیه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الدخول للشیخ فی المبسوط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وولده فی الإیضاح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وظاهر غیرهما کما قاله فی مفتاح الکرامة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الحدیث الأوّل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علی ذلک الفاضل القطیفی فی إیضاح النافع حسب ما نقله عنه فی مفتاح الکرامة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وسلّار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وابن زهرة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العتق</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المورد الخامس من الموارد المستثناة من المنع عن بیع اُمّ الولد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علیه ما فی الوسائل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فصّله الشیخ فی الخلاف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الرهن، والعلّامة فی التذکرة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المسالک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إلی بعض حواشیه، والظاهر أ نّها حاشیة القواعد ولا توجد لدینا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مصحّحه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الحدیث الأوّل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مفتاح الکرامة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الشیخ فی المبسوط والعلّامة فی التذکرة، وانظر المبسوط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بایدینا من کتبه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بیع الحیوان فی المسألة الثالثة، راجع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مبیع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یضمنه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الهامش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والأقوی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وشُطب علیه فی الأوّل منهما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الأداء</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نقله عنه وعن جمع آخر العلّامة فی المختلف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الحدیث الأوّل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حسب ما نقله العلّامة فی المختلف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الرهن،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وضعفها للسکونی، راجع فهارس المسالک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الرهن، الحدیث الأوّل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الصدوق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والشیخ فی الاستبصار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الرهن،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 بن محمّد بن سماعة، والحدیث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بعباد بن صهیب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فهارس المسالک </w:t>
      </w:r>
      <w:r>
        <w:rPr>
          <w:rFonts w:eastAsia="IRNazanin" w:cs="IRNazanin"/>
          <w:b w:val="false"/>
          <w:bCs w:val="false"/>
          <w:i w:val="false"/>
          <w:iCs w:val="false"/>
          <w:color w:val="333333"/>
          <w:sz w:val="20"/>
          <w:szCs w:val="20"/>
        </w:rPr>
        <w:t>16:288</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الاعتراف بالدین قرینة علی أنّ المال فی ید الممسک رهن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للقولین، فإنّ ضعف الروایة الضعیفة یمنع من تخصیص الخبر الصحیح، فإنّه عامّ والتفصیل بالجمع یخصّصه، ویمکن أن یرید بالمقابل ما یشمل القرینة، فإنّ کون اعتراف المالک بالدین قرینة علی ذلک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القواعد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معقول</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عبارة الشارح تلائم ما أثبتناه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مثل الصورة السابقة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حقّ المرتهن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تساویا بیع</w:t>
      </w:r>
      <w:r>
        <w:rPr>
          <w:rFonts w:eastAsia="IRNazanin" w:cs="IRNazanin"/>
          <w:b w:val="false"/>
          <w:bCs w:val="false"/>
          <w:i w:val="false"/>
          <w:iCs w:val="false"/>
          <w:color w:val="333333"/>
          <w:sz w:val="20"/>
          <w:szCs w:val="20"/>
          <w:rtl w:val="true"/>
        </w:rPr>
        <w:t>. . .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المالک الراهن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الوصیة،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لیس شغله التجارة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اللآلئ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مع تفاوت یسیر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المقرّ له بالنسب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بالإنفاق من بیت المال للشیخ فی المبسوط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بأ نّه من ماله فلم نعثر علیه، نعم نقل فی جامع المقاصد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حواشی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لو قیل یکون من ماله لکان حسناً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16:330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44765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صحاح اللغة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الحجر، 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الوصایا،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الأحادیث</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والقاضی فی المهذّب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وفیها وهو الأظهر فی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 وَ لاٰ تُؤْتُوا اَلسُّفَهٰاءَ أَمْوٰالَکُمُ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للشیخ فی المبسوط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العبارة أنّ القائل بهذا التفصیل مقابل للقولین الأوّلین، ولیس کذلک، بل یمکن أن یکون القائل بالقول الثانی مفصّلاً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إلی هذا السید العاملی فی مفتاح الکرامة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جعله فی الروضة قولاً ثالثاً مقابلاً للقولین الأولین ولیس کذلک، بل لم یخالف فیه أحد منّا ولا من العامة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حنیفة کما فی بدایة المجتهد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xml:space="preserve">، والفتاوی الهندیة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الضمان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الماتن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المختلف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کما اعترف به السید العاملی فی مفتاح الکرامة </w:t>
      </w:r>
      <w:r>
        <w:rPr>
          <w:rFonts w:eastAsia="IRNazanin" w:cs="IRNazanin"/>
          <w:b w:val="false"/>
          <w:bCs w:val="false"/>
          <w:i w:val="false"/>
          <w:iCs w:val="false"/>
          <w:color w:val="333333"/>
          <w:sz w:val="20"/>
          <w:szCs w:val="20"/>
        </w:rPr>
        <w:t>5:359</w:t>
      </w:r>
      <w:r>
        <w:rPr>
          <w:rFonts w:ascii="IRNazanin" w:hAnsi="IRNazanin" w:eastAsia="IRNazanin"/>
          <w:b w:val="false"/>
          <w:b w:val="false"/>
          <w:bCs w:val="false"/>
          <w:i w:val="false"/>
          <w:i w:val="false"/>
          <w:iCs w:val="false"/>
          <w:color w:val="333333"/>
          <w:sz w:val="20"/>
          <w:sz w:val="20"/>
          <w:szCs w:val="20"/>
          <w:rtl w:val="true"/>
        </w:rPr>
        <w:t xml:space="preserve">، نعم نقله الشیخ فی المبسوط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العلّامة فی القواعد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احتمالاً، ومثله المحقّق الثانی فی جامع المقاصد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ونقله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العامّة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الإسکافی علی ما نقل عنه العلّامة فی المختلف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إیفاء</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للمفعول</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للشیخ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أ نّه لا یصحّ؛ لأنّه مجهول فیلزم الغرر وهو للشیخ فی المبسوط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الحدیث الأوّل، 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الحدیث الأوّل، 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w:t>
      </w:r>
      <w:r>
        <w:rPr>
          <w:rFonts w:eastAsia="IRNazanin" w:cs="IRNazanin"/>
          <w:b w:val="false"/>
          <w:bCs w:val="false"/>
          <w:i w:val="false"/>
          <w:iCs w:val="false"/>
          <w:color w:val="333333"/>
          <w:sz w:val="20"/>
          <w:szCs w:val="20"/>
        </w:rPr>
        <w:t>13:435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نّه</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یشترط تمیّزهما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بخصوصه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علیه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القائل بتّاً، نعم ذهب فخر المحقّقین فی الإیضاح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الأولی عدم اشتراط القبول</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قوبلت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لفظین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الضمان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وسنن النسائی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والسنن الکبری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5:350</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الکبری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وکنز العمال </w:t>
      </w:r>
      <w:r>
        <w:rPr>
          <w:rFonts w:eastAsia="IRNazanin" w:cs="IRNazanin"/>
          <w:b w:val="false"/>
          <w:bCs w:val="false"/>
          <w:i w:val="false"/>
          <w:iCs w:val="false"/>
          <w:color w:val="333333"/>
          <w:sz w:val="20"/>
          <w:szCs w:val="20"/>
        </w:rPr>
        <w:t>5:575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14015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والسید 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أکثرالعامة کما فی المسالک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وانظر المغنی لابن قدامة </w:t>
      </w:r>
      <w:r>
        <w:rPr>
          <w:rFonts w:eastAsia="IRNazanin" w:cs="IRNazanin"/>
          <w:b w:val="false"/>
          <w:bCs w:val="false"/>
          <w:i w:val="false"/>
          <w:iCs w:val="false"/>
          <w:color w:val="333333"/>
          <w:sz w:val="20"/>
          <w:szCs w:val="20"/>
        </w:rPr>
        <w:t>4:590</w:t>
      </w:r>
      <w:r>
        <w:rPr>
          <w:rFonts w:ascii="IRNazanin" w:hAnsi="IRNazanin" w:eastAsia="IRNazanin"/>
          <w:b w:val="false"/>
          <w:b w:val="false"/>
          <w:bCs w:val="false"/>
          <w:i w:val="false"/>
          <w:i w:val="false"/>
          <w:iCs w:val="false"/>
          <w:color w:val="333333"/>
          <w:sz w:val="20"/>
          <w:sz w:val="20"/>
          <w:szCs w:val="20"/>
          <w:rtl w:val="true"/>
        </w:rPr>
        <w:t xml:space="preserve">، والمجموع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وطلب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یشملها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 ذلک الشیخ فی المبسوط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إدریس فی السرائر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المختلف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یبرأ بتسلیم المکفول نفسه تامّاً وإن لم یکن من الکفیل علی الأقوی، وبتسلیم غیره له کذلک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وقال المحقّق الثانی فی جامع المقاصد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المعتمد</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وغیرهما، وأبی العباس فی المهذّب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 ویراجع للتفصیل مفتاح الکرامة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بعض نسخ المسالک عن الشهید الثانی أنّ الروایة ضعیفة بداود بن الحصین، راجع المسالک </w:t>
      </w:r>
      <w:r>
        <w:rPr>
          <w:rFonts w:eastAsia="IRNazanin" w:cs="IRNazanin"/>
          <w:b w:val="false"/>
          <w:bCs w:val="false"/>
          <w:i w:val="false"/>
          <w:iCs w:val="false"/>
          <w:color w:val="333333"/>
          <w:sz w:val="20"/>
          <w:szCs w:val="20"/>
        </w:rPr>
        <w:t>13:335</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واقفی</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لشرح</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حاشیة الإرشاد المطبوعة مع غایة المراد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إلزام الکفیل بإحضار المکفول، راجع الصفحة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المخطوطات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القضاء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المشترط، وأمّا القول بکفایة الإطلاق فقد اختاره فی الشرائع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وابن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والقاضی فی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التعیین، وکذا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بدونها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واضح؛ إذ لیس کلّ جزءٍ یصحّ إطلاق اسمه علی الکلّ مجازاً، کما حقّق فی محلّه، وذلک هو المقتضی للفرق بین الأجزاء الثلاثة الاُول وبین الآخرین لا کون الأوّل حقیقةً والآخرین مجازاً، وأیّ مانعٍ من استعمال المجاز فی مثله مع القرینة؟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شخصه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الصلح،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التفسیران فی القواعد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والتنقیح الرائع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قول الماتن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جائز مع الإقرار والإنکار إلّا</w:t>
      </w:r>
      <w:r>
        <w:rPr>
          <w:rFonts w:eastAsia="IRNazanin" w:cs="IRNazanin"/>
          <w:b w:val="false"/>
          <w:bCs w:val="false"/>
          <w:i w:val="false"/>
          <w:iCs w:val="false"/>
          <w:color w:val="333333"/>
          <w:sz w:val="20"/>
          <w:szCs w:val="20"/>
          <w:rtl w:val="true"/>
        </w:rPr>
        <w:t>. .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المحقّق فی الشرائع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والشهید فی الدروس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الموارد فی المبسوط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المخطوطات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الشافعی کما فی المغنی لابن قدامة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xml:space="preserve">، وانظر المجموع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ومغنی المحتاج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کتب الشیخ ولا علی من حکی ذلک عنه، کما اعترف به السید العاملی فی مفتاح الکرامة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الجماعة أیضاً کما اعترف به السید العاملی، نعم هو لازم الإطلاق فی الشرائع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وغیرها، وانظر التفصیل فی مفتاح الکرامة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یثبت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12:422</w:t>
      </w:r>
      <w:r>
        <w:rPr>
          <w:rFonts w:ascii="IRNazanin" w:hAnsi="IRNazanin" w:eastAsia="IRNazanin"/>
          <w:b w:val="false"/>
          <w:b w:val="false"/>
          <w:bCs w:val="false"/>
          <w:i w:val="false"/>
          <w:i w:val="false"/>
          <w:iCs w:val="false"/>
          <w:color w:val="333333"/>
          <w:sz w:val="20"/>
          <w:sz w:val="20"/>
          <w:szCs w:val="20"/>
          <w:rtl w:val="true"/>
        </w:rPr>
        <w:t>، الباب الأوّل من أبواب الربا وغیره من الأبواب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والأولی فی التعبیر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بفرعیّته للعاریة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عوضاً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الصلح، الحدیث الأوّل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ضعفه بالسکونی، راجع المسالک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ورد المنع مطلقاً من غیر تقیید بعدم المضبوطیّة، مع أنّ المراد هو المقیّد بذلک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الجنید علی ما حکاه عنه فی المختلف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وارتضاه العلّامة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المتقارعین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وقال العلّامة فی المختلف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المعتمد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ضرب من الأبنیة یُسمّی سقفه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ضمّ أجزاء البناء بعضها إلی بعض</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الشرائع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رجّحه فی الدروس</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ذکره فی الکتاب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فی بعض الأحوال، أمّا علی مذهبه هنا ففیما إذا خرج القرعة باسم العِلوی، وأمّا علی مذهبه فی الدروس ففیما إذا نکل السفلی وحلف العلوی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ر</w:t>
      </w:r>
      <w:r>
        <w:rPr>
          <w:rFonts w:eastAsia="IRNazanin" w:cs="IRNazanin"/>
          <w:b w:val="false"/>
          <w:bCs w:val="false"/>
          <w:i w:val="false"/>
          <w:iCs w:val="false"/>
          <w:color w:val="333333"/>
          <w:sz w:val="20"/>
          <w:szCs w:val="20"/>
          <w:rtl w:val="true"/>
        </w:rPr>
        <w:t>)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الشهید فی غایة المراد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لم یرد فی المخطوطات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قوبلت بالأصل 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باقی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قصب أو شجر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المخطوطات،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المحققین فی الإیضاح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من الصیمری فی غایة المرام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ومن ابن فهد فی المهذّب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والمقتصر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وراجع للتفصیل مفتاح الکرامة </w:t>
      </w:r>
      <w:r>
        <w:rPr>
          <w:rFonts w:eastAsia="IRNazanin" w:cs="IRNazanin"/>
          <w:b w:val="false"/>
          <w:bCs w:val="false"/>
          <w:i w:val="false"/>
          <w:iCs w:val="false"/>
          <w:color w:val="333333"/>
          <w:sz w:val="20"/>
          <w:szCs w:val="20"/>
        </w:rPr>
        <w:t>5:508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التمیز</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المشترک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تساویا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 نعثر علی القائل</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Pr>
        <w:t>9:282</w:t>
      </w:r>
      <w:r>
        <w:rPr>
          <w:rFonts w:ascii="IRNazanin" w:hAnsi="IRNazanin" w:eastAsia="IRNazanin"/>
          <w:b w:val="false"/>
          <w:b w:val="false"/>
          <w:bCs w:val="false"/>
          <w:i w:val="false"/>
          <w:i w:val="false"/>
          <w:iCs w:val="false"/>
          <w:color w:val="333333"/>
          <w:sz w:val="20"/>
          <w:sz w:val="20"/>
          <w:szCs w:val="20"/>
          <w:rtl w:val="true"/>
        </w:rPr>
        <w:t xml:space="preserve">، ونقله الشیخ فی المبسوط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والوجوه والمفاوضة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المرتضی فی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والعلّامة ووالده وولده فی المختلف </w:t>
      </w:r>
      <w:r>
        <w:rPr>
          <w:rFonts w:eastAsia="IRNazanin" w:cs="IRNazanin"/>
          <w:b w:val="false"/>
          <w:bCs w:val="false"/>
          <w:i w:val="false"/>
          <w:iCs w:val="false"/>
          <w:color w:val="333333"/>
          <w:sz w:val="20"/>
          <w:szCs w:val="20"/>
        </w:rPr>
        <w:t>6:231</w:t>
      </w:r>
      <w:r>
        <w:rPr>
          <w:rFonts w:ascii="IRNazanin" w:hAnsi="IRNazanin" w:eastAsia="IRNazanin"/>
          <w:b w:val="false"/>
          <w:b w:val="false"/>
          <w:bCs w:val="false"/>
          <w:i w:val="false"/>
          <w:i w:val="false"/>
          <w:iCs w:val="false"/>
          <w:color w:val="333333"/>
          <w:sz w:val="20"/>
          <w:sz w:val="20"/>
          <w:szCs w:val="20"/>
          <w:rtl w:val="true"/>
        </w:rPr>
        <w:t xml:space="preserve">، والإیضاح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وابن فهد فی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الشیرازی صاحب المهذّب وشارحه النووی، اُنظر المجموع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مغنی المحتاج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الشرکة، الحدیث الأوّل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الشرکة، 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من أحکام الضمان، 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الحدیث الأوّل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وقوّاه المحقّق الثانی فی جامع المقاصد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الفضولی</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فی حدیث أبی الدرداء</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بإنضاض المال صیرورته دراهم أو دنانیر کما کان أوّلاً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بالاشتراط منسوب فی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العلّامة فی القواعد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وهو الظاهر من الفاضل المقداد فی التنقیح الرائع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للعلّامة أیضاً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الأوّل من المضاربة،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حصّته من الربح</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وتبعه المحقّق الثانی فی جامع المقاصد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اشتری بالذمّة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المسکوکات غیر الذهب والفضّة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والدیلمی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وغیرهم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استشکل به العلّامة فی القواعد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بالإجبار للشیخ فی المبسوط </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للمحقّق فی الشرائع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لعارض</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المصرّح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أطلق فی التذکرة الحکم بثبوت الاُجرة له لو فسخا العقد أو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الفاضل الآبی فی کشف الرموز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حکی شیخنا عن المرتضی فی الدرس وما وقفت علیه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غیر واحد إلی مبسوطه ولم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حکی العلّامة عن الشیخ القول بجواز المضاربة بالجزاف من غیر تقیید بالمشاهدة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اُشکل الحکم بالاُجرة</w:t>
      </w:r>
      <w:r>
        <w:rPr>
          <w:rFonts w:eastAsia="IRNazanin" w:cs="IRNazanin"/>
          <w:b w:val="false"/>
          <w:bCs w:val="false"/>
          <w:i w:val="false"/>
          <w:iCs w:val="false"/>
          <w:color w:val="333333"/>
          <w:sz w:val="20"/>
          <w:szCs w:val="20"/>
          <w:rtl w:val="true"/>
        </w:rPr>
        <w:t>. . .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المضاربة، الحدیث الأوّل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المبسوط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ویحیی بن سعید فی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وغیرهما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العتق، السرایة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ابن أبی عمیر المتقدّمة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باب البیع أ نّه یرید بهذه الألفاظ نفس العقود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بأحدهما من القول أو الفعل</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الحلبی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وجوبه نظر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جماعة منهم ابن البرّاج فی جواهر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والمحقّق الثانی فی جامع المقاصد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جوّزه الشیخ فی المبسوط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 والعلّامة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وهو الظاهر من الفاضل المقداد فی التنقیح الرائع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النقل عند الخوف، وعدم جوازه عند عدمه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الودیعة،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اشتراک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القول بالضمان، حتی فی صورة نهی المالک، وقال العلّامة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یجب علیه الضمان، وظاهره أنّ القائل هو بعض العامّة، ونقله فی المجموع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بعدم الضمان فهو المعروف، وقد ذهب إلیه الشیخ فی المبسوط </w:t>
      </w:r>
      <w:r>
        <w:rPr>
          <w:rFonts w:eastAsia="IRNazanin" w:cs="IRNazanin"/>
          <w:b w:val="false"/>
          <w:bCs w:val="false"/>
          <w:i w:val="false"/>
          <w:iCs w:val="false"/>
          <w:color w:val="333333"/>
          <w:sz w:val="20"/>
          <w:szCs w:val="20"/>
        </w:rPr>
        <w:t>4:139</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خلطها بمال مالکها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مخیّراً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المفید فی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والشیخ فی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وابن زهرة فی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مأخذ قبول قول الودعیّ لیس کونه أمیناً لیخرج بالتفریط عن الأمانة، بل کونه منکراً للزائد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حمزة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وشروطه،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13:393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کالطفل والمجنون واللقیط بشرطه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الرهن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الذهب والفضّة، کما سیأتی</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مخیّراً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فی التحریر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وأجاز الشیخ التخطّی إلی الأقلّ، اُنظر المبسوط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الشیخ فی 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المشهور کما قال الفاضل المقداد فی التنقیح الرائع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xml:space="preserve">، وراجع الشرائع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والمختصر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 عند شروطهم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بالضمان هو المعروف المصرّح به فی کلام بعض مثل المحقّق الثانی فی جامع المقاصد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وغیره، وهو الظاهر من المبسوط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للتفصیل مفتاح الکرامة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العاریة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فخر المحقّقین فی الإیضاح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إدریس فی السرائر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والمحقّق فی الشرائع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والعلّامة فی التحریر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 نّه اختاره فی حواشیه علی القواعد حسب ما نقل عنه فی مفتاح الکرامة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وفی مبحث المزارعة من غایة المراد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یؤیّد المنقول المختار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المزارعة، الحدیثان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یضمّه،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بضمیمة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بالأرش للعلّامة فی القواعد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والصیمری فی غایة المرام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القول الآخر فلم نعثر علی المصرّح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نسب فی مفتاح الکرامة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ظاهر المقنعة والشرائع والتحریر والإرشاد وغیرها،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وتبعه فی جامع المقاصد </w:t>
      </w:r>
      <w:r>
        <w:rPr>
          <w:rFonts w:eastAsia="IRNazanin" w:cs="IRNazanin"/>
          <w:b w:val="false"/>
          <w:bCs w:val="false"/>
          <w:i w:val="false"/>
          <w:iCs w:val="false"/>
          <w:color w:val="333333"/>
          <w:sz w:val="20"/>
          <w:szCs w:val="20"/>
        </w:rPr>
        <w:t>7:327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وجوب التعیین إن لم یعمّم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لدلالة المطلق علی الماهیّة من حیث هی</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فی الشرائع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البذر، العمل، العوامل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عند قول الماتن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مضت المدّة والزرع باقٍ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الخلاف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المزارعة</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یتناولها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والعوامل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شرحها فی کتاب المتاجر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المتاجر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الشریعة، وکُتب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الشرعیّة خ ل</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الماتن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له ورق کالحناء نظر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الشرائع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والجامع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والتحریر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سلّمتها إلیک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فیه العلّامة فی القواعد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وقرّره علی ذلک السیّد العمیدی فی کنز الفوائد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وقال الفخر فی الإیضاح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بیان وجهی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أ نّه لا یصحّ إلّابلفظ الماضی</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فی المزارعة</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تزاد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بالثاء</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النخل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معناها عند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والمغارسة باطلة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یتکرّر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زیادة الکرم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استقائه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المبسوط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قوبلت بالأصل بخطّ مؤلّفه قدس سره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image" Target="media/image2.jpeg"/><Relationship Id="rId492" Type="http://schemas.openxmlformats.org/officeDocument/2006/relationships/image" Target="media/image2.jpeg"/><Relationship Id="rId493" Type="http://schemas.openxmlformats.org/officeDocument/2006/relationships/footer" Target="footer486.xml"/><Relationship Id="rId494" Type="http://schemas.openxmlformats.org/officeDocument/2006/relationships/footnotes" Target="footnotes.xml"/><Relationship Id="rId495" Type="http://schemas.openxmlformats.org/officeDocument/2006/relationships/numbering" Target="numbering.xml"/><Relationship Id="rId496" Type="http://schemas.openxmlformats.org/officeDocument/2006/relationships/fontTable" Target="fontTable.xml"/><Relationship Id="rId497" Type="http://schemas.openxmlformats.org/officeDocument/2006/relationships/settings" Target="settings.xml"/><Relationship Id="rId4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74128</Words>
  <Characters>335051</Characters>
  <CharactersWithSpaces>406815</CharactersWithSpaces>
  <Paragraphs>2365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2026-08-26T01:22:33Z</dcterms:created>
  <dc:creator>ghaemiyeh.com</dc:creator>
  <dc:description/>
  <dc:language>en-US</dc:language>
  <cp:lastModifiedBy/>
  <dcterms:modified xsi:type="dcterms:W3CDTF">2026-08-26T04:53:14Z</dcterms:modified>
  <cp:revision>1</cp:revision>
  <dc:subject/>
  <dc:title>الروضه البهیه فی شرح اللمعه الدمشقیه الطبعه الحدیثه جلد 2</dc:title>
</cp:coreProperties>
</file>

<file path=docProps/custom.xml><?xml version="1.0" encoding="utf-8"?>
<Properties xmlns="http://schemas.openxmlformats.org/officeDocument/2006/custom-properties" xmlns:vt="http://schemas.openxmlformats.org/officeDocument/2006/docPropsVTypes"/>
</file>